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FB7B2" w14:textId="2403FA7E" w:rsidR="00DF3ECB" w:rsidRPr="00DF3ECB" w:rsidRDefault="00DF3ECB" w:rsidP="00DF3ECB">
      <w:pPr>
        <w:spacing w:before="100" w:beforeAutospacing="1" w:after="100" w:afterAutospacing="1" w:line="240" w:lineRule="auto"/>
        <w:jc w:val="both"/>
        <w:outlineLvl w:val="0"/>
        <w:rPr>
          <w:rFonts w:ascii="Times New Roman" w:hAnsi="Times New Roman" w:cs="Times New Roman"/>
          <w:b/>
          <w:bCs/>
          <w:sz w:val="24"/>
          <w:szCs w:val="24"/>
        </w:rPr>
      </w:pPr>
      <w:bookmarkStart w:id="0" w:name="_Hlk226045145"/>
      <w:r w:rsidRPr="00DF3ECB">
        <w:rPr>
          <w:rFonts w:ascii="Times New Roman" w:hAnsi="Times New Roman" w:cs="Times New Roman"/>
          <w:b/>
          <w:bCs/>
          <w:sz w:val="24"/>
          <w:szCs w:val="24"/>
        </w:rPr>
        <w:t>Strengthening Rural Primary Education through Adaptive Digital Resilience and Foresight-Driven Leadership</w:t>
      </w:r>
      <w:r>
        <w:rPr>
          <w:rFonts w:ascii="Times New Roman" w:hAnsi="Times New Roman" w:cs="Times New Roman"/>
          <w:b/>
          <w:bCs/>
          <w:sz w:val="24"/>
          <w:szCs w:val="24"/>
        </w:rPr>
        <w:t xml:space="preserve"> in Zimbabwe</w:t>
      </w:r>
      <w:r w:rsidRPr="00DF3ECB">
        <w:rPr>
          <w:rFonts w:ascii="Times New Roman" w:hAnsi="Times New Roman" w:cs="Times New Roman"/>
          <w:b/>
          <w:bCs/>
          <w:sz w:val="24"/>
          <w:szCs w:val="24"/>
        </w:rPr>
        <w:t xml:space="preserve">: Insights from Inyagui Primary School, </w:t>
      </w:r>
      <w:r>
        <w:rPr>
          <w:rFonts w:ascii="Times New Roman" w:hAnsi="Times New Roman" w:cs="Times New Roman"/>
          <w:b/>
          <w:bCs/>
          <w:sz w:val="24"/>
          <w:szCs w:val="24"/>
        </w:rPr>
        <w:t>Murewa Rural District, Mashonaland East province</w:t>
      </w:r>
    </w:p>
    <w:bookmarkEnd w:id="0"/>
    <w:p w14:paraId="0A784B9E" w14:textId="2ECC7306" w:rsidR="00726BC3" w:rsidRDefault="00726BC3" w:rsidP="00726BC3">
      <w:pPr>
        <w:spacing w:after="0" w:line="360" w:lineRule="auto"/>
        <w:jc w:val="both"/>
        <w:rPr>
          <w:rFonts w:ascii="Times New Roman" w:eastAsia="Times New Roman" w:hAnsi="Times New Roman" w:cs="Times New Roman"/>
          <w:kern w:val="0"/>
          <w:sz w:val="24"/>
          <w:szCs w:val="24"/>
          <w14:ligatures w14:val="none"/>
        </w:rPr>
      </w:pPr>
    </w:p>
    <w:p w14:paraId="74658418" w14:textId="77777777" w:rsidR="00BF0BF3" w:rsidRPr="00726BC3" w:rsidRDefault="00BF0BF3" w:rsidP="00726BC3">
      <w:pPr>
        <w:spacing w:after="0" w:line="360" w:lineRule="auto"/>
        <w:jc w:val="both"/>
        <w:rPr>
          <w:rFonts w:ascii="Times New Roman" w:eastAsia="Times New Roman" w:hAnsi="Times New Roman" w:cs="Times New Roman"/>
          <w:kern w:val="0"/>
          <w:sz w:val="24"/>
          <w:szCs w:val="24"/>
          <w14:ligatures w14:val="none"/>
        </w:rPr>
      </w:pPr>
    </w:p>
    <w:p w14:paraId="43F99B57" w14:textId="252BA456" w:rsidR="00726BC3" w:rsidRDefault="00726BC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26BC3">
        <w:rPr>
          <w:rFonts w:ascii="Times New Roman" w:eastAsia="Times New Roman" w:hAnsi="Times New Roman" w:cs="Times New Roman"/>
          <w:b/>
          <w:bCs/>
          <w:kern w:val="0"/>
          <w:sz w:val="24"/>
          <w:szCs w:val="24"/>
          <w14:ligatures w14:val="none"/>
        </w:rPr>
        <w:t>Abstract</w:t>
      </w:r>
    </w:p>
    <w:p w14:paraId="7584A6CA" w14:textId="3A2E3D1E" w:rsidR="00714B23" w:rsidRDefault="00714B23" w:rsidP="00714B23">
      <w:pPr>
        <w:jc w:val="both"/>
        <w:rPr>
          <w:rFonts w:ascii="Times New Roman" w:hAnsi="Times New Roman" w:cs="Times New Roman"/>
          <w:sz w:val="24"/>
          <w:szCs w:val="24"/>
        </w:rPr>
      </w:pPr>
      <w:r w:rsidRPr="00E0777A">
        <w:rPr>
          <w:rFonts w:ascii="Times New Roman" w:eastAsia="Times New Roman" w:hAnsi="Times New Roman" w:cs="Times New Roman"/>
          <w:kern w:val="0"/>
          <w:sz w:val="24"/>
          <w:szCs w:val="24"/>
          <w14:ligatures w14:val="none"/>
        </w:rPr>
        <w:t>Primary education remains a critical stage for embedding lifelong learning capacities and resilience, yet it is precisely in these rural settings where systemic inequities are most pronounced</w:t>
      </w:r>
      <w:r>
        <w:rPr>
          <w:rFonts w:ascii="Times New Roman" w:eastAsia="Times New Roman" w:hAnsi="Times New Roman" w:cs="Times New Roman"/>
          <w:kern w:val="0"/>
          <w:sz w:val="24"/>
          <w:szCs w:val="24"/>
          <w14:ligatures w14:val="none"/>
        </w:rPr>
        <w:t>. T</w:t>
      </w:r>
      <w:r w:rsidRPr="00E0777A">
        <w:rPr>
          <w:rFonts w:ascii="Times New Roman" w:eastAsia="Times New Roman" w:hAnsi="Times New Roman" w:cs="Times New Roman"/>
          <w:kern w:val="0"/>
          <w:sz w:val="24"/>
          <w:szCs w:val="24"/>
          <w14:ligatures w14:val="none"/>
        </w:rPr>
        <w:t>his study adopts a critical lens, arguing that adaptive digital resilience must be understood as a systemic and dynamic capacity that extends beyond technological adoption to include infrastructure development, human capital enhancement, governance innovation, and community engagement</w:t>
      </w:r>
      <w:r>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This study adopted a qualitative-dominant mixed-methods case study design to investigate how adaptive digital resilience and foresight-driven leadership can strengthen rural primary education in Zimbabwe</w:t>
      </w:r>
      <w:r>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 xml:space="preserve">Contemporary methodological scholarship </w:t>
      </w:r>
      <w:proofErr w:type="spellStart"/>
      <w:r w:rsidRPr="009F6A69">
        <w:rPr>
          <w:rFonts w:ascii="Times New Roman" w:eastAsia="Times New Roman" w:hAnsi="Times New Roman" w:cs="Times New Roman"/>
          <w:kern w:val="0"/>
          <w:sz w:val="24"/>
          <w:szCs w:val="24"/>
          <w14:ligatures w14:val="none"/>
        </w:rPr>
        <w:t>emphasises</w:t>
      </w:r>
      <w:proofErr w:type="spellEnd"/>
      <w:r w:rsidRPr="009F6A69">
        <w:rPr>
          <w:rFonts w:ascii="Times New Roman" w:eastAsia="Times New Roman" w:hAnsi="Times New Roman" w:cs="Times New Roman"/>
          <w:kern w:val="0"/>
          <w:sz w:val="24"/>
          <w:szCs w:val="24"/>
          <w14:ligatures w14:val="none"/>
        </w:rPr>
        <w:t xml:space="preserve"> that such designs are particularly suitable for educational research in under-resourced contexts because they enable both contextual depth and limited </w:t>
      </w:r>
      <w:r>
        <w:rPr>
          <w:rFonts w:ascii="Times New Roman" w:eastAsia="Times New Roman" w:hAnsi="Times New Roman" w:cs="Times New Roman"/>
          <w:kern w:val="0"/>
          <w:sz w:val="24"/>
          <w:szCs w:val="24"/>
          <w14:ligatures w14:val="none"/>
        </w:rPr>
        <w:t xml:space="preserve">generalizability. </w:t>
      </w:r>
      <w:r w:rsidRPr="00C62A6A">
        <w:rPr>
          <w:rFonts w:ascii="Times New Roman" w:eastAsia="Times New Roman" w:hAnsi="Times New Roman" w:cs="Times New Roman"/>
          <w:kern w:val="0"/>
          <w:sz w:val="24"/>
          <w:szCs w:val="24"/>
          <w14:ligatures w14:val="none"/>
        </w:rPr>
        <w:t>Contemporary policy scholarship advocates for future-oriented and resilience-based frameworks that explicitly integrate strategic foresight, anticipatory governance, digital resilience, institutional resilience, and adaptive leadership to enable rural schools to become future-ready</w:t>
      </w:r>
      <w:r>
        <w:rPr>
          <w:rFonts w:ascii="Times New Roman" w:eastAsia="Times New Roman" w:hAnsi="Times New Roman" w:cs="Times New Roman"/>
          <w:kern w:val="0"/>
          <w:sz w:val="24"/>
          <w:szCs w:val="24"/>
          <w14:ligatures w14:val="none"/>
        </w:rPr>
        <w:t>.</w:t>
      </w:r>
      <w:r w:rsidRPr="00714B23">
        <w:rPr>
          <w:rFonts w:ascii="Times New Roman" w:hAnsi="Times New Roman" w:cs="Times New Roman"/>
          <w:sz w:val="24"/>
          <w:szCs w:val="24"/>
        </w:rPr>
        <w:t xml:space="preserve"> </w:t>
      </w:r>
      <w:r>
        <w:rPr>
          <w:rFonts w:ascii="Times New Roman" w:hAnsi="Times New Roman" w:cs="Times New Roman"/>
          <w:sz w:val="24"/>
          <w:szCs w:val="24"/>
        </w:rPr>
        <w:t>T</w:t>
      </w:r>
      <w:r w:rsidRPr="00276DD1">
        <w:rPr>
          <w:rFonts w:ascii="Times New Roman" w:hAnsi="Times New Roman" w:cs="Times New Roman"/>
          <w:sz w:val="24"/>
          <w:szCs w:val="24"/>
        </w:rPr>
        <w:t>he study underscores the inadequacy of fragmented policy interventions, advocating instead for holistic and context-sensitive strategies that align with the dynamic realities of rural education. By fostering resilient and adaptive learning ecosystems through strategic leadership and innovation, rural schools can transition from states of vulnerability to sustainability, thereby future-proofing their capacity to deliver inclusive and quality education in an increasingly uncertain and rapidly evolving global landscape.</w:t>
      </w:r>
    </w:p>
    <w:p w14:paraId="1AEB7261" w14:textId="3D99AFD5" w:rsidR="00714B23" w:rsidRDefault="00714B23" w:rsidP="00714B23">
      <w:pPr>
        <w:jc w:val="both"/>
      </w:pPr>
      <w:r>
        <w:t xml:space="preserve">Keywords: </w:t>
      </w:r>
      <w:r w:rsidRPr="00E0777A">
        <w:rPr>
          <w:rFonts w:ascii="Times New Roman" w:eastAsia="Times New Roman" w:hAnsi="Times New Roman" w:cs="Times New Roman"/>
          <w:kern w:val="0"/>
          <w:sz w:val="24"/>
          <w:szCs w:val="24"/>
          <w14:ligatures w14:val="none"/>
        </w:rPr>
        <w:t>Primary education</w:t>
      </w:r>
      <w:r>
        <w:rPr>
          <w:rFonts w:ascii="Times New Roman" w:eastAsia="Times New Roman" w:hAnsi="Times New Roman" w:cs="Times New Roman"/>
          <w:kern w:val="0"/>
          <w:sz w:val="24"/>
          <w:szCs w:val="24"/>
          <w14:ligatures w14:val="none"/>
        </w:rPr>
        <w:t xml:space="preserve">, </w:t>
      </w:r>
      <w:r w:rsidRPr="00E0777A">
        <w:rPr>
          <w:rFonts w:ascii="Times New Roman" w:eastAsia="Times New Roman" w:hAnsi="Times New Roman" w:cs="Times New Roman"/>
          <w:kern w:val="0"/>
          <w:sz w:val="24"/>
          <w:szCs w:val="24"/>
          <w14:ligatures w14:val="none"/>
        </w:rPr>
        <w:t>ICT penetration</w:t>
      </w:r>
      <w:r>
        <w:rPr>
          <w:rFonts w:ascii="Times New Roman" w:eastAsia="Times New Roman" w:hAnsi="Times New Roman" w:cs="Times New Roman"/>
          <w:kern w:val="0"/>
          <w:sz w:val="24"/>
          <w:szCs w:val="24"/>
          <w14:ligatures w14:val="none"/>
        </w:rPr>
        <w:t xml:space="preserve">, </w:t>
      </w:r>
      <w:r w:rsidRPr="00276DD1">
        <w:rPr>
          <w:rFonts w:ascii="Times New Roman" w:hAnsi="Times New Roman" w:cs="Times New Roman"/>
          <w:sz w:val="24"/>
          <w:szCs w:val="24"/>
        </w:rPr>
        <w:t>strategic leadership</w:t>
      </w:r>
      <w:r>
        <w:rPr>
          <w:rFonts w:ascii="Times New Roman" w:hAnsi="Times New Roman" w:cs="Times New Roman"/>
          <w:sz w:val="24"/>
          <w:szCs w:val="24"/>
        </w:rPr>
        <w:t xml:space="preserve">, </w:t>
      </w:r>
      <w:r w:rsidRPr="00276DD1">
        <w:rPr>
          <w:rFonts w:ascii="Times New Roman" w:hAnsi="Times New Roman" w:cs="Times New Roman"/>
          <w:sz w:val="24"/>
          <w:szCs w:val="24"/>
        </w:rPr>
        <w:t>learning ecosystems</w:t>
      </w:r>
    </w:p>
    <w:p w14:paraId="164C38CF" w14:textId="21297EC6"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0629B2CB" w14:textId="08BCB751"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4AD1604A" w14:textId="75898187"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373B1F24" w14:textId="72266EBC" w:rsidR="00BF0BF3" w:rsidRDefault="00BF0BF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47730726" w14:textId="77777777" w:rsidR="00BF0BF3" w:rsidRDefault="00BF0BF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bookmarkStart w:id="1" w:name="_GoBack"/>
      <w:bookmarkEnd w:id="1"/>
    </w:p>
    <w:p w14:paraId="70CDD140" w14:textId="22E1740C" w:rsidR="00714B2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3E2DA423" w14:textId="77777777" w:rsidR="00714B23" w:rsidRPr="00726BC3" w:rsidRDefault="00714B2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4F9228F2" w14:textId="77777777" w:rsidR="00DF3ECB" w:rsidRPr="00DF3ECB" w:rsidRDefault="00DF3ECB" w:rsidP="00DF3ECB">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F3ECB">
        <w:rPr>
          <w:rFonts w:ascii="Times New Roman" w:eastAsia="Times New Roman" w:hAnsi="Times New Roman" w:cs="Times New Roman"/>
          <w:b/>
          <w:bCs/>
          <w:kern w:val="0"/>
          <w:sz w:val="24"/>
          <w:szCs w:val="24"/>
          <w14:ligatures w14:val="none"/>
        </w:rPr>
        <w:lastRenderedPageBreak/>
        <w:t>1.0 Introduction</w:t>
      </w:r>
    </w:p>
    <w:p w14:paraId="225E64C8" w14:textId="7AA36F03"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Education systems across the globe are experiencing profound and multidimensional transformations driven by intersecting pressures such as climate change, rapid digitalisation, and persistent socio-economic instability (UNESCO, 2023; OECD, 2023; World Bank,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Contemporary scholarship increasingly recognises that these disruptions are not merely external shocks but structural forces reshaping the very foundations of teaching, learning, and educational governance (UNESCO, 2023; OECD,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In this evolving landscape, the competencies required for learners have shifted toward adaptability, critical thinking, digital literacy, and resilience in the face of uncertainty (UNICEF</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2024; World Economic Forum</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Despite this, much of the dominant discourse continues to privilege secondary and tertiary education, often neglecting the foundational role of primary education, particularly in rural contexts (UNESCO</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1A4D0262" w14:textId="0ABCB882"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Primary education remains a critical stage for embedding lifelong learning capacities and resilience, yet it is precisely in these rural settings where systemic inequities are most pronounced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The COVID-19 pandemic further exposed these disparities, revealing significant gaps in digital access, institutional preparedness, and continuity of learning, disproportionately disadvantaging rural communities in the Global South (UNICEF</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2024;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r w:rsidR="003B687B">
        <w:rPr>
          <w:rFonts w:ascii="Times New Roman" w:eastAsia="Times New Roman" w:hAnsi="Times New Roman" w:cs="Times New Roman"/>
          <w:kern w:val="0"/>
          <w:sz w:val="24"/>
          <w:szCs w:val="24"/>
          <w14:ligatures w14:val="none"/>
        </w:rPr>
        <w:t>; Munyoro et al., 2026</w:t>
      </w:r>
      <w:r w:rsidRPr="00E0777A">
        <w:rPr>
          <w:rFonts w:ascii="Times New Roman" w:eastAsia="Times New Roman" w:hAnsi="Times New Roman" w:cs="Times New Roman"/>
          <w:kern w:val="0"/>
          <w:sz w:val="24"/>
          <w:szCs w:val="24"/>
          <w14:ligatures w14:val="none"/>
        </w:rPr>
        <w:t>). In Zimbabwe, these challenges are especially acute in rural districts such as Murewa, where infrastructural limitations, low ICT penetration, and climate-sensitive livelihoods converge to constrain educational delivery (FAO</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World Bank</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Consequently, rural primary education operates within fragile socio-technical ecosystems that hinder equitable access and limit the cultivation of future-ready learners (UNESCO</w:t>
      </w:r>
      <w:r w:rsidR="003B687B">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17612625" w14:textId="1395B2C1"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Within this broader context, Inyagui Primary School serves as a critical case for examining both the systemic constraints and transformative possibilities inherent in rural education systems. Existing studies highlight persistent challenges faced by such schools, including unreliable electricity supply, inadequate digital infrastructure, and limited teacher capacity to effectively integrate technology into pedagogical practices (World Bank</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UNESCO</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While</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xml:space="preserve"> global education frameworks</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xml:space="preserve"> increasingly advocate for early integration of digital competencies and sustainability-oriented learning (OECD</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UNESCO</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xml:space="preserve">, 2023), </w:t>
      </w:r>
      <w:r w:rsidRPr="00E0777A">
        <w:rPr>
          <w:rFonts w:ascii="Times New Roman" w:eastAsia="Times New Roman" w:hAnsi="Times New Roman" w:cs="Times New Roman"/>
          <w:kern w:val="0"/>
          <w:sz w:val="24"/>
          <w:szCs w:val="24"/>
          <w14:ligatures w14:val="none"/>
        </w:rPr>
        <w:lastRenderedPageBreak/>
        <w:t>there remains a conceptual and practical disconnect in how these goals are implemented in resource-constrained environments (World Bank</w:t>
      </w:r>
      <w:r w:rsidR="00654A7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05012A4B" w14:textId="649F5C31"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A critical limitation in current literature is the tendency to treat digital transformation and educational leadership as separate domains, thereby neglecting their potential interdependence (G</w:t>
      </w:r>
      <w:r w:rsidR="00523C8F">
        <w:rPr>
          <w:rFonts w:ascii="Times New Roman" w:eastAsia="Times New Roman" w:hAnsi="Times New Roman" w:cs="Times New Roman"/>
          <w:kern w:val="0"/>
          <w:sz w:val="24"/>
          <w:szCs w:val="24"/>
          <w14:ligatures w14:val="none"/>
        </w:rPr>
        <w:t>PE.</w:t>
      </w:r>
      <w:r w:rsidRPr="00E0777A">
        <w:rPr>
          <w:rFonts w:ascii="Times New Roman" w:eastAsia="Times New Roman" w:hAnsi="Times New Roman" w:cs="Times New Roman"/>
          <w:kern w:val="0"/>
          <w:sz w:val="24"/>
          <w:szCs w:val="24"/>
          <w14:ligatures w14:val="none"/>
        </w:rPr>
        <w:t>, 2023; World Bank</w:t>
      </w:r>
      <w:r w:rsidR="00523C8F">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This fragmentation undermines the development of holistic strategies capable of addressing complex, context-specific challenges. In response, this study adopts a critical lens, arguing that adaptive digital resilience must be understood as a systemic and dynamic capacity that extends beyond technological adoption to include infrastructure development, human capital enhancement, governance innovation, and community engagement (UNESCO</w:t>
      </w:r>
      <w:r w:rsidR="00EE196E">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World Bank</w:t>
      </w:r>
      <w:r w:rsidR="00EE196E">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 Furthermore, it critiques the predominance of reactive, compliance-driven leadership models in rural schools, which often fail to anticipate or respond effectively to emerging disruptions (OECD</w:t>
      </w:r>
      <w:r w:rsidR="00EE196E">
        <w:rPr>
          <w:rFonts w:ascii="Times New Roman" w:eastAsia="Times New Roman" w:hAnsi="Times New Roman" w:cs="Times New Roman"/>
          <w:kern w:val="0"/>
          <w:sz w:val="24"/>
          <w:szCs w:val="24"/>
          <w14:ligatures w14:val="none"/>
        </w:rPr>
        <w:t>.</w:t>
      </w:r>
      <w:r w:rsidRPr="00E0777A">
        <w:rPr>
          <w:rFonts w:ascii="Times New Roman" w:eastAsia="Times New Roman" w:hAnsi="Times New Roman" w:cs="Times New Roman"/>
          <w:kern w:val="0"/>
          <w:sz w:val="24"/>
          <w:szCs w:val="24"/>
          <w14:ligatures w14:val="none"/>
        </w:rPr>
        <w:t>, 2023).</w:t>
      </w:r>
    </w:p>
    <w:p w14:paraId="18C0325A" w14:textId="77777777" w:rsidR="004D0092" w:rsidRPr="00E0777A"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This study therefore aims to critically explore how adaptive digital resilience and foresight-driven leadership can be leveraged to strengthen educational sustainability and learner outcomes at Inyagui Primary School in Murewa Rural District. Specifically, it seeks to assess the current state of digital infrastructure and resilience within the school, analyse the role of leadership in embedding foresight and anticipatory governance into decision-making processes, and evaluate the impact of climate variability and socio-economic instability on teaching and learning. Thus, by proposing a contextually grounded framework, the study contributes to both theoretical and empirical debates on rural education transformation in developing contexts. Methodologically, the adoption of a qualitative case study approach enables an in-depth understanding of lived realities and institutional dynamics often overlooked in macro-level analyses. Critically, the study contends that without deliberate and sustained investment in foresight-driven leadership and systemic digital resilience, efforts to achieve United Nations Sustainable Development Goal 4 in rural Zimbabwe will remain fragmented, inequitable, and insufficiently responsive to emerging global challenges. In this regard, the research not only interrogates existing paradigms but also advances a forward-looking agenda for building adaptive, inclusive, and future-oriented rural education systems.</w:t>
      </w:r>
    </w:p>
    <w:p w14:paraId="463845B1" w14:textId="77777777" w:rsidR="007944C9" w:rsidRPr="007944C9" w:rsidRDefault="007944C9" w:rsidP="004B52E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944C9">
        <w:rPr>
          <w:rFonts w:ascii="Times New Roman" w:eastAsia="Times New Roman" w:hAnsi="Times New Roman" w:cs="Times New Roman"/>
          <w:b/>
          <w:bCs/>
          <w:kern w:val="0"/>
          <w:sz w:val="24"/>
          <w:szCs w:val="24"/>
          <w14:ligatures w14:val="none"/>
        </w:rPr>
        <w:t>2.0 Literature Review and Theoretical Anchors</w:t>
      </w:r>
    </w:p>
    <w:p w14:paraId="77D670C3" w14:textId="6FEDCF28" w:rsidR="007944C9" w:rsidRDefault="007944C9" w:rsidP="004B52E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This section critically examines the theoretical and empirical foundations underpinning the study on strengthening rural primary education through adaptive digital resilience and </w:t>
      </w:r>
      <w:r w:rsidRPr="007944C9">
        <w:rPr>
          <w:rFonts w:ascii="Times New Roman" w:eastAsia="Times New Roman" w:hAnsi="Times New Roman" w:cs="Times New Roman"/>
          <w:kern w:val="0"/>
          <w:sz w:val="24"/>
          <w:szCs w:val="24"/>
          <w14:ligatures w14:val="none"/>
        </w:rPr>
        <w:lastRenderedPageBreak/>
        <w:t xml:space="preserve">foresight-driven leadership in Zimbabwe, with particular reference to Inyagui Primary School in </w:t>
      </w:r>
      <w:r w:rsidR="007122B2">
        <w:rPr>
          <w:rFonts w:ascii="Times New Roman" w:eastAsia="Times New Roman" w:hAnsi="Times New Roman" w:cs="Times New Roman"/>
          <w:kern w:val="0"/>
          <w:sz w:val="24"/>
          <w:szCs w:val="24"/>
          <w14:ligatures w14:val="none"/>
        </w:rPr>
        <w:t xml:space="preserve">Murewa Rural District, </w:t>
      </w:r>
      <w:r w:rsidRPr="007944C9">
        <w:rPr>
          <w:rFonts w:ascii="Times New Roman" w:eastAsia="Times New Roman" w:hAnsi="Times New Roman" w:cs="Times New Roman"/>
          <w:kern w:val="0"/>
          <w:sz w:val="24"/>
          <w:szCs w:val="24"/>
          <w14:ligatures w14:val="none"/>
        </w:rPr>
        <w:t>Mashonaland East Province. The discussion integrates systems theory, strategic foresight, organisational resilience, and digital resilience, culminating in a conceptual framework that situates leadership and technological adaptation at the centre of sustainable educational transformation in rural contexts.</w:t>
      </w:r>
    </w:p>
    <w:p w14:paraId="663910A2"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2.1 Systems Theory and Primary Education</w:t>
      </w:r>
    </w:p>
    <w:p w14:paraId="363FF4F6" w14:textId="1603EBD6" w:rsidR="004D0092"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Systems theory provides a holistic lens for understanding primary schools as dynamic and interdependent entities embedded within broader socio-economic, political, and technological environments (Meadows</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2008; Arnold &amp; Wade</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2015</w:t>
      </w:r>
      <w:r w:rsidR="00E9602B">
        <w:rPr>
          <w:rFonts w:ascii="Times New Roman" w:eastAsia="Times New Roman" w:hAnsi="Times New Roman" w:cs="Times New Roman"/>
          <w:kern w:val="0"/>
          <w:sz w:val="24"/>
          <w:szCs w:val="24"/>
          <w14:ligatures w14:val="none"/>
        </w:rPr>
        <w:t>;</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 According to Meadows</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(2008), systems are composed of interconnected components whose interactions determine overall system behaviour. In the context of rural primary education, </w:t>
      </w:r>
      <w:proofErr w:type="gramStart"/>
      <w:r w:rsidRPr="00DA2EE4">
        <w:rPr>
          <w:rFonts w:ascii="Times New Roman" w:eastAsia="Times New Roman" w:hAnsi="Times New Roman" w:cs="Times New Roman"/>
          <w:kern w:val="0"/>
          <w:sz w:val="24"/>
          <w:szCs w:val="24"/>
          <w14:ligatures w14:val="none"/>
        </w:rPr>
        <w:t>schools</w:t>
      </w:r>
      <w:proofErr w:type="gramEnd"/>
      <w:r w:rsidRPr="00DA2EE4">
        <w:rPr>
          <w:rFonts w:ascii="Times New Roman" w:eastAsia="Times New Roman" w:hAnsi="Times New Roman" w:cs="Times New Roman"/>
          <w:kern w:val="0"/>
          <w:sz w:val="24"/>
          <w:szCs w:val="24"/>
          <w14:ligatures w14:val="none"/>
        </w:rPr>
        <w:t xml:space="preserve"> function as open systems influenced by external variables such as infrastructure deficits, policy frameworks, community engagement, and technological access (Fullan</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UNICEF</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sidR="00E9602B">
        <w:rPr>
          <w:rFonts w:ascii="Times New Roman" w:eastAsia="Times New Roman" w:hAnsi="Times New Roman" w:cs="Times New Roman"/>
          <w:kern w:val="0"/>
          <w:sz w:val="24"/>
          <w:szCs w:val="24"/>
          <w14:ligatures w14:val="none"/>
        </w:rPr>
        <w:t>;</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Recent scholarship emphasises that disruptions in one subsystem, such as unreliable electricity or internet connectivity, can cascade across teaching, administration, and learner outcomes (OECD</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sidR="00E9602B">
        <w:rPr>
          <w:rFonts w:ascii="Times New Roman" w:eastAsia="Times New Roman" w:hAnsi="Times New Roman" w:cs="Times New Roman"/>
          <w:kern w:val="0"/>
          <w:sz w:val="24"/>
          <w:szCs w:val="24"/>
          <w14:ligatures w14:val="none"/>
        </w:rPr>
        <w:t>;</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 In Zimbabwe’s rural settings, these interdependencies are particularly pronounced, with limited resources amplifying vulnerability to systemic shocks (Mavhunga &amp; Mpofu</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For example, inadequate ICT infrastructure not only constrains digital learning but also limits data-driven decision-making and communication with education authorities</w:t>
      </w:r>
      <w:r w:rsidR="00E9602B" w:rsidRPr="00E9602B">
        <w:rPr>
          <w:rFonts w:ascii="Times New Roman" w:eastAsia="Times New Roman" w:hAnsi="Times New Roman" w:cs="Times New Roman"/>
          <w:kern w:val="0"/>
          <w:sz w:val="24"/>
          <w:szCs w:val="24"/>
          <w14:ligatures w14:val="none"/>
        </w:rPr>
        <w:t xml:space="preserve"> </w:t>
      </w:r>
      <w:r w:rsidR="00E9602B">
        <w:rPr>
          <w:rFonts w:ascii="Times New Roman" w:eastAsia="Times New Roman" w:hAnsi="Times New Roman" w:cs="Times New Roman"/>
          <w:kern w:val="0"/>
          <w:sz w:val="24"/>
          <w:szCs w:val="24"/>
          <w14:ligatures w14:val="none"/>
        </w:rPr>
        <w:t>(Munyoro et al., 2026)</w:t>
      </w:r>
      <w:r w:rsidRPr="00DA2EE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Critically, systems theory underscores the need for adaptive capacity and feedback mechanisms within schools (Sterman</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2019). However, much of the existing literature remains descriptive, with limited application to micro-level institutional contexts such as individual rural schools. This study therefore contributes by contextualising systems thinking within Inyagui Primary School, illustrating how localised interactions between leadership, technology, and community shape educational resilience</w:t>
      </w:r>
    </w:p>
    <w:p w14:paraId="4EA5609A" w14:textId="77777777"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2.2 Strategic Foresight and Anticipatory Governance</w:t>
      </w:r>
    </w:p>
    <w:p w14:paraId="3977C89D" w14:textId="33CC0BD5"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Strategic foresight has emerged as a critical tool for navigating uncertainty in education systems (</w:t>
      </w:r>
      <w:r w:rsidR="002C7766" w:rsidRPr="00DA2EE4">
        <w:rPr>
          <w:rFonts w:ascii="Times New Roman" w:eastAsia="Times New Roman" w:hAnsi="Times New Roman" w:cs="Times New Roman"/>
          <w:kern w:val="0"/>
          <w:sz w:val="24"/>
          <w:szCs w:val="24"/>
          <w14:ligatures w14:val="none"/>
        </w:rPr>
        <w:t>OECD</w:t>
      </w:r>
      <w:r w:rsidR="002C7766">
        <w:rPr>
          <w:rFonts w:ascii="Times New Roman" w:eastAsia="Times New Roman" w:hAnsi="Times New Roman" w:cs="Times New Roman"/>
          <w:kern w:val="0"/>
          <w:sz w:val="24"/>
          <w:szCs w:val="24"/>
          <w14:ligatures w14:val="none"/>
        </w:rPr>
        <w:t>.</w:t>
      </w:r>
      <w:r w:rsidR="002C7766" w:rsidRPr="00DA2EE4">
        <w:rPr>
          <w:rFonts w:ascii="Times New Roman" w:eastAsia="Times New Roman" w:hAnsi="Times New Roman" w:cs="Times New Roman"/>
          <w:kern w:val="0"/>
          <w:sz w:val="24"/>
          <w:szCs w:val="24"/>
          <w14:ligatures w14:val="none"/>
        </w:rPr>
        <w:t>, 2024</w:t>
      </w:r>
      <w:r w:rsidR="002C7766">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Munyoro et al., 2026). It involves systematic exploration of plausible futures through methodologies such as scenario planning, trend analysis, and horizon scanning (Miller</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2018; OECD</w:t>
      </w:r>
      <w:r w:rsidR="002C776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2024</w:t>
      </w:r>
      <w:r w:rsidR="00E9602B">
        <w:rPr>
          <w:rFonts w:ascii="Times New Roman" w:eastAsia="Times New Roman" w:hAnsi="Times New Roman" w:cs="Times New Roman"/>
          <w:kern w:val="0"/>
          <w:sz w:val="24"/>
          <w:szCs w:val="24"/>
          <w14:ligatures w14:val="none"/>
        </w:rPr>
        <w:t>; Munyoro et al., 2026</w:t>
      </w:r>
      <w:r w:rsidRPr="00DA2EE4">
        <w:rPr>
          <w:rFonts w:ascii="Times New Roman" w:eastAsia="Times New Roman" w:hAnsi="Times New Roman" w:cs="Times New Roman"/>
          <w:kern w:val="0"/>
          <w:sz w:val="24"/>
          <w:szCs w:val="24"/>
          <w14:ligatures w14:val="none"/>
        </w:rPr>
        <w:t xml:space="preserve">). Anticipatory governance extends this </w:t>
      </w:r>
      <w:r w:rsidRPr="00DA2EE4">
        <w:rPr>
          <w:rFonts w:ascii="Times New Roman" w:eastAsia="Times New Roman" w:hAnsi="Times New Roman" w:cs="Times New Roman"/>
          <w:kern w:val="0"/>
          <w:sz w:val="24"/>
          <w:szCs w:val="24"/>
          <w14:ligatures w14:val="none"/>
        </w:rPr>
        <w:lastRenderedPageBreak/>
        <w:t>approach by embedding foresight into institutional decision-making processes, enabling proactive rather than reactive responses to emerging challenges (</w:t>
      </w:r>
      <w:r w:rsidR="002C7766" w:rsidRPr="00DA2EE4">
        <w:rPr>
          <w:rFonts w:ascii="Times New Roman" w:eastAsia="Times New Roman" w:hAnsi="Times New Roman" w:cs="Times New Roman"/>
          <w:kern w:val="0"/>
          <w:sz w:val="24"/>
          <w:szCs w:val="24"/>
          <w14:ligatures w14:val="none"/>
        </w:rPr>
        <w:t>Fuerth &amp; Faber</w:t>
      </w:r>
      <w:r w:rsidR="002C7766">
        <w:rPr>
          <w:rFonts w:ascii="Times New Roman" w:eastAsia="Times New Roman" w:hAnsi="Times New Roman" w:cs="Times New Roman"/>
          <w:kern w:val="0"/>
          <w:sz w:val="24"/>
          <w:szCs w:val="24"/>
          <w14:ligatures w14:val="none"/>
        </w:rPr>
        <w:t>.</w:t>
      </w:r>
      <w:r w:rsidR="002C7766" w:rsidRPr="00DA2EE4">
        <w:rPr>
          <w:rFonts w:ascii="Times New Roman" w:eastAsia="Times New Roman" w:hAnsi="Times New Roman" w:cs="Times New Roman"/>
          <w:kern w:val="0"/>
          <w:sz w:val="24"/>
          <w:szCs w:val="24"/>
          <w14:ligatures w14:val="none"/>
        </w:rPr>
        <w:t>, 2012</w:t>
      </w:r>
      <w:r w:rsidR="002C7766">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UNESCO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In primary education, foresight-driven leadership is increasingly recognised as essential for aligning curricula, pedagogical approaches, and infrastructure with future societal and labour market demands (UNESCO, 2021;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For rural schools in Zimbabwe, this includes anticipating technological shifts, climate-related disruptions, and demographic changes (FAO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Leaders who employ foresight are better positioned to allocate scarce resources strategically and to build partnerships that enhance institutional capacity (Miller</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2018).</w:t>
      </w:r>
    </w:p>
    <w:p w14:paraId="4358129D" w14:textId="054D2E84" w:rsidR="004D0092"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Nevertheless, critiques of foresight literature highlight its limited operationalisation in low-resource settings (Miller</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2018; UNESCO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Many frameworks assume the availability of data, expertise, and institutional support that may not exist in rural African contexts. This creates a gap between theory and practice.</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Evidence suggests that leadership plays a central role in successful digital transformation. Studies in Zimbabwe highlight challenges such as resistance to change, lack of training, and limited funding, which impede innovation (Chigona &amp; Chigona</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2021; Mavhunga &amp; Mpofu</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Thus, effective leaders address these barriers by fostering collaboration, investing in teacher development, and aligning school practices with future-oriented goals (Fullan</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Harris &amp; Jones</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Moreover, foresight-driven leadership aligns with global educational shifts towards Education 5.0, which emphasises innovation, industrial relevance, and problem-solving skills (Government of Zimbabwe</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2019).</w:t>
      </w:r>
    </w:p>
    <w:p w14:paraId="24CEFA3D" w14:textId="77777777"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2.3 Organisational Resilience in Primary Schools</w:t>
      </w:r>
    </w:p>
    <w:p w14:paraId="3362AA89" w14:textId="0AC56347"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Organisational resilience refers to an institution’s capacity to anticipate, absorb, adapt to, and transform in response to disruptions (</w:t>
      </w:r>
      <w:r w:rsidR="00BE3F86" w:rsidRPr="00DA2EE4">
        <w:rPr>
          <w:rFonts w:ascii="Times New Roman" w:eastAsia="Times New Roman" w:hAnsi="Times New Roman" w:cs="Times New Roman"/>
          <w:kern w:val="0"/>
          <w:sz w:val="24"/>
          <w:szCs w:val="24"/>
          <w14:ligatures w14:val="none"/>
        </w:rPr>
        <w:t>Barasa et al., 2018</w:t>
      </w:r>
      <w:r w:rsidR="00BE3F86" w:rsidRPr="00BE3F86">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Duchek</w:t>
      </w:r>
      <w:r w:rsidR="00BE3F86" w:rsidRP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In primary schools, resilience manifests through the continuity of teaching and learning, flexibility in instructional methods, and the ability to innovate under constraints (Harris &amp; Jones</w:t>
      </w:r>
      <w:r w:rsidR="00BE3F86" w:rsidRP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Duchek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(2020) conceptualises resilience as comprising three core capacities: absorptive, adaptive, and transformative. In rural Zimbabwean schools, absorptive capacity may involve coping with teacher shortages or infrastructure breakdowns, while adaptive capacity includes modifying teaching strategies to suit available resources (Mavhunga &amp; Mpofu</w:t>
      </w:r>
      <w:r w:rsidR="00BE3F86" w:rsidRP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Transformative capacity, however, remains underdeveloped due to systemic limitations and policy constraints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 xml:space="preserve">Empirical studies indicate that leadership plays a pivotal role in fostering </w:t>
      </w:r>
      <w:r w:rsidRPr="00DA2EE4">
        <w:rPr>
          <w:rFonts w:ascii="Times New Roman" w:eastAsia="Times New Roman" w:hAnsi="Times New Roman" w:cs="Times New Roman"/>
          <w:kern w:val="0"/>
          <w:sz w:val="24"/>
          <w:szCs w:val="24"/>
          <w14:ligatures w14:val="none"/>
        </w:rPr>
        <w:lastRenderedPageBreak/>
        <w:t>organisational resilience (Harris &amp; Jones</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2020). However, existing research often focuses on urban or well-resourced schools, leaving a significant gap in understanding resilience in rural primary contexts (Barasa et al., 2018).</w:t>
      </w:r>
    </w:p>
    <w:p w14:paraId="6B352255"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2.4 The Rural–Urban Digital Divide</w:t>
      </w:r>
    </w:p>
    <w:p w14:paraId="70730B8A" w14:textId="56252A26"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The digital divide remains one of the most significant barriers to equitable education in Zimbabwe (World Bank</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UNICEF</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Rural learners often lack access to reliable internet and digital tools, resulting in unequal learning outcomes compared to urban counterparts (ITU</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Recent initiatives aim to bridge this gap through digital literacy programmes and infrastructure development, including national ICT policies and global partnerships (UNESCO</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UNICEF</w:t>
      </w:r>
      <w:r w:rsidR="00BE3F86">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However, these efforts must be complemented by institutional resilience and leadership capacity to ensure sustainability.</w:t>
      </w:r>
    </w:p>
    <w:p w14:paraId="088EA64C"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2.5 Digital Resilience in Rural Education</w:t>
      </w:r>
    </w:p>
    <w:p w14:paraId="638E5A25" w14:textId="7CCA565E"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Digital resilience refers to the ability of educational institutions to effectively integrate, sustain, and adapt digital technologies in the face of disruptions (UNESCO, 2023; World Bank, 2023). In Zimbabwe, rural schools face acute challenges including lack of electricity, high data costs, and insufficient digital devices (</w:t>
      </w:r>
      <w:r w:rsidR="002045B3" w:rsidRPr="00DA2EE4">
        <w:rPr>
          <w:rFonts w:ascii="Times New Roman" w:eastAsia="Times New Roman" w:hAnsi="Times New Roman" w:cs="Times New Roman"/>
          <w:kern w:val="0"/>
          <w:sz w:val="24"/>
          <w:szCs w:val="24"/>
          <w14:ligatures w14:val="none"/>
        </w:rPr>
        <w:t>ITU</w:t>
      </w:r>
      <w:r w:rsidR="002045B3">
        <w:rPr>
          <w:rFonts w:ascii="Times New Roman" w:eastAsia="Times New Roman" w:hAnsi="Times New Roman" w:cs="Times New Roman"/>
          <w:kern w:val="0"/>
          <w:sz w:val="24"/>
          <w:szCs w:val="24"/>
          <w14:ligatures w14:val="none"/>
        </w:rPr>
        <w:t>.</w:t>
      </w:r>
      <w:r w:rsidR="002045B3" w:rsidRPr="00DA2EE4">
        <w:rPr>
          <w:rFonts w:ascii="Times New Roman" w:eastAsia="Times New Roman" w:hAnsi="Times New Roman" w:cs="Times New Roman"/>
          <w:kern w:val="0"/>
          <w:sz w:val="24"/>
          <w:szCs w:val="24"/>
          <w14:ligatures w14:val="none"/>
        </w:rPr>
        <w:t>, 2022</w:t>
      </w:r>
      <w:r w:rsidR="002045B3" w:rsidRPr="002045B3">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In rural education, digital resilience is contingent upon three interrelated factors: infrastructure availability, teacher capacity, and governance support (UNESCO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OECD</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Despite these challenges, digital technologies hold transformative potential for enhancing access to quality education, particularly through e-learning platforms and blended learning approaches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Teacher professional development is therefore critical, as educators must possess both technical and pedagogical competencies to integrate digital tools effectively (</w:t>
      </w:r>
      <w:r w:rsidR="002045B3" w:rsidRPr="00DA2EE4">
        <w:rPr>
          <w:rFonts w:ascii="Times New Roman" w:eastAsia="Times New Roman" w:hAnsi="Times New Roman" w:cs="Times New Roman"/>
          <w:kern w:val="0"/>
          <w:sz w:val="24"/>
          <w:szCs w:val="24"/>
          <w14:ligatures w14:val="none"/>
        </w:rPr>
        <w:t>Fullan</w:t>
      </w:r>
      <w:r w:rsidR="002045B3">
        <w:rPr>
          <w:rFonts w:ascii="Times New Roman" w:eastAsia="Times New Roman" w:hAnsi="Times New Roman" w:cs="Times New Roman"/>
          <w:kern w:val="0"/>
          <w:sz w:val="24"/>
          <w:szCs w:val="24"/>
          <w14:ligatures w14:val="none"/>
        </w:rPr>
        <w:t>.</w:t>
      </w:r>
      <w:r w:rsidR="002045B3" w:rsidRPr="00DA2EE4">
        <w:rPr>
          <w:rFonts w:ascii="Times New Roman" w:eastAsia="Times New Roman" w:hAnsi="Times New Roman" w:cs="Times New Roman"/>
          <w:kern w:val="0"/>
          <w:sz w:val="24"/>
          <w:szCs w:val="24"/>
          <w14:ligatures w14:val="none"/>
        </w:rPr>
        <w:t>, 2020</w:t>
      </w:r>
      <w:r w:rsidR="002045B3">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p>
    <w:p w14:paraId="6725218B" w14:textId="31A83B9A"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Critically, much of the literature on digital resilience focuses on secondary or tertiary education, with limited attention to primary schools in rural contexts (OECD</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Furthermore, there is a tendency to adopt a techno-centric perspective, overlooking socio-cultural and institutional dimensions (Selwyn</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2021).</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Recent research emphasises that resilience is not merely technological but also pedagogical and social (Selwyn</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2021; 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xml:space="preserve">, 2023). For example, adaptive practices such as offline digital platforms and station-rotation teaching methods enable learning continuity even in low-resource environments </w:t>
      </w:r>
      <w:r w:rsidRPr="00DA2EE4">
        <w:rPr>
          <w:rFonts w:ascii="Times New Roman" w:eastAsia="Times New Roman" w:hAnsi="Times New Roman" w:cs="Times New Roman"/>
          <w:kern w:val="0"/>
          <w:sz w:val="24"/>
          <w:szCs w:val="24"/>
          <w14:ligatures w14:val="none"/>
        </w:rPr>
        <w:lastRenderedPageBreak/>
        <w:t>(World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Innovations such as solar-powered computer labs further demonstrate context-sensitive resilience strategies (UNICEF</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p>
    <w:p w14:paraId="1684C51D" w14:textId="77777777" w:rsidR="004D0092" w:rsidRPr="00DA2EE4" w:rsidRDefault="004D0092" w:rsidP="004D009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A2EE4">
        <w:rPr>
          <w:rFonts w:ascii="Times New Roman" w:eastAsia="Times New Roman" w:hAnsi="Times New Roman" w:cs="Times New Roman"/>
          <w:b/>
          <w:bCs/>
          <w:kern w:val="0"/>
          <w:sz w:val="24"/>
          <w:szCs w:val="24"/>
          <w14:ligatures w14:val="none"/>
        </w:rPr>
        <w:t>3.0 Conceptual Framework: Digital Resilience and Foresight-Driven Leadership</w:t>
      </w:r>
    </w:p>
    <w:p w14:paraId="7E8AA76C" w14:textId="05F3EDEE" w:rsidR="004D0092" w:rsidRPr="00DA2EE4" w:rsidRDefault="004D0092" w:rsidP="004D009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A2EE4">
        <w:rPr>
          <w:rFonts w:ascii="Times New Roman" w:eastAsia="Times New Roman" w:hAnsi="Times New Roman" w:cs="Times New Roman"/>
          <w:kern w:val="0"/>
          <w:sz w:val="24"/>
          <w:szCs w:val="24"/>
          <w14:ligatures w14:val="none"/>
        </w:rPr>
        <w:t>The transformation of education systems in Sub-Saharan Africa increasingly depends on the integration of digital technologies and innovative leadership approaches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In Zimbabwe, rural schools remain disproportionately affected by the digital divide, limited infrastructure, and inadequate professional development opportunities (UNICEF</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Recent studies show that only a small proportion of schools have reliable internet connectivity and access to digital tools, significantly constraining learning opportunities (ITU</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2022; World Bank</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 Despite these challenges, initiatives such as digital literacy programmes and the Learning Passport highlight the growing recognition of technology as a catalyst for equitable education (UNICEF</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r>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However, technological provision alone is insufficient. There is a need for digital resilience and foresight-driven leadership to enable schools to anticipate future challenges and adapt effectively (</w:t>
      </w:r>
      <w:r w:rsidR="002045B3" w:rsidRPr="00DA2EE4">
        <w:rPr>
          <w:rFonts w:ascii="Times New Roman" w:eastAsia="Times New Roman" w:hAnsi="Times New Roman" w:cs="Times New Roman"/>
          <w:kern w:val="0"/>
          <w:sz w:val="24"/>
          <w:szCs w:val="24"/>
          <w14:ligatures w14:val="none"/>
        </w:rPr>
        <w:t>Miller</w:t>
      </w:r>
      <w:r w:rsidR="002045B3">
        <w:rPr>
          <w:rFonts w:ascii="Times New Roman" w:eastAsia="Times New Roman" w:hAnsi="Times New Roman" w:cs="Times New Roman"/>
          <w:kern w:val="0"/>
          <w:sz w:val="24"/>
          <w:szCs w:val="24"/>
          <w14:ligatures w14:val="none"/>
        </w:rPr>
        <w:t>.</w:t>
      </w:r>
      <w:r w:rsidR="002045B3" w:rsidRPr="00DA2EE4">
        <w:rPr>
          <w:rFonts w:ascii="Times New Roman" w:eastAsia="Times New Roman" w:hAnsi="Times New Roman" w:cs="Times New Roman"/>
          <w:kern w:val="0"/>
          <w:sz w:val="24"/>
          <w:szCs w:val="24"/>
          <w14:ligatures w14:val="none"/>
        </w:rPr>
        <w:t>, 2018</w:t>
      </w:r>
      <w:r w:rsidR="002045B3">
        <w:rPr>
          <w:rFonts w:ascii="Times New Roman" w:eastAsia="Times New Roman" w:hAnsi="Times New Roman" w:cs="Times New Roman"/>
          <w:kern w:val="0"/>
          <w:sz w:val="24"/>
          <w:szCs w:val="24"/>
          <w14:ligatures w14:val="none"/>
        </w:rPr>
        <w:t xml:space="preserve">; </w:t>
      </w:r>
      <w:r w:rsidRPr="00DA2EE4">
        <w:rPr>
          <w:rFonts w:ascii="Times New Roman" w:eastAsia="Times New Roman" w:hAnsi="Times New Roman" w:cs="Times New Roman"/>
          <w:kern w:val="0"/>
          <w:sz w:val="24"/>
          <w:szCs w:val="24"/>
          <w14:ligatures w14:val="none"/>
        </w:rPr>
        <w:t>UNESCO</w:t>
      </w:r>
      <w:r w:rsidR="002045B3">
        <w:rPr>
          <w:rFonts w:ascii="Times New Roman" w:eastAsia="Times New Roman" w:hAnsi="Times New Roman" w:cs="Times New Roman"/>
          <w:kern w:val="0"/>
          <w:sz w:val="24"/>
          <w:szCs w:val="24"/>
          <w14:ligatures w14:val="none"/>
        </w:rPr>
        <w:t>.</w:t>
      </w:r>
      <w:r w:rsidRPr="00DA2EE4">
        <w:rPr>
          <w:rFonts w:ascii="Times New Roman" w:eastAsia="Times New Roman" w:hAnsi="Times New Roman" w:cs="Times New Roman"/>
          <w:kern w:val="0"/>
          <w:sz w:val="24"/>
          <w:szCs w:val="24"/>
          <w14:ligatures w14:val="none"/>
        </w:rPr>
        <w:t>, 2023).</w:t>
      </w:r>
    </w:p>
    <w:p w14:paraId="7F5DE0EB" w14:textId="77777777" w:rsidR="004D0092" w:rsidRDefault="004D0092" w:rsidP="004B52E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6546C9C" w14:textId="77777777" w:rsidR="00671109" w:rsidRPr="00671109" w:rsidRDefault="00671109" w:rsidP="0067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71109">
        <w:rPr>
          <w:rFonts w:ascii="Courier New" w:eastAsia="Times New Roman" w:hAnsi="Courier New" w:cs="Courier New"/>
          <w:kern w:val="0"/>
          <w:sz w:val="20"/>
          <w:szCs w:val="20"/>
          <w14:ligatures w14:val="none"/>
        </w:rPr>
        <w:t xml:space="preserve">                  +--------------------------------------+</w:t>
      </w:r>
      <w:r w:rsidRPr="00671109">
        <w:rPr>
          <w:rFonts w:ascii="Courier New" w:eastAsia="Times New Roman" w:hAnsi="Courier New" w:cs="Courier New"/>
          <w:kern w:val="0"/>
          <w:sz w:val="20"/>
          <w:szCs w:val="20"/>
          <w14:ligatures w14:val="none"/>
        </w:rPr>
        <w:br/>
        <w:t xml:space="preserve">                  |   External Environment               |</w:t>
      </w:r>
      <w:r w:rsidRPr="00671109">
        <w:rPr>
          <w:rFonts w:ascii="Courier New" w:eastAsia="Times New Roman" w:hAnsi="Courier New" w:cs="Courier New"/>
          <w:kern w:val="0"/>
          <w:sz w:val="20"/>
          <w:szCs w:val="20"/>
          <w14:ligatures w14:val="none"/>
        </w:rPr>
        <w:br/>
        <w:t xml:space="preserve">                  | (Policy, Infrastructure, Economy)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v</w:t>
      </w:r>
      <w:r w:rsidRPr="00671109">
        <w:rPr>
          <w:rFonts w:ascii="Courier New" w:eastAsia="Times New Roman" w:hAnsi="Courier New" w:cs="Courier New"/>
          <w:kern w:val="0"/>
          <w:sz w:val="20"/>
          <w:szCs w:val="20"/>
          <w14:ligatures w14:val="none"/>
        </w:rPr>
        <w:br/>
        <w:t xml:space="preserve">        +-------------------+   Interaction   +------------------------+</w:t>
      </w:r>
      <w:r w:rsidRPr="00671109">
        <w:rPr>
          <w:rFonts w:ascii="Courier New" w:eastAsia="Times New Roman" w:hAnsi="Courier New" w:cs="Courier New"/>
          <w:kern w:val="0"/>
          <w:sz w:val="20"/>
          <w:szCs w:val="20"/>
          <w14:ligatures w14:val="none"/>
        </w:rPr>
        <w:br/>
        <w:t xml:space="preserve">        | Digital Resilience|&lt;---------------&gt;| Foresight-Driven       |</w:t>
      </w:r>
      <w:r w:rsidRPr="00671109">
        <w:rPr>
          <w:rFonts w:ascii="Courier New" w:eastAsia="Times New Roman" w:hAnsi="Courier New" w:cs="Courier New"/>
          <w:kern w:val="0"/>
          <w:sz w:val="20"/>
          <w:szCs w:val="20"/>
          <w14:ligatures w14:val="none"/>
        </w:rPr>
        <w:br/>
        <w:t xml:space="preserve">        |                   |                 | Leadership             |</w:t>
      </w:r>
      <w:r w:rsidRPr="00671109">
        <w:rPr>
          <w:rFonts w:ascii="Courier New" w:eastAsia="Times New Roman" w:hAnsi="Courier New" w:cs="Courier New"/>
          <w:kern w:val="0"/>
          <w:sz w:val="20"/>
          <w:szCs w:val="20"/>
          <w14:ligatures w14:val="none"/>
        </w:rPr>
        <w:br/>
        <w:t xml:space="preserve">        | - ICT access      |                 | - Strategic vision     |</w:t>
      </w:r>
      <w:r w:rsidRPr="00671109">
        <w:rPr>
          <w:rFonts w:ascii="Courier New" w:eastAsia="Times New Roman" w:hAnsi="Courier New" w:cs="Courier New"/>
          <w:kern w:val="0"/>
          <w:sz w:val="20"/>
          <w:szCs w:val="20"/>
          <w14:ligatures w14:val="none"/>
        </w:rPr>
        <w:br/>
        <w:t xml:space="preserve">        | - Adaptive pedagogy|                | - Anticipation         |</w:t>
      </w:r>
      <w:r w:rsidRPr="00671109">
        <w:rPr>
          <w:rFonts w:ascii="Courier New" w:eastAsia="Times New Roman" w:hAnsi="Courier New" w:cs="Courier New"/>
          <w:kern w:val="0"/>
          <w:sz w:val="20"/>
          <w:szCs w:val="20"/>
          <w14:ligatures w14:val="none"/>
        </w:rPr>
        <w:br/>
        <w:t xml:space="preserve">        | - Teacher skills  |                 | - Innovation culture   |</w:t>
      </w:r>
      <w:r w:rsidRPr="00671109">
        <w:rPr>
          <w:rFonts w:ascii="Courier New" w:eastAsia="Times New Roman" w:hAnsi="Courier New" w:cs="Courier New"/>
          <w:kern w:val="0"/>
          <w:sz w:val="20"/>
          <w:szCs w:val="20"/>
          <w14:ligatures w14:val="none"/>
        </w:rPr>
        <w:br/>
        <w:t xml:space="preserve">        | - Offline solutions|               | - Decision-making      |</w:t>
      </w:r>
      <w:r w:rsidRPr="00671109">
        <w:rPr>
          <w:rFonts w:ascii="Courier New" w:eastAsia="Times New Roman" w:hAnsi="Courier New" w:cs="Courier New"/>
          <w:kern w:val="0"/>
          <w:sz w:val="20"/>
          <w:szCs w:val="20"/>
          <w14:ligatures w14:val="none"/>
        </w:rPr>
        <w:br/>
        <w:t xml:space="preserve">        +---------+---------+                 +-----------+------------+</w:t>
      </w:r>
      <w:r w:rsidRPr="00671109">
        <w:rPr>
          <w:rFonts w:ascii="Courier New" w:eastAsia="Times New Roman" w:hAnsi="Courier New" w:cs="Courier New"/>
          <w:kern w:val="0"/>
          <w:sz w:val="20"/>
          <w:szCs w:val="20"/>
          <w14:ligatures w14:val="none"/>
        </w:rPr>
        <w:br/>
        <w:t xml:space="preserve">                  |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v</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 Improved Learning Outcomes  |</w:t>
      </w:r>
      <w:r w:rsidRPr="00671109">
        <w:rPr>
          <w:rFonts w:ascii="Courier New" w:eastAsia="Times New Roman" w:hAnsi="Courier New" w:cs="Courier New"/>
          <w:kern w:val="0"/>
          <w:sz w:val="20"/>
          <w:szCs w:val="20"/>
          <w14:ligatures w14:val="none"/>
        </w:rPr>
        <w:br/>
        <w:t xml:space="preserve">                        | - Equity                   |</w:t>
      </w:r>
      <w:r w:rsidRPr="00671109">
        <w:rPr>
          <w:rFonts w:ascii="Courier New" w:eastAsia="Times New Roman" w:hAnsi="Courier New" w:cs="Courier New"/>
          <w:kern w:val="0"/>
          <w:sz w:val="20"/>
          <w:szCs w:val="20"/>
          <w14:ligatures w14:val="none"/>
        </w:rPr>
        <w:br/>
        <w:t xml:space="preserve">                        | - Engagement               |</w:t>
      </w:r>
      <w:r w:rsidRPr="00671109">
        <w:rPr>
          <w:rFonts w:ascii="Courier New" w:eastAsia="Times New Roman" w:hAnsi="Courier New" w:cs="Courier New"/>
          <w:kern w:val="0"/>
          <w:sz w:val="20"/>
          <w:szCs w:val="20"/>
          <w14:ligatures w14:val="none"/>
        </w:rPr>
        <w:br/>
        <w:t xml:space="preserve">                        | - Academic performance     |</w:t>
      </w:r>
      <w:r w:rsidRPr="00671109">
        <w:rPr>
          <w:rFonts w:ascii="Courier New" w:eastAsia="Times New Roman" w:hAnsi="Courier New" w:cs="Courier New"/>
          <w:kern w:val="0"/>
          <w:sz w:val="20"/>
          <w:szCs w:val="20"/>
          <w14:ligatures w14:val="none"/>
        </w:rPr>
        <w:br/>
        <w:t xml:space="preserve">                        | - System sustainability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t xml:space="preserve">                                      v</w:t>
      </w:r>
      <w:r w:rsidRPr="00671109">
        <w:rPr>
          <w:rFonts w:ascii="Courier New" w:eastAsia="Times New Roman" w:hAnsi="Courier New" w:cs="Courier New"/>
          <w:kern w:val="0"/>
          <w:sz w:val="20"/>
          <w:szCs w:val="20"/>
          <w14:ligatures w14:val="none"/>
        </w:rPr>
        <w:br/>
        <w:t xml:space="preserve">                        +-----------------------------+</w:t>
      </w:r>
      <w:r w:rsidRPr="00671109">
        <w:rPr>
          <w:rFonts w:ascii="Courier New" w:eastAsia="Times New Roman" w:hAnsi="Courier New" w:cs="Courier New"/>
          <w:kern w:val="0"/>
          <w:sz w:val="20"/>
          <w:szCs w:val="20"/>
          <w14:ligatures w14:val="none"/>
        </w:rPr>
        <w:br/>
      </w:r>
      <w:r w:rsidRPr="00671109">
        <w:rPr>
          <w:rFonts w:ascii="Courier New" w:eastAsia="Times New Roman" w:hAnsi="Courier New" w:cs="Courier New"/>
          <w:kern w:val="0"/>
          <w:sz w:val="20"/>
          <w:szCs w:val="20"/>
          <w14:ligatures w14:val="none"/>
        </w:rPr>
        <w:lastRenderedPageBreak/>
        <w:t xml:space="preserve">                        | Community &amp; Rural Development|</w:t>
      </w:r>
      <w:r w:rsidRPr="00671109">
        <w:rPr>
          <w:rFonts w:ascii="Courier New" w:eastAsia="Times New Roman" w:hAnsi="Courier New" w:cs="Courier New"/>
          <w:kern w:val="0"/>
          <w:sz w:val="20"/>
          <w:szCs w:val="20"/>
          <w14:ligatures w14:val="none"/>
        </w:rPr>
        <w:br/>
        <w:t xml:space="preserve">                        +-----------------------------+</w:t>
      </w:r>
    </w:p>
    <w:p w14:paraId="7AC656FA" w14:textId="50C867D4" w:rsidR="000F3E37" w:rsidRDefault="000F3E37" w:rsidP="007944C9">
      <w:pPr>
        <w:spacing w:before="100" w:beforeAutospacing="1" w:after="100" w:afterAutospacing="1" w:line="240" w:lineRule="auto"/>
        <w:rPr>
          <w:rFonts w:ascii="Times New Roman" w:eastAsia="Times New Roman" w:hAnsi="Times New Roman" w:cs="Times New Roman"/>
          <w:b/>
          <w:bCs/>
          <w:kern w:val="0"/>
          <w:sz w:val="24"/>
          <w:szCs w:val="24"/>
          <w:lang w:val="en-GB"/>
          <w14:ligatures w14:val="none"/>
        </w:rPr>
      </w:pPr>
      <w:r>
        <w:rPr>
          <w:rFonts w:ascii="Times New Roman" w:eastAsia="Times New Roman" w:hAnsi="Times New Roman" w:cs="Times New Roman"/>
          <w:b/>
          <w:bCs/>
          <w:kern w:val="0"/>
          <w:sz w:val="24"/>
          <w:szCs w:val="24"/>
          <w:lang w:val="en-GB"/>
          <w14:ligatures w14:val="none"/>
        </w:rPr>
        <w:t xml:space="preserve">Fig 1: </w:t>
      </w:r>
      <w:r w:rsidR="00714B23" w:rsidRPr="00DA2EE4">
        <w:rPr>
          <w:rFonts w:ascii="Times New Roman" w:eastAsia="Times New Roman" w:hAnsi="Times New Roman" w:cs="Times New Roman"/>
          <w:b/>
          <w:bCs/>
          <w:kern w:val="0"/>
          <w:sz w:val="24"/>
          <w:szCs w:val="24"/>
          <w14:ligatures w14:val="none"/>
        </w:rPr>
        <w:t>Digital Resilience and Foresight-Driven Leadership</w:t>
      </w:r>
    </w:p>
    <w:p w14:paraId="28992420" w14:textId="648FC6B1" w:rsidR="00671109" w:rsidRDefault="00671109" w:rsidP="007944C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1109">
        <w:rPr>
          <w:rFonts w:ascii="Times New Roman" w:eastAsia="Times New Roman" w:hAnsi="Times New Roman" w:cs="Times New Roman"/>
          <w:b/>
          <w:bCs/>
          <w:kern w:val="0"/>
          <w:sz w:val="24"/>
          <w:szCs w:val="24"/>
          <w14:ligatures w14:val="none"/>
        </w:rPr>
        <w:t>Source:</w:t>
      </w:r>
      <w:r>
        <w:rPr>
          <w:rFonts w:ascii="Times New Roman" w:eastAsia="Times New Roman" w:hAnsi="Times New Roman" w:cs="Times New Roman"/>
          <w:kern w:val="0"/>
          <w:sz w:val="24"/>
          <w:szCs w:val="24"/>
          <w14:ligatures w14:val="none"/>
        </w:rPr>
        <w:t xml:space="preserve"> Authors</w:t>
      </w:r>
    </w:p>
    <w:p w14:paraId="0A3751FB" w14:textId="3F647060" w:rsidR="004D0092" w:rsidRDefault="004D0092" w:rsidP="004D0092">
      <w:pPr>
        <w:pStyle w:val="NormalWeb"/>
        <w:spacing w:line="360" w:lineRule="auto"/>
        <w:jc w:val="both"/>
      </w:pPr>
      <w:r>
        <w:t>The Policy Framework Model for strengthening rural primary education in Zimbabwe is grounded in the integration of strategic foresight capabilities, anticipatory governance mechanisms, digital resilience, and institutional resilience</w:t>
      </w:r>
      <w:r w:rsidR="00523C8F" w:rsidRPr="00523C8F">
        <w:t xml:space="preserve"> </w:t>
      </w:r>
      <w:r w:rsidR="00523C8F">
        <w:t>(Munyoro et al., 2026)</w:t>
      </w:r>
      <w:r>
        <w:t>. Within this framework, strategic foresight, encompassing tools such as scenario planning and futures literacy, enables school leaders to anticipate uncertainties and align educational planning with long-term developmental trajectories (</w:t>
      </w:r>
      <w:r>
        <w:rPr>
          <w:rStyle w:val="whitespace-normal"/>
          <w:rFonts w:eastAsiaTheme="majorEastAsia"/>
        </w:rPr>
        <w:t>UNESCO</w:t>
      </w:r>
      <w:r w:rsidR="00EE196E">
        <w:rPr>
          <w:rStyle w:val="whitespace-normal"/>
          <w:rFonts w:eastAsiaTheme="majorEastAsia"/>
        </w:rPr>
        <w:t>.</w:t>
      </w:r>
      <w:r>
        <w:t xml:space="preserve">, 2023; </w:t>
      </w:r>
      <w:r>
        <w:rPr>
          <w:rStyle w:val="whitespace-normal"/>
          <w:rFonts w:eastAsiaTheme="majorEastAsia"/>
        </w:rPr>
        <w:t>OECD</w:t>
      </w:r>
      <w:r w:rsidR="00EE196E">
        <w:rPr>
          <w:rStyle w:val="whitespace-normal"/>
          <w:rFonts w:eastAsiaTheme="majorEastAsia"/>
        </w:rPr>
        <w:t>.</w:t>
      </w:r>
      <w:r>
        <w:t>, 2022). This forward-looking orientation is complemented by anticipatory governance, which embeds foresight into decision-making through data-informed planning and participatory community engagement (</w:t>
      </w:r>
      <w:r>
        <w:rPr>
          <w:rStyle w:val="whitespace-normal"/>
          <w:rFonts w:eastAsiaTheme="majorEastAsia"/>
        </w:rPr>
        <w:t>UNDP</w:t>
      </w:r>
      <w:r w:rsidR="00523C8F">
        <w:rPr>
          <w:rStyle w:val="whitespace-normal"/>
          <w:rFonts w:eastAsiaTheme="majorEastAsia"/>
        </w:rPr>
        <w:t>.</w:t>
      </w:r>
      <w:r>
        <w:t>, 2022</w:t>
      </w:r>
      <w:r w:rsidR="00523C8F">
        <w:t>;</w:t>
      </w:r>
      <w:r w:rsidR="00523C8F" w:rsidRPr="00523C8F">
        <w:t xml:space="preserve"> </w:t>
      </w:r>
      <w:r w:rsidR="00523C8F">
        <w:t>Munyoro et al., 2026</w:t>
      </w:r>
      <w:r>
        <w:t>). Together, these components form a proactive governance architecture that shifts rural education systems from reactive to adaptive modes of operation (OECD</w:t>
      </w:r>
      <w:r w:rsidR="00523C8F">
        <w:t>.</w:t>
      </w:r>
      <w:r>
        <w:t>, 2022). Recent scholarship underscores the importance of such approaches in education systems facing volatility, particularly in Sub-Saharan Africa, where systemic shocks such as pandemics and climate disruptions disproportionately affect rural schools (OECD</w:t>
      </w:r>
      <w:r w:rsidR="00523C8F">
        <w:t>.</w:t>
      </w:r>
      <w:r>
        <w:t>, 2021; UNESCO</w:t>
      </w:r>
      <w:r w:rsidR="00523C8F">
        <w:t>.</w:t>
      </w:r>
      <w:r>
        <w:t>, 2022).</w:t>
      </w:r>
    </w:p>
    <w:p w14:paraId="0750D052" w14:textId="50905CD3" w:rsidR="004D0092" w:rsidRDefault="004D0092" w:rsidP="004D0092">
      <w:pPr>
        <w:pStyle w:val="NormalWeb"/>
        <w:spacing w:line="360" w:lineRule="auto"/>
        <w:jc w:val="both"/>
      </w:pPr>
      <w:r>
        <w:t>Digital resilience within the model is conceptualised as both a technological and pedagogical construct, encompassing infrastructure availability, teacher digital competencies, and sustainable integration of information and communication technologies (ICTs) (</w:t>
      </w:r>
      <w:r>
        <w:rPr>
          <w:rStyle w:val="whitespace-normal"/>
          <w:rFonts w:eastAsiaTheme="majorEastAsia"/>
        </w:rPr>
        <w:t>World Bank</w:t>
      </w:r>
      <w:r w:rsidR="00523C8F">
        <w:rPr>
          <w:rStyle w:val="whitespace-normal"/>
          <w:rFonts w:eastAsiaTheme="majorEastAsia"/>
        </w:rPr>
        <w:t>.</w:t>
      </w:r>
      <w:r>
        <w:t>, 2023; UNESCO</w:t>
      </w:r>
      <w:r w:rsidR="00523C8F">
        <w:t>.</w:t>
      </w:r>
      <w:r>
        <w:t>, 2023). In resource-constrained contexts such as Inyagui Primary School in Murewa Rural District, digital resilience is operationalised through contextually appropriate innovations, including offline digital content, shared device usage, and mobile-based learning platforms (World Bank</w:t>
      </w:r>
      <w:r w:rsidR="00523C8F">
        <w:t>.</w:t>
      </w:r>
      <w:r>
        <w:t xml:space="preserve">, 2023; </w:t>
      </w:r>
      <w:r>
        <w:rPr>
          <w:rStyle w:val="whitespace-normal"/>
          <w:rFonts w:eastAsiaTheme="majorEastAsia"/>
        </w:rPr>
        <w:t>UNICEF</w:t>
      </w:r>
      <w:r w:rsidR="00523C8F">
        <w:rPr>
          <w:rStyle w:val="whitespace-normal"/>
          <w:rFonts w:eastAsiaTheme="majorEastAsia"/>
        </w:rPr>
        <w:t>.</w:t>
      </w:r>
      <w:r>
        <w:t>, 2022). These practices reflect what has been described as “frugal digital innovation,” where limited resources necessitate adaptive and cost-effective solutions (</w:t>
      </w:r>
      <w:r>
        <w:rPr>
          <w:rStyle w:val="whitespace-normal"/>
          <w:rFonts w:eastAsiaTheme="majorEastAsia"/>
        </w:rPr>
        <w:t>Michael Trucano</w:t>
      </w:r>
      <w:r w:rsidR="00523C8F">
        <w:rPr>
          <w:rStyle w:val="whitespace-normal"/>
          <w:rFonts w:eastAsiaTheme="majorEastAsia"/>
        </w:rPr>
        <w:t>.</w:t>
      </w:r>
      <w:r>
        <w:t>, 2023). However, while these strategies enhance access and continuity of learning, they also expose persistent inequities in infrastructure and connectivity (World Bank</w:t>
      </w:r>
      <w:r w:rsidR="00523C8F">
        <w:t>.</w:t>
      </w:r>
      <w:r>
        <w:t>, 2023; UNESCO</w:t>
      </w:r>
      <w:r w:rsidR="00523C8F">
        <w:t>.</w:t>
      </w:r>
      <w:r>
        <w:t>, 2023). Empirical studies highlight that without sustained investment and policy support, such stopgap measures risk entrenching a two-tier education system that perpetuates rural–urban disparities (World Bank</w:t>
      </w:r>
      <w:r w:rsidR="00523C8F">
        <w:t>.</w:t>
      </w:r>
      <w:r>
        <w:t>, 2023).</w:t>
      </w:r>
    </w:p>
    <w:p w14:paraId="42548DDD" w14:textId="0B33D0FC" w:rsidR="004D0092" w:rsidRDefault="004D0092" w:rsidP="004D0092">
      <w:pPr>
        <w:pStyle w:val="NormalWeb"/>
        <w:spacing w:line="360" w:lineRule="auto"/>
        <w:jc w:val="both"/>
      </w:pPr>
      <w:r>
        <w:lastRenderedPageBreak/>
        <w:t>Institutional resilience, defined through absorptive, adaptive, and transformative capacities, is another critical pillar of the framework (</w:t>
      </w:r>
      <w:r>
        <w:rPr>
          <w:rStyle w:val="whitespace-normal"/>
          <w:rFonts w:eastAsiaTheme="majorEastAsia"/>
        </w:rPr>
        <w:t>UNESCO</w:t>
      </w:r>
      <w:r w:rsidR="00523C8F">
        <w:rPr>
          <w:rStyle w:val="whitespace-normal"/>
          <w:rFonts w:eastAsiaTheme="majorEastAsia"/>
        </w:rPr>
        <w:t>.</w:t>
      </w:r>
      <w:r>
        <w:t xml:space="preserve">, 2022; </w:t>
      </w:r>
      <w:r>
        <w:rPr>
          <w:rStyle w:val="whitespace-normal"/>
          <w:rFonts w:eastAsiaTheme="majorEastAsia"/>
        </w:rPr>
        <w:t>World Bank</w:t>
      </w:r>
      <w:r w:rsidR="00523C8F">
        <w:rPr>
          <w:rStyle w:val="whitespace-normal"/>
          <w:rFonts w:eastAsiaTheme="majorEastAsia"/>
        </w:rPr>
        <w:t>.</w:t>
      </w:r>
      <w:r>
        <w:t>, 2023). In the case of Inyagui Primary School, absorptive capacity is evident in the school’s ability to maintain instructional continuity despite resource limitations, while adaptive capacity is demonstrated through the adoption of innovative teaching methods and flexible learning arrangements (UNESCO</w:t>
      </w:r>
      <w:r w:rsidR="00523C8F">
        <w:t>.</w:t>
      </w:r>
      <w:r>
        <w:t>, 2022). Transformative capacity, however, remains contingent on broader systemic support, including policy alignment, funding mechanisms, and leadership development (World Bank</w:t>
      </w:r>
      <w:r w:rsidR="00523C8F">
        <w:t>.</w:t>
      </w:r>
      <w:r>
        <w:t>, 2023). Foresight-driven leadership plays a mediating role by fostering a culture of innovation, collaboration, and long-term planning (OECD</w:t>
      </w:r>
      <w:r w:rsidR="00523C8F">
        <w:t>.</w:t>
      </w:r>
      <w:r>
        <w:t>, 2022). School leaders who engage in strategic partnerships with non-governmental organisations and government programmes, invest in continuous professional development, and prioritise infrastructure planning (e.g., solar energy solutions) are better positioned to leverage both digital and institutional resilience (UNICEF</w:t>
      </w:r>
      <w:r w:rsidR="00523C8F">
        <w:t>.</w:t>
      </w:r>
      <w:r>
        <w:t>, 2022</w:t>
      </w:r>
      <w:r w:rsidR="00523C8F">
        <w:t>;</w:t>
      </w:r>
      <w:r w:rsidR="00523C8F" w:rsidRPr="00523C8F">
        <w:t xml:space="preserve"> </w:t>
      </w:r>
      <w:r w:rsidR="00523C8F">
        <w:t>Munyoro et al., 2026</w:t>
      </w:r>
      <w:r>
        <w:t>). Nonetheless, critical analysis suggests that leadership effectiveness is often constrained by structural limitations, including centralised policy frameworks and limited fiscal autonomy at the school level (Mhlanga &amp; Moloi</w:t>
      </w:r>
      <w:r w:rsidR="00523C8F">
        <w:t>.</w:t>
      </w:r>
      <w:r>
        <w:t>, 2020).</w:t>
      </w:r>
    </w:p>
    <w:p w14:paraId="40D33A57" w14:textId="3682E06F" w:rsidR="004D0092" w:rsidRDefault="004D0092" w:rsidP="004D0092">
      <w:pPr>
        <w:pStyle w:val="NormalWeb"/>
        <w:spacing w:line="360" w:lineRule="auto"/>
        <w:jc w:val="both"/>
      </w:pPr>
      <w:r>
        <w:t>Ultimately, the framework aligns with Sustainable Development Goal 4 (SDG 4), which advocates for inclusive and equitable quality education, by providing a context-sensitive model for rural education transformation (</w:t>
      </w:r>
      <w:r>
        <w:rPr>
          <w:rStyle w:val="whitespace-normal"/>
          <w:rFonts w:eastAsiaTheme="majorEastAsia"/>
        </w:rPr>
        <w:t>United Nations</w:t>
      </w:r>
      <w:r w:rsidR="00523C8F">
        <w:rPr>
          <w:rStyle w:val="whitespace-normal"/>
          <w:rFonts w:eastAsiaTheme="majorEastAsia"/>
        </w:rPr>
        <w:t>.</w:t>
      </w:r>
      <w:r>
        <w:t>, 2023). The observed outcomes at Inyagui Primary School</w:t>
      </w:r>
      <w:r w:rsidR="00523C8F">
        <w:t>, consists of i</w:t>
      </w:r>
      <w:r>
        <w:t>mproved learner engagement, enhanced teacher confidence, and gradual narrowing of the rural–urban education gap</w:t>
      </w:r>
      <w:r w:rsidR="00523C8F">
        <w:t xml:space="preserve"> and this </w:t>
      </w:r>
      <w:r>
        <w:t>demonstrate the potential of the model when its components function synergistically (UNESCO</w:t>
      </w:r>
      <w:r w:rsidR="00523C8F">
        <w:t>.</w:t>
      </w:r>
      <w:r>
        <w:t>, 2023; World Bank</w:t>
      </w:r>
      <w:r w:rsidR="00523C8F">
        <w:t>.</w:t>
      </w:r>
      <w:r>
        <w:t>, 2023). However, the scalability and sustainability of this framework require critical attention to systemic enablers, including national ICT policies, equitable resource distribution, and institutional capacity building (OECD, 2022; World Bank, 2023). Without addressing these macro-level constraints, the model risks remaining a localized success rather than a replicable national strategy (UNESCO</w:t>
      </w:r>
      <w:r w:rsidR="00523C8F">
        <w:t>.</w:t>
      </w:r>
      <w:r>
        <w:t>, 2022). Therefore, while the Policy Framework Model offers a robust conceptual foundation, its effectiveness ultimately depends on the alignment between school-level innovation and broader policy and investment ecosystems.</w:t>
      </w:r>
    </w:p>
    <w:p w14:paraId="51917317" w14:textId="71563E2D" w:rsidR="00726BC3" w:rsidRPr="009F6A69" w:rsidRDefault="009E4FA7" w:rsidP="009F6A69">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w:t>
      </w:r>
      <w:r w:rsidR="00726BC3" w:rsidRPr="009F6A69">
        <w:rPr>
          <w:rFonts w:ascii="Times New Roman" w:eastAsia="Times New Roman" w:hAnsi="Times New Roman" w:cs="Times New Roman"/>
          <w:b/>
          <w:bCs/>
          <w:kern w:val="0"/>
          <w:sz w:val="24"/>
          <w:szCs w:val="24"/>
          <w14:ligatures w14:val="none"/>
        </w:rPr>
        <w:t>.0 Methodology</w:t>
      </w:r>
    </w:p>
    <w:p w14:paraId="44AF8233" w14:textId="2F01A695"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This study adopted a qualitative-dominant mixed-methods case study design to investigate how adaptive digital resilience and foresight-driven leadership can strengthen rural primary education in Zimbabwe (Chigona et al., 2022;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w:t>
      </w:r>
      <w:r w:rsidR="00EE196E">
        <w:rPr>
          <w:rFonts w:ascii="Times New Roman" w:eastAsia="Times New Roman" w:hAnsi="Times New Roman" w:cs="Times New Roman"/>
          <w:kern w:val="0"/>
          <w:sz w:val="24"/>
          <w:szCs w:val="24"/>
          <w14:ligatures w14:val="none"/>
        </w:rPr>
        <w:t>;</w:t>
      </w:r>
      <w:r w:rsidR="00EE196E" w:rsidRPr="00EE196E">
        <w:rPr>
          <w:rFonts w:ascii="Times New Roman" w:eastAsia="Times New Roman" w:hAnsi="Times New Roman" w:cs="Times New Roman"/>
          <w:kern w:val="0"/>
          <w:sz w:val="24"/>
          <w:szCs w:val="24"/>
          <w14:ligatures w14:val="none"/>
        </w:rPr>
        <w:t xml:space="preserve"> </w:t>
      </w:r>
      <w:r w:rsidR="00EE196E">
        <w:rPr>
          <w:rFonts w:ascii="Times New Roman" w:eastAsia="Times New Roman" w:hAnsi="Times New Roman" w:cs="Times New Roman"/>
          <w:kern w:val="0"/>
          <w:sz w:val="24"/>
          <w:szCs w:val="24"/>
          <w14:ligatures w14:val="none"/>
        </w:rPr>
        <w:t>Munyoro et al., 2026</w:t>
      </w:r>
      <w:r w:rsidRPr="009F6A69">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lastRenderedPageBreak/>
        <w:t>with specific reference to Inyagui Primary School in Murewa Rural District. Mixed-methods research integrates qualitative and quantitative approaches within a single inquiry to provide a more comprehensive understanding of complex social phenomena (</w:t>
      </w:r>
      <w:r w:rsidR="00F5781E" w:rsidRPr="009F6A69">
        <w:rPr>
          <w:rFonts w:ascii="Times New Roman" w:eastAsia="Times New Roman" w:hAnsi="Times New Roman" w:cs="Times New Roman"/>
          <w:kern w:val="0"/>
          <w:sz w:val="24"/>
          <w:szCs w:val="24"/>
          <w14:ligatures w14:val="none"/>
        </w:rPr>
        <w:t>Fetters &amp; Molina-Azorin</w:t>
      </w:r>
      <w:r w:rsidR="00F5781E">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 2020</w:t>
      </w:r>
      <w:r w:rsidR="00F5781E">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Creswell &amp; Plano Clark</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Contemporary methodological scholarship emphasises that such designs are particularly suitable for educational research in under-resourced contexts because they enable both contextual depth and limited generalisability (Creswell &amp; Plano Clark</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w:t>
      </w:r>
    </w:p>
    <w:p w14:paraId="1C22BD8A" w14:textId="1E8EFEA2"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The qualitative-dominant orientation of the study reflects the need to prioritise participants’ lived experiences, perceptions, and contextual realities in rural education settings, where socio-cultural and infrastructural factors significantly shape educational outcomes (Tikly</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While quantitative elements provided supportive descriptive insights, the qualitative strand remained central in generating nuanced interpretations of leadership practices and digital resilience strategies (Fetters &amp; Molina-Azorin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This aligns with recent methodological debates that position qualitative inquiry as critical for unpacking complex, context-bound educational transformations in the Global South (Aramide et al., 2023).</w:t>
      </w:r>
    </w:p>
    <w:p w14:paraId="7BCE16E5" w14:textId="426DA72F"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The case study approach was employed to allow an in-depth exploration of a single rural school as a “critical case.” </w:t>
      </w:r>
      <w:r w:rsidR="00EE196E">
        <w:rPr>
          <w:rFonts w:ascii="Times New Roman" w:eastAsia="Times New Roman" w:hAnsi="Times New Roman" w:cs="Times New Roman"/>
          <w:kern w:val="0"/>
          <w:sz w:val="24"/>
          <w:szCs w:val="24"/>
          <w14:ligatures w14:val="none"/>
        </w:rPr>
        <w:t>Actually. ca</w:t>
      </w:r>
      <w:r w:rsidRPr="009F6A69">
        <w:rPr>
          <w:rFonts w:ascii="Times New Roman" w:eastAsia="Times New Roman" w:hAnsi="Times New Roman" w:cs="Times New Roman"/>
          <w:kern w:val="0"/>
          <w:sz w:val="24"/>
          <w:szCs w:val="24"/>
          <w14:ligatures w14:val="none"/>
        </w:rPr>
        <w:t>se study designs are particularly valuable when investigating contemporary phenomena within real-life contexts, especially where boundaries between the phenomenon and context are blurred (</w:t>
      </w:r>
      <w:r w:rsidR="00F5781E" w:rsidRPr="009F6A69">
        <w:rPr>
          <w:rFonts w:ascii="Times New Roman" w:eastAsia="Times New Roman" w:hAnsi="Times New Roman" w:cs="Times New Roman"/>
          <w:kern w:val="0"/>
          <w:sz w:val="24"/>
          <w:szCs w:val="24"/>
          <w14:ligatures w14:val="none"/>
        </w:rPr>
        <w:t>Stake</w:t>
      </w:r>
      <w:r w:rsidR="00F5781E">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 2021</w:t>
      </w:r>
      <w:r w:rsidR="00F5781E">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In this study, Inyagui Primary School was conceptualised as an instrumental case for examining how rural schools respond to digital disruptions and leadership challenges. However, while the case study design offers rich, context-specific insights, it also limits the generalisability of findings beyond similar rural settings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This necessitates cautious interpretation when extrapolating results to other districts or national contexts.</w:t>
      </w:r>
    </w:p>
    <w:p w14:paraId="2C513F23" w14:textId="77777777" w:rsidR="009F6A69" w:rsidRPr="009F6A69" w:rsidRDefault="009F6A69" w:rsidP="009F6A6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4.1 Participants and Sampling</w:t>
      </w:r>
    </w:p>
    <w:p w14:paraId="43EFE394" w14:textId="143C3A60"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The study involved a total of 50 purposively selected participants comprising 20 teachers, 5 administrators, 15 parents, and 10 community leaders (Palinkas et al., 2020; Campbell et al., 2021). Purposive sampling was used to ensure that participants possessed relevant knowledge and experience regarding school leadership, digital practices, and community engagement (Palinkas et al., 2020). This sampling strategy is consistent with qualitative research traditions </w:t>
      </w:r>
      <w:r w:rsidRPr="009F6A69">
        <w:rPr>
          <w:rFonts w:ascii="Times New Roman" w:eastAsia="Times New Roman" w:hAnsi="Times New Roman" w:cs="Times New Roman"/>
          <w:kern w:val="0"/>
          <w:sz w:val="24"/>
          <w:szCs w:val="24"/>
          <w14:ligatures w14:val="none"/>
        </w:rPr>
        <w:lastRenderedPageBreak/>
        <w:t>that prioritise information-rich cases over statistical representativeness (Patton</w:t>
      </w:r>
      <w:r w:rsidR="00A06164">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2015; Campbell et al., 2021). The inclusion of multiple stakeholder groups reflects a systems-thinking approach, recognising that rural education is shaped not only by school-based actors but also by community dynamics (Bronfenbrenner &amp; Morris</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2006; Tikly</w:t>
      </w:r>
      <w:r w:rsidR="00A06164">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Teachers and administrators provided insights into pedagogical practices and leadership strategies, while parents and community leaders offered perspectives on socio-cultural influences and resource mobilisation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Nevertheless, the relatively small and non-random sample introduces potential bias, as participants may not fully represent the diversity of experiences within the broader community (Etikan &amp; Bala</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2017; Campbell et al., 2021). Future studies could strengthen methodological rigour by incorporating stratified or mixed sampling techniques to enhance inclusivity.</w:t>
      </w:r>
    </w:p>
    <w:p w14:paraId="64FA71A4" w14:textId="77777777" w:rsidR="009F6A69" w:rsidRPr="009F6A69" w:rsidRDefault="009F6A69" w:rsidP="009F6A6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4.2 Data Collection Methods</w:t>
      </w:r>
    </w:p>
    <w:p w14:paraId="76E6885A" w14:textId="6BBB076C"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Data were collected using four complementary methods</w:t>
      </w:r>
      <w:r w:rsidR="00A06164">
        <w:rPr>
          <w:rFonts w:ascii="Times New Roman" w:eastAsia="Times New Roman" w:hAnsi="Times New Roman" w:cs="Times New Roman"/>
          <w:kern w:val="0"/>
          <w:sz w:val="24"/>
          <w:szCs w:val="24"/>
          <w14:ligatures w14:val="none"/>
        </w:rPr>
        <w:t>, such as</w:t>
      </w:r>
      <w:r w:rsidRPr="009F6A69">
        <w:rPr>
          <w:rFonts w:ascii="Times New Roman" w:eastAsia="Times New Roman" w:hAnsi="Times New Roman" w:cs="Times New Roman"/>
          <w:kern w:val="0"/>
          <w:sz w:val="24"/>
          <w:szCs w:val="24"/>
          <w14:ligatures w14:val="none"/>
        </w:rPr>
        <w:t xml:space="preserve"> semi-structured interviews, focus group discussions, observations, and document analysis (Creswell &amp; Poth</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2018;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The use of multiple data collection techniques facilitated methodological triangulation, thereby enhancing the credibility and trustworthiness of the findings (Fetters &amp; Molina-Azorin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Carter et al., 2014). Semi-structured interviews enabled the researcher to explore participants’ perspectives in depth while maintaining flexibility to probe emerging themes (Kallio et al., 2016). This method is widely recognised for its effectiveness in capturing detailed narratives and subjective experiences in educational research (Kallio et al., 2016). However, interview data are inherently susceptible to social desirability bias, particularly when participants discuss leadership practices or institutional challenges (Bergen &amp; Labonté</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w:t>
      </w:r>
    </w:p>
    <w:p w14:paraId="0509D47E" w14:textId="31625ADD"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Focus group discussions were conducted to generate collective insights and stimulate interaction among participants (Krueger &amp; Casey</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2015). This method was particularly useful in capturing shared community perspectives on digital resilience and educational leadership (Morgan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2019). Nonetheless, group dynamics may have influenced participants’ responses, with dominant voices potentially overshadowing less assertive contributors (Morgan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2019). Observations provided firsthand insights into classroom practices, leadership interactions, and the integration of digital tools within the school environment (Angrosino</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2016). This method strengthened the study by enabling the researcher to corroborate self-reported data with actual practices (Angrosino, 2016). However, the presence of the researcher may have introduced the </w:t>
      </w:r>
      <w:r w:rsidRPr="009F6A69">
        <w:rPr>
          <w:rFonts w:ascii="Times New Roman" w:eastAsia="Times New Roman" w:hAnsi="Times New Roman" w:cs="Times New Roman"/>
          <w:kern w:val="0"/>
          <w:sz w:val="24"/>
          <w:szCs w:val="24"/>
          <w14:ligatures w14:val="none"/>
        </w:rPr>
        <w:lastRenderedPageBreak/>
        <w:t>Hawthorne effect, whereby participants altered their behaviour due to being observed (McCambridge et al., 2014).</w:t>
      </w:r>
    </w:p>
    <w:p w14:paraId="6529998C" w14:textId="4CD26C32"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Document analysis involved the review of school records, policy documents, and strategic plans to contextualise the findings (Bowen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2009;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This method offered an additional layer of evidence and contributed to a more holistic understanding of institutional practices (Bowen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2009). Yet, reliance on available documents may have limited the scope of analysis, particularly if records were incomplete or outdated, which is a common challenge in rural educational settings (Mhlanga &amp; Moloi</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w:t>
      </w:r>
    </w:p>
    <w:p w14:paraId="07F47D69" w14:textId="77777777" w:rsidR="009F6A69" w:rsidRPr="009F6A69" w:rsidRDefault="009F6A69" w:rsidP="009F6A6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4.4 Critical Reflection on Methodological Rigour</w:t>
      </w:r>
    </w:p>
    <w:p w14:paraId="49560C4F" w14:textId="4672698C" w:rsid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While the chosen methodology is robust in capturing contextual complexity, several limitations warrant critical consideration (Creswell &amp; Plano Clark</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First, the qualitative-dominant mixed-methods design requires careful integration of data strands, which can be methodologically challenging (Fetters &amp; Molina-Azorin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Without rigorous integration procedures, there is a risk of parallel rather than truly mixed analysis (Fetters &amp; Molina-Azorin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2020). Second, the reliance on purposive sampling and a single case study raises questions about external validity (Yin</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2023). Third, the study could have benefited from incorporating digital ethnography or longitudinal elements to better capture evolving resilience practices over time (Pink et al., 2016; Salmons</w:t>
      </w:r>
      <w:r w:rsidR="00F5781E">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2022). Despite these limitations, the methodology is well-aligned with the study’s objectives. It enables a deep exploration of how leadership and digital adaptation intersect within a rural Zimbabwean context, offering valuable insights for policy and practice. The integration of multiple data sources and stakeholder perspectives enhances the study’s credibility, while the critical case design provides a foundation for analytical generalisation.</w:t>
      </w:r>
    </w:p>
    <w:p w14:paraId="5676896C" w14:textId="60737B82"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9F6A69">
        <w:rPr>
          <w:rFonts w:ascii="Times New Roman" w:eastAsia="Times New Roman" w:hAnsi="Times New Roman" w:cs="Times New Roman"/>
          <w:b/>
          <w:bCs/>
          <w:kern w:val="0"/>
          <w:sz w:val="24"/>
          <w:szCs w:val="24"/>
          <w14:ligatures w14:val="none"/>
        </w:rPr>
        <w:t>5.0 Data Analysis</w:t>
      </w:r>
    </w:p>
    <w:p w14:paraId="1C82E0E2" w14:textId="673DB353" w:rsidR="009F6A69" w:rsidRPr="009F6A69" w:rsidRDefault="009F6A69"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F6A69">
        <w:rPr>
          <w:rFonts w:ascii="Times New Roman" w:eastAsia="Times New Roman" w:hAnsi="Times New Roman" w:cs="Times New Roman"/>
          <w:kern w:val="0"/>
          <w:sz w:val="24"/>
          <w:szCs w:val="24"/>
          <w14:ligatures w14:val="none"/>
        </w:rPr>
        <w:t xml:space="preserve">This study employed thematic analysis supported by systems thinking to interrogate the complex challenges affecting rural primary education in Zimbabwe, with a specific focus on Inyagui Primary School in Murewa </w:t>
      </w:r>
      <w:r w:rsidR="00AF4CA8">
        <w:rPr>
          <w:rFonts w:ascii="Times New Roman" w:eastAsia="Times New Roman" w:hAnsi="Times New Roman" w:cs="Times New Roman"/>
          <w:kern w:val="0"/>
          <w:sz w:val="24"/>
          <w:szCs w:val="24"/>
          <w14:ligatures w14:val="none"/>
        </w:rPr>
        <w:t xml:space="preserve">Rural in </w:t>
      </w:r>
      <w:r w:rsidR="00AF4CA8" w:rsidRPr="009F6A69">
        <w:rPr>
          <w:rFonts w:ascii="Times New Roman" w:eastAsia="Times New Roman" w:hAnsi="Times New Roman" w:cs="Times New Roman"/>
          <w:kern w:val="0"/>
          <w:sz w:val="24"/>
          <w:szCs w:val="24"/>
          <w14:ligatures w14:val="none"/>
        </w:rPr>
        <w:t>District</w:t>
      </w:r>
      <w:r w:rsidR="00AF4CA8">
        <w:rPr>
          <w:rFonts w:ascii="Times New Roman" w:eastAsia="Times New Roman" w:hAnsi="Times New Roman" w:cs="Times New Roman"/>
          <w:kern w:val="0"/>
          <w:sz w:val="24"/>
          <w:szCs w:val="24"/>
          <w14:ligatures w14:val="none"/>
        </w:rPr>
        <w:t xml:space="preserve"> Mashonaland East </w:t>
      </w:r>
      <w:r w:rsidRPr="009F6A69">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Meadows</w:t>
      </w:r>
      <w:r w:rsidR="0003297C" w:rsidRPr="0003297C">
        <w:rPr>
          <w:rFonts w:ascii="Times New Roman" w:eastAsia="Times New Roman" w:hAnsi="Times New Roman" w:cs="Times New Roman"/>
          <w:kern w:val="0"/>
          <w:sz w:val="24"/>
          <w:szCs w:val="24"/>
          <w14:ligatures w14:val="none"/>
        </w:rPr>
        <w:t>.</w:t>
      </w:r>
      <w:r w:rsidR="00F5781E" w:rsidRPr="009F6A69">
        <w:rPr>
          <w:rFonts w:ascii="Times New Roman" w:eastAsia="Times New Roman" w:hAnsi="Times New Roman" w:cs="Times New Roman"/>
          <w:kern w:val="0"/>
          <w:sz w:val="24"/>
          <w:szCs w:val="24"/>
          <w14:ligatures w14:val="none"/>
        </w:rPr>
        <w:t>, 2008</w:t>
      </w:r>
      <w:r w:rsidR="00F5781E" w:rsidRPr="0003297C">
        <w:rPr>
          <w:rFonts w:ascii="Times New Roman" w:eastAsia="Times New Roman" w:hAnsi="Times New Roman" w:cs="Times New Roman"/>
          <w:kern w:val="0"/>
          <w:sz w:val="24"/>
          <w:szCs w:val="24"/>
          <w14:ligatures w14:val="none"/>
        </w:rPr>
        <w:t xml:space="preserve">; </w:t>
      </w:r>
      <w:r w:rsidR="00AF4CA8">
        <w:rPr>
          <w:rFonts w:ascii="Times New Roman" w:eastAsia="Times New Roman" w:hAnsi="Times New Roman" w:cs="Times New Roman"/>
          <w:kern w:val="0"/>
          <w:sz w:val="24"/>
          <w:szCs w:val="24"/>
          <w14:ligatures w14:val="none"/>
        </w:rPr>
        <w:t xml:space="preserve">Munyoro., 2014; </w:t>
      </w:r>
      <w:r w:rsidRPr="009F6A69">
        <w:rPr>
          <w:rFonts w:ascii="Times New Roman" w:eastAsia="Times New Roman" w:hAnsi="Times New Roman" w:cs="Times New Roman"/>
          <w:kern w:val="0"/>
          <w:sz w:val="24"/>
          <w:szCs w:val="24"/>
          <w14:ligatures w14:val="none"/>
        </w:rPr>
        <w:t>Braun &amp; Clarke</w:t>
      </w:r>
      <w:r w:rsidR="00F5781E" w:rsidRP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2021). The integration of thematic analysis with systems thinking is particularly appropriate in educational research because it captures both patterned meanings in qualitative data and the nonlinear interdependencies within educational </w:t>
      </w:r>
      <w:r w:rsidRPr="009F6A69">
        <w:rPr>
          <w:rFonts w:ascii="Times New Roman" w:eastAsia="Times New Roman" w:hAnsi="Times New Roman" w:cs="Times New Roman"/>
          <w:kern w:val="0"/>
          <w:sz w:val="24"/>
          <w:szCs w:val="24"/>
          <w14:ligatures w14:val="none"/>
        </w:rPr>
        <w:lastRenderedPageBreak/>
        <w:t>ecosystems (</w:t>
      </w:r>
      <w:r w:rsidR="0003297C" w:rsidRPr="009F6A69">
        <w:rPr>
          <w:rFonts w:ascii="Times New Roman" w:eastAsia="Times New Roman" w:hAnsi="Times New Roman" w:cs="Times New Roman"/>
          <w:kern w:val="0"/>
          <w:sz w:val="24"/>
          <w:szCs w:val="24"/>
          <w14:ligatures w14:val="none"/>
        </w:rPr>
        <w:t>Cabrera &amp; Cabrera</w:t>
      </w:r>
      <w:r w:rsid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2015</w:t>
      </w:r>
      <w:r w:rsidR="0003297C">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Sterman</w:t>
      </w:r>
      <w:r w:rsid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2019). As noted in resilience and systems scholarship, educational environments are “complex, </w:t>
      </w:r>
      <w:r w:rsidR="00AF4CA8">
        <w:rPr>
          <w:rFonts w:ascii="Times New Roman" w:eastAsia="Times New Roman" w:hAnsi="Times New Roman" w:cs="Times New Roman"/>
          <w:kern w:val="0"/>
          <w:sz w:val="24"/>
          <w:szCs w:val="24"/>
          <w14:ligatures w14:val="none"/>
        </w:rPr>
        <w:t xml:space="preserve">and </w:t>
      </w:r>
      <w:r w:rsidRPr="009F6A69">
        <w:rPr>
          <w:rFonts w:ascii="Times New Roman" w:eastAsia="Times New Roman" w:hAnsi="Times New Roman" w:cs="Times New Roman"/>
          <w:kern w:val="0"/>
          <w:sz w:val="24"/>
          <w:szCs w:val="24"/>
          <w14:ligatures w14:val="none"/>
        </w:rPr>
        <w:t>interconnected systems” shaped by feedback loops, contextual variables, and emergent properties rather than isolated causal factors (Sterman</w:t>
      </w:r>
      <w:r w:rsid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2019). The analysis revealed five key domains, namely digital fragility, climate stress, energy instability, governance limitations, and curriculum misalignment, which are not discrete challenges but mutually reinforcing dimensions of systemic vulnerability (</w:t>
      </w:r>
      <w:r w:rsidR="0003297C" w:rsidRPr="009F6A69">
        <w:rPr>
          <w:rFonts w:ascii="Times New Roman" w:eastAsia="Times New Roman" w:hAnsi="Times New Roman" w:cs="Times New Roman"/>
          <w:kern w:val="0"/>
          <w:sz w:val="24"/>
          <w:szCs w:val="24"/>
          <w14:ligatures w14:val="none"/>
        </w:rPr>
        <w:t>Tikly</w:t>
      </w:r>
      <w:r w:rsid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2020</w:t>
      </w:r>
      <w:r w:rsidR="0003297C">
        <w:rPr>
          <w:rFonts w:ascii="Times New Roman" w:eastAsia="Times New Roman" w:hAnsi="Times New Roman" w:cs="Times New Roman"/>
          <w:kern w:val="0"/>
          <w:sz w:val="24"/>
          <w:szCs w:val="24"/>
          <w14:ligatures w14:val="none"/>
        </w:rPr>
        <w:t xml:space="preserve">; </w:t>
      </w:r>
      <w:r w:rsidRPr="009F6A69">
        <w:rPr>
          <w:rFonts w:ascii="Times New Roman" w:eastAsia="Times New Roman" w:hAnsi="Times New Roman" w:cs="Times New Roman"/>
          <w:kern w:val="0"/>
          <w:sz w:val="24"/>
          <w:szCs w:val="24"/>
          <w14:ligatures w14:val="none"/>
        </w:rPr>
        <w:t>Mhlanga &amp; Moloi</w:t>
      </w:r>
      <w:r w:rsidR="0003297C">
        <w:rPr>
          <w:rFonts w:ascii="Times New Roman" w:eastAsia="Times New Roman" w:hAnsi="Times New Roman" w:cs="Times New Roman"/>
          <w:kern w:val="0"/>
          <w:sz w:val="24"/>
          <w:szCs w:val="24"/>
          <w14:ligatures w14:val="none"/>
        </w:rPr>
        <w:t>.</w:t>
      </w:r>
      <w:r w:rsidRPr="009F6A69">
        <w:rPr>
          <w:rFonts w:ascii="Times New Roman" w:eastAsia="Times New Roman" w:hAnsi="Times New Roman" w:cs="Times New Roman"/>
          <w:kern w:val="0"/>
          <w:sz w:val="24"/>
          <w:szCs w:val="24"/>
          <w14:ligatures w14:val="none"/>
        </w:rPr>
        <w:t xml:space="preserve">, 2023). </w:t>
      </w:r>
      <w:r w:rsidR="00AF4CA8" w:rsidRPr="009F6A69">
        <w:rPr>
          <w:rFonts w:ascii="Times New Roman" w:eastAsia="Times New Roman" w:hAnsi="Times New Roman" w:cs="Times New Roman"/>
          <w:kern w:val="0"/>
          <w:sz w:val="24"/>
          <w:szCs w:val="24"/>
          <w14:ligatures w14:val="none"/>
        </w:rPr>
        <w:t>Ac</w:t>
      </w:r>
      <w:r w:rsidR="00AF4CA8">
        <w:rPr>
          <w:rFonts w:ascii="Times New Roman" w:eastAsia="Times New Roman" w:hAnsi="Times New Roman" w:cs="Times New Roman"/>
          <w:kern w:val="0"/>
          <w:sz w:val="24"/>
          <w:szCs w:val="24"/>
          <w14:ligatures w14:val="none"/>
        </w:rPr>
        <w:t>cordingly, th</w:t>
      </w:r>
      <w:r w:rsidRPr="009F6A69">
        <w:rPr>
          <w:rFonts w:ascii="Times New Roman" w:eastAsia="Times New Roman" w:hAnsi="Times New Roman" w:cs="Times New Roman"/>
          <w:kern w:val="0"/>
          <w:sz w:val="24"/>
          <w:szCs w:val="24"/>
          <w14:ligatures w14:val="none"/>
        </w:rPr>
        <w:t>is study critically analysed these domains and their interconnections within the broader discourse on resilience, rural education, and adaptive leadership.</w:t>
      </w:r>
    </w:p>
    <w:p w14:paraId="63FA001D" w14:textId="69CAAC90" w:rsidR="009F6A69" w:rsidRPr="009F6A69" w:rsidRDefault="00AF4CA8" w:rsidP="009F6A6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point of fact, t</w:t>
      </w:r>
      <w:r w:rsidR="009F6A69" w:rsidRPr="009F6A69">
        <w:rPr>
          <w:rFonts w:ascii="Times New Roman" w:eastAsia="Times New Roman" w:hAnsi="Times New Roman" w:cs="Times New Roman"/>
          <w:kern w:val="0"/>
          <w:sz w:val="24"/>
          <w:szCs w:val="24"/>
          <w14:ligatures w14:val="none"/>
        </w:rPr>
        <w:t>his study adopted Braun and Clarke’s thematic analysis framework, enabling the identification of recurring patterns across participant narratives (Braun &amp; Clarke</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2021). This approach is widely recognised for its flexibility in qualitative inquiry and its ability to generate nuanced insights from complex datasets (</w:t>
      </w:r>
      <w:r w:rsidR="0003297C" w:rsidRPr="009F6A69">
        <w:rPr>
          <w:rFonts w:ascii="Times New Roman" w:eastAsia="Times New Roman" w:hAnsi="Times New Roman" w:cs="Times New Roman"/>
          <w:kern w:val="0"/>
          <w:sz w:val="24"/>
          <w:szCs w:val="24"/>
          <w14:ligatures w14:val="none"/>
        </w:rPr>
        <w:t>Cabrera &amp; Cabrera</w:t>
      </w:r>
      <w:r w:rsid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2015</w:t>
      </w:r>
      <w:r w:rsidR="0003297C">
        <w:rPr>
          <w:rFonts w:ascii="Times New Roman" w:eastAsia="Times New Roman" w:hAnsi="Times New Roman" w:cs="Times New Roman"/>
          <w:kern w:val="0"/>
          <w:sz w:val="24"/>
          <w:szCs w:val="24"/>
          <w14:ligatures w14:val="none"/>
        </w:rPr>
        <w:t xml:space="preserve">; </w:t>
      </w:r>
      <w:r w:rsidR="009F6A69" w:rsidRPr="009F6A69">
        <w:rPr>
          <w:rFonts w:ascii="Times New Roman" w:eastAsia="Times New Roman" w:hAnsi="Times New Roman" w:cs="Times New Roman"/>
          <w:kern w:val="0"/>
          <w:sz w:val="24"/>
          <w:szCs w:val="24"/>
          <w14:ligatures w14:val="none"/>
        </w:rPr>
        <w:t>Braun &amp; Clarke</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2021). However, thematic analysis alone risks fragmentation if themes are treated in isolation</w:t>
      </w:r>
      <w:r>
        <w:rPr>
          <w:rFonts w:ascii="Times New Roman" w:eastAsia="Times New Roman" w:hAnsi="Times New Roman" w:cs="Times New Roman"/>
          <w:kern w:val="0"/>
          <w:sz w:val="24"/>
          <w:szCs w:val="24"/>
          <w14:ligatures w14:val="none"/>
        </w:rPr>
        <w:t xml:space="preserve"> and t</w:t>
      </w:r>
      <w:r w:rsidR="009F6A69" w:rsidRPr="009F6A69">
        <w:rPr>
          <w:rFonts w:ascii="Times New Roman" w:eastAsia="Times New Roman" w:hAnsi="Times New Roman" w:cs="Times New Roman"/>
          <w:kern w:val="0"/>
          <w:sz w:val="24"/>
          <w:szCs w:val="24"/>
          <w14:ligatures w14:val="none"/>
        </w:rPr>
        <w:t>o address this limitation, systems thinking was incorporated to examine how these themes interact dynamically (Cabrera &amp; Cabrera</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xml:space="preserve">, 2015). </w:t>
      </w:r>
      <w:r>
        <w:rPr>
          <w:rFonts w:ascii="Times New Roman" w:eastAsia="Times New Roman" w:hAnsi="Times New Roman" w:cs="Times New Roman"/>
          <w:kern w:val="0"/>
          <w:sz w:val="24"/>
          <w:szCs w:val="24"/>
          <w14:ligatures w14:val="none"/>
        </w:rPr>
        <w:t>In effect, s</w:t>
      </w:r>
      <w:r w:rsidR="009F6A69" w:rsidRPr="009F6A69">
        <w:rPr>
          <w:rFonts w:ascii="Times New Roman" w:eastAsia="Times New Roman" w:hAnsi="Times New Roman" w:cs="Times New Roman"/>
          <w:kern w:val="0"/>
          <w:sz w:val="24"/>
          <w:szCs w:val="24"/>
          <w14:ligatures w14:val="none"/>
        </w:rPr>
        <w:t>ystems thinking emphasises non-linear relationships and feedback mechanisms, making it suitable for analysing resilience in resource-constrained environments (Sterman</w:t>
      </w:r>
      <w:r w:rsid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2019). In rural Zimbabwean contexts, resilience is understood as the interaction of adaptive, absorptive, and transformative capacities across social systems (</w:t>
      </w:r>
      <w:r w:rsidR="0003297C" w:rsidRPr="009F6A69">
        <w:rPr>
          <w:rFonts w:ascii="Times New Roman" w:eastAsia="Times New Roman" w:hAnsi="Times New Roman" w:cs="Times New Roman"/>
          <w:kern w:val="0"/>
          <w:sz w:val="24"/>
          <w:szCs w:val="24"/>
          <w14:ligatures w14:val="none"/>
        </w:rPr>
        <w:t>Tikly</w:t>
      </w:r>
      <w:r w:rsidR="0003297C" w:rsidRPr="0003297C">
        <w:rPr>
          <w:rFonts w:ascii="Times New Roman" w:eastAsia="Times New Roman" w:hAnsi="Times New Roman" w:cs="Times New Roman"/>
          <w:kern w:val="0"/>
          <w:sz w:val="24"/>
          <w:szCs w:val="24"/>
          <w14:ligatures w14:val="none"/>
        </w:rPr>
        <w:t>.</w:t>
      </w:r>
      <w:r w:rsidR="0003297C" w:rsidRPr="009F6A69">
        <w:rPr>
          <w:rFonts w:ascii="Times New Roman" w:eastAsia="Times New Roman" w:hAnsi="Times New Roman" w:cs="Times New Roman"/>
          <w:kern w:val="0"/>
          <w:sz w:val="24"/>
          <w:szCs w:val="24"/>
          <w14:ligatures w14:val="none"/>
        </w:rPr>
        <w:t>, 2020</w:t>
      </w:r>
      <w:r w:rsidR="0003297C" w:rsidRPr="0003297C">
        <w:rPr>
          <w:rFonts w:ascii="Times New Roman" w:eastAsia="Times New Roman" w:hAnsi="Times New Roman" w:cs="Times New Roman"/>
          <w:kern w:val="0"/>
          <w:sz w:val="24"/>
          <w:szCs w:val="24"/>
          <w14:ligatures w14:val="none"/>
        </w:rPr>
        <w:t xml:space="preserve">; </w:t>
      </w:r>
      <w:r w:rsidR="009F6A69" w:rsidRPr="009F6A69">
        <w:rPr>
          <w:rFonts w:ascii="Times New Roman" w:eastAsia="Times New Roman" w:hAnsi="Times New Roman" w:cs="Times New Roman"/>
          <w:kern w:val="0"/>
          <w:sz w:val="24"/>
          <w:szCs w:val="24"/>
          <w14:ligatures w14:val="none"/>
        </w:rPr>
        <w:t>UNESCO</w:t>
      </w:r>
      <w:r w:rsidR="0003297C" w:rsidRPr="0003297C">
        <w:rPr>
          <w:rFonts w:ascii="Times New Roman" w:eastAsia="Times New Roman" w:hAnsi="Times New Roman" w:cs="Times New Roman"/>
          <w:kern w:val="0"/>
          <w:sz w:val="24"/>
          <w:szCs w:val="24"/>
          <w14:ligatures w14:val="none"/>
        </w:rPr>
        <w:t>.</w:t>
      </w:r>
      <w:r w:rsidR="009F6A69" w:rsidRPr="009F6A69">
        <w:rPr>
          <w:rFonts w:ascii="Times New Roman" w:eastAsia="Times New Roman" w:hAnsi="Times New Roman" w:cs="Times New Roman"/>
          <w:kern w:val="0"/>
          <w:sz w:val="24"/>
          <w:szCs w:val="24"/>
          <w14:ligatures w14:val="none"/>
        </w:rPr>
        <w:t>, 2021). Thus, the analytical approach moves beyond descriptive categorisation toward a holistic interpretation of systemic educational vulnerability.</w:t>
      </w:r>
    </w:p>
    <w:p w14:paraId="34E30115" w14:textId="77777777" w:rsidR="00726BC3" w:rsidRPr="00726BC3" w:rsidRDefault="00726BC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26BC3">
        <w:rPr>
          <w:rFonts w:ascii="Times New Roman" w:eastAsia="Times New Roman" w:hAnsi="Times New Roman" w:cs="Times New Roman"/>
          <w:b/>
          <w:bCs/>
          <w:kern w:val="0"/>
          <w:sz w:val="24"/>
          <w:szCs w:val="24"/>
          <w14:ligatures w14:val="none"/>
        </w:rPr>
        <w:t>6.0 Findings</w:t>
      </w:r>
    </w:p>
    <w:p w14:paraId="2C317FBC" w14:textId="3C497DAF" w:rsidR="00726BC3" w:rsidRPr="00726BC3" w:rsidRDefault="00726BC3" w:rsidP="00726BC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26BC3">
        <w:rPr>
          <w:rFonts w:ascii="Times New Roman" w:eastAsia="Times New Roman" w:hAnsi="Times New Roman" w:cs="Times New Roman"/>
          <w:kern w:val="0"/>
          <w:sz w:val="24"/>
          <w:szCs w:val="24"/>
          <w14:ligatures w14:val="none"/>
        </w:rPr>
        <w:t xml:space="preserve">Findings indicate that </w:t>
      </w:r>
      <w:r w:rsidR="00250F4A">
        <w:rPr>
          <w:rFonts w:ascii="Times New Roman" w:eastAsia="Times New Roman" w:hAnsi="Times New Roman" w:cs="Times New Roman"/>
          <w:kern w:val="0"/>
          <w:sz w:val="24"/>
          <w:szCs w:val="24"/>
          <w14:ligatures w14:val="none"/>
        </w:rPr>
        <w:t>Inyagui Primary</w:t>
      </w:r>
      <w:r w:rsidRPr="00726BC3">
        <w:rPr>
          <w:rFonts w:ascii="Times New Roman" w:eastAsia="Times New Roman" w:hAnsi="Times New Roman" w:cs="Times New Roman"/>
          <w:kern w:val="0"/>
          <w:sz w:val="24"/>
          <w:szCs w:val="24"/>
          <w14:ligatures w14:val="none"/>
        </w:rPr>
        <w:t xml:space="preserve"> School faces significant digital exclusion, limiting access to online learning and administrative efficiency. Climate stress disrupts attendance and performance, while energy instability constrains ICT use.</w:t>
      </w:r>
      <w:r w:rsidR="00250F4A">
        <w:rPr>
          <w:rFonts w:ascii="Times New Roman" w:eastAsia="Times New Roman" w:hAnsi="Times New Roman" w:cs="Times New Roman"/>
          <w:kern w:val="0"/>
          <w:sz w:val="24"/>
          <w:szCs w:val="24"/>
          <w14:ligatures w14:val="none"/>
        </w:rPr>
        <w:t xml:space="preserve"> </w:t>
      </w:r>
      <w:r w:rsidRPr="00726BC3">
        <w:rPr>
          <w:rFonts w:ascii="Times New Roman" w:eastAsia="Times New Roman" w:hAnsi="Times New Roman" w:cs="Times New Roman"/>
          <w:kern w:val="0"/>
          <w:sz w:val="24"/>
          <w:szCs w:val="24"/>
          <w14:ligatures w14:val="none"/>
        </w:rPr>
        <w:t>Leadership practices remain largely reactive, with limited foresight integration. Curriculum delivery emphasises examinations rather than future-oriented competencies.</w:t>
      </w:r>
    </w:p>
    <w:p w14:paraId="709EE223"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6.1 Digital Fragility</w:t>
      </w:r>
    </w:p>
    <w:p w14:paraId="1A565B8B" w14:textId="09F5754E"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Digital fragility emerged as a foundational constraint, characterised by limited access to devices, poor connectivity, and inadequate digital literacy among teachers and learners </w:t>
      </w:r>
      <w:r w:rsidRPr="00084D94">
        <w:rPr>
          <w:rFonts w:ascii="Times New Roman" w:eastAsia="Times New Roman" w:hAnsi="Times New Roman" w:cs="Times New Roman"/>
          <w:kern w:val="0"/>
          <w:sz w:val="24"/>
          <w:szCs w:val="24"/>
          <w14:ligatures w14:val="none"/>
        </w:rPr>
        <w:lastRenderedPageBreak/>
        <w:t>(UNESCO</w:t>
      </w:r>
      <w:r>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w:t>
      </w:r>
      <w:r>
        <w:rPr>
          <w:rFonts w:ascii="Times New Roman" w:eastAsia="Times New Roman" w:hAnsi="Times New Roman" w:cs="Times New Roman"/>
          <w:kern w:val="0"/>
          <w:sz w:val="24"/>
          <w:szCs w:val="24"/>
          <w14:ligatures w14:val="none"/>
        </w:rPr>
        <w:t>ITU.</w:t>
      </w:r>
      <w:r w:rsidRPr="00084D94">
        <w:rPr>
          <w:rFonts w:ascii="Times New Roman" w:eastAsia="Times New Roman" w:hAnsi="Times New Roman" w:cs="Times New Roman"/>
          <w:kern w:val="0"/>
          <w:sz w:val="24"/>
          <w:szCs w:val="24"/>
          <w14:ligatures w14:val="none"/>
        </w:rPr>
        <w:t>, 2023). This aligns with recent studies in Zimbabwe which identify limited technological resources and insufficient training as key barriers to educational transformation (</w:t>
      </w:r>
      <w:r w:rsidR="00580F8C" w:rsidRPr="00580F8C">
        <w:rPr>
          <w:rFonts w:ascii="Times New Roman" w:hAnsi="Times New Roman" w:cs="Times New Roman"/>
          <w:sz w:val="24"/>
          <w:szCs w:val="24"/>
        </w:rPr>
        <w:t>MoPSE.</w:t>
      </w:r>
      <w:r w:rsidRPr="00084D94">
        <w:rPr>
          <w:rFonts w:ascii="Times New Roman" w:eastAsia="Times New Roman" w:hAnsi="Times New Roman" w:cs="Times New Roman"/>
          <w:kern w:val="0"/>
          <w:sz w:val="24"/>
          <w:szCs w:val="24"/>
          <w14:ligatures w14:val="none"/>
        </w:rPr>
        <w:t>, 2021; Chigona &amp; Chigona</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Critically, digital fragility is not merely a technological issue but a structural inequity that exacerbates rural–urban disparities (World Bank</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UNICEF</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7E02AAE6"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school head noted:</w:t>
      </w:r>
    </w:p>
    <w:p w14:paraId="47633DBA"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have computers, but most are not functional, and teachers are not confident in using them for teaching.”</w:t>
      </w:r>
    </w:p>
    <w:p w14:paraId="4543F24B"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further explained:</w:t>
      </w:r>
    </w:p>
    <w:p w14:paraId="5AB30C66"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“Internet access is unreliable, so even when we try to integrate digital tools, lessons are disrupted.”</w:t>
      </w:r>
    </w:p>
    <w:p w14:paraId="21EF8723" w14:textId="5D61A829"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While policy frameworks increasingly advocate for digital integration, implementation remains uneven (UNESCO</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ITU</w:t>
      </w:r>
      <w:r w:rsidR="00580F8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Therefore, the data suggests that without infrastructural investment and capacity building, digitalisation efforts risk deepening exclusion rather than promoting resilience. Moreover, foresight-driven leadership appears weak in anticipating technological disruptions, indicating a reactive rather than proactive governance stance.</w:t>
      </w:r>
    </w:p>
    <w:p w14:paraId="53AABFA6"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6.2 Climate Stress</w:t>
      </w:r>
    </w:p>
    <w:p w14:paraId="58871473" w14:textId="5C981264"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Climate stress was identified through recurrent disruptions to schooling caused by droughts, extreme weather, and environmental degradation (I</w:t>
      </w:r>
      <w:r w:rsidR="00580F8C">
        <w:rPr>
          <w:rFonts w:ascii="Times New Roman" w:eastAsia="Times New Roman" w:hAnsi="Times New Roman" w:cs="Times New Roman"/>
          <w:kern w:val="0"/>
          <w:sz w:val="24"/>
          <w:szCs w:val="24"/>
          <w14:ligatures w14:val="none"/>
        </w:rPr>
        <w:t>PCC.</w:t>
      </w:r>
      <w:r w:rsidRPr="00084D94">
        <w:rPr>
          <w:rFonts w:ascii="Times New Roman" w:eastAsia="Times New Roman" w:hAnsi="Times New Roman" w:cs="Times New Roman"/>
          <w:kern w:val="0"/>
          <w:sz w:val="24"/>
          <w:szCs w:val="24"/>
          <w14:ligatures w14:val="none"/>
        </w:rPr>
        <w:t>, 2023). Evidence from Zimbabwe shows that climate-related disasters significantly disrupt educational continuity, affecting enrolment and performance patterns (UNICEF, 2023; World Bank, 2022).</w:t>
      </w:r>
    </w:p>
    <w:p w14:paraId="5128751D"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parent highlighted:</w:t>
      </w:r>
    </w:p>
    <w:p w14:paraId="1821C49C"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“During drought periods, children miss school because families prioritise searching for food and water.”</w:t>
      </w:r>
    </w:p>
    <w:p w14:paraId="62805DCD" w14:textId="1F4B0F2B"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From a systems perspective, climate stress interacts with poverty and infrastructure deficits to create “poverty traps” that undermine long-term resilience (IPCC</w:t>
      </w:r>
      <w:r w:rsidR="00AF4CA8">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In this case, the data analysis reveals that schools like Inyagui operate within ecological systems that directly shape </w:t>
      </w:r>
      <w:r w:rsidRPr="00084D94">
        <w:rPr>
          <w:rFonts w:ascii="Times New Roman" w:eastAsia="Times New Roman" w:hAnsi="Times New Roman" w:cs="Times New Roman"/>
          <w:kern w:val="0"/>
          <w:sz w:val="24"/>
          <w:szCs w:val="24"/>
          <w14:ligatures w14:val="none"/>
        </w:rPr>
        <w:lastRenderedPageBreak/>
        <w:t>educational outcomes. Critically, while local communities often possess indigenous resilience strategies, these are insufficiently integrated into formal education planning.</w:t>
      </w:r>
    </w:p>
    <w:p w14:paraId="719B6619" w14:textId="489645A8"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A </w:t>
      </w:r>
      <w:r w:rsidR="009D26BC">
        <w:rPr>
          <w:rFonts w:ascii="Times New Roman" w:eastAsia="Times New Roman" w:hAnsi="Times New Roman" w:cs="Times New Roman"/>
          <w:kern w:val="0"/>
          <w:sz w:val="24"/>
          <w:szCs w:val="24"/>
          <w14:ligatures w14:val="none"/>
        </w:rPr>
        <w:t>Village Head</w:t>
      </w:r>
      <w:r w:rsidRPr="00084D94">
        <w:rPr>
          <w:rFonts w:ascii="Times New Roman" w:eastAsia="Times New Roman" w:hAnsi="Times New Roman" w:cs="Times New Roman"/>
          <w:kern w:val="0"/>
          <w:sz w:val="24"/>
          <w:szCs w:val="24"/>
          <w14:ligatures w14:val="none"/>
        </w:rPr>
        <w:t xml:space="preserve"> stated:</w:t>
      </w:r>
    </w:p>
    <w:p w14:paraId="71A8CB1C"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know how to cope with drought, but schools do not include this knowledge in what children learn.”</w:t>
      </w:r>
    </w:p>
    <w:p w14:paraId="7384DF17"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This reflects a broader disconnect between policy and lived realities, as resilience frameworks often overlook local knowledge systems.</w:t>
      </w:r>
    </w:p>
    <w:p w14:paraId="0AEFE3E0"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6.3 Energy Instability</w:t>
      </w:r>
    </w:p>
    <w:p w14:paraId="3005CAC3" w14:textId="43114E7D"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Energy instability, manifested through unreliable electricity supply, further compounds digital fragility and limits the adoption of e-learning innovations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ITU</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In rural schools, energy access is a prerequisite for digital resilience; without it, even well-designed technological interventions fail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69407221"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explained:</w:t>
      </w:r>
    </w:p>
    <w:p w14:paraId="68674D47"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“Electricity cuts mean we cannot rely on digital lessons, so we fall back to traditional teaching.”</w:t>
      </w:r>
    </w:p>
    <w:p w14:paraId="5E0C8F35" w14:textId="5983F09F"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Therefore, the data highlights a reinforcing loop</w:t>
      </w:r>
      <w:r w:rsidR="009D26BC">
        <w:rPr>
          <w:rFonts w:ascii="Times New Roman" w:eastAsia="Times New Roman" w:hAnsi="Times New Roman" w:cs="Times New Roman"/>
          <w:kern w:val="0"/>
          <w:sz w:val="24"/>
          <w:szCs w:val="24"/>
          <w14:ligatures w14:val="none"/>
        </w:rPr>
        <w:t>, which refers to</w:t>
      </w:r>
      <w:r w:rsidRPr="00084D94">
        <w:rPr>
          <w:rFonts w:ascii="Times New Roman" w:eastAsia="Times New Roman" w:hAnsi="Times New Roman" w:cs="Times New Roman"/>
          <w:kern w:val="0"/>
          <w:sz w:val="24"/>
          <w:szCs w:val="24"/>
          <w14:ligatures w14:val="none"/>
        </w:rPr>
        <w:t xml:space="preserve"> energy instability</w:t>
      </w:r>
      <w:r w:rsidR="009D26BC">
        <w:rPr>
          <w:rFonts w:ascii="Times New Roman" w:eastAsia="Times New Roman" w:hAnsi="Times New Roman" w:cs="Times New Roman"/>
          <w:kern w:val="0"/>
          <w:sz w:val="24"/>
          <w:szCs w:val="24"/>
          <w14:ligatures w14:val="none"/>
        </w:rPr>
        <w:t xml:space="preserve"> which sequentially</w:t>
      </w:r>
      <w:r w:rsidRPr="00084D94">
        <w:rPr>
          <w:rFonts w:ascii="Times New Roman" w:eastAsia="Times New Roman" w:hAnsi="Times New Roman" w:cs="Times New Roman"/>
          <w:kern w:val="0"/>
          <w:sz w:val="24"/>
          <w:szCs w:val="24"/>
          <w14:ligatures w14:val="none"/>
        </w:rPr>
        <w:t xml:space="preserve"> constrains digital infrastructure, which in turn limits pedagogical innovation and access to information (World Bank, 2022). This finding underscores the importance of viewing education within broader socio-technical systems rather than as an isolated sector.</w:t>
      </w:r>
    </w:p>
    <w:p w14:paraId="22DECC1B"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school administrator added:</w:t>
      </w:r>
    </w:p>
    <w:p w14:paraId="5848F835"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“Solar power would change everything, but we do not have the funding.”</w:t>
      </w:r>
    </w:p>
    <w:p w14:paraId="0266DF47" w14:textId="2B8A1BFF"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Critically, the absence of sustainable energy solutions (e.g., solar systems) reflects gaps in strategic foresight and resource allocation at both institutional and policy levels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p>
    <w:p w14:paraId="1D267A4C"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6.4 Governance Limitations</w:t>
      </w:r>
    </w:p>
    <w:p w14:paraId="682E87BB" w14:textId="080D33AA"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lastRenderedPageBreak/>
        <w:t>Governance limitations emerged through themes of inadequate leadership capacity, limited stakeholder engagement, and insufficient decentralisation of decision-making (</w:t>
      </w:r>
      <w:r w:rsidR="009D26BC" w:rsidRPr="00084D94">
        <w:rPr>
          <w:rFonts w:ascii="Times New Roman" w:eastAsia="Times New Roman" w:hAnsi="Times New Roman" w:cs="Times New Roman"/>
          <w:kern w:val="0"/>
          <w:sz w:val="24"/>
          <w:szCs w:val="24"/>
          <w14:ligatures w14:val="none"/>
        </w:rPr>
        <w:t>MoPSE</w:t>
      </w:r>
      <w:r w:rsidR="009D26BC">
        <w:rPr>
          <w:rFonts w:ascii="Times New Roman" w:eastAsia="Times New Roman" w:hAnsi="Times New Roman" w:cs="Times New Roman"/>
          <w:kern w:val="0"/>
          <w:sz w:val="24"/>
          <w:szCs w:val="24"/>
          <w14:ligatures w14:val="none"/>
        </w:rPr>
        <w:t>.</w:t>
      </w:r>
      <w:r w:rsidR="009D26BC" w:rsidRPr="00084D94">
        <w:rPr>
          <w:rFonts w:ascii="Times New Roman" w:eastAsia="Times New Roman" w:hAnsi="Times New Roman" w:cs="Times New Roman"/>
          <w:kern w:val="0"/>
          <w:sz w:val="24"/>
          <w:szCs w:val="24"/>
          <w14:ligatures w14:val="none"/>
        </w:rPr>
        <w:t>, 2021</w:t>
      </w:r>
      <w:r w:rsidR="009D26BC">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These findings resonate with broader studies indicating that resource constraints and systemic inefficiencies undermine educational quality in Zimbabwe (Chigona &amp; Chigona</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p>
    <w:p w14:paraId="5C19EDC5"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remarked:</w:t>
      </w:r>
    </w:p>
    <w:p w14:paraId="69C37A6D"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“Decisions are made at higher levels without consulting us, yet we face the challenges daily.”</w:t>
      </w:r>
    </w:p>
    <w:p w14:paraId="0B3C9BF7" w14:textId="3E8F8B86"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 xml:space="preserve">From a </w:t>
      </w:r>
      <w:proofErr w:type="gramStart"/>
      <w:r w:rsidRPr="00084D94">
        <w:rPr>
          <w:rFonts w:ascii="Times New Roman" w:eastAsia="Times New Roman" w:hAnsi="Times New Roman" w:cs="Times New Roman"/>
          <w:kern w:val="0"/>
          <w:sz w:val="24"/>
          <w:szCs w:val="24"/>
          <w14:ligatures w14:val="none"/>
        </w:rPr>
        <w:t>systems</w:t>
      </w:r>
      <w:proofErr w:type="gramEnd"/>
      <w:r w:rsidRPr="00084D94">
        <w:rPr>
          <w:rFonts w:ascii="Times New Roman" w:eastAsia="Times New Roman" w:hAnsi="Times New Roman" w:cs="Times New Roman"/>
          <w:kern w:val="0"/>
          <w:sz w:val="24"/>
          <w:szCs w:val="24"/>
          <w14:ligatures w14:val="none"/>
        </w:rPr>
        <w:t xml:space="preserve"> thinking perspective, governance acts as a central coordinating mechanism that influences all other domains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Consequently, weak governance structures fail to mediate the effects of digital, climatic, and energy-related challenges, thereby amplifying systemic vulnerability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p>
    <w:p w14:paraId="2F380994"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school head observed:</w:t>
      </w:r>
    </w:p>
    <w:p w14:paraId="13D44B1C"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are expected to implement policies, but we are not given the resources or training to do so effectively.”</w:t>
      </w:r>
    </w:p>
    <w:p w14:paraId="52522A91" w14:textId="01392316"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Critically, the data suggests a lack of adaptive and foresight-driven leadership. Effective leadership in complex systems requires anticipatory planning, scenario analysis, and collaborative problem-solving</w:t>
      </w:r>
      <w:r w:rsidR="009D26BC">
        <w:rPr>
          <w:rFonts w:ascii="Times New Roman" w:eastAsia="Times New Roman" w:hAnsi="Times New Roman" w:cs="Times New Roman"/>
          <w:kern w:val="0"/>
          <w:sz w:val="24"/>
          <w:szCs w:val="24"/>
          <w14:ligatures w14:val="none"/>
        </w:rPr>
        <w:t xml:space="preserve"> and leading to </w:t>
      </w:r>
      <w:r w:rsidRPr="00084D94">
        <w:rPr>
          <w:rFonts w:ascii="Times New Roman" w:eastAsia="Times New Roman" w:hAnsi="Times New Roman" w:cs="Times New Roman"/>
          <w:kern w:val="0"/>
          <w:sz w:val="24"/>
          <w:szCs w:val="24"/>
          <w14:ligatures w14:val="none"/>
        </w:rPr>
        <w:t>capacities that appear underdeveloped in the studied context (Fullan</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2020; Trucano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3AF68E93"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6.5 Curriculum Misalignment</w:t>
      </w:r>
    </w:p>
    <w:p w14:paraId="1FC862DD" w14:textId="78324D7E"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Curriculum misalignment refers to the disconnect between the national curriculum and the socio-economic realities of rural learners (</w:t>
      </w:r>
      <w:r w:rsidR="009D26BC" w:rsidRPr="00084D94">
        <w:rPr>
          <w:rFonts w:ascii="Times New Roman" w:eastAsia="Times New Roman" w:hAnsi="Times New Roman" w:cs="Times New Roman"/>
          <w:kern w:val="0"/>
          <w:sz w:val="24"/>
          <w:szCs w:val="24"/>
          <w14:ligatures w14:val="none"/>
        </w:rPr>
        <w:t>MoPSE, 2021</w:t>
      </w:r>
      <w:r w:rsidR="009D26BC">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 analysis indicates that curricula are often urban-centric and insufficiently responsive to local contexts, particularly in relation to climate resilience, digital literacy, and livelihoods (UNICEF</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65857A5F"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learner commented:</w:t>
      </w:r>
    </w:p>
    <w:p w14:paraId="4CB4704B"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“We learn things that do not help us in our daily lives here in the village.”</w:t>
      </w:r>
    </w:p>
    <w:p w14:paraId="4144C8A9" w14:textId="282827B0"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lastRenderedPageBreak/>
        <w:t>Recent research highlights the need for integrating disaster risk reduction and resilience education into school curricula, as current initiatives remain inadequate in fostering preparedness among learners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IPCC</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06D2C5F4"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A teacher added:</w:t>
      </w:r>
    </w:p>
    <w:p w14:paraId="5F00CADA" w14:textId="7777777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“If the curriculum included farming and climate knowledge, students would benefit more.”</w:t>
      </w:r>
    </w:p>
    <w:p w14:paraId="3C72E34A" w14:textId="0D3DF9FB"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Critically, curriculum misalignment perpetuates systemic inequities by failing to equip learners with relevant skills for their environments (World Bank</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This undermines both educational outcomes and community resilience, reinforcing cycles of vulnerability (UNICEF</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2393E969" w14:textId="77777777" w:rsidR="005A3FD3" w:rsidRPr="00084D94" w:rsidRDefault="005A3FD3" w:rsidP="005A3FD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84D94">
        <w:rPr>
          <w:rFonts w:ascii="Times New Roman" w:eastAsia="Times New Roman" w:hAnsi="Times New Roman" w:cs="Times New Roman"/>
          <w:b/>
          <w:bCs/>
          <w:kern w:val="0"/>
          <w:sz w:val="24"/>
          <w:szCs w:val="24"/>
          <w14:ligatures w14:val="none"/>
        </w:rPr>
        <w:t>7.0 Discussion and Critical Analysis</w:t>
      </w:r>
    </w:p>
    <w:p w14:paraId="274D7B99" w14:textId="1F796F07"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The findings from Inyagui Primary School in Murewa Rural District underscore the urgency of a paradigm shift toward foresight-driven leadership as a strategic response to persistent educational inequities in rural Zimbabwe. Thus, foresight-driven leadership, grounded in anticipatory governance, systems thinking, and long-term planning, enables school leaders to navigate uncertainty while aligning institutional practices with emerging technological and environmental realities (Trucano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UNESCO</w:t>
      </w:r>
      <w:r w:rsidR="009D26BC">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r w:rsidR="009D26BC">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Recent scholarship highlights that integrating digital infrastructure, renewable energy solutions (such as solar-powered learning systems), and futures-oriented curricula enhances institutional adaptability and resilience in resource-constrained settings (World Bank</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UNESCO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In this context, leadership plays a pivotal role in institutionalising innovation, mobilising community partnerships, and embedding adaptive practices within school cultures (Fullan</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2020). However, the transition toward adaptive digital resilience is not merely technical</w:t>
      </w:r>
      <w:r w:rsidR="00AF3535">
        <w:rPr>
          <w:rFonts w:ascii="Times New Roman" w:eastAsia="Times New Roman" w:hAnsi="Times New Roman" w:cs="Times New Roman"/>
          <w:kern w:val="0"/>
          <w:sz w:val="24"/>
          <w:szCs w:val="24"/>
          <w14:ligatures w14:val="none"/>
        </w:rPr>
        <w:t xml:space="preserve"> but</w:t>
      </w:r>
      <w:r w:rsidRPr="00084D94">
        <w:rPr>
          <w:rFonts w:ascii="Times New Roman" w:eastAsia="Times New Roman" w:hAnsi="Times New Roman" w:cs="Times New Roman"/>
          <w:kern w:val="0"/>
          <w:sz w:val="24"/>
          <w:szCs w:val="24"/>
          <w14:ligatures w14:val="none"/>
        </w:rPr>
        <w:t xml:space="preserve"> it requires reconceptualising leadership as a transformative and context-sensitive practice capable of bridging global digital agendas with local realities (Fullan</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2020; Trucano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18654046" w14:textId="7B80AC4E" w:rsidR="005A3FD3" w:rsidRPr="00084D94" w:rsidRDefault="005A3FD3" w:rsidP="005A3FD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4D94">
        <w:rPr>
          <w:rFonts w:ascii="Times New Roman" w:eastAsia="Times New Roman" w:hAnsi="Times New Roman" w:cs="Times New Roman"/>
          <w:kern w:val="0"/>
          <w:sz w:val="24"/>
          <w:szCs w:val="24"/>
          <w14:ligatures w14:val="none"/>
        </w:rPr>
        <w:t>Notwithstanding its promise, the integration of digital resilience and foresight-driven leadership faces critical limitations. Structural constraints remain significant barriers, as inadequate electricity supply, limited internet connectivity, and poor digital infrastructure undermine scalability (World Bank</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ITU</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2023). Leadership capacity gaps persist, with many rural school heads lacking formal training in digital transformation and strategic foresight </w:t>
      </w:r>
      <w:r w:rsidRPr="00084D94">
        <w:rPr>
          <w:rFonts w:ascii="Times New Roman" w:eastAsia="Times New Roman" w:hAnsi="Times New Roman" w:cs="Times New Roman"/>
          <w:kern w:val="0"/>
          <w:sz w:val="24"/>
          <w:szCs w:val="24"/>
          <w14:ligatures w14:val="none"/>
        </w:rPr>
        <w:lastRenderedPageBreak/>
        <w:t>(UNESCO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The policy–practice disconnect</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xml:space="preserve"> further complicates implementation despite progressive ICT policies (MoPSE</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2021; Chigona &amp; Chigona</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w:t>
      </w:r>
      <w:r w:rsidR="00AF3535">
        <w:rPr>
          <w:rFonts w:ascii="Times New Roman" w:eastAsia="Times New Roman" w:hAnsi="Times New Roman" w:cs="Times New Roman"/>
          <w:kern w:val="0"/>
          <w:sz w:val="24"/>
          <w:szCs w:val="24"/>
          <w14:ligatures w14:val="none"/>
        </w:rPr>
        <w:t xml:space="preserve"> </w:t>
      </w:r>
      <w:r w:rsidRPr="00084D94">
        <w:rPr>
          <w:rFonts w:ascii="Times New Roman" w:eastAsia="Times New Roman" w:hAnsi="Times New Roman" w:cs="Times New Roman"/>
          <w:kern w:val="0"/>
          <w:sz w:val="24"/>
          <w:szCs w:val="24"/>
          <w14:ligatures w14:val="none"/>
        </w:rPr>
        <w:t>From a systems perspective, these challenges form a complex adaptive system characterised by feedback loops and non-linear dynamics (UNESCO</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 For example, digital fragility is exacerbated by energy instability, while climate-induced shocks intensify governance and resource constraints, ultimately limiting curriculum responsiveness (World Bank</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2022). Therefore, fostering adaptive digital resilience necessitates foresight-driven leadership that anticipates future risks, integrates indigenous knowledge systems, promotes cross-sector collaboration, and supports flexible curricula. Crucially, resilience-building must remain people-centred, leveraging the lived experiences of rural communities to ensure sustainable transformation (UNICEF</w:t>
      </w:r>
      <w:r w:rsidR="00AF3535">
        <w:rPr>
          <w:rFonts w:ascii="Times New Roman" w:eastAsia="Times New Roman" w:hAnsi="Times New Roman" w:cs="Times New Roman"/>
          <w:kern w:val="0"/>
          <w:sz w:val="24"/>
          <w:szCs w:val="24"/>
          <w14:ligatures w14:val="none"/>
        </w:rPr>
        <w:t>.</w:t>
      </w:r>
      <w:r w:rsidRPr="00084D94">
        <w:rPr>
          <w:rFonts w:ascii="Times New Roman" w:eastAsia="Times New Roman" w:hAnsi="Times New Roman" w:cs="Times New Roman"/>
          <w:kern w:val="0"/>
          <w:sz w:val="24"/>
          <w:szCs w:val="24"/>
          <w14:ligatures w14:val="none"/>
        </w:rPr>
        <w:t>, 2023).</w:t>
      </w:r>
    </w:p>
    <w:p w14:paraId="224A9051" w14:textId="6F1FE803" w:rsidR="00726BC3" w:rsidRPr="004E77F1" w:rsidRDefault="00726BC3" w:rsidP="004E77F1">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4E77F1">
        <w:rPr>
          <w:rFonts w:ascii="Times New Roman" w:eastAsia="Times New Roman" w:hAnsi="Times New Roman" w:cs="Times New Roman"/>
          <w:b/>
          <w:bCs/>
          <w:kern w:val="0"/>
          <w:sz w:val="24"/>
          <w:szCs w:val="24"/>
          <w14:ligatures w14:val="none"/>
        </w:rPr>
        <w:t>8.0 Policy Recommendations</w:t>
      </w:r>
    </w:p>
    <w:p w14:paraId="785B18CA" w14:textId="3B653DFD" w:rsidR="00C62A6A" w:rsidRPr="00C62A6A" w:rsidRDefault="00C62A6A" w:rsidP="002C776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Strengthening rural primary education in Zimbabwe necessitates a systemic policy approach that integrates adaptive digital resilience with foresight-driven leadership, particularly in under-resourced contexts such as Inyagui Primary School in Murewa Rural District (UNESCO</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World Bank</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2023). </w:t>
      </w:r>
      <w:r w:rsidR="00AF3535">
        <w:rPr>
          <w:rFonts w:ascii="Times New Roman" w:eastAsia="Times New Roman" w:hAnsi="Times New Roman" w:cs="Times New Roman"/>
          <w:kern w:val="0"/>
          <w:sz w:val="24"/>
          <w:szCs w:val="24"/>
          <w14:ligatures w14:val="none"/>
        </w:rPr>
        <w:t>Thus, i</w:t>
      </w:r>
      <w:r w:rsidRPr="00C62A6A">
        <w:rPr>
          <w:rFonts w:ascii="Times New Roman" w:eastAsia="Times New Roman" w:hAnsi="Times New Roman" w:cs="Times New Roman"/>
          <w:kern w:val="0"/>
          <w:sz w:val="24"/>
          <w:szCs w:val="24"/>
          <w14:ligatures w14:val="none"/>
        </w:rPr>
        <w:t>nfrastructure development must move beyond conventional electrification strategies toward scalable, solar-powered ICT ecosystems that ensure continuity of learning despite persistent energy instability (I</w:t>
      </w:r>
      <w:r w:rsidR="002C7766">
        <w:rPr>
          <w:rFonts w:ascii="Times New Roman" w:eastAsia="Times New Roman" w:hAnsi="Times New Roman" w:cs="Times New Roman"/>
          <w:kern w:val="0"/>
          <w:sz w:val="24"/>
          <w:szCs w:val="24"/>
          <w14:ligatures w14:val="none"/>
        </w:rPr>
        <w:t>EA.</w:t>
      </w:r>
      <w:r w:rsidRPr="00C62A6A">
        <w:rPr>
          <w:rFonts w:ascii="Times New Roman" w:eastAsia="Times New Roman" w:hAnsi="Times New Roman" w:cs="Times New Roman"/>
          <w:kern w:val="0"/>
          <w:sz w:val="24"/>
          <w:szCs w:val="24"/>
          <w14:ligatures w14:val="none"/>
        </w:rPr>
        <w:t>, 2023; UNICEF</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Evidence from Sub-Saharan Africa indicates that decentralized renewable energy solutions significantly enhance digital inclusion in rural schools while reducing operational vulnerabilities (IEA., 2023; UNESCO., 2023). However, infrastructure investments alone are insufficient without parallel leadership transformation (OECD</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2022). </w:t>
      </w:r>
      <w:r w:rsidR="00AF3535">
        <w:rPr>
          <w:rFonts w:ascii="Times New Roman" w:eastAsia="Times New Roman" w:hAnsi="Times New Roman" w:cs="Times New Roman"/>
          <w:kern w:val="0"/>
          <w:sz w:val="24"/>
          <w:szCs w:val="24"/>
          <w14:ligatures w14:val="none"/>
        </w:rPr>
        <w:t>Thus, d</w:t>
      </w:r>
      <w:r w:rsidRPr="00C62A6A">
        <w:rPr>
          <w:rFonts w:ascii="Times New Roman" w:eastAsia="Times New Roman" w:hAnsi="Times New Roman" w:cs="Times New Roman"/>
          <w:kern w:val="0"/>
          <w:sz w:val="24"/>
          <w:szCs w:val="24"/>
          <w14:ligatures w14:val="none"/>
        </w:rPr>
        <w:t>eveloping school leaders’ capacity in digital leadership and strategic foresight is critical for anticipating disruptions and aligning school-level innovation with national policy frameworks (OECD., 2022; G</w:t>
      </w:r>
      <w:r w:rsidR="002C7766">
        <w:rPr>
          <w:rFonts w:ascii="Times New Roman" w:eastAsia="Times New Roman" w:hAnsi="Times New Roman" w:cs="Times New Roman"/>
          <w:kern w:val="0"/>
          <w:sz w:val="24"/>
          <w:szCs w:val="24"/>
          <w14:ligatures w14:val="none"/>
        </w:rPr>
        <w:t>EM</w:t>
      </w:r>
      <w:r w:rsidRPr="00C62A6A">
        <w:rPr>
          <w:rFonts w:ascii="Times New Roman" w:eastAsia="Times New Roman" w:hAnsi="Times New Roman" w:cs="Times New Roman"/>
          <w:kern w:val="0"/>
          <w:sz w:val="24"/>
          <w:szCs w:val="24"/>
          <w14:ligatures w14:val="none"/>
        </w:rPr>
        <w:t xml:space="preserve"> Report</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Recent studies emphasize that foresight-driven leadership enhances institutional adaptability and long-term planning in education systems facing uncertainty (Riel Miller</w:t>
      </w:r>
      <w:r w:rsidR="002C7766">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2018; OECD., 2022). In Zimbabwe, policy alignment remains a persistent gap, where well-articulated national ICT and education strategies often suffer from weak implementation and monitoring mechanisms (</w:t>
      </w:r>
      <w:r w:rsidRPr="00C62A6A">
        <w:rPr>
          <w:rFonts w:ascii="Times New Roman" w:eastAsia="Times New Roman" w:hAnsi="Times New Roman" w:cs="Times New Roman"/>
          <w:kern w:val="0"/>
          <w:sz w:val="24"/>
          <w:szCs w:val="24"/>
          <w:highlight w:val="yellow"/>
          <w14:ligatures w14:val="none"/>
        </w:rPr>
        <w:t>M</w:t>
      </w:r>
      <w:r w:rsidR="00AF3535">
        <w:rPr>
          <w:rFonts w:ascii="Times New Roman" w:eastAsia="Times New Roman" w:hAnsi="Times New Roman" w:cs="Times New Roman"/>
          <w:kern w:val="0"/>
          <w:sz w:val="24"/>
          <w:szCs w:val="24"/>
          <w:highlight w:val="yellow"/>
          <w14:ligatures w14:val="none"/>
        </w:rPr>
        <w:t>o</w:t>
      </w:r>
      <w:r w:rsidR="00AF3535" w:rsidRPr="00AF3535">
        <w:rPr>
          <w:rFonts w:ascii="Times New Roman" w:eastAsia="Times New Roman" w:hAnsi="Times New Roman" w:cs="Times New Roman"/>
          <w:kern w:val="0"/>
          <w:sz w:val="24"/>
          <w:szCs w:val="24"/>
          <w:highlight w:val="yellow"/>
          <w14:ligatures w14:val="none"/>
        </w:rPr>
        <w:t>PSE</w:t>
      </w:r>
      <w:r w:rsidR="00AF3535">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World Bank., 2023). Therefore, strengthening accountability frameworks and embedding data-driven monitoring systems are essential to translate policy intent into measurable outcomes (UNESCO., 2023; World Bank., 2023).</w:t>
      </w:r>
    </w:p>
    <w:p w14:paraId="59D305E7" w14:textId="4E2C0D86" w:rsidR="00C62A6A" w:rsidRPr="00C62A6A" w:rsidRDefault="00C62A6A" w:rsidP="002C776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lastRenderedPageBreak/>
        <w:t>Equally important is the role of community engagement and contextual innovation in sustaining digital transformation in rural schools (UNICEF., 2022; World Bank., 2023). In fact, community engagement in rural schools thrives when parents, local leaders, and organizations actively participate in shaping digital initiatives (UNESCO., 2023). In this case, engagement ensures that technology adoption aligns with cultural values, local needs, and available resources (UNICEF., 2022). It also builds trust, ownership, and accountability, making digital transformation more sustainable (World Bank., 2023). Empirical evidence shows that community ownership, through school development committees and local partnerships, significantly improves the sustainability of educational interventions in low-resource settings (World Bank., 2023). In the case of Inyagui Primary School, leveraging local knowledge systems and fostering participatory governance can enhance the uptake and maintenance of digital initiatives (UNESCO., 2023). Furthermore, promoting low-cost, offline-capable, and locally adaptable technologies addresses infrastructural and connectivity constraints while ensuring inclusivity (UNICEF., 2022; UNESCO., 2023). Policy should therefore prioriti</w:t>
      </w:r>
      <w:r w:rsidR="00AF3535">
        <w:rPr>
          <w:rFonts w:ascii="Times New Roman" w:eastAsia="Times New Roman" w:hAnsi="Times New Roman" w:cs="Times New Roman"/>
          <w:kern w:val="0"/>
          <w:sz w:val="24"/>
          <w:szCs w:val="24"/>
          <w14:ligatures w14:val="none"/>
        </w:rPr>
        <w:t>s</w:t>
      </w:r>
      <w:r w:rsidRPr="00C62A6A">
        <w:rPr>
          <w:rFonts w:ascii="Times New Roman" w:eastAsia="Times New Roman" w:hAnsi="Times New Roman" w:cs="Times New Roman"/>
          <w:kern w:val="0"/>
          <w:sz w:val="24"/>
          <w:szCs w:val="24"/>
          <w14:ligatures w14:val="none"/>
        </w:rPr>
        <w:t>e the institutionali</w:t>
      </w:r>
      <w:r w:rsidR="00AF3535">
        <w:rPr>
          <w:rFonts w:ascii="Times New Roman" w:eastAsia="Times New Roman" w:hAnsi="Times New Roman" w:cs="Times New Roman"/>
          <w:kern w:val="0"/>
          <w:sz w:val="24"/>
          <w:szCs w:val="24"/>
          <w14:ligatures w14:val="none"/>
        </w:rPr>
        <w:t>s</w:t>
      </w:r>
      <w:r w:rsidRPr="00C62A6A">
        <w:rPr>
          <w:rFonts w:ascii="Times New Roman" w:eastAsia="Times New Roman" w:hAnsi="Times New Roman" w:cs="Times New Roman"/>
          <w:kern w:val="0"/>
          <w:sz w:val="24"/>
          <w:szCs w:val="24"/>
          <w14:ligatures w14:val="none"/>
        </w:rPr>
        <w:t>ation of foresight practices within school leadership structures, investment in solar energy systems, expansion of teacher professional development in digital pedagogy, and the integration of futures literacy and green skills into the curriculum (OECD., 2022; UNESCO., 2023). Such an approach aligns with emerging global priorities that position education as a driver of sustainable development and resilience (UNESCO., 2023; World Bank., 2023). Ultimately, a holistic policy framework that combines technological investment, leadership innovation, and community partnership offers a viable pathway for transforming rural primary education in Zimbabwe into a resilient and future-oriented system (OECD., 2022; UNESCO., 2023).</w:t>
      </w:r>
    </w:p>
    <w:p w14:paraId="4300BB5B" w14:textId="77777777" w:rsidR="00C62A6A" w:rsidRPr="00C62A6A" w:rsidRDefault="00C62A6A" w:rsidP="00C62A6A">
      <w:pPr>
        <w:pBdr>
          <w:bottom w:val="single" w:sz="6" w:space="1" w:color="auto"/>
        </w:pBdr>
        <w:spacing w:after="0" w:line="240" w:lineRule="auto"/>
        <w:jc w:val="center"/>
        <w:rPr>
          <w:rFonts w:ascii="Arial" w:eastAsia="Times New Roman" w:hAnsi="Arial" w:cs="Arial"/>
          <w:vanish/>
          <w:kern w:val="0"/>
          <w:sz w:val="16"/>
          <w:szCs w:val="16"/>
          <w14:ligatures w14:val="none"/>
        </w:rPr>
      </w:pPr>
      <w:r w:rsidRPr="00C62A6A">
        <w:rPr>
          <w:rFonts w:ascii="Arial" w:eastAsia="Times New Roman" w:hAnsi="Arial" w:cs="Arial"/>
          <w:vanish/>
          <w:kern w:val="0"/>
          <w:sz w:val="16"/>
          <w:szCs w:val="16"/>
          <w14:ligatures w14:val="none"/>
        </w:rPr>
        <w:t>Top of Form</w:t>
      </w:r>
    </w:p>
    <w:p w14:paraId="0E206528" w14:textId="77777777" w:rsidR="00C62A6A" w:rsidRPr="00C62A6A" w:rsidRDefault="00C62A6A" w:rsidP="00C62A6A">
      <w:pPr>
        <w:pBdr>
          <w:top w:val="single" w:sz="6" w:space="1" w:color="auto"/>
        </w:pBdr>
        <w:spacing w:after="0" w:line="240" w:lineRule="auto"/>
        <w:jc w:val="center"/>
        <w:rPr>
          <w:rFonts w:ascii="Arial" w:eastAsia="Times New Roman" w:hAnsi="Arial" w:cs="Arial"/>
          <w:vanish/>
          <w:kern w:val="0"/>
          <w:sz w:val="16"/>
          <w:szCs w:val="16"/>
          <w14:ligatures w14:val="none"/>
        </w:rPr>
      </w:pPr>
      <w:r w:rsidRPr="00C62A6A">
        <w:rPr>
          <w:rFonts w:ascii="Arial" w:eastAsia="Times New Roman" w:hAnsi="Arial" w:cs="Arial"/>
          <w:vanish/>
          <w:kern w:val="0"/>
          <w:sz w:val="16"/>
          <w:szCs w:val="16"/>
          <w14:ligatures w14:val="none"/>
        </w:rPr>
        <w:t>Bottom of Form</w:t>
      </w:r>
    </w:p>
    <w:p w14:paraId="531F2BC7" w14:textId="77777777" w:rsidR="00184625" w:rsidRPr="00184625" w:rsidRDefault="00184625" w:rsidP="00184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184625">
        <w:rPr>
          <w:rFonts w:ascii="Courier New" w:eastAsia="Times New Roman" w:hAnsi="Courier New" w:cs="Courier New"/>
          <w:kern w:val="0"/>
          <w:sz w:val="20"/>
          <w:szCs w:val="20"/>
          <w14:ligatures w14:val="none"/>
        </w:rPr>
        <w:t xml:space="preserve">                ┌───────────────────────────────┐</w:t>
      </w:r>
      <w:r w:rsidRPr="00184625">
        <w:rPr>
          <w:rFonts w:ascii="Courier New" w:eastAsia="Times New Roman" w:hAnsi="Courier New" w:cs="Courier New"/>
          <w:kern w:val="0"/>
          <w:sz w:val="20"/>
          <w:szCs w:val="20"/>
          <w14:ligatures w14:val="none"/>
        </w:rPr>
        <w:br/>
        <w:t xml:space="preserve">                │     Strategic Foresight       │</w:t>
      </w:r>
      <w:r w:rsidRPr="00184625">
        <w:rPr>
          <w:rFonts w:ascii="Courier New" w:eastAsia="Times New Roman" w:hAnsi="Courier New" w:cs="Courier New"/>
          <w:kern w:val="0"/>
          <w:sz w:val="20"/>
          <w:szCs w:val="20"/>
          <w14:ligatures w14:val="none"/>
        </w:rPr>
        <w:br/>
        <w:t xml:space="preserve">                │  (Future Scenarios, Horizon    │</w:t>
      </w:r>
      <w:r w:rsidRPr="00184625">
        <w:rPr>
          <w:rFonts w:ascii="Courier New" w:eastAsia="Times New Roman" w:hAnsi="Courier New" w:cs="Courier New"/>
          <w:kern w:val="0"/>
          <w:sz w:val="20"/>
          <w:szCs w:val="20"/>
          <w14:ligatures w14:val="none"/>
        </w:rPr>
        <w:br/>
        <w:t xml:space="preserve">                │  Scanning, Long</w:t>
      </w:r>
      <w:r w:rsidRPr="00184625">
        <w:rPr>
          <w:rFonts w:ascii="Courier New" w:eastAsia="Times New Roman" w:hAnsi="Courier New" w:cs="Courier New"/>
          <w:kern w:val="0"/>
          <w:sz w:val="20"/>
          <w:szCs w:val="20"/>
          <w14:ligatures w14:val="none"/>
        </w:rPr>
        <w:noBreakHyphen/>
        <w:t>Term Vision)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    Anticipatory Governance    │</w:t>
      </w:r>
      <w:r w:rsidRPr="00184625">
        <w:rPr>
          <w:rFonts w:ascii="Courier New" w:eastAsia="Times New Roman" w:hAnsi="Courier New" w:cs="Courier New"/>
          <w:kern w:val="0"/>
          <w:sz w:val="20"/>
          <w:szCs w:val="20"/>
          <w14:ligatures w14:val="none"/>
        </w:rPr>
        <w:br/>
        <w:t xml:space="preserve">                │ (Adaptive Policymaking,      │</w:t>
      </w:r>
      <w:r w:rsidRPr="00184625">
        <w:rPr>
          <w:rFonts w:ascii="Courier New" w:eastAsia="Times New Roman" w:hAnsi="Courier New" w:cs="Courier New"/>
          <w:kern w:val="0"/>
          <w:sz w:val="20"/>
          <w:szCs w:val="20"/>
          <w14:ligatures w14:val="none"/>
        </w:rPr>
        <w:br/>
        <w:t xml:space="preserve">                │  Inclusive Decision Processes)│</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 Digital      │ Institutional           │ Adaptive      │</w:t>
      </w:r>
      <w:r w:rsidRPr="00184625">
        <w:rPr>
          <w:rFonts w:ascii="Courier New" w:eastAsia="Times New Roman" w:hAnsi="Courier New" w:cs="Courier New"/>
          <w:kern w:val="0"/>
          <w:sz w:val="20"/>
          <w:szCs w:val="20"/>
          <w14:ligatures w14:val="none"/>
        </w:rPr>
        <w:br/>
        <w:t xml:space="preserve">        │ Resilience   │ Resilience              │ Leadership    │</w:t>
      </w:r>
      <w:r w:rsidRPr="00184625">
        <w:rPr>
          <w:rFonts w:ascii="Courier New" w:eastAsia="Times New Roman" w:hAnsi="Courier New" w:cs="Courier New"/>
          <w:kern w:val="0"/>
          <w:sz w:val="20"/>
          <w:szCs w:val="20"/>
          <w14:ligatures w14:val="none"/>
        </w:rPr>
        <w:br/>
        <w:t xml:space="preserve">        │ (ICT, infra) │ (School systems,        │ (Foresight</w:t>
      </w:r>
      <w:r w:rsidRPr="00184625">
        <w:rPr>
          <w:rFonts w:ascii="Courier New" w:eastAsia="Times New Roman" w:hAnsi="Courier New" w:cs="Courier New"/>
          <w:kern w:val="0"/>
          <w:sz w:val="20"/>
          <w:szCs w:val="20"/>
          <w14:ligatures w14:val="none"/>
        </w:rPr>
        <w:noBreakHyphen/>
        <w:t xml:space="preserve">   │</w:t>
      </w:r>
      <w:r w:rsidRPr="00184625">
        <w:rPr>
          <w:rFonts w:ascii="Courier New" w:eastAsia="Times New Roman" w:hAnsi="Courier New" w:cs="Courier New"/>
          <w:kern w:val="0"/>
          <w:sz w:val="20"/>
          <w:szCs w:val="20"/>
          <w14:ligatures w14:val="none"/>
        </w:rPr>
        <w:br/>
        <w:t xml:space="preserve">        │              │  governance, culture)   │ driven leaders)│</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r>
      <w:r w:rsidRPr="00184625">
        <w:rPr>
          <w:rFonts w:ascii="Courier New" w:eastAsia="Times New Roman" w:hAnsi="Courier New" w:cs="Courier New"/>
          <w:kern w:val="0"/>
          <w:sz w:val="20"/>
          <w:szCs w:val="20"/>
          <w14:ligatures w14:val="none"/>
        </w:rPr>
        <w:lastRenderedPageBreak/>
        <w:t xml:space="preserve">                               ↓</w:t>
      </w:r>
      <w:r w:rsidRPr="00184625">
        <w:rPr>
          <w:rFonts w:ascii="Courier New" w:eastAsia="Times New Roman" w:hAnsi="Courier New" w:cs="Courier New"/>
          <w:kern w:val="0"/>
          <w:sz w:val="20"/>
          <w:szCs w:val="20"/>
          <w14:ligatures w14:val="none"/>
        </w:rPr>
        <w:br/>
        <w:t xml:space="preserve">                   ┌─────────────────────────┐</w:t>
      </w:r>
      <w:r w:rsidRPr="00184625">
        <w:rPr>
          <w:rFonts w:ascii="Courier New" w:eastAsia="Times New Roman" w:hAnsi="Courier New" w:cs="Courier New"/>
          <w:kern w:val="0"/>
          <w:sz w:val="20"/>
          <w:szCs w:val="20"/>
          <w14:ligatures w14:val="none"/>
        </w:rPr>
        <w:br/>
        <w:t xml:space="preserve">                   │  Future</w:t>
      </w:r>
      <w:r w:rsidRPr="00184625">
        <w:rPr>
          <w:rFonts w:ascii="Courier New" w:eastAsia="Times New Roman" w:hAnsi="Courier New" w:cs="Courier New"/>
          <w:kern w:val="0"/>
          <w:sz w:val="20"/>
          <w:szCs w:val="20"/>
          <w14:ligatures w14:val="none"/>
        </w:rPr>
        <w:noBreakHyphen/>
        <w:t>Ready Primary   │</w:t>
      </w:r>
      <w:r w:rsidRPr="00184625">
        <w:rPr>
          <w:rFonts w:ascii="Courier New" w:eastAsia="Times New Roman" w:hAnsi="Courier New" w:cs="Courier New"/>
          <w:kern w:val="0"/>
          <w:sz w:val="20"/>
          <w:szCs w:val="20"/>
          <w14:ligatures w14:val="none"/>
        </w:rPr>
        <w:br/>
        <w:t xml:space="preserve">                   │  Education System in    │</w:t>
      </w:r>
      <w:r w:rsidRPr="00184625">
        <w:rPr>
          <w:rFonts w:ascii="Courier New" w:eastAsia="Times New Roman" w:hAnsi="Courier New" w:cs="Courier New"/>
          <w:kern w:val="0"/>
          <w:sz w:val="20"/>
          <w:szCs w:val="20"/>
          <w14:ligatures w14:val="none"/>
        </w:rPr>
        <w:br/>
        <w:t xml:space="preserve">                   │  Rural Zimbabwe         │</w:t>
      </w:r>
      <w:r w:rsidRPr="00184625">
        <w:rPr>
          <w:rFonts w:ascii="Courier New" w:eastAsia="Times New Roman" w:hAnsi="Courier New" w:cs="Courier New"/>
          <w:kern w:val="0"/>
          <w:sz w:val="20"/>
          <w:szCs w:val="20"/>
          <w14:ligatures w14:val="none"/>
        </w:rPr>
        <w:br/>
        <w:t xml:space="preserve">                   └─────────────────────────┘</w:t>
      </w:r>
    </w:p>
    <w:p w14:paraId="1ADC0F7B" w14:textId="77777777" w:rsidR="00714B23" w:rsidRPr="00184625" w:rsidRDefault="000F3E37" w:rsidP="00714B2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lang w:val="en-GB"/>
          <w14:ligatures w14:val="none"/>
        </w:rPr>
        <w:t xml:space="preserve">Fig 2: </w:t>
      </w:r>
      <w:r w:rsidR="00714B23" w:rsidRPr="00726BC3">
        <w:rPr>
          <w:rFonts w:ascii="Times New Roman" w:eastAsia="Times New Roman" w:hAnsi="Times New Roman" w:cs="Times New Roman"/>
          <w:b/>
          <w:bCs/>
          <w:kern w:val="0"/>
          <w:sz w:val="24"/>
          <w:szCs w:val="24"/>
          <w14:ligatures w14:val="none"/>
        </w:rPr>
        <w:t>Policy Framework Model</w:t>
      </w:r>
      <w:r w:rsidR="00714B23">
        <w:rPr>
          <w:rFonts w:ascii="Times New Roman" w:eastAsia="Times New Roman" w:hAnsi="Times New Roman" w:cs="Times New Roman"/>
          <w:b/>
          <w:bCs/>
          <w:kern w:val="0"/>
          <w:sz w:val="24"/>
          <w:szCs w:val="24"/>
          <w14:ligatures w14:val="none"/>
        </w:rPr>
        <w:t xml:space="preserve"> </w:t>
      </w:r>
      <w:r w:rsidR="00714B23" w:rsidRPr="00184625">
        <w:rPr>
          <w:rFonts w:ascii="Times New Roman" w:eastAsia="Times New Roman" w:hAnsi="Times New Roman" w:cs="Times New Roman"/>
          <w:b/>
          <w:bCs/>
          <w:kern w:val="0"/>
          <w:sz w:val="24"/>
          <w:szCs w:val="24"/>
          <w14:ligatures w14:val="none"/>
        </w:rPr>
        <w:t>for Strengthening Rural Primary Education in Zimbabwe</w:t>
      </w:r>
    </w:p>
    <w:p w14:paraId="6DDF60DC" w14:textId="141E8037" w:rsidR="00184625" w:rsidRPr="000F3E37" w:rsidRDefault="00184625" w:rsidP="00184625">
      <w:pPr>
        <w:spacing w:after="0" w:line="240" w:lineRule="auto"/>
        <w:rPr>
          <w:rFonts w:ascii="Times New Roman" w:eastAsia="Times New Roman" w:hAnsi="Times New Roman" w:cs="Times New Roman"/>
          <w:kern w:val="0"/>
          <w:sz w:val="24"/>
          <w:szCs w:val="24"/>
          <w:lang w:val="en-GB"/>
          <w14:ligatures w14:val="none"/>
        </w:rPr>
      </w:pPr>
    </w:p>
    <w:p w14:paraId="129864BD" w14:textId="77777777" w:rsidR="00184625" w:rsidRPr="00184625" w:rsidRDefault="00184625" w:rsidP="0018462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84625">
        <w:rPr>
          <w:rFonts w:ascii="Times New Roman" w:eastAsia="Times New Roman" w:hAnsi="Times New Roman" w:cs="Times New Roman"/>
          <w:b/>
          <w:bCs/>
          <w:kern w:val="0"/>
          <w:sz w:val="24"/>
          <w:szCs w:val="24"/>
          <w14:ligatures w14:val="none"/>
        </w:rPr>
        <w:t xml:space="preserve">Source: </w:t>
      </w:r>
      <w:r w:rsidRPr="00184625">
        <w:rPr>
          <w:rFonts w:ascii="Times New Roman" w:eastAsia="Times New Roman" w:hAnsi="Times New Roman" w:cs="Times New Roman"/>
          <w:kern w:val="0"/>
          <w:sz w:val="24"/>
          <w:szCs w:val="24"/>
          <w14:ligatures w14:val="none"/>
        </w:rPr>
        <w:t>Authors</w:t>
      </w:r>
    </w:p>
    <w:p w14:paraId="19DEE53E" w14:textId="1BF47279"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Rural primary education in Zimbabwe continues to face systemic challenges related to limited digital infrastructure, constrained human capacity, and reactive policy approaches that inadequately address long-term developmental needs. These shortcomings became starkly evident during crises such as COVID-19, where schools with weak digital capacity struggled to sustain learning continuity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Contemporary policy scholarship advocates for future-oriented and resilience-based frameworks that explicitly integrate strategic foresight, anticipatory governance, digital resilience, institutional resilience, and adaptive leadership to enable rural schools to become future-ready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w:t>
      </w:r>
    </w:p>
    <w:p w14:paraId="170D300D"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9.1 Strategic Foresight as Foundation</w:t>
      </w:r>
    </w:p>
    <w:p w14:paraId="6FF922DC" w14:textId="4C7075AB"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Strategic foresight refers to systematic efforts to explore plausible futures and inform policy decision-making in the present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It goes beyond simple forecasting by involving horizon scanning, trend analysis, and participatory scenario planning, enabling educational policymakers and school leaders to anticipate emerging challenges and opportunities (Miller</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2018;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In rural education, strategic foresight can align educational goals with broader technological and economic shifts, for example, understanding how Fourth Industrial Revolution (4IR) technologies may affect learning needs and employability in rural Zimbabwe (WEF</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Rural schools in Zimbabwe often lack robust digital learning ecologies, risking marginalisation as global educational practices evolve (Chidakwa &amp; Khanare</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2024).</w:t>
      </w:r>
    </w:p>
    <w:p w14:paraId="43BB3E58"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9.2 Anticipatory Governance: Embedding Future Orientation</w:t>
      </w:r>
    </w:p>
    <w:p w14:paraId="01538985" w14:textId="2E85706F"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Anticipatory governance institutionalises strategic foresight within policy systems by enabling proactive, rather than reactive, responses to change (Fuerth &amp; Faber</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2012;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2025). It emphasises inclusive decision processes, data-driven intelligence, and adaptive policy cycles </w:t>
      </w:r>
      <w:r w:rsidRPr="00C62A6A">
        <w:rPr>
          <w:rFonts w:ascii="Times New Roman" w:eastAsia="Times New Roman" w:hAnsi="Times New Roman" w:cs="Times New Roman"/>
          <w:kern w:val="0"/>
          <w:sz w:val="24"/>
          <w:szCs w:val="24"/>
          <w14:ligatures w14:val="none"/>
        </w:rPr>
        <w:lastRenderedPageBreak/>
        <w:t>(OECD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Rather than traditional top-down planning, anticipatory governance encourages schools and education authorities to co-produce knowledge with stakeholders, including teachers, parents, and community leaders, and to anticipate shifts in rural socio-economic contexts (Poli</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2019). This shift mirrors broader governance research that demonstrates anticipatory practices support resilience across sectors by aligning policy with long-term goals and cross-sectoral realities (Boyd et al., 2015). In the Zimbabwean rural context, anticipatory governance challenges include limited data systems, weak institutional capacity, and funding constraints, reinforcing the need for tailored frameworks sensitive to local contexts.</w:t>
      </w:r>
    </w:p>
    <w:p w14:paraId="7CCF54BB"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9.3 Digital Resilience: Bridging the Digital Divide</w:t>
      </w:r>
    </w:p>
    <w:p w14:paraId="38F28A96" w14:textId="4143E2C5"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Digital resilience refers to a system’s ability to maintain operational functionality in the face of digital disruption or change (UNICEF</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In education, it implies robust ICT infrastructure, teacher digital literacy, and accessible e-learning resources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Rural Zimbabwe faces persistent digital divides due to limited connectivity and resources, undermining educational continuity and innovation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Chidakwa &amp; Khanare</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2024). A policy framework must prioritise digital resilience by expanding rural broadband access, investing in hybrid teaching modalities, and strengthening teacher training in digital pedagogy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Trucano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Such investments increase the adaptability of rural schools to disruptions like pandemics, climate shocks, or socio-economic shifts (UNICEF</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Moreover, emerging research highlights th</w:t>
      </w:r>
      <w:r>
        <w:rPr>
          <w:rFonts w:ascii="Times New Roman" w:eastAsia="Times New Roman" w:hAnsi="Times New Roman" w:cs="Times New Roman"/>
          <w:kern w:val="0"/>
          <w:sz w:val="24"/>
          <w:szCs w:val="24"/>
          <w14:ligatures w14:val="none"/>
        </w:rPr>
        <w:t>ese</w:t>
      </w:r>
      <w:r w:rsidRPr="00C62A6A">
        <w:rPr>
          <w:rFonts w:ascii="Times New Roman" w:eastAsia="Times New Roman" w:hAnsi="Times New Roman" w:cs="Times New Roman"/>
          <w:kern w:val="0"/>
          <w:sz w:val="24"/>
          <w:szCs w:val="24"/>
          <w14:ligatures w14:val="none"/>
        </w:rPr>
        <w:t xml:space="preserve"> institutional conditions, including governance capacity and localisation of technology, determine whether digital investments yield equitable and sustainable development outcomes (Toyama</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2015;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w:t>
      </w:r>
    </w:p>
    <w:p w14:paraId="4BBB7D39"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9.4 Institutional Resilience: Sustaining Systems Under Stress</w:t>
      </w:r>
    </w:p>
    <w:p w14:paraId="72BFE0A6" w14:textId="5BDBA3AF"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Institutional resilience refers to the capacity of educational systems to absorb shocks, adjust structures, and maintain core functions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2021). For rural primary schools, this includes effective leadership, clear governance mechanisms, and robust accountability systems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Institutional resilience is enhanced when strategic foresight and anticipatory governance are embedded within school management processes, supporting flexible curriculum adaptation, resource mobilisation, and community engagement (</w:t>
      </w:r>
      <w:r w:rsidR="007E3303" w:rsidRPr="00C62A6A">
        <w:rPr>
          <w:rFonts w:ascii="Times New Roman" w:eastAsia="Times New Roman" w:hAnsi="Times New Roman" w:cs="Times New Roman"/>
          <w:kern w:val="0"/>
          <w:sz w:val="24"/>
          <w:szCs w:val="24"/>
          <w14:ligatures w14:val="none"/>
        </w:rPr>
        <w:t>Boyd et al., 2015</w:t>
      </w:r>
      <w:r w:rsidR="007E3303">
        <w:rPr>
          <w:rFonts w:ascii="Times New Roman" w:eastAsia="Times New Roman" w:hAnsi="Times New Roman" w:cs="Times New Roman"/>
          <w:kern w:val="0"/>
          <w:sz w:val="24"/>
          <w:szCs w:val="24"/>
          <w14:ligatures w14:val="none"/>
        </w:rPr>
        <w:t xml:space="preserve">; </w:t>
      </w:r>
      <w:r w:rsidRPr="00C62A6A">
        <w:rPr>
          <w:rFonts w:ascii="Times New Roman" w:eastAsia="Times New Roman" w:hAnsi="Times New Roman" w:cs="Times New Roman"/>
          <w:kern w:val="0"/>
          <w:sz w:val="24"/>
          <w:szCs w:val="24"/>
          <w14:ligatures w14:val="none"/>
        </w:rPr>
        <w:t>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2021). Institutional resilience is essential for coping with Zimbabwe’s </w:t>
      </w:r>
      <w:r w:rsidRPr="00C62A6A">
        <w:rPr>
          <w:rFonts w:ascii="Times New Roman" w:eastAsia="Times New Roman" w:hAnsi="Times New Roman" w:cs="Times New Roman"/>
          <w:kern w:val="0"/>
          <w:sz w:val="24"/>
          <w:szCs w:val="24"/>
          <w14:ligatures w14:val="none"/>
        </w:rPr>
        <w:lastRenderedPageBreak/>
        <w:t>specific challenges, including resource scarcity, environmental shocks, and demographic change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It also supports continuity not only during crises but also through systemic transformation towards equity and quality (UNESCO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w:t>
      </w:r>
    </w:p>
    <w:p w14:paraId="461A448E"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9.5 Adaptive Leadership: Driving Change</w:t>
      </w:r>
    </w:p>
    <w:p w14:paraId="78C4C5FD" w14:textId="4908A125"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Adaptive leadership is the capacity of leaders to steer organisations through complex change, mobilising internal and external stakeholders, and learning from feedback loops (Heifetz et al., 2009). In rural education, adaptive leaders cultivate a culture of innovation, anticipate future needs, and integrate foresight into everyday decision-making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Leadership that embraces long-term thinking, collaborative governance, and digital innovation acts as the linchpin connecting foresight, resilience, and policy implementation (Fullan</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xml:space="preserve">, 2020). </w:t>
      </w:r>
      <w:r w:rsidR="007E3303">
        <w:rPr>
          <w:rFonts w:ascii="Times New Roman" w:eastAsia="Times New Roman" w:hAnsi="Times New Roman" w:cs="Times New Roman"/>
          <w:kern w:val="0"/>
          <w:sz w:val="24"/>
          <w:szCs w:val="24"/>
          <w14:ligatures w14:val="none"/>
        </w:rPr>
        <w:t>Therefore, w</w:t>
      </w:r>
      <w:r w:rsidRPr="00C62A6A">
        <w:rPr>
          <w:rFonts w:ascii="Times New Roman" w:eastAsia="Times New Roman" w:hAnsi="Times New Roman" w:cs="Times New Roman"/>
          <w:kern w:val="0"/>
          <w:sz w:val="24"/>
          <w:szCs w:val="24"/>
          <w14:ligatures w14:val="none"/>
        </w:rPr>
        <w:t>ithout such leadership, even the most sophisticated policy frameworks fail to produce sustained impact.</w:t>
      </w:r>
    </w:p>
    <w:p w14:paraId="2FEC62E9" w14:textId="77777777" w:rsidR="00C62A6A" w:rsidRPr="00C62A6A" w:rsidRDefault="00C62A6A" w:rsidP="00C62A6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C62A6A">
        <w:rPr>
          <w:rFonts w:ascii="Times New Roman" w:eastAsia="Times New Roman" w:hAnsi="Times New Roman" w:cs="Times New Roman"/>
          <w:b/>
          <w:bCs/>
          <w:kern w:val="0"/>
          <w:sz w:val="24"/>
          <w:szCs w:val="24"/>
          <w14:ligatures w14:val="none"/>
        </w:rPr>
        <w:t>9.6 Critical Reflections and Challenges</w:t>
      </w:r>
    </w:p>
    <w:p w14:paraId="1A9B62FB" w14:textId="2C7AD6FC" w:rsidR="00C62A6A" w:rsidRPr="00C62A6A" w:rsidRDefault="00C62A6A" w:rsidP="00C62A6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62A6A">
        <w:rPr>
          <w:rFonts w:ascii="Times New Roman" w:eastAsia="Times New Roman" w:hAnsi="Times New Roman" w:cs="Times New Roman"/>
          <w:kern w:val="0"/>
          <w:sz w:val="24"/>
          <w:szCs w:val="24"/>
          <w14:ligatures w14:val="none"/>
        </w:rPr>
        <w:t>While the proposed framework offers a promising blueprint for resilient rural education, practical constraints persist. Zimbabwean rural schools often grapple with entrenched resource limitations, digital divides, and limited capacity for strategic planning (</w:t>
      </w:r>
      <w:r w:rsidR="007E3303" w:rsidRPr="00C62A6A">
        <w:rPr>
          <w:rFonts w:ascii="Times New Roman" w:eastAsia="Times New Roman" w:hAnsi="Times New Roman" w:cs="Times New Roman"/>
          <w:kern w:val="0"/>
          <w:sz w:val="24"/>
          <w:szCs w:val="24"/>
          <w14:ligatures w14:val="none"/>
        </w:rPr>
        <w:t>World Bank, 2022</w:t>
      </w:r>
      <w:r w:rsidR="007E3303">
        <w:rPr>
          <w:rFonts w:ascii="Times New Roman" w:eastAsia="Times New Roman" w:hAnsi="Times New Roman" w:cs="Times New Roman"/>
          <w:kern w:val="0"/>
          <w:sz w:val="24"/>
          <w:szCs w:val="24"/>
          <w14:ligatures w14:val="none"/>
        </w:rPr>
        <w:t xml:space="preserve">; </w:t>
      </w:r>
      <w:r w:rsidRPr="00C62A6A">
        <w:rPr>
          <w:rFonts w:ascii="Times New Roman" w:eastAsia="Times New Roman" w:hAnsi="Times New Roman" w:cs="Times New Roman"/>
          <w:kern w:val="0"/>
          <w:sz w:val="24"/>
          <w:szCs w:val="24"/>
          <w14:ligatures w14:val="none"/>
        </w:rPr>
        <w:t>UNESCO</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2023). Institutionalising anticipatory governance demands both technical capability and political will at multiple administrative levels (Poli</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2019). These gaps reveal the risk of implementation without parallel investments in capacity building and structural reform (OECD</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Thus, policy frameworks must be contextually grounded, suited to local realities while incorporating global best practice insights (World Bank</w:t>
      </w:r>
      <w:r w:rsidR="007E3303">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2022). Integrating strategic foresight, anticipatory governance, digital resilience, institutional resilience, and adaptive leadership can transform rural primary education, making it robust, future-ready, and responsive to socio-technological changes (OECD</w:t>
      </w:r>
      <w:r w:rsidR="00E40BED">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2025). Applying this framework at the Inyagui Primary School level illustrates how rural educational systems can evolve from reactive problem-solving towards proactive, resilient learning ecosystems (Chidakwa &amp; Khanare</w:t>
      </w:r>
      <w:r w:rsidR="00E40BED">
        <w:rPr>
          <w:rFonts w:ascii="Times New Roman" w:eastAsia="Times New Roman" w:hAnsi="Times New Roman" w:cs="Times New Roman"/>
          <w:kern w:val="0"/>
          <w:sz w:val="24"/>
          <w:szCs w:val="24"/>
          <w14:ligatures w14:val="none"/>
        </w:rPr>
        <w:t>.</w:t>
      </w:r>
      <w:r w:rsidRPr="00C62A6A">
        <w:rPr>
          <w:rFonts w:ascii="Times New Roman" w:eastAsia="Times New Roman" w:hAnsi="Times New Roman" w:cs="Times New Roman"/>
          <w:kern w:val="0"/>
          <w:sz w:val="24"/>
          <w:szCs w:val="24"/>
          <w14:ligatures w14:val="none"/>
        </w:rPr>
        <w:t>, 2024). To achieve this, policymakers must commit to long-term investment, cross-sectoral collaboration, and inclusive governance, ensuring that rural schools are not only survivors of change but shapers of their futures.</w:t>
      </w:r>
    </w:p>
    <w:p w14:paraId="344AB114" w14:textId="6BA3D4D8" w:rsidR="00726BC3" w:rsidRPr="00726BC3" w:rsidRDefault="00726BC3" w:rsidP="00726BC3">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726BC3">
        <w:rPr>
          <w:rFonts w:ascii="Times New Roman" w:eastAsia="Times New Roman" w:hAnsi="Times New Roman" w:cs="Times New Roman"/>
          <w:b/>
          <w:bCs/>
          <w:kern w:val="0"/>
          <w:sz w:val="24"/>
          <w:szCs w:val="24"/>
          <w14:ligatures w14:val="none"/>
        </w:rPr>
        <w:t>10.0 Conclusion</w:t>
      </w:r>
    </w:p>
    <w:p w14:paraId="255ABB04" w14:textId="5E5B0C88" w:rsidR="00276DD1" w:rsidRPr="00276DD1" w:rsidRDefault="00276DD1" w:rsidP="00726BC3">
      <w:pPr>
        <w:spacing w:before="100" w:beforeAutospacing="1" w:after="100" w:afterAutospacing="1" w:line="360" w:lineRule="auto"/>
        <w:jc w:val="both"/>
        <w:outlineLvl w:val="0"/>
        <w:rPr>
          <w:rFonts w:ascii="Times New Roman" w:hAnsi="Times New Roman" w:cs="Times New Roman"/>
          <w:sz w:val="24"/>
          <w:szCs w:val="24"/>
        </w:rPr>
      </w:pPr>
      <w:r w:rsidRPr="00276DD1">
        <w:rPr>
          <w:rFonts w:ascii="Times New Roman" w:hAnsi="Times New Roman" w:cs="Times New Roman"/>
          <w:sz w:val="24"/>
          <w:szCs w:val="24"/>
        </w:rPr>
        <w:lastRenderedPageBreak/>
        <w:t>In conclusion, strengthening rural primary education in Zimbabwe, as evidenced by insights from Inyagui Primary School in Murewa Rural District, requires a transformative shift toward embedding digital resilience and foresight-driven leadership within both governance structures and pedagogical practices. The findings demonstrate that challenges such as digital fragility, climate stress, energy instability, governance limitations, and curriculum misalignment are not isolated issues but rather interdependent elements of a broader systemic vulnerability that constrains educational effectiveness and equity. Addressing these complexities necessitates an integrated, systems-based approach that leverages technology, promotes sustainability, and prioriti</w:t>
      </w:r>
      <w:r w:rsidR="00C44D06">
        <w:rPr>
          <w:rFonts w:ascii="Times New Roman" w:hAnsi="Times New Roman" w:cs="Times New Roman"/>
          <w:sz w:val="24"/>
          <w:szCs w:val="24"/>
        </w:rPr>
        <w:t>s</w:t>
      </w:r>
      <w:r w:rsidRPr="00276DD1">
        <w:rPr>
          <w:rFonts w:ascii="Times New Roman" w:hAnsi="Times New Roman" w:cs="Times New Roman"/>
          <w:sz w:val="24"/>
          <w:szCs w:val="24"/>
        </w:rPr>
        <w:t xml:space="preserve">es anticipatory planning </w:t>
      </w:r>
      <w:r w:rsidR="00C44D06">
        <w:rPr>
          <w:rFonts w:ascii="Times New Roman" w:hAnsi="Times New Roman" w:cs="Times New Roman"/>
          <w:sz w:val="24"/>
          <w:szCs w:val="24"/>
        </w:rPr>
        <w:t xml:space="preserve">in order </w:t>
      </w:r>
      <w:r w:rsidRPr="00276DD1">
        <w:rPr>
          <w:rFonts w:ascii="Times New Roman" w:hAnsi="Times New Roman" w:cs="Times New Roman"/>
          <w:sz w:val="24"/>
          <w:szCs w:val="24"/>
        </w:rPr>
        <w:t>to enhance institutional adaptability. Furthermore, the study underscores the inadequacy of fragmented policy interventions, advocating instead for holistic and context-sensitive strategies that align with the dynamic realities of rural education. By fostering resilient and adaptive learning ecosystems through strategic leadership and innovation, rural schools can transition from states of vulnerability to sustainability, thereby future-proofing their capacity to deliver inclusive and quality education in an increasingly uncertain and rapidly evolving global landscape.</w:t>
      </w:r>
    </w:p>
    <w:p w14:paraId="3E342426" w14:textId="77777777" w:rsidR="00276DD1" w:rsidRDefault="00276DD1" w:rsidP="00726BC3">
      <w:pPr>
        <w:spacing w:before="100" w:beforeAutospacing="1" w:after="100" w:afterAutospacing="1" w:line="360" w:lineRule="auto"/>
        <w:jc w:val="both"/>
        <w:outlineLvl w:val="0"/>
      </w:pPr>
    </w:p>
    <w:p w14:paraId="50E74EB4" w14:textId="24C53FFA" w:rsidR="00726BC3" w:rsidRPr="00726BC3" w:rsidRDefault="00726BC3" w:rsidP="00726BC3">
      <w:pPr>
        <w:spacing w:before="100" w:beforeAutospacing="1" w:after="100" w:afterAutospacing="1" w:line="360" w:lineRule="auto"/>
        <w:jc w:val="both"/>
        <w:outlineLvl w:val="0"/>
        <w:rPr>
          <w:rFonts w:ascii="Times New Roman" w:eastAsia="Times New Roman" w:hAnsi="Times New Roman" w:cs="Times New Roman"/>
          <w:b/>
          <w:bCs/>
          <w:kern w:val="36"/>
          <w:sz w:val="24"/>
          <w:szCs w:val="24"/>
          <w14:ligatures w14:val="none"/>
        </w:rPr>
      </w:pPr>
      <w:r w:rsidRPr="00726BC3">
        <w:rPr>
          <w:rFonts w:ascii="Times New Roman" w:eastAsia="Times New Roman" w:hAnsi="Times New Roman" w:cs="Times New Roman"/>
          <w:b/>
          <w:bCs/>
          <w:kern w:val="36"/>
          <w:sz w:val="24"/>
          <w:szCs w:val="24"/>
          <w14:ligatures w14:val="none"/>
        </w:rPr>
        <w:t xml:space="preserve">References </w:t>
      </w:r>
    </w:p>
    <w:p w14:paraId="28FD7CEE" w14:textId="77777777" w:rsidR="00A01FBD" w:rsidRPr="00A01FBD" w:rsidRDefault="00A01FBD" w:rsidP="001B67FC">
      <w:pPr>
        <w:pStyle w:val="NormalWeb"/>
        <w:jc w:val="both"/>
      </w:pPr>
      <w:r w:rsidRPr="00A01FBD">
        <w:t xml:space="preserve">Adeodun, A. (2024). Digital transformation and educational resilience in developing contexts. </w:t>
      </w:r>
      <w:r w:rsidRPr="00A01FBD">
        <w:rPr>
          <w:rStyle w:val="Emphasis"/>
          <w:rFonts w:eastAsiaTheme="majorEastAsia"/>
        </w:rPr>
        <w:t>International Journal of Educational Development</w:t>
      </w:r>
      <w:r w:rsidRPr="00A01FBD">
        <w:t>, 98, 102745.</w:t>
      </w:r>
    </w:p>
    <w:p w14:paraId="1FAE7D1F"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Adeodun, A. (2024). Resilience in African education systems. </w:t>
      </w:r>
      <w:r w:rsidRPr="00A01FBD">
        <w:rPr>
          <w:rFonts w:ascii="Times New Roman" w:eastAsia="Times New Roman" w:hAnsi="Times New Roman" w:cs="Times New Roman"/>
          <w:i/>
          <w:iCs/>
          <w:kern w:val="0"/>
          <w:sz w:val="24"/>
          <w:szCs w:val="24"/>
          <w14:ligatures w14:val="none"/>
        </w:rPr>
        <w:t>International Journal of Educational Development, 98</w:t>
      </w:r>
      <w:r w:rsidRPr="00A01FBD">
        <w:rPr>
          <w:rFonts w:ascii="Times New Roman" w:eastAsia="Times New Roman" w:hAnsi="Times New Roman" w:cs="Times New Roman"/>
          <w:kern w:val="0"/>
          <w:sz w:val="24"/>
          <w:szCs w:val="24"/>
          <w14:ligatures w14:val="none"/>
        </w:rPr>
        <w:t>, 102–118.</w:t>
      </w:r>
    </w:p>
    <w:p w14:paraId="0402CCC2" w14:textId="77777777" w:rsidR="00A01FBD" w:rsidRPr="00A01FBD" w:rsidRDefault="00A01FBD" w:rsidP="001B67FC">
      <w:pPr>
        <w:pStyle w:val="NormalWeb"/>
        <w:jc w:val="both"/>
      </w:pPr>
      <w:r w:rsidRPr="00A01FBD">
        <w:t xml:space="preserve">Angrosino, M. (2016). </w:t>
      </w:r>
      <w:r w:rsidRPr="00A01FBD">
        <w:rPr>
          <w:rStyle w:val="Emphasis"/>
          <w:rFonts w:eastAsiaTheme="majorEastAsia"/>
          <w:i w:val="0"/>
          <w:iCs w:val="0"/>
        </w:rPr>
        <w:t>Naturalistic observation</w:t>
      </w:r>
      <w:r w:rsidRPr="00A01FBD">
        <w:t xml:space="preserve">. </w:t>
      </w:r>
      <w:r w:rsidRPr="00A01FBD">
        <w:rPr>
          <w:i/>
          <w:iCs/>
        </w:rPr>
        <w:t>Routledge.</w:t>
      </w:r>
    </w:p>
    <w:p w14:paraId="7A75CE51" w14:textId="58619893" w:rsidR="00A01FBD" w:rsidRPr="00193EC2"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93EC2">
        <w:rPr>
          <w:rFonts w:ascii="Times New Roman" w:eastAsia="Times New Roman" w:hAnsi="Times New Roman" w:cs="Times New Roman"/>
          <w:kern w:val="0"/>
          <w:sz w:val="24"/>
          <w:szCs w:val="24"/>
          <w14:ligatures w14:val="none"/>
        </w:rPr>
        <w:t>Aramide, K.</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A., Jacob, U.</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S., &amp; Pillay, J. (2023). Conceptualisation and contextualisation of mixed-methods research: A review. </w:t>
      </w:r>
      <w:r w:rsidRPr="00193EC2">
        <w:rPr>
          <w:rFonts w:ascii="Times New Roman" w:eastAsia="Times New Roman" w:hAnsi="Times New Roman" w:cs="Times New Roman"/>
          <w:i/>
          <w:iCs/>
          <w:kern w:val="0"/>
          <w:sz w:val="24"/>
          <w:szCs w:val="24"/>
          <w14:ligatures w14:val="none"/>
        </w:rPr>
        <w:t>Research in Social Sciences and Technology, 8</w:t>
      </w:r>
      <w:r w:rsidRPr="00193EC2">
        <w:rPr>
          <w:rFonts w:ascii="Times New Roman" w:eastAsia="Times New Roman" w:hAnsi="Times New Roman" w:cs="Times New Roman"/>
          <w:kern w:val="0"/>
          <w:sz w:val="24"/>
          <w:szCs w:val="24"/>
          <w14:ligatures w14:val="none"/>
        </w:rPr>
        <w:t xml:space="preserve">(4), 14–36. </w:t>
      </w:r>
    </w:p>
    <w:p w14:paraId="14790133" w14:textId="74B01241" w:rsidR="00A01FBD" w:rsidRPr="00A01FBD" w:rsidRDefault="00A01FBD" w:rsidP="001B67FC">
      <w:pPr>
        <w:pStyle w:val="NormalWeb"/>
        <w:jc w:val="both"/>
      </w:pPr>
      <w:r w:rsidRPr="00A01FBD">
        <w:t>Arnold, R.</w:t>
      </w:r>
      <w:r>
        <w:t>,</w:t>
      </w:r>
      <w:r w:rsidRPr="00A01FBD">
        <w:t xml:space="preserve"> D., &amp; Wade, J.</w:t>
      </w:r>
      <w:r>
        <w:t>,</w:t>
      </w:r>
      <w:r w:rsidRPr="00A01FBD">
        <w:t xml:space="preserve"> P. (2015). A definition of systems thinking: A systems approach. </w:t>
      </w:r>
      <w:r w:rsidRPr="00A01FBD">
        <w:rPr>
          <w:rStyle w:val="Emphasis"/>
          <w:rFonts w:eastAsiaTheme="majorEastAsia"/>
        </w:rPr>
        <w:t>Procedia Computer Science, 44</w:t>
      </w:r>
      <w:r w:rsidRPr="00A01FBD">
        <w:t>, 669–678.</w:t>
      </w:r>
    </w:p>
    <w:p w14:paraId="012FBA1A" w14:textId="77777777" w:rsidR="00A01FBD" w:rsidRPr="00A01FBD" w:rsidRDefault="00A01FBD" w:rsidP="001B67FC">
      <w:pPr>
        <w:pStyle w:val="NormalWeb"/>
        <w:jc w:val="both"/>
      </w:pPr>
      <w:r w:rsidRPr="00A01FBD">
        <w:t xml:space="preserve">Barasa, E., Cloete, K., &amp; Gilson, L. (2018). From bouncing back to nurturing emergence: Reframing the concept of resilience in health systems. </w:t>
      </w:r>
      <w:r w:rsidRPr="00A01FBD">
        <w:rPr>
          <w:rStyle w:val="Emphasis"/>
          <w:rFonts w:eastAsiaTheme="majorEastAsia"/>
        </w:rPr>
        <w:t>Health Policy and Planning, 33</w:t>
      </w:r>
      <w:r w:rsidRPr="00A01FBD">
        <w:t>(5), 660–669.</w:t>
      </w:r>
    </w:p>
    <w:p w14:paraId="1F03303E" w14:textId="77777777" w:rsidR="00A01FBD" w:rsidRPr="00A01FBD" w:rsidRDefault="00A01FBD" w:rsidP="001B67FC">
      <w:pPr>
        <w:pStyle w:val="NormalWeb"/>
        <w:jc w:val="both"/>
      </w:pPr>
      <w:r w:rsidRPr="00A01FBD">
        <w:t xml:space="preserve">Bergen, N., &amp; Labonté, R. (2020). “Everything is perfect, and we have no problems”: Detecting and limiting social desirability bias. </w:t>
      </w:r>
      <w:r w:rsidRPr="00A01FBD">
        <w:rPr>
          <w:rStyle w:val="Emphasis"/>
          <w:rFonts w:eastAsiaTheme="majorEastAsia"/>
        </w:rPr>
        <w:t>Qualitative Health Research, 30</w:t>
      </w:r>
      <w:r w:rsidRPr="00A01FBD">
        <w:t>(5), 783–792.</w:t>
      </w:r>
    </w:p>
    <w:p w14:paraId="585E8839" w14:textId="14F40045" w:rsidR="00A01FBD" w:rsidRPr="00A01FBD" w:rsidRDefault="00A01FBD" w:rsidP="001B67FC">
      <w:pPr>
        <w:pStyle w:val="NormalWeb"/>
        <w:jc w:val="both"/>
      </w:pPr>
      <w:r w:rsidRPr="00A01FBD">
        <w:lastRenderedPageBreak/>
        <w:t>Bowen, G.</w:t>
      </w:r>
      <w:r>
        <w:t>,</w:t>
      </w:r>
      <w:r w:rsidRPr="00A01FBD">
        <w:t xml:space="preserve"> A. (2009). Document analysis as a qualitative research method. </w:t>
      </w:r>
      <w:r w:rsidRPr="00A01FBD">
        <w:rPr>
          <w:rStyle w:val="Emphasis"/>
          <w:rFonts w:eastAsiaTheme="majorEastAsia"/>
        </w:rPr>
        <w:t>Qualitative Research Journal, 9</w:t>
      </w:r>
      <w:r w:rsidRPr="00A01FBD">
        <w:t>(2), 27–40.</w:t>
      </w:r>
    </w:p>
    <w:p w14:paraId="3D9CE5E9" w14:textId="15450C42" w:rsidR="00A01FBD" w:rsidRPr="00A01FBD" w:rsidRDefault="00A01FBD" w:rsidP="001B67FC">
      <w:pPr>
        <w:pStyle w:val="NormalWeb"/>
        <w:jc w:val="both"/>
      </w:pPr>
      <w:r w:rsidRPr="00A01FBD">
        <w:t>Boyd, E., Nykvist, B., Borgström, S., &amp; Stacewicz, I.</w:t>
      </w:r>
      <w:r>
        <w:t>,</w:t>
      </w:r>
      <w:r w:rsidRPr="00A01FBD">
        <w:t xml:space="preserve"> A. (2015). Anticipatory governance for social-ecological resilience. </w:t>
      </w:r>
      <w:r w:rsidRPr="00A01FBD">
        <w:rPr>
          <w:rStyle w:val="Emphasis"/>
          <w:rFonts w:eastAsiaTheme="majorEastAsia"/>
        </w:rPr>
        <w:t>Ambio, 44</w:t>
      </w:r>
      <w:r w:rsidRPr="00A01FBD">
        <w:t>(1), 149–161.</w:t>
      </w:r>
    </w:p>
    <w:p w14:paraId="472CECB8" w14:textId="77777777" w:rsidR="00A01FBD" w:rsidRPr="00A01FBD" w:rsidRDefault="00A01FBD" w:rsidP="001B67FC">
      <w:pPr>
        <w:pStyle w:val="NormalWeb"/>
        <w:jc w:val="both"/>
      </w:pPr>
      <w:r w:rsidRPr="00A01FBD">
        <w:t xml:space="preserve">Braun, V., &amp; Clarke, V. (2021). </w:t>
      </w:r>
      <w:r w:rsidRPr="001710F1">
        <w:rPr>
          <w:rStyle w:val="Emphasis"/>
          <w:rFonts w:eastAsiaTheme="majorEastAsia"/>
          <w:i w:val="0"/>
          <w:iCs w:val="0"/>
        </w:rPr>
        <w:t>Thematic analysis: A practical guide</w:t>
      </w:r>
      <w:r w:rsidRPr="001710F1">
        <w:rPr>
          <w:i/>
          <w:iCs/>
        </w:rPr>
        <w:t>. SAGE.</w:t>
      </w:r>
    </w:p>
    <w:p w14:paraId="218216DA" w14:textId="77777777" w:rsidR="00A01FBD" w:rsidRPr="00A01FBD" w:rsidRDefault="00A01FBD" w:rsidP="001B67FC">
      <w:pPr>
        <w:pStyle w:val="NormalWeb"/>
        <w:jc w:val="both"/>
      </w:pPr>
      <w:r w:rsidRPr="00A01FBD">
        <w:t xml:space="preserve">Cabrera, D., &amp; Cabrera, L. (2015). </w:t>
      </w:r>
      <w:r w:rsidRPr="001710F1">
        <w:rPr>
          <w:rStyle w:val="Emphasis"/>
          <w:rFonts w:eastAsiaTheme="majorEastAsia"/>
          <w:i w:val="0"/>
          <w:iCs w:val="0"/>
        </w:rPr>
        <w:t>Systems thinking made simple</w:t>
      </w:r>
      <w:r w:rsidRPr="001710F1">
        <w:rPr>
          <w:i/>
          <w:iCs/>
        </w:rPr>
        <w:t>. Odyssean Press.</w:t>
      </w:r>
    </w:p>
    <w:p w14:paraId="5E26F24B" w14:textId="77777777" w:rsidR="00A01FBD" w:rsidRPr="00A01FBD" w:rsidRDefault="00A01FBD" w:rsidP="001B67FC">
      <w:pPr>
        <w:pStyle w:val="NormalWeb"/>
        <w:jc w:val="both"/>
        <w:rPr>
          <w:rFonts w:eastAsiaTheme="minorHAnsi"/>
          <w:kern w:val="2"/>
          <w14:ligatures w14:val="standardContextual"/>
        </w:rPr>
      </w:pPr>
      <w:r w:rsidRPr="00A01FBD">
        <w:rPr>
          <w:rFonts w:eastAsiaTheme="minorHAnsi"/>
          <w:kern w:val="2"/>
          <w14:ligatures w14:val="standardContextual"/>
        </w:rPr>
        <w:t xml:space="preserve">Campbell, S., Greenwood, M., Prior, S., Shearer, T., Walkem, K., Young, S., Bywaters, D., &amp; Walker, K. (2020). </w:t>
      </w:r>
      <w:r w:rsidRPr="009112D5">
        <w:rPr>
          <w:rFonts w:eastAsiaTheme="minorHAnsi"/>
          <w:kern w:val="2"/>
          <w14:ligatures w14:val="standardContextual"/>
        </w:rPr>
        <w:t>Purposive sampling: Complex or simple? Research case examples.</w:t>
      </w:r>
      <w:r w:rsidRPr="00A01FBD">
        <w:rPr>
          <w:rFonts w:eastAsiaTheme="minorHAnsi"/>
          <w:kern w:val="2"/>
          <w14:ligatures w14:val="standardContextual"/>
        </w:rPr>
        <w:t xml:space="preserve"> </w:t>
      </w:r>
      <w:r w:rsidRPr="009112D5">
        <w:rPr>
          <w:rFonts w:eastAsiaTheme="minorHAnsi"/>
          <w:i/>
          <w:iCs/>
          <w:kern w:val="2"/>
          <w14:ligatures w14:val="standardContextual"/>
        </w:rPr>
        <w:t>Journal of Research in Nursing,</w:t>
      </w:r>
      <w:r w:rsidRPr="00A01FBD">
        <w:rPr>
          <w:rFonts w:eastAsiaTheme="minorHAnsi"/>
          <w:kern w:val="2"/>
          <w14:ligatures w14:val="standardContextual"/>
        </w:rPr>
        <w:t xml:space="preserve"> 25(8), 652–661. </w:t>
      </w:r>
      <w:hyperlink r:id="rId7" w:tgtFrame="_new" w:history="1">
        <w:r w:rsidRPr="00A01FBD">
          <w:rPr>
            <w:rFonts w:eastAsiaTheme="minorHAnsi"/>
            <w:color w:val="0000FF"/>
            <w:kern w:val="2"/>
            <w:u w:val="single"/>
            <w14:ligatures w14:val="standardContextual"/>
          </w:rPr>
          <w:t>https://doi.org/10.1177/1744987120927206</w:t>
        </w:r>
      </w:hyperlink>
      <w:r w:rsidRPr="00A01FBD">
        <w:rPr>
          <w:rFonts w:eastAsiaTheme="minorHAnsi"/>
          <w:kern w:val="2"/>
          <w14:ligatures w14:val="standardContextual"/>
        </w:rPr>
        <w:t xml:space="preserve"> </w:t>
      </w:r>
    </w:p>
    <w:p w14:paraId="58CB2EC2" w14:textId="7A719FE4" w:rsidR="00A01FBD" w:rsidRPr="00A01FBD" w:rsidRDefault="00A01FBD" w:rsidP="001B67FC">
      <w:pPr>
        <w:pStyle w:val="NormalWeb"/>
        <w:jc w:val="both"/>
      </w:pPr>
      <w:r w:rsidRPr="00A01FBD">
        <w:t>Chidakwa, N., &amp; Khanare, F.</w:t>
      </w:r>
      <w:r>
        <w:t>,</w:t>
      </w:r>
      <w:r w:rsidRPr="00A01FBD">
        <w:t xml:space="preserve"> P. (2024). The fourth industrial revolution: Overcoming digital divides in Zimbabwean rural learning ecologies. </w:t>
      </w:r>
      <w:r w:rsidRPr="00A01FBD">
        <w:rPr>
          <w:rStyle w:val="Emphasis"/>
          <w:rFonts w:eastAsiaTheme="majorEastAsia"/>
        </w:rPr>
        <w:t>Futurity Education, 4</w:t>
      </w:r>
      <w:r w:rsidRPr="00A01FBD">
        <w:t xml:space="preserve">(2), 125–147. https://doi.org/10.57125/FED.2024.06.25.07 </w:t>
      </w:r>
    </w:p>
    <w:p w14:paraId="05CDB4E7" w14:textId="77777777" w:rsidR="00A01FBD" w:rsidRPr="00A01FBD" w:rsidRDefault="00A01FBD" w:rsidP="001B67FC">
      <w:pPr>
        <w:pStyle w:val="NormalWeb"/>
        <w:jc w:val="both"/>
      </w:pPr>
      <w:r w:rsidRPr="00A01FBD">
        <w:t xml:space="preserve">Chidakwa, T., &amp; Khanare, F. (2024). Digital inequalities and rural schooling in Zimbabwe: Implications for equity and access. </w:t>
      </w:r>
      <w:r w:rsidRPr="00A01FBD">
        <w:rPr>
          <w:rStyle w:val="Emphasis"/>
          <w:rFonts w:eastAsiaTheme="majorEastAsia"/>
        </w:rPr>
        <w:t>Journal of Rural Education Studies, 40</w:t>
      </w:r>
      <w:r w:rsidRPr="00A01FBD">
        <w:t>(2), 55–72.</w:t>
      </w:r>
    </w:p>
    <w:p w14:paraId="3FA1AF06" w14:textId="77777777" w:rsidR="00A01FBD" w:rsidRPr="00A01FBD" w:rsidRDefault="00A01FBD" w:rsidP="001B67FC">
      <w:pPr>
        <w:pStyle w:val="NormalWeb"/>
        <w:jc w:val="both"/>
      </w:pPr>
      <w:r w:rsidRPr="00A01FBD">
        <w:t xml:space="preserve">Chigona, A., &amp; Chigona, W. (2021). Digital inclusion and education in Sub-Saharan Africa. </w:t>
      </w:r>
      <w:r w:rsidRPr="00A01FBD">
        <w:rPr>
          <w:rStyle w:val="Emphasis"/>
          <w:rFonts w:eastAsiaTheme="majorEastAsia"/>
        </w:rPr>
        <w:t>Education and Information Technologies, 26</w:t>
      </w:r>
      <w:r w:rsidRPr="00A01FBD">
        <w:t>, 1231–1245.</w:t>
      </w:r>
    </w:p>
    <w:p w14:paraId="38C4605B"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Chigona, A., &amp; Chigona, W. (2022). Digital inclusion and rural education in sub-Saharan Africa: Challenges and opportunities. </w:t>
      </w:r>
      <w:r w:rsidRPr="00BA638F">
        <w:rPr>
          <w:rFonts w:ascii="Times New Roman" w:eastAsia="Times New Roman" w:hAnsi="Times New Roman" w:cs="Times New Roman"/>
          <w:i/>
          <w:iCs/>
          <w:kern w:val="0"/>
          <w:sz w:val="24"/>
          <w:szCs w:val="24"/>
          <w14:ligatures w14:val="none"/>
        </w:rPr>
        <w:t>Information Development, 38</w:t>
      </w:r>
      <w:r w:rsidRPr="00BA638F">
        <w:rPr>
          <w:rFonts w:ascii="Times New Roman" w:eastAsia="Times New Roman" w:hAnsi="Times New Roman" w:cs="Times New Roman"/>
          <w:kern w:val="0"/>
          <w:sz w:val="24"/>
          <w:szCs w:val="24"/>
          <w14:ligatures w14:val="none"/>
        </w:rPr>
        <w:t>(2), 189–202. https://doi.org/10.1177/02666669211012345</w:t>
      </w:r>
    </w:p>
    <w:p w14:paraId="60B16177" w14:textId="77777777" w:rsidR="00A01FBD" w:rsidRPr="00A01FBD" w:rsidRDefault="00A01FBD" w:rsidP="001B67FC">
      <w:pPr>
        <w:pStyle w:val="NormalWeb"/>
        <w:jc w:val="both"/>
      </w:pPr>
      <w:r w:rsidRPr="00A01FBD">
        <w:t xml:space="preserve">Chigona, A., &amp; Chigona, W. (2022). </w:t>
      </w:r>
      <w:r w:rsidRPr="00A01FBD">
        <w:rPr>
          <w:rStyle w:val="Emphasis"/>
          <w:rFonts w:eastAsiaTheme="majorEastAsia"/>
          <w:i w:val="0"/>
          <w:iCs w:val="0"/>
        </w:rPr>
        <w:t>Digital inequality and education in developing contexts: The Zimbabwean experience</w:t>
      </w:r>
      <w:r w:rsidRPr="00A01FBD">
        <w:rPr>
          <w:i/>
          <w:iCs/>
        </w:rPr>
        <w:t>.</w:t>
      </w:r>
      <w:r w:rsidRPr="00A01FBD">
        <w:t xml:space="preserve"> </w:t>
      </w:r>
      <w:r w:rsidRPr="00A01FBD">
        <w:rPr>
          <w:i/>
          <w:iCs/>
        </w:rPr>
        <w:t>Journal of Educational Technology Development</w:t>
      </w:r>
      <w:r w:rsidRPr="00A01FBD">
        <w:t>, 15(2), 45–60.</w:t>
      </w:r>
    </w:p>
    <w:p w14:paraId="0FF50D57" w14:textId="1E5746D5" w:rsidR="00A01FBD" w:rsidRPr="00193EC2"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93EC2">
        <w:rPr>
          <w:rFonts w:ascii="Times New Roman" w:eastAsia="Times New Roman" w:hAnsi="Times New Roman" w:cs="Times New Roman"/>
          <w:kern w:val="0"/>
          <w:sz w:val="24"/>
          <w:szCs w:val="24"/>
          <w14:ligatures w14:val="none"/>
        </w:rPr>
        <w:t>Creswell, J.</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W., &amp; Plano Clark, V.</w:t>
      </w:r>
      <w:r>
        <w:rPr>
          <w:rFonts w:ascii="Times New Roman" w:eastAsia="Times New Roman" w:hAnsi="Times New Roman" w:cs="Times New Roman"/>
          <w:kern w:val="0"/>
          <w:sz w:val="24"/>
          <w:szCs w:val="24"/>
          <w14:ligatures w14:val="none"/>
        </w:rPr>
        <w:t>,</w:t>
      </w:r>
      <w:r w:rsidRPr="00193EC2">
        <w:rPr>
          <w:rFonts w:ascii="Times New Roman" w:eastAsia="Times New Roman" w:hAnsi="Times New Roman" w:cs="Times New Roman"/>
          <w:kern w:val="0"/>
          <w:sz w:val="24"/>
          <w:szCs w:val="24"/>
          <w14:ligatures w14:val="none"/>
        </w:rPr>
        <w:t xml:space="preserve"> L. (2023). Designing and conducting mixed methods research (4th ed.). </w:t>
      </w:r>
      <w:r w:rsidRPr="00193EC2">
        <w:rPr>
          <w:rFonts w:ascii="Times New Roman" w:eastAsia="Times New Roman" w:hAnsi="Times New Roman" w:cs="Times New Roman"/>
          <w:i/>
          <w:iCs/>
          <w:kern w:val="0"/>
          <w:sz w:val="24"/>
          <w:szCs w:val="24"/>
          <w14:ligatures w14:val="none"/>
        </w:rPr>
        <w:t>SAGE Publications.</w:t>
      </w:r>
      <w:r w:rsidRPr="00193EC2">
        <w:rPr>
          <w:rFonts w:ascii="Times New Roman" w:eastAsia="Times New Roman" w:hAnsi="Times New Roman" w:cs="Times New Roman"/>
          <w:kern w:val="0"/>
          <w:sz w:val="24"/>
          <w:szCs w:val="24"/>
          <w14:ligatures w14:val="none"/>
        </w:rPr>
        <w:t xml:space="preserve"> </w:t>
      </w:r>
    </w:p>
    <w:p w14:paraId="470D86CA" w14:textId="33271845" w:rsidR="00A01FBD" w:rsidRPr="00A01FBD" w:rsidRDefault="00A01FBD" w:rsidP="001B67FC">
      <w:pPr>
        <w:pStyle w:val="NormalWeb"/>
        <w:jc w:val="both"/>
      </w:pPr>
      <w:r w:rsidRPr="00A01FBD">
        <w:t>Creswell, J. W., &amp; Poth, C.</w:t>
      </w:r>
      <w:r>
        <w:t>,</w:t>
      </w:r>
      <w:r w:rsidRPr="00A01FBD">
        <w:t xml:space="preserve"> N. (2018). </w:t>
      </w:r>
      <w:r w:rsidRPr="00A01FBD">
        <w:rPr>
          <w:rStyle w:val="Emphasis"/>
          <w:rFonts w:eastAsiaTheme="majorEastAsia"/>
          <w:i w:val="0"/>
          <w:iCs w:val="0"/>
        </w:rPr>
        <w:t>Qualitative inquiry and research design</w:t>
      </w:r>
      <w:r w:rsidRPr="00A01FBD">
        <w:t xml:space="preserve"> (4th ed.). </w:t>
      </w:r>
      <w:r w:rsidRPr="00A01FBD">
        <w:rPr>
          <w:i/>
          <w:iCs/>
        </w:rPr>
        <w:t>SAGE</w:t>
      </w:r>
      <w:r w:rsidRPr="00A01FBD">
        <w:t>.</w:t>
      </w:r>
    </w:p>
    <w:p w14:paraId="6CF8D875"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Duchek, S. (2020). Organizational resilience: A capability-based conceptualization. </w:t>
      </w:r>
      <w:r w:rsidRPr="007944C9">
        <w:rPr>
          <w:rFonts w:ascii="Times New Roman" w:eastAsia="Times New Roman" w:hAnsi="Times New Roman" w:cs="Times New Roman"/>
          <w:i/>
          <w:iCs/>
          <w:kern w:val="0"/>
          <w:sz w:val="24"/>
          <w:szCs w:val="24"/>
          <w14:ligatures w14:val="none"/>
        </w:rPr>
        <w:t>Business Research, 13</w:t>
      </w:r>
      <w:r w:rsidRPr="007944C9">
        <w:rPr>
          <w:rFonts w:ascii="Times New Roman" w:eastAsia="Times New Roman" w:hAnsi="Times New Roman" w:cs="Times New Roman"/>
          <w:kern w:val="0"/>
          <w:sz w:val="24"/>
          <w:szCs w:val="24"/>
          <w14:ligatures w14:val="none"/>
        </w:rPr>
        <w:t xml:space="preserve">(1), 215–246. </w:t>
      </w:r>
      <w:hyperlink r:id="rId8" w:tgtFrame="_new" w:history="1">
        <w:r w:rsidRPr="007944C9">
          <w:rPr>
            <w:rFonts w:ascii="Times New Roman" w:eastAsia="Times New Roman" w:hAnsi="Times New Roman" w:cs="Times New Roman"/>
            <w:color w:val="0000FF"/>
            <w:kern w:val="0"/>
            <w:sz w:val="24"/>
            <w:szCs w:val="24"/>
            <w:u w:val="single"/>
            <w14:ligatures w14:val="none"/>
          </w:rPr>
          <w:t>https://doi.org/10.1007/s40685-019-0085-7</w:t>
        </w:r>
      </w:hyperlink>
    </w:p>
    <w:p w14:paraId="219501FB" w14:textId="77777777" w:rsidR="00A01FBD" w:rsidRPr="00A01FBD" w:rsidRDefault="00A01FBD" w:rsidP="001B67FC">
      <w:pPr>
        <w:pStyle w:val="NormalWeb"/>
        <w:jc w:val="both"/>
      </w:pPr>
      <w:r w:rsidRPr="00A01FBD">
        <w:t xml:space="preserve">Etikan, I., &amp; Bala, K. (2017). Sampling and sampling methods. </w:t>
      </w:r>
      <w:r w:rsidRPr="00A01FBD">
        <w:rPr>
          <w:rStyle w:val="Emphasis"/>
          <w:rFonts w:eastAsiaTheme="majorEastAsia"/>
        </w:rPr>
        <w:t>Biometrics &amp; Biostatistics International Journal, 5</w:t>
      </w:r>
      <w:r w:rsidRPr="00A01FBD">
        <w:t>(6), 00149.</w:t>
      </w:r>
    </w:p>
    <w:p w14:paraId="6C79CF3A" w14:textId="77777777" w:rsidR="00A01FBD" w:rsidRPr="00A01FBD" w:rsidRDefault="00A01FBD" w:rsidP="001B67FC">
      <w:pPr>
        <w:pStyle w:val="NormalWeb"/>
        <w:jc w:val="both"/>
        <w:rPr>
          <w:i/>
          <w:iCs/>
        </w:rPr>
      </w:pPr>
      <w:r w:rsidRPr="00A01FBD">
        <w:t xml:space="preserve">FAO. (2022). </w:t>
      </w:r>
      <w:r w:rsidRPr="00A01FBD">
        <w:rPr>
          <w:rStyle w:val="Emphasis"/>
          <w:rFonts w:eastAsiaTheme="majorEastAsia"/>
          <w:i w:val="0"/>
          <w:iCs w:val="0"/>
        </w:rPr>
        <w:t>The impact of climate change on rural livelihoods in Africa</w:t>
      </w:r>
      <w:r w:rsidRPr="00A01FBD">
        <w:rPr>
          <w:i/>
          <w:iCs/>
        </w:rPr>
        <w:t>.</w:t>
      </w:r>
      <w:r w:rsidRPr="00A01FBD">
        <w:t xml:space="preserve"> Rome: </w:t>
      </w:r>
      <w:r w:rsidRPr="00A01FBD">
        <w:rPr>
          <w:i/>
          <w:iCs/>
        </w:rPr>
        <w:t xml:space="preserve">Food and Agriculture Organization of the United Nations. </w:t>
      </w:r>
      <w:r w:rsidRPr="00A01FBD">
        <w:t>(</w:t>
      </w:r>
      <w:r w:rsidRPr="00A01FBD">
        <w:rPr>
          <w:i/>
          <w:iCs/>
        </w:rPr>
        <w:t>FAO</w:t>
      </w:r>
      <w:r w:rsidRPr="00A01FBD">
        <w:t>).</w:t>
      </w:r>
    </w:p>
    <w:p w14:paraId="180FC422" w14:textId="77777777" w:rsidR="00A01FBD" w:rsidRPr="00A01FBD" w:rsidRDefault="00A01FBD" w:rsidP="001B67FC">
      <w:pPr>
        <w:pStyle w:val="NormalWeb"/>
        <w:jc w:val="both"/>
      </w:pPr>
      <w:r w:rsidRPr="00A01FBD">
        <w:t xml:space="preserve">FAO. (2023). </w:t>
      </w:r>
      <w:r w:rsidRPr="00A01FBD">
        <w:rPr>
          <w:rStyle w:val="Emphasis"/>
          <w:rFonts w:eastAsiaTheme="majorEastAsia"/>
          <w:i w:val="0"/>
          <w:iCs w:val="0"/>
        </w:rPr>
        <w:t>Climate change and rural livelihoods in Zimbabwe</w:t>
      </w:r>
      <w:r w:rsidRPr="00A01FBD">
        <w:t xml:space="preserve">. </w:t>
      </w:r>
      <w:r w:rsidRPr="00A01FBD">
        <w:rPr>
          <w:i/>
          <w:iCs/>
        </w:rPr>
        <w:t xml:space="preserve">Food and Agriculture Organization of the United Nations </w:t>
      </w:r>
      <w:r w:rsidRPr="00A01FBD">
        <w:t>(</w:t>
      </w:r>
      <w:r w:rsidRPr="00A01FBD">
        <w:rPr>
          <w:i/>
          <w:iCs/>
        </w:rPr>
        <w:t>FAO</w:t>
      </w:r>
      <w:r w:rsidRPr="00A01FBD">
        <w:t>).</w:t>
      </w:r>
    </w:p>
    <w:p w14:paraId="2FE3FABC" w14:textId="77777777" w:rsidR="00A01FBD" w:rsidRPr="00A01FBD" w:rsidRDefault="00A01FBD" w:rsidP="00B966B9">
      <w:pPr>
        <w:pStyle w:val="NormalWeb"/>
        <w:jc w:val="both"/>
      </w:pPr>
      <w:r w:rsidRPr="00A01FBD">
        <w:t>FAO. (2023). Climate impacts on agriculture and education in Southern Africa.</w:t>
      </w:r>
      <w:r w:rsidRPr="00A01FBD">
        <w:rPr>
          <w:i/>
          <w:iCs/>
        </w:rPr>
        <w:t xml:space="preserve"> Food and Agriculture Organization of the United Nations </w:t>
      </w:r>
      <w:r w:rsidRPr="00A01FBD">
        <w:t>(</w:t>
      </w:r>
      <w:r w:rsidRPr="00A01FBD">
        <w:rPr>
          <w:i/>
          <w:iCs/>
        </w:rPr>
        <w:t>FAO</w:t>
      </w:r>
      <w:r w:rsidRPr="00A01FBD">
        <w:t>).</w:t>
      </w:r>
    </w:p>
    <w:p w14:paraId="5816C27B" w14:textId="77777777" w:rsidR="00A01FBD" w:rsidRPr="009112D5" w:rsidRDefault="00A01FBD" w:rsidP="001B67FC">
      <w:pPr>
        <w:pStyle w:val="NormalWeb"/>
        <w:jc w:val="both"/>
        <w:rPr>
          <w:i/>
          <w:iCs/>
        </w:rPr>
      </w:pPr>
      <w:r w:rsidRPr="00A01FBD">
        <w:lastRenderedPageBreak/>
        <w:t xml:space="preserve">FAO. (2023). </w:t>
      </w:r>
      <w:r w:rsidRPr="009112D5">
        <w:rPr>
          <w:rStyle w:val="Emphasis"/>
          <w:rFonts w:eastAsiaTheme="majorEastAsia"/>
          <w:i w:val="0"/>
          <w:iCs w:val="0"/>
        </w:rPr>
        <w:t>Climate impacts on rural livelihoods in Southern Africa</w:t>
      </w:r>
      <w:r w:rsidRPr="00A01FBD">
        <w:t xml:space="preserve">. </w:t>
      </w:r>
      <w:r w:rsidRPr="009112D5">
        <w:rPr>
          <w:i/>
          <w:iCs/>
        </w:rPr>
        <w:t>Food and Agriculture Organization (FAO).</w:t>
      </w:r>
    </w:p>
    <w:p w14:paraId="7C2FCDC2"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FAO. (2023). The status of rural infrastructure and digital access in Sub-Saharan Africa. </w:t>
      </w:r>
      <w:r w:rsidRPr="00E0777A">
        <w:rPr>
          <w:rFonts w:ascii="Times New Roman" w:eastAsia="Times New Roman" w:hAnsi="Times New Roman" w:cs="Times New Roman"/>
          <w:i/>
          <w:iCs/>
          <w:kern w:val="0"/>
          <w:sz w:val="24"/>
          <w:szCs w:val="24"/>
          <w14:ligatures w14:val="none"/>
        </w:rPr>
        <w:t>Food and Agriculture Organization of the United Nations</w:t>
      </w:r>
      <w:r w:rsidRPr="00A01FBD">
        <w:rPr>
          <w:rFonts w:ascii="Times New Roman" w:eastAsia="Times New Roman" w:hAnsi="Times New Roman" w:cs="Times New Roman"/>
          <w:kern w:val="0"/>
          <w:sz w:val="24"/>
          <w:szCs w:val="24"/>
          <w14:ligatures w14:val="none"/>
        </w:rPr>
        <w:t xml:space="preserve"> </w:t>
      </w:r>
      <w:r w:rsidRPr="00A01FBD">
        <w:rPr>
          <w:rFonts w:ascii="Times New Roman" w:hAnsi="Times New Roman" w:cs="Times New Roman"/>
          <w:sz w:val="24"/>
          <w:szCs w:val="24"/>
        </w:rPr>
        <w:t>(</w:t>
      </w:r>
      <w:r w:rsidRPr="00A01FBD">
        <w:rPr>
          <w:rFonts w:ascii="Times New Roman" w:hAnsi="Times New Roman" w:cs="Times New Roman"/>
          <w:i/>
          <w:iCs/>
          <w:sz w:val="24"/>
          <w:szCs w:val="24"/>
        </w:rPr>
        <w:t>FAO</w:t>
      </w:r>
      <w:r w:rsidRPr="00A01FBD">
        <w:rPr>
          <w:rFonts w:ascii="Times New Roman" w:hAnsi="Times New Roman" w:cs="Times New Roman"/>
          <w:sz w:val="24"/>
          <w:szCs w:val="24"/>
        </w:rPr>
        <w:t>).</w:t>
      </w:r>
    </w:p>
    <w:p w14:paraId="50F58CF4" w14:textId="4ED8C3F9" w:rsidR="00A01FBD" w:rsidRPr="00A01FBD" w:rsidRDefault="00A01FBD" w:rsidP="001B67FC">
      <w:pPr>
        <w:pStyle w:val="NormalWeb"/>
        <w:jc w:val="both"/>
      </w:pPr>
      <w:r w:rsidRPr="00A01FBD">
        <w:t>Fetters, M.</w:t>
      </w:r>
      <w:r>
        <w:t>,</w:t>
      </w:r>
      <w:r w:rsidRPr="00A01FBD">
        <w:t xml:space="preserve"> D., &amp; Molina-Azorin, J.</w:t>
      </w:r>
      <w:r>
        <w:t>,</w:t>
      </w:r>
      <w:r w:rsidRPr="00A01FBD">
        <w:t xml:space="preserve"> F. (2020). The journal of mixed methods research turns 15. </w:t>
      </w:r>
      <w:r w:rsidRPr="00A01FBD">
        <w:rPr>
          <w:rStyle w:val="Emphasis"/>
          <w:rFonts w:eastAsiaTheme="majorEastAsia"/>
        </w:rPr>
        <w:t>Journal of Mixed Methods Research, 14</w:t>
      </w:r>
      <w:r w:rsidRPr="00A01FBD">
        <w:t>(4), 427–432.</w:t>
      </w:r>
    </w:p>
    <w:p w14:paraId="772D41AE" w14:textId="280A75C5" w:rsidR="00A01FBD" w:rsidRPr="00A01FBD" w:rsidRDefault="00A01FBD" w:rsidP="001B67FC">
      <w:pPr>
        <w:pStyle w:val="NormalWeb"/>
        <w:jc w:val="both"/>
      </w:pPr>
      <w:r w:rsidRPr="00A01FBD">
        <w:t>Fuerth, L.</w:t>
      </w:r>
      <w:r>
        <w:t>,</w:t>
      </w:r>
      <w:r w:rsidRPr="00A01FBD">
        <w:t xml:space="preserve"> S., &amp; Faber, E.</w:t>
      </w:r>
      <w:r>
        <w:t>,</w:t>
      </w:r>
      <w:r w:rsidRPr="00A01FBD">
        <w:t xml:space="preserve"> M.</w:t>
      </w:r>
      <w:r>
        <w:t>,</w:t>
      </w:r>
      <w:r w:rsidRPr="00A01FBD">
        <w:t xml:space="preserve"> H. (2012). Anticipatory governance. </w:t>
      </w:r>
      <w:r w:rsidRPr="00A01FBD">
        <w:rPr>
          <w:rStyle w:val="Emphasis"/>
          <w:rFonts w:eastAsiaTheme="majorEastAsia"/>
        </w:rPr>
        <w:t>Foresight, 14</w:t>
      </w:r>
      <w:r w:rsidRPr="00A01FBD">
        <w:t>(1), 49–61.</w:t>
      </w:r>
    </w:p>
    <w:p w14:paraId="1E3DB6A2" w14:textId="295CE974" w:rsidR="00A01FBD" w:rsidRPr="00A01FBD" w:rsidRDefault="00A01FBD" w:rsidP="001B67FC">
      <w:pPr>
        <w:pStyle w:val="NormalWeb"/>
        <w:jc w:val="both"/>
        <w:rPr>
          <w:i/>
          <w:iCs/>
        </w:rPr>
      </w:pPr>
      <w:r w:rsidRPr="00A01FBD">
        <w:t>Fuerth, L.</w:t>
      </w:r>
      <w:r>
        <w:t>,</w:t>
      </w:r>
      <w:r w:rsidRPr="00A01FBD">
        <w:t xml:space="preserve"> S., &amp; Faber, E.</w:t>
      </w:r>
      <w:r>
        <w:t>,</w:t>
      </w:r>
      <w:r w:rsidRPr="00A01FBD">
        <w:t xml:space="preserve"> M.</w:t>
      </w:r>
      <w:r>
        <w:t>,</w:t>
      </w:r>
      <w:r w:rsidRPr="00A01FBD">
        <w:t xml:space="preserve"> H. (2012). </w:t>
      </w:r>
      <w:r w:rsidRPr="00A01FBD">
        <w:rPr>
          <w:rStyle w:val="Emphasis"/>
          <w:rFonts w:eastAsiaTheme="majorEastAsia"/>
          <w:i w:val="0"/>
          <w:iCs w:val="0"/>
        </w:rPr>
        <w:t>Anticipatory governance: Practical upgrades</w:t>
      </w:r>
      <w:r w:rsidRPr="00A01FBD">
        <w:rPr>
          <w:i/>
          <w:iCs/>
        </w:rPr>
        <w:t>.</w:t>
      </w:r>
      <w:r w:rsidRPr="00A01FBD">
        <w:t xml:space="preserve"> </w:t>
      </w:r>
      <w:r w:rsidRPr="00A01FBD">
        <w:rPr>
          <w:i/>
          <w:iCs/>
        </w:rPr>
        <w:t>National Defense University Press.</w:t>
      </w:r>
    </w:p>
    <w:p w14:paraId="40943999"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Fullan, M. (2020). Leading in a culture of change (2nd ed.). </w:t>
      </w:r>
      <w:r w:rsidRPr="00BA638F">
        <w:rPr>
          <w:rFonts w:ascii="Times New Roman" w:eastAsia="Times New Roman" w:hAnsi="Times New Roman" w:cs="Times New Roman"/>
          <w:i/>
          <w:iCs/>
          <w:kern w:val="0"/>
          <w:sz w:val="24"/>
          <w:szCs w:val="24"/>
          <w14:ligatures w14:val="none"/>
        </w:rPr>
        <w:t>Jossey-Bass.</w:t>
      </w:r>
    </w:p>
    <w:p w14:paraId="117266C5" w14:textId="77777777" w:rsidR="00A01FBD" w:rsidRPr="00A01FBD" w:rsidRDefault="00A01FBD" w:rsidP="001B67FC">
      <w:pPr>
        <w:pStyle w:val="NormalWeb"/>
        <w:jc w:val="both"/>
        <w:rPr>
          <w:i/>
          <w:iCs/>
        </w:rPr>
      </w:pPr>
      <w:r w:rsidRPr="00A01FBD">
        <w:t xml:space="preserve">Government of Zimbabwe. (2019). </w:t>
      </w:r>
      <w:r w:rsidRPr="00A01FBD">
        <w:rPr>
          <w:rStyle w:val="Emphasis"/>
          <w:rFonts w:eastAsiaTheme="majorEastAsia"/>
          <w:i w:val="0"/>
          <w:iCs w:val="0"/>
        </w:rPr>
        <w:t>Education 5.0 policy framework</w:t>
      </w:r>
      <w:r w:rsidRPr="00A01FBD">
        <w:rPr>
          <w:i/>
          <w:iCs/>
        </w:rPr>
        <w:t>. Harare: Ministry of Higher and Tertiary Education.</w:t>
      </w:r>
    </w:p>
    <w:p w14:paraId="6CDD5247"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GPE.</w:t>
      </w:r>
      <w:r w:rsidRPr="00E0777A">
        <w:rPr>
          <w:rFonts w:ascii="Times New Roman" w:eastAsia="Times New Roman" w:hAnsi="Times New Roman" w:cs="Times New Roman"/>
          <w:kern w:val="0"/>
          <w:sz w:val="24"/>
          <w:szCs w:val="24"/>
          <w14:ligatures w14:val="none"/>
        </w:rPr>
        <w:t xml:space="preserve"> (2023). Transforming education systems for climate resilience. </w:t>
      </w:r>
      <w:r w:rsidRPr="00E0777A">
        <w:rPr>
          <w:rFonts w:ascii="Times New Roman" w:eastAsia="Times New Roman" w:hAnsi="Times New Roman" w:cs="Times New Roman"/>
          <w:i/>
          <w:iCs/>
          <w:kern w:val="0"/>
          <w:sz w:val="24"/>
          <w:szCs w:val="24"/>
          <w14:ligatures w14:val="none"/>
        </w:rPr>
        <w:t xml:space="preserve">Global Partnership for Education. </w:t>
      </w:r>
      <w:r w:rsidRPr="00A01FBD">
        <w:rPr>
          <w:rFonts w:ascii="Times New Roman" w:eastAsia="Times New Roman" w:hAnsi="Times New Roman" w:cs="Times New Roman"/>
          <w:i/>
          <w:iCs/>
          <w:kern w:val="0"/>
          <w:sz w:val="24"/>
          <w:szCs w:val="24"/>
          <w14:ligatures w14:val="none"/>
        </w:rPr>
        <w:t>(GPE)</w:t>
      </w:r>
      <w:r w:rsidRPr="00A01FBD">
        <w:rPr>
          <w:rFonts w:ascii="Times New Roman" w:eastAsia="Times New Roman" w:hAnsi="Times New Roman" w:cs="Times New Roman"/>
          <w:kern w:val="0"/>
          <w:sz w:val="24"/>
          <w:szCs w:val="24"/>
          <w14:ligatures w14:val="none"/>
        </w:rPr>
        <w:t xml:space="preserve"> </w:t>
      </w:r>
      <w:hyperlink r:id="rId9" w:history="1">
        <w:r w:rsidRPr="00E0777A">
          <w:rPr>
            <w:rStyle w:val="Hyperlink"/>
            <w:rFonts w:ascii="Times New Roman" w:eastAsia="Times New Roman" w:hAnsi="Times New Roman" w:cs="Times New Roman"/>
            <w:kern w:val="0"/>
            <w:sz w:val="24"/>
            <w:szCs w:val="24"/>
            <w14:ligatures w14:val="none"/>
          </w:rPr>
          <w:t>https://www.globalpartnership.org</w:t>
        </w:r>
      </w:hyperlink>
    </w:p>
    <w:p w14:paraId="01AA6F46"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Harris, A., &amp; Jones, M. (2020). COVID-19 – school leadership in disruptive times. </w:t>
      </w:r>
      <w:r w:rsidRPr="007944C9">
        <w:rPr>
          <w:rFonts w:ascii="Times New Roman" w:eastAsia="Times New Roman" w:hAnsi="Times New Roman" w:cs="Times New Roman"/>
          <w:i/>
          <w:iCs/>
          <w:kern w:val="0"/>
          <w:sz w:val="24"/>
          <w:szCs w:val="24"/>
          <w14:ligatures w14:val="none"/>
        </w:rPr>
        <w:t>School Leadership &amp; Management, 40</w:t>
      </w:r>
      <w:r w:rsidRPr="007944C9">
        <w:rPr>
          <w:rFonts w:ascii="Times New Roman" w:eastAsia="Times New Roman" w:hAnsi="Times New Roman" w:cs="Times New Roman"/>
          <w:kern w:val="0"/>
          <w:sz w:val="24"/>
          <w:szCs w:val="24"/>
          <w14:ligatures w14:val="none"/>
        </w:rPr>
        <w:t xml:space="preserve">(4), 243–247. </w:t>
      </w:r>
      <w:hyperlink r:id="rId10" w:tgtFrame="_new" w:history="1">
        <w:r w:rsidRPr="007944C9">
          <w:rPr>
            <w:rFonts w:ascii="Times New Roman" w:eastAsia="Times New Roman" w:hAnsi="Times New Roman" w:cs="Times New Roman"/>
            <w:color w:val="0000FF"/>
            <w:kern w:val="0"/>
            <w:sz w:val="24"/>
            <w:szCs w:val="24"/>
            <w:u w:val="single"/>
            <w14:ligatures w14:val="none"/>
          </w:rPr>
          <w:t>https://doi.org/10.1080/13632434.2020.1811479</w:t>
        </w:r>
      </w:hyperlink>
    </w:p>
    <w:p w14:paraId="027B7F1D" w14:textId="77777777" w:rsidR="00A01FBD" w:rsidRPr="00A01FBD" w:rsidRDefault="00A01FBD" w:rsidP="001B67FC">
      <w:pPr>
        <w:pStyle w:val="NormalWeb"/>
        <w:jc w:val="both"/>
        <w:rPr>
          <w:i/>
          <w:iCs/>
        </w:rPr>
      </w:pPr>
      <w:r w:rsidRPr="00A01FBD">
        <w:t xml:space="preserve">Heifetz, R., Grashow, A., &amp; Linsky, M. (2009). </w:t>
      </w:r>
      <w:r w:rsidRPr="00A01FBD">
        <w:rPr>
          <w:rStyle w:val="Emphasis"/>
          <w:rFonts w:eastAsiaTheme="majorEastAsia"/>
          <w:i w:val="0"/>
          <w:iCs w:val="0"/>
        </w:rPr>
        <w:t>The practice of adaptive leadership</w:t>
      </w:r>
      <w:r w:rsidRPr="00A01FBD">
        <w:rPr>
          <w:i/>
          <w:iCs/>
        </w:rPr>
        <w:t>. Harvard University Press.</w:t>
      </w:r>
    </w:p>
    <w:p w14:paraId="56C8353B"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IEA. (2023). Energy access in Africa. </w:t>
      </w:r>
      <w:r w:rsidRPr="00A01FBD">
        <w:rPr>
          <w:rFonts w:ascii="Times New Roman" w:eastAsia="Times New Roman" w:hAnsi="Times New Roman" w:cs="Times New Roman"/>
          <w:i/>
          <w:iCs/>
          <w:kern w:val="0"/>
          <w:sz w:val="24"/>
          <w:szCs w:val="24"/>
          <w14:ligatures w14:val="none"/>
        </w:rPr>
        <w:t>International Energy Agency (IEA).</w:t>
      </w:r>
    </w:p>
    <w:p w14:paraId="59AF0406" w14:textId="77777777" w:rsidR="00A01FBD" w:rsidRPr="00A01FBD" w:rsidRDefault="00A01FBD" w:rsidP="001B67FC">
      <w:pPr>
        <w:pStyle w:val="NormalWeb"/>
        <w:jc w:val="both"/>
        <w:rPr>
          <w:i/>
          <w:iCs/>
        </w:rPr>
      </w:pPr>
      <w:r w:rsidRPr="00A01FBD">
        <w:t xml:space="preserve">IEA. (2023). </w:t>
      </w:r>
      <w:r w:rsidRPr="00A01FBD">
        <w:rPr>
          <w:rStyle w:val="Emphasis"/>
          <w:rFonts w:eastAsiaTheme="majorEastAsia"/>
          <w:i w:val="0"/>
          <w:iCs w:val="0"/>
        </w:rPr>
        <w:t>Renewables 2023: Analysis and forecast to 2028</w:t>
      </w:r>
      <w:r w:rsidRPr="00A01FBD">
        <w:rPr>
          <w:i/>
          <w:iCs/>
        </w:rPr>
        <w:t>.</w:t>
      </w:r>
      <w:r w:rsidRPr="00A01FBD">
        <w:t xml:space="preserve"> </w:t>
      </w:r>
      <w:r w:rsidRPr="00A01FBD">
        <w:rPr>
          <w:i/>
          <w:iCs/>
        </w:rPr>
        <w:t>International Energy Agency (IEA).</w:t>
      </w:r>
    </w:p>
    <w:p w14:paraId="2A3A4C72" w14:textId="77777777" w:rsidR="00A01FBD" w:rsidRPr="00A01FBD" w:rsidRDefault="00A01FBD" w:rsidP="001B67FC">
      <w:pPr>
        <w:pStyle w:val="NormalWeb"/>
        <w:jc w:val="both"/>
      </w:pPr>
      <w:r w:rsidRPr="00A01FBD">
        <w:t xml:space="preserve">IPCC. (2023). </w:t>
      </w:r>
      <w:r w:rsidRPr="00A01FBD">
        <w:rPr>
          <w:rStyle w:val="Emphasis"/>
          <w:rFonts w:eastAsiaTheme="majorEastAsia"/>
          <w:i w:val="0"/>
          <w:iCs w:val="0"/>
        </w:rPr>
        <w:t>Sixth assessment report: Impacts, adaptation and vulnerability</w:t>
      </w:r>
      <w:r w:rsidRPr="00A01FBD">
        <w:rPr>
          <w:i/>
          <w:iCs/>
        </w:rPr>
        <w:t>. Intergovernmental Panel on Climate Change (IPCC).</w:t>
      </w:r>
      <w:r w:rsidRPr="00A01FBD">
        <w:t xml:space="preserve"> </w:t>
      </w:r>
    </w:p>
    <w:p w14:paraId="19938B55" w14:textId="77777777" w:rsidR="00A01FBD" w:rsidRPr="00A01FBD" w:rsidRDefault="00A01FBD" w:rsidP="001B67FC">
      <w:pPr>
        <w:pStyle w:val="NormalWeb"/>
        <w:jc w:val="both"/>
      </w:pPr>
      <w:r w:rsidRPr="00A01FBD">
        <w:t xml:space="preserve">ITU. (2022). </w:t>
      </w:r>
      <w:r w:rsidRPr="00A01FBD">
        <w:rPr>
          <w:rStyle w:val="Emphasis"/>
          <w:rFonts w:eastAsiaTheme="majorEastAsia"/>
          <w:i w:val="0"/>
          <w:iCs w:val="0"/>
        </w:rPr>
        <w:t>Measuring digital development: Facts and figures 2022</w:t>
      </w:r>
      <w:r w:rsidRPr="00A01FBD">
        <w:rPr>
          <w:i/>
          <w:iCs/>
        </w:rPr>
        <w:t>. Geneva: International Telecommunication Union.</w:t>
      </w:r>
      <w:r w:rsidRPr="00A01FBD">
        <w:t xml:space="preserve"> </w:t>
      </w:r>
      <w:r w:rsidRPr="00BA638F">
        <w:rPr>
          <w:i/>
          <w:iCs/>
        </w:rPr>
        <w:t>ITU Publications</w:t>
      </w:r>
      <w:r w:rsidRPr="00BA638F">
        <w:t>.</w:t>
      </w:r>
    </w:p>
    <w:p w14:paraId="4C54EE28"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A01FBD">
        <w:rPr>
          <w:rFonts w:ascii="Times New Roman" w:eastAsia="Times New Roman" w:hAnsi="Times New Roman" w:cs="Times New Roman"/>
          <w:kern w:val="0"/>
          <w:sz w:val="24"/>
          <w:szCs w:val="24"/>
          <w14:ligatures w14:val="none"/>
        </w:rPr>
        <w:t xml:space="preserve">ITU. </w:t>
      </w:r>
      <w:r w:rsidRPr="00BA638F">
        <w:rPr>
          <w:rFonts w:ascii="Times New Roman" w:eastAsia="Times New Roman" w:hAnsi="Times New Roman" w:cs="Times New Roman"/>
          <w:kern w:val="0"/>
          <w:sz w:val="24"/>
          <w:szCs w:val="24"/>
          <w14:ligatures w14:val="none"/>
        </w:rPr>
        <w:t>(2023). Measuring digital development: Facts and figures 2023.</w:t>
      </w:r>
      <w:r w:rsidRPr="00A01FBD">
        <w:rPr>
          <w:rFonts w:ascii="Times New Roman" w:eastAsia="Times New Roman" w:hAnsi="Times New Roman" w:cs="Times New Roman"/>
          <w:kern w:val="0"/>
          <w:sz w:val="24"/>
          <w:szCs w:val="24"/>
          <w14:ligatures w14:val="none"/>
        </w:rPr>
        <w:t xml:space="preserve"> </w:t>
      </w:r>
      <w:r w:rsidRPr="00BA638F">
        <w:rPr>
          <w:rFonts w:ascii="Times New Roman" w:eastAsia="Times New Roman" w:hAnsi="Times New Roman" w:cs="Times New Roman"/>
          <w:i/>
          <w:iCs/>
          <w:kern w:val="0"/>
          <w:sz w:val="24"/>
          <w:szCs w:val="24"/>
          <w14:ligatures w14:val="none"/>
        </w:rPr>
        <w:t>International Telecommunication Union (ITU).  ITU Publications.</w:t>
      </w:r>
    </w:p>
    <w:p w14:paraId="714149CC" w14:textId="77777777" w:rsidR="00A01FBD" w:rsidRPr="00A01FBD" w:rsidRDefault="00A01FBD" w:rsidP="001B67FC">
      <w:pPr>
        <w:pStyle w:val="NormalWeb"/>
        <w:jc w:val="both"/>
      </w:pPr>
      <w:r w:rsidRPr="00A01FBD">
        <w:t xml:space="preserve">Kallio, H., et al. (2016). Systematic methodological review of semi-structured interviews. </w:t>
      </w:r>
      <w:r w:rsidRPr="00A01FBD">
        <w:rPr>
          <w:rStyle w:val="Emphasis"/>
          <w:rFonts w:eastAsiaTheme="majorEastAsia"/>
        </w:rPr>
        <w:t>Journal of Advanced Nursing, 72</w:t>
      </w:r>
      <w:r w:rsidRPr="00A01FBD">
        <w:t>(12), 2954–2965.</w:t>
      </w:r>
    </w:p>
    <w:p w14:paraId="70B90C12" w14:textId="56A38000" w:rsidR="00A01FBD" w:rsidRPr="00A01FBD" w:rsidRDefault="00A01FBD" w:rsidP="001B67FC">
      <w:pPr>
        <w:pStyle w:val="NormalWeb"/>
        <w:jc w:val="both"/>
      </w:pPr>
      <w:r w:rsidRPr="00A01FBD">
        <w:t>Krueger, R.</w:t>
      </w:r>
      <w:r>
        <w:t>,</w:t>
      </w:r>
      <w:r w:rsidRPr="00A01FBD">
        <w:t xml:space="preserve"> A., &amp; Casey, M.</w:t>
      </w:r>
      <w:r>
        <w:t>,</w:t>
      </w:r>
      <w:r w:rsidRPr="00A01FBD">
        <w:t xml:space="preserve"> A. (2015). </w:t>
      </w:r>
      <w:r w:rsidRPr="00A01FBD">
        <w:rPr>
          <w:rStyle w:val="Emphasis"/>
          <w:rFonts w:eastAsiaTheme="majorEastAsia"/>
        </w:rPr>
        <w:t>Focus groups</w:t>
      </w:r>
      <w:r w:rsidRPr="00A01FBD">
        <w:t xml:space="preserve"> (5th ed.). SAGE.</w:t>
      </w:r>
    </w:p>
    <w:p w14:paraId="0610FD36" w14:textId="11D96B32" w:rsidR="00A01FBD" w:rsidRPr="00A01FBD" w:rsidRDefault="00A01FBD" w:rsidP="001B67FC">
      <w:pPr>
        <w:pStyle w:val="NormalWeb"/>
        <w:jc w:val="both"/>
      </w:pPr>
      <w:r w:rsidRPr="00A01FBD">
        <w:lastRenderedPageBreak/>
        <w:t>Lunga, W., Ziweya, M., Kaifa, J.</w:t>
      </w:r>
      <w:r>
        <w:t>,</w:t>
      </w:r>
      <w:r w:rsidRPr="00A01FBD">
        <w:t xml:space="preserve"> M., Musarurwa, C., &amp; Magampa, M.</w:t>
      </w:r>
      <w:r>
        <w:t>,</w:t>
      </w:r>
      <w:r w:rsidRPr="00A01FBD">
        <w:t xml:space="preserve"> M. (2025). Is Zimbabwe's education system disaster-ready? Evaluating risk reduction strategies in Binga district schools. </w:t>
      </w:r>
      <w:r w:rsidRPr="00A01FBD">
        <w:rPr>
          <w:rStyle w:val="Emphasis"/>
          <w:rFonts w:eastAsiaTheme="majorEastAsia"/>
        </w:rPr>
        <w:t>Frontiers in Sustainability, 6</w:t>
      </w:r>
      <w:r w:rsidRPr="00A01FBD">
        <w:t xml:space="preserve">. https://doi.org/10.3389/frsus.2025.1635584 </w:t>
      </w:r>
    </w:p>
    <w:p w14:paraId="54CEBF08" w14:textId="77777777" w:rsidR="00A01FBD" w:rsidRPr="00A01FBD" w:rsidRDefault="00A01FBD" w:rsidP="001B67FC">
      <w:pPr>
        <w:pStyle w:val="NormalWeb"/>
        <w:jc w:val="both"/>
      </w:pPr>
      <w:r w:rsidRPr="00A01FBD">
        <w:t xml:space="preserve">Matarise, F. (2024). Climate change, education, and rural vulnerability in Zimbabwe. </w:t>
      </w:r>
      <w:r w:rsidRPr="00A01FBD">
        <w:rPr>
          <w:rStyle w:val="Emphasis"/>
          <w:rFonts w:eastAsiaTheme="majorEastAsia"/>
        </w:rPr>
        <w:t>African Journal of Development Studies</w:t>
      </w:r>
      <w:r w:rsidRPr="00A01FBD">
        <w:t>, 14(2), 89–105.</w:t>
      </w:r>
    </w:p>
    <w:p w14:paraId="1A837B83" w14:textId="77777777" w:rsidR="00A01FBD" w:rsidRPr="00A01FBD" w:rsidRDefault="00A01FBD" w:rsidP="001B67FC">
      <w:pPr>
        <w:pStyle w:val="NormalWeb"/>
        <w:jc w:val="both"/>
      </w:pPr>
      <w:r w:rsidRPr="00A01FBD">
        <w:t xml:space="preserve">Matarise, F. (2024). Climate variability and education sustainability in Southern Africa. </w:t>
      </w:r>
      <w:r w:rsidRPr="00A01FBD">
        <w:rPr>
          <w:rStyle w:val="Emphasis"/>
          <w:rFonts w:eastAsiaTheme="majorEastAsia"/>
        </w:rPr>
        <w:t>Sustainability in Education Review</w:t>
      </w:r>
      <w:r w:rsidRPr="00A01FBD">
        <w:t>, 12(1), 88–104.</w:t>
      </w:r>
    </w:p>
    <w:p w14:paraId="41260FC1"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Matarise, F. (2024). Rural education inequalities in Zimbabwe. </w:t>
      </w:r>
      <w:r w:rsidRPr="00A01FBD">
        <w:rPr>
          <w:rFonts w:ascii="Times New Roman" w:eastAsia="Times New Roman" w:hAnsi="Times New Roman" w:cs="Times New Roman"/>
          <w:i/>
          <w:iCs/>
          <w:kern w:val="0"/>
          <w:sz w:val="24"/>
          <w:szCs w:val="24"/>
          <w14:ligatures w14:val="none"/>
        </w:rPr>
        <w:t>Zimbabwe Journal of Education Research, 36</w:t>
      </w:r>
      <w:r w:rsidRPr="00A01FBD">
        <w:rPr>
          <w:rFonts w:ascii="Times New Roman" w:eastAsia="Times New Roman" w:hAnsi="Times New Roman" w:cs="Times New Roman"/>
          <w:kern w:val="0"/>
          <w:sz w:val="24"/>
          <w:szCs w:val="24"/>
          <w14:ligatures w14:val="none"/>
        </w:rPr>
        <w:t>(1), 45–60.</w:t>
      </w:r>
    </w:p>
    <w:p w14:paraId="6C373DAC" w14:textId="5CF21C2D" w:rsidR="00A01FBD" w:rsidRPr="00A01FBD" w:rsidRDefault="00A01FBD" w:rsidP="001B67FC">
      <w:pPr>
        <w:pStyle w:val="NormalWeb"/>
        <w:jc w:val="both"/>
      </w:pPr>
      <w:r w:rsidRPr="00A01FBD">
        <w:t>Matarise, R.</w:t>
      </w:r>
      <w:r>
        <w:t>,</w:t>
      </w:r>
      <w:r w:rsidRPr="00A01FBD">
        <w:t xml:space="preserve"> S. (2024). Transforming rural education in Zimbabwe: Innovative approaches to bridging the gap. </w:t>
      </w:r>
      <w:r w:rsidRPr="00A01FBD">
        <w:rPr>
          <w:rStyle w:val="Emphasis"/>
          <w:rFonts w:eastAsiaTheme="majorEastAsia"/>
        </w:rPr>
        <w:t>Arum Visuals</w:t>
      </w:r>
      <w:r w:rsidRPr="00A01FBD">
        <w:t xml:space="preserve">. </w:t>
      </w:r>
    </w:p>
    <w:p w14:paraId="1E45D22B" w14:textId="77777777" w:rsidR="00A01FBD" w:rsidRPr="00A01FBD" w:rsidRDefault="00A01FBD" w:rsidP="001B67FC">
      <w:pPr>
        <w:pStyle w:val="NormalWeb"/>
        <w:jc w:val="both"/>
      </w:pPr>
      <w:r w:rsidRPr="00A01FBD">
        <w:t xml:space="preserve">Mavhunga, P., &amp; Mpofu, V. (2022). ICT challenges in rural Zimbabwean schools. </w:t>
      </w:r>
      <w:r w:rsidRPr="00A01FBD">
        <w:rPr>
          <w:rStyle w:val="Emphasis"/>
          <w:rFonts w:eastAsiaTheme="majorEastAsia"/>
        </w:rPr>
        <w:t>African Educational Research Journal, 10</w:t>
      </w:r>
      <w:r w:rsidRPr="00A01FBD">
        <w:t>(2), 45–56.</w:t>
      </w:r>
    </w:p>
    <w:p w14:paraId="18EA3B74" w14:textId="112AB976" w:rsidR="005D7681" w:rsidRDefault="005D7681" w:rsidP="005D7681">
      <w:pPr>
        <w:spacing w:before="100" w:beforeAutospacing="1" w:after="100" w:afterAutospacing="1" w:line="240" w:lineRule="auto"/>
        <w:jc w:val="both"/>
      </w:pPr>
      <w:r w:rsidRPr="005D7681">
        <w:rPr>
          <w:rFonts w:ascii="Times New Roman" w:hAnsi="Times New Roman" w:cs="Times New Roman"/>
          <w:sz w:val="24"/>
          <w:szCs w:val="24"/>
        </w:rPr>
        <w:t>McCambridge, J., Witton, J., &amp; Elbourne, D.</w:t>
      </w:r>
      <w:r>
        <w:rPr>
          <w:rFonts w:ascii="Times New Roman" w:hAnsi="Times New Roman" w:cs="Times New Roman"/>
          <w:sz w:val="24"/>
          <w:szCs w:val="24"/>
        </w:rPr>
        <w:t>,</w:t>
      </w:r>
      <w:r w:rsidRPr="005D7681">
        <w:rPr>
          <w:rFonts w:ascii="Times New Roman" w:hAnsi="Times New Roman" w:cs="Times New Roman"/>
          <w:sz w:val="24"/>
          <w:szCs w:val="24"/>
        </w:rPr>
        <w:t xml:space="preserve"> R. (2014). </w:t>
      </w:r>
      <w:r w:rsidRPr="005D7681">
        <w:rPr>
          <w:rStyle w:val="Emphasis"/>
          <w:rFonts w:ascii="Times New Roman" w:hAnsi="Times New Roman" w:cs="Times New Roman"/>
          <w:i w:val="0"/>
          <w:iCs w:val="0"/>
          <w:sz w:val="24"/>
          <w:szCs w:val="24"/>
        </w:rPr>
        <w:t>Systematic review of the Hawthorne effect: New concepts are needed to study research participation effects</w:t>
      </w:r>
      <w:r w:rsidRPr="005D7681">
        <w:rPr>
          <w:rFonts w:ascii="Times New Roman" w:hAnsi="Times New Roman" w:cs="Times New Roman"/>
          <w:i/>
          <w:iCs/>
          <w:sz w:val="24"/>
          <w:szCs w:val="24"/>
        </w:rPr>
        <w:t>.</w:t>
      </w:r>
      <w:r w:rsidRPr="005D7681">
        <w:rPr>
          <w:rFonts w:ascii="Times New Roman" w:hAnsi="Times New Roman" w:cs="Times New Roman"/>
          <w:sz w:val="24"/>
          <w:szCs w:val="24"/>
        </w:rPr>
        <w:t xml:space="preserve"> </w:t>
      </w:r>
      <w:r w:rsidRPr="005D7681">
        <w:rPr>
          <w:rStyle w:val="Strong"/>
          <w:rFonts w:ascii="Times New Roman" w:hAnsi="Times New Roman" w:cs="Times New Roman"/>
          <w:b w:val="0"/>
          <w:bCs w:val="0"/>
          <w:i/>
          <w:iCs/>
          <w:sz w:val="24"/>
          <w:szCs w:val="24"/>
        </w:rPr>
        <w:t>Journal of Clinical Epidemiology,</w:t>
      </w:r>
      <w:r w:rsidRPr="005D7681">
        <w:rPr>
          <w:rStyle w:val="Strong"/>
          <w:rFonts w:ascii="Times New Roman" w:hAnsi="Times New Roman" w:cs="Times New Roman"/>
          <w:b w:val="0"/>
          <w:bCs w:val="0"/>
          <w:sz w:val="24"/>
          <w:szCs w:val="24"/>
        </w:rPr>
        <w:t xml:space="preserve"> 67</w:t>
      </w:r>
      <w:r w:rsidRPr="005D7681">
        <w:rPr>
          <w:rFonts w:ascii="Times New Roman" w:hAnsi="Times New Roman" w:cs="Times New Roman"/>
          <w:sz w:val="24"/>
          <w:szCs w:val="24"/>
        </w:rPr>
        <w:t>(3),</w:t>
      </w:r>
      <w:r>
        <w:t xml:space="preserve"> 267–277.</w:t>
      </w:r>
    </w:p>
    <w:p w14:paraId="48A69503" w14:textId="49D7651A" w:rsidR="00A01FBD" w:rsidRPr="00A01FBD" w:rsidRDefault="00A01FBD" w:rsidP="005D768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hAnsi="Times New Roman" w:cs="Times New Roman"/>
          <w:sz w:val="24"/>
          <w:szCs w:val="24"/>
        </w:rPr>
        <w:t>Meadows, D.</w:t>
      </w:r>
      <w:r w:rsidR="005D7681">
        <w:rPr>
          <w:rFonts w:ascii="Times New Roman" w:hAnsi="Times New Roman" w:cs="Times New Roman"/>
          <w:sz w:val="24"/>
          <w:szCs w:val="24"/>
        </w:rPr>
        <w:t>,</w:t>
      </w:r>
      <w:r w:rsidRPr="00A01FBD">
        <w:rPr>
          <w:rFonts w:ascii="Times New Roman" w:hAnsi="Times New Roman" w:cs="Times New Roman"/>
          <w:sz w:val="24"/>
          <w:szCs w:val="24"/>
        </w:rPr>
        <w:t xml:space="preserve"> H. (2008). </w:t>
      </w:r>
      <w:r w:rsidRPr="005D7681">
        <w:rPr>
          <w:rStyle w:val="Emphasis"/>
          <w:rFonts w:ascii="Times New Roman" w:hAnsi="Times New Roman" w:cs="Times New Roman"/>
          <w:i w:val="0"/>
          <w:iCs w:val="0"/>
          <w:sz w:val="24"/>
          <w:szCs w:val="24"/>
        </w:rPr>
        <w:t>Thinking in systems: A primer</w:t>
      </w:r>
      <w:r w:rsidRPr="005D7681">
        <w:rPr>
          <w:rFonts w:ascii="Times New Roman" w:hAnsi="Times New Roman" w:cs="Times New Roman"/>
          <w:i/>
          <w:iCs/>
          <w:sz w:val="24"/>
          <w:szCs w:val="24"/>
        </w:rPr>
        <w:t>.</w:t>
      </w:r>
      <w:r w:rsidRPr="00A01FBD">
        <w:rPr>
          <w:rFonts w:ascii="Times New Roman" w:hAnsi="Times New Roman" w:cs="Times New Roman"/>
          <w:sz w:val="24"/>
          <w:szCs w:val="24"/>
        </w:rPr>
        <w:t xml:space="preserve"> </w:t>
      </w:r>
      <w:r w:rsidRPr="005D7681">
        <w:rPr>
          <w:rFonts w:ascii="Times New Roman" w:hAnsi="Times New Roman" w:cs="Times New Roman"/>
          <w:i/>
          <w:iCs/>
          <w:sz w:val="24"/>
          <w:szCs w:val="24"/>
        </w:rPr>
        <w:t>Chelsea Green Publishing</w:t>
      </w:r>
      <w:r w:rsidRPr="00A01FBD">
        <w:rPr>
          <w:rFonts w:ascii="Times New Roman" w:hAnsi="Times New Roman" w:cs="Times New Roman"/>
          <w:sz w:val="24"/>
          <w:szCs w:val="24"/>
        </w:rPr>
        <w:t>.</w:t>
      </w:r>
    </w:p>
    <w:p w14:paraId="39AF640A"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Mhlanga, D., &amp; Moloi, T. (2020). COVID-19 and the digital transformation of education: What are we learning on 4IR in Sub-Saharan Africa? </w:t>
      </w:r>
      <w:r w:rsidRPr="00BA638F">
        <w:rPr>
          <w:rFonts w:ascii="Times New Roman" w:eastAsia="Times New Roman" w:hAnsi="Times New Roman" w:cs="Times New Roman"/>
          <w:i/>
          <w:iCs/>
          <w:kern w:val="0"/>
          <w:sz w:val="24"/>
          <w:szCs w:val="24"/>
          <w14:ligatures w14:val="none"/>
        </w:rPr>
        <w:t>Education Sciences, 10</w:t>
      </w:r>
      <w:r w:rsidRPr="00BA638F">
        <w:rPr>
          <w:rFonts w:ascii="Times New Roman" w:eastAsia="Times New Roman" w:hAnsi="Times New Roman" w:cs="Times New Roman"/>
          <w:kern w:val="0"/>
          <w:sz w:val="24"/>
          <w:szCs w:val="24"/>
          <w14:ligatures w14:val="none"/>
        </w:rPr>
        <w:t xml:space="preserve">(7), 180. </w:t>
      </w:r>
      <w:hyperlink r:id="rId11" w:tgtFrame="_new" w:history="1">
        <w:r w:rsidRPr="00BA638F">
          <w:rPr>
            <w:rFonts w:ascii="Times New Roman" w:eastAsia="Times New Roman" w:hAnsi="Times New Roman" w:cs="Times New Roman"/>
            <w:color w:val="0000FF"/>
            <w:kern w:val="0"/>
            <w:sz w:val="24"/>
            <w:szCs w:val="24"/>
            <w:u w:val="single"/>
            <w14:ligatures w14:val="none"/>
          </w:rPr>
          <w:t>https://doi.org/10.3390/educsci10070180</w:t>
        </w:r>
      </w:hyperlink>
    </w:p>
    <w:p w14:paraId="189DA635" w14:textId="77777777" w:rsidR="00A01FBD" w:rsidRPr="00A01FBD" w:rsidRDefault="00A01FBD" w:rsidP="001B67FC">
      <w:pPr>
        <w:pStyle w:val="NormalWeb"/>
        <w:jc w:val="both"/>
      </w:pPr>
      <w:r w:rsidRPr="00A01FBD">
        <w:t xml:space="preserve">Mhlanga, D., &amp; Moloi, T. (2023). COVID-19 and digital transformation in rural education in Africa. </w:t>
      </w:r>
      <w:r w:rsidRPr="00A01FBD">
        <w:rPr>
          <w:rStyle w:val="Emphasis"/>
          <w:rFonts w:eastAsiaTheme="majorEastAsia"/>
        </w:rPr>
        <w:t>Education and Information Technologies, 28</w:t>
      </w:r>
      <w:r w:rsidRPr="00A01FBD">
        <w:t>, 1–18.</w:t>
      </w:r>
    </w:p>
    <w:p w14:paraId="72FDF92C"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Miller, R. (2018). Transforming the future: Anticipation in the 21st century. </w:t>
      </w:r>
      <w:r w:rsidRPr="007944C9">
        <w:rPr>
          <w:rFonts w:ascii="Times New Roman" w:eastAsia="Times New Roman" w:hAnsi="Times New Roman" w:cs="Times New Roman"/>
          <w:i/>
          <w:iCs/>
          <w:kern w:val="0"/>
          <w:sz w:val="24"/>
          <w:szCs w:val="24"/>
          <w14:ligatures w14:val="none"/>
        </w:rPr>
        <w:t>Routledge</w:t>
      </w:r>
      <w:r w:rsidRPr="007944C9">
        <w:rPr>
          <w:rFonts w:ascii="Times New Roman" w:eastAsia="Times New Roman" w:hAnsi="Times New Roman" w:cs="Times New Roman"/>
          <w:kern w:val="0"/>
          <w:sz w:val="24"/>
          <w:szCs w:val="24"/>
          <w14:ligatures w14:val="none"/>
        </w:rPr>
        <w:t>.</w:t>
      </w:r>
    </w:p>
    <w:p w14:paraId="144CF67D" w14:textId="77777777" w:rsidR="00A01FBD" w:rsidRPr="00A01FBD" w:rsidRDefault="00A01FBD" w:rsidP="001B67FC">
      <w:pPr>
        <w:pStyle w:val="NormalWeb"/>
        <w:jc w:val="both"/>
      </w:pPr>
      <w:r w:rsidRPr="00A01FBD">
        <w:t xml:space="preserve">Miller, R. (2018). </w:t>
      </w:r>
      <w:r w:rsidRPr="00A01FBD">
        <w:rPr>
          <w:rStyle w:val="Emphasis"/>
          <w:rFonts w:eastAsiaTheme="majorEastAsia"/>
          <w:i w:val="0"/>
          <w:iCs w:val="0"/>
        </w:rPr>
        <w:t>Transforming the future: Anticipation in the 21st century</w:t>
      </w:r>
      <w:r w:rsidRPr="00A01FBD">
        <w:rPr>
          <w:i/>
          <w:iCs/>
        </w:rPr>
        <w:t>. UNESCO</w:t>
      </w:r>
      <w:r w:rsidRPr="00A01FBD">
        <w:t xml:space="preserve"> Publishing.</w:t>
      </w:r>
    </w:p>
    <w:p w14:paraId="6798C34B" w14:textId="77777777" w:rsidR="00A01FBD" w:rsidRPr="00A01FBD" w:rsidRDefault="00A01FBD" w:rsidP="001B67FC">
      <w:pPr>
        <w:pStyle w:val="NormalWeb"/>
        <w:jc w:val="both"/>
      </w:pPr>
      <w:r w:rsidRPr="00BA638F">
        <w:t>MoPSE</w:t>
      </w:r>
      <w:r w:rsidRPr="00A01FBD">
        <w:t>.</w:t>
      </w:r>
      <w:r w:rsidRPr="00BA638F">
        <w:t xml:space="preserve"> </w:t>
      </w:r>
      <w:r w:rsidRPr="00A01FBD">
        <w:t xml:space="preserve"> (2021). </w:t>
      </w:r>
      <w:r w:rsidRPr="00A01FBD">
        <w:rPr>
          <w:rStyle w:val="Emphasis"/>
          <w:rFonts w:eastAsiaTheme="majorEastAsia"/>
          <w:i w:val="0"/>
          <w:iCs w:val="0"/>
        </w:rPr>
        <w:t>ICT in education policy for Zimbabwe</w:t>
      </w:r>
      <w:r w:rsidRPr="00A01FBD">
        <w:rPr>
          <w:i/>
          <w:iCs/>
        </w:rPr>
        <w:t>. Ministry of Primary and Secondary Education (MoPSE). Government of Zimbabwe.</w:t>
      </w:r>
    </w:p>
    <w:p w14:paraId="6A8902B0"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MoPSE</w:t>
      </w:r>
      <w:r w:rsidRPr="00A01FBD">
        <w:rPr>
          <w:rFonts w:ascii="Times New Roman" w:eastAsia="Times New Roman" w:hAnsi="Times New Roman" w:cs="Times New Roman"/>
          <w:kern w:val="0"/>
          <w:sz w:val="24"/>
          <w:szCs w:val="24"/>
          <w14:ligatures w14:val="none"/>
        </w:rPr>
        <w:t>.</w:t>
      </w:r>
      <w:r w:rsidRPr="00BA638F">
        <w:rPr>
          <w:rFonts w:ascii="Times New Roman" w:eastAsia="Times New Roman" w:hAnsi="Times New Roman" w:cs="Times New Roman"/>
          <w:kern w:val="0"/>
          <w:sz w:val="24"/>
          <w:szCs w:val="24"/>
          <w14:ligatures w14:val="none"/>
        </w:rPr>
        <w:t xml:space="preserve"> (2021). ICT policy for primary and secondary education in Zimbabwe. Ministry of Primary and Secondary Education (MoPSE). </w:t>
      </w:r>
      <w:r w:rsidRPr="00BA638F">
        <w:rPr>
          <w:rFonts w:ascii="Times New Roman" w:eastAsia="Times New Roman" w:hAnsi="Times New Roman" w:cs="Times New Roman"/>
          <w:i/>
          <w:iCs/>
          <w:kern w:val="0"/>
          <w:sz w:val="24"/>
          <w:szCs w:val="24"/>
          <w14:ligatures w14:val="none"/>
        </w:rPr>
        <w:t>Government of Zimbabwe.</w:t>
      </w:r>
    </w:p>
    <w:p w14:paraId="2539101A" w14:textId="4F2FE155" w:rsidR="00A01FBD" w:rsidRPr="00A01FBD" w:rsidRDefault="00A01FBD" w:rsidP="001B67FC">
      <w:pPr>
        <w:pStyle w:val="NormalWeb"/>
        <w:jc w:val="both"/>
      </w:pPr>
      <w:r w:rsidRPr="00A01FBD">
        <w:t>Morgan, D.</w:t>
      </w:r>
      <w:r>
        <w:t>,</w:t>
      </w:r>
      <w:r w:rsidRPr="00A01FBD">
        <w:t xml:space="preserve"> L. (2019). </w:t>
      </w:r>
      <w:r w:rsidRPr="00A01FBD">
        <w:rPr>
          <w:rStyle w:val="Emphasis"/>
          <w:rFonts w:eastAsiaTheme="majorEastAsia"/>
          <w:i w:val="0"/>
          <w:iCs w:val="0"/>
        </w:rPr>
        <w:t>Basic and advanced focus groups</w:t>
      </w:r>
      <w:r w:rsidRPr="00A01FBD">
        <w:rPr>
          <w:i/>
          <w:iCs/>
        </w:rPr>
        <w:t>. SAGE.</w:t>
      </w:r>
    </w:p>
    <w:p w14:paraId="192B7A15" w14:textId="77777777" w:rsidR="00A01FBD" w:rsidRPr="00A01FBD" w:rsidRDefault="00A01FBD" w:rsidP="00C63798">
      <w:pPr>
        <w:spacing w:after="4" w:line="247" w:lineRule="auto"/>
        <w:ind w:right="2"/>
        <w:jc w:val="both"/>
        <w:rPr>
          <w:rFonts w:ascii="Times New Roman" w:hAnsi="Times New Roman" w:cs="Times New Roman"/>
          <w:sz w:val="24"/>
          <w:szCs w:val="24"/>
        </w:rPr>
      </w:pPr>
      <w:r w:rsidRPr="00A01FBD">
        <w:rPr>
          <w:rFonts w:ascii="Times New Roman" w:hAnsi="Times New Roman" w:cs="Times New Roman"/>
          <w:sz w:val="24"/>
          <w:szCs w:val="24"/>
        </w:rPr>
        <w:t xml:space="preserve">Munyoro, G., Madhlangobe, L., &amp; Ngandu, M. (2026). </w:t>
      </w:r>
      <w:r w:rsidRPr="00A01FBD">
        <w:rPr>
          <w:rFonts w:ascii="Times New Roman" w:hAnsi="Times New Roman" w:cs="Times New Roman"/>
          <w:kern w:val="36"/>
          <w:sz w:val="24"/>
          <w:szCs w:val="24"/>
          <w14:ligatures w14:val="none"/>
        </w:rPr>
        <w:t xml:space="preserve">Strategic Foresight and Institutional Resilience in Education Systems: Future-Proofing Guzha (St Stephens) Primary School, Murewa, Mashonaland East, Zimbabwe: </w:t>
      </w:r>
      <w:r w:rsidRPr="00A01FBD">
        <w:rPr>
          <w:rFonts w:ascii="Times New Roman" w:hAnsi="Times New Roman" w:cs="Times New Roman"/>
          <w:i/>
          <w:iCs/>
          <w:sz w:val="24"/>
          <w:szCs w:val="24"/>
        </w:rPr>
        <w:t>Chalimbana Journal for Humanities and Social Sciences (CJHSS)</w:t>
      </w:r>
      <w:r w:rsidRPr="00A01FBD">
        <w:rPr>
          <w:rFonts w:ascii="Times New Roman" w:hAnsi="Times New Roman" w:cs="Times New Roman"/>
          <w:i/>
          <w:iCs/>
          <w:color w:val="333333"/>
          <w:sz w:val="24"/>
          <w:szCs w:val="24"/>
        </w:rPr>
        <w:t>,</w:t>
      </w:r>
      <w:r w:rsidRPr="00A01FBD">
        <w:rPr>
          <w:rFonts w:ascii="Times New Roman" w:hAnsi="Times New Roman" w:cs="Times New Roman"/>
          <w:color w:val="333333"/>
          <w:sz w:val="24"/>
          <w:szCs w:val="24"/>
        </w:rPr>
        <w:t xml:space="preserve"> </w:t>
      </w:r>
      <w:r w:rsidRPr="00A01FBD">
        <w:rPr>
          <w:rFonts w:ascii="Times New Roman" w:hAnsi="Times New Roman" w:cs="Times New Roman"/>
          <w:sz w:val="24"/>
          <w:szCs w:val="24"/>
        </w:rPr>
        <w:t>3(1): 128-162</w:t>
      </w:r>
    </w:p>
    <w:p w14:paraId="33F739CB"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8B3698">
        <w:rPr>
          <w:rFonts w:ascii="Times New Roman" w:eastAsia="Times New Roman" w:hAnsi="Times New Roman" w:cs="Times New Roman"/>
          <w:kern w:val="0"/>
          <w:sz w:val="24"/>
          <w:szCs w:val="24"/>
          <w14:ligatures w14:val="none"/>
        </w:rPr>
        <w:lastRenderedPageBreak/>
        <w:t>OECD</w:t>
      </w:r>
      <w:r w:rsidRPr="00A01FBD">
        <w:rPr>
          <w:rFonts w:ascii="Times New Roman" w:eastAsia="Times New Roman" w:hAnsi="Times New Roman" w:cs="Times New Roman"/>
          <w:kern w:val="0"/>
          <w:sz w:val="24"/>
          <w:szCs w:val="24"/>
          <w14:ligatures w14:val="none"/>
        </w:rPr>
        <w:t>.</w:t>
      </w:r>
      <w:r w:rsidRPr="008B3698">
        <w:rPr>
          <w:rFonts w:ascii="Times New Roman" w:eastAsia="Times New Roman" w:hAnsi="Times New Roman" w:cs="Times New Roman"/>
          <w:kern w:val="0"/>
          <w:sz w:val="24"/>
          <w:szCs w:val="24"/>
          <w14:ligatures w14:val="none"/>
        </w:rPr>
        <w:t xml:space="preserve"> (2021). Education policy outlook 2021: Shaping responsive and resilient education in a changing world. </w:t>
      </w:r>
      <w:r w:rsidRPr="008B3698">
        <w:rPr>
          <w:rFonts w:ascii="Times New Roman" w:eastAsia="Times New Roman" w:hAnsi="Times New Roman" w:cs="Times New Roman"/>
          <w:i/>
          <w:iCs/>
          <w:kern w:val="0"/>
          <w:sz w:val="24"/>
          <w:szCs w:val="24"/>
          <w14:ligatures w14:val="none"/>
        </w:rPr>
        <w:t xml:space="preserve">Organisation for Economic Co-operation and Development (OECD). OECD Publishing. </w:t>
      </w:r>
    </w:p>
    <w:p w14:paraId="2E70E322"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BA638F">
        <w:rPr>
          <w:rFonts w:ascii="Times New Roman" w:eastAsia="Times New Roman" w:hAnsi="Times New Roman" w:cs="Times New Roman"/>
          <w:kern w:val="0"/>
          <w:sz w:val="24"/>
          <w:szCs w:val="24"/>
          <w14:ligatures w14:val="none"/>
        </w:rPr>
        <w:t xml:space="preserve">OECD. (2021). Foresight and anticipatory governance in education systems. </w:t>
      </w:r>
      <w:r w:rsidRPr="00BA638F">
        <w:rPr>
          <w:rFonts w:ascii="Times New Roman" w:eastAsia="Times New Roman" w:hAnsi="Times New Roman" w:cs="Times New Roman"/>
          <w:i/>
          <w:iCs/>
          <w:kern w:val="0"/>
          <w:sz w:val="24"/>
          <w:szCs w:val="24"/>
          <w14:ligatures w14:val="none"/>
        </w:rPr>
        <w:t>OECD Publishing.</w:t>
      </w:r>
    </w:p>
    <w:p w14:paraId="3BC666A5" w14:textId="77777777" w:rsidR="00A01FBD" w:rsidRPr="00A01FBD" w:rsidRDefault="00A01FBD" w:rsidP="001B67FC">
      <w:pPr>
        <w:pStyle w:val="NormalWeb"/>
        <w:jc w:val="both"/>
      </w:pPr>
      <w:r w:rsidRPr="00A01FBD">
        <w:t xml:space="preserve">OECD. (2021). </w:t>
      </w:r>
      <w:r w:rsidRPr="00A01FBD">
        <w:rPr>
          <w:rStyle w:val="Emphasis"/>
          <w:rFonts w:eastAsiaTheme="majorEastAsia"/>
          <w:i w:val="0"/>
          <w:iCs w:val="0"/>
        </w:rPr>
        <w:t>Strengthening the resilience of education systems</w:t>
      </w:r>
      <w:r w:rsidRPr="00A01FBD">
        <w:t xml:space="preserve">. </w:t>
      </w:r>
      <w:r w:rsidRPr="00A01FBD">
        <w:rPr>
          <w:i/>
          <w:iCs/>
        </w:rPr>
        <w:t>OECD Publishing.</w:t>
      </w:r>
    </w:p>
    <w:p w14:paraId="455C92DF" w14:textId="77777777" w:rsidR="00A01FBD" w:rsidRPr="00A01FBD"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A01FBD">
        <w:rPr>
          <w:rFonts w:ascii="Times New Roman" w:eastAsia="Times New Roman" w:hAnsi="Times New Roman" w:cs="Times New Roman"/>
          <w:kern w:val="0"/>
          <w:sz w:val="24"/>
          <w:szCs w:val="24"/>
          <w14:ligatures w14:val="none"/>
        </w:rPr>
        <w:t xml:space="preserve">OECD. (2022). Fostering strategic foresight in education: Policy perspectives. </w:t>
      </w:r>
      <w:r w:rsidRPr="00A01FBD">
        <w:rPr>
          <w:rFonts w:ascii="Times New Roman" w:eastAsia="Times New Roman" w:hAnsi="Times New Roman" w:cs="Times New Roman"/>
          <w:i/>
          <w:iCs/>
          <w:kern w:val="0"/>
          <w:sz w:val="24"/>
          <w:szCs w:val="24"/>
          <w14:ligatures w14:val="none"/>
        </w:rPr>
        <w:t>OECD Publishing.</w:t>
      </w:r>
    </w:p>
    <w:p w14:paraId="0B7B4111" w14:textId="77777777" w:rsidR="00A01FBD" w:rsidRPr="00A01FBD" w:rsidRDefault="00A01FBD" w:rsidP="001B67FC">
      <w:pPr>
        <w:pStyle w:val="NormalWeb"/>
        <w:jc w:val="both"/>
      </w:pPr>
      <w:r w:rsidRPr="00A01FBD">
        <w:t xml:space="preserve">OECD. (2022). </w:t>
      </w:r>
      <w:r w:rsidRPr="00A01FBD">
        <w:rPr>
          <w:rStyle w:val="Emphasis"/>
          <w:rFonts w:eastAsiaTheme="majorEastAsia"/>
          <w:i w:val="0"/>
          <w:iCs w:val="0"/>
        </w:rPr>
        <w:t>Fostering students’ digital competence and resilience</w:t>
      </w:r>
      <w:r w:rsidRPr="00A01FBD">
        <w:rPr>
          <w:i/>
          <w:iCs/>
        </w:rPr>
        <w:t>. OECD Publishing.</w:t>
      </w:r>
    </w:p>
    <w:p w14:paraId="127BEAAB" w14:textId="77777777" w:rsidR="00A01FBD" w:rsidRPr="00A01FBD" w:rsidRDefault="00A01FBD" w:rsidP="001B67FC">
      <w:pPr>
        <w:pStyle w:val="NormalWeb"/>
        <w:jc w:val="both"/>
        <w:rPr>
          <w:i/>
          <w:iCs/>
        </w:rPr>
      </w:pPr>
      <w:r w:rsidRPr="00A01FBD">
        <w:t xml:space="preserve">OECD. (2023). </w:t>
      </w:r>
      <w:r w:rsidRPr="00A01FBD">
        <w:rPr>
          <w:rStyle w:val="Emphasis"/>
          <w:rFonts w:eastAsiaTheme="majorEastAsia"/>
          <w:i w:val="0"/>
          <w:iCs w:val="0"/>
        </w:rPr>
        <w:t>Digital education outlook 2023</w:t>
      </w:r>
      <w:r w:rsidRPr="00A01FBD">
        <w:rPr>
          <w:i/>
          <w:iCs/>
        </w:rPr>
        <w:t>. Paris: OECD Publishing.</w:t>
      </w:r>
    </w:p>
    <w:p w14:paraId="36E64C28"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OECD. (2023). Education at a glance 2023. </w:t>
      </w:r>
      <w:r w:rsidRPr="00A01FBD">
        <w:rPr>
          <w:rFonts w:ascii="Times New Roman" w:eastAsia="Times New Roman" w:hAnsi="Times New Roman" w:cs="Times New Roman"/>
          <w:i/>
          <w:iCs/>
          <w:kern w:val="0"/>
          <w:sz w:val="24"/>
          <w:szCs w:val="24"/>
          <w14:ligatures w14:val="none"/>
        </w:rPr>
        <w:t>OECD Publishing.</w:t>
      </w:r>
    </w:p>
    <w:p w14:paraId="3C04708D"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OECD. (2023). Education at a glance 2023: OECD indicators. </w:t>
      </w:r>
      <w:r w:rsidRPr="00E0777A">
        <w:rPr>
          <w:rFonts w:ascii="Times New Roman" w:eastAsia="Times New Roman" w:hAnsi="Times New Roman" w:cs="Times New Roman"/>
          <w:i/>
          <w:iCs/>
          <w:kern w:val="0"/>
          <w:sz w:val="24"/>
          <w:szCs w:val="24"/>
          <w14:ligatures w14:val="none"/>
        </w:rPr>
        <w:t>OECD Publishing.</w:t>
      </w:r>
      <w:r w:rsidRPr="00E0777A">
        <w:rPr>
          <w:rFonts w:ascii="Times New Roman" w:eastAsia="Times New Roman" w:hAnsi="Times New Roman" w:cs="Times New Roman"/>
          <w:kern w:val="0"/>
          <w:sz w:val="24"/>
          <w:szCs w:val="24"/>
          <w14:ligatures w14:val="none"/>
        </w:rPr>
        <w:t xml:space="preserve"> https://doi.org/10.1787/eag-2023-en</w:t>
      </w:r>
    </w:p>
    <w:p w14:paraId="115E98C8" w14:textId="77777777" w:rsidR="00A01FBD" w:rsidRPr="00A01FBD" w:rsidRDefault="00A01FBD" w:rsidP="001B67FC">
      <w:pPr>
        <w:pStyle w:val="NormalWeb"/>
        <w:jc w:val="both"/>
        <w:rPr>
          <w:i/>
          <w:iCs/>
        </w:rPr>
      </w:pPr>
      <w:r w:rsidRPr="00A01FBD">
        <w:t xml:space="preserve">OECD. (2023). </w:t>
      </w:r>
      <w:r w:rsidRPr="00A01FBD">
        <w:rPr>
          <w:rStyle w:val="Emphasis"/>
          <w:rFonts w:eastAsiaTheme="majorEastAsia"/>
          <w:i w:val="0"/>
          <w:iCs w:val="0"/>
        </w:rPr>
        <w:t>Education for a changing world: Future of education and skills 2030</w:t>
      </w:r>
      <w:r w:rsidRPr="00A01FBD">
        <w:rPr>
          <w:i/>
          <w:iCs/>
        </w:rPr>
        <w:t>. OECD Publishing.</w:t>
      </w:r>
    </w:p>
    <w:p w14:paraId="7517F609" w14:textId="77777777" w:rsidR="00A01FBD" w:rsidRPr="00A01FBD" w:rsidRDefault="00A01FBD" w:rsidP="001B67FC">
      <w:pPr>
        <w:pStyle w:val="NormalWeb"/>
        <w:jc w:val="both"/>
      </w:pPr>
      <w:r w:rsidRPr="00A01FBD">
        <w:t xml:space="preserve">OECD. (2023). </w:t>
      </w:r>
      <w:r w:rsidRPr="00A01FBD">
        <w:rPr>
          <w:rStyle w:val="Emphasis"/>
          <w:rFonts w:eastAsiaTheme="majorEastAsia"/>
          <w:i w:val="0"/>
          <w:iCs w:val="0"/>
        </w:rPr>
        <w:t>Future of education and skills 2030: Transformative competencies for a changing world</w:t>
      </w:r>
      <w:r w:rsidRPr="00A01FBD">
        <w:rPr>
          <w:i/>
          <w:iCs/>
        </w:rPr>
        <w:t>. Organisation for Economic Co-operation and Development.</w:t>
      </w:r>
    </w:p>
    <w:p w14:paraId="3346BF1E"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7944C9">
        <w:rPr>
          <w:rFonts w:ascii="Times New Roman" w:eastAsia="Times New Roman" w:hAnsi="Times New Roman" w:cs="Times New Roman"/>
          <w:kern w:val="0"/>
          <w:sz w:val="24"/>
          <w:szCs w:val="24"/>
          <w14:ligatures w14:val="none"/>
        </w:rPr>
        <w:t xml:space="preserve">OECD. (2023). Shaping the future of education: Trends and implications for policy. </w:t>
      </w:r>
      <w:r w:rsidRPr="007944C9">
        <w:rPr>
          <w:rFonts w:ascii="Times New Roman" w:eastAsia="Times New Roman" w:hAnsi="Times New Roman" w:cs="Times New Roman"/>
          <w:i/>
          <w:iCs/>
          <w:kern w:val="0"/>
          <w:sz w:val="24"/>
          <w:szCs w:val="24"/>
          <w14:ligatures w14:val="none"/>
        </w:rPr>
        <w:t>OECD Publishing.</w:t>
      </w:r>
    </w:p>
    <w:p w14:paraId="3C1EA183" w14:textId="77777777" w:rsidR="00A01FBD" w:rsidRPr="00A01FBD" w:rsidRDefault="00A01FBD" w:rsidP="001B67FC">
      <w:pPr>
        <w:pStyle w:val="NormalWeb"/>
        <w:jc w:val="both"/>
      </w:pPr>
      <w:r w:rsidRPr="00A01FBD">
        <w:t xml:space="preserve">OECD. (2024). </w:t>
      </w:r>
      <w:r w:rsidRPr="00A01FBD">
        <w:rPr>
          <w:rStyle w:val="Emphasis"/>
          <w:rFonts w:eastAsiaTheme="majorEastAsia"/>
          <w:i w:val="0"/>
          <w:iCs w:val="0"/>
        </w:rPr>
        <w:t>Strategic foresight for better policies</w:t>
      </w:r>
      <w:r w:rsidRPr="00A01FBD">
        <w:rPr>
          <w:i/>
          <w:iCs/>
        </w:rPr>
        <w:t>. Paris: OECD Publishing.</w:t>
      </w:r>
    </w:p>
    <w:p w14:paraId="7E270098" w14:textId="77777777" w:rsidR="00A01FBD" w:rsidRPr="00A01FBD" w:rsidRDefault="00A01FBD" w:rsidP="000258C7">
      <w:pPr>
        <w:pStyle w:val="NormalWeb"/>
        <w:jc w:val="both"/>
      </w:pPr>
      <w:r w:rsidRPr="00A01FBD">
        <w:t xml:space="preserve">OECD. (2025). </w:t>
      </w:r>
      <w:r w:rsidRPr="00A01FBD">
        <w:rPr>
          <w:rStyle w:val="Emphasis"/>
          <w:rFonts w:eastAsiaTheme="majorEastAsia"/>
          <w:i w:val="0"/>
          <w:iCs w:val="0"/>
        </w:rPr>
        <w:t>Building anticipatory capacity with strategic foresight in government.</w:t>
      </w:r>
      <w:r w:rsidRPr="00A01FBD">
        <w:t xml:space="preserve"> </w:t>
      </w:r>
      <w:r w:rsidRPr="00A01FBD">
        <w:rPr>
          <w:i/>
          <w:iCs/>
        </w:rPr>
        <w:t>Organisation for Economic Co</w:t>
      </w:r>
      <w:r w:rsidRPr="00A01FBD">
        <w:rPr>
          <w:i/>
          <w:iCs/>
        </w:rPr>
        <w:noBreakHyphen/>
        <w:t>operation and Development (OECD). OECD Publishing.</w:t>
      </w:r>
      <w:r w:rsidRPr="00A01FBD">
        <w:t xml:space="preserve"> </w:t>
      </w:r>
    </w:p>
    <w:p w14:paraId="394EB789" w14:textId="77777777" w:rsidR="00A01FBD" w:rsidRPr="00A01FBD" w:rsidRDefault="00A01FBD" w:rsidP="001B67FC">
      <w:pPr>
        <w:pStyle w:val="NormalWeb"/>
        <w:jc w:val="both"/>
      </w:pPr>
      <w:r w:rsidRPr="00A01FBD">
        <w:t xml:space="preserve">OECD. (2025). </w:t>
      </w:r>
      <w:r w:rsidRPr="00A01FBD">
        <w:rPr>
          <w:rStyle w:val="Emphasis"/>
          <w:rFonts w:eastAsiaTheme="majorEastAsia"/>
          <w:i w:val="0"/>
          <w:iCs w:val="0"/>
        </w:rPr>
        <w:t>Strategic foresight for education: Preparing for future learning systems</w:t>
      </w:r>
      <w:r w:rsidRPr="00A01FBD">
        <w:rPr>
          <w:i/>
          <w:iCs/>
        </w:rPr>
        <w:t>. OECD Publishing.</w:t>
      </w:r>
    </w:p>
    <w:p w14:paraId="1BE3E767" w14:textId="77777777" w:rsidR="00A01FBD" w:rsidRPr="00A01FBD" w:rsidRDefault="00A01FBD" w:rsidP="001B67FC">
      <w:pPr>
        <w:pStyle w:val="NormalWeb"/>
        <w:jc w:val="both"/>
      </w:pPr>
      <w:r w:rsidRPr="00A01FBD">
        <w:t xml:space="preserve">Patton, M., Q. (2015). </w:t>
      </w:r>
      <w:r w:rsidRPr="00A01FBD">
        <w:rPr>
          <w:rStyle w:val="Emphasis"/>
          <w:rFonts w:eastAsiaTheme="majorEastAsia"/>
          <w:i w:val="0"/>
          <w:iCs w:val="0"/>
        </w:rPr>
        <w:t>Qualitative research &amp; evaluation methods</w:t>
      </w:r>
      <w:r w:rsidRPr="00A01FBD">
        <w:rPr>
          <w:i/>
          <w:iCs/>
        </w:rPr>
        <w:t xml:space="preserve"> (4th ed.). SAGE.</w:t>
      </w:r>
    </w:p>
    <w:p w14:paraId="11310BB9" w14:textId="77777777" w:rsidR="00A01FBD" w:rsidRPr="00A01FBD" w:rsidRDefault="00A01FBD" w:rsidP="001B67FC">
      <w:pPr>
        <w:pStyle w:val="NormalWeb"/>
        <w:jc w:val="both"/>
      </w:pPr>
      <w:r w:rsidRPr="00A01FBD">
        <w:t xml:space="preserve">Poli, R. (2019). </w:t>
      </w:r>
      <w:r w:rsidRPr="00A01FBD">
        <w:rPr>
          <w:rStyle w:val="Emphasis"/>
          <w:rFonts w:eastAsiaTheme="majorEastAsia"/>
          <w:i w:val="0"/>
          <w:iCs w:val="0"/>
        </w:rPr>
        <w:t>Introduction to anticipatory systems</w:t>
      </w:r>
      <w:r w:rsidRPr="00A01FBD">
        <w:rPr>
          <w:i/>
          <w:iCs/>
        </w:rPr>
        <w:t>. Springer.</w:t>
      </w:r>
    </w:p>
    <w:p w14:paraId="219B7F9E" w14:textId="77777777" w:rsidR="00A01FBD" w:rsidRPr="00A01FBD" w:rsidRDefault="00A01FBD" w:rsidP="001B67FC">
      <w:pPr>
        <w:pStyle w:val="NormalWeb"/>
        <w:jc w:val="both"/>
      </w:pPr>
      <w:r w:rsidRPr="00A01FBD">
        <w:t xml:space="preserve">Salmons, J. (2022). </w:t>
      </w:r>
      <w:r w:rsidRPr="00A01FBD">
        <w:rPr>
          <w:rStyle w:val="Emphasis"/>
          <w:rFonts w:eastAsiaTheme="majorEastAsia"/>
          <w:i w:val="0"/>
          <w:iCs w:val="0"/>
        </w:rPr>
        <w:t>Doing qualitative research online</w:t>
      </w:r>
      <w:r w:rsidRPr="00A01FBD">
        <w:rPr>
          <w:i/>
          <w:iCs/>
        </w:rPr>
        <w:t xml:space="preserve"> (2nd ed.). SAGE.</w:t>
      </w:r>
    </w:p>
    <w:p w14:paraId="657B87D8" w14:textId="77777777" w:rsidR="00A01FBD" w:rsidRPr="00A01FBD" w:rsidRDefault="00A01FBD" w:rsidP="001B67FC">
      <w:pPr>
        <w:pStyle w:val="NormalWeb"/>
        <w:jc w:val="both"/>
      </w:pPr>
      <w:r w:rsidRPr="00A01FBD">
        <w:t xml:space="preserve">Selwyn, N. (2021). </w:t>
      </w:r>
      <w:r w:rsidRPr="00A01FBD">
        <w:rPr>
          <w:rStyle w:val="Emphasis"/>
          <w:rFonts w:eastAsiaTheme="majorEastAsia"/>
          <w:i w:val="0"/>
          <w:iCs w:val="0"/>
        </w:rPr>
        <w:t>Education and technology: Key issues and debates</w:t>
      </w:r>
      <w:r w:rsidRPr="00A01FBD">
        <w:rPr>
          <w:i/>
          <w:iCs/>
        </w:rPr>
        <w:t xml:space="preserve"> (3rd ed.). Bloomsbury</w:t>
      </w:r>
      <w:r w:rsidRPr="00A01FBD">
        <w:t>.</w:t>
      </w:r>
    </w:p>
    <w:p w14:paraId="4F175331" w14:textId="77777777" w:rsidR="00A01FBD" w:rsidRPr="00A01FBD" w:rsidRDefault="00A01FBD" w:rsidP="001B67FC">
      <w:pPr>
        <w:pStyle w:val="NormalWeb"/>
        <w:jc w:val="both"/>
      </w:pPr>
      <w:r w:rsidRPr="00A01FBD">
        <w:t xml:space="preserve">Stake, R., E. (2021). </w:t>
      </w:r>
      <w:r w:rsidRPr="00A01FBD">
        <w:rPr>
          <w:rStyle w:val="Emphasis"/>
          <w:rFonts w:eastAsiaTheme="majorEastAsia"/>
          <w:i w:val="0"/>
          <w:iCs w:val="0"/>
        </w:rPr>
        <w:t>The art of case study research</w:t>
      </w:r>
      <w:r w:rsidRPr="00A01FBD">
        <w:rPr>
          <w:i/>
          <w:iCs/>
        </w:rPr>
        <w:t>. SAGE.</w:t>
      </w:r>
    </w:p>
    <w:p w14:paraId="4CDF63F4" w14:textId="7AE464CC" w:rsidR="00A01FBD" w:rsidRPr="00A01FBD" w:rsidRDefault="00A01FBD" w:rsidP="001B67FC">
      <w:pPr>
        <w:pStyle w:val="NormalWeb"/>
        <w:jc w:val="both"/>
        <w:rPr>
          <w:i/>
          <w:iCs/>
        </w:rPr>
      </w:pPr>
      <w:r w:rsidRPr="00A01FBD">
        <w:lastRenderedPageBreak/>
        <w:t>Sterman, J.</w:t>
      </w:r>
      <w:r>
        <w:t>,</w:t>
      </w:r>
      <w:r w:rsidRPr="00A01FBD">
        <w:t xml:space="preserve"> D. (2019). </w:t>
      </w:r>
      <w:r w:rsidRPr="00A01FBD">
        <w:rPr>
          <w:rStyle w:val="Emphasis"/>
          <w:rFonts w:eastAsiaTheme="majorEastAsia"/>
          <w:i w:val="0"/>
          <w:iCs w:val="0"/>
        </w:rPr>
        <w:t>Business dynamics: Systems thinking and modeling</w:t>
      </w:r>
      <w:r w:rsidRPr="00A01FBD">
        <w:t xml:space="preserve">. </w:t>
      </w:r>
      <w:r w:rsidRPr="00A01FBD">
        <w:rPr>
          <w:i/>
          <w:iCs/>
        </w:rPr>
        <w:t>Irwin/McGraw-Hill.</w:t>
      </w:r>
    </w:p>
    <w:p w14:paraId="310A69B9" w14:textId="77777777" w:rsidR="00A01FBD" w:rsidRPr="00A01FBD" w:rsidRDefault="00A01FBD" w:rsidP="001B67FC">
      <w:pPr>
        <w:pStyle w:val="NormalWeb"/>
        <w:jc w:val="both"/>
      </w:pPr>
      <w:r w:rsidRPr="00A01FBD">
        <w:t xml:space="preserve">Tikly, L. (2020). Education for sustainable development in the Global South. </w:t>
      </w:r>
      <w:r w:rsidRPr="00A01FBD">
        <w:rPr>
          <w:rStyle w:val="Emphasis"/>
          <w:rFonts w:eastAsiaTheme="majorEastAsia"/>
        </w:rPr>
        <w:t>International Journal of Educational Development, 78</w:t>
      </w:r>
      <w:r w:rsidRPr="00A01FBD">
        <w:t>, 102243.</w:t>
      </w:r>
    </w:p>
    <w:p w14:paraId="7786AF20" w14:textId="77777777" w:rsidR="00A01FBD" w:rsidRPr="00A01FBD" w:rsidRDefault="00A01FBD" w:rsidP="001B67FC">
      <w:pPr>
        <w:pStyle w:val="NormalWeb"/>
        <w:jc w:val="both"/>
        <w:rPr>
          <w:i/>
          <w:iCs/>
        </w:rPr>
      </w:pPr>
      <w:r w:rsidRPr="00A01FBD">
        <w:t xml:space="preserve">Toyama, K. (2015). </w:t>
      </w:r>
      <w:r w:rsidRPr="00A01FBD">
        <w:rPr>
          <w:rStyle w:val="Emphasis"/>
          <w:rFonts w:eastAsiaTheme="majorEastAsia"/>
          <w:i w:val="0"/>
          <w:iCs w:val="0"/>
        </w:rPr>
        <w:t>Geek heresy: Rescuing social change from the cult of technology</w:t>
      </w:r>
      <w:r w:rsidRPr="00A01FBD">
        <w:rPr>
          <w:i/>
          <w:iCs/>
        </w:rPr>
        <w:t>. PublicAffairs.</w:t>
      </w:r>
    </w:p>
    <w:p w14:paraId="04F9656D"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Trucano, M. (2023). Frugal innovation and ICT in education: Lessons from developing countries. </w:t>
      </w:r>
      <w:r w:rsidRPr="008B3698">
        <w:rPr>
          <w:rFonts w:ascii="Times New Roman" w:eastAsia="Times New Roman" w:hAnsi="Times New Roman" w:cs="Times New Roman"/>
          <w:i/>
          <w:iCs/>
          <w:kern w:val="0"/>
          <w:sz w:val="24"/>
          <w:szCs w:val="24"/>
          <w14:ligatures w14:val="none"/>
        </w:rPr>
        <w:t>World Bank Blogs.</w:t>
      </w:r>
      <w:r w:rsidRPr="008B3698">
        <w:rPr>
          <w:rFonts w:ascii="Times New Roman" w:eastAsia="Times New Roman" w:hAnsi="Times New Roman" w:cs="Times New Roman"/>
          <w:kern w:val="0"/>
          <w:sz w:val="24"/>
          <w:szCs w:val="24"/>
          <w14:ligatures w14:val="none"/>
        </w:rPr>
        <w:t xml:space="preserve"> </w:t>
      </w:r>
    </w:p>
    <w:p w14:paraId="6EB4B161"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BA638F">
        <w:rPr>
          <w:rFonts w:ascii="Times New Roman" w:eastAsia="Times New Roman" w:hAnsi="Times New Roman" w:cs="Times New Roman"/>
          <w:kern w:val="0"/>
          <w:sz w:val="24"/>
          <w:szCs w:val="24"/>
          <w14:ligatures w14:val="none"/>
        </w:rPr>
        <w:t xml:space="preserve">Trucano, M. (2023). Innovative uses of technology in education in developing countries. </w:t>
      </w:r>
      <w:r w:rsidRPr="00BA638F">
        <w:rPr>
          <w:rFonts w:ascii="Times New Roman" w:eastAsia="Times New Roman" w:hAnsi="Times New Roman" w:cs="Times New Roman"/>
          <w:i/>
          <w:iCs/>
          <w:kern w:val="0"/>
          <w:sz w:val="24"/>
          <w:szCs w:val="24"/>
          <w14:ligatures w14:val="none"/>
        </w:rPr>
        <w:t>World Bank.</w:t>
      </w:r>
    </w:p>
    <w:p w14:paraId="2505CB94"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Trucano, M. (2023). Realizing the promise of digital technologies in education: A practical guide for leaders. </w:t>
      </w:r>
      <w:r w:rsidRPr="00BA638F">
        <w:rPr>
          <w:rFonts w:ascii="Times New Roman" w:eastAsia="Times New Roman" w:hAnsi="Times New Roman" w:cs="Times New Roman"/>
          <w:i/>
          <w:iCs/>
          <w:kern w:val="0"/>
          <w:sz w:val="24"/>
          <w:szCs w:val="24"/>
          <w14:ligatures w14:val="none"/>
        </w:rPr>
        <w:t>World Bank.</w:t>
      </w:r>
    </w:p>
    <w:p w14:paraId="6A5FB19F"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UNDP. (2022). Anticipatory governance for policymaking in an age of uncertainty. United </w:t>
      </w:r>
      <w:r w:rsidRPr="008B3698">
        <w:rPr>
          <w:rFonts w:ascii="Times New Roman" w:eastAsia="Times New Roman" w:hAnsi="Times New Roman" w:cs="Times New Roman"/>
          <w:i/>
          <w:iCs/>
          <w:kern w:val="0"/>
          <w:sz w:val="24"/>
          <w:szCs w:val="24"/>
          <w14:ligatures w14:val="none"/>
        </w:rPr>
        <w:t>Nations Development Programme (UNDP).</w:t>
      </w:r>
    </w:p>
    <w:p w14:paraId="742E1E30" w14:textId="77777777" w:rsidR="00A01FBD" w:rsidRPr="00A01FBD" w:rsidRDefault="00A01FBD" w:rsidP="001B67FC">
      <w:pPr>
        <w:pStyle w:val="NormalWeb"/>
        <w:jc w:val="both"/>
        <w:rPr>
          <w:i/>
          <w:iCs/>
        </w:rPr>
      </w:pPr>
      <w:r w:rsidRPr="00A01FBD">
        <w:t xml:space="preserve">UNESCO. (2021). </w:t>
      </w:r>
      <w:r w:rsidRPr="00A01FBD">
        <w:rPr>
          <w:rStyle w:val="Emphasis"/>
          <w:rFonts w:eastAsiaTheme="majorEastAsia"/>
          <w:i w:val="0"/>
          <w:iCs w:val="0"/>
        </w:rPr>
        <w:t>Reimagining our futures together: A new social contract for education</w:t>
      </w:r>
      <w:r w:rsidRPr="00A01FBD">
        <w:rPr>
          <w:i/>
          <w:iCs/>
        </w:rPr>
        <w:t>. Paris: UNESCO.</w:t>
      </w:r>
    </w:p>
    <w:p w14:paraId="28491A30"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8B3698">
        <w:rPr>
          <w:rFonts w:ascii="Times New Roman" w:eastAsia="Times New Roman" w:hAnsi="Times New Roman" w:cs="Times New Roman"/>
          <w:kern w:val="0"/>
          <w:sz w:val="24"/>
          <w:szCs w:val="24"/>
          <w14:ligatures w14:val="none"/>
        </w:rPr>
        <w:t>UNESCO</w:t>
      </w:r>
      <w:r w:rsidRPr="00A01FBD">
        <w:rPr>
          <w:rFonts w:ascii="Times New Roman" w:eastAsia="Times New Roman" w:hAnsi="Times New Roman" w:cs="Times New Roman"/>
          <w:kern w:val="0"/>
          <w:sz w:val="24"/>
          <w:szCs w:val="24"/>
          <w14:ligatures w14:val="none"/>
        </w:rPr>
        <w:t>.</w:t>
      </w:r>
      <w:r w:rsidRPr="008B3698">
        <w:rPr>
          <w:rFonts w:ascii="Times New Roman" w:eastAsia="Times New Roman" w:hAnsi="Times New Roman" w:cs="Times New Roman"/>
          <w:kern w:val="0"/>
          <w:sz w:val="24"/>
          <w:szCs w:val="24"/>
          <w14:ligatures w14:val="none"/>
        </w:rPr>
        <w:t xml:space="preserve"> (2022). Reimagining our futures together: A new social contract for education. United Nations Educational, Scientific and Cultural Organization (UNESCO). </w:t>
      </w:r>
      <w:r w:rsidRPr="008B3698">
        <w:rPr>
          <w:rFonts w:ascii="Times New Roman" w:eastAsia="Times New Roman" w:hAnsi="Times New Roman" w:cs="Times New Roman"/>
          <w:i/>
          <w:iCs/>
          <w:kern w:val="0"/>
          <w:sz w:val="24"/>
          <w:szCs w:val="24"/>
          <w14:ligatures w14:val="none"/>
        </w:rPr>
        <w:t xml:space="preserve">UNESCO Publishing. </w:t>
      </w:r>
    </w:p>
    <w:p w14:paraId="177E7BEE"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UNESCO. (2023). Futures of education report. </w:t>
      </w:r>
      <w:r w:rsidRPr="00A01FBD">
        <w:rPr>
          <w:rFonts w:ascii="Times New Roman" w:eastAsia="Times New Roman" w:hAnsi="Times New Roman" w:cs="Times New Roman"/>
          <w:i/>
          <w:iCs/>
          <w:kern w:val="0"/>
          <w:sz w:val="24"/>
          <w:szCs w:val="24"/>
          <w14:ligatures w14:val="none"/>
        </w:rPr>
        <w:t>UNESCO Publishing.</w:t>
      </w:r>
    </w:p>
    <w:p w14:paraId="6A6520CA"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UNESCO. (2023). Global education monitoring report 2023: Technology in education—A tool on whose terms? </w:t>
      </w:r>
      <w:r w:rsidRPr="00BA638F">
        <w:rPr>
          <w:rFonts w:ascii="Times New Roman" w:eastAsia="Times New Roman" w:hAnsi="Times New Roman" w:cs="Times New Roman"/>
          <w:i/>
          <w:iCs/>
          <w:kern w:val="0"/>
          <w:sz w:val="24"/>
          <w:szCs w:val="24"/>
          <w14:ligatures w14:val="none"/>
        </w:rPr>
        <w:t>UNESCO Publishing.</w:t>
      </w:r>
    </w:p>
    <w:p w14:paraId="44A7E297" w14:textId="77777777" w:rsidR="00A01FBD" w:rsidRPr="00A01FBD" w:rsidRDefault="00A01FBD" w:rsidP="001B67FC">
      <w:pPr>
        <w:pStyle w:val="NormalWeb"/>
        <w:jc w:val="both"/>
      </w:pPr>
      <w:r w:rsidRPr="00A01FBD">
        <w:t xml:space="preserve">UNESCO. (2023). </w:t>
      </w:r>
      <w:r w:rsidRPr="00A01FBD">
        <w:rPr>
          <w:rStyle w:val="Emphasis"/>
          <w:rFonts w:eastAsiaTheme="majorEastAsia"/>
          <w:i w:val="0"/>
          <w:iCs w:val="0"/>
        </w:rPr>
        <w:t>Global education monitoring report 2023: Technology in education</w:t>
      </w:r>
      <w:r w:rsidRPr="00A01FBD">
        <w:rPr>
          <w:i/>
          <w:iCs/>
        </w:rPr>
        <w:t>.</w:t>
      </w:r>
      <w:r w:rsidRPr="00A01FBD">
        <w:t xml:space="preserve"> </w:t>
      </w:r>
      <w:r w:rsidRPr="00A01FBD">
        <w:rPr>
          <w:i/>
          <w:iCs/>
        </w:rPr>
        <w:t>UNESCO Publishing.</w:t>
      </w:r>
    </w:p>
    <w:p w14:paraId="77AC8256"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UNESCO</w:t>
      </w:r>
      <w:r w:rsidRPr="00A01FBD">
        <w:rPr>
          <w:rFonts w:ascii="Times New Roman" w:eastAsia="Times New Roman" w:hAnsi="Times New Roman" w:cs="Times New Roman"/>
          <w:kern w:val="0"/>
          <w:sz w:val="24"/>
          <w:szCs w:val="24"/>
          <w14:ligatures w14:val="none"/>
        </w:rPr>
        <w:t>.</w:t>
      </w:r>
      <w:r w:rsidRPr="008B3698">
        <w:rPr>
          <w:rFonts w:ascii="Times New Roman" w:eastAsia="Times New Roman" w:hAnsi="Times New Roman" w:cs="Times New Roman"/>
          <w:kern w:val="0"/>
          <w:sz w:val="24"/>
          <w:szCs w:val="24"/>
          <w14:ligatures w14:val="none"/>
        </w:rPr>
        <w:t xml:space="preserve"> (2023). Global education monitoring report 2023: Technology in education. United Nations Educational, Scientific and Cultural Organization (UNESCO). </w:t>
      </w:r>
      <w:r w:rsidRPr="008B3698">
        <w:rPr>
          <w:rFonts w:ascii="Times New Roman" w:eastAsia="Times New Roman" w:hAnsi="Times New Roman" w:cs="Times New Roman"/>
          <w:i/>
          <w:iCs/>
          <w:kern w:val="0"/>
          <w:sz w:val="24"/>
          <w:szCs w:val="24"/>
          <w14:ligatures w14:val="none"/>
        </w:rPr>
        <w:t>UNESCO Publishing.</w:t>
      </w:r>
      <w:r w:rsidRPr="008B3698">
        <w:rPr>
          <w:rFonts w:ascii="Times New Roman" w:eastAsia="Times New Roman" w:hAnsi="Times New Roman" w:cs="Times New Roman"/>
          <w:kern w:val="0"/>
          <w:sz w:val="24"/>
          <w:szCs w:val="24"/>
          <w14:ligatures w14:val="none"/>
        </w:rPr>
        <w:t xml:space="preserve"> </w:t>
      </w:r>
    </w:p>
    <w:p w14:paraId="30110206" w14:textId="77777777" w:rsidR="00A01FBD" w:rsidRPr="00A01FBD" w:rsidRDefault="00A01FBD" w:rsidP="001B67FC">
      <w:pPr>
        <w:pStyle w:val="NormalWeb"/>
        <w:jc w:val="both"/>
      </w:pPr>
      <w:r w:rsidRPr="00A01FBD">
        <w:t xml:space="preserve">UNESCO. (2023). </w:t>
      </w:r>
      <w:r w:rsidRPr="00A01FBD">
        <w:rPr>
          <w:rStyle w:val="Emphasis"/>
          <w:rFonts w:eastAsiaTheme="majorEastAsia"/>
          <w:i w:val="0"/>
          <w:iCs w:val="0"/>
        </w:rPr>
        <w:t>Reimagining our futures together: A new social contract for education</w:t>
      </w:r>
      <w:r w:rsidRPr="00A01FBD">
        <w:rPr>
          <w:i/>
          <w:iCs/>
        </w:rPr>
        <w:t>.</w:t>
      </w:r>
      <w:r w:rsidRPr="00A01FBD">
        <w:t xml:space="preserve"> </w:t>
      </w:r>
      <w:r w:rsidRPr="00A01FBD">
        <w:rPr>
          <w:i/>
          <w:iCs/>
        </w:rPr>
        <w:t>United Nations Educational, Scientific and Cultural Organization.</w:t>
      </w:r>
    </w:p>
    <w:p w14:paraId="17875F7F" w14:textId="77777777" w:rsidR="00A01FBD" w:rsidRPr="00A01FBD" w:rsidRDefault="00A01FBD" w:rsidP="001B67FC">
      <w:pPr>
        <w:pStyle w:val="NormalWeb"/>
        <w:jc w:val="both"/>
        <w:rPr>
          <w:i/>
          <w:iCs/>
        </w:rPr>
      </w:pPr>
      <w:r w:rsidRPr="00A01FBD">
        <w:t xml:space="preserve">UNICEF Zimbabwe. (2022). Digital learning reaches Zimbabwe rural schools. </w:t>
      </w:r>
      <w:r w:rsidRPr="00A01FBD">
        <w:rPr>
          <w:i/>
          <w:iCs/>
        </w:rPr>
        <w:t>UNICEF Zimbabwe</w:t>
      </w:r>
    </w:p>
    <w:p w14:paraId="3F675145" w14:textId="77777777" w:rsidR="00A01FBD" w:rsidRPr="00A01FBD" w:rsidRDefault="00A01FBD" w:rsidP="001B67FC">
      <w:pPr>
        <w:pStyle w:val="NormalWeb"/>
        <w:jc w:val="both"/>
      </w:pPr>
      <w:r w:rsidRPr="00A01FBD">
        <w:t xml:space="preserve">UNICEF Zimbabwe. (2024). Expanding access to quality education: The power of digital learning in Zimbabwe. </w:t>
      </w:r>
      <w:r w:rsidRPr="00A01FBD">
        <w:rPr>
          <w:i/>
          <w:iCs/>
        </w:rPr>
        <w:t>UNICEF Zimbabwe</w:t>
      </w:r>
    </w:p>
    <w:p w14:paraId="79A59E80" w14:textId="77777777" w:rsidR="00A01FBD" w:rsidRPr="00A01FBD"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lastRenderedPageBreak/>
        <w:t xml:space="preserve">UNICEF. (2022). Digital learning for every child: Closing the gaps for an inclusive future. </w:t>
      </w:r>
      <w:r w:rsidRPr="00A01FBD">
        <w:rPr>
          <w:rFonts w:ascii="Times New Roman" w:eastAsia="Times New Roman" w:hAnsi="Times New Roman" w:cs="Times New Roman"/>
          <w:i/>
          <w:iCs/>
          <w:kern w:val="0"/>
          <w:sz w:val="24"/>
          <w:szCs w:val="24"/>
          <w14:ligatures w14:val="none"/>
        </w:rPr>
        <w:t>UNICEF.</w:t>
      </w:r>
    </w:p>
    <w:p w14:paraId="61BE9DEB"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UNICEF. (2022). Digital learning for every child: Closing the gaps for an inclusive future. </w:t>
      </w:r>
      <w:r w:rsidRPr="008B3698">
        <w:rPr>
          <w:rFonts w:ascii="Times New Roman" w:eastAsia="Times New Roman" w:hAnsi="Times New Roman" w:cs="Times New Roman"/>
          <w:i/>
          <w:iCs/>
          <w:kern w:val="0"/>
          <w:sz w:val="24"/>
          <w:szCs w:val="24"/>
          <w14:ligatures w14:val="none"/>
        </w:rPr>
        <w:t>United Nations Children’s Fund (UNICEF).</w:t>
      </w:r>
    </w:p>
    <w:p w14:paraId="68BD1F4E" w14:textId="77777777" w:rsidR="00A01FBD" w:rsidRPr="00A01FBD" w:rsidRDefault="00A01FBD" w:rsidP="001B67FC">
      <w:pPr>
        <w:pStyle w:val="NormalWeb"/>
        <w:jc w:val="both"/>
      </w:pPr>
      <w:r w:rsidRPr="00A01FBD">
        <w:t xml:space="preserve">UNICEF. (2023). </w:t>
      </w:r>
      <w:r w:rsidRPr="00A01FBD">
        <w:rPr>
          <w:rStyle w:val="Emphasis"/>
          <w:rFonts w:eastAsiaTheme="majorEastAsia"/>
          <w:i w:val="0"/>
          <w:iCs w:val="0"/>
        </w:rPr>
        <w:t>Reimagining education in a digital age</w:t>
      </w:r>
      <w:r w:rsidRPr="00A01FBD">
        <w:t xml:space="preserve">. </w:t>
      </w:r>
      <w:r w:rsidRPr="00A01FBD">
        <w:rPr>
          <w:i/>
          <w:iCs/>
        </w:rPr>
        <w:t>UNICEF.</w:t>
      </w:r>
    </w:p>
    <w:p w14:paraId="3A66D27F" w14:textId="77777777" w:rsidR="00A01FBD" w:rsidRPr="00A01FBD" w:rsidRDefault="00A01FBD" w:rsidP="001B67FC">
      <w:pPr>
        <w:pStyle w:val="NormalWeb"/>
        <w:jc w:val="both"/>
        <w:rPr>
          <w:i/>
          <w:iCs/>
        </w:rPr>
      </w:pPr>
      <w:r w:rsidRPr="00A01FBD">
        <w:t xml:space="preserve">UNICEF. (2023). </w:t>
      </w:r>
      <w:r w:rsidRPr="00A01FBD">
        <w:rPr>
          <w:rStyle w:val="Emphasis"/>
          <w:rFonts w:eastAsiaTheme="majorEastAsia"/>
          <w:i w:val="0"/>
          <w:iCs w:val="0"/>
        </w:rPr>
        <w:t>The state of the world’s children 2023: Digital inclusion</w:t>
      </w:r>
      <w:r w:rsidRPr="00A01FBD">
        <w:t xml:space="preserve">. </w:t>
      </w:r>
      <w:r w:rsidRPr="00A01FBD">
        <w:rPr>
          <w:i/>
          <w:iCs/>
        </w:rPr>
        <w:t>New York: UNICEF.</w:t>
      </w:r>
    </w:p>
    <w:p w14:paraId="15A61FD7" w14:textId="77777777" w:rsidR="00A01FBD" w:rsidRPr="00A01FBD" w:rsidRDefault="00A01FBD" w:rsidP="001B67FC">
      <w:pPr>
        <w:pStyle w:val="NormalWeb"/>
        <w:jc w:val="both"/>
        <w:rPr>
          <w:i/>
          <w:iCs/>
        </w:rPr>
      </w:pPr>
      <w:r w:rsidRPr="00A01FBD">
        <w:t xml:space="preserve">UNICEF. (2023). </w:t>
      </w:r>
      <w:r w:rsidRPr="00A01FBD">
        <w:rPr>
          <w:rStyle w:val="Emphasis"/>
          <w:rFonts w:eastAsiaTheme="majorEastAsia"/>
          <w:i w:val="0"/>
          <w:iCs w:val="0"/>
        </w:rPr>
        <w:t>The state of the world’s children: Education in crisis contexts</w:t>
      </w:r>
      <w:r w:rsidRPr="00A01FBD">
        <w:t xml:space="preserve">. </w:t>
      </w:r>
      <w:r w:rsidRPr="00A01FBD">
        <w:rPr>
          <w:i/>
          <w:iCs/>
        </w:rPr>
        <w:t>UNICEF.</w:t>
      </w:r>
    </w:p>
    <w:p w14:paraId="21203C72" w14:textId="77777777" w:rsidR="00A01FBD" w:rsidRPr="00A01FBD" w:rsidRDefault="00A01FBD" w:rsidP="001B67FC">
      <w:pPr>
        <w:pStyle w:val="NormalWeb"/>
        <w:jc w:val="both"/>
      </w:pPr>
      <w:r w:rsidRPr="00A01FBD">
        <w:t xml:space="preserve">UNICEF. (2024). </w:t>
      </w:r>
      <w:r w:rsidRPr="00A01FBD">
        <w:rPr>
          <w:rStyle w:val="Emphasis"/>
          <w:rFonts w:eastAsiaTheme="majorEastAsia"/>
          <w:i w:val="0"/>
          <w:iCs w:val="0"/>
        </w:rPr>
        <w:t>Bridging the digital divide in education: Lessons from COVID-19</w:t>
      </w:r>
      <w:r w:rsidRPr="00A01FBD">
        <w:t xml:space="preserve">. </w:t>
      </w:r>
      <w:r w:rsidRPr="00A01FBD">
        <w:rPr>
          <w:i/>
          <w:iCs/>
        </w:rPr>
        <w:t>UNICEF.</w:t>
      </w:r>
    </w:p>
    <w:p w14:paraId="6CBBA3E0" w14:textId="77777777" w:rsidR="00A01FBD" w:rsidRPr="00A01FBD" w:rsidRDefault="00A01FBD" w:rsidP="001B67FC">
      <w:pPr>
        <w:pStyle w:val="NormalWeb"/>
        <w:jc w:val="both"/>
      </w:pPr>
      <w:r w:rsidRPr="00A01FBD">
        <w:t xml:space="preserve">UNICEF. (2024). </w:t>
      </w:r>
      <w:r w:rsidRPr="00A01FBD">
        <w:rPr>
          <w:rStyle w:val="Emphasis"/>
          <w:rFonts w:eastAsiaTheme="majorEastAsia"/>
          <w:i w:val="0"/>
          <w:iCs w:val="0"/>
        </w:rPr>
        <w:t>Bridging the digital divide in education: Post-pandemic recovery in Sub-Saharan Africa</w:t>
      </w:r>
      <w:r w:rsidRPr="00A01FBD">
        <w:rPr>
          <w:i/>
          <w:iCs/>
        </w:rPr>
        <w:t>.</w:t>
      </w:r>
      <w:r w:rsidRPr="00A01FBD">
        <w:t xml:space="preserve"> </w:t>
      </w:r>
      <w:r w:rsidRPr="00A01FBD">
        <w:rPr>
          <w:i/>
          <w:iCs/>
        </w:rPr>
        <w:t>United Nations Children’s Fund.</w:t>
      </w:r>
    </w:p>
    <w:p w14:paraId="758AA6A2"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UNICEF. (2024). Education in Zimbabwe: Annual report. </w:t>
      </w:r>
      <w:r w:rsidRPr="00A01FBD">
        <w:rPr>
          <w:rFonts w:ascii="Times New Roman" w:eastAsia="Times New Roman" w:hAnsi="Times New Roman" w:cs="Times New Roman"/>
          <w:i/>
          <w:iCs/>
          <w:kern w:val="0"/>
          <w:sz w:val="24"/>
          <w:szCs w:val="24"/>
          <w14:ligatures w14:val="none"/>
        </w:rPr>
        <w:t>UNICEF.</w:t>
      </w:r>
    </w:p>
    <w:p w14:paraId="6327822C"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UNICEF. (2024). Learning interrupted: Global snapshot of education disruption and recovery. </w:t>
      </w:r>
      <w:r w:rsidRPr="00E0777A">
        <w:rPr>
          <w:rFonts w:ascii="Times New Roman" w:eastAsia="Times New Roman" w:hAnsi="Times New Roman" w:cs="Times New Roman"/>
          <w:i/>
          <w:iCs/>
          <w:kern w:val="0"/>
          <w:sz w:val="24"/>
          <w:szCs w:val="24"/>
          <w14:ligatures w14:val="none"/>
        </w:rPr>
        <w:t>UNICEF.</w:t>
      </w:r>
    </w:p>
    <w:p w14:paraId="7DB9AC6B"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United Nations. (2015). Transforming our world: The 2030 Agenda for Sustainable Development. </w:t>
      </w:r>
      <w:r w:rsidRPr="00A01FBD">
        <w:rPr>
          <w:rFonts w:ascii="Times New Roman" w:eastAsia="Times New Roman" w:hAnsi="Times New Roman" w:cs="Times New Roman"/>
          <w:i/>
          <w:iCs/>
          <w:kern w:val="0"/>
          <w:sz w:val="24"/>
          <w:szCs w:val="24"/>
          <w14:ligatures w14:val="none"/>
        </w:rPr>
        <w:t>United Nations.</w:t>
      </w:r>
    </w:p>
    <w:p w14:paraId="57188E4A"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United Nations. (2023). The Sustainable Development Goals report 2023. </w:t>
      </w:r>
      <w:r w:rsidRPr="008B3698">
        <w:rPr>
          <w:rFonts w:ascii="Times New Roman" w:eastAsia="Times New Roman" w:hAnsi="Times New Roman" w:cs="Times New Roman"/>
          <w:i/>
          <w:iCs/>
          <w:kern w:val="0"/>
          <w:sz w:val="24"/>
          <w:szCs w:val="24"/>
          <w14:ligatures w14:val="none"/>
        </w:rPr>
        <w:t>United Nations.</w:t>
      </w:r>
      <w:r w:rsidRPr="008B3698">
        <w:rPr>
          <w:rFonts w:ascii="Times New Roman" w:eastAsia="Times New Roman" w:hAnsi="Times New Roman" w:cs="Times New Roman"/>
          <w:kern w:val="0"/>
          <w:sz w:val="24"/>
          <w:szCs w:val="24"/>
          <w14:ligatures w14:val="none"/>
        </w:rPr>
        <w:t xml:space="preserve"> </w:t>
      </w:r>
    </w:p>
    <w:p w14:paraId="64178BD1"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W</w:t>
      </w:r>
      <w:r w:rsidRPr="00A01FBD">
        <w:rPr>
          <w:rFonts w:ascii="Times New Roman" w:eastAsia="Times New Roman" w:hAnsi="Times New Roman" w:cs="Times New Roman"/>
          <w:kern w:val="0"/>
          <w:sz w:val="24"/>
          <w:szCs w:val="24"/>
          <w14:ligatures w14:val="none"/>
        </w:rPr>
        <w:t>EF</w:t>
      </w:r>
      <w:r w:rsidRPr="00E0777A">
        <w:rPr>
          <w:rFonts w:ascii="Times New Roman" w:eastAsia="Times New Roman" w:hAnsi="Times New Roman" w:cs="Times New Roman"/>
          <w:kern w:val="0"/>
          <w:sz w:val="24"/>
          <w:szCs w:val="24"/>
          <w14:ligatures w14:val="none"/>
        </w:rPr>
        <w:t xml:space="preserve">. (2023). Future of jobs report 2023. </w:t>
      </w:r>
      <w:r w:rsidRPr="00E0777A">
        <w:rPr>
          <w:rFonts w:ascii="Times New Roman" w:eastAsia="Times New Roman" w:hAnsi="Times New Roman" w:cs="Times New Roman"/>
          <w:i/>
          <w:iCs/>
          <w:kern w:val="0"/>
          <w:sz w:val="24"/>
          <w:szCs w:val="24"/>
          <w14:ligatures w14:val="none"/>
        </w:rPr>
        <w:t>World Economic Forum</w:t>
      </w:r>
      <w:r w:rsidRPr="00A01FBD">
        <w:rPr>
          <w:rFonts w:ascii="Times New Roman" w:eastAsia="Times New Roman" w:hAnsi="Times New Roman" w:cs="Times New Roman"/>
          <w:kern w:val="0"/>
          <w:sz w:val="24"/>
          <w:szCs w:val="24"/>
          <w14:ligatures w14:val="none"/>
        </w:rPr>
        <w:t xml:space="preserve"> (WEF)</w:t>
      </w:r>
      <w:r w:rsidRPr="00E0777A">
        <w:rPr>
          <w:rFonts w:ascii="Times New Roman" w:eastAsia="Times New Roman" w:hAnsi="Times New Roman" w:cs="Times New Roman"/>
          <w:kern w:val="0"/>
          <w:sz w:val="24"/>
          <w:szCs w:val="24"/>
          <w14:ligatures w14:val="none"/>
        </w:rPr>
        <w:t xml:space="preserve">. </w:t>
      </w:r>
      <w:hyperlink r:id="rId12" w:tgtFrame="_new" w:history="1">
        <w:r w:rsidRPr="00E0777A">
          <w:rPr>
            <w:rFonts w:ascii="Times New Roman" w:eastAsia="Times New Roman" w:hAnsi="Times New Roman" w:cs="Times New Roman"/>
            <w:color w:val="0000FF"/>
            <w:kern w:val="0"/>
            <w:sz w:val="24"/>
            <w:szCs w:val="24"/>
            <w:u w:val="single"/>
            <w14:ligatures w14:val="none"/>
          </w:rPr>
          <w:t>https://www.weforum.org</w:t>
        </w:r>
      </w:hyperlink>
    </w:p>
    <w:p w14:paraId="765BB015"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World Bank. (2022). Remote learning during COVID-19: Lessons from today, principles for tomorrow. </w:t>
      </w:r>
      <w:r w:rsidRPr="00BA638F">
        <w:rPr>
          <w:rFonts w:ascii="Times New Roman" w:eastAsia="Times New Roman" w:hAnsi="Times New Roman" w:cs="Times New Roman"/>
          <w:i/>
          <w:iCs/>
          <w:kern w:val="0"/>
          <w:sz w:val="24"/>
          <w:szCs w:val="24"/>
          <w14:ligatures w14:val="none"/>
        </w:rPr>
        <w:t>World Bank Publications.</w:t>
      </w:r>
    </w:p>
    <w:p w14:paraId="367F09B2" w14:textId="77777777" w:rsidR="00A01FBD" w:rsidRPr="00A01FBD" w:rsidRDefault="00A01FBD" w:rsidP="001B67FC">
      <w:pPr>
        <w:pStyle w:val="NormalWeb"/>
        <w:jc w:val="both"/>
      </w:pPr>
      <w:r w:rsidRPr="00A01FBD">
        <w:t xml:space="preserve">World Bank. (2022). </w:t>
      </w:r>
      <w:r w:rsidRPr="00A01FBD">
        <w:rPr>
          <w:rStyle w:val="Emphasis"/>
          <w:rFonts w:eastAsiaTheme="majorEastAsia"/>
          <w:i w:val="0"/>
          <w:iCs w:val="0"/>
        </w:rPr>
        <w:t>Remote learning during COVID-19: Lessons from sub-Saharan Africa</w:t>
      </w:r>
      <w:r w:rsidRPr="00A01FBD">
        <w:t xml:space="preserve">. </w:t>
      </w:r>
      <w:r w:rsidRPr="00A01FBD">
        <w:rPr>
          <w:i/>
          <w:iCs/>
        </w:rPr>
        <w:t>World Bank.</w:t>
      </w:r>
    </w:p>
    <w:p w14:paraId="42A3B314" w14:textId="77777777" w:rsidR="00A01FBD" w:rsidRPr="00A01FBD" w:rsidRDefault="00A01FBD" w:rsidP="001B67FC">
      <w:pPr>
        <w:pStyle w:val="NormalWeb"/>
        <w:jc w:val="both"/>
      </w:pPr>
      <w:r w:rsidRPr="00A01FBD">
        <w:t xml:space="preserve">World Bank. (2023). </w:t>
      </w:r>
      <w:r w:rsidRPr="00A01FBD">
        <w:rPr>
          <w:rStyle w:val="Emphasis"/>
          <w:rFonts w:eastAsiaTheme="majorEastAsia"/>
          <w:i w:val="0"/>
          <w:iCs w:val="0"/>
        </w:rPr>
        <w:t>Digital transformation in education systems: Lessons from COVID-19</w:t>
      </w:r>
      <w:r w:rsidRPr="00A01FBD">
        <w:t xml:space="preserve">. </w:t>
      </w:r>
      <w:r w:rsidRPr="00A01FBD">
        <w:rPr>
          <w:i/>
          <w:iCs/>
        </w:rPr>
        <w:t>World Bank Publications.</w:t>
      </w:r>
    </w:p>
    <w:p w14:paraId="1D19CFB3"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World Bank. (2023). Digital transformation in education. </w:t>
      </w:r>
      <w:r w:rsidRPr="00A01FBD">
        <w:rPr>
          <w:rFonts w:ascii="Times New Roman" w:eastAsia="Times New Roman" w:hAnsi="Times New Roman" w:cs="Times New Roman"/>
          <w:i/>
          <w:iCs/>
          <w:kern w:val="0"/>
          <w:sz w:val="24"/>
          <w:szCs w:val="24"/>
          <w14:ligatures w14:val="none"/>
        </w:rPr>
        <w:t>World Bank Publications.</w:t>
      </w:r>
    </w:p>
    <w:p w14:paraId="0241B9CF" w14:textId="77777777" w:rsidR="00A01FBD" w:rsidRPr="007944C9"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944C9">
        <w:rPr>
          <w:rFonts w:ascii="Times New Roman" w:eastAsia="Times New Roman" w:hAnsi="Times New Roman" w:cs="Times New Roman"/>
          <w:kern w:val="0"/>
          <w:sz w:val="24"/>
          <w:szCs w:val="24"/>
          <w14:ligatures w14:val="none"/>
        </w:rPr>
        <w:t xml:space="preserve">World Bank. (2023). Digital transformation in education: Building resilience and inclusion. </w:t>
      </w:r>
      <w:r w:rsidRPr="007944C9">
        <w:rPr>
          <w:rFonts w:ascii="Times New Roman" w:eastAsia="Times New Roman" w:hAnsi="Times New Roman" w:cs="Times New Roman"/>
          <w:i/>
          <w:iCs/>
          <w:kern w:val="0"/>
          <w:sz w:val="24"/>
          <w:szCs w:val="24"/>
          <w14:ligatures w14:val="none"/>
        </w:rPr>
        <w:t>World Bank Publications.</w:t>
      </w:r>
    </w:p>
    <w:p w14:paraId="2E81DB05" w14:textId="77777777" w:rsidR="00A01FBD" w:rsidRPr="00BA638F"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A638F">
        <w:rPr>
          <w:rFonts w:ascii="Times New Roman" w:eastAsia="Times New Roman" w:hAnsi="Times New Roman" w:cs="Times New Roman"/>
          <w:kern w:val="0"/>
          <w:sz w:val="24"/>
          <w:szCs w:val="24"/>
          <w14:ligatures w14:val="none"/>
        </w:rPr>
        <w:t xml:space="preserve">World Bank. (2023). Digital transformation in education: Challenges and opportunities in Sub-Saharan Africa. </w:t>
      </w:r>
      <w:r w:rsidRPr="00BA638F">
        <w:rPr>
          <w:rFonts w:ascii="Times New Roman" w:eastAsia="Times New Roman" w:hAnsi="Times New Roman" w:cs="Times New Roman"/>
          <w:i/>
          <w:iCs/>
          <w:kern w:val="0"/>
          <w:sz w:val="24"/>
          <w:szCs w:val="24"/>
          <w14:ligatures w14:val="none"/>
        </w:rPr>
        <w:t>World Bank Group.</w:t>
      </w:r>
    </w:p>
    <w:p w14:paraId="46BC17B9" w14:textId="77777777" w:rsidR="00A01FBD" w:rsidRPr="00A01FBD" w:rsidRDefault="00A01FBD" w:rsidP="001B67FC">
      <w:pPr>
        <w:pStyle w:val="NormalWeb"/>
        <w:jc w:val="both"/>
      </w:pPr>
      <w:r w:rsidRPr="00A01FBD">
        <w:lastRenderedPageBreak/>
        <w:t xml:space="preserve">World Bank. (2023). </w:t>
      </w:r>
      <w:r w:rsidRPr="00A01FBD">
        <w:rPr>
          <w:rStyle w:val="Emphasis"/>
          <w:rFonts w:eastAsiaTheme="majorEastAsia"/>
          <w:i w:val="0"/>
          <w:iCs w:val="0"/>
        </w:rPr>
        <w:t>Education and technology in Sub-Saharan Africa: Policy insights for resilient systems</w:t>
      </w:r>
      <w:r w:rsidRPr="00A01FBD">
        <w:rPr>
          <w:i/>
          <w:iCs/>
        </w:rPr>
        <w:t>.</w:t>
      </w:r>
      <w:r w:rsidRPr="00A01FBD">
        <w:t xml:space="preserve"> </w:t>
      </w:r>
      <w:r w:rsidRPr="00A01FBD">
        <w:rPr>
          <w:i/>
          <w:iCs/>
        </w:rPr>
        <w:t>World Bank Publications.</w:t>
      </w:r>
    </w:p>
    <w:p w14:paraId="38E6FAEF" w14:textId="77777777" w:rsidR="00A01FBD" w:rsidRPr="00A01FBD" w:rsidRDefault="00A01FBD" w:rsidP="001B67FC">
      <w:pPr>
        <w:pStyle w:val="NormalWeb"/>
        <w:jc w:val="both"/>
      </w:pPr>
      <w:r w:rsidRPr="00A01FBD">
        <w:t xml:space="preserve">World Bank. (2023). </w:t>
      </w:r>
      <w:r w:rsidRPr="00A01FBD">
        <w:rPr>
          <w:rStyle w:val="Emphasis"/>
          <w:rFonts w:eastAsiaTheme="majorEastAsia"/>
          <w:i w:val="0"/>
          <w:iCs w:val="0"/>
        </w:rPr>
        <w:t>Education technology for effective learning in Sub-Saharan Africa</w:t>
      </w:r>
      <w:r w:rsidRPr="00A01FBD">
        <w:rPr>
          <w:i/>
          <w:iCs/>
        </w:rPr>
        <w:t>. Washington, DC: World Bank.</w:t>
      </w:r>
    </w:p>
    <w:p w14:paraId="10357DCA" w14:textId="77777777" w:rsidR="00A01FBD" w:rsidRPr="00A01FBD"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World Bank. (2023). Realizing the future of learning: From learning poverty to learning for everyone everywhere. </w:t>
      </w:r>
      <w:r w:rsidRPr="00A01FBD">
        <w:rPr>
          <w:rFonts w:ascii="Times New Roman" w:eastAsia="Times New Roman" w:hAnsi="Times New Roman" w:cs="Times New Roman"/>
          <w:i/>
          <w:iCs/>
          <w:kern w:val="0"/>
          <w:sz w:val="24"/>
          <w:szCs w:val="24"/>
          <w14:ligatures w14:val="none"/>
        </w:rPr>
        <w:t>World Bank.</w:t>
      </w:r>
    </w:p>
    <w:p w14:paraId="6F27757D" w14:textId="77777777" w:rsidR="00A01FBD" w:rsidRPr="008B3698"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3698">
        <w:rPr>
          <w:rFonts w:ascii="Times New Roman" w:eastAsia="Times New Roman" w:hAnsi="Times New Roman" w:cs="Times New Roman"/>
          <w:kern w:val="0"/>
          <w:sz w:val="24"/>
          <w:szCs w:val="24"/>
          <w14:ligatures w14:val="none"/>
        </w:rPr>
        <w:t xml:space="preserve">World Bank. (2023). Reimagining human connections: Technology and innovation in education. </w:t>
      </w:r>
      <w:r w:rsidRPr="008B3698">
        <w:rPr>
          <w:rFonts w:ascii="Times New Roman" w:eastAsia="Times New Roman" w:hAnsi="Times New Roman" w:cs="Times New Roman"/>
          <w:i/>
          <w:iCs/>
          <w:kern w:val="0"/>
          <w:sz w:val="24"/>
          <w:szCs w:val="24"/>
          <w14:ligatures w14:val="none"/>
        </w:rPr>
        <w:t>World Bank.</w:t>
      </w:r>
      <w:r w:rsidRPr="008B3698">
        <w:rPr>
          <w:rFonts w:ascii="Times New Roman" w:eastAsia="Times New Roman" w:hAnsi="Times New Roman" w:cs="Times New Roman"/>
          <w:kern w:val="0"/>
          <w:sz w:val="24"/>
          <w:szCs w:val="24"/>
          <w14:ligatures w14:val="none"/>
        </w:rPr>
        <w:t xml:space="preserve"> </w:t>
      </w:r>
    </w:p>
    <w:p w14:paraId="57D324B6" w14:textId="77777777" w:rsidR="00A01FBD" w:rsidRPr="00A01FBD" w:rsidRDefault="00A01FBD" w:rsidP="001B67FC">
      <w:pPr>
        <w:pStyle w:val="NormalWeb"/>
        <w:jc w:val="both"/>
        <w:rPr>
          <w:i/>
          <w:iCs/>
        </w:rPr>
      </w:pPr>
      <w:r w:rsidRPr="00A01FBD">
        <w:t xml:space="preserve">World Bank. (2023). </w:t>
      </w:r>
      <w:r w:rsidRPr="00A01FBD">
        <w:rPr>
          <w:rStyle w:val="Emphasis"/>
          <w:rFonts w:eastAsiaTheme="majorEastAsia"/>
          <w:i w:val="0"/>
          <w:iCs w:val="0"/>
        </w:rPr>
        <w:t>Transforming education systems for resilience and equity</w:t>
      </w:r>
      <w:r w:rsidRPr="00A01FBD">
        <w:rPr>
          <w:i/>
          <w:iCs/>
        </w:rPr>
        <w:t>.</w:t>
      </w:r>
      <w:r w:rsidRPr="00A01FBD">
        <w:t xml:space="preserve"> </w:t>
      </w:r>
      <w:r w:rsidRPr="00A01FBD">
        <w:rPr>
          <w:i/>
          <w:iCs/>
        </w:rPr>
        <w:t>World Bank Publications.</w:t>
      </w:r>
    </w:p>
    <w:p w14:paraId="5A342DF6" w14:textId="77777777" w:rsidR="00A01FBD" w:rsidRPr="00E0777A" w:rsidRDefault="00A01FBD" w:rsidP="001B67F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0777A">
        <w:rPr>
          <w:rFonts w:ascii="Times New Roman" w:eastAsia="Times New Roman" w:hAnsi="Times New Roman" w:cs="Times New Roman"/>
          <w:kern w:val="0"/>
          <w:sz w:val="24"/>
          <w:szCs w:val="24"/>
          <w14:ligatures w14:val="none"/>
        </w:rPr>
        <w:t xml:space="preserve">World Bank. (2023). World development report 2023: Learning recovery and resilience in education. </w:t>
      </w:r>
      <w:r w:rsidRPr="00E0777A">
        <w:rPr>
          <w:rFonts w:ascii="Times New Roman" w:eastAsia="Times New Roman" w:hAnsi="Times New Roman" w:cs="Times New Roman"/>
          <w:i/>
          <w:iCs/>
          <w:kern w:val="0"/>
          <w:sz w:val="24"/>
          <w:szCs w:val="24"/>
          <w14:ligatures w14:val="none"/>
        </w:rPr>
        <w:t>World Bank Publications.</w:t>
      </w:r>
      <w:r w:rsidRPr="00E0777A">
        <w:rPr>
          <w:rFonts w:ascii="Times New Roman" w:eastAsia="Times New Roman" w:hAnsi="Times New Roman" w:cs="Times New Roman"/>
          <w:kern w:val="0"/>
          <w:sz w:val="24"/>
          <w:szCs w:val="24"/>
          <w14:ligatures w14:val="none"/>
        </w:rPr>
        <w:t xml:space="preserve"> https://doi.org/10.1596/978-1-4648-XXXX-X</w:t>
      </w:r>
    </w:p>
    <w:p w14:paraId="1ED41A06" w14:textId="77777777" w:rsidR="00A01FBD" w:rsidRPr="00A01FBD" w:rsidRDefault="00A01FBD" w:rsidP="001B67F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01FBD">
        <w:rPr>
          <w:rFonts w:ascii="Times New Roman" w:eastAsia="Times New Roman" w:hAnsi="Times New Roman" w:cs="Times New Roman"/>
          <w:kern w:val="0"/>
          <w:sz w:val="24"/>
          <w:szCs w:val="24"/>
          <w14:ligatures w14:val="none"/>
        </w:rPr>
        <w:t xml:space="preserve">World Bank. (2024). Resilient education systems in Africa. </w:t>
      </w:r>
      <w:r w:rsidRPr="00A01FBD">
        <w:rPr>
          <w:rFonts w:ascii="Times New Roman" w:eastAsia="Times New Roman" w:hAnsi="Times New Roman" w:cs="Times New Roman"/>
          <w:i/>
          <w:iCs/>
          <w:kern w:val="0"/>
          <w:sz w:val="24"/>
          <w:szCs w:val="24"/>
          <w14:ligatures w14:val="none"/>
        </w:rPr>
        <w:t>World Bank.</w:t>
      </w:r>
    </w:p>
    <w:p w14:paraId="49F721FC" w14:textId="07F69FA5" w:rsidR="00A01FBD" w:rsidRPr="00A01FBD" w:rsidRDefault="00A01FBD" w:rsidP="001B67FC">
      <w:pPr>
        <w:pStyle w:val="NormalWeb"/>
        <w:jc w:val="both"/>
      </w:pPr>
      <w:r w:rsidRPr="00A01FBD">
        <w:t>Yin, R.</w:t>
      </w:r>
      <w:r w:rsidR="005D7681">
        <w:t>,</w:t>
      </w:r>
      <w:r w:rsidRPr="00A01FBD">
        <w:t xml:space="preserve"> K. (2023). </w:t>
      </w:r>
      <w:r w:rsidRPr="00A01FBD">
        <w:rPr>
          <w:rStyle w:val="Emphasis"/>
          <w:rFonts w:eastAsiaTheme="majorEastAsia"/>
          <w:i w:val="0"/>
          <w:iCs w:val="0"/>
        </w:rPr>
        <w:t>Case study research and applications</w:t>
      </w:r>
      <w:r w:rsidRPr="00A01FBD">
        <w:t xml:space="preserve"> (7th ed.). </w:t>
      </w:r>
      <w:r w:rsidRPr="00A01FBD">
        <w:rPr>
          <w:i/>
          <w:iCs/>
        </w:rPr>
        <w:t>SAGE.</w:t>
      </w:r>
    </w:p>
    <w:p w14:paraId="28DF972A" w14:textId="77777777" w:rsidR="00A01FBD" w:rsidRPr="00A01FBD" w:rsidRDefault="00A01FBD" w:rsidP="001B67FC">
      <w:pPr>
        <w:pStyle w:val="NormalWeb"/>
        <w:jc w:val="both"/>
      </w:pPr>
      <w:r w:rsidRPr="00A01FBD">
        <w:t xml:space="preserve">Zishiri, C., Jekese, G., &amp; Muchabaiwa, W. (2024). Challenges in implementing Education 5.0 in higher education in Zimbabwe. </w:t>
      </w:r>
      <w:r w:rsidRPr="00A01FBD">
        <w:rPr>
          <w:rStyle w:val="Emphasis"/>
          <w:rFonts w:eastAsiaTheme="majorEastAsia"/>
        </w:rPr>
        <w:t>International Journal of Research and Innovation in Social Science, 8</w:t>
      </w:r>
      <w:r w:rsidRPr="00A01FBD">
        <w:t xml:space="preserve">(8), 650–658. </w:t>
      </w:r>
    </w:p>
    <w:p w14:paraId="24B6FF33" w14:textId="1B571F09" w:rsidR="00A01FBD" w:rsidRPr="00A01FBD" w:rsidRDefault="00A01FBD" w:rsidP="001B67FC">
      <w:pPr>
        <w:pStyle w:val="NormalWeb"/>
        <w:jc w:val="both"/>
      </w:pPr>
      <w:r w:rsidRPr="00A01FBD">
        <w:t>Zishiri, C., Mataruka, L., Jekese, G., &amp; Machiridza, E.</w:t>
      </w:r>
      <w:r w:rsidR="005D7681">
        <w:t>,</w:t>
      </w:r>
      <w:r w:rsidRPr="00A01FBD">
        <w:t xml:space="preserve"> R. (2025). Rural-urban digital divide discourse: Exploring the efficacy of game-based learning in early childhood development in Zimbabwe. </w:t>
      </w:r>
      <w:r w:rsidRPr="00A01FBD">
        <w:rPr>
          <w:rStyle w:val="Emphasis"/>
          <w:rFonts w:eastAsiaTheme="majorEastAsia"/>
        </w:rPr>
        <w:t>International Journal of Research and Innovation in Social Science</w:t>
      </w:r>
      <w:r w:rsidRPr="00A01FBD">
        <w:t xml:space="preserve">. </w:t>
      </w:r>
    </w:p>
    <w:p w14:paraId="174655C3" w14:textId="77777777" w:rsidR="00BA638F" w:rsidRPr="00BA638F" w:rsidRDefault="00BA638F" w:rsidP="00BA638F">
      <w:pPr>
        <w:pBdr>
          <w:bottom w:val="single" w:sz="6" w:space="1" w:color="auto"/>
        </w:pBdr>
        <w:spacing w:after="0" w:line="240" w:lineRule="auto"/>
        <w:jc w:val="center"/>
        <w:rPr>
          <w:rFonts w:ascii="Arial" w:eastAsia="Times New Roman" w:hAnsi="Arial" w:cs="Arial"/>
          <w:vanish/>
          <w:kern w:val="0"/>
          <w:sz w:val="16"/>
          <w:szCs w:val="16"/>
          <w14:ligatures w14:val="none"/>
        </w:rPr>
      </w:pPr>
      <w:r w:rsidRPr="00BA638F">
        <w:rPr>
          <w:rFonts w:ascii="Arial" w:eastAsia="Times New Roman" w:hAnsi="Arial" w:cs="Arial"/>
          <w:vanish/>
          <w:kern w:val="0"/>
          <w:sz w:val="16"/>
          <w:szCs w:val="16"/>
          <w14:ligatures w14:val="none"/>
        </w:rPr>
        <w:t>Top of Form</w:t>
      </w:r>
    </w:p>
    <w:p w14:paraId="0054D915" w14:textId="77777777" w:rsidR="00BA638F" w:rsidRPr="00BA638F" w:rsidRDefault="00BA638F" w:rsidP="00BA638F">
      <w:pPr>
        <w:pBdr>
          <w:top w:val="single" w:sz="6" w:space="1" w:color="auto"/>
        </w:pBdr>
        <w:spacing w:after="0" w:line="240" w:lineRule="auto"/>
        <w:jc w:val="center"/>
        <w:rPr>
          <w:rFonts w:ascii="Arial" w:eastAsia="Times New Roman" w:hAnsi="Arial" w:cs="Arial"/>
          <w:vanish/>
          <w:kern w:val="0"/>
          <w:sz w:val="16"/>
          <w:szCs w:val="16"/>
          <w14:ligatures w14:val="none"/>
        </w:rPr>
      </w:pPr>
      <w:r w:rsidRPr="00BA638F">
        <w:rPr>
          <w:rFonts w:ascii="Arial" w:eastAsia="Times New Roman" w:hAnsi="Arial" w:cs="Arial"/>
          <w:vanish/>
          <w:kern w:val="0"/>
          <w:sz w:val="16"/>
          <w:szCs w:val="16"/>
          <w14:ligatures w14:val="none"/>
        </w:rPr>
        <w:t>Bottom of Form</w:t>
      </w:r>
    </w:p>
    <w:p w14:paraId="40826BFB" w14:textId="77777777" w:rsidR="00193EC2" w:rsidRPr="00193EC2" w:rsidRDefault="00193EC2" w:rsidP="00193EC2">
      <w:pPr>
        <w:pBdr>
          <w:bottom w:val="single" w:sz="6" w:space="1" w:color="auto"/>
        </w:pBdr>
        <w:spacing w:after="0" w:line="240" w:lineRule="auto"/>
        <w:jc w:val="center"/>
        <w:rPr>
          <w:rFonts w:ascii="Arial" w:eastAsia="Times New Roman" w:hAnsi="Arial" w:cs="Arial"/>
          <w:vanish/>
          <w:kern w:val="0"/>
          <w:sz w:val="16"/>
          <w:szCs w:val="16"/>
          <w14:ligatures w14:val="none"/>
        </w:rPr>
      </w:pPr>
      <w:r w:rsidRPr="00193EC2">
        <w:rPr>
          <w:rFonts w:ascii="Arial" w:eastAsia="Times New Roman" w:hAnsi="Arial" w:cs="Arial"/>
          <w:vanish/>
          <w:kern w:val="0"/>
          <w:sz w:val="16"/>
          <w:szCs w:val="16"/>
          <w14:ligatures w14:val="none"/>
        </w:rPr>
        <w:t>Top of Form</w:t>
      </w:r>
    </w:p>
    <w:p w14:paraId="66754E3A" w14:textId="77777777" w:rsidR="00193EC2" w:rsidRPr="00193EC2" w:rsidRDefault="00193EC2" w:rsidP="00193EC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D47034D" w14:textId="77777777" w:rsidR="00193EC2" w:rsidRPr="00193EC2" w:rsidRDefault="00193EC2" w:rsidP="00193EC2">
      <w:pPr>
        <w:pBdr>
          <w:top w:val="single" w:sz="6" w:space="1" w:color="auto"/>
        </w:pBdr>
        <w:spacing w:after="0" w:line="240" w:lineRule="auto"/>
        <w:jc w:val="center"/>
        <w:rPr>
          <w:rFonts w:ascii="Arial" w:eastAsia="Times New Roman" w:hAnsi="Arial" w:cs="Arial"/>
          <w:vanish/>
          <w:kern w:val="0"/>
          <w:sz w:val="16"/>
          <w:szCs w:val="16"/>
          <w14:ligatures w14:val="none"/>
        </w:rPr>
      </w:pPr>
      <w:r w:rsidRPr="00193EC2">
        <w:rPr>
          <w:rFonts w:ascii="Arial" w:eastAsia="Times New Roman" w:hAnsi="Arial" w:cs="Arial"/>
          <w:vanish/>
          <w:kern w:val="0"/>
          <w:sz w:val="16"/>
          <w:szCs w:val="16"/>
          <w14:ligatures w14:val="none"/>
        </w:rPr>
        <w:t>Bottom of Form</w:t>
      </w:r>
    </w:p>
    <w:p w14:paraId="628346AC" w14:textId="77777777" w:rsidR="00B77D9F" w:rsidRPr="00726BC3" w:rsidRDefault="00B77D9F" w:rsidP="00726BC3">
      <w:pPr>
        <w:spacing w:line="360" w:lineRule="auto"/>
        <w:jc w:val="both"/>
        <w:rPr>
          <w:rFonts w:ascii="Times New Roman" w:hAnsi="Times New Roman" w:cs="Times New Roman"/>
          <w:sz w:val="24"/>
          <w:szCs w:val="24"/>
        </w:rPr>
      </w:pPr>
    </w:p>
    <w:sectPr w:rsidR="00B77D9F" w:rsidRPr="00726BC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3906" w14:textId="77777777" w:rsidR="000458E4" w:rsidRDefault="000458E4" w:rsidP="00BF0BF3">
      <w:pPr>
        <w:spacing w:after="0" w:line="240" w:lineRule="auto"/>
      </w:pPr>
      <w:r>
        <w:separator/>
      </w:r>
    </w:p>
  </w:endnote>
  <w:endnote w:type="continuationSeparator" w:id="0">
    <w:p w14:paraId="60C4656D" w14:textId="77777777" w:rsidR="000458E4" w:rsidRDefault="000458E4" w:rsidP="00B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3939" w14:textId="77777777" w:rsidR="00BF0BF3" w:rsidRDefault="00BF0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43EE" w14:textId="77777777" w:rsidR="00BF0BF3" w:rsidRDefault="00BF0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E681" w14:textId="77777777" w:rsidR="00BF0BF3" w:rsidRDefault="00BF0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9F73D" w14:textId="77777777" w:rsidR="000458E4" w:rsidRDefault="000458E4" w:rsidP="00BF0BF3">
      <w:pPr>
        <w:spacing w:after="0" w:line="240" w:lineRule="auto"/>
      </w:pPr>
      <w:r>
        <w:separator/>
      </w:r>
    </w:p>
  </w:footnote>
  <w:footnote w:type="continuationSeparator" w:id="0">
    <w:p w14:paraId="4B54DC32" w14:textId="77777777" w:rsidR="000458E4" w:rsidRDefault="000458E4" w:rsidP="00BF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C1A5" w14:textId="44925BFE" w:rsidR="00BF0BF3" w:rsidRDefault="00BF0BF3">
    <w:pPr>
      <w:pStyle w:val="Header"/>
    </w:pPr>
    <w:r>
      <w:rPr>
        <w:noProof/>
      </w:rPr>
      <w:pict w14:anchorId="2071B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3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9E57" w14:textId="1B7E289A" w:rsidR="00BF0BF3" w:rsidRDefault="00BF0BF3">
    <w:pPr>
      <w:pStyle w:val="Header"/>
    </w:pPr>
    <w:r>
      <w:rPr>
        <w:noProof/>
      </w:rPr>
      <w:pict w14:anchorId="6B1EE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3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C566" w14:textId="4524E7EE" w:rsidR="00BF0BF3" w:rsidRDefault="00BF0BF3">
    <w:pPr>
      <w:pStyle w:val="Header"/>
    </w:pPr>
    <w:r>
      <w:rPr>
        <w:noProof/>
      </w:rPr>
      <w:pict w14:anchorId="6FCA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93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pt;height:.65pt;visibility:visible;mso-wrap-style:square" o:bullet="t">
        <v:imagedata r:id="rId1" o:title=""/>
      </v:shape>
    </w:pict>
  </w:numPicBullet>
  <w:abstractNum w:abstractNumId="0" w15:restartNumberingAfterBreak="0">
    <w:nsid w:val="0CDA30EA"/>
    <w:multiLevelType w:val="multilevel"/>
    <w:tmpl w:val="5C68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4544"/>
    <w:multiLevelType w:val="multilevel"/>
    <w:tmpl w:val="177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35BB"/>
    <w:multiLevelType w:val="hybridMultilevel"/>
    <w:tmpl w:val="572E159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E75450"/>
    <w:multiLevelType w:val="multilevel"/>
    <w:tmpl w:val="997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C6BD7"/>
    <w:multiLevelType w:val="multilevel"/>
    <w:tmpl w:val="CEE6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DDB"/>
    <w:multiLevelType w:val="multilevel"/>
    <w:tmpl w:val="5B8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D72D2"/>
    <w:multiLevelType w:val="hybridMultilevel"/>
    <w:tmpl w:val="8C1ED460"/>
    <w:lvl w:ilvl="0" w:tplc="FA7618E0">
      <w:start w:val="1"/>
      <w:numFmt w:val="bullet"/>
      <w:lvlText w:val=""/>
      <w:lvlPicBulletId w:val="0"/>
      <w:lvlJc w:val="left"/>
      <w:pPr>
        <w:tabs>
          <w:tab w:val="num" w:pos="720"/>
        </w:tabs>
        <w:ind w:left="720" w:hanging="360"/>
      </w:pPr>
      <w:rPr>
        <w:rFonts w:ascii="Symbol" w:hAnsi="Symbol" w:hint="default"/>
      </w:rPr>
    </w:lvl>
    <w:lvl w:ilvl="1" w:tplc="A7C82904" w:tentative="1">
      <w:start w:val="1"/>
      <w:numFmt w:val="bullet"/>
      <w:lvlText w:val=""/>
      <w:lvlJc w:val="left"/>
      <w:pPr>
        <w:tabs>
          <w:tab w:val="num" w:pos="1440"/>
        </w:tabs>
        <w:ind w:left="1440" w:hanging="360"/>
      </w:pPr>
      <w:rPr>
        <w:rFonts w:ascii="Symbol" w:hAnsi="Symbol" w:hint="default"/>
      </w:rPr>
    </w:lvl>
    <w:lvl w:ilvl="2" w:tplc="D4C64908" w:tentative="1">
      <w:start w:val="1"/>
      <w:numFmt w:val="bullet"/>
      <w:lvlText w:val=""/>
      <w:lvlJc w:val="left"/>
      <w:pPr>
        <w:tabs>
          <w:tab w:val="num" w:pos="2160"/>
        </w:tabs>
        <w:ind w:left="2160" w:hanging="360"/>
      </w:pPr>
      <w:rPr>
        <w:rFonts w:ascii="Symbol" w:hAnsi="Symbol" w:hint="default"/>
      </w:rPr>
    </w:lvl>
    <w:lvl w:ilvl="3" w:tplc="44C6F3E0" w:tentative="1">
      <w:start w:val="1"/>
      <w:numFmt w:val="bullet"/>
      <w:lvlText w:val=""/>
      <w:lvlJc w:val="left"/>
      <w:pPr>
        <w:tabs>
          <w:tab w:val="num" w:pos="2880"/>
        </w:tabs>
        <w:ind w:left="2880" w:hanging="360"/>
      </w:pPr>
      <w:rPr>
        <w:rFonts w:ascii="Symbol" w:hAnsi="Symbol" w:hint="default"/>
      </w:rPr>
    </w:lvl>
    <w:lvl w:ilvl="4" w:tplc="62B08B26" w:tentative="1">
      <w:start w:val="1"/>
      <w:numFmt w:val="bullet"/>
      <w:lvlText w:val=""/>
      <w:lvlJc w:val="left"/>
      <w:pPr>
        <w:tabs>
          <w:tab w:val="num" w:pos="3600"/>
        </w:tabs>
        <w:ind w:left="3600" w:hanging="360"/>
      </w:pPr>
      <w:rPr>
        <w:rFonts w:ascii="Symbol" w:hAnsi="Symbol" w:hint="default"/>
      </w:rPr>
    </w:lvl>
    <w:lvl w:ilvl="5" w:tplc="CB66B4AA" w:tentative="1">
      <w:start w:val="1"/>
      <w:numFmt w:val="bullet"/>
      <w:lvlText w:val=""/>
      <w:lvlJc w:val="left"/>
      <w:pPr>
        <w:tabs>
          <w:tab w:val="num" w:pos="4320"/>
        </w:tabs>
        <w:ind w:left="4320" w:hanging="360"/>
      </w:pPr>
      <w:rPr>
        <w:rFonts w:ascii="Symbol" w:hAnsi="Symbol" w:hint="default"/>
      </w:rPr>
    </w:lvl>
    <w:lvl w:ilvl="6" w:tplc="549EB6C0" w:tentative="1">
      <w:start w:val="1"/>
      <w:numFmt w:val="bullet"/>
      <w:lvlText w:val=""/>
      <w:lvlJc w:val="left"/>
      <w:pPr>
        <w:tabs>
          <w:tab w:val="num" w:pos="5040"/>
        </w:tabs>
        <w:ind w:left="5040" w:hanging="360"/>
      </w:pPr>
      <w:rPr>
        <w:rFonts w:ascii="Symbol" w:hAnsi="Symbol" w:hint="default"/>
      </w:rPr>
    </w:lvl>
    <w:lvl w:ilvl="7" w:tplc="745C8992" w:tentative="1">
      <w:start w:val="1"/>
      <w:numFmt w:val="bullet"/>
      <w:lvlText w:val=""/>
      <w:lvlJc w:val="left"/>
      <w:pPr>
        <w:tabs>
          <w:tab w:val="num" w:pos="5760"/>
        </w:tabs>
        <w:ind w:left="5760" w:hanging="360"/>
      </w:pPr>
      <w:rPr>
        <w:rFonts w:ascii="Symbol" w:hAnsi="Symbol" w:hint="default"/>
      </w:rPr>
    </w:lvl>
    <w:lvl w:ilvl="8" w:tplc="52029A5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884667"/>
    <w:multiLevelType w:val="multilevel"/>
    <w:tmpl w:val="5034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85EC1"/>
    <w:multiLevelType w:val="multilevel"/>
    <w:tmpl w:val="A966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6000B"/>
    <w:multiLevelType w:val="multilevel"/>
    <w:tmpl w:val="CAF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13332"/>
    <w:multiLevelType w:val="multilevel"/>
    <w:tmpl w:val="658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C3C54"/>
    <w:multiLevelType w:val="multilevel"/>
    <w:tmpl w:val="60F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F33F5"/>
    <w:multiLevelType w:val="multilevel"/>
    <w:tmpl w:val="0C0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65B08"/>
    <w:multiLevelType w:val="multilevel"/>
    <w:tmpl w:val="F0D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13CAF"/>
    <w:multiLevelType w:val="multilevel"/>
    <w:tmpl w:val="851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2"/>
  </w:num>
  <w:num w:numId="4">
    <w:abstractNumId w:val="11"/>
  </w:num>
  <w:num w:numId="5">
    <w:abstractNumId w:val="7"/>
  </w:num>
  <w:num w:numId="6">
    <w:abstractNumId w:val="9"/>
  </w:num>
  <w:num w:numId="7">
    <w:abstractNumId w:val="8"/>
  </w:num>
  <w:num w:numId="8">
    <w:abstractNumId w:val="5"/>
  </w:num>
  <w:num w:numId="9">
    <w:abstractNumId w:val="1"/>
  </w:num>
  <w:num w:numId="10">
    <w:abstractNumId w:val="3"/>
  </w:num>
  <w:num w:numId="11">
    <w:abstractNumId w:val="0"/>
  </w:num>
  <w:num w:numId="12">
    <w:abstractNumId w:val="4"/>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60"/>
    <w:rsid w:val="000258C7"/>
    <w:rsid w:val="0003297C"/>
    <w:rsid w:val="000458E4"/>
    <w:rsid w:val="000F3E37"/>
    <w:rsid w:val="001227D4"/>
    <w:rsid w:val="00133433"/>
    <w:rsid w:val="00134B64"/>
    <w:rsid w:val="001710F1"/>
    <w:rsid w:val="00175695"/>
    <w:rsid w:val="00184625"/>
    <w:rsid w:val="00185990"/>
    <w:rsid w:val="00193EC2"/>
    <w:rsid w:val="001A05A6"/>
    <w:rsid w:val="001B67FC"/>
    <w:rsid w:val="002045B3"/>
    <w:rsid w:val="00244F23"/>
    <w:rsid w:val="00250F4A"/>
    <w:rsid w:val="00276DD1"/>
    <w:rsid w:val="002A0B99"/>
    <w:rsid w:val="002C7766"/>
    <w:rsid w:val="00353E30"/>
    <w:rsid w:val="00396A7D"/>
    <w:rsid w:val="003B687B"/>
    <w:rsid w:val="003D4A17"/>
    <w:rsid w:val="00440314"/>
    <w:rsid w:val="00450FF3"/>
    <w:rsid w:val="00466459"/>
    <w:rsid w:val="0047303E"/>
    <w:rsid w:val="004B52EA"/>
    <w:rsid w:val="004D0092"/>
    <w:rsid w:val="004E77F1"/>
    <w:rsid w:val="004F5CE9"/>
    <w:rsid w:val="005005BB"/>
    <w:rsid w:val="00507620"/>
    <w:rsid w:val="00523C8F"/>
    <w:rsid w:val="00563A8D"/>
    <w:rsid w:val="00580F8C"/>
    <w:rsid w:val="00583C3B"/>
    <w:rsid w:val="00586665"/>
    <w:rsid w:val="005A0B28"/>
    <w:rsid w:val="005A3FD3"/>
    <w:rsid w:val="005D7681"/>
    <w:rsid w:val="006377F2"/>
    <w:rsid w:val="00654A7F"/>
    <w:rsid w:val="006618A5"/>
    <w:rsid w:val="00671109"/>
    <w:rsid w:val="00684460"/>
    <w:rsid w:val="00695828"/>
    <w:rsid w:val="006F7009"/>
    <w:rsid w:val="007011AF"/>
    <w:rsid w:val="007122B2"/>
    <w:rsid w:val="00714B23"/>
    <w:rsid w:val="00726BC3"/>
    <w:rsid w:val="00793C1B"/>
    <w:rsid w:val="007944C9"/>
    <w:rsid w:val="00796378"/>
    <w:rsid w:val="007C1228"/>
    <w:rsid w:val="007E3303"/>
    <w:rsid w:val="0086428B"/>
    <w:rsid w:val="0089283F"/>
    <w:rsid w:val="009112D5"/>
    <w:rsid w:val="00915AFA"/>
    <w:rsid w:val="00923364"/>
    <w:rsid w:val="009D26BC"/>
    <w:rsid w:val="009E4FA7"/>
    <w:rsid w:val="009F6A69"/>
    <w:rsid w:val="00A01FBD"/>
    <w:rsid w:val="00A06164"/>
    <w:rsid w:val="00A5665F"/>
    <w:rsid w:val="00A77F89"/>
    <w:rsid w:val="00A92149"/>
    <w:rsid w:val="00AC10D1"/>
    <w:rsid w:val="00AC362C"/>
    <w:rsid w:val="00AE12EA"/>
    <w:rsid w:val="00AE4BED"/>
    <w:rsid w:val="00AE6ABD"/>
    <w:rsid w:val="00AF3535"/>
    <w:rsid w:val="00AF4CA8"/>
    <w:rsid w:val="00B77D9F"/>
    <w:rsid w:val="00B90086"/>
    <w:rsid w:val="00B966B9"/>
    <w:rsid w:val="00BA638F"/>
    <w:rsid w:val="00BE3F86"/>
    <w:rsid w:val="00BF0BF3"/>
    <w:rsid w:val="00BF67AB"/>
    <w:rsid w:val="00C44D06"/>
    <w:rsid w:val="00C52EA5"/>
    <w:rsid w:val="00C62A6A"/>
    <w:rsid w:val="00C63798"/>
    <w:rsid w:val="00C84D60"/>
    <w:rsid w:val="00C978C2"/>
    <w:rsid w:val="00D71167"/>
    <w:rsid w:val="00D81102"/>
    <w:rsid w:val="00DF3ECB"/>
    <w:rsid w:val="00E07C78"/>
    <w:rsid w:val="00E23122"/>
    <w:rsid w:val="00E40BED"/>
    <w:rsid w:val="00E44072"/>
    <w:rsid w:val="00E633BC"/>
    <w:rsid w:val="00E650F3"/>
    <w:rsid w:val="00E9602B"/>
    <w:rsid w:val="00EA5894"/>
    <w:rsid w:val="00EA6C0D"/>
    <w:rsid w:val="00ED1596"/>
    <w:rsid w:val="00EE196E"/>
    <w:rsid w:val="00F5781E"/>
    <w:rsid w:val="00FB4C01"/>
    <w:rsid w:val="00FB677E"/>
    <w:rsid w:val="00FC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9056F"/>
  <w15:chartTrackingRefBased/>
  <w15:docId w15:val="{A63E0719-F623-4967-A6A8-ECD13011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F23"/>
  </w:style>
  <w:style w:type="paragraph" w:styleId="Heading1">
    <w:name w:val="heading 1"/>
    <w:basedOn w:val="Normal"/>
    <w:next w:val="Normal"/>
    <w:link w:val="Heading1Char"/>
    <w:uiPriority w:val="9"/>
    <w:qFormat/>
    <w:rsid w:val="00684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4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4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60"/>
    <w:rPr>
      <w:rFonts w:eastAsiaTheme="majorEastAsia" w:cstheme="majorBidi"/>
      <w:color w:val="272727" w:themeColor="text1" w:themeTint="D8"/>
    </w:rPr>
  </w:style>
  <w:style w:type="paragraph" w:styleId="Title">
    <w:name w:val="Title"/>
    <w:basedOn w:val="Normal"/>
    <w:next w:val="Normal"/>
    <w:link w:val="TitleChar"/>
    <w:uiPriority w:val="10"/>
    <w:qFormat/>
    <w:rsid w:val="00684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60"/>
    <w:pPr>
      <w:spacing w:before="160"/>
      <w:jc w:val="center"/>
    </w:pPr>
    <w:rPr>
      <w:i/>
      <w:iCs/>
      <w:color w:val="404040" w:themeColor="text1" w:themeTint="BF"/>
    </w:rPr>
  </w:style>
  <w:style w:type="character" w:customStyle="1" w:styleId="QuoteChar">
    <w:name w:val="Quote Char"/>
    <w:basedOn w:val="DefaultParagraphFont"/>
    <w:link w:val="Quote"/>
    <w:uiPriority w:val="29"/>
    <w:rsid w:val="00684460"/>
    <w:rPr>
      <w:i/>
      <w:iCs/>
      <w:color w:val="404040" w:themeColor="text1" w:themeTint="BF"/>
    </w:rPr>
  </w:style>
  <w:style w:type="paragraph" w:styleId="ListParagraph">
    <w:name w:val="List Paragraph"/>
    <w:basedOn w:val="Normal"/>
    <w:uiPriority w:val="34"/>
    <w:qFormat/>
    <w:rsid w:val="00684460"/>
    <w:pPr>
      <w:ind w:left="720"/>
      <w:contextualSpacing/>
    </w:pPr>
  </w:style>
  <w:style w:type="character" w:styleId="IntenseEmphasis">
    <w:name w:val="Intense Emphasis"/>
    <w:basedOn w:val="DefaultParagraphFont"/>
    <w:uiPriority w:val="21"/>
    <w:qFormat/>
    <w:rsid w:val="00684460"/>
    <w:rPr>
      <w:i/>
      <w:iCs/>
      <w:color w:val="2F5496" w:themeColor="accent1" w:themeShade="BF"/>
    </w:rPr>
  </w:style>
  <w:style w:type="paragraph" w:styleId="IntenseQuote">
    <w:name w:val="Intense Quote"/>
    <w:basedOn w:val="Normal"/>
    <w:next w:val="Normal"/>
    <w:link w:val="IntenseQuoteChar"/>
    <w:uiPriority w:val="30"/>
    <w:qFormat/>
    <w:rsid w:val="00684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460"/>
    <w:rPr>
      <w:i/>
      <w:iCs/>
      <w:color w:val="2F5496" w:themeColor="accent1" w:themeShade="BF"/>
    </w:rPr>
  </w:style>
  <w:style w:type="character" w:styleId="IntenseReference">
    <w:name w:val="Intense Reference"/>
    <w:basedOn w:val="DefaultParagraphFont"/>
    <w:uiPriority w:val="32"/>
    <w:qFormat/>
    <w:rsid w:val="00684460"/>
    <w:rPr>
      <w:b/>
      <w:bCs/>
      <w:smallCaps/>
      <w:color w:val="2F5496" w:themeColor="accent1" w:themeShade="BF"/>
      <w:spacing w:val="5"/>
    </w:rPr>
  </w:style>
  <w:style w:type="character" w:styleId="Hyperlink">
    <w:name w:val="Hyperlink"/>
    <w:basedOn w:val="DefaultParagraphFont"/>
    <w:uiPriority w:val="99"/>
    <w:unhideWhenUsed/>
    <w:rsid w:val="00244F23"/>
    <w:rPr>
      <w:color w:val="0563C1" w:themeColor="hyperlink"/>
      <w:u w:val="single"/>
    </w:rPr>
  </w:style>
  <w:style w:type="paragraph" w:styleId="NormalWeb">
    <w:name w:val="Normal (Web)"/>
    <w:basedOn w:val="Normal"/>
    <w:uiPriority w:val="99"/>
    <w:semiHidden/>
    <w:unhideWhenUsed/>
    <w:rsid w:val="005A0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227D4"/>
    <w:rPr>
      <w:i/>
      <w:iCs/>
    </w:rPr>
  </w:style>
  <w:style w:type="character" w:styleId="Strong">
    <w:name w:val="Strong"/>
    <w:basedOn w:val="DefaultParagraphFont"/>
    <w:uiPriority w:val="22"/>
    <w:qFormat/>
    <w:rsid w:val="00671109"/>
    <w:rPr>
      <w:b/>
      <w:bCs/>
    </w:rPr>
  </w:style>
  <w:style w:type="character" w:customStyle="1" w:styleId="whitespace-normal">
    <w:name w:val="whitespace-normal"/>
    <w:basedOn w:val="DefaultParagraphFont"/>
    <w:rsid w:val="00ED1596"/>
  </w:style>
  <w:style w:type="character" w:styleId="UnresolvedMention">
    <w:name w:val="Unresolved Mention"/>
    <w:basedOn w:val="DefaultParagraphFont"/>
    <w:uiPriority w:val="99"/>
    <w:semiHidden/>
    <w:unhideWhenUsed/>
    <w:rsid w:val="006F7009"/>
    <w:rPr>
      <w:color w:val="605E5C"/>
      <w:shd w:val="clear" w:color="auto" w:fill="E1DFDD"/>
    </w:rPr>
  </w:style>
  <w:style w:type="paragraph" w:styleId="Header">
    <w:name w:val="header"/>
    <w:basedOn w:val="Normal"/>
    <w:link w:val="HeaderChar"/>
    <w:uiPriority w:val="99"/>
    <w:unhideWhenUsed/>
    <w:rsid w:val="00B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F3"/>
  </w:style>
  <w:style w:type="paragraph" w:styleId="Footer">
    <w:name w:val="footer"/>
    <w:basedOn w:val="Normal"/>
    <w:link w:val="FooterChar"/>
    <w:uiPriority w:val="99"/>
    <w:unhideWhenUsed/>
    <w:rsid w:val="00B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685-019-0085-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744987120927206" TargetMode="External"/><Relationship Id="rId12" Type="http://schemas.openxmlformats.org/officeDocument/2006/relationships/hyperlink" Target="https://www.weforum.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ducsci1007018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3632434.2020.181147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obalpartnership.org"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10632</Words>
  <Characters>60605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cp:revision>
  <dcterms:created xsi:type="dcterms:W3CDTF">2026-04-02T08:34:00Z</dcterms:created>
  <dcterms:modified xsi:type="dcterms:W3CDTF">2026-04-03T07:17:00Z</dcterms:modified>
</cp:coreProperties>
</file>