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461AB" w14:textId="382504A4" w:rsidR="00067410" w:rsidRDefault="00B26BB6" w:rsidP="00B26BB6">
      <w:pPr>
        <w:jc w:val="center"/>
        <w:rPr>
          <w:rFonts w:ascii="Times New Roman" w:hAnsi="Times New Roman" w:cs="Times New Roman"/>
          <w:b/>
          <w:bCs/>
          <w:sz w:val="24"/>
          <w:szCs w:val="24"/>
        </w:rPr>
      </w:pPr>
      <w:r w:rsidRPr="00B26BB6">
        <w:rPr>
          <w:rFonts w:ascii="Times New Roman" w:hAnsi="Times New Roman" w:cs="Times New Roman"/>
          <w:b/>
          <w:bCs/>
          <w:sz w:val="24"/>
          <w:szCs w:val="24"/>
        </w:rPr>
        <w:t>Exploring Constraints to Communication Skill Development: A Multidimensional Study in Higher Agricultural Education</w:t>
      </w:r>
    </w:p>
    <w:p w14:paraId="675B0F88" w14:textId="77777777" w:rsidR="005B4B10" w:rsidRDefault="005B4B10" w:rsidP="00B26BB6">
      <w:pPr>
        <w:jc w:val="center"/>
        <w:rPr>
          <w:rFonts w:ascii="Times New Roman" w:hAnsi="Times New Roman" w:cs="Times New Roman"/>
          <w:b/>
          <w:bCs/>
          <w:sz w:val="24"/>
          <w:szCs w:val="24"/>
        </w:rPr>
      </w:pPr>
    </w:p>
    <w:p w14:paraId="1BFE6023" w14:textId="77777777" w:rsidR="00635FA4" w:rsidRDefault="00635FA4" w:rsidP="00635FA4">
      <w:pPr>
        <w:rPr>
          <w:rFonts w:ascii="Times New Roman" w:hAnsi="Times New Roman" w:cs="Times New Roman"/>
          <w:b/>
          <w:bCs/>
          <w:sz w:val="24"/>
          <w:szCs w:val="24"/>
        </w:rPr>
      </w:pPr>
    </w:p>
    <w:p w14:paraId="6A9252C0" w14:textId="6FF24557" w:rsidR="00E941D5" w:rsidRDefault="00E941D5" w:rsidP="00E941D5">
      <w:pPr>
        <w:rPr>
          <w:rFonts w:ascii="Times New Roman" w:hAnsi="Times New Roman" w:cs="Times New Roman"/>
          <w:b/>
          <w:bCs/>
          <w:sz w:val="24"/>
          <w:szCs w:val="24"/>
        </w:rPr>
      </w:pPr>
      <w:r>
        <w:rPr>
          <w:rFonts w:ascii="Times New Roman" w:hAnsi="Times New Roman" w:cs="Times New Roman"/>
          <w:b/>
          <w:bCs/>
          <w:sz w:val="24"/>
          <w:szCs w:val="24"/>
        </w:rPr>
        <w:t>Abstract</w:t>
      </w:r>
    </w:p>
    <w:p w14:paraId="0E0FE256" w14:textId="1E50336E" w:rsidR="00E120F5" w:rsidRPr="00E120F5" w:rsidRDefault="00E120F5" w:rsidP="00672A5A">
      <w:pPr>
        <w:jc w:val="both"/>
        <w:rPr>
          <w:rFonts w:ascii="Times New Roman" w:hAnsi="Times New Roman" w:cs="Times New Roman"/>
          <w:sz w:val="24"/>
          <w:szCs w:val="24"/>
        </w:rPr>
      </w:pPr>
      <w:r w:rsidRPr="00E120F5">
        <w:rPr>
          <w:rFonts w:ascii="Times New Roman" w:hAnsi="Times New Roman" w:cs="Times New Roman"/>
          <w:sz w:val="24"/>
          <w:szCs w:val="24"/>
        </w:rPr>
        <w:t>This study presents a comprehensive and much-needed assessment of the multidimensional constraints hindering communication skill development among postgraduate students in higher agricultural education (HAE) in India. The research is highly important and was taken up due to a significant and acknowledged systemic problem: the persistent gap between the communication skills required by the agricultural profession and those possessed by graduates. Effective communication is no longer a soft skill but a core competency essential for HAE graduates, who are expected to engage with diverse stakeholders</w:t>
      </w:r>
      <w:r w:rsidR="00EE6FA5" w:rsidRPr="00672A5A">
        <w:rPr>
          <w:rFonts w:ascii="Times New Roman" w:hAnsi="Times New Roman" w:cs="Times New Roman"/>
          <w:sz w:val="24"/>
          <w:szCs w:val="24"/>
        </w:rPr>
        <w:t xml:space="preserve">, </w:t>
      </w:r>
      <w:r w:rsidRPr="00E120F5">
        <w:rPr>
          <w:rFonts w:ascii="Times New Roman" w:hAnsi="Times New Roman" w:cs="Times New Roman"/>
          <w:sz w:val="24"/>
          <w:szCs w:val="24"/>
        </w:rPr>
        <w:t>disseminate complex scientific findings, and facilitate vital knowledge transfer for sustainable rural development. The ability to articulate scientific knowledge persuasively serves as the indispensable bridge between technical expertise and real-world application.</w:t>
      </w:r>
      <w:r w:rsidR="00EE6FA5" w:rsidRPr="00672A5A">
        <w:rPr>
          <w:rFonts w:ascii="Times New Roman" w:hAnsi="Times New Roman" w:cs="Times New Roman"/>
          <w:sz w:val="24"/>
          <w:szCs w:val="24"/>
        </w:rPr>
        <w:t xml:space="preserve"> </w:t>
      </w:r>
      <w:r w:rsidRPr="00E120F5">
        <w:rPr>
          <w:rFonts w:ascii="Times New Roman" w:hAnsi="Times New Roman" w:cs="Times New Roman"/>
          <w:sz w:val="24"/>
          <w:szCs w:val="24"/>
        </w:rPr>
        <w:t>Despite this crucial role, students face numerous and complex barriers, spanning pedagogical, socio-economic, and psychological dimensions, that impede skill development. Prior research has highlighted issues like communication apprehension and inadequate curriculum focus. However, a systematic, multidimensional inquiry was lacking to precisely identify and quantify these constraints.</w:t>
      </w:r>
      <w:r w:rsidR="00EE6FA5" w:rsidRPr="00672A5A">
        <w:rPr>
          <w:rFonts w:ascii="Times New Roman" w:hAnsi="Times New Roman" w:cs="Times New Roman"/>
          <w:sz w:val="24"/>
          <w:szCs w:val="24"/>
        </w:rPr>
        <w:t xml:space="preserve"> </w:t>
      </w:r>
      <w:r w:rsidRPr="00E120F5">
        <w:rPr>
          <w:rFonts w:ascii="Times New Roman" w:hAnsi="Times New Roman" w:cs="Times New Roman"/>
          <w:sz w:val="24"/>
          <w:szCs w:val="24"/>
        </w:rPr>
        <w:t>To address this gap, this exploratory and descriptive study was conducted in three prominent</w:t>
      </w:r>
      <w:r w:rsidR="00EE6FA5" w:rsidRPr="00672A5A">
        <w:rPr>
          <w:rFonts w:ascii="Times New Roman" w:hAnsi="Times New Roman" w:cs="Times New Roman"/>
          <w:sz w:val="24"/>
          <w:szCs w:val="24"/>
        </w:rPr>
        <w:t xml:space="preserve"> </w:t>
      </w:r>
      <w:r w:rsidRPr="00E120F5">
        <w:rPr>
          <w:rFonts w:ascii="Times New Roman" w:hAnsi="Times New Roman" w:cs="Times New Roman"/>
          <w:sz w:val="24"/>
          <w:szCs w:val="24"/>
        </w:rPr>
        <w:t>agricultural institutions in India. Utilizing the Delphi technique to finalize 24 indicators across five dimensions</w:t>
      </w:r>
      <w:r w:rsidR="00545BCC" w:rsidRPr="00545BCC">
        <w:rPr>
          <w:rFonts w:ascii="Times New Roman" w:hAnsi="Times New Roman" w:cs="Times New Roman"/>
          <w:sz w:val="24"/>
          <w:szCs w:val="24"/>
        </w:rPr>
        <w:t>: ICT-related, curriculum-related, institutional, socio-economic, and personal constraints.</w:t>
      </w:r>
      <w:r w:rsidRPr="00E120F5">
        <w:rPr>
          <w:rFonts w:ascii="Times New Roman" w:hAnsi="Times New Roman" w:cs="Times New Roman"/>
          <w:sz w:val="24"/>
          <w:szCs w:val="24"/>
        </w:rPr>
        <w:t xml:space="preserve"> </w:t>
      </w:r>
      <w:r w:rsidR="00545BCC" w:rsidRPr="00E120F5">
        <w:rPr>
          <w:rFonts w:ascii="Times New Roman" w:hAnsi="Times New Roman" w:cs="Times New Roman"/>
          <w:sz w:val="24"/>
          <w:szCs w:val="24"/>
        </w:rPr>
        <w:t>T</w:t>
      </w:r>
      <w:r w:rsidRPr="00E120F5">
        <w:rPr>
          <w:rFonts w:ascii="Times New Roman" w:hAnsi="Times New Roman" w:cs="Times New Roman"/>
          <w:sz w:val="24"/>
          <w:szCs w:val="24"/>
        </w:rPr>
        <w:t>he Garrett ranking technique to quantify their severity, the study aimed to generate actionable insights for educators and policymakers. Key findings revealed the emergence of new, globally relevant ICT-related challenges</w:t>
      </w:r>
      <w:r w:rsidR="00545BCC">
        <w:rPr>
          <w:rFonts w:ascii="Times New Roman" w:hAnsi="Times New Roman" w:cs="Times New Roman"/>
          <w:sz w:val="24"/>
          <w:szCs w:val="24"/>
        </w:rPr>
        <w:t xml:space="preserve"> </w:t>
      </w:r>
      <w:r w:rsidR="00545BCC" w:rsidRPr="00545BCC">
        <w:rPr>
          <w:rFonts w:ascii="Times New Roman" w:hAnsi="Times New Roman" w:cs="Times New Roman"/>
          <w:sz w:val="24"/>
          <w:szCs w:val="24"/>
        </w:rPr>
        <w:t>including excessive use of artificial intelligence and screen time</w:t>
      </w:r>
      <w:r w:rsidR="00545BCC">
        <w:rPr>
          <w:rFonts w:ascii="Times New Roman" w:hAnsi="Times New Roman" w:cs="Times New Roman"/>
          <w:sz w:val="24"/>
          <w:szCs w:val="24"/>
        </w:rPr>
        <w:t xml:space="preserve">, </w:t>
      </w:r>
      <w:r w:rsidRPr="00E120F5">
        <w:rPr>
          <w:rFonts w:ascii="Times New Roman" w:hAnsi="Times New Roman" w:cs="Times New Roman"/>
          <w:sz w:val="24"/>
          <w:szCs w:val="24"/>
        </w:rPr>
        <w:t>alongside established barriers like the heavy workload, lack of systematic training, and limited socio-economic exposure. By systematically identifying and prioritizing these constraints, the study provides the necessary evidence to inform targeted interventions, curricular reforms, and pedagogical innovations aimed at strengthening the communication competence required by future agricultural professionals to address the multifaceted challenges of the modern food system.</w:t>
      </w:r>
    </w:p>
    <w:p w14:paraId="126AB691" w14:textId="77777777" w:rsidR="00E120F5" w:rsidRPr="00E120F5" w:rsidRDefault="00E120F5" w:rsidP="00E120F5">
      <w:pPr>
        <w:rPr>
          <w:rFonts w:ascii="Times New Roman" w:hAnsi="Times New Roman" w:cs="Times New Roman"/>
          <w:b/>
          <w:bCs/>
          <w:sz w:val="24"/>
          <w:szCs w:val="24"/>
        </w:rPr>
      </w:pPr>
      <w:r w:rsidRPr="00E120F5">
        <w:rPr>
          <w:rFonts w:ascii="Times New Roman" w:hAnsi="Times New Roman" w:cs="Times New Roman"/>
          <w:b/>
          <w:bCs/>
          <w:sz w:val="24"/>
          <w:szCs w:val="24"/>
        </w:rPr>
        <w:t>Keywords</w:t>
      </w:r>
    </w:p>
    <w:p w14:paraId="22EA8A6E" w14:textId="48899A58" w:rsidR="00E120F5" w:rsidRDefault="00545BCC" w:rsidP="00E120F5">
      <w:pPr>
        <w:rPr>
          <w:rFonts w:ascii="Times New Roman" w:hAnsi="Times New Roman" w:cs="Times New Roman"/>
          <w:sz w:val="24"/>
          <w:szCs w:val="24"/>
        </w:rPr>
      </w:pPr>
      <w:r w:rsidRPr="00545BCC">
        <w:rPr>
          <w:rFonts w:ascii="Times New Roman" w:hAnsi="Times New Roman" w:cs="Times New Roman"/>
          <w:sz w:val="24"/>
          <w:szCs w:val="24"/>
        </w:rPr>
        <w:t>communication competence</w:t>
      </w:r>
      <w:r>
        <w:rPr>
          <w:rFonts w:ascii="Times New Roman" w:hAnsi="Times New Roman" w:cs="Times New Roman"/>
          <w:sz w:val="24"/>
          <w:szCs w:val="24"/>
        </w:rPr>
        <w:t xml:space="preserve">, </w:t>
      </w:r>
      <w:r w:rsidR="00E120F5" w:rsidRPr="00E120F5">
        <w:rPr>
          <w:rFonts w:ascii="Times New Roman" w:hAnsi="Times New Roman" w:cs="Times New Roman"/>
          <w:sz w:val="24"/>
          <w:szCs w:val="24"/>
        </w:rPr>
        <w:t xml:space="preserve">Constraints, </w:t>
      </w:r>
      <w:r w:rsidRPr="00E120F5">
        <w:rPr>
          <w:rFonts w:ascii="Times New Roman" w:hAnsi="Times New Roman" w:cs="Times New Roman"/>
          <w:sz w:val="24"/>
          <w:szCs w:val="24"/>
        </w:rPr>
        <w:t>Communication Training</w:t>
      </w:r>
      <w:r>
        <w:rPr>
          <w:rFonts w:ascii="Times New Roman" w:hAnsi="Times New Roman" w:cs="Times New Roman"/>
          <w:sz w:val="24"/>
          <w:szCs w:val="24"/>
        </w:rPr>
        <w:t xml:space="preserve">, </w:t>
      </w:r>
      <w:r w:rsidRPr="00E120F5">
        <w:rPr>
          <w:rFonts w:ascii="Times New Roman" w:hAnsi="Times New Roman" w:cs="Times New Roman"/>
          <w:sz w:val="24"/>
          <w:szCs w:val="24"/>
        </w:rPr>
        <w:t>Delphi Technique,</w:t>
      </w:r>
      <w:r>
        <w:rPr>
          <w:rFonts w:ascii="Times New Roman" w:hAnsi="Times New Roman" w:cs="Times New Roman"/>
          <w:sz w:val="24"/>
          <w:szCs w:val="24"/>
        </w:rPr>
        <w:t xml:space="preserve"> </w:t>
      </w:r>
      <w:r w:rsidRPr="00E120F5">
        <w:rPr>
          <w:rFonts w:ascii="Times New Roman" w:hAnsi="Times New Roman" w:cs="Times New Roman"/>
          <w:sz w:val="24"/>
          <w:szCs w:val="24"/>
        </w:rPr>
        <w:t>Garrett Ranking,</w:t>
      </w:r>
      <w:r>
        <w:rPr>
          <w:rFonts w:ascii="Times New Roman" w:hAnsi="Times New Roman" w:cs="Times New Roman"/>
          <w:sz w:val="24"/>
          <w:szCs w:val="24"/>
        </w:rPr>
        <w:t xml:space="preserve"> </w:t>
      </w:r>
      <w:r w:rsidR="00E120F5" w:rsidRPr="00E120F5">
        <w:rPr>
          <w:rFonts w:ascii="Times New Roman" w:hAnsi="Times New Roman" w:cs="Times New Roman"/>
          <w:sz w:val="24"/>
          <w:szCs w:val="24"/>
        </w:rPr>
        <w:t>Higher Agricultural Education</w:t>
      </w:r>
    </w:p>
    <w:p w14:paraId="4214C179" w14:textId="2B118FE8" w:rsidR="003F47AC" w:rsidRPr="00E120F5" w:rsidRDefault="003F47AC" w:rsidP="00E120F5">
      <w:pPr>
        <w:rPr>
          <w:rFonts w:ascii="Times New Roman" w:hAnsi="Times New Roman" w:cs="Times New Roman"/>
          <w:sz w:val="24"/>
          <w:szCs w:val="24"/>
        </w:rPr>
      </w:pPr>
      <w:r w:rsidRPr="003F47AC">
        <w:rPr>
          <w:rFonts w:ascii="Times New Roman" w:hAnsi="Times New Roman" w:cs="Times New Roman"/>
          <w:sz w:val="24"/>
          <w:szCs w:val="24"/>
        </w:rPr>
        <w:t>a core component of 21st-century skills and lifelong learning, essential for employability in professional education contexts (Gündüz, 2023), </w:t>
      </w:r>
    </w:p>
    <w:p w14:paraId="7F6C7DFA" w14:textId="4909F904" w:rsidR="00C2587E" w:rsidRDefault="00C2587E" w:rsidP="00C2587E">
      <w:pPr>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5CCE8A35" w14:textId="301511FC" w:rsidR="000D4133" w:rsidRP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Communication skills are widely recognized as a critical competency in higher education</w:t>
      </w:r>
      <w:r w:rsidR="003F47AC">
        <w:rPr>
          <w:rFonts w:ascii="Times New Roman" w:hAnsi="Times New Roman" w:cs="Times New Roman"/>
          <w:sz w:val="24"/>
          <w:szCs w:val="24"/>
        </w:rPr>
        <w:t xml:space="preserve"> and</w:t>
      </w:r>
      <w:r w:rsidRPr="000D4133">
        <w:rPr>
          <w:rFonts w:ascii="Times New Roman" w:hAnsi="Times New Roman" w:cs="Times New Roman"/>
          <w:sz w:val="24"/>
          <w:szCs w:val="24"/>
        </w:rPr>
        <w:t xml:space="preserve"> </w:t>
      </w:r>
      <w:r w:rsidR="003F47AC" w:rsidRPr="003F47AC">
        <w:rPr>
          <w:rFonts w:ascii="Times New Roman" w:hAnsi="Times New Roman" w:cs="Times New Roman"/>
          <w:sz w:val="24"/>
          <w:szCs w:val="24"/>
        </w:rPr>
        <w:t>a core component of 21st-century skills and lifelong learning, essential for employability in professional education contexts (Gündüz, 2023), </w:t>
      </w:r>
      <w:r w:rsidRPr="000D4133">
        <w:rPr>
          <w:rFonts w:ascii="Times New Roman" w:hAnsi="Times New Roman" w:cs="Times New Roman"/>
          <w:sz w:val="24"/>
          <w:szCs w:val="24"/>
        </w:rPr>
        <w:t xml:space="preserve">particularly in agricultural sciences where graduates are expected to engage with diverse stakeholders, disseminate research findings, and facilitate knowledge transfer (Ray, 2016; Singh &amp; Kaur, 2019). The rapidly evolving </w:t>
      </w:r>
      <w:r w:rsidRPr="000D4133">
        <w:rPr>
          <w:rFonts w:ascii="Times New Roman" w:hAnsi="Times New Roman" w:cs="Times New Roman"/>
          <w:sz w:val="24"/>
          <w:szCs w:val="24"/>
        </w:rPr>
        <w:lastRenderedPageBreak/>
        <w:t>agricultural sector requires professionals who possess not only strong technical expertise but also the ability to communicate effectively with farmers, policymakers, researchers, and industry stakeholders. In the context of higher agricultural education in India, communication competence plays a pivotal role in bridging the gap between scientific knowledge and its practical application in the field. Graduates are increasingly expected to articulate complex scientific information in simple, persuasive, and contextually appropriate ways in order to support agricultural innovation, rural development, and evidence-based decision-making.</w:t>
      </w:r>
    </w:p>
    <w:p w14:paraId="7A990A63" w14:textId="77777777" w:rsidR="000D4133" w:rsidRP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Moreover, communication competence has emerged as a key employability skill in contemporary knowledge economies. Employers in both public and private sectors increasingly seek graduates who can combine disciplinary expertise with strong interpersonal, presentation, and scientific communication abilities (Hynes, 2009; Chaudhary, Sharma, &amp; Sharma, 2020). Effective communication enables agricultural professionals to translate research outputs into actionable knowledge, collaborate across interdisciplinary teams, and engage meaningfully with farming communities and development institutions. Thus, communication skills function as an essential bridge connecting academic knowledge with real-world agricultural practice.</w:t>
      </w:r>
    </w:p>
    <w:p w14:paraId="5C3070D3" w14:textId="77B19D43" w:rsid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 xml:space="preserve">Despite this importance, students in higher agricultural education frequently encounter significant barriers in developing effective communication skills. These constraints are often multidimensional, encompassing institutional, socio-cultural, technological, and personal factors. Previous studies have identified several barriers such as communication apprehension, language difficulties, limited exposure to communication-oriented learning environments, and insufficient emphasis on soft skills within technical curricula (Mondal &amp; Mandal, 2016; Saxena, Singh, &amp; Verma, 2017). Psychological barriers such as anxiety, low self-confidence, </w:t>
      </w:r>
      <w:r w:rsidR="003F47AC" w:rsidRPr="003F47AC">
        <w:rPr>
          <w:rFonts w:ascii="Times New Roman" w:hAnsi="Times New Roman" w:cs="Times New Roman"/>
          <w:sz w:val="24"/>
          <w:szCs w:val="24"/>
        </w:rPr>
        <w:t xml:space="preserve">emotional regulation </w:t>
      </w:r>
      <w:r w:rsidRPr="000D4133">
        <w:rPr>
          <w:rFonts w:ascii="Times New Roman" w:hAnsi="Times New Roman" w:cs="Times New Roman"/>
          <w:sz w:val="24"/>
          <w:szCs w:val="24"/>
        </w:rPr>
        <w:t xml:space="preserve">and fear of evaluation can discourage students from actively participating in group discussions or public speaking activities </w:t>
      </w:r>
      <w:r w:rsidR="003F47AC" w:rsidRPr="003F47AC">
        <w:rPr>
          <w:rFonts w:ascii="Times New Roman" w:hAnsi="Times New Roman" w:cs="Times New Roman"/>
          <w:sz w:val="24"/>
          <w:szCs w:val="24"/>
        </w:rPr>
        <w:t xml:space="preserve">and participation in academic environments </w:t>
      </w:r>
      <w:r w:rsidR="003F47AC">
        <w:rPr>
          <w:rFonts w:ascii="Times New Roman" w:hAnsi="Times New Roman" w:cs="Times New Roman"/>
          <w:sz w:val="24"/>
          <w:szCs w:val="24"/>
        </w:rPr>
        <w:t>which in turn influence</w:t>
      </w:r>
      <w:r w:rsidR="003F47AC" w:rsidRPr="003F47AC">
        <w:t xml:space="preserve"> </w:t>
      </w:r>
      <w:r w:rsidR="003F47AC" w:rsidRPr="003F47AC">
        <w:rPr>
          <w:rFonts w:ascii="Times New Roman" w:hAnsi="Times New Roman" w:cs="Times New Roman"/>
          <w:sz w:val="24"/>
          <w:szCs w:val="24"/>
        </w:rPr>
        <w:t>communication behaviour</w:t>
      </w:r>
      <w:r w:rsidR="003F47AC">
        <w:rPr>
          <w:rFonts w:ascii="Times New Roman" w:hAnsi="Times New Roman" w:cs="Times New Roman"/>
          <w:sz w:val="24"/>
          <w:szCs w:val="24"/>
        </w:rPr>
        <w:t xml:space="preserve"> </w:t>
      </w:r>
      <w:r w:rsidRPr="000D4133">
        <w:rPr>
          <w:rFonts w:ascii="Times New Roman" w:hAnsi="Times New Roman" w:cs="Times New Roman"/>
          <w:sz w:val="24"/>
          <w:szCs w:val="24"/>
        </w:rPr>
        <w:t>(McCroskey, 1977</w:t>
      </w:r>
      <w:r w:rsidR="003F47AC">
        <w:rPr>
          <w:rFonts w:ascii="Times New Roman" w:hAnsi="Times New Roman" w:cs="Times New Roman"/>
          <w:sz w:val="24"/>
          <w:szCs w:val="24"/>
        </w:rPr>
        <w:t xml:space="preserve">; </w:t>
      </w:r>
      <w:r w:rsidR="003F47AC" w:rsidRPr="003F47AC">
        <w:rPr>
          <w:rFonts w:ascii="Times New Roman" w:hAnsi="Times New Roman" w:cs="Times New Roman"/>
          <w:sz w:val="24"/>
          <w:szCs w:val="24"/>
        </w:rPr>
        <w:t>Resnik et al., 2025</w:t>
      </w:r>
      <w:r w:rsidRPr="000D4133">
        <w:rPr>
          <w:rFonts w:ascii="Times New Roman" w:hAnsi="Times New Roman" w:cs="Times New Roman"/>
          <w:sz w:val="24"/>
          <w:szCs w:val="24"/>
        </w:rPr>
        <w:t>). Socio-cultural factors</w:t>
      </w:r>
      <w:r w:rsidR="00672F06">
        <w:rPr>
          <w:rFonts w:ascii="Times New Roman" w:hAnsi="Times New Roman" w:cs="Times New Roman"/>
          <w:sz w:val="24"/>
          <w:szCs w:val="24"/>
        </w:rPr>
        <w:t xml:space="preserve">: </w:t>
      </w:r>
      <w:r w:rsidRPr="000D4133">
        <w:rPr>
          <w:rFonts w:ascii="Times New Roman" w:hAnsi="Times New Roman" w:cs="Times New Roman"/>
          <w:sz w:val="24"/>
          <w:szCs w:val="24"/>
        </w:rPr>
        <w:t>including linguistic diversity, rural–urban background differences, and cultural norms that discourage open expression</w:t>
      </w:r>
      <w:r w:rsidR="00672F06">
        <w:rPr>
          <w:rFonts w:ascii="Times New Roman" w:hAnsi="Times New Roman" w:cs="Times New Roman"/>
          <w:sz w:val="24"/>
          <w:szCs w:val="24"/>
        </w:rPr>
        <w:t xml:space="preserve">, </w:t>
      </w:r>
      <w:r w:rsidRPr="000D4133">
        <w:rPr>
          <w:rFonts w:ascii="Times New Roman" w:hAnsi="Times New Roman" w:cs="Times New Roman"/>
          <w:sz w:val="24"/>
          <w:szCs w:val="24"/>
        </w:rPr>
        <w:t>may further influence students’ communication behavior (Kumar &amp; Rani, 2021).</w:t>
      </w:r>
    </w:p>
    <w:p w14:paraId="4965280B" w14:textId="77777777" w:rsidR="000D4133" w:rsidRP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Institutional and curricular constraints also play an important role. Agricultural curricula often emphasize technical and scientific knowledge while giving comparatively limited attention to the systematic development of communication competencies (Devi &amp; Chauhan, 2020). As a result, students may receive limited opportunities to practice communication through activities such as scientific writing, research presentations, public engagement, or interdisciplinary collaboration. In addition, inadequate faculty training in communication pedagogy and insufficient use of participatory teaching methods can restrict students’ exposure to experiential communication learning environments (Myers &amp; Dyer, 2006).</w:t>
      </w:r>
    </w:p>
    <w:p w14:paraId="48BDFC39" w14:textId="285D900C" w:rsidR="000D4133" w:rsidRPr="009C4E69"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 xml:space="preserve">Recent transformations in digital learning environments have introduced additional challenges. The growing integration of information and communication technologies (ICT), including artificial intelligence tools, online learning platforms, and social media, has significantly altered students’ learning behaviors. While these technologies provide new opportunities for information access and collaborative learning, excessive reliance on digital tools may reduce opportunities for face-to-face communication, creative thinking, and cognitive engagement. Issues such as excessive screen time, digital distraction, and overdependence on automated academic tools may inadvertently hinder the development of interpersonal communication competencies among students (Lepp, Barkley, &amp; Karpinski, 2014). </w:t>
      </w:r>
      <w:r w:rsidR="00923994" w:rsidRPr="00923994">
        <w:rPr>
          <w:rFonts w:ascii="Times New Roman" w:hAnsi="Times New Roman" w:cs="Times New Roman"/>
          <w:sz w:val="24"/>
          <w:szCs w:val="24"/>
        </w:rPr>
        <w:t xml:space="preserve">Recent studies highlight that while artificial intelligence and digital tools enhance learning efficiency, excessive reliance on these technologies may reduce cognitive engagement, interpersonal interaction, and </w:t>
      </w:r>
      <w:r w:rsidR="00923994" w:rsidRPr="00923994">
        <w:rPr>
          <w:rFonts w:ascii="Times New Roman" w:hAnsi="Times New Roman" w:cs="Times New Roman"/>
          <w:sz w:val="24"/>
          <w:szCs w:val="24"/>
        </w:rPr>
        <w:lastRenderedPageBreak/>
        <w:t>independent skill development in higher education contexts (Hasan et al., 2025).</w:t>
      </w:r>
      <w:r w:rsidR="00923994">
        <w:rPr>
          <w:rFonts w:ascii="Times New Roman" w:hAnsi="Times New Roman" w:cs="Times New Roman"/>
          <w:sz w:val="24"/>
          <w:szCs w:val="24"/>
        </w:rPr>
        <w:t xml:space="preserve"> </w:t>
      </w:r>
      <w:r w:rsidR="00923994" w:rsidRPr="00923994">
        <w:rPr>
          <w:rFonts w:ascii="Times New Roman" w:hAnsi="Times New Roman" w:cs="Times New Roman"/>
          <w:sz w:val="24"/>
          <w:szCs w:val="24"/>
        </w:rPr>
        <w:t xml:space="preserve">The rapid digital transformation of higher education has introduced new pedagogical and behavioural </w:t>
      </w:r>
      <w:r w:rsidR="00923994" w:rsidRPr="009C4E69">
        <w:rPr>
          <w:rFonts w:ascii="Times New Roman" w:hAnsi="Times New Roman" w:cs="Times New Roman"/>
          <w:sz w:val="24"/>
          <w:szCs w:val="24"/>
        </w:rPr>
        <w:t xml:space="preserve">challenges, requiring a balance between technological integration and the development of essential communication competencies (Tang et al., 2025). </w:t>
      </w:r>
      <w:r w:rsidRPr="009C4E69">
        <w:rPr>
          <w:rFonts w:ascii="Times New Roman" w:hAnsi="Times New Roman" w:cs="Times New Roman"/>
          <w:sz w:val="24"/>
          <w:szCs w:val="24"/>
        </w:rPr>
        <w:t>These emerging technological influences highlight the need to reconsider communication skill development within increasingly digitalized educational environments.</w:t>
      </w:r>
    </w:p>
    <w:p w14:paraId="3B81E276" w14:textId="46BBEF9F" w:rsidR="000D4133" w:rsidRPr="009C4E69" w:rsidRDefault="000D4133" w:rsidP="00D4042F">
      <w:pPr>
        <w:pStyle w:val="NormalWeb"/>
        <w:jc w:val="both"/>
      </w:pPr>
      <w:r w:rsidRPr="009C4E69">
        <w:t>Understanding communication skill development also requires a strong theoretical foundation. Social Cognitive Theory (Bandura, 1997) emphasizes that learning occurs through the interaction of personal characteristics, behavioral engagement, and environmental influences. Within higher agricultural education, institutional structures, curricular design, technological environments, and individual psychological traits interact to shape students’ communication behavior and skill development. Similarly, Communication Apprehension Theory (McCroskey, 1977) explains how anxiety and fear of evaluation can inhibit individuals’ willingness to participate in communication activities, thereby limiting opportunities for skill acquisition</w:t>
      </w:r>
      <w:r w:rsidR="00D4042F" w:rsidRPr="009C4E69">
        <w:t xml:space="preserve"> and influencing communication behaviour, which is shaped by psychological readiness, context, and perceived competence (MacIntyre, 2020). </w:t>
      </w:r>
      <w:r w:rsidRPr="009C4E69">
        <w:t>From a pedagogical perspective, Experiential Learning Theory (Kolb, 1984) highlights the importance of active participation and real-world engagement in developing practical competencies. In educational environments where communication opportunities are limited or insufficiently integrated into curricula, students may graduate with strong disciplinary knowledge but inadequate communication competence.</w:t>
      </w:r>
    </w:p>
    <w:p w14:paraId="00D994D9" w14:textId="77777777" w:rsidR="000D4133" w:rsidRPr="009C4E69" w:rsidRDefault="000D4133" w:rsidP="000D4133">
      <w:pPr>
        <w:spacing w:line="240" w:lineRule="auto"/>
        <w:jc w:val="both"/>
        <w:rPr>
          <w:rFonts w:ascii="Times New Roman" w:hAnsi="Times New Roman" w:cs="Times New Roman"/>
          <w:sz w:val="24"/>
          <w:szCs w:val="24"/>
        </w:rPr>
      </w:pPr>
      <w:r w:rsidRPr="009C4E69">
        <w:rPr>
          <w:rFonts w:ascii="Times New Roman" w:hAnsi="Times New Roman" w:cs="Times New Roman"/>
          <w:sz w:val="24"/>
          <w:szCs w:val="24"/>
        </w:rPr>
        <w:t>Although several studies have examined barriers affecting communication skill development, much of the existing literature has addressed these issues in isolation, focusing on individual factors such as psychological barriers, curriculum limitations, or socio-cultural influences. Such approaches provide valuable insights but often fail to capture the multidimensional nature of constraints that simultaneously shape communication skill development in higher agricultural education. Furthermore, emerging challenges related to the growing use of digital technologies and artificial intelligence in academic environments remain relatively underexplored within the context of agricultural education.</w:t>
      </w:r>
    </w:p>
    <w:p w14:paraId="3630035A" w14:textId="77777777" w:rsidR="000D4133" w:rsidRPr="009C4E69" w:rsidRDefault="000D4133" w:rsidP="000D4133">
      <w:pPr>
        <w:spacing w:line="240" w:lineRule="auto"/>
        <w:jc w:val="both"/>
        <w:rPr>
          <w:rFonts w:ascii="Times New Roman" w:hAnsi="Times New Roman" w:cs="Times New Roman"/>
          <w:sz w:val="24"/>
          <w:szCs w:val="24"/>
        </w:rPr>
      </w:pPr>
      <w:r w:rsidRPr="009C4E69">
        <w:rPr>
          <w:rFonts w:ascii="Times New Roman" w:hAnsi="Times New Roman" w:cs="Times New Roman"/>
          <w:sz w:val="24"/>
          <w:szCs w:val="24"/>
        </w:rPr>
        <w:t>Another limitation of previous research is that many studies have primarily adopted descriptive approaches to identify communication barriers without systematically prioritizing their relative importance. A structured and consensus-based approach that combines Delphi technique for identifying key indicators and Garrett ranking for quantifying and prioritizing constraints can provide a more comprehensive and evidence-based understanding of the barriers affecting communication skill development among students.</w:t>
      </w:r>
    </w:p>
    <w:p w14:paraId="6AFD6837" w14:textId="77777777" w:rsidR="000D4133" w:rsidRP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In this context, the present study aims to systematically identify and prioritize the multidimensional constraints that hinder communication skill development among postgraduate students in higher agricultural education in India. By integrating technological, institutional, socio-economic, and personal dimensions, the study seeks to generate actionable insights that can inform curriculum reforms, pedagogical innovations, and policy interventions aimed at strengthening communication competence among future agricultural professionals.</w:t>
      </w:r>
    </w:p>
    <w:p w14:paraId="35FAE6A6" w14:textId="77777777" w:rsidR="006C7D9E" w:rsidRPr="003B20C4" w:rsidRDefault="006C7D9E" w:rsidP="006C7D9E">
      <w:pPr>
        <w:spacing w:line="240" w:lineRule="auto"/>
        <w:jc w:val="both"/>
        <w:rPr>
          <w:rFonts w:ascii="Times New Roman" w:hAnsi="Times New Roman" w:cs="Times New Roman"/>
          <w:b/>
          <w:bCs/>
          <w:sz w:val="24"/>
          <w:szCs w:val="24"/>
        </w:rPr>
      </w:pPr>
      <w:r w:rsidRPr="003B20C4">
        <w:rPr>
          <w:rFonts w:ascii="Times New Roman" w:hAnsi="Times New Roman" w:cs="Times New Roman"/>
          <w:b/>
          <w:bCs/>
          <w:sz w:val="24"/>
          <w:szCs w:val="24"/>
        </w:rPr>
        <w:t>Materials and Methods</w:t>
      </w:r>
    </w:p>
    <w:p w14:paraId="0C58C821" w14:textId="343E03C8" w:rsidR="00672F06" w:rsidRPr="009C4E69"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 xml:space="preserve">An exploratory and descriptive research design was employed to identify and prioritize the constraints affecting communication skill development among postgraduate students in higher agricultural education. The study was conducted in three prominent agricultural institutions in </w:t>
      </w:r>
      <w:r w:rsidRPr="009C4E69">
        <w:rPr>
          <w:rFonts w:ascii="Times New Roman" w:hAnsi="Times New Roman" w:cs="Times New Roman"/>
          <w:sz w:val="24"/>
          <w:szCs w:val="24"/>
        </w:rPr>
        <w:lastRenderedPageBreak/>
        <w:t>India: Indian Agricultural Research Institute (IARI), G.B. Pant University of Agriculture and Technology (GBPUAT), and Banaras Hindu University (BHU), which were purposively selected based on their performance in the National Institutional Ranking Framework (NIRF) 2024. These institutions represent diverse academic structures within the higher agricultural education system, including a deemed university, a state agricultural university, and a central university with an agricultural faculty.</w:t>
      </w:r>
    </w:p>
    <w:p w14:paraId="450246B8" w14:textId="664B8F74" w:rsidR="00672F06" w:rsidRPr="009C4E69"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To identify the key dimensions and indicators of communication skill constraints, the Delphi technique was employed. The Delphi method is a structured process of expert consultation used to achieve consensus on complex issues through iterative rounds of feedback (</w:t>
      </w:r>
      <w:proofErr w:type="spellStart"/>
      <w:r w:rsidRPr="009C4E69">
        <w:rPr>
          <w:rFonts w:ascii="Times New Roman" w:hAnsi="Times New Roman" w:cs="Times New Roman"/>
          <w:sz w:val="24"/>
          <w:szCs w:val="24"/>
        </w:rPr>
        <w:t>Linstone</w:t>
      </w:r>
      <w:proofErr w:type="spellEnd"/>
      <w:r w:rsidRPr="009C4E69">
        <w:rPr>
          <w:rFonts w:ascii="Times New Roman" w:hAnsi="Times New Roman" w:cs="Times New Roman"/>
          <w:sz w:val="24"/>
          <w:szCs w:val="24"/>
        </w:rPr>
        <w:t xml:space="preserve"> &amp; </w:t>
      </w:r>
      <w:proofErr w:type="spellStart"/>
      <w:r w:rsidRPr="009C4E69">
        <w:rPr>
          <w:rFonts w:ascii="Times New Roman" w:hAnsi="Times New Roman" w:cs="Times New Roman"/>
          <w:sz w:val="24"/>
          <w:szCs w:val="24"/>
        </w:rPr>
        <w:t>Turoff</w:t>
      </w:r>
      <w:proofErr w:type="spellEnd"/>
      <w:r w:rsidRPr="009C4E69">
        <w:rPr>
          <w:rFonts w:ascii="Times New Roman" w:hAnsi="Times New Roman" w:cs="Times New Roman"/>
          <w:sz w:val="24"/>
          <w:szCs w:val="24"/>
        </w:rPr>
        <w:t xml:space="preserve">, 1975). </w:t>
      </w:r>
      <w:r w:rsidR="009B446F" w:rsidRPr="009C4E69">
        <w:rPr>
          <w:rFonts w:ascii="Times New Roman" w:hAnsi="Times New Roman" w:cs="Times New Roman"/>
          <w:sz w:val="24"/>
          <w:szCs w:val="24"/>
        </w:rPr>
        <w:t xml:space="preserve">Recent studies have increasingly applied the Delphi technique to identify competencies and emerging challenges in higher education, particularly in technology-integrated learning environments (Petrova, 2025). </w:t>
      </w:r>
      <w:r w:rsidRPr="009C4E69">
        <w:rPr>
          <w:rFonts w:ascii="Times New Roman" w:hAnsi="Times New Roman" w:cs="Times New Roman"/>
          <w:sz w:val="24"/>
          <w:szCs w:val="24"/>
        </w:rPr>
        <w:t xml:space="preserve">A panel of experts from agricultural education, extension, and communication disciplines participated in the consultation process. Three rounds of Delphi surveys were conducted, consistent with recommended practices for achieving consensus in expert-based research (Ludwig, 1997; </w:t>
      </w:r>
      <w:proofErr w:type="spellStart"/>
      <w:r w:rsidRPr="009C4E69">
        <w:rPr>
          <w:rFonts w:ascii="Times New Roman" w:hAnsi="Times New Roman" w:cs="Times New Roman"/>
          <w:sz w:val="24"/>
          <w:szCs w:val="24"/>
        </w:rPr>
        <w:t>Skulmoski</w:t>
      </w:r>
      <w:proofErr w:type="spellEnd"/>
      <w:r w:rsidRPr="009C4E69">
        <w:rPr>
          <w:rFonts w:ascii="Times New Roman" w:hAnsi="Times New Roman" w:cs="Times New Roman"/>
          <w:sz w:val="24"/>
          <w:szCs w:val="24"/>
        </w:rPr>
        <w:t xml:space="preserve"> et al., 2007). The panel initially consisted of 25 experts in Round 1, with 23 experts participating in Round 2, indicating strong response rates.</w:t>
      </w:r>
    </w:p>
    <w:p w14:paraId="035FEB8C" w14:textId="77777777" w:rsidR="00672F06" w:rsidRPr="009C4E69"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Consensus among experts was assessed using Interquartile Range (IQR) and Quartile Deviation (QD). Indicators with QD ≤ 1 and IQR ≤ 2 were considered to have achieved high consensus, while items with lower consensus were excluded (Trexler et al., 2006; Duncan et al., 2014). After three rounds of consultation, 24 indicators across five constraint dimensions were retained. These dimensions included ICT-related constraints, curriculum-related constraints, institutional and resource constraints, socio-economic constraints, and personal constraints. Reliability of the identified indicators was confirmed using Cronbach’s alpha (α = 0.786), indicating acceptable internal consistency.</w:t>
      </w:r>
    </w:p>
    <w:p w14:paraId="11DC0027" w14:textId="77777777" w:rsidR="00672F06" w:rsidRPr="009C4E69"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Primary data were collected from postgraduate students of the selected institutions using a structured questionnaire administered through Google Forms, email distribution, and personal interactions. To prioritize the severity of identified constraints, the Garrett ranking technique was applied. Respondents were asked to rank the identified constraints, and the ranks were converted into scores using the Garrett conversion method (Garrett &amp; Woodworth, 1969). The percent position for each ranked item was calculated as:</w:t>
      </w:r>
    </w:p>
    <w:p w14:paraId="3FFE84AD" w14:textId="1AC400AC" w:rsidR="00672F06" w:rsidRPr="00672F06" w:rsidRDefault="00672F06" w:rsidP="00672F06">
      <w:pPr>
        <w:jc w:val="both"/>
        <w:rPr>
          <w:rFonts w:ascii="Times New Roman" w:hAnsi="Times New Roman" w:cs="Times New Roman"/>
          <w:sz w:val="24"/>
          <w:szCs w:val="24"/>
        </w:rPr>
      </w:pPr>
      <m:oMathPara>
        <m:oMath>
          <m:r>
            <m:rPr>
              <m:nor/>
            </m:rPr>
            <w:rPr>
              <w:rFonts w:ascii="Times New Roman" w:hAnsi="Times New Roman" w:cs="Times New Roman"/>
              <w:sz w:val="24"/>
              <w:szCs w:val="24"/>
            </w:rPr>
            <m:t>Percent Position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100(</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Cambria Math" w:cs="Times New Roman"/>
                  <w:sz w:val="24"/>
                  <w:szCs w:val="24"/>
                </w:rPr>
                <m:t>-0.5)</m:t>
              </m:r>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den>
          </m:f>
          <m:r>
            <m:rPr>
              <m:sty m:val="p"/>
            </m:rPr>
            <w:rPr>
              <w:rFonts w:ascii="Times New Roman" w:hAnsi="Times New Roman" w:cs="Times New Roman"/>
              <w:sz w:val="24"/>
              <w:szCs w:val="24"/>
            </w:rPr>
            <w:br/>
          </m:r>
        </m:oMath>
      </m:oMathPara>
    </w:p>
    <w:p w14:paraId="2234B6A5" w14:textId="3FB60DE6" w:rsidR="00672F06" w:rsidRPr="00672F06" w:rsidRDefault="00672F06" w:rsidP="00672F06">
      <w:pPr>
        <w:jc w:val="both"/>
        <w:rPr>
          <w:rFonts w:ascii="Times New Roman" w:hAnsi="Times New Roman" w:cs="Times New Roman"/>
          <w:sz w:val="24"/>
          <w:szCs w:val="24"/>
        </w:rPr>
      </w:pPr>
      <w:r w:rsidRPr="00672F06">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Pr="00672F06">
        <w:rPr>
          <w:rFonts w:ascii="Times New Roman" w:hAnsi="Times New Roman" w:cs="Times New Roman"/>
          <w:sz w:val="24"/>
          <w:szCs w:val="24"/>
        </w:rPr>
        <w:t xml:space="preserve">represents the rank assigned to the </w:t>
      </w:r>
      <w:proofErr w:type="spellStart"/>
      <w:r w:rsidRPr="00672F06">
        <w:rPr>
          <w:rFonts w:ascii="Times New Roman" w:hAnsi="Times New Roman" w:cs="Times New Roman"/>
          <w:i/>
          <w:iCs/>
          <w:sz w:val="24"/>
          <w:szCs w:val="24"/>
        </w:rPr>
        <w:t>i</w:t>
      </w:r>
      <w:r w:rsidRPr="00672F06">
        <w:rPr>
          <w:rFonts w:ascii="Times New Roman" w:hAnsi="Times New Roman" w:cs="Times New Roman"/>
          <w:sz w:val="24"/>
          <w:szCs w:val="24"/>
        </w:rPr>
        <w:t>th</w:t>
      </w:r>
      <w:proofErr w:type="spellEnd"/>
      <w:r w:rsidRPr="00672F06">
        <w:rPr>
          <w:rFonts w:ascii="Times New Roman" w:hAnsi="Times New Roman" w:cs="Times New Roman"/>
          <w:sz w:val="24"/>
          <w:szCs w:val="24"/>
        </w:rPr>
        <w:t xml:space="preserve"> constraint by the </w:t>
      </w:r>
      <w:proofErr w:type="spellStart"/>
      <w:r w:rsidRPr="00672F06">
        <w:rPr>
          <w:rFonts w:ascii="Times New Roman" w:hAnsi="Times New Roman" w:cs="Times New Roman"/>
          <w:i/>
          <w:iCs/>
          <w:sz w:val="24"/>
          <w:szCs w:val="24"/>
        </w:rPr>
        <w:t>j</w:t>
      </w:r>
      <w:r w:rsidRPr="00672F06">
        <w:rPr>
          <w:rFonts w:ascii="Times New Roman" w:hAnsi="Times New Roman" w:cs="Times New Roman"/>
          <w:sz w:val="24"/>
          <w:szCs w:val="24"/>
        </w:rPr>
        <w:t>th</w:t>
      </w:r>
      <w:proofErr w:type="spellEnd"/>
      <w:r w:rsidRPr="00672F06">
        <w:rPr>
          <w:rFonts w:ascii="Times New Roman" w:hAnsi="Times New Roman" w:cs="Times New Roman"/>
          <w:sz w:val="24"/>
          <w:szCs w:val="24"/>
        </w:rPr>
        <w:t xml:space="preserve"> respondent and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oMath>
      <w:r w:rsidRPr="00672F06">
        <w:rPr>
          <w:rFonts w:ascii="Times New Roman" w:hAnsi="Times New Roman" w:cs="Times New Roman"/>
          <w:sz w:val="24"/>
          <w:szCs w:val="24"/>
        </w:rPr>
        <w:t>denotes the total number of constraints ranked by the respondent. The obtained percent positions were converted into Garrett scores using standard tables, and the average scores were calculated to determine the final ranking of constraints. Higher Garrett scores indicated greater severity of the perceived constraint.</w:t>
      </w:r>
    </w:p>
    <w:p w14:paraId="00E0B8C5" w14:textId="06066DC7" w:rsidR="00672F06" w:rsidRDefault="00672F06" w:rsidP="00B03D88">
      <w:pPr>
        <w:jc w:val="both"/>
        <w:rPr>
          <w:rFonts w:ascii="Times New Roman" w:hAnsi="Times New Roman" w:cs="Times New Roman"/>
          <w:sz w:val="24"/>
          <w:szCs w:val="24"/>
        </w:rPr>
      </w:pPr>
      <w:r w:rsidRPr="00672F06">
        <w:rPr>
          <w:rFonts w:ascii="Times New Roman" w:hAnsi="Times New Roman" w:cs="Times New Roman"/>
          <w:sz w:val="24"/>
          <w:szCs w:val="24"/>
        </w:rPr>
        <w:t>This approach enabled a systematic identification and prioritization of the multidimensional barriers affecting communication skill development among postgraduate students in higher agricultural education.</w:t>
      </w:r>
    </w:p>
    <w:p w14:paraId="17C22784" w14:textId="77777777" w:rsidR="00F51126" w:rsidRPr="00F51126" w:rsidRDefault="00F51126" w:rsidP="00B03D88">
      <w:pPr>
        <w:jc w:val="both"/>
        <w:rPr>
          <w:rFonts w:ascii="Times New Roman" w:hAnsi="Times New Roman" w:cs="Times New Roman"/>
          <w:sz w:val="24"/>
          <w:szCs w:val="24"/>
        </w:rPr>
      </w:pPr>
    </w:p>
    <w:p w14:paraId="0812506E" w14:textId="0DC85B8F" w:rsidR="004241E2" w:rsidRPr="00B03D88" w:rsidRDefault="00E50CC3" w:rsidP="00B03D88">
      <w:pPr>
        <w:jc w:val="both"/>
        <w:rPr>
          <w:rFonts w:ascii="Times New Roman" w:hAnsi="Times New Roman" w:cs="Times New Roman"/>
          <w:b/>
          <w:bCs/>
          <w:sz w:val="24"/>
          <w:szCs w:val="24"/>
        </w:rPr>
      </w:pPr>
      <w:r w:rsidRPr="00E50CC3">
        <w:rPr>
          <w:rFonts w:ascii="Times New Roman" w:hAnsi="Times New Roman" w:cs="Times New Roman"/>
          <w:b/>
          <w:bCs/>
          <w:sz w:val="24"/>
          <w:szCs w:val="24"/>
        </w:rPr>
        <w:t>Major findings</w:t>
      </w:r>
    </w:p>
    <w:p w14:paraId="6E1C049B" w14:textId="46AB5C02" w:rsidR="00B03D88" w:rsidRPr="00424E49" w:rsidRDefault="00502CF0" w:rsidP="00B03D88">
      <w:pPr>
        <w:jc w:val="both"/>
        <w:rPr>
          <w:rFonts w:ascii="Times New Roman" w:hAnsi="Times New Roman" w:cs="Times New Roman"/>
          <w:sz w:val="24"/>
          <w:szCs w:val="24"/>
        </w:rPr>
      </w:pPr>
      <w:r>
        <w:rPr>
          <w:rFonts w:ascii="Times New Roman" w:hAnsi="Times New Roman" w:cs="Times New Roman"/>
          <w:sz w:val="24"/>
          <w:szCs w:val="24"/>
        </w:rPr>
        <w:t>T</w:t>
      </w:r>
      <w:r w:rsidR="00B03D88" w:rsidRPr="00B03D88">
        <w:rPr>
          <w:rFonts w:ascii="Times New Roman" w:hAnsi="Times New Roman" w:cs="Times New Roman"/>
          <w:sz w:val="24"/>
          <w:szCs w:val="24"/>
        </w:rPr>
        <w:t>he</w:t>
      </w:r>
      <w:r w:rsidR="00B03D88" w:rsidRPr="00424E49">
        <w:rPr>
          <w:rFonts w:ascii="Times New Roman" w:hAnsi="Times New Roman" w:cs="Times New Roman"/>
          <w:sz w:val="24"/>
          <w:szCs w:val="24"/>
        </w:rPr>
        <w:t xml:space="preserve"> Delphi technique was employed to </w:t>
      </w:r>
      <w:r w:rsidR="003757D5" w:rsidRPr="00424E49">
        <w:rPr>
          <w:rFonts w:ascii="Times New Roman" w:hAnsi="Times New Roman" w:cs="Times New Roman"/>
          <w:sz w:val="24"/>
          <w:szCs w:val="24"/>
        </w:rPr>
        <w:t xml:space="preserve">generate the dimensions </w:t>
      </w:r>
      <w:r w:rsidR="00B03D88" w:rsidRPr="00424E49">
        <w:rPr>
          <w:rFonts w:ascii="Times New Roman" w:hAnsi="Times New Roman" w:cs="Times New Roman"/>
          <w:sz w:val="24"/>
          <w:szCs w:val="24"/>
        </w:rPr>
        <w:t xml:space="preserve">and finalize indicators of </w:t>
      </w:r>
      <w:r w:rsidR="00317D74" w:rsidRPr="00424E49">
        <w:rPr>
          <w:rFonts w:ascii="Times New Roman" w:hAnsi="Times New Roman" w:cs="Times New Roman"/>
          <w:sz w:val="24"/>
          <w:szCs w:val="24"/>
        </w:rPr>
        <w:t>constraints</w:t>
      </w:r>
      <w:r w:rsidR="0052542B" w:rsidRPr="00424E49">
        <w:rPr>
          <w:rFonts w:ascii="Times New Roman" w:hAnsi="Times New Roman" w:cs="Times New Roman"/>
          <w:sz w:val="24"/>
          <w:szCs w:val="24"/>
        </w:rPr>
        <w:t>.</w:t>
      </w:r>
      <w:r w:rsidR="0076716F" w:rsidRPr="00424E49">
        <w:rPr>
          <w:rFonts w:ascii="Times New Roman" w:hAnsi="Times New Roman" w:cs="Times New Roman"/>
          <w:sz w:val="24"/>
          <w:szCs w:val="24"/>
        </w:rPr>
        <w:t xml:space="preserve"> </w:t>
      </w:r>
      <w:r w:rsidR="00B03D88" w:rsidRPr="00424E49">
        <w:rPr>
          <w:rFonts w:ascii="Times New Roman" w:hAnsi="Times New Roman" w:cs="Times New Roman"/>
          <w:sz w:val="24"/>
          <w:szCs w:val="24"/>
        </w:rPr>
        <w:t>The Delphi method, defined as a structured and iterative process of expert consultation (</w:t>
      </w:r>
      <w:proofErr w:type="spellStart"/>
      <w:r w:rsidR="00B03D88" w:rsidRPr="00424E49">
        <w:rPr>
          <w:rFonts w:ascii="Times New Roman" w:hAnsi="Times New Roman" w:cs="Times New Roman"/>
          <w:sz w:val="24"/>
          <w:szCs w:val="24"/>
        </w:rPr>
        <w:t>Linstone</w:t>
      </w:r>
      <w:proofErr w:type="spellEnd"/>
      <w:r w:rsidR="00B03D88" w:rsidRPr="00424E49">
        <w:rPr>
          <w:rFonts w:ascii="Times New Roman" w:hAnsi="Times New Roman" w:cs="Times New Roman"/>
          <w:sz w:val="24"/>
          <w:szCs w:val="24"/>
        </w:rPr>
        <w:t xml:space="preserve"> &amp; </w:t>
      </w:r>
      <w:proofErr w:type="spellStart"/>
      <w:r w:rsidR="00B03D88" w:rsidRPr="00424E49">
        <w:rPr>
          <w:rFonts w:ascii="Times New Roman" w:hAnsi="Times New Roman" w:cs="Times New Roman"/>
          <w:sz w:val="24"/>
          <w:szCs w:val="24"/>
        </w:rPr>
        <w:t>Turoff</w:t>
      </w:r>
      <w:proofErr w:type="spellEnd"/>
      <w:r w:rsidR="00B03D88" w:rsidRPr="00424E49">
        <w:rPr>
          <w:rFonts w:ascii="Times New Roman" w:hAnsi="Times New Roman" w:cs="Times New Roman"/>
          <w:sz w:val="24"/>
          <w:szCs w:val="24"/>
        </w:rPr>
        <w:t>, 1975), was chosen for its ability to build consensus while minimizing group conflict (Lang, 199</w:t>
      </w:r>
      <w:r w:rsidR="006506AB">
        <w:rPr>
          <w:rFonts w:ascii="Times New Roman" w:hAnsi="Times New Roman" w:cs="Times New Roman"/>
          <w:sz w:val="24"/>
          <w:szCs w:val="24"/>
        </w:rPr>
        <w:t>5</w:t>
      </w:r>
      <w:r w:rsidR="00B03D88" w:rsidRPr="00424E49">
        <w:rPr>
          <w:rFonts w:ascii="Times New Roman" w:hAnsi="Times New Roman" w:cs="Times New Roman"/>
          <w:sz w:val="24"/>
          <w:szCs w:val="24"/>
        </w:rPr>
        <w:t>). The procedure followed established steps: selection of a knowledgeable panel, iterative rounds of questionnaires, controlled feedback, and maintenance of anonymity to ensure unbiased responses (</w:t>
      </w:r>
      <w:proofErr w:type="spellStart"/>
      <w:r w:rsidR="00B03D88" w:rsidRPr="00424E49">
        <w:rPr>
          <w:rFonts w:ascii="Times New Roman" w:hAnsi="Times New Roman" w:cs="Times New Roman"/>
          <w:sz w:val="24"/>
          <w:szCs w:val="24"/>
        </w:rPr>
        <w:t>Delbecq</w:t>
      </w:r>
      <w:proofErr w:type="spellEnd"/>
      <w:r w:rsidR="00B03D88" w:rsidRPr="00424E49">
        <w:rPr>
          <w:rFonts w:ascii="Times New Roman" w:hAnsi="Times New Roman" w:cs="Times New Roman"/>
          <w:sz w:val="24"/>
          <w:szCs w:val="24"/>
        </w:rPr>
        <w:t xml:space="preserve"> et al., 1975; Rothwell &amp; </w:t>
      </w:r>
      <w:proofErr w:type="spellStart"/>
      <w:r w:rsidR="00B03D88" w:rsidRPr="00424E49">
        <w:rPr>
          <w:rFonts w:ascii="Times New Roman" w:hAnsi="Times New Roman" w:cs="Times New Roman"/>
          <w:sz w:val="24"/>
          <w:szCs w:val="24"/>
        </w:rPr>
        <w:t>Kazanus</w:t>
      </w:r>
      <w:proofErr w:type="spellEnd"/>
      <w:r w:rsidR="00B03D88" w:rsidRPr="00424E49">
        <w:rPr>
          <w:rFonts w:ascii="Times New Roman" w:hAnsi="Times New Roman" w:cs="Times New Roman"/>
          <w:sz w:val="24"/>
          <w:szCs w:val="24"/>
        </w:rPr>
        <w:t xml:space="preserve">, 1997). Three rounds were conducted, consistent with recommendations that two to three iterations are typically sufficient for consensus development (Ludwig, 1997; Custer et al., 1999). Panel size was kept within accepted norms (15–30 participants), with 25 experts responding in Round 1 and 23 in Round 2, reflecting strong participation (Moore, 1987; </w:t>
      </w:r>
      <w:proofErr w:type="spellStart"/>
      <w:r w:rsidR="00B03D88" w:rsidRPr="00424E49">
        <w:rPr>
          <w:rFonts w:ascii="Times New Roman" w:hAnsi="Times New Roman" w:cs="Times New Roman"/>
          <w:sz w:val="24"/>
          <w:szCs w:val="24"/>
        </w:rPr>
        <w:t>Skulmoski</w:t>
      </w:r>
      <w:proofErr w:type="spellEnd"/>
      <w:r w:rsidR="00B03D88" w:rsidRPr="00424E49">
        <w:rPr>
          <w:rFonts w:ascii="Times New Roman" w:hAnsi="Times New Roman" w:cs="Times New Roman"/>
          <w:sz w:val="24"/>
          <w:szCs w:val="24"/>
        </w:rPr>
        <w:t xml:space="preserve"> et al., 2007).</w:t>
      </w:r>
      <w:r w:rsidR="0076716F" w:rsidRPr="00424E49">
        <w:rPr>
          <w:rFonts w:ascii="Times New Roman" w:hAnsi="Times New Roman" w:cs="Times New Roman"/>
          <w:sz w:val="24"/>
          <w:szCs w:val="24"/>
        </w:rPr>
        <w:t xml:space="preserve"> </w:t>
      </w:r>
      <w:r w:rsidR="00B03D88" w:rsidRPr="00424E49">
        <w:rPr>
          <w:rFonts w:ascii="Times New Roman" w:hAnsi="Times New Roman" w:cs="Times New Roman"/>
          <w:sz w:val="24"/>
          <w:szCs w:val="24"/>
        </w:rPr>
        <w:t>Consensus was assessed using interquartile range (IQR), and quartile deviation</w:t>
      </w:r>
      <w:r w:rsidR="00F3093D" w:rsidRPr="00424E49">
        <w:rPr>
          <w:rFonts w:ascii="Times New Roman" w:hAnsi="Times New Roman" w:cs="Times New Roman"/>
          <w:sz w:val="24"/>
          <w:szCs w:val="24"/>
        </w:rPr>
        <w:t>(QD)</w:t>
      </w:r>
      <w:r w:rsidR="00B03D88" w:rsidRPr="00424E49">
        <w:rPr>
          <w:rFonts w:ascii="Times New Roman" w:hAnsi="Times New Roman" w:cs="Times New Roman"/>
          <w:sz w:val="24"/>
          <w:szCs w:val="24"/>
        </w:rPr>
        <w:t>, in line with best practices (Trexler et al., 2006; De Vet et al., 200</w:t>
      </w:r>
      <w:r w:rsidR="006772C0">
        <w:rPr>
          <w:rFonts w:ascii="Times New Roman" w:hAnsi="Times New Roman" w:cs="Times New Roman"/>
          <w:sz w:val="24"/>
          <w:szCs w:val="24"/>
        </w:rPr>
        <w:t>7</w:t>
      </w:r>
      <w:r w:rsidR="00B03D88" w:rsidRPr="00424E49">
        <w:rPr>
          <w:rFonts w:ascii="Times New Roman" w:hAnsi="Times New Roman" w:cs="Times New Roman"/>
          <w:sz w:val="24"/>
          <w:szCs w:val="24"/>
        </w:rPr>
        <w:t xml:space="preserve">). High consensus was defined as a </w:t>
      </w:r>
      <w:r w:rsidR="00F3093D" w:rsidRPr="00424E49">
        <w:rPr>
          <w:rFonts w:ascii="Times New Roman" w:hAnsi="Times New Roman" w:cs="Times New Roman"/>
          <w:sz w:val="24"/>
          <w:szCs w:val="24"/>
        </w:rPr>
        <w:t>QD</w:t>
      </w:r>
      <w:r w:rsidR="00B03D88" w:rsidRPr="00424E49">
        <w:rPr>
          <w:rFonts w:ascii="Times New Roman" w:hAnsi="Times New Roman" w:cs="Times New Roman"/>
          <w:sz w:val="24"/>
          <w:szCs w:val="24"/>
        </w:rPr>
        <w:t>≤</w:t>
      </w:r>
      <w:r w:rsidR="0069329C" w:rsidRPr="00424E49">
        <w:rPr>
          <w:rFonts w:ascii="Times New Roman" w:hAnsi="Times New Roman" w:cs="Times New Roman"/>
          <w:sz w:val="24"/>
          <w:szCs w:val="24"/>
        </w:rPr>
        <w:t>1</w:t>
      </w:r>
      <w:r w:rsidR="00B03D88" w:rsidRPr="00424E49">
        <w:rPr>
          <w:rFonts w:ascii="Times New Roman" w:hAnsi="Times New Roman" w:cs="Times New Roman"/>
          <w:sz w:val="24"/>
          <w:szCs w:val="24"/>
        </w:rPr>
        <w:t xml:space="preserve"> and IQR ≤</w:t>
      </w:r>
      <w:r w:rsidR="0069329C" w:rsidRPr="00424E49">
        <w:rPr>
          <w:rFonts w:ascii="Times New Roman" w:hAnsi="Times New Roman" w:cs="Times New Roman"/>
          <w:sz w:val="24"/>
          <w:szCs w:val="24"/>
        </w:rPr>
        <w:t>2</w:t>
      </w:r>
      <w:r w:rsidR="00B03D88" w:rsidRPr="00424E49">
        <w:rPr>
          <w:rFonts w:ascii="Times New Roman" w:hAnsi="Times New Roman" w:cs="Times New Roman"/>
          <w:sz w:val="24"/>
          <w:szCs w:val="24"/>
        </w:rPr>
        <w:t xml:space="preserve">, while items with medium or no consensus were excluded (Duncan et al., 2014). Reliability was confirmed with a Cronbach’s alpha of 0.786, and face validity was established through expert review. Data were collected via Google Forms, email, and personal distribution, reflecting modern adaptations of Delphi beyond traditional pen-and-paper methods (Cramer, </w:t>
      </w:r>
      <w:r w:rsidR="00967C33">
        <w:rPr>
          <w:rFonts w:ascii="Times New Roman" w:hAnsi="Times New Roman" w:cs="Times New Roman"/>
          <w:sz w:val="24"/>
          <w:szCs w:val="24"/>
        </w:rPr>
        <w:t>2003</w:t>
      </w:r>
      <w:r w:rsidR="00B03D88" w:rsidRPr="00424E49">
        <w:rPr>
          <w:rFonts w:ascii="Times New Roman" w:hAnsi="Times New Roman" w:cs="Times New Roman"/>
          <w:sz w:val="24"/>
          <w:szCs w:val="24"/>
        </w:rPr>
        <w:t>). The process concluded successfully in Round 3, where consensus was reached across all items, avoiding undue influence from the “bandwagon effect” (Dalkey &amp; Rourke, 1972; Jacobs, 1996).</w:t>
      </w:r>
      <w:r w:rsidR="0076716F" w:rsidRPr="00424E49">
        <w:rPr>
          <w:rFonts w:ascii="Times New Roman" w:hAnsi="Times New Roman" w:cs="Times New Roman"/>
          <w:sz w:val="24"/>
          <w:szCs w:val="24"/>
        </w:rPr>
        <w:t xml:space="preserve"> </w:t>
      </w:r>
      <w:r w:rsidR="00B03D88" w:rsidRPr="00424E49">
        <w:rPr>
          <w:rFonts w:ascii="Times New Roman" w:hAnsi="Times New Roman" w:cs="Times New Roman"/>
          <w:sz w:val="24"/>
          <w:szCs w:val="24"/>
        </w:rPr>
        <w:t xml:space="preserve">Overall, the Delphi process ensured systematic, valid, and reliable identification of </w:t>
      </w:r>
      <w:r w:rsidR="00F7789D" w:rsidRPr="00424E49">
        <w:rPr>
          <w:rFonts w:ascii="Times New Roman" w:hAnsi="Times New Roman" w:cs="Times New Roman"/>
          <w:sz w:val="24"/>
          <w:szCs w:val="24"/>
        </w:rPr>
        <w:t>dimensions and indicators of constraints</w:t>
      </w:r>
      <w:r w:rsidR="00F7789D" w:rsidRPr="00424E49">
        <w:rPr>
          <w:rFonts w:ascii="Times New Roman" w:hAnsi="Times New Roman" w:cs="Times New Roman"/>
          <w:sz w:val="28"/>
          <w:szCs w:val="28"/>
        </w:rPr>
        <w:t xml:space="preserve"> </w:t>
      </w:r>
      <w:r w:rsidR="00216FDC" w:rsidRPr="00424E49">
        <w:rPr>
          <w:rFonts w:ascii="Times New Roman" w:hAnsi="Times New Roman" w:cs="Times New Roman"/>
          <w:sz w:val="24"/>
          <w:szCs w:val="24"/>
        </w:rPr>
        <w:t xml:space="preserve">in developing effective communication skills </w:t>
      </w:r>
      <w:r w:rsidR="00B03D88" w:rsidRPr="00424E49">
        <w:rPr>
          <w:rFonts w:ascii="Times New Roman" w:hAnsi="Times New Roman" w:cs="Times New Roman"/>
          <w:sz w:val="24"/>
          <w:szCs w:val="24"/>
        </w:rPr>
        <w:t>in agricultural education, echoing its established use in competency and curriculum development (Martin &amp; Frick, 1998).</w:t>
      </w:r>
    </w:p>
    <w:p w14:paraId="6DC55A7A" w14:textId="245C145B" w:rsidR="0076716F" w:rsidRPr="00424E49" w:rsidRDefault="0076716F" w:rsidP="00B03D88">
      <w:pPr>
        <w:jc w:val="both"/>
        <w:rPr>
          <w:rFonts w:ascii="Times New Roman" w:hAnsi="Times New Roman" w:cs="Times New Roman"/>
          <w:sz w:val="24"/>
          <w:szCs w:val="24"/>
        </w:rPr>
      </w:pPr>
      <w:r w:rsidRPr="00424E49">
        <w:rPr>
          <w:rFonts w:ascii="Times New Roman" w:hAnsi="Times New Roman" w:cs="Times New Roman"/>
          <w:sz w:val="24"/>
          <w:szCs w:val="24"/>
        </w:rPr>
        <w:t>After third round of responses with 76.6 % (23 out of 30) response rate 24 indicators were retained out of 30 indicators which were listed after third round among 5 dimensions high consensus. Five dimensions include. Constraints due to ICT, Constraints due to Curriculum, Institution and Resource constraints, Constraints due Socio personal background and Personal constraints.</w:t>
      </w:r>
    </w:p>
    <w:p w14:paraId="7E523B3E" w14:textId="3A6CF3EE" w:rsidR="00D60B0A" w:rsidRPr="00D20C1B" w:rsidRDefault="007E1011" w:rsidP="00D60B0A">
      <w:pPr>
        <w:spacing w:after="0"/>
        <w:rPr>
          <w:rFonts w:ascii="Times New Roman" w:hAnsi="Times New Roman" w:cs="Times New Roman"/>
          <w:b/>
          <w:bCs/>
          <w:sz w:val="24"/>
          <w:szCs w:val="24"/>
        </w:rPr>
      </w:pPr>
      <w:r>
        <w:rPr>
          <w:rFonts w:ascii="Times New Roman" w:hAnsi="Times New Roman" w:cs="Times New Roman"/>
          <w:b/>
          <w:bCs/>
          <w:sz w:val="24"/>
          <w:szCs w:val="24"/>
          <w:lang w:bidi="hi-IN"/>
        </w:rPr>
        <w:t xml:space="preserve">Table 1. </w:t>
      </w:r>
      <w:r w:rsidR="00D60B0A" w:rsidRPr="00D20C1B">
        <w:rPr>
          <w:rFonts w:ascii="Times New Roman" w:hAnsi="Times New Roman" w:cs="Times New Roman"/>
          <w:b/>
          <w:bCs/>
          <w:sz w:val="24"/>
          <w:szCs w:val="24"/>
          <w:lang w:bidi="hi-IN"/>
        </w:rPr>
        <w:t xml:space="preserve">Ranking of constraints encountered by students </w:t>
      </w:r>
      <w:r w:rsidR="00D60B0A" w:rsidRPr="00D20C1B">
        <w:rPr>
          <w:rFonts w:ascii="Times New Roman" w:hAnsi="Times New Roman" w:cs="Times New Roman"/>
          <w:b/>
          <w:bCs/>
          <w:sz w:val="24"/>
          <w:szCs w:val="24"/>
        </w:rPr>
        <w:t>due to Information Communication Technology</w:t>
      </w:r>
    </w:p>
    <w:p w14:paraId="032E514C" w14:textId="77777777" w:rsidR="00F819DE" w:rsidRPr="00D20C1B" w:rsidRDefault="00F819DE" w:rsidP="00D60B0A">
      <w:pPr>
        <w:spacing w:after="0"/>
        <w:rPr>
          <w:rFonts w:ascii="Times New Roman" w:hAnsi="Times New Roman" w:cs="Times New Roman"/>
          <w:sz w:val="24"/>
          <w:szCs w:val="24"/>
        </w:rPr>
      </w:pPr>
    </w:p>
    <w:tbl>
      <w:tblPr>
        <w:tblStyle w:val="TableGrid1"/>
        <w:tblW w:w="0" w:type="auto"/>
        <w:tblLook w:val="0420" w:firstRow="1" w:lastRow="0" w:firstColumn="0" w:lastColumn="0" w:noHBand="0" w:noVBand="1"/>
      </w:tblPr>
      <w:tblGrid>
        <w:gridCol w:w="4944"/>
        <w:gridCol w:w="670"/>
        <w:gridCol w:w="576"/>
        <w:gridCol w:w="1503"/>
        <w:gridCol w:w="1323"/>
      </w:tblGrid>
      <w:tr w:rsidR="00C73EB5" w:rsidRPr="00D20C1B" w14:paraId="7F7071ED" w14:textId="77777777" w:rsidTr="00C73EB5">
        <w:trPr>
          <w:trHeight w:val="188"/>
        </w:trPr>
        <w:tc>
          <w:tcPr>
            <w:tcW w:w="0" w:type="auto"/>
            <w:vAlign w:val="center"/>
          </w:tcPr>
          <w:p w14:paraId="7CBD6389" w14:textId="20195DD5" w:rsidR="00C73EB5" w:rsidRPr="00D20C1B" w:rsidRDefault="00C73EB5" w:rsidP="00730202">
            <w:pPr>
              <w:jc w:val="center"/>
              <w:rPr>
                <w:rFonts w:ascii="Times New Roman" w:hAnsi="Times New Roman" w:cs="Times New Roman"/>
                <w:b/>
                <w:bCs/>
                <w:sz w:val="24"/>
                <w:szCs w:val="24"/>
              </w:rPr>
            </w:pPr>
            <w:r>
              <w:rPr>
                <w:rFonts w:ascii="Times New Roman" w:hAnsi="Times New Roman" w:cs="Times New Roman"/>
                <w:b/>
                <w:bCs/>
                <w:sz w:val="24"/>
                <w:szCs w:val="24"/>
              </w:rPr>
              <w:t>INDICATORS</w:t>
            </w:r>
          </w:p>
        </w:tc>
        <w:tc>
          <w:tcPr>
            <w:tcW w:w="0" w:type="auto"/>
            <w:vAlign w:val="center"/>
          </w:tcPr>
          <w:p w14:paraId="08A07DDA" w14:textId="117F1522" w:rsidR="00C73EB5" w:rsidRPr="00D20C1B" w:rsidRDefault="00C73EB5" w:rsidP="00730202">
            <w:pPr>
              <w:jc w:val="center"/>
              <w:rPr>
                <w:rFonts w:ascii="Times New Roman" w:hAnsi="Times New Roman" w:cs="Times New Roman"/>
                <w:b/>
                <w:bCs/>
                <w:sz w:val="24"/>
                <w:szCs w:val="24"/>
              </w:rPr>
            </w:pPr>
            <w:r w:rsidRPr="00D20C1B">
              <w:rPr>
                <w:rFonts w:ascii="Times New Roman" w:hAnsi="Times New Roman" w:cs="Times New Roman"/>
                <w:b/>
                <w:bCs/>
                <w:sz w:val="24"/>
                <w:szCs w:val="24"/>
              </w:rPr>
              <w:t>IQR</w:t>
            </w:r>
          </w:p>
        </w:tc>
        <w:tc>
          <w:tcPr>
            <w:tcW w:w="0" w:type="auto"/>
            <w:vAlign w:val="center"/>
          </w:tcPr>
          <w:p w14:paraId="1008CA12" w14:textId="535A6D80" w:rsidR="00C73EB5" w:rsidRPr="00D20C1B" w:rsidRDefault="00C73EB5" w:rsidP="00730202">
            <w:pPr>
              <w:jc w:val="center"/>
              <w:rPr>
                <w:rFonts w:ascii="Times New Roman" w:hAnsi="Times New Roman" w:cs="Times New Roman"/>
                <w:b/>
                <w:bCs/>
                <w:sz w:val="24"/>
                <w:szCs w:val="24"/>
              </w:rPr>
            </w:pPr>
            <w:r w:rsidRPr="00D20C1B">
              <w:rPr>
                <w:rFonts w:ascii="Times New Roman" w:hAnsi="Times New Roman" w:cs="Times New Roman"/>
                <w:b/>
                <w:bCs/>
                <w:sz w:val="24"/>
                <w:szCs w:val="24"/>
              </w:rPr>
              <w:t>QD</w:t>
            </w:r>
          </w:p>
        </w:tc>
        <w:tc>
          <w:tcPr>
            <w:tcW w:w="0" w:type="auto"/>
            <w:vAlign w:val="center"/>
          </w:tcPr>
          <w:p w14:paraId="3C3CDF05" w14:textId="4F27B186" w:rsidR="00C73EB5" w:rsidRPr="00D20C1B" w:rsidRDefault="00C73EB5" w:rsidP="00730202">
            <w:pPr>
              <w:jc w:val="center"/>
              <w:rPr>
                <w:rFonts w:ascii="Times New Roman" w:hAnsi="Times New Roman" w:cs="Times New Roman"/>
                <w:b/>
                <w:bCs/>
                <w:sz w:val="24"/>
                <w:szCs w:val="24"/>
              </w:rPr>
            </w:pPr>
            <w:r w:rsidRPr="00D20C1B">
              <w:rPr>
                <w:rFonts w:ascii="Times New Roman" w:hAnsi="Times New Roman" w:cs="Times New Roman"/>
                <w:b/>
                <w:bCs/>
                <w:sz w:val="24"/>
                <w:szCs w:val="24"/>
              </w:rPr>
              <w:t>AV</w:t>
            </w:r>
            <w:r>
              <w:rPr>
                <w:rFonts w:ascii="Times New Roman" w:hAnsi="Times New Roman" w:cs="Times New Roman"/>
                <w:b/>
                <w:bCs/>
                <w:sz w:val="24"/>
                <w:szCs w:val="24"/>
              </w:rPr>
              <w:t>ERA</w:t>
            </w:r>
            <w:r w:rsidRPr="00D20C1B">
              <w:rPr>
                <w:rFonts w:ascii="Times New Roman" w:hAnsi="Times New Roman" w:cs="Times New Roman"/>
                <w:b/>
                <w:bCs/>
                <w:sz w:val="24"/>
                <w:szCs w:val="24"/>
              </w:rPr>
              <w:t>G</w:t>
            </w:r>
            <w:r>
              <w:rPr>
                <w:rFonts w:ascii="Times New Roman" w:hAnsi="Times New Roman" w:cs="Times New Roman"/>
                <w:b/>
                <w:bCs/>
                <w:sz w:val="24"/>
                <w:szCs w:val="24"/>
              </w:rPr>
              <w:t>E</w:t>
            </w:r>
            <w:r w:rsidRPr="00D20C1B">
              <w:rPr>
                <w:rFonts w:ascii="Times New Roman" w:hAnsi="Times New Roman" w:cs="Times New Roman"/>
                <w:b/>
                <w:bCs/>
                <w:sz w:val="24"/>
                <w:szCs w:val="24"/>
              </w:rPr>
              <w:t xml:space="preserve"> score</w:t>
            </w:r>
          </w:p>
        </w:tc>
        <w:tc>
          <w:tcPr>
            <w:tcW w:w="0" w:type="auto"/>
            <w:vAlign w:val="center"/>
          </w:tcPr>
          <w:p w14:paraId="06448B6D" w14:textId="40D23C58" w:rsidR="00C73EB5" w:rsidRPr="00D20C1B" w:rsidRDefault="00C73EB5" w:rsidP="00730202">
            <w:pPr>
              <w:jc w:val="center"/>
              <w:rPr>
                <w:rFonts w:ascii="Times New Roman" w:hAnsi="Times New Roman" w:cs="Times New Roman"/>
                <w:b/>
                <w:bCs/>
                <w:sz w:val="24"/>
                <w:szCs w:val="24"/>
              </w:rPr>
            </w:pPr>
            <w:r w:rsidRPr="00D20C1B">
              <w:rPr>
                <w:rFonts w:ascii="Times New Roman" w:hAnsi="Times New Roman" w:cs="Times New Roman"/>
                <w:b/>
                <w:bCs/>
                <w:sz w:val="24"/>
                <w:szCs w:val="24"/>
              </w:rPr>
              <w:t>GARRET rank</w:t>
            </w:r>
          </w:p>
        </w:tc>
      </w:tr>
      <w:tr w:rsidR="00730202" w:rsidRPr="00D20C1B" w14:paraId="4C1E1C24" w14:textId="77777777" w:rsidTr="00C73EB5">
        <w:trPr>
          <w:trHeight w:val="188"/>
        </w:trPr>
        <w:tc>
          <w:tcPr>
            <w:tcW w:w="0" w:type="auto"/>
            <w:gridSpan w:val="5"/>
            <w:vAlign w:val="center"/>
            <w:hideMark/>
          </w:tcPr>
          <w:p w14:paraId="3FA8DC74" w14:textId="7B9C789F" w:rsidR="00730202" w:rsidRPr="00D20C1B" w:rsidRDefault="00730202" w:rsidP="00730202">
            <w:pPr>
              <w:jc w:val="both"/>
              <w:rPr>
                <w:rFonts w:ascii="Times New Roman" w:hAnsi="Times New Roman" w:cs="Times New Roman"/>
                <w:b/>
                <w:bCs/>
                <w:sz w:val="24"/>
                <w:szCs w:val="24"/>
              </w:rPr>
            </w:pPr>
            <w:r w:rsidRPr="00D20C1B">
              <w:rPr>
                <w:rFonts w:ascii="Times New Roman" w:hAnsi="Times New Roman" w:cs="Times New Roman"/>
                <w:b/>
                <w:bCs/>
                <w:sz w:val="24"/>
                <w:szCs w:val="24"/>
              </w:rPr>
              <w:t>CONSTRAINTS DUE TO ICT</w:t>
            </w:r>
          </w:p>
        </w:tc>
      </w:tr>
      <w:tr w:rsidR="00C73EB5" w:rsidRPr="00D20C1B" w14:paraId="35FB6EDD" w14:textId="77777777" w:rsidTr="00C73EB5">
        <w:trPr>
          <w:trHeight w:val="658"/>
        </w:trPr>
        <w:tc>
          <w:tcPr>
            <w:tcW w:w="0" w:type="auto"/>
            <w:vAlign w:val="center"/>
            <w:hideMark/>
          </w:tcPr>
          <w:p w14:paraId="08D5E53A"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Extensive use of Artificial intelligence (AI) and online teaching material for academics leads to less creativity and cognitive development follows less development of communication skills.</w:t>
            </w:r>
          </w:p>
        </w:tc>
        <w:tc>
          <w:tcPr>
            <w:tcW w:w="0" w:type="auto"/>
            <w:vAlign w:val="center"/>
            <w:hideMark/>
          </w:tcPr>
          <w:p w14:paraId="10C79B78"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54A40350"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hideMark/>
          </w:tcPr>
          <w:p w14:paraId="33200129"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59.05</w:t>
            </w:r>
          </w:p>
        </w:tc>
        <w:tc>
          <w:tcPr>
            <w:tcW w:w="0" w:type="auto"/>
            <w:vAlign w:val="center"/>
            <w:hideMark/>
          </w:tcPr>
          <w:p w14:paraId="6DD9475A"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4BF00344" w14:textId="77777777" w:rsidTr="00C73EB5">
        <w:trPr>
          <w:trHeight w:val="386"/>
        </w:trPr>
        <w:tc>
          <w:tcPr>
            <w:tcW w:w="0" w:type="auto"/>
            <w:vAlign w:val="center"/>
            <w:hideMark/>
          </w:tcPr>
          <w:p w14:paraId="5EAD875E"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Excessive screen time for usage of ICT devices and social media leads less time spared for planned academics leads to less development of communication skills.</w:t>
            </w:r>
          </w:p>
        </w:tc>
        <w:tc>
          <w:tcPr>
            <w:tcW w:w="0" w:type="auto"/>
            <w:vAlign w:val="center"/>
            <w:hideMark/>
          </w:tcPr>
          <w:p w14:paraId="422F0E8B"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hideMark/>
          </w:tcPr>
          <w:p w14:paraId="224DCBD5"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1D915BFC"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53.52</w:t>
            </w:r>
          </w:p>
        </w:tc>
        <w:tc>
          <w:tcPr>
            <w:tcW w:w="0" w:type="auto"/>
            <w:vAlign w:val="center"/>
            <w:hideMark/>
          </w:tcPr>
          <w:p w14:paraId="6C828F76"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C73EB5" w:rsidRPr="00D20C1B" w14:paraId="6A0F8D5A" w14:textId="77777777" w:rsidTr="00C73EB5">
        <w:trPr>
          <w:trHeight w:val="618"/>
        </w:trPr>
        <w:tc>
          <w:tcPr>
            <w:tcW w:w="0" w:type="auto"/>
            <w:vAlign w:val="center"/>
            <w:hideMark/>
          </w:tcPr>
          <w:p w14:paraId="6D075EC5"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 xml:space="preserve">Distraction: - Difficulty in maintaining focus during communication activities due to the </w:t>
            </w:r>
            <w:r w:rsidRPr="00EF30DC">
              <w:rPr>
                <w:rFonts w:ascii="Times New Roman" w:hAnsi="Times New Roman" w:cs="Times New Roman"/>
                <w:sz w:val="24"/>
                <w:szCs w:val="24"/>
              </w:rPr>
              <w:lastRenderedPageBreak/>
              <w:t>temptation of checking their mobile phones for notifications or messages.</w:t>
            </w:r>
          </w:p>
        </w:tc>
        <w:tc>
          <w:tcPr>
            <w:tcW w:w="0" w:type="auto"/>
            <w:vAlign w:val="center"/>
            <w:hideMark/>
          </w:tcPr>
          <w:p w14:paraId="4ECB924B"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lastRenderedPageBreak/>
              <w:t>1</w:t>
            </w:r>
          </w:p>
        </w:tc>
        <w:tc>
          <w:tcPr>
            <w:tcW w:w="0" w:type="auto"/>
            <w:vAlign w:val="center"/>
            <w:hideMark/>
          </w:tcPr>
          <w:p w14:paraId="72B82248"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hideMark/>
          </w:tcPr>
          <w:p w14:paraId="1D081899"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47.26</w:t>
            </w:r>
          </w:p>
        </w:tc>
        <w:tc>
          <w:tcPr>
            <w:tcW w:w="0" w:type="auto"/>
            <w:vAlign w:val="center"/>
            <w:hideMark/>
          </w:tcPr>
          <w:p w14:paraId="5AA4638C"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46425265" w14:textId="77777777" w:rsidTr="00C73EB5">
        <w:trPr>
          <w:trHeight w:val="429"/>
        </w:trPr>
        <w:tc>
          <w:tcPr>
            <w:tcW w:w="0" w:type="auto"/>
            <w:vAlign w:val="center"/>
            <w:hideMark/>
          </w:tcPr>
          <w:p w14:paraId="564E6CAF"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Over-reliance on mobile phones for communication may contribute to social isolation, reducing opportunities for students to engage in real-world communication scenarios and develop interpersonal communication skills.</w:t>
            </w:r>
          </w:p>
        </w:tc>
        <w:tc>
          <w:tcPr>
            <w:tcW w:w="0" w:type="auto"/>
            <w:vAlign w:val="center"/>
            <w:hideMark/>
          </w:tcPr>
          <w:p w14:paraId="19AC509D"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029D651D"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hideMark/>
          </w:tcPr>
          <w:p w14:paraId="6B3CC759"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46.33</w:t>
            </w:r>
          </w:p>
        </w:tc>
        <w:tc>
          <w:tcPr>
            <w:tcW w:w="0" w:type="auto"/>
            <w:vAlign w:val="center"/>
            <w:hideMark/>
          </w:tcPr>
          <w:p w14:paraId="15B89BEC"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C73EB5" w:rsidRPr="00D20C1B" w14:paraId="7839ADF9" w14:textId="77777777" w:rsidTr="00C73EB5">
        <w:trPr>
          <w:trHeight w:val="48"/>
        </w:trPr>
        <w:tc>
          <w:tcPr>
            <w:tcW w:w="0" w:type="auto"/>
            <w:vAlign w:val="center"/>
            <w:hideMark/>
          </w:tcPr>
          <w:p w14:paraId="6795A081"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Heavy mobile phone usage has been associated with shortened attention span, making it challenging for students to engage in sustained, focused communication activities.</w:t>
            </w:r>
          </w:p>
        </w:tc>
        <w:tc>
          <w:tcPr>
            <w:tcW w:w="0" w:type="auto"/>
            <w:vAlign w:val="center"/>
            <w:hideMark/>
          </w:tcPr>
          <w:p w14:paraId="723B524C"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68D11ADA"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hideMark/>
          </w:tcPr>
          <w:p w14:paraId="3900171B"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43.83</w:t>
            </w:r>
          </w:p>
        </w:tc>
        <w:tc>
          <w:tcPr>
            <w:tcW w:w="0" w:type="auto"/>
            <w:vAlign w:val="center"/>
            <w:hideMark/>
          </w:tcPr>
          <w:p w14:paraId="53832E97"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V</w:t>
            </w:r>
          </w:p>
        </w:tc>
      </w:tr>
      <w:tr w:rsidR="00730202" w:rsidRPr="00D20C1B" w14:paraId="1D1F3186" w14:textId="77777777" w:rsidTr="00C73EB5">
        <w:trPr>
          <w:trHeight w:val="48"/>
        </w:trPr>
        <w:tc>
          <w:tcPr>
            <w:tcW w:w="0" w:type="auto"/>
            <w:gridSpan w:val="5"/>
            <w:vAlign w:val="center"/>
          </w:tcPr>
          <w:p w14:paraId="5E55D026" w14:textId="7C64B52A" w:rsidR="00730202" w:rsidRPr="00D20C1B" w:rsidRDefault="00730202" w:rsidP="00730202">
            <w:pPr>
              <w:rPr>
                <w:rFonts w:ascii="Times New Roman" w:hAnsi="Times New Roman" w:cs="Times New Roman"/>
                <w:sz w:val="24"/>
                <w:szCs w:val="24"/>
              </w:rPr>
            </w:pPr>
            <w:r w:rsidRPr="00D20C1B">
              <w:rPr>
                <w:rFonts w:ascii="Times New Roman" w:hAnsi="Times New Roman" w:cs="Times New Roman"/>
                <w:b/>
                <w:bCs/>
                <w:sz w:val="24"/>
                <w:szCs w:val="24"/>
              </w:rPr>
              <w:t xml:space="preserve">CONSTRAINTS DUE TO </w:t>
            </w:r>
            <w:r>
              <w:rPr>
                <w:rFonts w:ascii="Times New Roman" w:hAnsi="Times New Roman" w:cs="Times New Roman"/>
                <w:b/>
                <w:bCs/>
                <w:sz w:val="24"/>
                <w:szCs w:val="24"/>
              </w:rPr>
              <w:t>C</w:t>
            </w:r>
            <w:r w:rsidRPr="00D20C1B">
              <w:rPr>
                <w:rFonts w:ascii="Times New Roman" w:hAnsi="Times New Roman" w:cs="Times New Roman"/>
                <w:b/>
                <w:bCs/>
                <w:sz w:val="24"/>
                <w:szCs w:val="24"/>
              </w:rPr>
              <w:t>URRICULUM.</w:t>
            </w:r>
          </w:p>
        </w:tc>
      </w:tr>
      <w:tr w:rsidR="00C73EB5" w:rsidRPr="00D20C1B" w14:paraId="64D6B51D" w14:textId="77777777" w:rsidTr="00C73EB5">
        <w:trPr>
          <w:trHeight w:val="48"/>
        </w:trPr>
        <w:tc>
          <w:tcPr>
            <w:tcW w:w="0" w:type="auto"/>
            <w:vAlign w:val="center"/>
          </w:tcPr>
          <w:p w14:paraId="36354998" w14:textId="2FA2B3D2"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Agricultural curricula often give less priorities and focus for communication abilities over technical knowledge and skills.</w:t>
            </w:r>
          </w:p>
        </w:tc>
        <w:tc>
          <w:tcPr>
            <w:tcW w:w="0" w:type="auto"/>
            <w:vAlign w:val="center"/>
          </w:tcPr>
          <w:p w14:paraId="35551A85" w14:textId="0FD93D4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w:t>
            </w:r>
          </w:p>
        </w:tc>
        <w:tc>
          <w:tcPr>
            <w:tcW w:w="0" w:type="auto"/>
            <w:vAlign w:val="center"/>
          </w:tcPr>
          <w:p w14:paraId="1CE7330A" w14:textId="1C0FC8C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6C9DCE7D" w14:textId="3B373A64"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 xml:space="preserve">Dropped </w:t>
            </w:r>
          </w:p>
        </w:tc>
        <w:tc>
          <w:tcPr>
            <w:tcW w:w="0" w:type="auto"/>
            <w:vAlign w:val="center"/>
          </w:tcPr>
          <w:p w14:paraId="7D0772AA" w14:textId="77777777" w:rsidR="00C73EB5" w:rsidRPr="00D20C1B" w:rsidRDefault="00C73EB5" w:rsidP="00730202">
            <w:pPr>
              <w:jc w:val="center"/>
              <w:rPr>
                <w:rFonts w:ascii="Times New Roman" w:hAnsi="Times New Roman" w:cs="Times New Roman"/>
                <w:sz w:val="24"/>
                <w:szCs w:val="24"/>
              </w:rPr>
            </w:pPr>
          </w:p>
        </w:tc>
      </w:tr>
      <w:tr w:rsidR="00C73EB5" w:rsidRPr="00D20C1B" w14:paraId="378E4572" w14:textId="77777777" w:rsidTr="00C73EB5">
        <w:trPr>
          <w:trHeight w:val="48"/>
        </w:trPr>
        <w:tc>
          <w:tcPr>
            <w:tcW w:w="0" w:type="auto"/>
            <w:vAlign w:val="center"/>
          </w:tcPr>
          <w:p w14:paraId="5D6ABD62" w14:textId="680B044C"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Technical Jargon: Agricultural studies often involve complex terminology and technical jargon that can be challenging to understand and communicate effectively to a general audience.</w:t>
            </w:r>
          </w:p>
        </w:tc>
        <w:tc>
          <w:tcPr>
            <w:tcW w:w="0" w:type="auto"/>
            <w:vAlign w:val="center"/>
          </w:tcPr>
          <w:p w14:paraId="62F05102" w14:textId="09B0C84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3860B5F5" w14:textId="5E01130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713157FC" w14:textId="6A42EFD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40.83</w:t>
            </w:r>
          </w:p>
        </w:tc>
        <w:tc>
          <w:tcPr>
            <w:tcW w:w="0" w:type="auto"/>
            <w:vAlign w:val="center"/>
          </w:tcPr>
          <w:p w14:paraId="0D09528A" w14:textId="24F718B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C73EB5" w:rsidRPr="00D20C1B" w14:paraId="4BE2A1BA" w14:textId="77777777" w:rsidTr="00C73EB5">
        <w:trPr>
          <w:trHeight w:val="48"/>
        </w:trPr>
        <w:tc>
          <w:tcPr>
            <w:tcW w:w="0" w:type="auto"/>
            <w:vAlign w:val="center"/>
          </w:tcPr>
          <w:p w14:paraId="5008F3BD" w14:textId="506344F2"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Heavy Workload: PG Agricultural programs typically have demanding coursework and practical requirements, leaving little time for communication skill development.</w:t>
            </w:r>
          </w:p>
        </w:tc>
        <w:tc>
          <w:tcPr>
            <w:tcW w:w="0" w:type="auto"/>
            <w:vAlign w:val="center"/>
          </w:tcPr>
          <w:p w14:paraId="027B76E0" w14:textId="0B58D2B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58C215A" w14:textId="6999091A"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7BE85974" w14:textId="2EFF1AF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56.46</w:t>
            </w:r>
          </w:p>
        </w:tc>
        <w:tc>
          <w:tcPr>
            <w:tcW w:w="0" w:type="auto"/>
            <w:vAlign w:val="center"/>
          </w:tcPr>
          <w:p w14:paraId="1BBCAD3B" w14:textId="0BBB2F0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42D33EEC" w14:textId="77777777" w:rsidTr="00C73EB5">
        <w:trPr>
          <w:trHeight w:val="48"/>
        </w:trPr>
        <w:tc>
          <w:tcPr>
            <w:tcW w:w="0" w:type="auto"/>
            <w:vAlign w:val="center"/>
          </w:tcPr>
          <w:p w14:paraId="26851893" w14:textId="3D21BBC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Students may have limited exposure to diverse communication formats such as scientific writing, presenting research findings, and engaging in discussions, which are essential for effective communication in the field.</w:t>
            </w:r>
          </w:p>
        </w:tc>
        <w:tc>
          <w:tcPr>
            <w:tcW w:w="0" w:type="auto"/>
            <w:vAlign w:val="center"/>
          </w:tcPr>
          <w:p w14:paraId="5B0C8802" w14:textId="522D852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0ACA8EF2" w14:textId="375AFEE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17DA81B4" w14:textId="65748B83"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 xml:space="preserve">Dropped </w:t>
            </w:r>
          </w:p>
        </w:tc>
        <w:tc>
          <w:tcPr>
            <w:tcW w:w="0" w:type="auto"/>
            <w:vAlign w:val="center"/>
          </w:tcPr>
          <w:p w14:paraId="34AE9B2D" w14:textId="77777777" w:rsidR="00C73EB5" w:rsidRPr="00D20C1B" w:rsidRDefault="00C73EB5" w:rsidP="00730202">
            <w:pPr>
              <w:jc w:val="center"/>
              <w:rPr>
                <w:rFonts w:ascii="Times New Roman" w:hAnsi="Times New Roman" w:cs="Times New Roman"/>
                <w:sz w:val="24"/>
                <w:szCs w:val="24"/>
              </w:rPr>
            </w:pPr>
          </w:p>
        </w:tc>
      </w:tr>
      <w:tr w:rsidR="00C73EB5" w:rsidRPr="00D20C1B" w14:paraId="3A59A231" w14:textId="77777777" w:rsidTr="00C73EB5">
        <w:trPr>
          <w:trHeight w:val="48"/>
        </w:trPr>
        <w:tc>
          <w:tcPr>
            <w:tcW w:w="0" w:type="auto"/>
            <w:vAlign w:val="center"/>
          </w:tcPr>
          <w:p w14:paraId="421D020B" w14:textId="1BB014A2"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Limited Interaction opportunities with Non-Academic Audiences such as farmers, policymakers, and the general public, limiting their ability to adapt their communication style to different audiences.</w:t>
            </w:r>
          </w:p>
        </w:tc>
        <w:tc>
          <w:tcPr>
            <w:tcW w:w="0" w:type="auto"/>
            <w:vAlign w:val="center"/>
          </w:tcPr>
          <w:p w14:paraId="6DE43CFB" w14:textId="4D1454B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680452FB" w14:textId="2003678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08F0534F" w14:textId="3DA72E2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46.60</w:t>
            </w:r>
          </w:p>
        </w:tc>
        <w:tc>
          <w:tcPr>
            <w:tcW w:w="0" w:type="auto"/>
            <w:vAlign w:val="center"/>
          </w:tcPr>
          <w:p w14:paraId="06B8B54D" w14:textId="51A1BFD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37B17141" w14:textId="77777777" w:rsidTr="00C73EB5">
        <w:trPr>
          <w:trHeight w:val="48"/>
        </w:trPr>
        <w:tc>
          <w:tcPr>
            <w:tcW w:w="0" w:type="auto"/>
            <w:vAlign w:val="center"/>
          </w:tcPr>
          <w:p w14:paraId="25538B5B" w14:textId="2D52AF05"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Less credit load on a course which is dedicated to focus on communication skills and Minimal Feedback Mechanisms.</w:t>
            </w:r>
          </w:p>
        </w:tc>
        <w:tc>
          <w:tcPr>
            <w:tcW w:w="0" w:type="auto"/>
            <w:vAlign w:val="center"/>
          </w:tcPr>
          <w:p w14:paraId="1115F2D6" w14:textId="5811159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1211A7E1" w14:textId="2275A28A"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4A6215B0" w14:textId="15E93E7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56.10</w:t>
            </w:r>
          </w:p>
        </w:tc>
        <w:tc>
          <w:tcPr>
            <w:tcW w:w="0" w:type="auto"/>
            <w:vAlign w:val="center"/>
          </w:tcPr>
          <w:p w14:paraId="2FE6EE8F" w14:textId="300DDC6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730202" w:rsidRPr="00D20C1B" w14:paraId="72634789" w14:textId="77777777" w:rsidTr="00C73EB5">
        <w:trPr>
          <w:trHeight w:val="48"/>
        </w:trPr>
        <w:tc>
          <w:tcPr>
            <w:tcW w:w="0" w:type="auto"/>
            <w:gridSpan w:val="5"/>
            <w:vAlign w:val="center"/>
          </w:tcPr>
          <w:p w14:paraId="1673C543" w14:textId="78A2329A" w:rsidR="00730202" w:rsidRPr="00D20C1B" w:rsidRDefault="00730202" w:rsidP="00730202">
            <w:pPr>
              <w:rPr>
                <w:rFonts w:ascii="Times New Roman" w:hAnsi="Times New Roman" w:cs="Times New Roman"/>
                <w:sz w:val="24"/>
                <w:szCs w:val="24"/>
              </w:rPr>
            </w:pPr>
            <w:r w:rsidRPr="00D20C1B">
              <w:rPr>
                <w:rFonts w:ascii="Times New Roman" w:hAnsi="Times New Roman" w:cs="Times New Roman"/>
                <w:b/>
                <w:bCs/>
                <w:sz w:val="24"/>
                <w:szCs w:val="24"/>
              </w:rPr>
              <w:t>INSTITUTION AND RESOURCE CONSTRAINTS.</w:t>
            </w:r>
          </w:p>
        </w:tc>
      </w:tr>
      <w:tr w:rsidR="00C73EB5" w:rsidRPr="00D20C1B" w14:paraId="59E7E298" w14:textId="77777777" w:rsidTr="00C73EB5">
        <w:trPr>
          <w:trHeight w:val="48"/>
        </w:trPr>
        <w:tc>
          <w:tcPr>
            <w:tcW w:w="0" w:type="auto"/>
            <w:vAlign w:val="center"/>
          </w:tcPr>
          <w:p w14:paraId="4C2B61DE" w14:textId="1FB4FF15"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Inadequate infrastructure: Limited availability of books in libraries and communication labs, or multimedia facilities can restrict students’ exposure to diverse learning resources and interactive communication platforms.</w:t>
            </w:r>
          </w:p>
        </w:tc>
        <w:tc>
          <w:tcPr>
            <w:tcW w:w="0" w:type="auto"/>
            <w:vAlign w:val="center"/>
          </w:tcPr>
          <w:p w14:paraId="37565472" w14:textId="10B865D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05F2683E" w14:textId="6616458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3F95C94C" w14:textId="33EF75BB"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Dropped</w:t>
            </w:r>
          </w:p>
        </w:tc>
        <w:tc>
          <w:tcPr>
            <w:tcW w:w="0" w:type="auto"/>
            <w:vAlign w:val="center"/>
          </w:tcPr>
          <w:p w14:paraId="705839FB" w14:textId="77777777" w:rsidR="00C73EB5" w:rsidRPr="00D20C1B" w:rsidRDefault="00C73EB5" w:rsidP="00730202">
            <w:pPr>
              <w:jc w:val="center"/>
              <w:rPr>
                <w:rFonts w:ascii="Times New Roman" w:hAnsi="Times New Roman" w:cs="Times New Roman"/>
                <w:sz w:val="24"/>
                <w:szCs w:val="24"/>
              </w:rPr>
            </w:pPr>
          </w:p>
        </w:tc>
      </w:tr>
      <w:tr w:rsidR="00C73EB5" w:rsidRPr="00D20C1B" w14:paraId="43358378" w14:textId="77777777" w:rsidTr="00C73EB5">
        <w:trPr>
          <w:trHeight w:val="48"/>
        </w:trPr>
        <w:tc>
          <w:tcPr>
            <w:tcW w:w="0" w:type="auto"/>
            <w:vAlign w:val="center"/>
          </w:tcPr>
          <w:p w14:paraId="650EE07B" w14:textId="0E769FCA"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Limited access to communication technology: Lack of computers or internet access (Wi-Fi) can hinder students from accessing online resources, communication tools, and educational materials.</w:t>
            </w:r>
          </w:p>
        </w:tc>
        <w:tc>
          <w:tcPr>
            <w:tcW w:w="0" w:type="auto"/>
            <w:vAlign w:val="center"/>
          </w:tcPr>
          <w:p w14:paraId="06C6B69D" w14:textId="6C3C204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1058560B" w14:textId="32A56CD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27E98F88" w14:textId="1A2B9C6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49.42</w:t>
            </w:r>
          </w:p>
        </w:tc>
        <w:tc>
          <w:tcPr>
            <w:tcW w:w="0" w:type="auto"/>
            <w:vAlign w:val="center"/>
          </w:tcPr>
          <w:p w14:paraId="46341C56" w14:textId="2DF4D52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C73EB5" w:rsidRPr="00D20C1B" w14:paraId="129459A8" w14:textId="77777777" w:rsidTr="00C73EB5">
        <w:trPr>
          <w:trHeight w:val="48"/>
        </w:trPr>
        <w:tc>
          <w:tcPr>
            <w:tcW w:w="0" w:type="auto"/>
            <w:vAlign w:val="center"/>
          </w:tcPr>
          <w:p w14:paraId="5B8BA5E0" w14:textId="4258C48B"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 xml:space="preserve">Restricted opportunities for internships, field visits, or interactions with professionals from different sectors may limit students’ exposure to </w:t>
            </w:r>
            <w:r w:rsidRPr="005F1414">
              <w:rPr>
                <w:rFonts w:ascii="Times New Roman" w:hAnsi="Times New Roman" w:cs="Times New Roman"/>
                <w:sz w:val="24"/>
                <w:szCs w:val="24"/>
              </w:rPr>
              <w:lastRenderedPageBreak/>
              <w:t>diverse communication scenarios and hinder their skill development.</w:t>
            </w:r>
          </w:p>
        </w:tc>
        <w:tc>
          <w:tcPr>
            <w:tcW w:w="0" w:type="auto"/>
            <w:vAlign w:val="center"/>
          </w:tcPr>
          <w:p w14:paraId="17676D13" w14:textId="5219F43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lastRenderedPageBreak/>
              <w:t>3</w:t>
            </w:r>
          </w:p>
        </w:tc>
        <w:tc>
          <w:tcPr>
            <w:tcW w:w="0" w:type="auto"/>
            <w:vAlign w:val="center"/>
          </w:tcPr>
          <w:p w14:paraId="75D03E8D" w14:textId="4105FEF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50FCA075" w14:textId="048467D2"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Dropped</w:t>
            </w:r>
          </w:p>
        </w:tc>
        <w:tc>
          <w:tcPr>
            <w:tcW w:w="0" w:type="auto"/>
            <w:vAlign w:val="center"/>
          </w:tcPr>
          <w:p w14:paraId="06A47E73" w14:textId="618FEF75" w:rsidR="00C73EB5" w:rsidRPr="00D20C1B" w:rsidRDefault="00C73EB5" w:rsidP="00730202">
            <w:pPr>
              <w:jc w:val="center"/>
              <w:rPr>
                <w:rFonts w:ascii="Times New Roman" w:hAnsi="Times New Roman" w:cs="Times New Roman"/>
                <w:sz w:val="24"/>
                <w:szCs w:val="24"/>
              </w:rPr>
            </w:pPr>
          </w:p>
        </w:tc>
      </w:tr>
      <w:tr w:rsidR="00C73EB5" w:rsidRPr="00D20C1B" w14:paraId="0F45EB6F" w14:textId="77777777" w:rsidTr="00C73EB5">
        <w:trPr>
          <w:trHeight w:val="48"/>
        </w:trPr>
        <w:tc>
          <w:tcPr>
            <w:tcW w:w="0" w:type="auto"/>
            <w:vAlign w:val="center"/>
          </w:tcPr>
          <w:p w14:paraId="4C508A40" w14:textId="0E0EDECD"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Lack of guidance and mentorship: Insufficient support from faculty members or mentors in honing communication skills, providing feedback, and offering guidance on effective communication strategies can impede students’ progress in this area.</w:t>
            </w:r>
          </w:p>
        </w:tc>
        <w:tc>
          <w:tcPr>
            <w:tcW w:w="0" w:type="auto"/>
            <w:vAlign w:val="center"/>
          </w:tcPr>
          <w:p w14:paraId="48D48A2C" w14:textId="14E680DC"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1CC59A6B" w14:textId="5B838C3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63C1CBF1" w14:textId="668F9171"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Dropped</w:t>
            </w:r>
          </w:p>
        </w:tc>
        <w:tc>
          <w:tcPr>
            <w:tcW w:w="0" w:type="auto"/>
            <w:vAlign w:val="center"/>
          </w:tcPr>
          <w:p w14:paraId="1CB9CAEC" w14:textId="77777777" w:rsidR="00C73EB5" w:rsidRPr="00D20C1B" w:rsidRDefault="00C73EB5" w:rsidP="00730202">
            <w:pPr>
              <w:jc w:val="center"/>
              <w:rPr>
                <w:rFonts w:ascii="Times New Roman" w:hAnsi="Times New Roman" w:cs="Times New Roman"/>
                <w:sz w:val="24"/>
                <w:szCs w:val="24"/>
              </w:rPr>
            </w:pPr>
          </w:p>
        </w:tc>
      </w:tr>
      <w:tr w:rsidR="00C73EB5" w:rsidRPr="00D20C1B" w14:paraId="24BBA954" w14:textId="77777777" w:rsidTr="00C73EB5">
        <w:trPr>
          <w:trHeight w:val="48"/>
        </w:trPr>
        <w:tc>
          <w:tcPr>
            <w:tcW w:w="0" w:type="auto"/>
            <w:vAlign w:val="center"/>
          </w:tcPr>
          <w:p w14:paraId="6FADE393" w14:textId="6FA80BF7"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Limited access to communication experts: Lack of availability of communication specialists or trained professionals within the academic environment may restrict students’ opportunities for personalized coaching and skill development.</w:t>
            </w:r>
          </w:p>
        </w:tc>
        <w:tc>
          <w:tcPr>
            <w:tcW w:w="0" w:type="auto"/>
            <w:vAlign w:val="center"/>
          </w:tcPr>
          <w:p w14:paraId="7D007217" w14:textId="54F5099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1525C795" w14:textId="7A5E6598"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65664FE8" w14:textId="63F6143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48.16</w:t>
            </w:r>
          </w:p>
        </w:tc>
        <w:tc>
          <w:tcPr>
            <w:tcW w:w="0" w:type="auto"/>
            <w:vAlign w:val="center"/>
          </w:tcPr>
          <w:p w14:paraId="21145AA3" w14:textId="097DDAE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0740ED74" w14:textId="77777777" w:rsidTr="00C73EB5">
        <w:trPr>
          <w:trHeight w:val="48"/>
        </w:trPr>
        <w:tc>
          <w:tcPr>
            <w:tcW w:w="0" w:type="auto"/>
            <w:vAlign w:val="center"/>
          </w:tcPr>
          <w:p w14:paraId="6F18DE59" w14:textId="7D602BB1"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Lack of systematic communication training in regular intervals.</w:t>
            </w:r>
          </w:p>
        </w:tc>
        <w:tc>
          <w:tcPr>
            <w:tcW w:w="0" w:type="auto"/>
            <w:vAlign w:val="center"/>
          </w:tcPr>
          <w:p w14:paraId="2816FABD" w14:textId="5875FC1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149DE8A0" w14:textId="6063AFB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08F1EBF0" w14:textId="3603DD6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56.72</w:t>
            </w:r>
          </w:p>
        </w:tc>
        <w:tc>
          <w:tcPr>
            <w:tcW w:w="0" w:type="auto"/>
            <w:vAlign w:val="center"/>
          </w:tcPr>
          <w:p w14:paraId="43F5174D" w14:textId="352F567A"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1C6C421C" w14:textId="77777777" w:rsidTr="00C73EB5">
        <w:trPr>
          <w:trHeight w:val="48"/>
        </w:trPr>
        <w:tc>
          <w:tcPr>
            <w:tcW w:w="0" w:type="auto"/>
            <w:vAlign w:val="center"/>
          </w:tcPr>
          <w:p w14:paraId="6AD7DF19" w14:textId="586F7506"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Less commitment to create a climate that improves the communication and soft skills.</w:t>
            </w:r>
          </w:p>
        </w:tc>
        <w:tc>
          <w:tcPr>
            <w:tcW w:w="0" w:type="auto"/>
            <w:vAlign w:val="center"/>
          </w:tcPr>
          <w:p w14:paraId="7696BC36" w14:textId="46E959E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0FBF66D2" w14:textId="012A838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3CD83BDD" w14:textId="57059E80"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45.70</w:t>
            </w:r>
          </w:p>
        </w:tc>
        <w:tc>
          <w:tcPr>
            <w:tcW w:w="0" w:type="auto"/>
            <w:vAlign w:val="center"/>
          </w:tcPr>
          <w:p w14:paraId="4E7D6241" w14:textId="0D9E6C0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730202" w:rsidRPr="00D20C1B" w14:paraId="423DE33C" w14:textId="77777777" w:rsidTr="00C73EB5">
        <w:trPr>
          <w:trHeight w:val="48"/>
        </w:trPr>
        <w:tc>
          <w:tcPr>
            <w:tcW w:w="0" w:type="auto"/>
            <w:gridSpan w:val="5"/>
            <w:vAlign w:val="center"/>
          </w:tcPr>
          <w:p w14:paraId="03612E67" w14:textId="302B63F6" w:rsidR="00730202" w:rsidRPr="00D20C1B" w:rsidRDefault="00730202" w:rsidP="00730202">
            <w:pPr>
              <w:rPr>
                <w:rFonts w:ascii="Times New Roman" w:hAnsi="Times New Roman" w:cs="Times New Roman"/>
                <w:sz w:val="24"/>
                <w:szCs w:val="24"/>
              </w:rPr>
            </w:pPr>
            <w:r w:rsidRPr="00D20C1B">
              <w:rPr>
                <w:rFonts w:ascii="Times New Roman" w:hAnsi="Times New Roman" w:cs="Times New Roman"/>
                <w:b/>
                <w:bCs/>
                <w:sz w:val="24"/>
                <w:szCs w:val="24"/>
              </w:rPr>
              <w:t>CONSTRAINTS DUE TO SOCIO ECONOMICAL BACKGROUND.</w:t>
            </w:r>
          </w:p>
        </w:tc>
      </w:tr>
      <w:tr w:rsidR="00C73EB5" w:rsidRPr="00D20C1B" w14:paraId="3A2E7645" w14:textId="77777777" w:rsidTr="00C73EB5">
        <w:trPr>
          <w:trHeight w:val="48"/>
        </w:trPr>
        <w:tc>
          <w:tcPr>
            <w:tcW w:w="0" w:type="auto"/>
            <w:vAlign w:val="center"/>
          </w:tcPr>
          <w:p w14:paraId="0FD31FE9" w14:textId="552B4AF6"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Limited exposure to diverse communication contexts due to rural background hindering their ability to adapt their communication style to different audiences.</w:t>
            </w:r>
          </w:p>
        </w:tc>
        <w:tc>
          <w:tcPr>
            <w:tcW w:w="0" w:type="auto"/>
            <w:vAlign w:val="center"/>
          </w:tcPr>
          <w:p w14:paraId="317BE398" w14:textId="78E7B0F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78D70FAA" w14:textId="6B7C8EE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6D80D79A" w14:textId="248417E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60.98</w:t>
            </w:r>
          </w:p>
        </w:tc>
        <w:tc>
          <w:tcPr>
            <w:tcW w:w="0" w:type="auto"/>
            <w:vAlign w:val="center"/>
          </w:tcPr>
          <w:p w14:paraId="02DC300D" w14:textId="7A95D1D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406311C7" w14:textId="77777777" w:rsidTr="00C73EB5">
        <w:trPr>
          <w:trHeight w:val="48"/>
        </w:trPr>
        <w:tc>
          <w:tcPr>
            <w:tcW w:w="0" w:type="auto"/>
            <w:vAlign w:val="center"/>
          </w:tcPr>
          <w:p w14:paraId="76EB7542" w14:textId="33ADDDDB"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Cultural Differences: Agricultural students may come from diverse cultural backgrounds with linguistic diversity, leading to differences in communication norms and practices that require adaptation and understanding.</w:t>
            </w:r>
          </w:p>
        </w:tc>
        <w:tc>
          <w:tcPr>
            <w:tcW w:w="0" w:type="auto"/>
            <w:vAlign w:val="center"/>
          </w:tcPr>
          <w:p w14:paraId="41FE591E" w14:textId="3024D6E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5AD9C5A" w14:textId="105431AF"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00541B57" w14:textId="0902C60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49.80</w:t>
            </w:r>
          </w:p>
        </w:tc>
        <w:tc>
          <w:tcPr>
            <w:tcW w:w="0" w:type="auto"/>
            <w:vAlign w:val="center"/>
          </w:tcPr>
          <w:p w14:paraId="35A988A3" w14:textId="4A7441B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09BDAF3F" w14:textId="77777777" w:rsidTr="00C73EB5">
        <w:trPr>
          <w:trHeight w:val="48"/>
        </w:trPr>
        <w:tc>
          <w:tcPr>
            <w:tcW w:w="0" w:type="auto"/>
            <w:vAlign w:val="center"/>
          </w:tcPr>
          <w:p w14:paraId="0999B12B" w14:textId="4CF8BC9B"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Financial limitations: High costs associated with attending communication workshops, seminars, or purchasing relevant books and materials may pose challenges for students with limited financial resources.</w:t>
            </w:r>
          </w:p>
        </w:tc>
        <w:tc>
          <w:tcPr>
            <w:tcW w:w="0" w:type="auto"/>
            <w:vAlign w:val="center"/>
          </w:tcPr>
          <w:p w14:paraId="682E7205" w14:textId="7D68736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58D91AE2" w14:textId="2B20223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1BE92D9D" w14:textId="0ACE66B0"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51.95</w:t>
            </w:r>
          </w:p>
        </w:tc>
        <w:tc>
          <w:tcPr>
            <w:tcW w:w="0" w:type="auto"/>
            <w:vAlign w:val="center"/>
          </w:tcPr>
          <w:p w14:paraId="5B87ADE2" w14:textId="2B46305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C73EB5" w:rsidRPr="00D20C1B" w14:paraId="230963F8" w14:textId="77777777" w:rsidTr="00C73EB5">
        <w:trPr>
          <w:trHeight w:val="48"/>
        </w:trPr>
        <w:tc>
          <w:tcPr>
            <w:tcW w:w="0" w:type="auto"/>
            <w:vAlign w:val="center"/>
          </w:tcPr>
          <w:p w14:paraId="3567D9DB" w14:textId="3A4CE1D5"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Self-confidence Issues: Students from disadvantaged background may lack confidence in their communication abilities.</w:t>
            </w:r>
          </w:p>
        </w:tc>
        <w:tc>
          <w:tcPr>
            <w:tcW w:w="0" w:type="auto"/>
            <w:vAlign w:val="center"/>
          </w:tcPr>
          <w:p w14:paraId="6C1D880A" w14:textId="32807FD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43F8CD89" w14:textId="06B47428"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3AF1DBCF" w14:textId="53D8E65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49.54</w:t>
            </w:r>
          </w:p>
        </w:tc>
        <w:tc>
          <w:tcPr>
            <w:tcW w:w="0" w:type="auto"/>
            <w:vAlign w:val="center"/>
          </w:tcPr>
          <w:p w14:paraId="6B8A6246" w14:textId="4309803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C73EB5" w:rsidRPr="00D20C1B" w14:paraId="5F8616C7" w14:textId="77777777" w:rsidTr="00C73EB5">
        <w:trPr>
          <w:trHeight w:val="48"/>
        </w:trPr>
        <w:tc>
          <w:tcPr>
            <w:tcW w:w="0" w:type="auto"/>
            <w:vAlign w:val="center"/>
          </w:tcPr>
          <w:p w14:paraId="0CD2234C" w14:textId="3624CC00"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Educational Gaps: Disparities in the quality of primary and secondary education may result in gaps in foundational communication skills among students.</w:t>
            </w:r>
          </w:p>
        </w:tc>
        <w:tc>
          <w:tcPr>
            <w:tcW w:w="0" w:type="auto"/>
            <w:vAlign w:val="center"/>
          </w:tcPr>
          <w:p w14:paraId="74A0C2FF" w14:textId="3CB2F19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w:t>
            </w:r>
          </w:p>
        </w:tc>
        <w:tc>
          <w:tcPr>
            <w:tcW w:w="0" w:type="auto"/>
            <w:vAlign w:val="center"/>
          </w:tcPr>
          <w:p w14:paraId="56659DCC" w14:textId="37EA322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w:t>
            </w:r>
          </w:p>
        </w:tc>
        <w:tc>
          <w:tcPr>
            <w:tcW w:w="0" w:type="auto"/>
            <w:vAlign w:val="center"/>
          </w:tcPr>
          <w:p w14:paraId="13637EB1" w14:textId="2E92B9EA"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45.50</w:t>
            </w:r>
          </w:p>
        </w:tc>
        <w:tc>
          <w:tcPr>
            <w:tcW w:w="0" w:type="auto"/>
            <w:vAlign w:val="center"/>
          </w:tcPr>
          <w:p w14:paraId="6B000F22" w14:textId="4DF3253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V</w:t>
            </w:r>
          </w:p>
        </w:tc>
      </w:tr>
      <w:tr w:rsidR="00C73EB5" w:rsidRPr="00D20C1B" w14:paraId="69121A47" w14:textId="77777777" w:rsidTr="00C73EB5">
        <w:trPr>
          <w:trHeight w:val="48"/>
        </w:trPr>
        <w:tc>
          <w:tcPr>
            <w:tcW w:w="0" w:type="auto"/>
            <w:vAlign w:val="center"/>
          </w:tcPr>
          <w:p w14:paraId="4A628557" w14:textId="768716AB"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Limited Networking Opportunities: Students from underprivileged backgrounds may have fewer opportunities to network with peers.</w:t>
            </w:r>
          </w:p>
        </w:tc>
        <w:tc>
          <w:tcPr>
            <w:tcW w:w="0" w:type="auto"/>
            <w:vAlign w:val="center"/>
          </w:tcPr>
          <w:p w14:paraId="40A23BDD" w14:textId="377D882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2ADF5E49" w14:textId="65DCCE2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630D78E" w14:textId="62DE934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42.04</w:t>
            </w:r>
          </w:p>
        </w:tc>
        <w:tc>
          <w:tcPr>
            <w:tcW w:w="0" w:type="auto"/>
            <w:vAlign w:val="center"/>
          </w:tcPr>
          <w:p w14:paraId="2ACA55E7" w14:textId="0FC4D919"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VI</w:t>
            </w:r>
          </w:p>
        </w:tc>
      </w:tr>
      <w:tr w:rsidR="00C73EB5" w:rsidRPr="00D20C1B" w14:paraId="74DE33FD" w14:textId="77777777" w:rsidTr="00C73EB5">
        <w:trPr>
          <w:trHeight w:val="48"/>
        </w:trPr>
        <w:tc>
          <w:tcPr>
            <w:tcW w:w="0" w:type="auto"/>
            <w:vAlign w:val="center"/>
          </w:tcPr>
          <w:p w14:paraId="7978B02D" w14:textId="0B7D656D"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Psychological Barriers: Personal experiences of trauma.</w:t>
            </w:r>
          </w:p>
        </w:tc>
        <w:tc>
          <w:tcPr>
            <w:tcW w:w="0" w:type="auto"/>
            <w:vAlign w:val="center"/>
          </w:tcPr>
          <w:p w14:paraId="260BAC61" w14:textId="64A8CB7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28E0CCCC" w14:textId="3A921E9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531D737E" w14:textId="2CCB980F"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Dropped</w:t>
            </w:r>
          </w:p>
        </w:tc>
        <w:tc>
          <w:tcPr>
            <w:tcW w:w="0" w:type="auto"/>
            <w:vAlign w:val="center"/>
          </w:tcPr>
          <w:p w14:paraId="2BE48A42" w14:textId="77777777" w:rsidR="00C73EB5" w:rsidRPr="00D20C1B" w:rsidRDefault="00C73EB5" w:rsidP="00730202">
            <w:pPr>
              <w:jc w:val="center"/>
              <w:rPr>
                <w:rFonts w:ascii="Times New Roman" w:hAnsi="Times New Roman" w:cs="Times New Roman"/>
                <w:sz w:val="24"/>
                <w:szCs w:val="24"/>
              </w:rPr>
            </w:pPr>
          </w:p>
        </w:tc>
      </w:tr>
      <w:tr w:rsidR="00730202" w:rsidRPr="00D20C1B" w14:paraId="1DEA051C" w14:textId="77777777" w:rsidTr="00C73EB5">
        <w:trPr>
          <w:trHeight w:val="48"/>
        </w:trPr>
        <w:tc>
          <w:tcPr>
            <w:tcW w:w="0" w:type="auto"/>
            <w:gridSpan w:val="5"/>
            <w:vAlign w:val="center"/>
          </w:tcPr>
          <w:p w14:paraId="5EF5FCA4" w14:textId="674499D0" w:rsidR="00730202" w:rsidRPr="00D20C1B" w:rsidRDefault="00730202" w:rsidP="00730202">
            <w:pPr>
              <w:rPr>
                <w:rFonts w:ascii="Times New Roman" w:hAnsi="Times New Roman" w:cs="Times New Roman"/>
                <w:sz w:val="24"/>
                <w:szCs w:val="24"/>
              </w:rPr>
            </w:pPr>
            <w:r w:rsidRPr="00D20C1B">
              <w:rPr>
                <w:rFonts w:ascii="Times New Roman" w:hAnsi="Times New Roman" w:cs="Times New Roman"/>
                <w:b/>
                <w:bCs/>
                <w:sz w:val="24"/>
                <w:szCs w:val="24"/>
              </w:rPr>
              <w:t>PERSONAL CONSTRAINTS.</w:t>
            </w:r>
          </w:p>
        </w:tc>
      </w:tr>
      <w:tr w:rsidR="00C73EB5" w:rsidRPr="00D20C1B" w14:paraId="2795005B" w14:textId="77777777" w:rsidTr="00C73EB5">
        <w:trPr>
          <w:trHeight w:val="48"/>
        </w:trPr>
        <w:tc>
          <w:tcPr>
            <w:tcW w:w="0" w:type="auto"/>
            <w:vAlign w:val="center"/>
          </w:tcPr>
          <w:p w14:paraId="18270831" w14:textId="5AF13279" w:rsidR="00C73EB5" w:rsidRPr="00D20C1B" w:rsidRDefault="00C73EB5" w:rsidP="00730202">
            <w:pPr>
              <w:jc w:val="both"/>
              <w:rPr>
                <w:rFonts w:ascii="Times New Roman" w:hAnsi="Times New Roman" w:cs="Times New Roman"/>
                <w:b/>
                <w:bCs/>
                <w:sz w:val="24"/>
                <w:szCs w:val="24"/>
              </w:rPr>
            </w:pPr>
            <w:r w:rsidRPr="00D20C1B">
              <w:rPr>
                <w:rFonts w:ascii="Times New Roman" w:hAnsi="Times New Roman" w:cs="Times New Roman"/>
                <w:sz w:val="24"/>
                <w:szCs w:val="24"/>
              </w:rPr>
              <w:t>Students avoid or resist challenging or changing situation.</w:t>
            </w:r>
          </w:p>
        </w:tc>
        <w:tc>
          <w:tcPr>
            <w:tcW w:w="0" w:type="auto"/>
            <w:vAlign w:val="center"/>
          </w:tcPr>
          <w:p w14:paraId="2C71F12E" w14:textId="722A415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2A3E4016" w14:textId="5A1AA530"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312D65AF" w14:textId="4B400DF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53.31</w:t>
            </w:r>
          </w:p>
        </w:tc>
        <w:tc>
          <w:tcPr>
            <w:tcW w:w="0" w:type="auto"/>
            <w:vAlign w:val="center"/>
          </w:tcPr>
          <w:p w14:paraId="35A2AE4F" w14:textId="736462F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C73EB5" w:rsidRPr="00D20C1B" w14:paraId="7537C6DD" w14:textId="77777777" w:rsidTr="00C73EB5">
        <w:trPr>
          <w:trHeight w:val="48"/>
        </w:trPr>
        <w:tc>
          <w:tcPr>
            <w:tcW w:w="0" w:type="auto"/>
            <w:vAlign w:val="center"/>
          </w:tcPr>
          <w:p w14:paraId="178F2E9B" w14:textId="77D504FE" w:rsidR="00C73EB5" w:rsidRPr="00D20C1B" w:rsidRDefault="00C73EB5" w:rsidP="00730202">
            <w:pPr>
              <w:jc w:val="both"/>
              <w:rPr>
                <w:rFonts w:ascii="Times New Roman" w:hAnsi="Times New Roman" w:cs="Times New Roman"/>
                <w:sz w:val="24"/>
                <w:szCs w:val="24"/>
              </w:rPr>
            </w:pPr>
            <w:r w:rsidRPr="00D20C1B">
              <w:rPr>
                <w:rFonts w:ascii="Times New Roman" w:hAnsi="Times New Roman" w:cs="Times New Roman"/>
                <w:sz w:val="24"/>
                <w:szCs w:val="24"/>
              </w:rPr>
              <w:t>Lack of motivation.</w:t>
            </w:r>
          </w:p>
        </w:tc>
        <w:tc>
          <w:tcPr>
            <w:tcW w:w="0" w:type="auto"/>
            <w:vAlign w:val="center"/>
          </w:tcPr>
          <w:p w14:paraId="6AFBA37B" w14:textId="422D761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2BBA835" w14:textId="651826E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0430E348" w14:textId="6A99178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54.64</w:t>
            </w:r>
          </w:p>
        </w:tc>
        <w:tc>
          <w:tcPr>
            <w:tcW w:w="0" w:type="auto"/>
            <w:vAlign w:val="center"/>
          </w:tcPr>
          <w:p w14:paraId="628BF574" w14:textId="0E2864F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4083767D" w14:textId="77777777" w:rsidTr="00C73EB5">
        <w:trPr>
          <w:trHeight w:val="48"/>
        </w:trPr>
        <w:tc>
          <w:tcPr>
            <w:tcW w:w="0" w:type="auto"/>
            <w:vAlign w:val="center"/>
          </w:tcPr>
          <w:p w14:paraId="5276C339" w14:textId="0E655D39" w:rsidR="00C73EB5" w:rsidRPr="00D20C1B" w:rsidRDefault="00C73EB5" w:rsidP="00730202">
            <w:pPr>
              <w:jc w:val="both"/>
              <w:rPr>
                <w:rFonts w:ascii="Times New Roman" w:hAnsi="Times New Roman" w:cs="Times New Roman"/>
                <w:sz w:val="24"/>
                <w:szCs w:val="24"/>
              </w:rPr>
            </w:pPr>
            <w:r w:rsidRPr="00D20C1B">
              <w:rPr>
                <w:rFonts w:ascii="Times New Roman" w:hAnsi="Times New Roman" w:cs="Times New Roman"/>
                <w:sz w:val="24"/>
                <w:szCs w:val="24"/>
              </w:rPr>
              <w:lastRenderedPageBreak/>
              <w:t>Reduced notes making, writing, book reading and social learning habit.</w:t>
            </w:r>
          </w:p>
        </w:tc>
        <w:tc>
          <w:tcPr>
            <w:tcW w:w="0" w:type="auto"/>
            <w:vAlign w:val="center"/>
          </w:tcPr>
          <w:p w14:paraId="312C485C" w14:textId="61B615F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0AE0C56C" w14:textId="2174AE4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6C026519" w14:textId="144E603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52.57</w:t>
            </w:r>
          </w:p>
        </w:tc>
        <w:tc>
          <w:tcPr>
            <w:tcW w:w="0" w:type="auto"/>
            <w:vAlign w:val="center"/>
          </w:tcPr>
          <w:p w14:paraId="32ED5802" w14:textId="1DCECF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50DCCAD3" w14:textId="77777777" w:rsidTr="00C73EB5">
        <w:trPr>
          <w:trHeight w:val="48"/>
        </w:trPr>
        <w:tc>
          <w:tcPr>
            <w:tcW w:w="0" w:type="auto"/>
            <w:vAlign w:val="center"/>
          </w:tcPr>
          <w:p w14:paraId="1CC5A3F9" w14:textId="415DCE21" w:rsidR="00C73EB5" w:rsidRPr="00D20C1B" w:rsidRDefault="00C73EB5" w:rsidP="00730202">
            <w:pPr>
              <w:jc w:val="both"/>
              <w:rPr>
                <w:rFonts w:ascii="Times New Roman" w:hAnsi="Times New Roman" w:cs="Times New Roman"/>
                <w:sz w:val="24"/>
                <w:szCs w:val="24"/>
              </w:rPr>
            </w:pPr>
            <w:r w:rsidRPr="00D20C1B">
              <w:rPr>
                <w:rFonts w:ascii="Times New Roman" w:hAnsi="Times New Roman" w:cs="Times New Roman"/>
                <w:sz w:val="24"/>
                <w:szCs w:val="24"/>
              </w:rPr>
              <w:t>Lack of initiative, Lack / Non-Participation and ignoring the opportunities like workshops, trainings seminars etc.</w:t>
            </w:r>
          </w:p>
        </w:tc>
        <w:tc>
          <w:tcPr>
            <w:tcW w:w="0" w:type="auto"/>
            <w:vAlign w:val="center"/>
          </w:tcPr>
          <w:p w14:paraId="653044E5" w14:textId="46B99AC9"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07D0034D" w14:textId="5973DFD8"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21B48FC" w14:textId="4D5F3E9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47.71</w:t>
            </w:r>
          </w:p>
        </w:tc>
        <w:tc>
          <w:tcPr>
            <w:tcW w:w="0" w:type="auto"/>
            <w:vAlign w:val="center"/>
          </w:tcPr>
          <w:p w14:paraId="7BCBC53C" w14:textId="59F191A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C73EB5" w:rsidRPr="00D20C1B" w14:paraId="2EC70AD4" w14:textId="77777777" w:rsidTr="00C73EB5">
        <w:trPr>
          <w:trHeight w:val="48"/>
        </w:trPr>
        <w:tc>
          <w:tcPr>
            <w:tcW w:w="0" w:type="auto"/>
            <w:vAlign w:val="center"/>
          </w:tcPr>
          <w:p w14:paraId="4941572B" w14:textId="24F73C23" w:rsidR="00C73EB5" w:rsidRPr="00D20C1B" w:rsidRDefault="00C73EB5" w:rsidP="00730202">
            <w:pPr>
              <w:jc w:val="both"/>
              <w:rPr>
                <w:rFonts w:ascii="Times New Roman" w:hAnsi="Times New Roman" w:cs="Times New Roman"/>
                <w:sz w:val="24"/>
                <w:szCs w:val="24"/>
              </w:rPr>
            </w:pPr>
            <w:r w:rsidRPr="00D20C1B">
              <w:rPr>
                <w:rFonts w:ascii="Times New Roman" w:hAnsi="Times New Roman" w:cs="Times New Roman"/>
                <w:sz w:val="24"/>
                <w:szCs w:val="24"/>
              </w:rPr>
              <w:t>Less interaction between seniors, juniors and peer group.</w:t>
            </w:r>
          </w:p>
        </w:tc>
        <w:tc>
          <w:tcPr>
            <w:tcW w:w="0" w:type="auto"/>
            <w:vAlign w:val="center"/>
          </w:tcPr>
          <w:p w14:paraId="6AB9E782" w14:textId="3BCACB6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78F34CBA" w14:textId="6DE918B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28D367FE" w14:textId="2265DB1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41.76</w:t>
            </w:r>
          </w:p>
        </w:tc>
        <w:tc>
          <w:tcPr>
            <w:tcW w:w="0" w:type="auto"/>
            <w:vAlign w:val="center"/>
          </w:tcPr>
          <w:p w14:paraId="51494ED1" w14:textId="38935E5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V</w:t>
            </w:r>
          </w:p>
        </w:tc>
      </w:tr>
    </w:tbl>
    <w:p w14:paraId="57D4205E" w14:textId="38B25284" w:rsidR="00D60B0A" w:rsidRPr="00D20C1B" w:rsidRDefault="00D60B0A" w:rsidP="00D60B0A">
      <w:pPr>
        <w:rPr>
          <w:rFonts w:ascii="Times New Roman" w:hAnsi="Times New Roman" w:cs="Times New Roman"/>
          <w:sz w:val="24"/>
          <w:szCs w:val="24"/>
        </w:rPr>
      </w:pPr>
      <w:r w:rsidRPr="00D20C1B">
        <w:rPr>
          <w:rFonts w:ascii="Times New Roman" w:hAnsi="Times New Roman" w:cs="Times New Roman"/>
          <w:sz w:val="24"/>
          <w:szCs w:val="24"/>
        </w:rPr>
        <w:t>IQR= Inter Quartile Range, QD= Quartile deviation</w:t>
      </w:r>
    </w:p>
    <w:p w14:paraId="720B0C09" w14:textId="4B8A6FE7" w:rsidR="00C25039" w:rsidRPr="00D05576" w:rsidRDefault="00AB6D04" w:rsidP="00B03D88">
      <w:pPr>
        <w:jc w:val="both"/>
        <w:rPr>
          <w:rFonts w:ascii="Times New Roman" w:hAnsi="Times New Roman" w:cs="Times New Roman"/>
          <w:sz w:val="24"/>
          <w:szCs w:val="24"/>
        </w:rPr>
      </w:pPr>
      <w:r w:rsidRPr="00D05576">
        <w:rPr>
          <w:rFonts w:ascii="Times New Roman" w:hAnsi="Times New Roman" w:cs="Times New Roman"/>
          <w:sz w:val="24"/>
          <w:szCs w:val="24"/>
        </w:rPr>
        <w:t xml:space="preserve">The </w:t>
      </w:r>
      <w:r w:rsidR="00BA5BB9" w:rsidRPr="00D05576">
        <w:rPr>
          <w:rFonts w:ascii="Times New Roman" w:hAnsi="Times New Roman" w:cs="Times New Roman"/>
          <w:sz w:val="24"/>
          <w:szCs w:val="24"/>
        </w:rPr>
        <w:t>table</w:t>
      </w:r>
      <w:r w:rsidRPr="00D05576">
        <w:rPr>
          <w:rFonts w:ascii="Times New Roman" w:hAnsi="Times New Roman" w:cs="Times New Roman"/>
          <w:sz w:val="24"/>
          <w:szCs w:val="24"/>
        </w:rPr>
        <w:t xml:space="preserve"> </w:t>
      </w:r>
      <w:r w:rsidR="002F7A7A" w:rsidRPr="00D05576">
        <w:rPr>
          <w:rFonts w:ascii="Times New Roman" w:hAnsi="Times New Roman" w:cs="Times New Roman"/>
          <w:sz w:val="24"/>
          <w:szCs w:val="24"/>
        </w:rPr>
        <w:t>presents</w:t>
      </w:r>
      <w:r w:rsidRPr="00D05576">
        <w:rPr>
          <w:rFonts w:ascii="Times New Roman" w:hAnsi="Times New Roman" w:cs="Times New Roman"/>
          <w:sz w:val="24"/>
          <w:szCs w:val="24"/>
        </w:rPr>
        <w:t xml:space="preserve"> a broad range of constraints that limit the development of communication skills among agricultural students</w:t>
      </w:r>
      <w:r w:rsidR="00BA5BB9" w:rsidRPr="00D05576">
        <w:rPr>
          <w:rFonts w:ascii="Times New Roman" w:hAnsi="Times New Roman" w:cs="Times New Roman"/>
          <w:sz w:val="24"/>
          <w:szCs w:val="24"/>
        </w:rPr>
        <w:t xml:space="preserve"> highlight</w:t>
      </w:r>
      <w:r w:rsidR="002F7A7A" w:rsidRPr="00D05576">
        <w:rPr>
          <w:rFonts w:ascii="Times New Roman" w:hAnsi="Times New Roman" w:cs="Times New Roman"/>
          <w:sz w:val="24"/>
          <w:szCs w:val="24"/>
        </w:rPr>
        <w:t>ing</w:t>
      </w:r>
      <w:r w:rsidR="00BA5BB9" w:rsidRPr="00D05576">
        <w:rPr>
          <w:rFonts w:ascii="Times New Roman" w:hAnsi="Times New Roman" w:cs="Times New Roman"/>
          <w:sz w:val="24"/>
          <w:szCs w:val="24"/>
        </w:rPr>
        <w:t xml:space="preserve"> multiple dimensions</w:t>
      </w:r>
      <w:r w:rsidR="00672F06">
        <w:rPr>
          <w:rFonts w:ascii="Times New Roman" w:hAnsi="Times New Roman" w:cs="Times New Roman"/>
          <w:sz w:val="24"/>
          <w:szCs w:val="24"/>
        </w:rPr>
        <w:t xml:space="preserve">: </w:t>
      </w:r>
      <w:r w:rsidR="00BA5BB9" w:rsidRPr="00D05576">
        <w:rPr>
          <w:rFonts w:ascii="Times New Roman" w:hAnsi="Times New Roman" w:cs="Times New Roman"/>
          <w:sz w:val="24"/>
          <w:szCs w:val="24"/>
        </w:rPr>
        <w:t>ICT, curriculum, institutional, socio-economic, and personal factors</w:t>
      </w:r>
      <w:r w:rsidR="00672F06">
        <w:rPr>
          <w:rFonts w:ascii="Times New Roman" w:hAnsi="Times New Roman" w:cs="Times New Roman"/>
          <w:sz w:val="24"/>
          <w:szCs w:val="24"/>
        </w:rPr>
        <w:t xml:space="preserve">, </w:t>
      </w:r>
      <w:r w:rsidR="00BA5BB9" w:rsidRPr="00D05576">
        <w:rPr>
          <w:rFonts w:ascii="Times New Roman" w:hAnsi="Times New Roman" w:cs="Times New Roman"/>
          <w:sz w:val="24"/>
          <w:szCs w:val="24"/>
        </w:rPr>
        <w:t>that collectively hinder students’ communicative competence.</w:t>
      </w:r>
    </w:p>
    <w:p w14:paraId="64FE9A16" w14:textId="1921E6A3"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Constraints due to ICT emerged prominently, with the extensive use of AI ranked first, followed by excessive screen time. The rapid adoption of AI in education, while beneficial, can reduce creativity and cognitive engagement, limiting opportunities to strengthen communication skills. </w:t>
      </w:r>
      <w:r w:rsidR="0066791C" w:rsidRPr="0066791C">
        <w:rPr>
          <w:rFonts w:ascii="Times New Roman" w:hAnsi="Times New Roman" w:cs="Times New Roman"/>
          <w:sz w:val="24"/>
          <w:szCs w:val="24"/>
        </w:rPr>
        <w:t xml:space="preserve">This aligns with </w:t>
      </w:r>
      <w:r w:rsidR="0066791C" w:rsidRPr="00C2587E">
        <w:rPr>
          <w:rFonts w:ascii="Times New Roman" w:hAnsi="Times New Roman" w:cs="Times New Roman"/>
          <w:sz w:val="24"/>
          <w:szCs w:val="24"/>
        </w:rPr>
        <w:t>Sharma</w:t>
      </w:r>
      <w:r w:rsidR="005D304C">
        <w:rPr>
          <w:rFonts w:ascii="Times New Roman" w:hAnsi="Times New Roman" w:cs="Times New Roman"/>
          <w:sz w:val="24"/>
          <w:szCs w:val="24"/>
        </w:rPr>
        <w:t xml:space="preserve"> </w:t>
      </w:r>
      <w:r w:rsidR="0066791C" w:rsidRPr="00C2587E">
        <w:rPr>
          <w:rFonts w:ascii="Times New Roman" w:hAnsi="Times New Roman" w:cs="Times New Roman"/>
          <w:sz w:val="24"/>
          <w:szCs w:val="24"/>
        </w:rPr>
        <w:t>&amp; Sharma</w:t>
      </w:r>
      <w:r w:rsidR="005D304C">
        <w:rPr>
          <w:rFonts w:ascii="Times New Roman" w:hAnsi="Times New Roman" w:cs="Times New Roman"/>
          <w:sz w:val="24"/>
          <w:szCs w:val="24"/>
        </w:rPr>
        <w:t xml:space="preserve"> </w:t>
      </w:r>
      <w:r w:rsidR="0066791C" w:rsidRPr="005D304C">
        <w:rPr>
          <w:rFonts w:ascii="Times New Roman" w:hAnsi="Times New Roman" w:cs="Times New Roman"/>
          <w:sz w:val="24"/>
          <w:szCs w:val="24"/>
        </w:rPr>
        <w:t>(2018),</w:t>
      </w:r>
      <w:r w:rsidR="0066791C" w:rsidRPr="0066791C">
        <w:rPr>
          <w:rFonts w:ascii="Times New Roman" w:hAnsi="Times New Roman" w:cs="Times New Roman"/>
          <w:sz w:val="24"/>
          <w:szCs w:val="24"/>
        </w:rPr>
        <w:t xml:space="preserve"> who emphasized that the effectiveness of ICT depends on its integration into pedagogy, and overuse may impede focus on interpersonal competencies.</w:t>
      </w:r>
      <w:r w:rsidR="0066791C">
        <w:rPr>
          <w:rFonts w:ascii="Times New Roman" w:hAnsi="Times New Roman" w:cs="Times New Roman"/>
          <w:sz w:val="24"/>
          <w:szCs w:val="24"/>
        </w:rPr>
        <w:t xml:space="preserve"> </w:t>
      </w:r>
      <w:r w:rsidRPr="00D05576">
        <w:rPr>
          <w:rFonts w:ascii="Times New Roman" w:hAnsi="Times New Roman" w:cs="Times New Roman"/>
          <w:sz w:val="24"/>
          <w:szCs w:val="24"/>
        </w:rPr>
        <w:t>Similarly, excessive screen time reduces face-to-face interactions</w:t>
      </w:r>
      <w:r w:rsidR="00580BD8" w:rsidRPr="00D05576">
        <w:rPr>
          <w:rFonts w:ascii="Times New Roman" w:hAnsi="Times New Roman" w:cs="Times New Roman"/>
          <w:sz w:val="24"/>
          <w:szCs w:val="24"/>
        </w:rPr>
        <w:t xml:space="preserve">. </w:t>
      </w:r>
      <w:r w:rsidRPr="00D05576">
        <w:rPr>
          <w:rFonts w:ascii="Times New Roman" w:hAnsi="Times New Roman" w:cs="Times New Roman"/>
          <w:sz w:val="24"/>
          <w:szCs w:val="24"/>
        </w:rPr>
        <w:t>Moreover, issues like distraction, over-reliance on phones, and shortened attention spans highlight the psychological and behavioral effects of ICT that restrict students’ ability to engage in meaningful communication (Lepp, Barkley &amp; Karpinski, 2014).</w:t>
      </w:r>
      <w:r w:rsidR="009B446F">
        <w:rPr>
          <w:rFonts w:ascii="Times New Roman" w:hAnsi="Times New Roman" w:cs="Times New Roman"/>
          <w:sz w:val="24"/>
          <w:szCs w:val="24"/>
        </w:rPr>
        <w:t xml:space="preserve"> </w:t>
      </w:r>
      <w:r w:rsidR="009B446F" w:rsidRPr="009B446F">
        <w:rPr>
          <w:rFonts w:ascii="Times New Roman" w:hAnsi="Times New Roman" w:cs="Times New Roman"/>
          <w:sz w:val="24"/>
          <w:szCs w:val="24"/>
        </w:rPr>
        <w:t xml:space="preserve">While artificial intelligence offers significant opportunities for enhancing learning, emerging evidence suggests that unregulated use may introduce ethical, cognitive, and skill-related challenges, necessitating responsible integration within educational systems </w:t>
      </w:r>
      <w:r w:rsidR="009D18BF" w:rsidRPr="009D18BF">
        <w:rPr>
          <w:rFonts w:ascii="Times New Roman" w:hAnsi="Times New Roman" w:cs="Times New Roman"/>
          <w:sz w:val="24"/>
          <w:szCs w:val="24"/>
        </w:rPr>
        <w:t>(</w:t>
      </w:r>
      <w:proofErr w:type="spellStart"/>
      <w:r w:rsidR="009D18BF" w:rsidRPr="009D18BF">
        <w:rPr>
          <w:rFonts w:ascii="Times New Roman" w:hAnsi="Times New Roman" w:cs="Times New Roman"/>
          <w:sz w:val="24"/>
          <w:szCs w:val="24"/>
        </w:rPr>
        <w:t>Kaşarcı</w:t>
      </w:r>
      <w:proofErr w:type="spellEnd"/>
      <w:r w:rsidR="009D18BF" w:rsidRPr="009D18BF">
        <w:rPr>
          <w:rFonts w:ascii="Times New Roman" w:hAnsi="Times New Roman" w:cs="Times New Roman"/>
          <w:sz w:val="24"/>
          <w:szCs w:val="24"/>
        </w:rPr>
        <w:t xml:space="preserve"> et al., 2025).</w:t>
      </w:r>
    </w:p>
    <w:p w14:paraId="166A2971" w14:textId="7DDD6A34"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Curricular constraints were another significant barrier, with heavy workload ranked highest, followed by less credit load on communication-oriented courses. Mishra (2016) noted that postgraduate students are often overburdened with academic and technical tasks, leaving little time to build confidence and communicative ability. The present findings also highlight the lack of structured exposure to communication activities like scientific writing, research presentations, and non-academic interactions, </w:t>
      </w:r>
      <w:r w:rsidR="00691282">
        <w:rPr>
          <w:rFonts w:ascii="Times New Roman" w:hAnsi="Times New Roman" w:cs="Times New Roman"/>
          <w:sz w:val="24"/>
          <w:szCs w:val="24"/>
        </w:rPr>
        <w:t xml:space="preserve">which </w:t>
      </w:r>
      <w:r w:rsidRPr="00D05576">
        <w:rPr>
          <w:rFonts w:ascii="Times New Roman" w:hAnsi="Times New Roman" w:cs="Times New Roman"/>
          <w:sz w:val="24"/>
          <w:szCs w:val="24"/>
        </w:rPr>
        <w:t>advocate</w:t>
      </w:r>
      <w:r w:rsidR="00691282">
        <w:rPr>
          <w:rFonts w:ascii="Times New Roman" w:hAnsi="Times New Roman" w:cs="Times New Roman"/>
          <w:sz w:val="24"/>
          <w:szCs w:val="24"/>
        </w:rPr>
        <w:t>s</w:t>
      </w:r>
      <w:r w:rsidRPr="00D05576">
        <w:rPr>
          <w:rFonts w:ascii="Times New Roman" w:hAnsi="Times New Roman" w:cs="Times New Roman"/>
          <w:sz w:val="24"/>
          <w:szCs w:val="24"/>
        </w:rPr>
        <w:t xml:space="preserve"> for embedding communication training into broader academic curricula. These results stress that while students value communication, insufficient institutional prioritization of communication courses hampers development.</w:t>
      </w:r>
    </w:p>
    <w:p w14:paraId="01C499AA" w14:textId="0E096DEC"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Institutional and resource constraints further aggravated the problem, with lack of systematic communication training at regular intervals being the foremost issue. Nicoleta </w:t>
      </w:r>
      <w:proofErr w:type="spellStart"/>
      <w:r w:rsidR="00FD162D" w:rsidRPr="00694C50">
        <w:rPr>
          <w:rFonts w:ascii="Times New Roman" w:hAnsi="Times New Roman" w:cs="Times New Roman"/>
          <w:sz w:val="24"/>
          <w:szCs w:val="24"/>
        </w:rPr>
        <w:t>Taskov</w:t>
      </w:r>
      <w:proofErr w:type="spellEnd"/>
      <w:r w:rsidR="00FD162D">
        <w:rPr>
          <w:rFonts w:ascii="Times New Roman" w:hAnsi="Times New Roman" w:cs="Times New Roman"/>
          <w:sz w:val="24"/>
          <w:szCs w:val="24"/>
        </w:rPr>
        <w:t xml:space="preserve"> </w:t>
      </w:r>
      <w:r w:rsidR="00FD162D" w:rsidRPr="00694C50">
        <w:rPr>
          <w:rFonts w:ascii="Times New Roman" w:hAnsi="Times New Roman" w:cs="Times New Roman"/>
          <w:sz w:val="24"/>
          <w:szCs w:val="24"/>
        </w:rPr>
        <w:t xml:space="preserve">&amp; </w:t>
      </w:r>
      <w:proofErr w:type="spellStart"/>
      <w:r w:rsidR="00FD162D" w:rsidRPr="00694C50">
        <w:rPr>
          <w:rFonts w:ascii="Times New Roman" w:hAnsi="Times New Roman" w:cs="Times New Roman"/>
          <w:sz w:val="24"/>
          <w:szCs w:val="24"/>
        </w:rPr>
        <w:t>Mitreva</w:t>
      </w:r>
      <w:proofErr w:type="spellEnd"/>
      <w:r w:rsidRPr="00D05576">
        <w:rPr>
          <w:rFonts w:ascii="Times New Roman" w:hAnsi="Times New Roman" w:cs="Times New Roman"/>
          <w:sz w:val="24"/>
          <w:szCs w:val="24"/>
        </w:rPr>
        <w:t xml:space="preserve"> (2015) stressed that inadequate feedback and irregular practice hinder effective communication learning. Limited access to technology, such as poor internet and inadequate multimedia facilities, was also a recurring concern</w:t>
      </w:r>
      <w:r w:rsidR="008E504C">
        <w:rPr>
          <w:rFonts w:ascii="Times New Roman" w:hAnsi="Times New Roman" w:cs="Times New Roman"/>
          <w:sz w:val="24"/>
          <w:szCs w:val="24"/>
        </w:rPr>
        <w:t>, which echoes</w:t>
      </w:r>
      <w:r w:rsidRPr="00D05576">
        <w:rPr>
          <w:rFonts w:ascii="Times New Roman" w:hAnsi="Times New Roman" w:cs="Times New Roman"/>
          <w:sz w:val="24"/>
          <w:szCs w:val="24"/>
        </w:rPr>
        <w:t xml:space="preserve"> infrastructural gaps directly limit communication opportunities.</w:t>
      </w:r>
    </w:p>
    <w:p w14:paraId="6E47B86A" w14:textId="77777777"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Socio-economic constraints played a major role, particularly limited exposure to diverse communication contexts (ranked first) and financial limitations. Students from rural or underprivileged backgrounds often face restricted interaction with diverse audiences, making it harder to adapt communication styles to professional contexts. This aligns with Moore and Morton (2015), who argued that exposure to varied discourse settings is essential for effective </w:t>
      </w:r>
      <w:r w:rsidRPr="00D05576">
        <w:rPr>
          <w:rFonts w:ascii="Times New Roman" w:hAnsi="Times New Roman" w:cs="Times New Roman"/>
          <w:sz w:val="24"/>
          <w:szCs w:val="24"/>
        </w:rPr>
        <w:lastRenderedPageBreak/>
        <w:t>academic and workplace communication. Bharathi (2016) similarly highlighted that socio-economic challenges, especially financial limitations, restrict access to workshops, seminars, and learning materials, ultimately constraining communication skill acquisition.</w:t>
      </w:r>
    </w:p>
    <w:p w14:paraId="507ABA69" w14:textId="5EBC5B03"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Personal constraints such as lack of motivation and avoidance of challenging situations were also ranked highly. These findings echo Kelly (1991, cited in </w:t>
      </w:r>
      <w:r w:rsidR="00F535E1" w:rsidRPr="00F535E1">
        <w:rPr>
          <w:rFonts w:ascii="Times New Roman" w:hAnsi="Times New Roman" w:cs="Times New Roman"/>
          <w:sz w:val="24"/>
          <w:szCs w:val="24"/>
        </w:rPr>
        <w:t>Popescu &amp; Cohen</w:t>
      </w:r>
      <w:r w:rsidRPr="00D05576">
        <w:rPr>
          <w:rFonts w:ascii="Times New Roman" w:hAnsi="Times New Roman" w:cs="Times New Roman"/>
          <w:sz w:val="24"/>
          <w:szCs w:val="24"/>
        </w:rPr>
        <w:t xml:space="preserve">, 2014), who identified psychological barriers like anxiety and guilt as critical inhibitors of effective communication. Nicoleta </w:t>
      </w:r>
      <w:proofErr w:type="spellStart"/>
      <w:r w:rsidR="00694C50" w:rsidRPr="00694C50">
        <w:rPr>
          <w:rFonts w:ascii="Times New Roman" w:hAnsi="Times New Roman" w:cs="Times New Roman"/>
          <w:sz w:val="24"/>
          <w:szCs w:val="24"/>
        </w:rPr>
        <w:t>Taskov</w:t>
      </w:r>
      <w:proofErr w:type="spellEnd"/>
      <w:r w:rsidR="00FD162D">
        <w:rPr>
          <w:rFonts w:ascii="Times New Roman" w:hAnsi="Times New Roman" w:cs="Times New Roman"/>
          <w:sz w:val="24"/>
          <w:szCs w:val="24"/>
        </w:rPr>
        <w:t xml:space="preserve"> </w:t>
      </w:r>
      <w:r w:rsidR="00694C50" w:rsidRPr="00694C50">
        <w:rPr>
          <w:rFonts w:ascii="Times New Roman" w:hAnsi="Times New Roman" w:cs="Times New Roman"/>
          <w:sz w:val="24"/>
          <w:szCs w:val="24"/>
        </w:rPr>
        <w:t xml:space="preserve">&amp; </w:t>
      </w:r>
      <w:proofErr w:type="spellStart"/>
      <w:r w:rsidR="00694C50" w:rsidRPr="00694C50">
        <w:rPr>
          <w:rFonts w:ascii="Times New Roman" w:hAnsi="Times New Roman" w:cs="Times New Roman"/>
          <w:sz w:val="24"/>
          <w:szCs w:val="24"/>
        </w:rPr>
        <w:t>Mitreva</w:t>
      </w:r>
      <w:proofErr w:type="spellEnd"/>
      <w:r w:rsidR="00694C50" w:rsidRPr="00D05576">
        <w:rPr>
          <w:rFonts w:ascii="Times New Roman" w:hAnsi="Times New Roman" w:cs="Times New Roman"/>
          <w:sz w:val="24"/>
          <w:szCs w:val="24"/>
        </w:rPr>
        <w:t xml:space="preserve"> </w:t>
      </w:r>
      <w:r w:rsidRPr="00D05576">
        <w:rPr>
          <w:rFonts w:ascii="Times New Roman" w:hAnsi="Times New Roman" w:cs="Times New Roman"/>
          <w:sz w:val="24"/>
          <w:szCs w:val="24"/>
        </w:rPr>
        <w:t>(2015) also reported that personal factors such as anxiety, uncertainty, and low adaptability significantly limit students’ ability to build communication competence. In this study, lack of motivation may stem from psychological distress, fear of failure, or low self-confidence, further impeding students’ engagement in communication-enhancing activities.</w:t>
      </w:r>
    </w:p>
    <w:p w14:paraId="0F4E4150" w14:textId="2B7161DD" w:rsidR="00F711E0"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Overall, the findings align with earlier research on communication barriers in higher education (Mishra, 2016; Moore &amp; Morton, 2015) while also providing new insights into ICT-related challenges, such as AI overuse and screen time</w:t>
      </w:r>
      <w:r w:rsidR="00672F06">
        <w:rPr>
          <w:rFonts w:ascii="Times New Roman" w:hAnsi="Times New Roman" w:cs="Times New Roman"/>
          <w:sz w:val="24"/>
          <w:szCs w:val="24"/>
        </w:rPr>
        <w:t xml:space="preserve">, </w:t>
      </w:r>
      <w:r w:rsidRPr="00D05576">
        <w:rPr>
          <w:rFonts w:ascii="Times New Roman" w:hAnsi="Times New Roman" w:cs="Times New Roman"/>
          <w:sz w:val="24"/>
          <w:szCs w:val="24"/>
        </w:rPr>
        <w:t>emerging issues less discussed in prior studies. These results underline the need for balanced ICT use, curriculum reforms, structured training interventions, improved infrastructure, and socio-economic support to enhance communication skills in agricultural education.</w:t>
      </w:r>
    </w:p>
    <w:p w14:paraId="4F4E1CCD" w14:textId="77777777" w:rsidR="00F51126" w:rsidRPr="00672F06" w:rsidRDefault="00F51126" w:rsidP="00F51126">
      <w:pPr>
        <w:jc w:val="both"/>
        <w:rPr>
          <w:rFonts w:ascii="Times New Roman" w:hAnsi="Times New Roman" w:cs="Times New Roman"/>
          <w:b/>
          <w:bCs/>
          <w:sz w:val="24"/>
          <w:szCs w:val="24"/>
        </w:rPr>
      </w:pPr>
      <w:r w:rsidRPr="00672F06">
        <w:rPr>
          <w:rFonts w:ascii="Times New Roman" w:hAnsi="Times New Roman" w:cs="Times New Roman"/>
          <w:b/>
          <w:bCs/>
          <w:sz w:val="24"/>
          <w:szCs w:val="24"/>
        </w:rPr>
        <w:t>Discussion</w:t>
      </w:r>
    </w:p>
    <w:p w14:paraId="02B3CCDA" w14:textId="28259CD2"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The present study provides a multidimensional understanding of the constraints affecting communication skill development among postgraduate students in higher agricultural education. The findings indicate that communication skill development is influenced by an interaction of technological, curricular, institutional, socio-economic, and personal factors, confirming that communication competence is shaped not only by academic training but also by broader learning environments and psychological conditions.</w:t>
      </w:r>
      <w:r w:rsidR="00EE139C" w:rsidRPr="00EE139C">
        <w:rPr>
          <w:rFonts w:ascii="Times New Roman" w:hAnsi="Times New Roman" w:cs="Times New Roman"/>
          <w:sz w:val="24"/>
          <w:szCs w:val="24"/>
        </w:rPr>
        <w:t xml:space="preserve"> The interaction of multiple constraints reflects the complexity of learning environments, where behavioural, environmental, and cognitive factors jointly influence skill development (Bandura, 1997</w:t>
      </w:r>
      <w:r w:rsidR="00EE139C">
        <w:rPr>
          <w:rFonts w:ascii="Times New Roman" w:hAnsi="Times New Roman" w:cs="Times New Roman"/>
          <w:sz w:val="24"/>
          <w:szCs w:val="24"/>
        </w:rPr>
        <w:t>).</w:t>
      </w:r>
    </w:p>
    <w:p w14:paraId="384AF4DB" w14:textId="72AE29A5" w:rsidR="00EE139C"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One of the most significant findings of the study is the emergence of ICT-related constraints, particularly the extensive use of artificial intelligence and excessive screen time. While digital technologies provide unprecedented access to information and learning resources, over-reliance on automated tools may reduce students’ opportunities for active cognitive engagement and creative expression. Excessive screen time and digital distraction can also limit students’ participation in face-to-face communication activities, which are essential for developing interpersonal communication competence. Similar concerns have been raised in earlier studies examining the relationship between digital device usage and academic engagement, where heavy reliance on mobile technologies was found to negatively influence concentration, academic performance, and interpersonal communication skills (Lepp, Barkley, &amp; Karpinski, 2014).</w:t>
      </w:r>
      <w:r w:rsidR="00EE139C" w:rsidRPr="00EE139C">
        <w:t xml:space="preserve"> </w:t>
      </w:r>
      <w:r w:rsidR="00EE139C" w:rsidRPr="00EE139C">
        <w:rPr>
          <w:rFonts w:ascii="Times New Roman" w:hAnsi="Times New Roman" w:cs="Times New Roman"/>
          <w:sz w:val="24"/>
          <w:szCs w:val="24"/>
        </w:rPr>
        <w:t>Recent evidence suggests that excessive digital engagement and multitasking behaviours can negatively affect attention span and communication effectiveness among students in higher education</w:t>
      </w:r>
      <w:r w:rsidR="00EE139C">
        <w:rPr>
          <w:rFonts w:ascii="Times New Roman" w:hAnsi="Times New Roman" w:cs="Times New Roman"/>
          <w:sz w:val="24"/>
          <w:szCs w:val="24"/>
        </w:rPr>
        <w:t xml:space="preserve"> (</w:t>
      </w:r>
      <w:r w:rsidR="00EE139C" w:rsidRPr="00EE139C">
        <w:rPr>
          <w:rFonts w:ascii="Times New Roman" w:hAnsi="Times New Roman" w:cs="Times New Roman"/>
          <w:sz w:val="24"/>
          <w:szCs w:val="24"/>
        </w:rPr>
        <w:t>Rosen, L. D., et al.</w:t>
      </w:r>
      <w:r w:rsidR="00EE139C">
        <w:rPr>
          <w:rFonts w:ascii="Times New Roman" w:hAnsi="Times New Roman" w:cs="Times New Roman"/>
          <w:sz w:val="24"/>
          <w:szCs w:val="24"/>
        </w:rPr>
        <w:t xml:space="preserve"> </w:t>
      </w:r>
      <w:r w:rsidR="00EE139C" w:rsidRPr="00EE139C">
        <w:rPr>
          <w:rFonts w:ascii="Times New Roman" w:hAnsi="Times New Roman" w:cs="Times New Roman"/>
          <w:sz w:val="24"/>
          <w:szCs w:val="24"/>
        </w:rPr>
        <w:t>2022)</w:t>
      </w:r>
      <w:r w:rsidR="00EE139C">
        <w:rPr>
          <w:rFonts w:ascii="Times New Roman" w:hAnsi="Times New Roman" w:cs="Times New Roman"/>
          <w:sz w:val="24"/>
          <w:szCs w:val="24"/>
        </w:rPr>
        <w:t>.</w:t>
      </w:r>
    </w:p>
    <w:p w14:paraId="4782487A"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 xml:space="preserve">Curriculum-related constraints also emerged as a major barrier to communication skill development. The heavy workload associated with postgraduate agricultural programs was identified as the most severe curricular constraint, suggesting that students often prioritize technical coursework over communication skill development. This finding is consistent with </w:t>
      </w:r>
      <w:r w:rsidRPr="00672F06">
        <w:rPr>
          <w:rFonts w:ascii="Times New Roman" w:hAnsi="Times New Roman" w:cs="Times New Roman"/>
          <w:sz w:val="24"/>
          <w:szCs w:val="24"/>
        </w:rPr>
        <w:lastRenderedPageBreak/>
        <w:t>earlier research indicating that higher education curricula frequently emphasize disciplinary knowledge while giving comparatively limited attention to communication competencies (Mishra, 2016; Saxena et al., 2017). The limited credit allocation for communication-oriented courses further indicates that communication skills are often treated as supplementary competencies rather than core professional capabilities. From the perspective of Experiential Learning Theory, communication competence develops through repeated practice and real-world interaction (Kolb, 1984). When opportunities for communication practice are limited, students may graduate with strong technical expertise but insufficient experience in communicating their knowledge effectively.</w:t>
      </w:r>
    </w:p>
    <w:p w14:paraId="6C235180"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Institutional constraints further highlight the structural challenges affecting communication skill development. The lack of systematic communication training programs and limited availability of communication specialists indicate that many institutions do not provide continuous opportunities for students to strengthen communication competencies. These findings align with earlier research emphasizing the importance of institutional support systems, such as mentoring, feedback mechanisms, and communication training programs, in facilitating effective skill development (Taskov &amp; Mitreva, 2015). Without structured institutional support, communication skill development may remain dependent on individual initiative rather than systematic educational planning.</w:t>
      </w:r>
    </w:p>
    <w:p w14:paraId="21FA8BE5"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Socio-economic constraints also played a significant role in shaping communication competence. Students from rural or socio-economically disadvantaged backgrounds often have limited exposure to diverse communication environments, which may restrict their ability to adapt communication styles to different professional contexts. Previous studies have similarly highlighted that exposure to diverse discourse environments is essential for developing academic and professional communication skills (Moore &amp; Morton, 2015). Financial limitations can further restrict students’ participation in workshops, seminars, and training programs that enhance communication competence (Bharathi, 2016).</w:t>
      </w:r>
    </w:p>
    <w:p w14:paraId="23D5955A"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 xml:space="preserve">Personal factors emerged as another critical dimension affecting communication skill development. Lack of motivation and avoidance of challenging communication situations were identified as major barriers. These findings are consistent with Social Cognitive Theory, which emphasizes that individuals’ self-beliefs and motivation significantly influence learning </w:t>
      </w:r>
      <w:proofErr w:type="spellStart"/>
      <w:r w:rsidRPr="00672F06">
        <w:rPr>
          <w:rFonts w:ascii="Times New Roman" w:hAnsi="Times New Roman" w:cs="Times New Roman"/>
          <w:sz w:val="24"/>
          <w:szCs w:val="24"/>
        </w:rPr>
        <w:t>behavior</w:t>
      </w:r>
      <w:proofErr w:type="spellEnd"/>
      <w:r w:rsidRPr="00672F06">
        <w:rPr>
          <w:rFonts w:ascii="Times New Roman" w:hAnsi="Times New Roman" w:cs="Times New Roman"/>
          <w:sz w:val="24"/>
          <w:szCs w:val="24"/>
        </w:rPr>
        <w:t xml:space="preserve"> and skill development (Bandura, 1997). Students who lack confidence or motivation may avoid opportunities to engage in communication activities, thereby limiting their chances to practice and improve communication competence. Psychological barriers such as anxiety and fear of evaluation may further reinforce this avoidance </w:t>
      </w:r>
      <w:proofErr w:type="spellStart"/>
      <w:r w:rsidRPr="00672F06">
        <w:rPr>
          <w:rFonts w:ascii="Times New Roman" w:hAnsi="Times New Roman" w:cs="Times New Roman"/>
          <w:sz w:val="24"/>
          <w:szCs w:val="24"/>
        </w:rPr>
        <w:t>behavior</w:t>
      </w:r>
      <w:proofErr w:type="spellEnd"/>
      <w:r w:rsidRPr="00672F06">
        <w:rPr>
          <w:rFonts w:ascii="Times New Roman" w:hAnsi="Times New Roman" w:cs="Times New Roman"/>
          <w:sz w:val="24"/>
          <w:szCs w:val="24"/>
        </w:rPr>
        <w:t>, as explained in Communication Apprehension Theory (McCroskey, 1977).</w:t>
      </w:r>
    </w:p>
    <w:p w14:paraId="53CF6A45"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Overall, the findings suggest that communication skill development cannot be addressed through isolated interventions. Instead, a holistic approach that simultaneously addresses curricular design, institutional support, socio-economic disparities, psychological readiness, and responsible technology use is necessary to effectively strengthen communication competence among postgraduate students in higher agricultural education.</w:t>
      </w:r>
    </w:p>
    <w:p w14:paraId="12A6365F" w14:textId="77777777" w:rsidR="009C4E69" w:rsidRDefault="00390D3D" w:rsidP="009C4E69">
      <w:pPr>
        <w:keepNext/>
        <w:jc w:val="both"/>
      </w:pPr>
      <w:r>
        <w:rPr>
          <w:rFonts w:ascii="Times New Roman" w:hAnsi="Times New Roman" w:cs="Times New Roman"/>
          <w:noProof/>
          <w:sz w:val="24"/>
          <w:szCs w:val="24"/>
        </w:rPr>
        <w:lastRenderedPageBreak/>
        <w:drawing>
          <wp:inline distT="0" distB="0" distL="0" distR="0" wp14:anchorId="75AFA953" wp14:editId="076982D7">
            <wp:extent cx="5731510" cy="3832860"/>
            <wp:effectExtent l="0" t="0" r="0" b="2540"/>
            <wp:docPr id="878400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00028" name="Picture 8784000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32860"/>
                    </a:xfrm>
                    <a:prstGeom prst="rect">
                      <a:avLst/>
                    </a:prstGeom>
                  </pic:spPr>
                </pic:pic>
              </a:graphicData>
            </a:graphic>
          </wp:inline>
        </w:drawing>
      </w:r>
    </w:p>
    <w:p w14:paraId="07556B29" w14:textId="78769EA1" w:rsidR="00390D3D" w:rsidRDefault="009C4E69" w:rsidP="009C4E69">
      <w:pPr>
        <w:pStyle w:val="Caption"/>
        <w:jc w:val="center"/>
        <w:rPr>
          <w:rFonts w:ascii="Times New Roman" w:hAnsi="Times New Roman" w:cs="Times New Roman"/>
          <w:sz w:val="24"/>
          <w:szCs w:val="24"/>
        </w:rPr>
      </w:pPr>
      <w:r>
        <w:t xml:space="preserve">Figure </w:t>
      </w:r>
      <w:r w:rsidR="00F22269">
        <w:fldChar w:fldCharType="begin"/>
      </w:r>
      <w:r w:rsidR="00F22269">
        <w:instrText xml:space="preserve"> SEQ Figure \* ARABIC </w:instrText>
      </w:r>
      <w:r w:rsidR="00F22269">
        <w:fldChar w:fldCharType="separate"/>
      </w:r>
      <w:r>
        <w:rPr>
          <w:noProof/>
        </w:rPr>
        <w:t>1</w:t>
      </w:r>
      <w:r w:rsidR="00F22269">
        <w:rPr>
          <w:noProof/>
        </w:rPr>
        <w:fldChar w:fldCharType="end"/>
      </w:r>
      <w:r>
        <w:t xml:space="preserve"> Conceptual framework</w:t>
      </w:r>
    </w:p>
    <w:p w14:paraId="622999CB" w14:textId="77777777" w:rsidR="009C4E69" w:rsidRDefault="009C4E69" w:rsidP="00672F06">
      <w:pPr>
        <w:jc w:val="both"/>
        <w:rPr>
          <w:rFonts w:ascii="Times New Roman" w:hAnsi="Times New Roman" w:cs="Times New Roman"/>
          <w:b/>
          <w:bCs/>
          <w:sz w:val="24"/>
          <w:szCs w:val="24"/>
        </w:rPr>
      </w:pPr>
    </w:p>
    <w:p w14:paraId="5887EDAD" w14:textId="6121A0FB" w:rsidR="00672F06" w:rsidRPr="00672F06" w:rsidRDefault="00672F06" w:rsidP="009C4E69">
      <w:pPr>
        <w:spacing w:after="0"/>
        <w:jc w:val="both"/>
        <w:rPr>
          <w:rFonts w:ascii="Times New Roman" w:hAnsi="Times New Roman" w:cs="Times New Roman"/>
          <w:b/>
          <w:bCs/>
          <w:sz w:val="24"/>
          <w:szCs w:val="24"/>
        </w:rPr>
      </w:pPr>
      <w:r w:rsidRPr="00672F06">
        <w:rPr>
          <w:rFonts w:ascii="Times New Roman" w:hAnsi="Times New Roman" w:cs="Times New Roman"/>
          <w:b/>
          <w:bCs/>
          <w:sz w:val="24"/>
          <w:szCs w:val="24"/>
        </w:rPr>
        <w:t>Practical Implications for Agricultural Education</w:t>
      </w:r>
    </w:p>
    <w:p w14:paraId="71B5EA40" w14:textId="2B4EF0AB" w:rsidR="00672F06" w:rsidRPr="009C4E69" w:rsidRDefault="00D4042F" w:rsidP="009C4E69">
      <w:pPr>
        <w:pStyle w:val="NormalWeb"/>
        <w:spacing w:before="0" w:beforeAutospacing="0"/>
        <w:jc w:val="both"/>
      </w:pPr>
      <w:r w:rsidRPr="009C4E69">
        <w:t xml:space="preserve">Communication skill gaps among graduates have been widely associated with reduced employability and limited professional effectiveness, particularly in sectors requiring stakeholder interaction and knowledge transfer (OECD, 2021). </w:t>
      </w:r>
      <w:r w:rsidR="00672F06" w:rsidRPr="009C4E69">
        <w:t>The findings highlight the need to strengthen communication skill development within higher agricultural education through systematic interventions. Agricultural universities should incorporate structured communication training, including scientific writing workshops, research presentation seminars, and extension communication exercises. Increasing credit allocation for communication-oriented courses and reducing excessive academic workload can provide students with greater opportunities to practice communication skills.</w:t>
      </w:r>
    </w:p>
    <w:p w14:paraId="14972694" w14:textId="35159DFB" w:rsidR="00672F06" w:rsidRPr="00672F06"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Institutional support systems such as regular training programs, mentorship, and access to communication experts can further enhance students’ communication competence. Experiential learning activities: including field interactions, group discussions, and stakeholder engagement can also improve students’ confidence and practical communication abilities. Balanced use of digital technologies is equally important. While ICT and artificial intelligence tools support learning, excessive reliance on them may reduce opportunities for active communication practice. Universities should therefore encourage responsible technology use while promoting interpersonal academic interactions.</w:t>
      </w:r>
    </w:p>
    <w:p w14:paraId="1F83C03C" w14:textId="1BD9CD12" w:rsidR="00672F06" w:rsidRPr="00672F06" w:rsidRDefault="00672F06" w:rsidP="009C4E69">
      <w:pPr>
        <w:spacing w:after="0"/>
        <w:jc w:val="both"/>
        <w:rPr>
          <w:rFonts w:ascii="Times New Roman" w:hAnsi="Times New Roman" w:cs="Times New Roman"/>
          <w:b/>
          <w:bCs/>
          <w:sz w:val="24"/>
          <w:szCs w:val="24"/>
        </w:rPr>
      </w:pPr>
      <w:r w:rsidRPr="00672F06">
        <w:rPr>
          <w:rFonts w:ascii="Times New Roman" w:hAnsi="Times New Roman" w:cs="Times New Roman"/>
          <w:b/>
          <w:bCs/>
          <w:sz w:val="24"/>
          <w:szCs w:val="24"/>
        </w:rPr>
        <w:t>Conclusion</w:t>
      </w:r>
      <w:r>
        <w:rPr>
          <w:rFonts w:ascii="Times New Roman" w:hAnsi="Times New Roman" w:cs="Times New Roman"/>
          <w:b/>
          <w:bCs/>
          <w:sz w:val="24"/>
          <w:szCs w:val="24"/>
        </w:rPr>
        <w:t xml:space="preserve"> </w:t>
      </w:r>
    </w:p>
    <w:p w14:paraId="249EB59A" w14:textId="4BBEDFEF" w:rsidR="00672F06" w:rsidRPr="00672F06" w:rsidRDefault="00672F06" w:rsidP="00672F06">
      <w:pPr>
        <w:jc w:val="both"/>
        <w:rPr>
          <w:rFonts w:ascii="Times New Roman" w:hAnsi="Times New Roman" w:cs="Times New Roman"/>
          <w:sz w:val="24"/>
          <w:szCs w:val="24"/>
        </w:rPr>
      </w:pPr>
      <w:r w:rsidRPr="00672F06">
        <w:rPr>
          <w:rFonts w:ascii="Times New Roman" w:hAnsi="Times New Roman" w:cs="Times New Roman"/>
          <w:sz w:val="24"/>
          <w:szCs w:val="24"/>
        </w:rPr>
        <w:t>This study systematically explored the multidimensional constraints affecting communication skill development among postgraduate students in higher agricultural education (HAE) in India. The findings confirm that communication competence is hindered by a complex</w:t>
      </w:r>
      <w:bookmarkStart w:id="0" w:name="_GoBack"/>
      <w:bookmarkEnd w:id="0"/>
      <w:r w:rsidRPr="00672F06">
        <w:rPr>
          <w:rFonts w:ascii="Times New Roman" w:hAnsi="Times New Roman" w:cs="Times New Roman"/>
          <w:sz w:val="24"/>
          <w:szCs w:val="24"/>
        </w:rPr>
        <w:t xml:space="preserve"> </w:t>
      </w:r>
      <w:r w:rsidRPr="00672F06">
        <w:rPr>
          <w:rFonts w:ascii="Times New Roman" w:hAnsi="Times New Roman" w:cs="Times New Roman"/>
          <w:sz w:val="24"/>
          <w:szCs w:val="24"/>
        </w:rPr>
        <w:lastRenderedPageBreak/>
        <w:t>interaction of personal, socio-economic, curricular, institutional, and ICT-related factors. The Garrett ranking analysis revealed that personal constraints, particularly lack of motivation and avoidance of challenging situations, emerged as major psychological barriers limiting students’ engagement in communication-oriented activities. These findings highlight the critical role of individual motivation and confidence in developing effective communication competence.</w:t>
      </w:r>
    </w:p>
    <w:p w14:paraId="45C820FF" w14:textId="60CE236E" w:rsidR="00672F06" w:rsidRPr="00672F06" w:rsidRDefault="00672F06" w:rsidP="00672F06">
      <w:pPr>
        <w:jc w:val="both"/>
        <w:rPr>
          <w:rFonts w:ascii="Times New Roman" w:hAnsi="Times New Roman" w:cs="Times New Roman"/>
          <w:sz w:val="24"/>
          <w:szCs w:val="24"/>
        </w:rPr>
      </w:pPr>
      <w:r w:rsidRPr="00672F06">
        <w:rPr>
          <w:rFonts w:ascii="Times New Roman" w:hAnsi="Times New Roman" w:cs="Times New Roman"/>
          <w:sz w:val="24"/>
          <w:szCs w:val="24"/>
        </w:rPr>
        <w:t>Curricular constraints also emerged as a significant barrier, particularly the heavy academic workload and limited credit allocation for communication-focused courses. This reflects a broader institutional challenge observed across higher education systems, where technical knowledge is often prioritized over soft skill development (Mishra, 2016). As a result, students may graduate with strong disciplinary expertise but insufficient opportunities to systematically develop communication competencies.</w:t>
      </w:r>
      <w:r>
        <w:rPr>
          <w:rFonts w:ascii="Times New Roman" w:hAnsi="Times New Roman" w:cs="Times New Roman"/>
          <w:sz w:val="24"/>
          <w:szCs w:val="24"/>
        </w:rPr>
        <w:t xml:space="preserve"> </w:t>
      </w:r>
      <w:r w:rsidRPr="00672F06">
        <w:rPr>
          <w:rFonts w:ascii="Times New Roman" w:hAnsi="Times New Roman" w:cs="Times New Roman"/>
          <w:sz w:val="24"/>
          <w:szCs w:val="24"/>
        </w:rPr>
        <w:t>A notable contribution of the study is the identification of emerging ICT-related challenges, particularly the extensive use of artificial intelligence and excessive screen time. These factors were ranked among the most significant constraints, suggesting that the rapid digitalization of learning environments may inadvertently reduce creativity, cognitive engagement, and interpersonal interaction. This finding reflects a growing global concern that excessive dependence on digital technologies may create new barriers to the development of essential interpersonal competencies required in modern professional environments (Lepp et al., 2014).</w:t>
      </w:r>
      <w:r>
        <w:rPr>
          <w:rFonts w:ascii="Times New Roman" w:hAnsi="Times New Roman" w:cs="Times New Roman"/>
          <w:sz w:val="24"/>
          <w:szCs w:val="24"/>
        </w:rPr>
        <w:t xml:space="preserve"> </w:t>
      </w:r>
      <w:r w:rsidRPr="00672F06">
        <w:rPr>
          <w:rFonts w:ascii="Times New Roman" w:hAnsi="Times New Roman" w:cs="Times New Roman"/>
          <w:sz w:val="24"/>
          <w:szCs w:val="24"/>
        </w:rPr>
        <w:t>Institutional and socio-economic factors further intensify these challenges. The lack of systematic communication training programs within institutions, combined with limited exposure to diverse communication contexts among students from rural or marginalized backgrounds, restricts opportunities for meaningful communication practice. These constraints mirror broader challenges faced by many developing countries in preparing graduates to function effectively within an increasingly globalized and knowledge-driven economy (Moore &amp; Morton, 2015; Bharathi, 2016).</w:t>
      </w:r>
    </w:p>
    <w:p w14:paraId="790F7E09" w14:textId="1F7DB680" w:rsidR="00672F06" w:rsidRDefault="00672F06" w:rsidP="00672F06">
      <w:pPr>
        <w:jc w:val="both"/>
        <w:rPr>
          <w:rFonts w:ascii="Times New Roman" w:hAnsi="Times New Roman" w:cs="Times New Roman"/>
          <w:sz w:val="24"/>
          <w:szCs w:val="24"/>
        </w:rPr>
      </w:pPr>
      <w:r w:rsidRPr="00672F06">
        <w:rPr>
          <w:rFonts w:ascii="Times New Roman" w:hAnsi="Times New Roman" w:cs="Times New Roman"/>
          <w:sz w:val="24"/>
          <w:szCs w:val="24"/>
        </w:rPr>
        <w:t>Addressing these multidimensional constraints requires a comprehensive and strategic approach. Curriculum reforms should integrate communication as a core credit-bearing competency, supported by structured training programs that build students’ confidence and encourage active participation in communication activities. At the same time, balanced use of ICT should be promoted to minimize the negative effects of excessive AI reliance and screen fatigue, while institutional initiatives should provide greater exposure to diverse communication environments.</w:t>
      </w:r>
      <w:r>
        <w:rPr>
          <w:rFonts w:ascii="Times New Roman" w:hAnsi="Times New Roman" w:cs="Times New Roman"/>
          <w:sz w:val="24"/>
          <w:szCs w:val="24"/>
        </w:rPr>
        <w:t xml:space="preserve"> </w:t>
      </w:r>
      <w:r w:rsidRPr="00672F06">
        <w:rPr>
          <w:rFonts w:ascii="Times New Roman" w:hAnsi="Times New Roman" w:cs="Times New Roman"/>
          <w:sz w:val="24"/>
          <w:szCs w:val="24"/>
        </w:rPr>
        <w:t>By implementing such integrated reforms, higher agricultural education institutions can foster a more holistic learning environment that equips future agricultural professionals with the communication competencies necessary to effectively engage with farmers, policymakers, researchers, and global stakeholders in addressing the complex challenges of modern food systems.</w:t>
      </w:r>
    </w:p>
    <w:p w14:paraId="56160EC5" w14:textId="77777777" w:rsidR="00FE22FF" w:rsidRDefault="00FE22FF" w:rsidP="00672F06">
      <w:pPr>
        <w:jc w:val="both"/>
        <w:rPr>
          <w:rFonts w:ascii="Times New Roman" w:hAnsi="Times New Roman" w:cs="Times New Roman"/>
          <w:sz w:val="24"/>
          <w:szCs w:val="24"/>
        </w:rPr>
      </w:pPr>
    </w:p>
    <w:p w14:paraId="34EB5AED" w14:textId="77777777" w:rsidR="00FE22FF" w:rsidRPr="00672F06" w:rsidRDefault="00FE22FF" w:rsidP="00FE22FF">
      <w:pPr>
        <w:spacing w:after="0"/>
        <w:jc w:val="both"/>
        <w:rPr>
          <w:rFonts w:ascii="Times New Roman" w:hAnsi="Times New Roman" w:cs="Times New Roman"/>
          <w:b/>
          <w:bCs/>
          <w:sz w:val="24"/>
          <w:szCs w:val="24"/>
        </w:rPr>
      </w:pPr>
      <w:r w:rsidRPr="00672F06">
        <w:rPr>
          <w:rFonts w:ascii="Times New Roman" w:hAnsi="Times New Roman" w:cs="Times New Roman"/>
          <w:b/>
          <w:bCs/>
          <w:sz w:val="24"/>
          <w:szCs w:val="24"/>
        </w:rPr>
        <w:t>Limitations and Future Research</w:t>
      </w:r>
    </w:p>
    <w:p w14:paraId="440C0CCA" w14:textId="77777777" w:rsidR="00FE22FF" w:rsidRPr="00672F06" w:rsidRDefault="00FE22FF" w:rsidP="00FE22FF">
      <w:pPr>
        <w:jc w:val="both"/>
        <w:rPr>
          <w:rFonts w:ascii="Times New Roman" w:hAnsi="Times New Roman" w:cs="Times New Roman"/>
          <w:sz w:val="24"/>
          <w:szCs w:val="24"/>
        </w:rPr>
      </w:pPr>
      <w:r w:rsidRPr="009C4E69">
        <w:rPr>
          <w:rFonts w:ascii="Times New Roman" w:hAnsi="Times New Roman" w:cs="Times New Roman"/>
          <w:sz w:val="24"/>
          <w:szCs w:val="24"/>
        </w:rPr>
        <w:t xml:space="preserve">This study relied primarily on students’ perceptions of communication constraints, which may not fully reflect actual communication performance. Future research may incorporate objective assessments such as evaluation of presentations or writing tasks. The study was conducted in three agricultural institutions, which may limit the generalizability of the findings. Expanding future research across more universities could provide a broader understanding of communication skill development challenges. Further research may also examine the impact </w:t>
      </w:r>
      <w:r w:rsidRPr="009C4E69">
        <w:rPr>
          <w:rFonts w:ascii="Times New Roman" w:hAnsi="Times New Roman" w:cs="Times New Roman"/>
          <w:sz w:val="24"/>
          <w:szCs w:val="24"/>
        </w:rPr>
        <w:lastRenderedPageBreak/>
        <w:t>of digital technologies and artificial intelligence on communication competence in</w:t>
      </w:r>
      <w:r w:rsidRPr="00672F06">
        <w:rPr>
          <w:rFonts w:ascii="Times New Roman" w:hAnsi="Times New Roman" w:cs="Times New Roman"/>
          <w:sz w:val="24"/>
          <w:szCs w:val="24"/>
        </w:rPr>
        <w:t xml:space="preserve"> higher education.</w:t>
      </w:r>
    </w:p>
    <w:p w14:paraId="184725AB" w14:textId="77777777" w:rsidR="00FE22FF" w:rsidRDefault="00FE22FF" w:rsidP="00672F06">
      <w:pPr>
        <w:jc w:val="both"/>
        <w:rPr>
          <w:rFonts w:ascii="Times New Roman" w:hAnsi="Times New Roman" w:cs="Times New Roman"/>
          <w:sz w:val="24"/>
          <w:szCs w:val="24"/>
        </w:rPr>
      </w:pPr>
    </w:p>
    <w:p w14:paraId="5740B502" w14:textId="77777777" w:rsidR="00FE22FF" w:rsidRPr="00FE22FF" w:rsidRDefault="00FE22FF" w:rsidP="00FE22FF">
      <w:pPr>
        <w:jc w:val="both"/>
        <w:rPr>
          <w:rFonts w:ascii="Times New Roman" w:hAnsi="Times New Roman" w:cs="Times New Roman"/>
          <w:sz w:val="24"/>
          <w:szCs w:val="24"/>
        </w:rPr>
      </w:pPr>
      <w:r w:rsidRPr="00FE22FF">
        <w:rPr>
          <w:rFonts w:ascii="Times New Roman" w:hAnsi="Times New Roman" w:cs="Times New Roman"/>
          <w:sz w:val="24"/>
          <w:szCs w:val="24"/>
        </w:rPr>
        <w:t>COMPETING INTERESTS DISCLAIMER:</w:t>
      </w:r>
    </w:p>
    <w:p w14:paraId="15BD0A4F" w14:textId="686CE7B7" w:rsidR="00FE22FF" w:rsidRPr="00672F06" w:rsidRDefault="00FE22FF" w:rsidP="00FE22FF">
      <w:pPr>
        <w:jc w:val="both"/>
        <w:rPr>
          <w:rFonts w:ascii="Times New Roman" w:hAnsi="Times New Roman" w:cs="Times New Roman"/>
          <w:sz w:val="24"/>
          <w:szCs w:val="24"/>
        </w:rPr>
      </w:pPr>
      <w:r w:rsidRPr="00FE22FF">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65BBCFB" w14:textId="77777777" w:rsidR="00C25039" w:rsidRPr="00D20C1B" w:rsidRDefault="00C25039" w:rsidP="00B03D88">
      <w:pPr>
        <w:jc w:val="both"/>
        <w:rPr>
          <w:rFonts w:ascii="Times New Roman" w:hAnsi="Times New Roman" w:cs="Times New Roman"/>
          <w:sz w:val="24"/>
          <w:szCs w:val="24"/>
        </w:rPr>
      </w:pPr>
    </w:p>
    <w:p w14:paraId="63F254AB" w14:textId="55485765" w:rsidR="00C2587E" w:rsidRDefault="00C2587E" w:rsidP="00C2587E">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6EBABB46" w14:textId="77777777" w:rsidR="009D18BF" w:rsidRPr="00260CBE" w:rsidRDefault="009D18BF" w:rsidP="00260CBE">
      <w:pPr>
        <w:spacing w:after="0" w:line="360" w:lineRule="auto"/>
        <w:ind w:left="720" w:hanging="720"/>
        <w:jc w:val="both"/>
        <w:rPr>
          <w:rFonts w:ascii="Times New Roman" w:hAnsi="Times New Roman" w:cs="Times New Roman"/>
          <w:sz w:val="24"/>
          <w:szCs w:val="24"/>
        </w:rPr>
      </w:pPr>
      <w:r w:rsidRPr="00260CBE">
        <w:rPr>
          <w:rFonts w:ascii="Times New Roman" w:hAnsi="Times New Roman" w:cs="Times New Roman"/>
          <w:sz w:val="24"/>
          <w:szCs w:val="24"/>
        </w:rPr>
        <w:t>Bharathi, A. V. (2016). Communication Skills- Core of Employability Skills</w:t>
      </w:r>
      <w:r w:rsidRPr="00260CBE">
        <w:rPr>
          <w:rFonts w:ascii="Times New Roman" w:hAnsi="Times New Roman" w:cs="Times New Roman"/>
          <w:i/>
          <w:sz w:val="24"/>
          <w:szCs w:val="24"/>
        </w:rPr>
        <w:t>:  Higher Learning Research Communication</w:t>
      </w:r>
      <w:r w:rsidRPr="00260CBE">
        <w:rPr>
          <w:rFonts w:ascii="Times New Roman" w:hAnsi="Times New Roman" w:cs="Times New Roman"/>
          <w:sz w:val="24"/>
          <w:szCs w:val="24"/>
        </w:rPr>
        <w:t>, 6(1).</w:t>
      </w:r>
    </w:p>
    <w:p w14:paraId="0CAF5ACD" w14:textId="77777777" w:rsidR="009D18BF" w:rsidRPr="00D4042F" w:rsidRDefault="009D18BF" w:rsidP="00D4042F">
      <w:pPr>
        <w:ind w:left="720" w:hanging="720"/>
        <w:jc w:val="both"/>
        <w:rPr>
          <w:rFonts w:ascii="Times New Roman" w:hAnsi="Times New Roman" w:cs="Times New Roman"/>
          <w:sz w:val="24"/>
          <w:szCs w:val="24"/>
        </w:rPr>
      </w:pPr>
      <w:r w:rsidRPr="00D4042F">
        <w:rPr>
          <w:rFonts w:ascii="Times New Roman" w:hAnsi="Times New Roman" w:cs="Times New Roman"/>
          <w:sz w:val="24"/>
          <w:szCs w:val="24"/>
        </w:rPr>
        <w:t>Canton, H. (2021). Organisation for economic co-operation and development—OECD. In </w:t>
      </w:r>
      <w:r w:rsidRPr="00D4042F">
        <w:rPr>
          <w:rFonts w:ascii="Times New Roman" w:hAnsi="Times New Roman" w:cs="Times New Roman"/>
          <w:i/>
          <w:iCs/>
          <w:sz w:val="24"/>
          <w:szCs w:val="24"/>
        </w:rPr>
        <w:t>The Europa directory of international organizations 2021</w:t>
      </w:r>
      <w:r w:rsidRPr="00D4042F">
        <w:rPr>
          <w:rFonts w:ascii="Times New Roman" w:hAnsi="Times New Roman" w:cs="Times New Roman"/>
          <w:sz w:val="24"/>
          <w:szCs w:val="24"/>
        </w:rPr>
        <w:t> (pp. 677-687). Routledge.</w:t>
      </w:r>
    </w:p>
    <w:p w14:paraId="3E3B3361" w14:textId="77777777" w:rsidR="009D18BF" w:rsidRPr="00967C33" w:rsidRDefault="009D18BF" w:rsidP="00967C33">
      <w:pPr>
        <w:spacing w:before="100" w:beforeAutospacing="1" w:after="100" w:afterAutospacing="1" w:line="240" w:lineRule="auto"/>
        <w:ind w:left="720" w:hanging="720"/>
        <w:rPr>
          <w:rFonts w:ascii="Times New Roman" w:eastAsia="Times New Roman" w:hAnsi="Times New Roman" w:cs="Times New Roman"/>
          <w:kern w:val="0"/>
          <w:sz w:val="24"/>
          <w:szCs w:val="24"/>
          <w:lang w:eastAsia="en-IN"/>
          <w14:ligatures w14:val="none"/>
        </w:rPr>
      </w:pPr>
      <w:r w:rsidRPr="00967C33">
        <w:rPr>
          <w:rFonts w:ascii="Times New Roman" w:eastAsia="Times New Roman" w:hAnsi="Times New Roman" w:cs="Times New Roman"/>
          <w:kern w:val="0"/>
          <w:sz w:val="24"/>
          <w:szCs w:val="24"/>
          <w:lang w:eastAsia="en-IN"/>
          <w14:ligatures w14:val="none"/>
        </w:rPr>
        <w:t>Cramer, D. (2003). </w:t>
      </w:r>
      <w:r w:rsidRPr="00967C33">
        <w:rPr>
          <w:rFonts w:ascii="Times New Roman" w:eastAsia="Times New Roman" w:hAnsi="Times New Roman" w:cs="Times New Roman"/>
          <w:i/>
          <w:iCs/>
          <w:kern w:val="0"/>
          <w:sz w:val="24"/>
          <w:szCs w:val="24"/>
          <w:lang w:eastAsia="en-IN"/>
          <w14:ligatures w14:val="none"/>
        </w:rPr>
        <w:t>Advanced quantitative data analysis</w:t>
      </w:r>
      <w:r w:rsidRPr="00967C33">
        <w:rPr>
          <w:rFonts w:ascii="Times New Roman" w:eastAsia="Times New Roman" w:hAnsi="Times New Roman" w:cs="Times New Roman"/>
          <w:kern w:val="0"/>
          <w:sz w:val="24"/>
          <w:szCs w:val="24"/>
          <w:lang w:eastAsia="en-IN"/>
          <w14:ligatures w14:val="none"/>
        </w:rPr>
        <w:t>. McGraw-Hill Education (UK).</w:t>
      </w:r>
    </w:p>
    <w:p w14:paraId="002EDFF7" w14:textId="77777777" w:rsidR="009D18BF" w:rsidRDefault="009D18BF" w:rsidP="00C500FC">
      <w:pPr>
        <w:ind w:left="720" w:hanging="720"/>
        <w:jc w:val="both"/>
        <w:rPr>
          <w:rFonts w:ascii="Times New Roman" w:hAnsi="Times New Roman" w:cs="Times New Roman"/>
          <w:sz w:val="24"/>
          <w:szCs w:val="24"/>
        </w:rPr>
      </w:pPr>
      <w:r w:rsidRPr="00615D39">
        <w:rPr>
          <w:rFonts w:ascii="Times New Roman" w:hAnsi="Times New Roman" w:cs="Times New Roman"/>
          <w:sz w:val="24"/>
          <w:szCs w:val="24"/>
        </w:rPr>
        <w:t>Custer, R. L., Scarcella, J. A., &amp; Stewart, B. R. (1999). The modified Delphi technique-A rotational modification.</w:t>
      </w:r>
      <w:r w:rsidRPr="00051478">
        <w:t xml:space="preserve"> </w:t>
      </w:r>
      <w:hyperlink r:id="rId8" w:history="1">
        <w:r w:rsidRPr="009D18EC">
          <w:rPr>
            <w:rStyle w:val="Hyperlink"/>
            <w:rFonts w:ascii="Times New Roman" w:hAnsi="Times New Roman" w:cs="Times New Roman"/>
            <w:sz w:val="24"/>
            <w:szCs w:val="24"/>
          </w:rPr>
          <w:t>https://doi.org/10.21061/jcte.v15i2.702</w:t>
        </w:r>
      </w:hyperlink>
      <w:r>
        <w:rPr>
          <w:rFonts w:ascii="Times New Roman" w:hAnsi="Times New Roman" w:cs="Times New Roman"/>
          <w:sz w:val="24"/>
          <w:szCs w:val="24"/>
        </w:rPr>
        <w:t xml:space="preserve"> </w:t>
      </w:r>
    </w:p>
    <w:p w14:paraId="2152C466" w14:textId="77777777" w:rsidR="009D18BF" w:rsidRPr="000723D2" w:rsidRDefault="009D18BF" w:rsidP="00C500FC">
      <w:pPr>
        <w:ind w:left="720" w:hanging="720"/>
        <w:jc w:val="both"/>
        <w:rPr>
          <w:rFonts w:ascii="Times New Roman" w:hAnsi="Times New Roman" w:cs="Times New Roman"/>
          <w:sz w:val="24"/>
          <w:szCs w:val="24"/>
        </w:rPr>
      </w:pPr>
      <w:r w:rsidRPr="00D74120">
        <w:rPr>
          <w:rFonts w:ascii="Times New Roman" w:hAnsi="Times New Roman" w:cs="Times New Roman"/>
          <w:sz w:val="24"/>
          <w:szCs w:val="24"/>
        </w:rPr>
        <w:t>Dalkey, N. C., &amp; Rourke, D. L. (1971). Experimental Assessment of Delphi Procedures with Group Value Judgments.</w:t>
      </w:r>
    </w:p>
    <w:p w14:paraId="7F454356" w14:textId="77777777" w:rsidR="009D18BF" w:rsidRDefault="009D18BF" w:rsidP="00454792">
      <w:pPr>
        <w:pStyle w:val="NormalWeb"/>
        <w:ind w:left="720" w:hanging="720"/>
      </w:pPr>
      <w:r>
        <w:t xml:space="preserve">Dalkey, N. C., &amp; Rourke, D. L. (1972). </w:t>
      </w:r>
      <w:r>
        <w:rPr>
          <w:rStyle w:val="Emphasis"/>
          <w:rFonts w:eastAsiaTheme="majorEastAsia"/>
        </w:rPr>
        <w:t>Experimental assessment of Delphi procedures with group value judgments</w:t>
      </w:r>
      <w:r>
        <w:t>. RAND Corporation.</w:t>
      </w:r>
    </w:p>
    <w:p w14:paraId="1F353102" w14:textId="77777777" w:rsidR="009D18BF" w:rsidRDefault="009D18BF" w:rsidP="00454792">
      <w:pPr>
        <w:pStyle w:val="NormalWeb"/>
        <w:ind w:left="720" w:hanging="720"/>
      </w:pPr>
      <w:r w:rsidRPr="00E47D57">
        <w:t xml:space="preserve">De Vet, H. C., De Bie, R. A., Van Der Heijden, G. J., Verhagen, A. P., </w:t>
      </w:r>
      <w:proofErr w:type="spellStart"/>
      <w:r w:rsidRPr="00E47D57">
        <w:t>Sijpkes</w:t>
      </w:r>
      <w:proofErr w:type="spellEnd"/>
      <w:r w:rsidRPr="00E47D57">
        <w:t xml:space="preserve">, P., &amp; </w:t>
      </w:r>
      <w:proofErr w:type="spellStart"/>
      <w:r w:rsidRPr="00E47D57">
        <w:t>Knipschild</w:t>
      </w:r>
      <w:proofErr w:type="spellEnd"/>
      <w:r w:rsidRPr="00E47D57">
        <w:t>, P. G. (1997). Systematic reviews on the basis of methodological criteria. </w:t>
      </w:r>
      <w:r w:rsidRPr="00E47D57">
        <w:rPr>
          <w:i/>
          <w:iCs/>
        </w:rPr>
        <w:t>Physiotherapy</w:t>
      </w:r>
      <w:r w:rsidRPr="00E47D57">
        <w:t>, </w:t>
      </w:r>
      <w:r w:rsidRPr="00E47D57">
        <w:rPr>
          <w:i/>
          <w:iCs/>
        </w:rPr>
        <w:t>83</w:t>
      </w:r>
      <w:r w:rsidRPr="00E47D57">
        <w:t>(6), 284-289.</w:t>
      </w:r>
      <w:r>
        <w:t xml:space="preserve"> </w:t>
      </w:r>
      <w:hyperlink r:id="rId9" w:tgtFrame="_blank" w:tooltip="Persistent link using digital object identifier" w:history="1">
        <w:r w:rsidRPr="00E17980">
          <w:rPr>
            <w:rStyle w:val="Hyperlink"/>
          </w:rPr>
          <w:t>https://doi.org/10.1016/S0031-9406(05)66175-5</w:t>
        </w:r>
      </w:hyperlink>
    </w:p>
    <w:p w14:paraId="56A5C974" w14:textId="77777777" w:rsidR="009D18BF" w:rsidRDefault="009D18BF" w:rsidP="00124EC0">
      <w:pPr>
        <w:ind w:left="720" w:hanging="720"/>
        <w:jc w:val="both"/>
        <w:rPr>
          <w:rFonts w:ascii="Times New Roman" w:hAnsi="Times New Roman" w:cs="Times New Roman"/>
          <w:sz w:val="24"/>
          <w:szCs w:val="24"/>
        </w:rPr>
      </w:pPr>
      <w:proofErr w:type="spellStart"/>
      <w:r w:rsidRPr="00142B8C">
        <w:rPr>
          <w:rFonts w:ascii="Times New Roman" w:hAnsi="Times New Roman" w:cs="Times New Roman"/>
          <w:sz w:val="24"/>
          <w:szCs w:val="24"/>
        </w:rPr>
        <w:t>Delbecq</w:t>
      </w:r>
      <w:proofErr w:type="spellEnd"/>
      <w:r w:rsidRPr="00142B8C">
        <w:rPr>
          <w:rFonts w:ascii="Times New Roman" w:hAnsi="Times New Roman" w:cs="Times New Roman"/>
          <w:sz w:val="24"/>
          <w:szCs w:val="24"/>
        </w:rPr>
        <w:t xml:space="preserve">, A. L., Van de Ven, A. H., &amp; Gustafson, D. H. (1975). </w:t>
      </w:r>
      <w:r w:rsidRPr="00142B8C">
        <w:rPr>
          <w:rFonts w:ascii="Times New Roman" w:hAnsi="Times New Roman" w:cs="Times New Roman"/>
          <w:i/>
          <w:iCs/>
          <w:sz w:val="24"/>
          <w:szCs w:val="24"/>
        </w:rPr>
        <w:t>Group techniques for program planning: A guide to nominal group and Delphi processes</w:t>
      </w:r>
      <w:r w:rsidRPr="00142B8C">
        <w:rPr>
          <w:rFonts w:ascii="Times New Roman" w:hAnsi="Times New Roman" w:cs="Times New Roman"/>
          <w:sz w:val="24"/>
          <w:szCs w:val="24"/>
        </w:rPr>
        <w:t>. Scott Foresman.</w:t>
      </w:r>
    </w:p>
    <w:p w14:paraId="312E5C08" w14:textId="77777777" w:rsidR="009D18BF" w:rsidRPr="00D363BD" w:rsidRDefault="009D18BF" w:rsidP="00D363BD">
      <w:pPr>
        <w:ind w:left="720" w:hanging="720"/>
        <w:jc w:val="both"/>
        <w:rPr>
          <w:rFonts w:ascii="Times New Roman" w:hAnsi="Times New Roman" w:cs="Times New Roman"/>
          <w:sz w:val="24"/>
          <w:szCs w:val="24"/>
        </w:rPr>
      </w:pPr>
      <w:r w:rsidRPr="00D363BD">
        <w:rPr>
          <w:rFonts w:ascii="Times New Roman" w:hAnsi="Times New Roman" w:cs="Times New Roman"/>
          <w:sz w:val="24"/>
          <w:szCs w:val="24"/>
        </w:rPr>
        <w:t xml:space="preserve">Devi, S., &amp; Chauhan, N. M. (2020). Developing communication skills among agricultural graduates: Issues and prospects. </w:t>
      </w:r>
      <w:r w:rsidRPr="00D363BD">
        <w:rPr>
          <w:rFonts w:ascii="Times New Roman" w:hAnsi="Times New Roman" w:cs="Times New Roman"/>
          <w:i/>
          <w:iCs/>
          <w:sz w:val="24"/>
          <w:szCs w:val="24"/>
        </w:rPr>
        <w:t>Indian Research Journal of Extension Education, 20</w:t>
      </w:r>
      <w:r w:rsidRPr="00D363BD">
        <w:rPr>
          <w:rFonts w:ascii="Times New Roman" w:hAnsi="Times New Roman" w:cs="Times New Roman"/>
          <w:sz w:val="24"/>
          <w:szCs w:val="24"/>
        </w:rPr>
        <w:t>(2), 112–116.</w:t>
      </w:r>
    </w:p>
    <w:p w14:paraId="5A8D602B" w14:textId="77777777" w:rsidR="009D18BF" w:rsidRDefault="009D18BF" w:rsidP="00C33149">
      <w:pPr>
        <w:pStyle w:val="NormalWeb"/>
        <w:ind w:left="720" w:hanging="720"/>
      </w:pPr>
      <w:r>
        <w:t xml:space="preserve">Duncan, E., Nicol, M. M., &amp; Ager, A. (2014). Consensus in research: The Delphi method. </w:t>
      </w:r>
      <w:r>
        <w:rPr>
          <w:rStyle w:val="Emphasis"/>
          <w:rFonts w:eastAsiaTheme="majorEastAsia"/>
        </w:rPr>
        <w:t>Nurse Researcher, 21</w:t>
      </w:r>
      <w:r>
        <w:t>(3), 21–25.</w:t>
      </w:r>
    </w:p>
    <w:p w14:paraId="7CAF3379" w14:textId="77777777" w:rsidR="009D18BF" w:rsidRDefault="009D18BF" w:rsidP="00C33149">
      <w:pPr>
        <w:pStyle w:val="NormalWeb"/>
        <w:ind w:left="720" w:hanging="720"/>
      </w:pPr>
      <w:r w:rsidRPr="00386CAD">
        <w:t>Garrett, H. E., &amp; Woodworth, R. S. (1969). Statistics in psychology and education (6th ed.). Bombay: Vakils, Feffer and Simons Ltd.</w:t>
      </w:r>
    </w:p>
    <w:p w14:paraId="6856B1B3" w14:textId="77777777" w:rsidR="009D18BF" w:rsidRDefault="009D18BF" w:rsidP="000D300C">
      <w:pPr>
        <w:ind w:left="720" w:hanging="720"/>
        <w:jc w:val="both"/>
        <w:rPr>
          <w:rFonts w:ascii="Times New Roman" w:hAnsi="Times New Roman" w:cs="Times New Roman"/>
          <w:sz w:val="24"/>
          <w:szCs w:val="24"/>
        </w:rPr>
      </w:pPr>
      <w:r w:rsidRPr="003F47AC">
        <w:rPr>
          <w:rFonts w:ascii="Times New Roman" w:hAnsi="Times New Roman" w:cs="Times New Roman"/>
          <w:sz w:val="24"/>
          <w:szCs w:val="24"/>
        </w:rPr>
        <w:lastRenderedPageBreak/>
        <w:t xml:space="preserve">Gündüz, A. Y. (2023). The importance of investigating students’ lifelong learning levels and perceptions of 21st-century skills. </w:t>
      </w:r>
      <w:r w:rsidRPr="003F47AC">
        <w:rPr>
          <w:rFonts w:ascii="Times New Roman" w:hAnsi="Times New Roman" w:cs="Times New Roman"/>
          <w:i/>
          <w:iCs/>
          <w:sz w:val="24"/>
          <w:szCs w:val="24"/>
        </w:rPr>
        <w:t>International e-Journal of Educational Studies, 7</w:t>
      </w:r>
      <w:r w:rsidRPr="003F47AC">
        <w:rPr>
          <w:rFonts w:ascii="Times New Roman" w:hAnsi="Times New Roman" w:cs="Times New Roman"/>
          <w:sz w:val="24"/>
          <w:szCs w:val="24"/>
        </w:rPr>
        <w:t xml:space="preserve">(15), 788–796. </w:t>
      </w:r>
      <w:hyperlink r:id="rId10" w:tgtFrame="_new" w:history="1">
        <w:r w:rsidRPr="003F47AC">
          <w:rPr>
            <w:rStyle w:val="Hyperlink"/>
            <w:rFonts w:ascii="Times New Roman" w:hAnsi="Times New Roman" w:cs="Times New Roman"/>
            <w:sz w:val="24"/>
            <w:szCs w:val="24"/>
          </w:rPr>
          <w:t>https://doi.org/10.31458/iejes.1346220</w:t>
        </w:r>
      </w:hyperlink>
    </w:p>
    <w:p w14:paraId="60EC0CE5" w14:textId="77777777" w:rsidR="009D18BF" w:rsidRDefault="009D18BF" w:rsidP="00923994">
      <w:pPr>
        <w:ind w:left="720" w:hanging="720"/>
        <w:jc w:val="both"/>
        <w:rPr>
          <w:rFonts w:ascii="Times New Roman" w:hAnsi="Times New Roman" w:cs="Times New Roman"/>
          <w:sz w:val="24"/>
          <w:szCs w:val="24"/>
        </w:rPr>
      </w:pPr>
      <w:r w:rsidRPr="00923994">
        <w:rPr>
          <w:rFonts w:ascii="Times New Roman" w:hAnsi="Times New Roman" w:cs="Times New Roman"/>
          <w:sz w:val="24"/>
          <w:szCs w:val="24"/>
        </w:rPr>
        <w:t>Hasan, S., Nasreen, S., &amp; Rasul, S. S. U. (2025). Leveraging artificial intelligence (ai) in</w:t>
      </w:r>
      <w:r>
        <w:rPr>
          <w:rFonts w:ascii="Times New Roman" w:hAnsi="Times New Roman" w:cs="Times New Roman"/>
          <w:sz w:val="24"/>
          <w:szCs w:val="24"/>
        </w:rPr>
        <w:t xml:space="preserve"> </w:t>
      </w:r>
      <w:r w:rsidRPr="00923994">
        <w:rPr>
          <w:rFonts w:ascii="Times New Roman" w:hAnsi="Times New Roman" w:cs="Times New Roman"/>
          <w:sz w:val="24"/>
          <w:szCs w:val="24"/>
        </w:rPr>
        <w:t>higher education: fostering soft skills communication, collaboration, creativity and critical among university students. </w:t>
      </w:r>
      <w:r w:rsidRPr="00923994">
        <w:rPr>
          <w:rFonts w:ascii="Times New Roman" w:hAnsi="Times New Roman" w:cs="Times New Roman"/>
          <w:i/>
          <w:iCs/>
          <w:sz w:val="24"/>
          <w:szCs w:val="24"/>
        </w:rPr>
        <w:t>Insights-Journal of Life and Social Sciences</w:t>
      </w:r>
      <w:r w:rsidRPr="00923994">
        <w:rPr>
          <w:rFonts w:ascii="Times New Roman" w:hAnsi="Times New Roman" w:cs="Times New Roman"/>
          <w:sz w:val="24"/>
          <w:szCs w:val="24"/>
        </w:rPr>
        <w:t>, </w:t>
      </w:r>
      <w:r w:rsidRPr="00923994">
        <w:rPr>
          <w:rFonts w:ascii="Times New Roman" w:hAnsi="Times New Roman" w:cs="Times New Roman"/>
          <w:i/>
          <w:iCs/>
          <w:sz w:val="24"/>
          <w:szCs w:val="24"/>
        </w:rPr>
        <w:t>3</w:t>
      </w:r>
      <w:r w:rsidRPr="00923994">
        <w:rPr>
          <w:rFonts w:ascii="Times New Roman" w:hAnsi="Times New Roman" w:cs="Times New Roman"/>
          <w:sz w:val="24"/>
          <w:szCs w:val="24"/>
        </w:rPr>
        <w:t>(4), 1-7.</w:t>
      </w:r>
      <w:r>
        <w:rPr>
          <w:rFonts w:ascii="Times New Roman" w:hAnsi="Times New Roman" w:cs="Times New Roman"/>
          <w:sz w:val="24"/>
          <w:szCs w:val="24"/>
        </w:rPr>
        <w:t xml:space="preserve">  </w:t>
      </w:r>
      <w:hyperlink r:id="rId11" w:history="1">
        <w:r w:rsidRPr="00923994">
          <w:rPr>
            <w:rStyle w:val="Hyperlink"/>
            <w:rFonts w:ascii="Times New Roman" w:hAnsi="Times New Roman" w:cs="Times New Roman"/>
            <w:sz w:val="24"/>
            <w:szCs w:val="24"/>
          </w:rPr>
          <w:t>https://insightsjlss.com/index.php/home/article/view/133</w:t>
        </w:r>
      </w:hyperlink>
    </w:p>
    <w:p w14:paraId="5AB7AA78" w14:textId="77777777" w:rsidR="009D18BF" w:rsidRPr="00D363BD" w:rsidRDefault="009D18BF" w:rsidP="00D363BD">
      <w:pPr>
        <w:ind w:left="720" w:hanging="720"/>
        <w:jc w:val="both"/>
        <w:rPr>
          <w:rFonts w:ascii="Times New Roman" w:hAnsi="Times New Roman" w:cs="Times New Roman"/>
          <w:sz w:val="24"/>
          <w:szCs w:val="24"/>
        </w:rPr>
      </w:pPr>
      <w:r w:rsidRPr="00D363BD">
        <w:rPr>
          <w:rFonts w:ascii="Times New Roman" w:hAnsi="Times New Roman" w:cs="Times New Roman"/>
          <w:sz w:val="24"/>
          <w:szCs w:val="24"/>
        </w:rPr>
        <w:t xml:space="preserve">Hynes, M. (2009). Developing professionals’ communication skills for the globalized workplace. </w:t>
      </w:r>
      <w:r w:rsidRPr="00D363BD">
        <w:rPr>
          <w:rFonts w:ascii="Times New Roman" w:hAnsi="Times New Roman" w:cs="Times New Roman"/>
          <w:i/>
          <w:iCs/>
          <w:sz w:val="24"/>
          <w:szCs w:val="24"/>
        </w:rPr>
        <w:t>Journal of Workplace Learning, 21</w:t>
      </w:r>
      <w:r w:rsidRPr="00D363BD">
        <w:rPr>
          <w:rFonts w:ascii="Times New Roman" w:hAnsi="Times New Roman" w:cs="Times New Roman"/>
          <w:sz w:val="24"/>
          <w:szCs w:val="24"/>
        </w:rPr>
        <w:t>(6), 480–497.</w:t>
      </w:r>
    </w:p>
    <w:p w14:paraId="5313B268" w14:textId="77777777" w:rsidR="009D18BF" w:rsidRDefault="009D18BF" w:rsidP="00C33149">
      <w:pPr>
        <w:pStyle w:val="NormalWeb"/>
        <w:ind w:left="720" w:hanging="720"/>
      </w:pPr>
      <w:r w:rsidRPr="00EB370A">
        <w:t>Jacobs, J. M. (1996). </w:t>
      </w:r>
      <w:r w:rsidRPr="00EB370A">
        <w:rPr>
          <w:i/>
          <w:iCs/>
        </w:rPr>
        <w:t>Essential assessment criteria for physical education teacher education programs: A Delphi study</w:t>
      </w:r>
      <w:r w:rsidRPr="00EB370A">
        <w:t>. West Virginia University.</w:t>
      </w:r>
    </w:p>
    <w:p w14:paraId="35B02071" w14:textId="77777777" w:rsidR="009D18BF" w:rsidRPr="00923994" w:rsidRDefault="009D18BF" w:rsidP="00923994">
      <w:pPr>
        <w:ind w:left="720" w:hanging="720"/>
        <w:jc w:val="both"/>
        <w:rPr>
          <w:rFonts w:ascii="Times New Roman" w:hAnsi="Times New Roman" w:cs="Times New Roman"/>
          <w:sz w:val="24"/>
          <w:szCs w:val="24"/>
        </w:rPr>
      </w:pPr>
      <w:proofErr w:type="spellStart"/>
      <w:r w:rsidRPr="009B446F">
        <w:rPr>
          <w:rFonts w:ascii="Times New Roman" w:hAnsi="Times New Roman" w:cs="Times New Roman"/>
          <w:sz w:val="24"/>
          <w:szCs w:val="24"/>
        </w:rPr>
        <w:t>Kaşarcı</w:t>
      </w:r>
      <w:proofErr w:type="spellEnd"/>
      <w:r w:rsidRPr="009B446F">
        <w:rPr>
          <w:rFonts w:ascii="Times New Roman" w:hAnsi="Times New Roman" w:cs="Times New Roman"/>
          <w:sz w:val="24"/>
          <w:szCs w:val="24"/>
        </w:rPr>
        <w:t>, İ., Demircan, Z. A., Ercan, G. Ç., &amp; İnci, T. (2025). Managing artificial intelligence ethics in higher education: A systematic framework for issues and policy recommendations. </w:t>
      </w:r>
      <w:r w:rsidRPr="009B446F">
        <w:rPr>
          <w:rFonts w:ascii="Times New Roman" w:hAnsi="Times New Roman" w:cs="Times New Roman"/>
          <w:i/>
          <w:iCs/>
          <w:sz w:val="24"/>
          <w:szCs w:val="24"/>
        </w:rPr>
        <w:t>International Journal of Current Educational Studies</w:t>
      </w:r>
      <w:r w:rsidRPr="009B446F">
        <w:rPr>
          <w:rFonts w:ascii="Times New Roman" w:hAnsi="Times New Roman" w:cs="Times New Roman"/>
          <w:sz w:val="24"/>
          <w:szCs w:val="24"/>
        </w:rPr>
        <w:t>, </w:t>
      </w:r>
      <w:r w:rsidRPr="009B446F">
        <w:rPr>
          <w:rFonts w:ascii="Times New Roman" w:hAnsi="Times New Roman" w:cs="Times New Roman"/>
          <w:i/>
          <w:iCs/>
          <w:sz w:val="24"/>
          <w:szCs w:val="24"/>
        </w:rPr>
        <w:t>4</w:t>
      </w:r>
      <w:r w:rsidRPr="009B446F">
        <w:rPr>
          <w:rFonts w:ascii="Times New Roman" w:hAnsi="Times New Roman" w:cs="Times New Roman"/>
          <w:sz w:val="24"/>
          <w:szCs w:val="24"/>
        </w:rPr>
        <w:t>(2), 112-137.</w:t>
      </w:r>
      <w:r>
        <w:rPr>
          <w:rFonts w:ascii="Times New Roman" w:hAnsi="Times New Roman" w:cs="Times New Roman"/>
          <w:sz w:val="24"/>
          <w:szCs w:val="24"/>
        </w:rPr>
        <w:t xml:space="preserve"> </w:t>
      </w:r>
      <w:hyperlink r:id="rId12" w:history="1">
        <w:r w:rsidRPr="009B446F">
          <w:rPr>
            <w:rStyle w:val="Hyperlink"/>
            <w:rFonts w:ascii="Times New Roman" w:hAnsi="Times New Roman" w:cs="Times New Roman"/>
            <w:sz w:val="24"/>
            <w:szCs w:val="24"/>
          </w:rPr>
          <w:t>https://doi.org/10.46328/ijces.223</w:t>
        </w:r>
      </w:hyperlink>
    </w:p>
    <w:p w14:paraId="40D94EAA" w14:textId="77777777" w:rsidR="009D18BF" w:rsidRDefault="009D18BF" w:rsidP="001015FF">
      <w:pPr>
        <w:pStyle w:val="NormalWeb"/>
      </w:pPr>
      <w:r>
        <w:t xml:space="preserve">Kelly, G. A. (1991). </w:t>
      </w:r>
      <w:r>
        <w:rPr>
          <w:rStyle w:val="Emphasis"/>
          <w:rFonts w:eastAsiaTheme="majorEastAsia"/>
        </w:rPr>
        <w:t>The psychology of personal constructs</w:t>
      </w:r>
      <w:r>
        <w:t>. Routledge.</w:t>
      </w:r>
    </w:p>
    <w:p w14:paraId="6BABB1C3" w14:textId="77777777" w:rsidR="009D18BF" w:rsidRPr="00D363BD" w:rsidRDefault="009D18BF" w:rsidP="00D363BD">
      <w:pPr>
        <w:ind w:left="720" w:hanging="720"/>
        <w:jc w:val="both"/>
        <w:rPr>
          <w:rFonts w:ascii="Times New Roman" w:hAnsi="Times New Roman" w:cs="Times New Roman"/>
          <w:sz w:val="24"/>
          <w:szCs w:val="24"/>
        </w:rPr>
      </w:pPr>
      <w:r w:rsidRPr="00D363BD">
        <w:rPr>
          <w:rFonts w:ascii="Times New Roman" w:hAnsi="Times New Roman" w:cs="Times New Roman"/>
          <w:sz w:val="24"/>
          <w:szCs w:val="24"/>
        </w:rPr>
        <w:t xml:space="preserve">Kumar, R., &amp; Rani, S. (2021). Socio-cultural determinants of communication skills among rural students in higher education. </w:t>
      </w:r>
      <w:r w:rsidRPr="00D363BD">
        <w:rPr>
          <w:rFonts w:ascii="Times New Roman" w:hAnsi="Times New Roman" w:cs="Times New Roman"/>
          <w:i/>
          <w:iCs/>
          <w:sz w:val="24"/>
          <w:szCs w:val="24"/>
        </w:rPr>
        <w:t>Journal of Community Mobilization and Sustainable Development, 16</w:t>
      </w:r>
      <w:r w:rsidRPr="00D363BD">
        <w:rPr>
          <w:rFonts w:ascii="Times New Roman" w:hAnsi="Times New Roman" w:cs="Times New Roman"/>
          <w:sz w:val="24"/>
          <w:szCs w:val="24"/>
        </w:rPr>
        <w:t>(1), 146–151.</w:t>
      </w:r>
    </w:p>
    <w:p w14:paraId="34CF7629" w14:textId="77777777" w:rsidR="009D18BF" w:rsidRDefault="009D18BF" w:rsidP="00C33149">
      <w:pPr>
        <w:pStyle w:val="NormalWeb"/>
        <w:ind w:left="720" w:hanging="720"/>
      </w:pPr>
      <w:r w:rsidRPr="000C0E08">
        <w:t>Lang, T. (1995). An overview of four futures methodologies. </w:t>
      </w:r>
      <w:r w:rsidRPr="000C0E08">
        <w:rPr>
          <w:i/>
          <w:iCs/>
        </w:rPr>
        <w:t>Manoa Journal of Fried and Half-Fried Ideas</w:t>
      </w:r>
      <w:r w:rsidRPr="000C0E08">
        <w:t>, </w:t>
      </w:r>
      <w:r w:rsidRPr="000C0E08">
        <w:rPr>
          <w:i/>
          <w:iCs/>
        </w:rPr>
        <w:t>7</w:t>
      </w:r>
      <w:r w:rsidRPr="000C0E08">
        <w:t>, 1-43.</w:t>
      </w:r>
    </w:p>
    <w:p w14:paraId="15F4C12A" w14:textId="77777777" w:rsidR="009D18BF" w:rsidRDefault="009D18BF" w:rsidP="00682A96">
      <w:pPr>
        <w:pStyle w:val="NormalWeb"/>
        <w:ind w:left="720" w:hanging="720"/>
      </w:pPr>
      <w:r>
        <w:t xml:space="preserve">Lepp, A., Barkley, J. E., &amp; Karpinski, A. C. (2014). The relationship between cell phone use, academic performance, anxiety, and satisfaction with life in college students. </w:t>
      </w:r>
      <w:r>
        <w:rPr>
          <w:rStyle w:val="Emphasis"/>
          <w:rFonts w:eastAsiaTheme="majorEastAsia"/>
        </w:rPr>
        <w:t>Computers in Human Behavior, 31</w:t>
      </w:r>
      <w:r>
        <w:t xml:space="preserve">, 343–350. </w:t>
      </w:r>
      <w:hyperlink r:id="rId13" w:history="1">
        <w:r w:rsidRPr="00553E45">
          <w:rPr>
            <w:rStyle w:val="Hyperlink"/>
          </w:rPr>
          <w:t>https://doi.org/10.1016/j.chb.2013.10.049</w:t>
        </w:r>
      </w:hyperlink>
      <w:r>
        <w:t xml:space="preserve"> </w:t>
      </w:r>
    </w:p>
    <w:p w14:paraId="69A3198F" w14:textId="77777777" w:rsidR="009D18BF" w:rsidRPr="00682A96" w:rsidRDefault="009D18BF" w:rsidP="00682A96">
      <w:pPr>
        <w:pStyle w:val="NormalWeb"/>
        <w:ind w:left="720" w:hanging="720"/>
      </w:pPr>
      <w:proofErr w:type="spellStart"/>
      <w:r w:rsidRPr="00682A96">
        <w:t>Linstone</w:t>
      </w:r>
      <w:proofErr w:type="spellEnd"/>
      <w:r w:rsidRPr="00682A96">
        <w:t>, H. A., &amp; Turoff, M. (Eds.). (1975). </w:t>
      </w:r>
      <w:r w:rsidRPr="00682A96">
        <w:rPr>
          <w:i/>
          <w:iCs/>
        </w:rPr>
        <w:t xml:space="preserve">The </w:t>
      </w:r>
      <w:proofErr w:type="spellStart"/>
      <w:r w:rsidRPr="00682A96">
        <w:rPr>
          <w:i/>
          <w:iCs/>
        </w:rPr>
        <w:t>delphi</w:t>
      </w:r>
      <w:proofErr w:type="spellEnd"/>
      <w:r w:rsidRPr="00682A96">
        <w:rPr>
          <w:i/>
          <w:iCs/>
        </w:rPr>
        <w:t xml:space="preserve"> method</w:t>
      </w:r>
      <w:r w:rsidRPr="00682A96">
        <w:t> (Vol. 1975, pp. 3-12). Reading, MA: Addison-Wesley.</w:t>
      </w:r>
    </w:p>
    <w:p w14:paraId="311870B8" w14:textId="77777777" w:rsidR="009D18BF" w:rsidRDefault="009D18BF" w:rsidP="00117564">
      <w:pPr>
        <w:pStyle w:val="NormalWeb"/>
        <w:ind w:left="720" w:hanging="720"/>
        <w:jc w:val="both"/>
      </w:pPr>
      <w:r w:rsidRPr="00117564">
        <w:t>Ludwig, B. (1997). Predicting the future: Have you considered using the Delphi methodology?. </w:t>
      </w:r>
      <w:r w:rsidRPr="00117564">
        <w:rPr>
          <w:i/>
          <w:iCs/>
        </w:rPr>
        <w:t>The Journal of Extension</w:t>
      </w:r>
      <w:r w:rsidRPr="00117564">
        <w:t>, </w:t>
      </w:r>
      <w:r w:rsidRPr="00117564">
        <w:rPr>
          <w:i/>
          <w:iCs/>
        </w:rPr>
        <w:t>35</w:t>
      </w:r>
      <w:r w:rsidRPr="00117564">
        <w:t>(5), 15.</w:t>
      </w:r>
    </w:p>
    <w:p w14:paraId="11A920A8" w14:textId="77777777" w:rsidR="009D18BF" w:rsidRDefault="009D18BF" w:rsidP="00D4042F">
      <w:pPr>
        <w:ind w:left="720" w:hanging="720"/>
        <w:jc w:val="both"/>
        <w:rPr>
          <w:rFonts w:ascii="Times New Roman" w:hAnsi="Times New Roman" w:cs="Times New Roman"/>
          <w:sz w:val="24"/>
          <w:szCs w:val="24"/>
        </w:rPr>
      </w:pPr>
      <w:r w:rsidRPr="00D4042F">
        <w:rPr>
          <w:rFonts w:ascii="Times New Roman" w:hAnsi="Times New Roman" w:cs="Times New Roman"/>
          <w:sz w:val="24"/>
          <w:szCs w:val="24"/>
        </w:rPr>
        <w:t xml:space="preserve">MacIntyre, P. D. (2020). Expanding the theoretical base for the dynamics of willingness to communicate. </w:t>
      </w:r>
      <w:r w:rsidRPr="00D4042F">
        <w:rPr>
          <w:rFonts w:ascii="Times New Roman" w:hAnsi="Times New Roman" w:cs="Times New Roman"/>
          <w:i/>
          <w:iCs/>
          <w:sz w:val="24"/>
          <w:szCs w:val="24"/>
        </w:rPr>
        <w:t>Studies in Second Language Learning and Teaching, 10</w:t>
      </w:r>
      <w:r w:rsidRPr="00D4042F">
        <w:rPr>
          <w:rFonts w:ascii="Times New Roman" w:hAnsi="Times New Roman" w:cs="Times New Roman"/>
          <w:sz w:val="24"/>
          <w:szCs w:val="24"/>
        </w:rPr>
        <w:t>(1), 111–131.</w:t>
      </w:r>
    </w:p>
    <w:p w14:paraId="20569065" w14:textId="77777777" w:rsidR="009D18BF" w:rsidRDefault="009D18BF" w:rsidP="00C31A5D">
      <w:pPr>
        <w:pStyle w:val="NormalWeb"/>
        <w:ind w:left="720" w:hanging="720"/>
        <w:jc w:val="both"/>
      </w:pPr>
      <w:r w:rsidRPr="00694DB0">
        <w:t>Martin, A. G., &amp; Frick, M. J. (1998). The Delphi Technique: An Informal History of Its Use in Agricultural Education Research since 1984. </w:t>
      </w:r>
      <w:r w:rsidRPr="00694DB0">
        <w:rPr>
          <w:i/>
          <w:iCs/>
        </w:rPr>
        <w:t>Journal of agricultural education</w:t>
      </w:r>
      <w:r w:rsidRPr="00694DB0">
        <w:t>, </w:t>
      </w:r>
      <w:r w:rsidRPr="00694DB0">
        <w:rPr>
          <w:i/>
          <w:iCs/>
        </w:rPr>
        <w:t>39</w:t>
      </w:r>
      <w:r w:rsidRPr="00694DB0">
        <w:t>(1), 73-79.</w:t>
      </w:r>
      <w:r>
        <w:t xml:space="preserve"> </w:t>
      </w:r>
      <w:hyperlink r:id="rId14" w:history="1">
        <w:r w:rsidRPr="009D18EC">
          <w:rPr>
            <w:rStyle w:val="Hyperlink"/>
          </w:rPr>
          <w:t>https://doi.org/10.5032/jae.1998.01073</w:t>
        </w:r>
      </w:hyperlink>
      <w:r>
        <w:t xml:space="preserve"> </w:t>
      </w:r>
    </w:p>
    <w:p w14:paraId="33EE317B" w14:textId="77777777" w:rsidR="009D18BF" w:rsidRPr="0050207B" w:rsidRDefault="009D18BF" w:rsidP="000832E9">
      <w:pPr>
        <w:ind w:left="720" w:hanging="720"/>
        <w:jc w:val="both"/>
        <w:rPr>
          <w:rFonts w:ascii="Times New Roman" w:hAnsi="Times New Roman" w:cs="Times New Roman"/>
          <w:color w:val="EE0000"/>
          <w:sz w:val="24"/>
          <w:szCs w:val="24"/>
        </w:rPr>
      </w:pPr>
      <w:r w:rsidRPr="000832E9">
        <w:rPr>
          <w:rFonts w:ascii="Times New Roman" w:hAnsi="Times New Roman" w:cs="Times New Roman"/>
          <w:color w:val="000000" w:themeColor="text1"/>
          <w:sz w:val="24"/>
          <w:szCs w:val="24"/>
        </w:rPr>
        <w:lastRenderedPageBreak/>
        <w:t xml:space="preserve">McCroskey, J. C. (1977). Oral communication apprehension: A summary of recent theory and research. </w:t>
      </w:r>
      <w:r w:rsidRPr="000832E9">
        <w:rPr>
          <w:rFonts w:ascii="Times New Roman" w:hAnsi="Times New Roman" w:cs="Times New Roman"/>
          <w:i/>
          <w:iCs/>
          <w:color w:val="000000" w:themeColor="text1"/>
          <w:sz w:val="24"/>
          <w:szCs w:val="24"/>
        </w:rPr>
        <w:t>Human Communication Research, 4</w:t>
      </w:r>
      <w:r w:rsidRPr="000832E9">
        <w:rPr>
          <w:rFonts w:ascii="Times New Roman" w:hAnsi="Times New Roman" w:cs="Times New Roman"/>
          <w:color w:val="000000" w:themeColor="text1"/>
          <w:sz w:val="24"/>
          <w:szCs w:val="24"/>
        </w:rPr>
        <w:t xml:space="preserve">(1), 78–96. </w:t>
      </w:r>
      <w:hyperlink r:id="rId15" w:history="1">
        <w:r w:rsidRPr="0050207B">
          <w:rPr>
            <w:rStyle w:val="Hyperlink"/>
            <w:rFonts w:ascii="Times New Roman" w:hAnsi="Times New Roman" w:cs="Times New Roman"/>
            <w:b/>
            <w:bCs/>
            <w:sz w:val="24"/>
            <w:szCs w:val="24"/>
          </w:rPr>
          <w:t>https://doi.org/10.1111/j.1468-2958.1977.tb00599.x</w:t>
        </w:r>
      </w:hyperlink>
    </w:p>
    <w:p w14:paraId="53ED1DC4" w14:textId="77777777" w:rsidR="009D18BF" w:rsidRPr="009B6CE7" w:rsidRDefault="009D18BF" w:rsidP="009B6CE7">
      <w:pPr>
        <w:ind w:left="720" w:hanging="720"/>
        <w:jc w:val="both"/>
        <w:rPr>
          <w:rFonts w:ascii="Times New Roman" w:hAnsi="Times New Roman" w:cs="Times New Roman"/>
          <w:sz w:val="24"/>
          <w:szCs w:val="24"/>
        </w:rPr>
      </w:pPr>
      <w:r w:rsidRPr="009B6CE7">
        <w:rPr>
          <w:rFonts w:ascii="Times New Roman" w:hAnsi="Times New Roman" w:cs="Times New Roman"/>
          <w:sz w:val="24"/>
          <w:szCs w:val="24"/>
        </w:rPr>
        <w:t xml:space="preserve">Mishra, S. (2016). Curriculum design and soft skill development in higher education. </w:t>
      </w:r>
      <w:r w:rsidRPr="009B6CE7">
        <w:rPr>
          <w:rFonts w:ascii="Times New Roman" w:hAnsi="Times New Roman" w:cs="Times New Roman"/>
          <w:i/>
          <w:iCs/>
          <w:sz w:val="24"/>
          <w:szCs w:val="24"/>
        </w:rPr>
        <w:t>Journal of Educational Planning and Administration</w:t>
      </w:r>
      <w:r w:rsidRPr="009B6CE7">
        <w:rPr>
          <w:rFonts w:ascii="Times New Roman" w:hAnsi="Times New Roman" w:cs="Times New Roman"/>
          <w:sz w:val="24"/>
          <w:szCs w:val="24"/>
        </w:rPr>
        <w:t>, 30(1), 67–78.</w:t>
      </w:r>
    </w:p>
    <w:p w14:paraId="4A9BB920" w14:textId="77777777" w:rsidR="009D18BF" w:rsidRDefault="009D18BF" w:rsidP="00270ABE">
      <w:pPr>
        <w:ind w:left="720" w:hanging="720"/>
        <w:jc w:val="both"/>
        <w:rPr>
          <w:rFonts w:ascii="Times New Roman" w:hAnsi="Times New Roman" w:cs="Times New Roman"/>
          <w:sz w:val="24"/>
          <w:szCs w:val="24"/>
        </w:rPr>
      </w:pPr>
      <w:r w:rsidRPr="00D363BD">
        <w:rPr>
          <w:rFonts w:ascii="Times New Roman" w:hAnsi="Times New Roman" w:cs="Times New Roman"/>
          <w:sz w:val="24"/>
          <w:szCs w:val="24"/>
        </w:rPr>
        <w:t xml:space="preserve">Mondal, S., &amp; Mandal, P. (2016). Constraints in communication skill development among agricultural students: An Indian perspective. </w:t>
      </w:r>
      <w:r w:rsidRPr="00D363BD">
        <w:rPr>
          <w:rFonts w:ascii="Times New Roman" w:hAnsi="Times New Roman" w:cs="Times New Roman"/>
          <w:i/>
          <w:iCs/>
          <w:sz w:val="24"/>
          <w:szCs w:val="24"/>
        </w:rPr>
        <w:t>Journal of Extension Education, 28</w:t>
      </w:r>
      <w:r w:rsidRPr="00D363BD">
        <w:rPr>
          <w:rFonts w:ascii="Times New Roman" w:hAnsi="Times New Roman" w:cs="Times New Roman"/>
          <w:sz w:val="24"/>
          <w:szCs w:val="24"/>
        </w:rPr>
        <w:t>(4), 5700–5705.</w:t>
      </w:r>
    </w:p>
    <w:p w14:paraId="5319E10F" w14:textId="77777777" w:rsidR="009D18BF" w:rsidRPr="00B2177D" w:rsidRDefault="009D18BF" w:rsidP="00C31A5D">
      <w:pPr>
        <w:pStyle w:val="NormalWeb"/>
        <w:ind w:left="720" w:hanging="720"/>
        <w:jc w:val="both"/>
      </w:pPr>
      <w:r w:rsidRPr="00B1512F">
        <w:t>Moore, C. M. (1987). </w:t>
      </w:r>
      <w:r w:rsidRPr="00B1512F">
        <w:rPr>
          <w:i/>
          <w:iCs/>
        </w:rPr>
        <w:t>Group techniques for idea building</w:t>
      </w:r>
      <w:r w:rsidRPr="00B1512F">
        <w:t>. Sage Publications, Inc.</w:t>
      </w:r>
    </w:p>
    <w:p w14:paraId="22DBCD86" w14:textId="77777777" w:rsidR="009D18BF" w:rsidRDefault="009D18BF" w:rsidP="00270ABE">
      <w:pPr>
        <w:pStyle w:val="NormalWeb"/>
        <w:ind w:left="720" w:hanging="720"/>
      </w:pPr>
      <w:r>
        <w:t xml:space="preserve">Moore, T., &amp; Morton, J. (2015). The myth of job readiness? Written communication, employability, and the “skills gap” in higher education. </w:t>
      </w:r>
      <w:r>
        <w:rPr>
          <w:rStyle w:val="Emphasis"/>
          <w:rFonts w:eastAsiaTheme="majorEastAsia"/>
        </w:rPr>
        <w:t>Studies in Higher Education, 42</w:t>
      </w:r>
      <w:r>
        <w:t xml:space="preserve">(3), 591–609. </w:t>
      </w:r>
      <w:hyperlink r:id="rId16" w:history="1">
        <w:r w:rsidRPr="00553E45">
          <w:rPr>
            <w:rStyle w:val="Hyperlink"/>
          </w:rPr>
          <w:t>https://doi.org/10.1080/03075079.2015.1067602</w:t>
        </w:r>
      </w:hyperlink>
      <w:r>
        <w:t xml:space="preserve"> </w:t>
      </w:r>
    </w:p>
    <w:p w14:paraId="656855AF" w14:textId="77777777" w:rsidR="009D18BF" w:rsidRPr="008B4F18" w:rsidRDefault="009D18BF" w:rsidP="00D363BD">
      <w:pPr>
        <w:ind w:left="720" w:hanging="720"/>
        <w:jc w:val="both"/>
        <w:rPr>
          <w:rFonts w:ascii="Times New Roman" w:hAnsi="Times New Roman" w:cs="Times New Roman"/>
          <w:color w:val="EE0000"/>
          <w:sz w:val="24"/>
          <w:szCs w:val="24"/>
        </w:rPr>
      </w:pPr>
      <w:r w:rsidRPr="00A83296">
        <w:rPr>
          <w:rFonts w:ascii="Times New Roman" w:hAnsi="Times New Roman" w:cs="Times New Roman"/>
          <w:sz w:val="24"/>
          <w:szCs w:val="24"/>
        </w:rPr>
        <w:t xml:space="preserve">Myers, B. E., &amp; Dyer, J. E. (2006). The influence of student learning style on critical thinking skill development in agricultural education. </w:t>
      </w:r>
      <w:r w:rsidRPr="00A83296">
        <w:rPr>
          <w:rFonts w:ascii="Times New Roman" w:hAnsi="Times New Roman" w:cs="Times New Roman"/>
          <w:i/>
          <w:iCs/>
          <w:sz w:val="24"/>
          <w:szCs w:val="24"/>
        </w:rPr>
        <w:t>Journal of Agricultural Education, 47</w:t>
      </w:r>
      <w:r w:rsidRPr="00A83296">
        <w:rPr>
          <w:rFonts w:ascii="Times New Roman" w:hAnsi="Times New Roman" w:cs="Times New Roman"/>
          <w:sz w:val="24"/>
          <w:szCs w:val="24"/>
        </w:rPr>
        <w:t xml:space="preserve">(1), 43–52. </w:t>
      </w:r>
      <w:hyperlink r:id="rId17" w:history="1">
        <w:r w:rsidRPr="005B383B">
          <w:rPr>
            <w:rStyle w:val="Hyperlink"/>
            <w:rFonts w:ascii="Times New Roman" w:hAnsi="Times New Roman" w:cs="Times New Roman"/>
            <w:sz w:val="24"/>
            <w:szCs w:val="24"/>
          </w:rPr>
          <w:t>https://doi.org/10.5032/jae.2006.01043</w:t>
        </w:r>
      </w:hyperlink>
    </w:p>
    <w:p w14:paraId="6EAC09C4" w14:textId="77777777" w:rsidR="009D18BF" w:rsidRPr="00923994" w:rsidRDefault="009D18BF" w:rsidP="00923994">
      <w:pPr>
        <w:ind w:left="720" w:hanging="720"/>
        <w:jc w:val="both"/>
        <w:rPr>
          <w:rFonts w:ascii="Times New Roman" w:hAnsi="Times New Roman" w:cs="Times New Roman"/>
          <w:sz w:val="24"/>
          <w:szCs w:val="24"/>
        </w:rPr>
      </w:pPr>
      <w:r w:rsidRPr="009B446F">
        <w:rPr>
          <w:rFonts w:ascii="Times New Roman" w:hAnsi="Times New Roman" w:cs="Times New Roman"/>
          <w:sz w:val="24"/>
          <w:szCs w:val="24"/>
        </w:rPr>
        <w:t xml:space="preserve">Petrova, M. N. (2025). Strategies for developing AI competencies in higher education: A Delphi-based approach. </w:t>
      </w:r>
      <w:r w:rsidRPr="009B446F">
        <w:rPr>
          <w:rFonts w:ascii="Times New Roman" w:hAnsi="Times New Roman" w:cs="Times New Roman"/>
          <w:i/>
          <w:iCs/>
          <w:sz w:val="24"/>
          <w:szCs w:val="24"/>
        </w:rPr>
        <w:t>Frontiers in Education, 10</w:t>
      </w:r>
      <w:r w:rsidRPr="009B446F">
        <w:rPr>
          <w:rFonts w:ascii="Times New Roman" w:hAnsi="Times New Roman" w:cs="Times New Roman"/>
          <w:sz w:val="24"/>
          <w:szCs w:val="24"/>
        </w:rPr>
        <w:t xml:space="preserve">. </w:t>
      </w:r>
      <w:hyperlink r:id="rId18" w:history="1">
        <w:r w:rsidRPr="00F224C5">
          <w:rPr>
            <w:rStyle w:val="Hyperlink"/>
            <w:rFonts w:ascii="Times New Roman" w:hAnsi="Times New Roman" w:cs="Times New Roman"/>
            <w:sz w:val="24"/>
            <w:szCs w:val="24"/>
          </w:rPr>
          <w:t>https://doi.org/10.3389/feduc.2025.1683909</w:t>
        </w:r>
      </w:hyperlink>
      <w:r>
        <w:rPr>
          <w:rFonts w:ascii="Times New Roman" w:hAnsi="Times New Roman" w:cs="Times New Roman"/>
          <w:sz w:val="24"/>
          <w:szCs w:val="24"/>
        </w:rPr>
        <w:t xml:space="preserve"> </w:t>
      </w:r>
    </w:p>
    <w:p w14:paraId="58FF9352" w14:textId="77777777" w:rsidR="009D18BF" w:rsidRDefault="009D18BF" w:rsidP="00D363BD">
      <w:pPr>
        <w:ind w:left="720" w:hanging="720"/>
        <w:jc w:val="both"/>
        <w:rPr>
          <w:rFonts w:ascii="Times New Roman" w:hAnsi="Times New Roman" w:cs="Times New Roman"/>
          <w:sz w:val="24"/>
          <w:szCs w:val="24"/>
        </w:rPr>
      </w:pPr>
      <w:r w:rsidRPr="00AC27DA">
        <w:rPr>
          <w:rFonts w:ascii="Times New Roman" w:hAnsi="Times New Roman" w:cs="Times New Roman"/>
          <w:sz w:val="24"/>
          <w:szCs w:val="24"/>
        </w:rPr>
        <w:t>Popescu, A. V., &amp; Cohen-Vida, M. I. (2014). Communication strategies for developing the learner's autonomy. </w:t>
      </w:r>
      <w:r w:rsidRPr="00AC27DA">
        <w:rPr>
          <w:rFonts w:ascii="Times New Roman" w:hAnsi="Times New Roman" w:cs="Times New Roman"/>
          <w:i/>
          <w:iCs/>
          <w:sz w:val="24"/>
          <w:szCs w:val="24"/>
        </w:rPr>
        <w:t>Procedia-Social and Behavioral Sciences</w:t>
      </w:r>
      <w:r w:rsidRPr="00AC27DA">
        <w:rPr>
          <w:rFonts w:ascii="Times New Roman" w:hAnsi="Times New Roman" w:cs="Times New Roman"/>
          <w:sz w:val="24"/>
          <w:szCs w:val="24"/>
        </w:rPr>
        <w:t>, </w:t>
      </w:r>
      <w:r w:rsidRPr="00AC27DA">
        <w:rPr>
          <w:rFonts w:ascii="Times New Roman" w:hAnsi="Times New Roman" w:cs="Times New Roman"/>
          <w:i/>
          <w:iCs/>
          <w:sz w:val="24"/>
          <w:szCs w:val="24"/>
        </w:rPr>
        <w:t>116</w:t>
      </w:r>
      <w:r w:rsidRPr="00AC27DA">
        <w:rPr>
          <w:rFonts w:ascii="Times New Roman" w:hAnsi="Times New Roman" w:cs="Times New Roman"/>
          <w:sz w:val="24"/>
          <w:szCs w:val="24"/>
        </w:rPr>
        <w:t>, 3489-3493.</w:t>
      </w:r>
      <w:r w:rsidRPr="00247023">
        <w:t xml:space="preserve"> </w:t>
      </w:r>
      <w:hyperlink r:id="rId19" w:tgtFrame="_blank" w:tooltip="Persistent link using digital object identifier" w:history="1">
        <w:r w:rsidRPr="00247023">
          <w:rPr>
            <w:rStyle w:val="Hyperlink"/>
            <w:rFonts w:ascii="Times New Roman" w:hAnsi="Times New Roman" w:cs="Times New Roman"/>
            <w:sz w:val="24"/>
            <w:szCs w:val="24"/>
          </w:rPr>
          <w:t>https://doi.org/10.1016/j.sbspro.2014.01.789</w:t>
        </w:r>
      </w:hyperlink>
    </w:p>
    <w:p w14:paraId="5FC39903" w14:textId="77777777" w:rsidR="009D18BF" w:rsidRDefault="009D18BF" w:rsidP="000D300C">
      <w:pPr>
        <w:ind w:left="720" w:hanging="720"/>
        <w:jc w:val="both"/>
        <w:rPr>
          <w:rFonts w:ascii="Times New Roman" w:hAnsi="Times New Roman" w:cs="Times New Roman"/>
          <w:sz w:val="24"/>
          <w:szCs w:val="24"/>
        </w:rPr>
      </w:pPr>
      <w:r w:rsidRPr="003F47AC">
        <w:rPr>
          <w:rFonts w:ascii="Times New Roman" w:hAnsi="Times New Roman" w:cs="Times New Roman"/>
          <w:sz w:val="24"/>
          <w:szCs w:val="24"/>
        </w:rPr>
        <w:t>Resnik, P., Dewaele, J. M., Li, C., &amp; Botes, E. (2025). The role of positive and negative emotions in foreign language learning: A research agenda. </w:t>
      </w:r>
      <w:r w:rsidRPr="003F47AC">
        <w:rPr>
          <w:rFonts w:ascii="Times New Roman" w:hAnsi="Times New Roman" w:cs="Times New Roman"/>
          <w:i/>
          <w:iCs/>
          <w:sz w:val="24"/>
          <w:szCs w:val="24"/>
        </w:rPr>
        <w:t>Language Teaching</w:t>
      </w:r>
      <w:r w:rsidRPr="003F47AC">
        <w:rPr>
          <w:rFonts w:ascii="Times New Roman" w:hAnsi="Times New Roman" w:cs="Times New Roman"/>
          <w:sz w:val="24"/>
          <w:szCs w:val="24"/>
        </w:rPr>
        <w:t xml:space="preserve">, 1-26. </w:t>
      </w:r>
      <w:hyperlink r:id="rId20" w:tgtFrame="_new" w:history="1">
        <w:r w:rsidRPr="003F47AC">
          <w:rPr>
            <w:rStyle w:val="Hyperlink"/>
            <w:rFonts w:ascii="Times New Roman" w:hAnsi="Times New Roman" w:cs="Times New Roman"/>
            <w:sz w:val="24"/>
            <w:szCs w:val="24"/>
          </w:rPr>
          <w:t>https://doi.org/10.1017/S0261444825101031</w:t>
        </w:r>
      </w:hyperlink>
    </w:p>
    <w:p w14:paraId="6DD1FB54" w14:textId="77777777" w:rsidR="009D18BF" w:rsidRDefault="009D18BF" w:rsidP="000D300C">
      <w:pPr>
        <w:ind w:left="720" w:hanging="720"/>
        <w:jc w:val="both"/>
        <w:rPr>
          <w:rFonts w:ascii="Times New Roman" w:hAnsi="Times New Roman" w:cs="Times New Roman"/>
          <w:sz w:val="24"/>
          <w:szCs w:val="24"/>
        </w:rPr>
      </w:pPr>
      <w:r w:rsidRPr="009D18BF">
        <w:rPr>
          <w:rFonts w:ascii="Times New Roman" w:hAnsi="Times New Roman" w:cs="Times New Roman"/>
          <w:sz w:val="24"/>
          <w:szCs w:val="24"/>
        </w:rPr>
        <w:t>Rosen, L. D. (2017). The distracted student mind—enhancing its focus and attention. </w:t>
      </w:r>
      <w:r w:rsidRPr="009D18BF">
        <w:rPr>
          <w:rFonts w:ascii="Times New Roman" w:hAnsi="Times New Roman" w:cs="Times New Roman"/>
          <w:i/>
          <w:iCs/>
          <w:sz w:val="24"/>
          <w:szCs w:val="24"/>
        </w:rPr>
        <w:t xml:space="preserve">Phi Delta </w:t>
      </w:r>
      <w:proofErr w:type="spellStart"/>
      <w:r w:rsidRPr="009D18BF">
        <w:rPr>
          <w:rFonts w:ascii="Times New Roman" w:hAnsi="Times New Roman" w:cs="Times New Roman"/>
          <w:i/>
          <w:iCs/>
          <w:sz w:val="24"/>
          <w:szCs w:val="24"/>
        </w:rPr>
        <w:t>Kappan</w:t>
      </w:r>
      <w:proofErr w:type="spellEnd"/>
      <w:r w:rsidRPr="009D18BF">
        <w:rPr>
          <w:rFonts w:ascii="Times New Roman" w:hAnsi="Times New Roman" w:cs="Times New Roman"/>
          <w:sz w:val="24"/>
          <w:szCs w:val="24"/>
        </w:rPr>
        <w:t>, </w:t>
      </w:r>
      <w:r w:rsidRPr="009D18BF">
        <w:rPr>
          <w:rFonts w:ascii="Times New Roman" w:hAnsi="Times New Roman" w:cs="Times New Roman"/>
          <w:i/>
          <w:iCs/>
          <w:sz w:val="24"/>
          <w:szCs w:val="24"/>
        </w:rPr>
        <w:t>99</w:t>
      </w:r>
      <w:r w:rsidRPr="009D18BF">
        <w:rPr>
          <w:rFonts w:ascii="Times New Roman" w:hAnsi="Times New Roman" w:cs="Times New Roman"/>
          <w:sz w:val="24"/>
          <w:szCs w:val="24"/>
        </w:rPr>
        <w:t>(2), 8-14.</w:t>
      </w:r>
      <w:r>
        <w:rPr>
          <w:rFonts w:ascii="Times New Roman" w:hAnsi="Times New Roman" w:cs="Times New Roman"/>
          <w:sz w:val="24"/>
          <w:szCs w:val="24"/>
        </w:rPr>
        <w:t xml:space="preserve"> </w:t>
      </w:r>
      <w:hyperlink r:id="rId21" w:history="1">
        <w:r w:rsidRPr="009D18BF">
          <w:rPr>
            <w:rStyle w:val="Hyperlink"/>
            <w:rFonts w:ascii="Times New Roman" w:hAnsi="Times New Roman" w:cs="Times New Roman"/>
            <w:sz w:val="24"/>
            <w:szCs w:val="24"/>
          </w:rPr>
          <w:t>https://doi.org/10.1177/0031721717734183</w:t>
        </w:r>
      </w:hyperlink>
    </w:p>
    <w:p w14:paraId="2BA3AD4B" w14:textId="77777777" w:rsidR="009D18BF" w:rsidRPr="000E137D" w:rsidRDefault="009D18BF" w:rsidP="00C500FC">
      <w:pPr>
        <w:ind w:left="720" w:hanging="720"/>
        <w:jc w:val="both"/>
        <w:rPr>
          <w:rFonts w:ascii="Times New Roman" w:hAnsi="Times New Roman" w:cs="Times New Roman"/>
          <w:sz w:val="24"/>
          <w:szCs w:val="24"/>
        </w:rPr>
      </w:pPr>
      <w:r w:rsidRPr="00EA36B7">
        <w:rPr>
          <w:rFonts w:ascii="Times New Roman" w:hAnsi="Times New Roman" w:cs="Times New Roman"/>
          <w:sz w:val="24"/>
          <w:szCs w:val="24"/>
        </w:rPr>
        <w:t>Rothwell, W. J., &amp; Kazanas, H. C. (2011). </w:t>
      </w:r>
      <w:r w:rsidRPr="00EA36B7">
        <w:rPr>
          <w:rFonts w:ascii="Times New Roman" w:hAnsi="Times New Roman" w:cs="Times New Roman"/>
          <w:i/>
          <w:iCs/>
          <w:sz w:val="24"/>
          <w:szCs w:val="24"/>
        </w:rPr>
        <w:t>Mastering the instructional design process: A systematic approach</w:t>
      </w:r>
      <w:r w:rsidRPr="00EA36B7">
        <w:rPr>
          <w:rFonts w:ascii="Times New Roman" w:hAnsi="Times New Roman" w:cs="Times New Roman"/>
          <w:sz w:val="24"/>
          <w:szCs w:val="24"/>
        </w:rPr>
        <w:t>. John Wiley &amp; Sons.</w:t>
      </w:r>
    </w:p>
    <w:p w14:paraId="413BDFC0" w14:textId="77777777" w:rsidR="009D18BF" w:rsidRPr="00A83296" w:rsidRDefault="009D18BF" w:rsidP="00D363BD">
      <w:pPr>
        <w:ind w:left="720" w:hanging="720"/>
        <w:jc w:val="both"/>
        <w:rPr>
          <w:rFonts w:ascii="Times New Roman" w:hAnsi="Times New Roman" w:cs="Times New Roman"/>
          <w:sz w:val="24"/>
          <w:szCs w:val="24"/>
        </w:rPr>
      </w:pPr>
      <w:r w:rsidRPr="00A83296">
        <w:rPr>
          <w:rFonts w:ascii="Times New Roman" w:hAnsi="Times New Roman" w:cs="Times New Roman"/>
          <w:sz w:val="24"/>
          <w:szCs w:val="24"/>
        </w:rPr>
        <w:t xml:space="preserve">Saxena, A., Singh, R., &amp; Verma, P. (2017). Communication skills in agricultural education: A neglected dimension. </w:t>
      </w:r>
      <w:r w:rsidRPr="00A83296">
        <w:rPr>
          <w:rFonts w:ascii="Times New Roman" w:hAnsi="Times New Roman" w:cs="Times New Roman"/>
          <w:i/>
          <w:iCs/>
          <w:sz w:val="24"/>
          <w:szCs w:val="24"/>
        </w:rPr>
        <w:t>Indian Journal of Extension Education, 53</w:t>
      </w:r>
      <w:r w:rsidRPr="00A83296">
        <w:rPr>
          <w:rFonts w:ascii="Times New Roman" w:hAnsi="Times New Roman" w:cs="Times New Roman"/>
          <w:sz w:val="24"/>
          <w:szCs w:val="24"/>
        </w:rPr>
        <w:t>(2), 34–39.</w:t>
      </w:r>
    </w:p>
    <w:p w14:paraId="3103A9DC" w14:textId="77777777" w:rsidR="009D18BF" w:rsidRDefault="009D18BF" w:rsidP="00D363BD">
      <w:pPr>
        <w:ind w:left="720" w:hanging="720"/>
        <w:jc w:val="both"/>
        <w:rPr>
          <w:rFonts w:ascii="Times New Roman" w:hAnsi="Times New Roman" w:cs="Times New Roman"/>
          <w:sz w:val="24"/>
          <w:szCs w:val="24"/>
        </w:rPr>
      </w:pPr>
      <w:r w:rsidRPr="00D7617F">
        <w:rPr>
          <w:rFonts w:ascii="Times New Roman" w:hAnsi="Times New Roman" w:cs="Times New Roman"/>
          <w:sz w:val="24"/>
          <w:szCs w:val="24"/>
        </w:rPr>
        <w:t>Sharma, A., &amp; Sharma, R. (2018). Internet addiction and psychological well-being among college students: A cross-sectional study from Central India. </w:t>
      </w:r>
      <w:r w:rsidRPr="00D7617F">
        <w:rPr>
          <w:rFonts w:ascii="Times New Roman" w:hAnsi="Times New Roman" w:cs="Times New Roman"/>
          <w:i/>
          <w:iCs/>
          <w:sz w:val="24"/>
          <w:szCs w:val="24"/>
        </w:rPr>
        <w:t>Journal of family medicine and primary care</w:t>
      </w:r>
      <w:r w:rsidRPr="00D7617F">
        <w:rPr>
          <w:rFonts w:ascii="Times New Roman" w:hAnsi="Times New Roman" w:cs="Times New Roman"/>
          <w:sz w:val="24"/>
          <w:szCs w:val="24"/>
        </w:rPr>
        <w:t>, </w:t>
      </w:r>
      <w:r w:rsidRPr="00D7617F">
        <w:rPr>
          <w:rFonts w:ascii="Times New Roman" w:hAnsi="Times New Roman" w:cs="Times New Roman"/>
          <w:i/>
          <w:iCs/>
          <w:sz w:val="24"/>
          <w:szCs w:val="24"/>
        </w:rPr>
        <w:t>7</w:t>
      </w:r>
      <w:r w:rsidRPr="00D7617F">
        <w:rPr>
          <w:rFonts w:ascii="Times New Roman" w:hAnsi="Times New Roman" w:cs="Times New Roman"/>
          <w:sz w:val="24"/>
          <w:szCs w:val="24"/>
        </w:rPr>
        <w:t>(1), 147-151.</w:t>
      </w:r>
      <w:r>
        <w:rPr>
          <w:rFonts w:ascii="Times New Roman" w:hAnsi="Times New Roman" w:cs="Times New Roman"/>
          <w:sz w:val="24"/>
          <w:szCs w:val="24"/>
        </w:rPr>
        <w:t xml:space="preserve"> </w:t>
      </w:r>
      <w:hyperlink r:id="rId22" w:history="1">
        <w:r w:rsidRPr="009D18EC">
          <w:rPr>
            <w:rStyle w:val="Hyperlink"/>
            <w:rFonts w:ascii="Times New Roman" w:hAnsi="Times New Roman" w:cs="Times New Roman"/>
            <w:sz w:val="24"/>
            <w:szCs w:val="24"/>
          </w:rPr>
          <w:t>https://doi.org/10.4103/jfmpc.jfmpc_189_17</w:t>
        </w:r>
      </w:hyperlink>
      <w:r>
        <w:rPr>
          <w:rFonts w:ascii="Times New Roman" w:hAnsi="Times New Roman" w:cs="Times New Roman"/>
          <w:sz w:val="24"/>
          <w:szCs w:val="24"/>
        </w:rPr>
        <w:t xml:space="preserve"> </w:t>
      </w:r>
    </w:p>
    <w:p w14:paraId="74981FFB" w14:textId="77777777" w:rsidR="009D18BF" w:rsidRPr="00B2177D" w:rsidRDefault="009D18BF" w:rsidP="00C500FC">
      <w:pPr>
        <w:ind w:left="720" w:hanging="720"/>
        <w:jc w:val="both"/>
        <w:rPr>
          <w:rFonts w:ascii="Times New Roman" w:hAnsi="Times New Roman" w:cs="Times New Roman"/>
          <w:sz w:val="24"/>
          <w:szCs w:val="24"/>
        </w:rPr>
      </w:pPr>
      <w:r w:rsidRPr="005512A0">
        <w:rPr>
          <w:rFonts w:ascii="Times New Roman" w:hAnsi="Times New Roman" w:cs="Times New Roman"/>
          <w:sz w:val="24"/>
          <w:szCs w:val="24"/>
        </w:rPr>
        <w:t>Skulmoski, G. J., Hartman, F. T., &amp; Krahn, J. (2007). The Delphi method for graduate research. </w:t>
      </w:r>
      <w:r w:rsidRPr="005512A0">
        <w:rPr>
          <w:rFonts w:ascii="Times New Roman" w:hAnsi="Times New Roman" w:cs="Times New Roman"/>
          <w:i/>
          <w:iCs/>
          <w:sz w:val="24"/>
          <w:szCs w:val="24"/>
        </w:rPr>
        <w:t>Journal of Information Technology Education: Research</w:t>
      </w:r>
      <w:r w:rsidRPr="005512A0">
        <w:rPr>
          <w:rFonts w:ascii="Times New Roman" w:hAnsi="Times New Roman" w:cs="Times New Roman"/>
          <w:sz w:val="24"/>
          <w:szCs w:val="24"/>
        </w:rPr>
        <w:t>, </w:t>
      </w:r>
      <w:r w:rsidRPr="005512A0">
        <w:rPr>
          <w:rFonts w:ascii="Times New Roman" w:hAnsi="Times New Roman" w:cs="Times New Roman"/>
          <w:i/>
          <w:iCs/>
          <w:sz w:val="24"/>
          <w:szCs w:val="24"/>
        </w:rPr>
        <w:t>6</w:t>
      </w:r>
      <w:r w:rsidRPr="005512A0">
        <w:rPr>
          <w:rFonts w:ascii="Times New Roman" w:hAnsi="Times New Roman" w:cs="Times New Roman"/>
          <w:sz w:val="24"/>
          <w:szCs w:val="24"/>
        </w:rPr>
        <w:t>(1), 1-21.</w:t>
      </w:r>
    </w:p>
    <w:p w14:paraId="0B0FCFD5" w14:textId="77777777" w:rsidR="009D18BF" w:rsidRDefault="009D18BF" w:rsidP="00923994">
      <w:pPr>
        <w:ind w:left="720" w:hanging="720"/>
        <w:jc w:val="both"/>
        <w:rPr>
          <w:rFonts w:ascii="Times New Roman" w:hAnsi="Times New Roman" w:cs="Times New Roman"/>
          <w:sz w:val="24"/>
          <w:szCs w:val="24"/>
        </w:rPr>
      </w:pPr>
      <w:r w:rsidRPr="00923994">
        <w:rPr>
          <w:rFonts w:ascii="Times New Roman" w:hAnsi="Times New Roman" w:cs="Times New Roman"/>
          <w:sz w:val="24"/>
          <w:szCs w:val="24"/>
        </w:rPr>
        <w:t>Tang, J., Huang, P., &amp; Yan, S. (2025). Digital transformation in higher education: logical framework, practical dilemmas, and implementation approaches. </w:t>
      </w:r>
      <w:r w:rsidRPr="00923994">
        <w:rPr>
          <w:rFonts w:ascii="Times New Roman" w:hAnsi="Times New Roman" w:cs="Times New Roman"/>
          <w:i/>
          <w:iCs/>
          <w:sz w:val="24"/>
          <w:szCs w:val="24"/>
        </w:rPr>
        <w:t>Frontiers in Psychology</w:t>
      </w:r>
      <w:r w:rsidRPr="00923994">
        <w:rPr>
          <w:rFonts w:ascii="Times New Roman" w:hAnsi="Times New Roman" w:cs="Times New Roman"/>
          <w:sz w:val="24"/>
          <w:szCs w:val="24"/>
        </w:rPr>
        <w:t>, </w:t>
      </w:r>
      <w:r w:rsidRPr="00923994">
        <w:rPr>
          <w:rFonts w:ascii="Times New Roman" w:hAnsi="Times New Roman" w:cs="Times New Roman"/>
          <w:i/>
          <w:iCs/>
          <w:sz w:val="24"/>
          <w:szCs w:val="24"/>
        </w:rPr>
        <w:t>16</w:t>
      </w:r>
      <w:r w:rsidRPr="00923994">
        <w:rPr>
          <w:rFonts w:ascii="Times New Roman" w:hAnsi="Times New Roman" w:cs="Times New Roman"/>
          <w:sz w:val="24"/>
          <w:szCs w:val="24"/>
        </w:rPr>
        <w:t>, 1565591.</w:t>
      </w:r>
      <w:r>
        <w:rPr>
          <w:rFonts w:ascii="Times New Roman" w:hAnsi="Times New Roman" w:cs="Times New Roman"/>
          <w:sz w:val="24"/>
          <w:szCs w:val="24"/>
        </w:rPr>
        <w:t xml:space="preserve"> </w:t>
      </w:r>
      <w:hyperlink r:id="rId23" w:history="1">
        <w:r w:rsidRPr="00F224C5">
          <w:rPr>
            <w:rStyle w:val="Hyperlink"/>
            <w:rFonts w:ascii="Times New Roman" w:hAnsi="Times New Roman" w:cs="Times New Roman"/>
            <w:sz w:val="24"/>
            <w:szCs w:val="24"/>
          </w:rPr>
          <w:t>https://doi.org/10.3389/fpsyg.2025.1565591</w:t>
        </w:r>
      </w:hyperlink>
      <w:r>
        <w:rPr>
          <w:rFonts w:ascii="Times New Roman" w:hAnsi="Times New Roman" w:cs="Times New Roman"/>
          <w:sz w:val="24"/>
          <w:szCs w:val="24"/>
        </w:rPr>
        <w:t xml:space="preserve"> </w:t>
      </w:r>
    </w:p>
    <w:p w14:paraId="78A4C437" w14:textId="77777777" w:rsidR="009D18BF" w:rsidRDefault="009D18BF" w:rsidP="00D363BD">
      <w:pPr>
        <w:ind w:left="720" w:hanging="720"/>
        <w:jc w:val="both"/>
        <w:rPr>
          <w:rFonts w:ascii="Times New Roman" w:hAnsi="Times New Roman" w:cs="Times New Roman"/>
          <w:sz w:val="24"/>
          <w:szCs w:val="24"/>
        </w:rPr>
      </w:pPr>
      <w:r w:rsidRPr="00694C50">
        <w:rPr>
          <w:rFonts w:ascii="Times New Roman" w:hAnsi="Times New Roman" w:cs="Times New Roman"/>
          <w:sz w:val="24"/>
          <w:szCs w:val="24"/>
        </w:rPr>
        <w:lastRenderedPageBreak/>
        <w:t xml:space="preserve">Taskov, N., &amp; </w:t>
      </w:r>
      <w:proofErr w:type="spellStart"/>
      <w:r w:rsidRPr="00694C50">
        <w:rPr>
          <w:rFonts w:ascii="Times New Roman" w:hAnsi="Times New Roman" w:cs="Times New Roman"/>
          <w:sz w:val="24"/>
          <w:szCs w:val="24"/>
        </w:rPr>
        <w:t>Mitreva</w:t>
      </w:r>
      <w:proofErr w:type="spellEnd"/>
      <w:r w:rsidRPr="00694C50">
        <w:rPr>
          <w:rFonts w:ascii="Times New Roman" w:hAnsi="Times New Roman" w:cs="Times New Roman"/>
          <w:sz w:val="24"/>
          <w:szCs w:val="24"/>
        </w:rPr>
        <w:t>, E. (2015). The motivation and the efficient communication both are the essential pillar within the building of the TQM (total quality management) system within the Macedonian Higher Education Institutions. </w:t>
      </w:r>
      <w:r w:rsidRPr="00694C50">
        <w:rPr>
          <w:rFonts w:ascii="Times New Roman" w:hAnsi="Times New Roman" w:cs="Times New Roman"/>
          <w:i/>
          <w:iCs/>
          <w:sz w:val="24"/>
          <w:szCs w:val="24"/>
        </w:rPr>
        <w:t>Procedia-Social and Behavioral Sciences</w:t>
      </w:r>
      <w:r w:rsidRPr="00694C50">
        <w:rPr>
          <w:rFonts w:ascii="Times New Roman" w:hAnsi="Times New Roman" w:cs="Times New Roman"/>
          <w:sz w:val="24"/>
          <w:szCs w:val="24"/>
        </w:rPr>
        <w:t>, </w:t>
      </w:r>
      <w:r w:rsidRPr="00694C50">
        <w:rPr>
          <w:rFonts w:ascii="Times New Roman" w:hAnsi="Times New Roman" w:cs="Times New Roman"/>
          <w:i/>
          <w:iCs/>
          <w:sz w:val="24"/>
          <w:szCs w:val="24"/>
        </w:rPr>
        <w:t>180</w:t>
      </w:r>
      <w:r w:rsidRPr="00694C50">
        <w:rPr>
          <w:rFonts w:ascii="Times New Roman" w:hAnsi="Times New Roman" w:cs="Times New Roman"/>
          <w:sz w:val="24"/>
          <w:szCs w:val="24"/>
        </w:rPr>
        <w:t>, 227-234.</w:t>
      </w:r>
      <w:r>
        <w:rPr>
          <w:rFonts w:ascii="Times New Roman" w:hAnsi="Times New Roman" w:cs="Times New Roman"/>
          <w:sz w:val="24"/>
          <w:szCs w:val="24"/>
        </w:rPr>
        <w:t xml:space="preserve"> </w:t>
      </w:r>
      <w:hyperlink r:id="rId24" w:tgtFrame="_blank" w:tooltip="Persistent link using digital object identifier" w:history="1">
        <w:r w:rsidRPr="00CB53FD">
          <w:rPr>
            <w:rStyle w:val="Hyperlink"/>
            <w:rFonts w:ascii="Times New Roman" w:hAnsi="Times New Roman" w:cs="Times New Roman"/>
            <w:sz w:val="24"/>
            <w:szCs w:val="24"/>
          </w:rPr>
          <w:t>https://doi.org/10.1016/j.sbspro.2015.02.109</w:t>
        </w:r>
      </w:hyperlink>
    </w:p>
    <w:p w14:paraId="640867C4" w14:textId="77777777" w:rsidR="009D18BF" w:rsidRDefault="009D18BF" w:rsidP="000D300C">
      <w:pPr>
        <w:ind w:left="720" w:hanging="720"/>
        <w:jc w:val="both"/>
        <w:rPr>
          <w:rFonts w:ascii="Times New Roman" w:hAnsi="Times New Roman" w:cs="Times New Roman"/>
          <w:sz w:val="24"/>
          <w:szCs w:val="24"/>
        </w:rPr>
      </w:pPr>
      <w:r w:rsidRPr="00A0278F">
        <w:rPr>
          <w:rFonts w:ascii="Times New Roman" w:hAnsi="Times New Roman" w:cs="Times New Roman"/>
          <w:sz w:val="24"/>
          <w:szCs w:val="24"/>
        </w:rPr>
        <w:t xml:space="preserve">Trexler, C. J., Parr, D. M., &amp; Khanna, N. (2006). A </w:t>
      </w:r>
      <w:r>
        <w:rPr>
          <w:rFonts w:ascii="Times New Roman" w:hAnsi="Times New Roman" w:cs="Times New Roman"/>
          <w:sz w:val="24"/>
          <w:szCs w:val="24"/>
        </w:rPr>
        <w:t>D</w:t>
      </w:r>
      <w:r w:rsidRPr="00A0278F">
        <w:rPr>
          <w:rFonts w:ascii="Times New Roman" w:hAnsi="Times New Roman" w:cs="Times New Roman"/>
          <w:sz w:val="24"/>
          <w:szCs w:val="24"/>
        </w:rPr>
        <w:t xml:space="preserve">elphi study of agricultural practitioners’ opinions: </w:t>
      </w:r>
      <w:r>
        <w:rPr>
          <w:rFonts w:ascii="Times New Roman" w:hAnsi="Times New Roman" w:cs="Times New Roman"/>
          <w:sz w:val="24"/>
          <w:szCs w:val="24"/>
        </w:rPr>
        <w:t>N</w:t>
      </w:r>
      <w:r w:rsidRPr="00A0278F">
        <w:rPr>
          <w:rFonts w:ascii="Times New Roman" w:hAnsi="Times New Roman" w:cs="Times New Roman"/>
          <w:sz w:val="24"/>
          <w:szCs w:val="24"/>
        </w:rPr>
        <w:t>ecessary experiences for inclusion in an undergraduate sustainable agricultural major. </w:t>
      </w:r>
      <w:r w:rsidRPr="00A0278F">
        <w:rPr>
          <w:rFonts w:ascii="Times New Roman" w:hAnsi="Times New Roman" w:cs="Times New Roman"/>
          <w:i/>
          <w:iCs/>
          <w:sz w:val="24"/>
          <w:szCs w:val="24"/>
        </w:rPr>
        <w:t>Journal of Agricultural Education</w:t>
      </w:r>
      <w:r w:rsidRPr="00A0278F">
        <w:rPr>
          <w:rFonts w:ascii="Times New Roman" w:hAnsi="Times New Roman" w:cs="Times New Roman"/>
          <w:sz w:val="24"/>
          <w:szCs w:val="24"/>
        </w:rPr>
        <w:t>, </w:t>
      </w:r>
      <w:r w:rsidRPr="00A0278F">
        <w:rPr>
          <w:rFonts w:ascii="Times New Roman" w:hAnsi="Times New Roman" w:cs="Times New Roman"/>
          <w:i/>
          <w:iCs/>
          <w:sz w:val="24"/>
          <w:szCs w:val="24"/>
        </w:rPr>
        <w:t>47</w:t>
      </w:r>
      <w:r w:rsidRPr="00A0278F">
        <w:rPr>
          <w:rFonts w:ascii="Times New Roman" w:hAnsi="Times New Roman" w:cs="Times New Roman"/>
          <w:sz w:val="24"/>
          <w:szCs w:val="24"/>
        </w:rPr>
        <w:t xml:space="preserve">(4), 15–25. </w:t>
      </w:r>
      <w:hyperlink r:id="rId25" w:history="1">
        <w:bookmarkStart w:id="1" w:name="_Hlk210481121"/>
        <w:r w:rsidRPr="009D18EC">
          <w:rPr>
            <w:rStyle w:val="Hyperlink"/>
            <w:rFonts w:ascii="Times New Roman" w:hAnsi="Times New Roman" w:cs="Times New Roman"/>
            <w:sz w:val="24"/>
            <w:szCs w:val="24"/>
          </w:rPr>
          <w:t>https://doi.org/</w:t>
        </w:r>
        <w:bookmarkEnd w:id="1"/>
        <w:r w:rsidRPr="009D18EC">
          <w:rPr>
            <w:rStyle w:val="Hyperlink"/>
            <w:rFonts w:ascii="Times New Roman" w:hAnsi="Times New Roman" w:cs="Times New Roman"/>
            <w:sz w:val="24"/>
            <w:szCs w:val="24"/>
          </w:rPr>
          <w:t>10.5032/jae.2006.04015</w:t>
        </w:r>
      </w:hyperlink>
      <w:r>
        <w:rPr>
          <w:rFonts w:ascii="Times New Roman" w:hAnsi="Times New Roman" w:cs="Times New Roman"/>
          <w:sz w:val="24"/>
          <w:szCs w:val="24"/>
        </w:rPr>
        <w:t xml:space="preserve"> </w:t>
      </w:r>
    </w:p>
    <w:p w14:paraId="358CCABA" w14:textId="77777777" w:rsidR="000D300C" w:rsidRDefault="000D300C" w:rsidP="00C2587E">
      <w:pPr>
        <w:jc w:val="both"/>
        <w:rPr>
          <w:rFonts w:ascii="Times New Roman" w:hAnsi="Times New Roman" w:cs="Times New Roman"/>
          <w:sz w:val="24"/>
          <w:szCs w:val="24"/>
        </w:rPr>
      </w:pPr>
    </w:p>
    <w:p w14:paraId="19ED01F6" w14:textId="4E307F34" w:rsidR="000D300C" w:rsidRDefault="000D300C" w:rsidP="00C2587E">
      <w:pPr>
        <w:jc w:val="both"/>
        <w:rPr>
          <w:rFonts w:ascii="Times New Roman" w:hAnsi="Times New Roman" w:cs="Times New Roman"/>
          <w:b/>
          <w:bCs/>
          <w:sz w:val="24"/>
          <w:szCs w:val="24"/>
        </w:rPr>
      </w:pPr>
      <w:r>
        <w:rPr>
          <w:rFonts w:ascii="Times New Roman" w:hAnsi="Times New Roman" w:cs="Times New Roman"/>
          <w:b/>
          <w:bCs/>
          <w:sz w:val="24"/>
          <w:szCs w:val="24"/>
        </w:rPr>
        <w:t>Appendix</w:t>
      </w:r>
    </w:p>
    <w:tbl>
      <w:tblPr>
        <w:tblStyle w:val="TableGrid"/>
        <w:tblW w:w="5000" w:type="pct"/>
        <w:tblLook w:val="04A0" w:firstRow="1" w:lastRow="0" w:firstColumn="1" w:lastColumn="0" w:noHBand="0" w:noVBand="1"/>
      </w:tblPr>
      <w:tblGrid>
        <w:gridCol w:w="601"/>
        <w:gridCol w:w="6131"/>
        <w:gridCol w:w="2284"/>
      </w:tblGrid>
      <w:tr w:rsidR="000D300C" w:rsidRPr="00044393" w14:paraId="41B3210A" w14:textId="77777777" w:rsidTr="004F46AB">
        <w:trPr>
          <w:trHeight w:val="530"/>
        </w:trPr>
        <w:tc>
          <w:tcPr>
            <w:tcW w:w="306" w:type="pct"/>
          </w:tcPr>
          <w:p w14:paraId="4504C270" w14:textId="77777777" w:rsidR="000D300C" w:rsidRPr="00044393" w:rsidRDefault="000D300C" w:rsidP="004F46AB">
            <w:pPr>
              <w:rPr>
                <w:rFonts w:ascii="Times New Roman" w:hAnsi="Times New Roman" w:cs="Times New Roman"/>
                <w:b/>
              </w:rPr>
            </w:pPr>
            <w:r w:rsidRPr="00044393">
              <w:rPr>
                <w:rFonts w:ascii="Times New Roman" w:hAnsi="Times New Roman" w:cs="Times New Roman"/>
                <w:b/>
              </w:rPr>
              <w:t>SL.</w:t>
            </w:r>
          </w:p>
          <w:p w14:paraId="62A421FF" w14:textId="77777777" w:rsidR="000D300C" w:rsidRPr="00044393" w:rsidRDefault="000D300C" w:rsidP="004F46AB">
            <w:pPr>
              <w:pStyle w:val="ListParagraph"/>
              <w:ind w:left="0"/>
              <w:jc w:val="both"/>
              <w:rPr>
                <w:rFonts w:ascii="Times New Roman" w:hAnsi="Times New Roman" w:cs="Times New Roman"/>
              </w:rPr>
            </w:pPr>
            <w:r w:rsidRPr="00044393">
              <w:rPr>
                <w:rFonts w:ascii="Times New Roman" w:hAnsi="Times New Roman" w:cs="Times New Roman"/>
                <w:b/>
              </w:rPr>
              <w:t>NO.</w:t>
            </w:r>
          </w:p>
        </w:tc>
        <w:tc>
          <w:tcPr>
            <w:tcW w:w="3414" w:type="pct"/>
          </w:tcPr>
          <w:p w14:paraId="4DB90F46"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INDICATORS</w:t>
            </w:r>
          </w:p>
        </w:tc>
        <w:tc>
          <w:tcPr>
            <w:tcW w:w="1280" w:type="pct"/>
          </w:tcPr>
          <w:p w14:paraId="4F8BCFE3" w14:textId="77777777" w:rsidR="000D300C" w:rsidRPr="00044393" w:rsidRDefault="000D300C" w:rsidP="004F46AB">
            <w:pPr>
              <w:rPr>
                <w:rFonts w:ascii="Times New Roman" w:hAnsi="Times New Roman" w:cs="Times New Roman"/>
                <w:b/>
              </w:rPr>
            </w:pPr>
            <w:r w:rsidRPr="00044393">
              <w:rPr>
                <w:rFonts w:ascii="docs-Roboto" w:hAnsi="docs-Roboto"/>
                <w:color w:val="202124"/>
                <w:shd w:val="clear" w:color="auto" w:fill="FFFFFF"/>
              </w:rPr>
              <w:t>RANK them according to your perception that most to least causing indicator</w:t>
            </w:r>
          </w:p>
        </w:tc>
      </w:tr>
      <w:tr w:rsidR="000D300C" w:rsidRPr="00044393" w14:paraId="24154CB5" w14:textId="77777777" w:rsidTr="004F46AB">
        <w:trPr>
          <w:trHeight w:val="422"/>
        </w:trPr>
        <w:tc>
          <w:tcPr>
            <w:tcW w:w="306" w:type="pct"/>
          </w:tcPr>
          <w:p w14:paraId="100753DA"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1.</w:t>
            </w:r>
          </w:p>
        </w:tc>
        <w:tc>
          <w:tcPr>
            <w:tcW w:w="4694" w:type="pct"/>
            <w:gridSpan w:val="2"/>
          </w:tcPr>
          <w:p w14:paraId="04289629" w14:textId="711207BE" w:rsidR="000D300C" w:rsidRPr="00044393" w:rsidRDefault="000D300C" w:rsidP="000D300C">
            <w:pPr>
              <w:pStyle w:val="ListParagraph"/>
              <w:tabs>
                <w:tab w:val="left" w:pos="2388"/>
                <w:tab w:val="center" w:pos="4099"/>
              </w:tabs>
              <w:ind w:left="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044393">
              <w:rPr>
                <w:rFonts w:ascii="Times New Roman" w:hAnsi="Times New Roman" w:cs="Times New Roman"/>
                <w:b/>
              </w:rPr>
              <w:t>CONSTRAINTS due to ICT (1-5)</w:t>
            </w:r>
          </w:p>
        </w:tc>
      </w:tr>
      <w:tr w:rsidR="000D300C" w:rsidRPr="00044393" w14:paraId="37D384A8" w14:textId="77777777" w:rsidTr="004F46AB">
        <w:trPr>
          <w:trHeight w:val="297"/>
        </w:trPr>
        <w:tc>
          <w:tcPr>
            <w:tcW w:w="306" w:type="pct"/>
          </w:tcPr>
          <w:p w14:paraId="602C7CDD"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25BF2492"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Extensive use Artificial intelligence </w:t>
            </w:r>
            <w:r w:rsidRPr="00044393">
              <w:rPr>
                <w:rFonts w:ascii="Times New Roman" w:hAnsi="Times New Roman" w:cs="Times New Roman"/>
                <w:b/>
              </w:rPr>
              <w:t>(AI)</w:t>
            </w:r>
            <w:r w:rsidRPr="00044393">
              <w:rPr>
                <w:rFonts w:ascii="Times New Roman" w:hAnsi="Times New Roman" w:cs="Times New Roman"/>
              </w:rPr>
              <w:t xml:space="preserve"> and online teaching material for academics leads to less creativity and cognitive development follows less development of communication skills.</w:t>
            </w:r>
          </w:p>
        </w:tc>
        <w:tc>
          <w:tcPr>
            <w:tcW w:w="1280" w:type="pct"/>
          </w:tcPr>
          <w:p w14:paraId="30EAB94D"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18D7240" w14:textId="77777777" w:rsidTr="004F46AB">
        <w:trPr>
          <w:trHeight w:val="277"/>
        </w:trPr>
        <w:tc>
          <w:tcPr>
            <w:tcW w:w="306" w:type="pct"/>
          </w:tcPr>
          <w:p w14:paraId="4894F806"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15FBD39A"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Excessive </w:t>
            </w:r>
            <w:r w:rsidRPr="00044393">
              <w:rPr>
                <w:rFonts w:ascii="Times New Roman" w:hAnsi="Times New Roman" w:cs="Times New Roman"/>
                <w:b/>
              </w:rPr>
              <w:t>screen tim</w:t>
            </w:r>
            <w:r w:rsidRPr="00044393">
              <w:rPr>
                <w:rFonts w:ascii="Times New Roman" w:hAnsi="Times New Roman" w:cs="Times New Roman"/>
              </w:rPr>
              <w:t>e leads less time spared development of communication skills.</w:t>
            </w:r>
          </w:p>
        </w:tc>
        <w:tc>
          <w:tcPr>
            <w:tcW w:w="1280" w:type="pct"/>
          </w:tcPr>
          <w:p w14:paraId="78F1711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0588807" w14:textId="77777777" w:rsidTr="004F46AB">
        <w:trPr>
          <w:trHeight w:val="277"/>
        </w:trPr>
        <w:tc>
          <w:tcPr>
            <w:tcW w:w="306" w:type="pct"/>
          </w:tcPr>
          <w:p w14:paraId="0A64DFE3"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5AEDCAC0" w14:textId="77777777" w:rsidR="000D300C" w:rsidRPr="00044393" w:rsidRDefault="000D300C" w:rsidP="004F46AB">
            <w:pPr>
              <w:ind w:left="360"/>
              <w:jc w:val="both"/>
              <w:rPr>
                <w:rFonts w:ascii="Times New Roman" w:hAnsi="Times New Roman" w:cs="Times New Roman"/>
                <w:bCs/>
              </w:rPr>
            </w:pPr>
            <w:r w:rsidRPr="00044393">
              <w:rPr>
                <w:rFonts w:ascii="Times New Roman" w:hAnsi="Times New Roman" w:cs="Times New Roman"/>
                <w:b/>
                <w:bCs/>
              </w:rPr>
              <w:t>Distraction:-</w:t>
            </w:r>
            <w:r w:rsidRPr="00044393">
              <w:rPr>
                <w:rFonts w:ascii="Times New Roman" w:hAnsi="Times New Roman" w:cs="Times New Roman"/>
                <w:bCs/>
              </w:rPr>
              <w:t>temptation of checking their mobile phones for notifications or messages.</w:t>
            </w:r>
          </w:p>
        </w:tc>
        <w:tc>
          <w:tcPr>
            <w:tcW w:w="1280" w:type="pct"/>
          </w:tcPr>
          <w:p w14:paraId="6F8805E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2433A1D" w14:textId="77777777" w:rsidTr="004F46AB">
        <w:trPr>
          <w:trHeight w:val="297"/>
        </w:trPr>
        <w:tc>
          <w:tcPr>
            <w:tcW w:w="306" w:type="pct"/>
          </w:tcPr>
          <w:p w14:paraId="6F674517"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67D2674F"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Social isolation</w:t>
            </w:r>
            <w:r w:rsidRPr="00044393">
              <w:rPr>
                <w:rFonts w:ascii="Times New Roman" w:hAnsi="Times New Roman" w:cs="Times New Roman"/>
              </w:rPr>
              <w:t>, reducing opportunities for students to engage in real-world communication scenarios and develop interpersonal communication skills.</w:t>
            </w:r>
          </w:p>
        </w:tc>
        <w:tc>
          <w:tcPr>
            <w:tcW w:w="1280" w:type="pct"/>
          </w:tcPr>
          <w:p w14:paraId="0DD22788"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6CE9CDD" w14:textId="77777777" w:rsidTr="004F46AB">
        <w:trPr>
          <w:trHeight w:val="1070"/>
        </w:trPr>
        <w:tc>
          <w:tcPr>
            <w:tcW w:w="306" w:type="pct"/>
          </w:tcPr>
          <w:p w14:paraId="78193CBA"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7B3BB5BC"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shortened attention span</w:t>
            </w:r>
            <w:r w:rsidRPr="00044393">
              <w:rPr>
                <w:rFonts w:ascii="Times New Roman" w:hAnsi="Times New Roman" w:cs="Times New Roman"/>
              </w:rPr>
              <w:t>, making it challenging for students to engage in sustained, focused communication activities.</w:t>
            </w:r>
          </w:p>
        </w:tc>
        <w:tc>
          <w:tcPr>
            <w:tcW w:w="1280" w:type="pct"/>
          </w:tcPr>
          <w:p w14:paraId="3CB7EB67"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CC635E2" w14:textId="77777777" w:rsidTr="004F46AB">
        <w:trPr>
          <w:trHeight w:val="395"/>
        </w:trPr>
        <w:tc>
          <w:tcPr>
            <w:tcW w:w="306" w:type="pct"/>
          </w:tcPr>
          <w:p w14:paraId="6F64D14E"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2.</w:t>
            </w:r>
          </w:p>
        </w:tc>
        <w:tc>
          <w:tcPr>
            <w:tcW w:w="4694" w:type="pct"/>
            <w:gridSpan w:val="2"/>
          </w:tcPr>
          <w:p w14:paraId="09BE8378"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CONSTRAINTS DUE TO CURRICULUM. (1-6)</w:t>
            </w:r>
          </w:p>
        </w:tc>
      </w:tr>
      <w:tr w:rsidR="000D300C" w:rsidRPr="00044393" w14:paraId="747BDD78" w14:textId="77777777" w:rsidTr="004F46AB">
        <w:trPr>
          <w:trHeight w:val="277"/>
        </w:trPr>
        <w:tc>
          <w:tcPr>
            <w:tcW w:w="306" w:type="pct"/>
          </w:tcPr>
          <w:p w14:paraId="0B0E0E26"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354182C6"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Agricultural curricula often give </w:t>
            </w:r>
            <w:r w:rsidRPr="00044393">
              <w:rPr>
                <w:rFonts w:ascii="Times New Roman" w:hAnsi="Times New Roman" w:cs="Times New Roman"/>
                <w:b/>
              </w:rPr>
              <w:t xml:space="preserve">less priorities </w:t>
            </w:r>
            <w:proofErr w:type="spellStart"/>
            <w:r w:rsidRPr="00044393">
              <w:rPr>
                <w:rFonts w:ascii="Times New Roman" w:hAnsi="Times New Roman" w:cs="Times New Roman"/>
                <w:b/>
              </w:rPr>
              <w:t>andfocus</w:t>
            </w:r>
            <w:proofErr w:type="spellEnd"/>
            <w:r w:rsidRPr="00044393">
              <w:rPr>
                <w:rFonts w:ascii="Times New Roman" w:hAnsi="Times New Roman" w:cs="Times New Roman"/>
                <w:b/>
              </w:rPr>
              <w:t xml:space="preserve"> for </w:t>
            </w:r>
            <w:proofErr w:type="spellStart"/>
            <w:r w:rsidRPr="00044393">
              <w:rPr>
                <w:rFonts w:ascii="Times New Roman" w:hAnsi="Times New Roman" w:cs="Times New Roman"/>
                <w:b/>
              </w:rPr>
              <w:t>communicationabilities</w:t>
            </w:r>
            <w:proofErr w:type="spellEnd"/>
            <w:r w:rsidRPr="00044393">
              <w:rPr>
                <w:rFonts w:ascii="Times New Roman" w:hAnsi="Times New Roman" w:cs="Times New Roman"/>
                <w:b/>
              </w:rPr>
              <w:t xml:space="preserve"> </w:t>
            </w:r>
            <w:r w:rsidRPr="00044393">
              <w:rPr>
                <w:rFonts w:ascii="Times New Roman" w:hAnsi="Times New Roman" w:cs="Times New Roman"/>
              </w:rPr>
              <w:t>over technical knowledg</w:t>
            </w:r>
            <w:r w:rsidRPr="00044393">
              <w:rPr>
                <w:rFonts w:ascii="Times New Roman" w:hAnsi="Times New Roman" w:cs="Times New Roman"/>
                <w:b/>
              </w:rPr>
              <w:t xml:space="preserve">e </w:t>
            </w:r>
            <w:r w:rsidRPr="00044393">
              <w:rPr>
                <w:rFonts w:ascii="Times New Roman" w:hAnsi="Times New Roman" w:cs="Times New Roman"/>
              </w:rPr>
              <w:t xml:space="preserve">and skills. </w:t>
            </w:r>
          </w:p>
        </w:tc>
        <w:tc>
          <w:tcPr>
            <w:tcW w:w="1280" w:type="pct"/>
          </w:tcPr>
          <w:p w14:paraId="2D42BDE6"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3E5A1BA" w14:textId="77777777" w:rsidTr="004F46AB">
        <w:trPr>
          <w:trHeight w:val="277"/>
        </w:trPr>
        <w:tc>
          <w:tcPr>
            <w:tcW w:w="306" w:type="pct"/>
          </w:tcPr>
          <w:p w14:paraId="4EEC3848"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57380D61"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Technical Jargon</w:t>
            </w:r>
            <w:r w:rsidRPr="00044393">
              <w:rPr>
                <w:rFonts w:ascii="Times New Roman" w:hAnsi="Times New Roman" w:cs="Times New Roman"/>
              </w:rPr>
              <w:t xml:space="preserve"> in curricula is challenging to understand and communicate effectively to a general audience.</w:t>
            </w:r>
          </w:p>
        </w:tc>
        <w:tc>
          <w:tcPr>
            <w:tcW w:w="1280" w:type="pct"/>
          </w:tcPr>
          <w:p w14:paraId="1C66194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755D7DA" w14:textId="77777777" w:rsidTr="004F46AB">
        <w:trPr>
          <w:trHeight w:val="297"/>
        </w:trPr>
        <w:tc>
          <w:tcPr>
            <w:tcW w:w="306" w:type="pct"/>
          </w:tcPr>
          <w:p w14:paraId="6B7A0E9F"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448FD07D"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Heavy Workload</w:t>
            </w:r>
            <w:r w:rsidRPr="00044393">
              <w:rPr>
                <w:rFonts w:ascii="Times New Roman" w:hAnsi="Times New Roman" w:cs="Times New Roman"/>
              </w:rPr>
              <w:t xml:space="preserve"> leaving little time for communication skill development.</w:t>
            </w:r>
          </w:p>
        </w:tc>
        <w:tc>
          <w:tcPr>
            <w:tcW w:w="1280" w:type="pct"/>
          </w:tcPr>
          <w:p w14:paraId="5C3E2672"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E239FC1" w14:textId="77777777" w:rsidTr="004F46AB">
        <w:trPr>
          <w:trHeight w:val="277"/>
        </w:trPr>
        <w:tc>
          <w:tcPr>
            <w:tcW w:w="306" w:type="pct"/>
          </w:tcPr>
          <w:p w14:paraId="1346AA61"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1902F91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exposure to diverse communication formats</w:t>
            </w:r>
            <w:r w:rsidRPr="00044393">
              <w:rPr>
                <w:rFonts w:ascii="Times New Roman" w:hAnsi="Times New Roman" w:cs="Times New Roman"/>
              </w:rPr>
              <w:t xml:space="preserve"> such as presenting of scientific writing and discussions.</w:t>
            </w:r>
          </w:p>
        </w:tc>
        <w:tc>
          <w:tcPr>
            <w:tcW w:w="1280" w:type="pct"/>
          </w:tcPr>
          <w:p w14:paraId="221AEDD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457B66D" w14:textId="77777777" w:rsidTr="004F46AB">
        <w:trPr>
          <w:trHeight w:val="277"/>
        </w:trPr>
        <w:tc>
          <w:tcPr>
            <w:tcW w:w="306" w:type="pct"/>
          </w:tcPr>
          <w:p w14:paraId="37B4ADF8"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2982CA81"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Interaction opportunities</w:t>
            </w:r>
            <w:r w:rsidRPr="00044393">
              <w:rPr>
                <w:rFonts w:ascii="Times New Roman" w:hAnsi="Times New Roman" w:cs="Times New Roman"/>
              </w:rPr>
              <w:t xml:space="preserve"> with Non-Academic Audiences such as farmers, policymakers, and the general public.</w:t>
            </w:r>
          </w:p>
        </w:tc>
        <w:tc>
          <w:tcPr>
            <w:tcW w:w="1280" w:type="pct"/>
          </w:tcPr>
          <w:p w14:paraId="199F6E50"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3572598" w14:textId="77777777" w:rsidTr="004F46AB">
        <w:trPr>
          <w:trHeight w:val="297"/>
        </w:trPr>
        <w:tc>
          <w:tcPr>
            <w:tcW w:w="306" w:type="pct"/>
          </w:tcPr>
          <w:p w14:paraId="03FE3264"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49DFE20C" w14:textId="77777777" w:rsidR="000D300C" w:rsidRPr="00044393" w:rsidRDefault="000D300C" w:rsidP="004F46AB">
            <w:pPr>
              <w:ind w:left="360"/>
              <w:jc w:val="both"/>
              <w:rPr>
                <w:rFonts w:ascii="Times New Roman" w:hAnsi="Times New Roman" w:cs="Times New Roman"/>
                <w:b/>
              </w:rPr>
            </w:pPr>
            <w:r w:rsidRPr="00044393">
              <w:rPr>
                <w:rFonts w:ascii="Times New Roman" w:hAnsi="Times New Roman" w:cs="Times New Roman"/>
                <w:b/>
              </w:rPr>
              <w:t>Less credit load</w:t>
            </w:r>
            <w:r w:rsidRPr="00044393">
              <w:rPr>
                <w:rFonts w:ascii="Times New Roman" w:hAnsi="Times New Roman" w:cs="Times New Roman"/>
              </w:rPr>
              <w:t xml:space="preserve"> on a course which is dedicated to focus on communication skills and </w:t>
            </w:r>
            <w:r w:rsidRPr="00044393">
              <w:rPr>
                <w:rFonts w:ascii="Times New Roman" w:hAnsi="Times New Roman" w:cs="Times New Roman"/>
                <w:b/>
              </w:rPr>
              <w:t>Minimal Feedback Mechanisms.</w:t>
            </w:r>
          </w:p>
        </w:tc>
        <w:tc>
          <w:tcPr>
            <w:tcW w:w="1280" w:type="pct"/>
          </w:tcPr>
          <w:p w14:paraId="2CEFB74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980A06D" w14:textId="77777777" w:rsidTr="004F46AB">
        <w:trPr>
          <w:trHeight w:val="377"/>
        </w:trPr>
        <w:tc>
          <w:tcPr>
            <w:tcW w:w="306" w:type="pct"/>
          </w:tcPr>
          <w:p w14:paraId="4149E2EE"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3.</w:t>
            </w:r>
          </w:p>
        </w:tc>
        <w:tc>
          <w:tcPr>
            <w:tcW w:w="4694" w:type="pct"/>
            <w:gridSpan w:val="2"/>
          </w:tcPr>
          <w:p w14:paraId="4A938C77"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PERSONAL CONSTRAINTS. (1-5)</w:t>
            </w:r>
          </w:p>
        </w:tc>
      </w:tr>
      <w:tr w:rsidR="000D300C" w:rsidRPr="00044393" w14:paraId="268F9A4D" w14:textId="77777777" w:rsidTr="004F46AB">
        <w:trPr>
          <w:trHeight w:val="277"/>
        </w:trPr>
        <w:tc>
          <w:tcPr>
            <w:tcW w:w="306" w:type="pct"/>
          </w:tcPr>
          <w:p w14:paraId="76973E5A"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233FEAD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Resistance to challenging</w:t>
            </w:r>
            <w:r w:rsidRPr="00044393">
              <w:rPr>
                <w:rFonts w:ascii="Times New Roman" w:hAnsi="Times New Roman" w:cs="Times New Roman"/>
              </w:rPr>
              <w:t xml:space="preserve"> or changing situation.</w:t>
            </w:r>
          </w:p>
        </w:tc>
        <w:tc>
          <w:tcPr>
            <w:tcW w:w="1280" w:type="pct"/>
          </w:tcPr>
          <w:p w14:paraId="66214CE3"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24B3C4F1" w14:textId="77777777" w:rsidTr="004F46AB">
        <w:trPr>
          <w:trHeight w:val="277"/>
        </w:trPr>
        <w:tc>
          <w:tcPr>
            <w:tcW w:w="306" w:type="pct"/>
          </w:tcPr>
          <w:p w14:paraId="6E1F3CC8"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3F6BC96E"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Lack of </w:t>
            </w:r>
            <w:r w:rsidRPr="00044393">
              <w:rPr>
                <w:rFonts w:ascii="Times New Roman" w:hAnsi="Times New Roman" w:cs="Times New Roman"/>
                <w:b/>
              </w:rPr>
              <w:t>motivation</w:t>
            </w:r>
            <w:r w:rsidRPr="00044393">
              <w:rPr>
                <w:rFonts w:ascii="Times New Roman" w:hAnsi="Times New Roman" w:cs="Times New Roman"/>
              </w:rPr>
              <w:t xml:space="preserve">. </w:t>
            </w:r>
          </w:p>
        </w:tc>
        <w:tc>
          <w:tcPr>
            <w:tcW w:w="1280" w:type="pct"/>
          </w:tcPr>
          <w:p w14:paraId="251B55B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789CB27" w14:textId="77777777" w:rsidTr="004F46AB">
        <w:trPr>
          <w:trHeight w:val="277"/>
        </w:trPr>
        <w:tc>
          <w:tcPr>
            <w:tcW w:w="306" w:type="pct"/>
          </w:tcPr>
          <w:p w14:paraId="1F971045"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0157DBD2" w14:textId="77777777" w:rsidR="000D300C" w:rsidRPr="00044393" w:rsidRDefault="000D300C" w:rsidP="004F46AB">
            <w:pPr>
              <w:rPr>
                <w:rFonts w:ascii="Times New Roman" w:hAnsi="Times New Roman" w:cs="Times New Roman"/>
              </w:rPr>
            </w:pPr>
            <w:r w:rsidRPr="00044393">
              <w:rPr>
                <w:rFonts w:ascii="Times New Roman" w:hAnsi="Times New Roman" w:cs="Times New Roman"/>
              </w:rPr>
              <w:t xml:space="preserve">Reduced </w:t>
            </w:r>
            <w:r w:rsidRPr="00044393">
              <w:rPr>
                <w:rFonts w:ascii="Times New Roman" w:hAnsi="Times New Roman" w:cs="Times New Roman"/>
                <w:b/>
              </w:rPr>
              <w:t>notes making</w:t>
            </w:r>
            <w:r w:rsidRPr="00044393">
              <w:rPr>
                <w:rFonts w:ascii="Times New Roman" w:hAnsi="Times New Roman" w:cs="Times New Roman"/>
              </w:rPr>
              <w:t xml:space="preserve">, writing, </w:t>
            </w:r>
            <w:r w:rsidRPr="00044393">
              <w:rPr>
                <w:rFonts w:ascii="Times New Roman" w:hAnsi="Times New Roman" w:cs="Times New Roman"/>
                <w:b/>
              </w:rPr>
              <w:t>book reading</w:t>
            </w:r>
            <w:r w:rsidRPr="00044393">
              <w:rPr>
                <w:rFonts w:ascii="Times New Roman" w:hAnsi="Times New Roman" w:cs="Times New Roman"/>
              </w:rPr>
              <w:t xml:space="preserve"> and social learning habit.</w:t>
            </w:r>
          </w:p>
        </w:tc>
        <w:tc>
          <w:tcPr>
            <w:tcW w:w="1280" w:type="pct"/>
          </w:tcPr>
          <w:p w14:paraId="2298B5F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AF55E85" w14:textId="77777777" w:rsidTr="004F46AB">
        <w:trPr>
          <w:trHeight w:val="297"/>
        </w:trPr>
        <w:tc>
          <w:tcPr>
            <w:tcW w:w="306" w:type="pct"/>
          </w:tcPr>
          <w:p w14:paraId="5C437743"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234330A4"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Non-Participation and </w:t>
            </w:r>
            <w:r w:rsidRPr="00044393">
              <w:rPr>
                <w:rFonts w:ascii="Times New Roman" w:hAnsi="Times New Roman" w:cs="Times New Roman"/>
                <w:b/>
              </w:rPr>
              <w:t>ignoring the opportunities</w:t>
            </w:r>
            <w:r w:rsidRPr="00044393">
              <w:rPr>
                <w:rFonts w:ascii="Times New Roman" w:hAnsi="Times New Roman" w:cs="Times New Roman"/>
              </w:rPr>
              <w:t xml:space="preserve"> like workshops, trainings seminars etc.</w:t>
            </w:r>
          </w:p>
        </w:tc>
        <w:tc>
          <w:tcPr>
            <w:tcW w:w="1280" w:type="pct"/>
          </w:tcPr>
          <w:p w14:paraId="63ADBB3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77F57BB" w14:textId="77777777" w:rsidTr="004F46AB">
        <w:trPr>
          <w:trHeight w:val="277"/>
        </w:trPr>
        <w:tc>
          <w:tcPr>
            <w:tcW w:w="306" w:type="pct"/>
          </w:tcPr>
          <w:p w14:paraId="5237C6BE"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40D04A3B"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Less interaction</w:t>
            </w:r>
            <w:r w:rsidRPr="00044393">
              <w:rPr>
                <w:rFonts w:ascii="Times New Roman" w:hAnsi="Times New Roman" w:cs="Times New Roman"/>
              </w:rPr>
              <w:t xml:space="preserve"> between seniors, juniors and peer group.</w:t>
            </w:r>
          </w:p>
        </w:tc>
        <w:tc>
          <w:tcPr>
            <w:tcW w:w="1280" w:type="pct"/>
          </w:tcPr>
          <w:p w14:paraId="11BC7FC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AEEF8E8" w14:textId="77777777" w:rsidTr="004F46AB">
        <w:trPr>
          <w:trHeight w:val="422"/>
        </w:trPr>
        <w:tc>
          <w:tcPr>
            <w:tcW w:w="306" w:type="pct"/>
          </w:tcPr>
          <w:p w14:paraId="3B555143"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4.</w:t>
            </w:r>
          </w:p>
        </w:tc>
        <w:tc>
          <w:tcPr>
            <w:tcW w:w="4694" w:type="pct"/>
            <w:gridSpan w:val="2"/>
          </w:tcPr>
          <w:p w14:paraId="531B573F"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INSTITUTION AND RESOURCE CONSTRAINTS. (1-7)</w:t>
            </w:r>
          </w:p>
        </w:tc>
      </w:tr>
      <w:tr w:rsidR="000D300C" w:rsidRPr="00044393" w14:paraId="20E31004" w14:textId="77777777" w:rsidTr="004F46AB">
        <w:trPr>
          <w:trHeight w:val="277"/>
        </w:trPr>
        <w:tc>
          <w:tcPr>
            <w:tcW w:w="306" w:type="pct"/>
          </w:tcPr>
          <w:p w14:paraId="1CCFC123"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693121EC"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Inadequate infrastructure</w:t>
            </w:r>
            <w:r w:rsidRPr="00044393">
              <w:rPr>
                <w:rFonts w:ascii="Times New Roman" w:hAnsi="Times New Roman" w:cs="Times New Roman"/>
              </w:rPr>
              <w:t>: Limited availability of books in libraries and communication</w:t>
            </w:r>
            <w:r w:rsidRPr="00044393">
              <w:rPr>
                <w:rFonts w:ascii="Times New Roman" w:hAnsi="Times New Roman" w:cs="Times New Roman"/>
                <w:b/>
              </w:rPr>
              <w:t xml:space="preserve"> labs</w:t>
            </w:r>
            <w:r w:rsidRPr="00044393">
              <w:rPr>
                <w:rFonts w:ascii="Times New Roman" w:hAnsi="Times New Roman" w:cs="Times New Roman"/>
              </w:rPr>
              <w:t>, or multimedia facilities.</w:t>
            </w:r>
          </w:p>
        </w:tc>
        <w:tc>
          <w:tcPr>
            <w:tcW w:w="1280" w:type="pct"/>
          </w:tcPr>
          <w:p w14:paraId="1CEF3C2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0ADFAA4" w14:textId="77777777" w:rsidTr="004F46AB">
        <w:trPr>
          <w:trHeight w:val="277"/>
        </w:trPr>
        <w:tc>
          <w:tcPr>
            <w:tcW w:w="306" w:type="pct"/>
          </w:tcPr>
          <w:p w14:paraId="41EA2240"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4E30BEF3"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access</w:t>
            </w:r>
            <w:r w:rsidRPr="00044393">
              <w:rPr>
                <w:rFonts w:ascii="Times New Roman" w:hAnsi="Times New Roman" w:cs="Times New Roman"/>
              </w:rPr>
              <w:t xml:space="preserve"> to communication technology (</w:t>
            </w:r>
            <w:proofErr w:type="spellStart"/>
            <w:r w:rsidRPr="00044393">
              <w:rPr>
                <w:rFonts w:ascii="Times New Roman" w:hAnsi="Times New Roman" w:cs="Times New Roman"/>
              </w:rPr>
              <w:t>wifi</w:t>
            </w:r>
            <w:proofErr w:type="spellEnd"/>
            <w:r w:rsidRPr="00044393">
              <w:rPr>
                <w:rFonts w:ascii="Times New Roman" w:hAnsi="Times New Roman" w:cs="Times New Roman"/>
              </w:rPr>
              <w:t xml:space="preserve"> online communication resources, tools, and educational materials.</w:t>
            </w:r>
          </w:p>
        </w:tc>
        <w:tc>
          <w:tcPr>
            <w:tcW w:w="1280" w:type="pct"/>
          </w:tcPr>
          <w:p w14:paraId="3F1A57FA"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43F7C867" w14:textId="77777777" w:rsidTr="004F46AB">
        <w:trPr>
          <w:trHeight w:val="297"/>
        </w:trPr>
        <w:tc>
          <w:tcPr>
            <w:tcW w:w="306" w:type="pct"/>
          </w:tcPr>
          <w:p w14:paraId="5D756A33"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7C7813D8"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Restricted opportunities for internships, field visits, or interactions with professionals from different sectors. </w:t>
            </w:r>
          </w:p>
        </w:tc>
        <w:tc>
          <w:tcPr>
            <w:tcW w:w="1280" w:type="pct"/>
          </w:tcPr>
          <w:p w14:paraId="259E4633"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B024852" w14:textId="77777777" w:rsidTr="004F46AB">
        <w:trPr>
          <w:trHeight w:val="277"/>
        </w:trPr>
        <w:tc>
          <w:tcPr>
            <w:tcW w:w="306" w:type="pct"/>
          </w:tcPr>
          <w:p w14:paraId="13CFE1E6"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919FD2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Lack of guidance and mentorship</w:t>
            </w:r>
          </w:p>
        </w:tc>
        <w:tc>
          <w:tcPr>
            <w:tcW w:w="1280" w:type="pct"/>
          </w:tcPr>
          <w:p w14:paraId="6511E81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971B05E" w14:textId="77777777" w:rsidTr="004F46AB">
        <w:trPr>
          <w:trHeight w:val="297"/>
        </w:trPr>
        <w:tc>
          <w:tcPr>
            <w:tcW w:w="306" w:type="pct"/>
          </w:tcPr>
          <w:p w14:paraId="219D5CF0"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D033370"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Limited availability of communication specialists or trained professionals within the academic environment </w:t>
            </w:r>
          </w:p>
        </w:tc>
        <w:tc>
          <w:tcPr>
            <w:tcW w:w="1280" w:type="pct"/>
          </w:tcPr>
          <w:p w14:paraId="6ED917C4"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448EA5C" w14:textId="77777777" w:rsidTr="004F46AB">
        <w:trPr>
          <w:trHeight w:val="277"/>
        </w:trPr>
        <w:tc>
          <w:tcPr>
            <w:tcW w:w="306" w:type="pct"/>
          </w:tcPr>
          <w:p w14:paraId="3987CADC"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97E230E"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Lack of systematic communication training in regular intervals.</w:t>
            </w:r>
          </w:p>
        </w:tc>
        <w:tc>
          <w:tcPr>
            <w:tcW w:w="1280" w:type="pct"/>
          </w:tcPr>
          <w:p w14:paraId="67138E5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42B68DBC" w14:textId="77777777" w:rsidTr="004F46AB">
        <w:trPr>
          <w:trHeight w:val="277"/>
        </w:trPr>
        <w:tc>
          <w:tcPr>
            <w:tcW w:w="306" w:type="pct"/>
          </w:tcPr>
          <w:p w14:paraId="2C53B931"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2F46AB0"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Less commitment to create a climate that improves the communication and soft skills.</w:t>
            </w:r>
          </w:p>
        </w:tc>
        <w:tc>
          <w:tcPr>
            <w:tcW w:w="1280" w:type="pct"/>
          </w:tcPr>
          <w:p w14:paraId="15ADAC4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20987DB" w14:textId="77777777" w:rsidTr="004F46AB">
        <w:trPr>
          <w:trHeight w:val="297"/>
        </w:trPr>
        <w:tc>
          <w:tcPr>
            <w:tcW w:w="306" w:type="pct"/>
          </w:tcPr>
          <w:p w14:paraId="706847C0"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5.</w:t>
            </w:r>
          </w:p>
        </w:tc>
        <w:tc>
          <w:tcPr>
            <w:tcW w:w="4694" w:type="pct"/>
            <w:gridSpan w:val="2"/>
          </w:tcPr>
          <w:p w14:paraId="6B958483"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CONSTRAINTS DUE SOCIO PERSONAL BACKGROUND. (1-5)</w:t>
            </w:r>
          </w:p>
        </w:tc>
      </w:tr>
      <w:tr w:rsidR="000D300C" w:rsidRPr="00044393" w14:paraId="5EBC1C12" w14:textId="77777777" w:rsidTr="004F46AB">
        <w:trPr>
          <w:trHeight w:val="277"/>
        </w:trPr>
        <w:tc>
          <w:tcPr>
            <w:tcW w:w="306" w:type="pct"/>
          </w:tcPr>
          <w:p w14:paraId="22ADB68D"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7D40F877"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Inability to adapt communication style to diverse audiences due to rural background</w:t>
            </w:r>
          </w:p>
        </w:tc>
        <w:tc>
          <w:tcPr>
            <w:tcW w:w="1280" w:type="pct"/>
          </w:tcPr>
          <w:p w14:paraId="4088E4B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33CAEDB" w14:textId="77777777" w:rsidTr="004F46AB">
        <w:trPr>
          <w:trHeight w:val="277"/>
        </w:trPr>
        <w:tc>
          <w:tcPr>
            <w:tcW w:w="306" w:type="pct"/>
          </w:tcPr>
          <w:p w14:paraId="718DD094"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887A923"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Cultural Differences: Agricultural students may come from diverse cultural backgrounds with linguistic diversity, leading to differences in communication norms and practices that require adaptation and understanding.</w:t>
            </w:r>
          </w:p>
        </w:tc>
        <w:tc>
          <w:tcPr>
            <w:tcW w:w="1280" w:type="pct"/>
          </w:tcPr>
          <w:p w14:paraId="377088C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B6CF732" w14:textId="77777777" w:rsidTr="004F46AB">
        <w:trPr>
          <w:trHeight w:val="297"/>
        </w:trPr>
        <w:tc>
          <w:tcPr>
            <w:tcW w:w="306" w:type="pct"/>
          </w:tcPr>
          <w:p w14:paraId="7A0D02F6"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0379DDD"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Financial limitations: High costs associated with attending communication workshops, seminars, or purchasing relevant books and materials </w:t>
            </w:r>
          </w:p>
        </w:tc>
        <w:tc>
          <w:tcPr>
            <w:tcW w:w="1280" w:type="pct"/>
          </w:tcPr>
          <w:p w14:paraId="50B002EC"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E76C561" w14:textId="77777777" w:rsidTr="004F46AB">
        <w:trPr>
          <w:trHeight w:val="297"/>
        </w:trPr>
        <w:tc>
          <w:tcPr>
            <w:tcW w:w="306" w:type="pct"/>
          </w:tcPr>
          <w:p w14:paraId="6E53FC5F"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2705C618"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Lack Self-confidence due to disadvantaged background </w:t>
            </w:r>
          </w:p>
        </w:tc>
        <w:tc>
          <w:tcPr>
            <w:tcW w:w="1280" w:type="pct"/>
          </w:tcPr>
          <w:p w14:paraId="238D4AA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3FB769A" w14:textId="77777777" w:rsidTr="004F46AB">
        <w:trPr>
          <w:trHeight w:val="503"/>
        </w:trPr>
        <w:tc>
          <w:tcPr>
            <w:tcW w:w="306" w:type="pct"/>
          </w:tcPr>
          <w:p w14:paraId="2D7F2814"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02315B44"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Educational Gaps: Disparities in the quality of primary and secondary education </w:t>
            </w:r>
          </w:p>
        </w:tc>
        <w:tc>
          <w:tcPr>
            <w:tcW w:w="1280" w:type="pct"/>
          </w:tcPr>
          <w:p w14:paraId="3A86E492"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CC41615" w14:textId="77777777" w:rsidTr="004F46AB">
        <w:trPr>
          <w:trHeight w:val="70"/>
        </w:trPr>
        <w:tc>
          <w:tcPr>
            <w:tcW w:w="306" w:type="pct"/>
          </w:tcPr>
          <w:p w14:paraId="4101E051"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00074C43"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Limited Networking Opportunities </w:t>
            </w:r>
          </w:p>
        </w:tc>
        <w:tc>
          <w:tcPr>
            <w:tcW w:w="1280" w:type="pct"/>
          </w:tcPr>
          <w:p w14:paraId="330548BC"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FC76F9E" w14:textId="77777777" w:rsidTr="004F46AB">
        <w:trPr>
          <w:trHeight w:val="197"/>
        </w:trPr>
        <w:tc>
          <w:tcPr>
            <w:tcW w:w="306" w:type="pct"/>
          </w:tcPr>
          <w:p w14:paraId="39901D8A"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8C9FEFD"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Psychological Barriers: Personal experiences of trauma.</w:t>
            </w:r>
          </w:p>
        </w:tc>
        <w:tc>
          <w:tcPr>
            <w:tcW w:w="1280" w:type="pct"/>
          </w:tcPr>
          <w:p w14:paraId="2848112B" w14:textId="77777777" w:rsidR="000D300C" w:rsidRPr="00044393" w:rsidRDefault="000D300C" w:rsidP="004F46AB">
            <w:pPr>
              <w:pStyle w:val="ListParagraph"/>
              <w:ind w:left="0"/>
              <w:jc w:val="both"/>
              <w:rPr>
                <w:rFonts w:ascii="Times New Roman" w:hAnsi="Times New Roman" w:cs="Times New Roman"/>
              </w:rPr>
            </w:pPr>
          </w:p>
        </w:tc>
      </w:tr>
    </w:tbl>
    <w:p w14:paraId="5111E7CC" w14:textId="77777777" w:rsidR="000D300C" w:rsidRPr="00044393" w:rsidRDefault="000D300C" w:rsidP="000D300C">
      <w:pPr>
        <w:spacing w:line="240" w:lineRule="auto"/>
        <w:rPr>
          <w:rFonts w:ascii="Times New Roman" w:hAnsi="Times New Roman" w:cs="Times New Roman"/>
        </w:rPr>
      </w:pPr>
      <w:proofErr w:type="spellStart"/>
      <w:r w:rsidRPr="00044393">
        <w:rPr>
          <w:rFonts w:ascii="Times New Roman" w:hAnsi="Times New Roman" w:cs="Times New Roman"/>
        </w:rPr>
        <w:t>Anyother</w:t>
      </w:r>
      <w:proofErr w:type="spellEnd"/>
      <w:r w:rsidRPr="00044393">
        <w:rPr>
          <w:rFonts w:ascii="Times New Roman" w:hAnsi="Times New Roman" w:cs="Times New Roman"/>
        </w:rPr>
        <w:t>:- _____________________________________________________________________________________</w:t>
      </w:r>
    </w:p>
    <w:p w14:paraId="3757F953" w14:textId="77777777" w:rsidR="000D300C" w:rsidRPr="00C2587E" w:rsidRDefault="000D300C" w:rsidP="00C2587E">
      <w:pPr>
        <w:jc w:val="both"/>
        <w:rPr>
          <w:rFonts w:ascii="Times New Roman" w:hAnsi="Times New Roman" w:cs="Times New Roman"/>
          <w:b/>
          <w:bCs/>
          <w:sz w:val="24"/>
          <w:szCs w:val="24"/>
        </w:rPr>
      </w:pPr>
    </w:p>
    <w:sectPr w:rsidR="000D300C" w:rsidRPr="00C2587E">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F58DF" w14:textId="77777777" w:rsidR="00F22269" w:rsidRDefault="00F22269" w:rsidP="00424E49">
      <w:pPr>
        <w:spacing w:after="0" w:line="240" w:lineRule="auto"/>
      </w:pPr>
      <w:r>
        <w:separator/>
      </w:r>
    </w:p>
  </w:endnote>
  <w:endnote w:type="continuationSeparator" w:id="0">
    <w:p w14:paraId="5504B274" w14:textId="77777777" w:rsidR="00F22269" w:rsidRDefault="00F22269" w:rsidP="0042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ocs-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E2E40" w14:textId="77777777" w:rsidR="0011598B" w:rsidRDefault="001159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6BD0E" w14:textId="77777777" w:rsidR="0011598B" w:rsidRDefault="00115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BD91" w14:textId="77777777" w:rsidR="0011598B" w:rsidRDefault="00115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66187" w14:textId="77777777" w:rsidR="00F22269" w:rsidRDefault="00F22269" w:rsidP="00424E49">
      <w:pPr>
        <w:spacing w:after="0" w:line="240" w:lineRule="auto"/>
      </w:pPr>
      <w:r>
        <w:separator/>
      </w:r>
    </w:p>
  </w:footnote>
  <w:footnote w:type="continuationSeparator" w:id="0">
    <w:p w14:paraId="6310BA50" w14:textId="77777777" w:rsidR="00F22269" w:rsidRDefault="00F22269" w:rsidP="00424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5B706" w14:textId="5791570F" w:rsidR="0011598B" w:rsidRDefault="0011598B">
    <w:pPr>
      <w:pStyle w:val="Header"/>
    </w:pPr>
    <w:r>
      <w:rPr>
        <w:noProof/>
      </w:rPr>
      <w:pict w14:anchorId="39283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513F" w14:textId="00FD0ADA" w:rsidR="0011598B" w:rsidRDefault="0011598B">
    <w:pPr>
      <w:pStyle w:val="Header"/>
    </w:pPr>
    <w:r>
      <w:rPr>
        <w:noProof/>
      </w:rPr>
      <w:pict w14:anchorId="1DAFE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C9B75" w14:textId="7241A5B1" w:rsidR="0011598B" w:rsidRDefault="0011598B">
    <w:pPr>
      <w:pStyle w:val="Header"/>
    </w:pPr>
    <w:r>
      <w:rPr>
        <w:noProof/>
      </w:rPr>
      <w:pict w14:anchorId="2D7EBD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C2F39"/>
    <w:multiLevelType w:val="hybridMultilevel"/>
    <w:tmpl w:val="B7E2E148"/>
    <w:lvl w:ilvl="0" w:tplc="EF147C1A">
      <w:numFmt w:val="bullet"/>
      <w:lvlText w:val=""/>
      <w:lvlJc w:val="left"/>
      <w:pPr>
        <w:ind w:left="720" w:hanging="360"/>
      </w:pPr>
      <w:rPr>
        <w:rFonts w:ascii="Times New Roman" w:eastAsiaTheme="minorHAnsi"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457EA3"/>
    <w:multiLevelType w:val="hybridMultilevel"/>
    <w:tmpl w:val="FC40E3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30D21"/>
    <w:multiLevelType w:val="hybridMultilevel"/>
    <w:tmpl w:val="98242486"/>
    <w:lvl w:ilvl="0" w:tplc="EF147C1A">
      <w:numFmt w:val="bullet"/>
      <w:lvlText w:val=""/>
      <w:lvlJc w:val="left"/>
      <w:pPr>
        <w:ind w:left="720" w:hanging="360"/>
      </w:pPr>
      <w:rPr>
        <w:rFonts w:ascii="Times New Roman" w:eastAsiaTheme="minorHAnsi"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D37BA7"/>
    <w:multiLevelType w:val="hybridMultilevel"/>
    <w:tmpl w:val="04F228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074213"/>
    <w:multiLevelType w:val="hybridMultilevel"/>
    <w:tmpl w:val="E6E680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0A0341"/>
    <w:multiLevelType w:val="hybridMultilevel"/>
    <w:tmpl w:val="1E2CBE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80DC7"/>
    <w:multiLevelType w:val="hybridMultilevel"/>
    <w:tmpl w:val="64B28A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95D2B53"/>
    <w:multiLevelType w:val="multilevel"/>
    <w:tmpl w:val="B48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1A0544"/>
    <w:multiLevelType w:val="hybridMultilevel"/>
    <w:tmpl w:val="61BAAB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856C8F"/>
    <w:multiLevelType w:val="hybridMultilevel"/>
    <w:tmpl w:val="E6E680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B80D3E"/>
    <w:multiLevelType w:val="hybridMultilevel"/>
    <w:tmpl w:val="00EC96F8"/>
    <w:lvl w:ilvl="0" w:tplc="5E2405A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0"/>
  </w:num>
  <w:num w:numId="5">
    <w:abstractNumId w:val="7"/>
  </w:num>
  <w:num w:numId="6">
    <w:abstractNumId w:val="8"/>
  </w:num>
  <w:num w:numId="7">
    <w:abstractNumId w:val="5"/>
  </w:num>
  <w:num w:numId="8">
    <w:abstractNumId w:val="1"/>
  </w:num>
  <w:num w:numId="9">
    <w:abstractNumId w:val="3"/>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BB6"/>
    <w:rsid w:val="00036B54"/>
    <w:rsid w:val="00051478"/>
    <w:rsid w:val="00067410"/>
    <w:rsid w:val="000723D2"/>
    <w:rsid w:val="000832E9"/>
    <w:rsid w:val="000A7444"/>
    <w:rsid w:val="000B4BFC"/>
    <w:rsid w:val="000C0E08"/>
    <w:rsid w:val="000D300C"/>
    <w:rsid w:val="000D4133"/>
    <w:rsid w:val="000D7A6C"/>
    <w:rsid w:val="000E137D"/>
    <w:rsid w:val="000F0002"/>
    <w:rsid w:val="001015FF"/>
    <w:rsid w:val="001028DB"/>
    <w:rsid w:val="0011598B"/>
    <w:rsid w:val="00117564"/>
    <w:rsid w:val="00124EC0"/>
    <w:rsid w:val="0013349B"/>
    <w:rsid w:val="00142B8C"/>
    <w:rsid w:val="00184871"/>
    <w:rsid w:val="0019413B"/>
    <w:rsid w:val="00195A1B"/>
    <w:rsid w:val="001B5DC9"/>
    <w:rsid w:val="001D276A"/>
    <w:rsid w:val="001F273B"/>
    <w:rsid w:val="00215E2E"/>
    <w:rsid w:val="00216FDC"/>
    <w:rsid w:val="00221052"/>
    <w:rsid w:val="002355F6"/>
    <w:rsid w:val="00236292"/>
    <w:rsid w:val="00247023"/>
    <w:rsid w:val="00260CBE"/>
    <w:rsid w:val="002622D6"/>
    <w:rsid w:val="00270ABE"/>
    <w:rsid w:val="002F7A7A"/>
    <w:rsid w:val="00311B20"/>
    <w:rsid w:val="00317D74"/>
    <w:rsid w:val="00321382"/>
    <w:rsid w:val="003757D5"/>
    <w:rsid w:val="00386CAD"/>
    <w:rsid w:val="003903A1"/>
    <w:rsid w:val="00390D3D"/>
    <w:rsid w:val="003A50E8"/>
    <w:rsid w:val="003C0936"/>
    <w:rsid w:val="003E3457"/>
    <w:rsid w:val="003F35CB"/>
    <w:rsid w:val="003F47AC"/>
    <w:rsid w:val="004241E2"/>
    <w:rsid w:val="00424E49"/>
    <w:rsid w:val="0043058B"/>
    <w:rsid w:val="004531D7"/>
    <w:rsid w:val="00454792"/>
    <w:rsid w:val="004568B2"/>
    <w:rsid w:val="00460A7A"/>
    <w:rsid w:val="00470E9A"/>
    <w:rsid w:val="00473C42"/>
    <w:rsid w:val="00483092"/>
    <w:rsid w:val="00497DC7"/>
    <w:rsid w:val="0050207B"/>
    <w:rsid w:val="00502CF0"/>
    <w:rsid w:val="0052542B"/>
    <w:rsid w:val="005312BC"/>
    <w:rsid w:val="00541DB4"/>
    <w:rsid w:val="00545BCC"/>
    <w:rsid w:val="005512A0"/>
    <w:rsid w:val="0055193F"/>
    <w:rsid w:val="00580BD8"/>
    <w:rsid w:val="005A38F7"/>
    <w:rsid w:val="005A61BF"/>
    <w:rsid w:val="005B383B"/>
    <w:rsid w:val="005B4B10"/>
    <w:rsid w:val="005B4B93"/>
    <w:rsid w:val="005C3C18"/>
    <w:rsid w:val="005D304C"/>
    <w:rsid w:val="005F1414"/>
    <w:rsid w:val="00607D07"/>
    <w:rsid w:val="00615D39"/>
    <w:rsid w:val="0062567E"/>
    <w:rsid w:val="00635FA4"/>
    <w:rsid w:val="0064270B"/>
    <w:rsid w:val="006506AB"/>
    <w:rsid w:val="0066791C"/>
    <w:rsid w:val="00667AA6"/>
    <w:rsid w:val="00672A5A"/>
    <w:rsid w:val="00672F06"/>
    <w:rsid w:val="006772C0"/>
    <w:rsid w:val="00682A96"/>
    <w:rsid w:val="00691282"/>
    <w:rsid w:val="00692A6D"/>
    <w:rsid w:val="0069329C"/>
    <w:rsid w:val="00694C50"/>
    <w:rsid w:val="00694DB0"/>
    <w:rsid w:val="006B0180"/>
    <w:rsid w:val="006C44F4"/>
    <w:rsid w:val="006C7D9E"/>
    <w:rsid w:val="006F4BC4"/>
    <w:rsid w:val="007154DC"/>
    <w:rsid w:val="00730202"/>
    <w:rsid w:val="007477A1"/>
    <w:rsid w:val="007575CE"/>
    <w:rsid w:val="0076716F"/>
    <w:rsid w:val="00787238"/>
    <w:rsid w:val="007B166C"/>
    <w:rsid w:val="007C0617"/>
    <w:rsid w:val="007E1011"/>
    <w:rsid w:val="00827885"/>
    <w:rsid w:val="00847572"/>
    <w:rsid w:val="008758E8"/>
    <w:rsid w:val="008B48AC"/>
    <w:rsid w:val="008B4F18"/>
    <w:rsid w:val="008E504C"/>
    <w:rsid w:val="008F293E"/>
    <w:rsid w:val="00907A86"/>
    <w:rsid w:val="00907E62"/>
    <w:rsid w:val="00923994"/>
    <w:rsid w:val="0092588D"/>
    <w:rsid w:val="00953A11"/>
    <w:rsid w:val="0095791B"/>
    <w:rsid w:val="009647F9"/>
    <w:rsid w:val="00967C33"/>
    <w:rsid w:val="009B446F"/>
    <w:rsid w:val="009B6648"/>
    <w:rsid w:val="009B6CE7"/>
    <w:rsid w:val="009C4E69"/>
    <w:rsid w:val="009D18BF"/>
    <w:rsid w:val="00A0278F"/>
    <w:rsid w:val="00A43C25"/>
    <w:rsid w:val="00A448A5"/>
    <w:rsid w:val="00A83296"/>
    <w:rsid w:val="00A861D2"/>
    <w:rsid w:val="00AA118E"/>
    <w:rsid w:val="00AB6D04"/>
    <w:rsid w:val="00AC27DA"/>
    <w:rsid w:val="00AD7E75"/>
    <w:rsid w:val="00B03D88"/>
    <w:rsid w:val="00B1512F"/>
    <w:rsid w:val="00B2177D"/>
    <w:rsid w:val="00B26BB6"/>
    <w:rsid w:val="00B3117C"/>
    <w:rsid w:val="00BA5BB9"/>
    <w:rsid w:val="00BB4B3F"/>
    <w:rsid w:val="00BB75C6"/>
    <w:rsid w:val="00BD544A"/>
    <w:rsid w:val="00BE7B2E"/>
    <w:rsid w:val="00BF674C"/>
    <w:rsid w:val="00C1151B"/>
    <w:rsid w:val="00C140BC"/>
    <w:rsid w:val="00C1724E"/>
    <w:rsid w:val="00C20A21"/>
    <w:rsid w:val="00C25039"/>
    <w:rsid w:val="00C2587E"/>
    <w:rsid w:val="00C31A5D"/>
    <w:rsid w:val="00C33149"/>
    <w:rsid w:val="00C40667"/>
    <w:rsid w:val="00C500FC"/>
    <w:rsid w:val="00C73EB5"/>
    <w:rsid w:val="00C97D35"/>
    <w:rsid w:val="00CB1829"/>
    <w:rsid w:val="00CB312F"/>
    <w:rsid w:val="00CB53FD"/>
    <w:rsid w:val="00CE4FD1"/>
    <w:rsid w:val="00CF642F"/>
    <w:rsid w:val="00D05576"/>
    <w:rsid w:val="00D20C1B"/>
    <w:rsid w:val="00D22A3E"/>
    <w:rsid w:val="00D363BD"/>
    <w:rsid w:val="00D4042F"/>
    <w:rsid w:val="00D534EC"/>
    <w:rsid w:val="00D60B0A"/>
    <w:rsid w:val="00D64AFA"/>
    <w:rsid w:val="00D74120"/>
    <w:rsid w:val="00D7617F"/>
    <w:rsid w:val="00DD26EA"/>
    <w:rsid w:val="00E120F5"/>
    <w:rsid w:val="00E17980"/>
    <w:rsid w:val="00E401BC"/>
    <w:rsid w:val="00E47D57"/>
    <w:rsid w:val="00E50CC3"/>
    <w:rsid w:val="00E65FF8"/>
    <w:rsid w:val="00E67050"/>
    <w:rsid w:val="00E86ECA"/>
    <w:rsid w:val="00E8738D"/>
    <w:rsid w:val="00E87919"/>
    <w:rsid w:val="00E87D91"/>
    <w:rsid w:val="00E941D5"/>
    <w:rsid w:val="00E97C39"/>
    <w:rsid w:val="00EA36B7"/>
    <w:rsid w:val="00EB370A"/>
    <w:rsid w:val="00EC0440"/>
    <w:rsid w:val="00ED1794"/>
    <w:rsid w:val="00ED55AB"/>
    <w:rsid w:val="00EE139C"/>
    <w:rsid w:val="00EE1F26"/>
    <w:rsid w:val="00EE6FA5"/>
    <w:rsid w:val="00EF2D97"/>
    <w:rsid w:val="00EF30DC"/>
    <w:rsid w:val="00F22269"/>
    <w:rsid w:val="00F22A5F"/>
    <w:rsid w:val="00F3093D"/>
    <w:rsid w:val="00F51126"/>
    <w:rsid w:val="00F535E1"/>
    <w:rsid w:val="00F61F7A"/>
    <w:rsid w:val="00F711E0"/>
    <w:rsid w:val="00F7789D"/>
    <w:rsid w:val="00F819DE"/>
    <w:rsid w:val="00FD162D"/>
    <w:rsid w:val="00FD7767"/>
    <w:rsid w:val="00FE22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FBF753"/>
  <w15:chartTrackingRefBased/>
  <w15:docId w15:val="{4666FAAE-5DED-4021-B37C-B5F7104C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B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6B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6B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6B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6B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6B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6B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6B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6B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B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6B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6B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6B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6B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6B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B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B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BB6"/>
    <w:rPr>
      <w:rFonts w:eastAsiaTheme="majorEastAsia" w:cstheme="majorBidi"/>
      <w:color w:val="272727" w:themeColor="text1" w:themeTint="D8"/>
    </w:rPr>
  </w:style>
  <w:style w:type="paragraph" w:styleId="Title">
    <w:name w:val="Title"/>
    <w:basedOn w:val="Normal"/>
    <w:next w:val="Normal"/>
    <w:link w:val="TitleChar"/>
    <w:uiPriority w:val="10"/>
    <w:qFormat/>
    <w:rsid w:val="00B26B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B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B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6B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BB6"/>
    <w:pPr>
      <w:spacing w:before="160"/>
      <w:jc w:val="center"/>
    </w:pPr>
    <w:rPr>
      <w:i/>
      <w:iCs/>
      <w:color w:val="404040" w:themeColor="text1" w:themeTint="BF"/>
    </w:rPr>
  </w:style>
  <w:style w:type="character" w:customStyle="1" w:styleId="QuoteChar">
    <w:name w:val="Quote Char"/>
    <w:basedOn w:val="DefaultParagraphFont"/>
    <w:link w:val="Quote"/>
    <w:uiPriority w:val="29"/>
    <w:rsid w:val="00B26BB6"/>
    <w:rPr>
      <w:i/>
      <w:iCs/>
      <w:color w:val="404040" w:themeColor="text1" w:themeTint="BF"/>
    </w:rPr>
  </w:style>
  <w:style w:type="paragraph" w:styleId="ListParagraph">
    <w:name w:val="List Paragraph"/>
    <w:basedOn w:val="Normal"/>
    <w:uiPriority w:val="34"/>
    <w:qFormat/>
    <w:rsid w:val="00B26BB6"/>
    <w:pPr>
      <w:ind w:left="720"/>
      <w:contextualSpacing/>
    </w:pPr>
  </w:style>
  <w:style w:type="character" w:styleId="IntenseEmphasis">
    <w:name w:val="Intense Emphasis"/>
    <w:basedOn w:val="DefaultParagraphFont"/>
    <w:uiPriority w:val="21"/>
    <w:qFormat/>
    <w:rsid w:val="00B26BB6"/>
    <w:rPr>
      <w:i/>
      <w:iCs/>
      <w:color w:val="2F5496" w:themeColor="accent1" w:themeShade="BF"/>
    </w:rPr>
  </w:style>
  <w:style w:type="paragraph" w:styleId="IntenseQuote">
    <w:name w:val="Intense Quote"/>
    <w:basedOn w:val="Normal"/>
    <w:next w:val="Normal"/>
    <w:link w:val="IntenseQuoteChar"/>
    <w:uiPriority w:val="30"/>
    <w:qFormat/>
    <w:rsid w:val="00B26B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6BB6"/>
    <w:rPr>
      <w:i/>
      <w:iCs/>
      <w:color w:val="2F5496" w:themeColor="accent1" w:themeShade="BF"/>
    </w:rPr>
  </w:style>
  <w:style w:type="character" w:styleId="IntenseReference">
    <w:name w:val="Intense Reference"/>
    <w:basedOn w:val="DefaultParagraphFont"/>
    <w:uiPriority w:val="32"/>
    <w:qFormat/>
    <w:rsid w:val="00B26BB6"/>
    <w:rPr>
      <w:b/>
      <w:bCs/>
      <w:smallCaps/>
      <w:color w:val="2F5496" w:themeColor="accent1" w:themeShade="BF"/>
      <w:spacing w:val="5"/>
    </w:rPr>
  </w:style>
  <w:style w:type="character" w:styleId="PlaceholderText">
    <w:name w:val="Placeholder Text"/>
    <w:basedOn w:val="DefaultParagraphFont"/>
    <w:uiPriority w:val="99"/>
    <w:semiHidden/>
    <w:rsid w:val="00D363BD"/>
    <w:rPr>
      <w:color w:val="666666"/>
    </w:rPr>
  </w:style>
  <w:style w:type="paragraph" w:styleId="NormalWeb">
    <w:name w:val="Normal (Web)"/>
    <w:basedOn w:val="Normal"/>
    <w:uiPriority w:val="99"/>
    <w:unhideWhenUsed/>
    <w:rsid w:val="00F61F7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F61F7A"/>
    <w:rPr>
      <w:i/>
      <w:iCs/>
    </w:rPr>
  </w:style>
  <w:style w:type="table" w:customStyle="1" w:styleId="TableGrid1">
    <w:name w:val="Table Grid1"/>
    <w:basedOn w:val="TableNormal"/>
    <w:next w:val="TableGrid"/>
    <w:uiPriority w:val="39"/>
    <w:rsid w:val="00D60B0A"/>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60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4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E49"/>
  </w:style>
  <w:style w:type="paragraph" w:styleId="Footer">
    <w:name w:val="footer"/>
    <w:basedOn w:val="Normal"/>
    <w:link w:val="FooterChar"/>
    <w:uiPriority w:val="99"/>
    <w:unhideWhenUsed/>
    <w:rsid w:val="00424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E49"/>
  </w:style>
  <w:style w:type="character" w:styleId="Hyperlink">
    <w:name w:val="Hyperlink"/>
    <w:basedOn w:val="DefaultParagraphFont"/>
    <w:uiPriority w:val="99"/>
    <w:unhideWhenUsed/>
    <w:rsid w:val="00E86ECA"/>
    <w:rPr>
      <w:color w:val="0563C1" w:themeColor="hyperlink"/>
      <w:u w:val="single"/>
    </w:rPr>
  </w:style>
  <w:style w:type="character" w:styleId="UnresolvedMention">
    <w:name w:val="Unresolved Mention"/>
    <w:basedOn w:val="DefaultParagraphFont"/>
    <w:uiPriority w:val="99"/>
    <w:semiHidden/>
    <w:unhideWhenUsed/>
    <w:rsid w:val="00E86ECA"/>
    <w:rPr>
      <w:color w:val="605E5C"/>
      <w:shd w:val="clear" w:color="auto" w:fill="E1DFDD"/>
    </w:rPr>
  </w:style>
  <w:style w:type="character" w:styleId="FollowedHyperlink">
    <w:name w:val="FollowedHyperlink"/>
    <w:basedOn w:val="DefaultParagraphFont"/>
    <w:uiPriority w:val="99"/>
    <w:semiHidden/>
    <w:unhideWhenUsed/>
    <w:rsid w:val="00923994"/>
    <w:rPr>
      <w:color w:val="954F72" w:themeColor="followedHyperlink"/>
      <w:u w:val="single"/>
    </w:rPr>
  </w:style>
  <w:style w:type="paragraph" w:styleId="Caption">
    <w:name w:val="caption"/>
    <w:basedOn w:val="Normal"/>
    <w:next w:val="Normal"/>
    <w:uiPriority w:val="35"/>
    <w:unhideWhenUsed/>
    <w:qFormat/>
    <w:rsid w:val="009C4E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hb.2013.10.049" TargetMode="External"/><Relationship Id="rId18" Type="http://schemas.openxmlformats.org/officeDocument/2006/relationships/hyperlink" Target="https://doi.org/10.3389/feduc.2025.1683909"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177/0031721717734183" TargetMode="External"/><Relationship Id="rId7" Type="http://schemas.openxmlformats.org/officeDocument/2006/relationships/image" Target="media/image1.png"/><Relationship Id="rId12" Type="http://schemas.openxmlformats.org/officeDocument/2006/relationships/hyperlink" Target="https://doi.org/10.46328/ijces.223" TargetMode="External"/><Relationship Id="rId17" Type="http://schemas.openxmlformats.org/officeDocument/2006/relationships/hyperlink" Target="https://doi.org/10.5032/jae.2006.01043" TargetMode="External"/><Relationship Id="rId25" Type="http://schemas.openxmlformats.org/officeDocument/2006/relationships/hyperlink" Target="https://doi.org/10.5032/jae.2006.0401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80/03075079.2015.1067602" TargetMode="External"/><Relationship Id="rId20" Type="http://schemas.openxmlformats.org/officeDocument/2006/relationships/hyperlink" Target="https://doi.org/10.1017/S0261444825101031"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sightsjlss.com/index.php/home/article/view/133" TargetMode="External"/><Relationship Id="rId24" Type="http://schemas.openxmlformats.org/officeDocument/2006/relationships/hyperlink" Target="https://doi.org/10.1016/j.sbspro.2015.02.10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j.1468-2958.1977.tb00599.x" TargetMode="External"/><Relationship Id="rId23" Type="http://schemas.openxmlformats.org/officeDocument/2006/relationships/hyperlink" Target="https://doi.org/10.3389/fpsyg.2025.1565591" TargetMode="External"/><Relationship Id="rId28" Type="http://schemas.openxmlformats.org/officeDocument/2006/relationships/footer" Target="footer1.xml"/><Relationship Id="rId10" Type="http://schemas.openxmlformats.org/officeDocument/2006/relationships/hyperlink" Target="https://doi.org/10.31458/iejes.1346220" TargetMode="External"/><Relationship Id="rId19" Type="http://schemas.openxmlformats.org/officeDocument/2006/relationships/hyperlink" Target="https://doi.org/10.1016/j.sbspro.2014.01.789"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016/S0031-9406(05)66175-5" TargetMode="External"/><Relationship Id="rId14" Type="http://schemas.openxmlformats.org/officeDocument/2006/relationships/hyperlink" Target="https://doi.org/10.5032/jae.1998.01073" TargetMode="External"/><Relationship Id="rId22" Type="http://schemas.openxmlformats.org/officeDocument/2006/relationships/hyperlink" Target="https://doi.org/10.4103/jfmpc.jfmpc_189_17"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doi.org/10.21061/jcte.v15i2.7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17</Pages>
  <Words>7512</Words>
  <Characters>42823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prajwal1827@outlook.com</dc:creator>
  <cp:keywords/>
  <dc:description/>
  <cp:lastModifiedBy>SDI 1166</cp:lastModifiedBy>
  <cp:revision>27</cp:revision>
  <dcterms:created xsi:type="dcterms:W3CDTF">2026-03-11T03:11:00Z</dcterms:created>
  <dcterms:modified xsi:type="dcterms:W3CDTF">2026-03-28T10:39:00Z</dcterms:modified>
</cp:coreProperties>
</file>