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D96" w:rsidRPr="00C72925" w:rsidRDefault="00C72925" w:rsidP="00C72925">
      <w:pPr>
        <w:spacing w:before="100" w:beforeAutospacing="1" w:after="100" w:afterAutospacing="1"/>
        <w:jc w:val="center"/>
        <w:rPr>
          <w:lang w:val="en-GB"/>
        </w:rPr>
      </w:pPr>
      <w:bookmarkStart w:id="0" w:name="_GoBack"/>
      <w:bookmarkEnd w:id="0"/>
      <w:r w:rsidRPr="00C72925">
        <w:rPr>
          <w:b/>
          <w:bCs/>
          <w:sz w:val="32"/>
          <w:szCs w:val="32"/>
          <w:lang w:val="en-GB"/>
        </w:rPr>
        <w:t>Plant Microbiomes and Soil Health in Sustainable Agriculture: Mechanisms, Bioinoculants, and Future Directions</w:t>
      </w:r>
    </w:p>
    <w:p w:rsidR="00650D96" w:rsidRPr="00C72925" w:rsidRDefault="00650D96" w:rsidP="00C72925">
      <w:pPr>
        <w:spacing w:before="100" w:beforeAutospacing="1" w:after="100" w:afterAutospacing="1"/>
        <w:rPr>
          <w:lang w:val="en-GB"/>
        </w:rPr>
      </w:pPr>
    </w:p>
    <w:p w:rsidR="00650D96" w:rsidRPr="00C72925" w:rsidRDefault="00650D96" w:rsidP="00C72925">
      <w:pPr>
        <w:spacing w:before="100" w:beforeAutospacing="1" w:after="100" w:afterAutospacing="1"/>
        <w:rPr>
          <w:lang w:val="en-GB"/>
        </w:rPr>
      </w:pPr>
    </w:p>
    <w:p w:rsidR="00650D96" w:rsidRPr="00C72925" w:rsidRDefault="00C72925" w:rsidP="00C72925">
      <w:pPr>
        <w:spacing w:before="100" w:beforeAutospacing="1" w:after="100" w:afterAutospacing="1"/>
        <w:rPr>
          <w:lang w:val="en-GB"/>
        </w:rPr>
      </w:pPr>
      <w:r w:rsidRPr="00C72925">
        <w:rPr>
          <w:b/>
          <w:bCs/>
          <w:sz w:val="26"/>
          <w:szCs w:val="26"/>
          <w:lang w:val="en-GB"/>
        </w:rPr>
        <w:t>Abstract</w:t>
      </w:r>
    </w:p>
    <w:p w:rsidR="00650D96" w:rsidRPr="00C72925" w:rsidRDefault="00C72925" w:rsidP="00C72925">
      <w:pPr>
        <w:spacing w:before="100" w:beforeAutospacing="1" w:after="100" w:afterAutospacing="1"/>
        <w:jc w:val="both"/>
        <w:rPr>
          <w:lang w:val="en-GB"/>
        </w:rPr>
      </w:pPr>
      <w:r w:rsidRPr="00C72925">
        <w:rPr>
          <w:lang w:val="en-GB"/>
        </w:rPr>
        <w:t xml:space="preserve">Soil and plant-associated microbial communities represent one of the most functionally complex and ecologically significant biological networks on Earth. Over the past two decades, rapid advances in sequencing technologies and meta-omics approaches have dramatically expanded our understanding of how plants recruit, shape, and interact with their associated microbiomes across the rhizosphere, </w:t>
      </w:r>
      <w:proofErr w:type="spellStart"/>
      <w:r w:rsidRPr="00C72925">
        <w:rPr>
          <w:lang w:val="en-GB"/>
        </w:rPr>
        <w:t>phyllosphere</w:t>
      </w:r>
      <w:proofErr w:type="spellEnd"/>
      <w:r w:rsidRPr="00C72925">
        <w:rPr>
          <w:lang w:val="en-GB"/>
        </w:rPr>
        <w:t xml:space="preserve">, and </w:t>
      </w:r>
      <w:proofErr w:type="spellStart"/>
      <w:r w:rsidRPr="00C72925">
        <w:rPr>
          <w:lang w:val="en-GB"/>
        </w:rPr>
        <w:t>endosphere</w:t>
      </w:r>
      <w:proofErr w:type="spellEnd"/>
      <w:r w:rsidRPr="00C72925">
        <w:rPr>
          <w:lang w:val="en-GB"/>
        </w:rPr>
        <w:t>. These microbiomes mediate critical agronomic functions including nutrient acquisition, phytohormone production, pathogen suppression, and induced systemic resistance, all of which are foundational to sustainable agricultural systems. Simultaneously, soil health—increasingly operationalised through biological indicators such as microbial biomass, diversity, and enzymatic activity—has emerged as a central concern in global food security discourse. Bioinoculants, including plant growth-promoting rhizobacteria (PGPR) and mycorrhizal fungi, offer promising biotechnological avenues for reducing synthetic input dependence whilst enhancing crop productivity. However, the translation of laboratory findings into field-scale applications remains impeded by ecological contingencies, regulatory barriers, and knowledge gaps in microbiome engineering. This review synthesises current mechanistic understanding of plant–microbiome interactions, evaluates the status and limitations of bioinoculant technologies, and charts priority directions for future research and applied practice. It argues that an integrative systems-level approach—combining microbial ecology, molecular biology, agronomy, and digital technologies—is essential to realise the full agricultural potential of plant microbiomes.</w:t>
      </w:r>
    </w:p>
    <w:p w:rsidR="00650D96" w:rsidRPr="00C72925" w:rsidRDefault="00650D96" w:rsidP="00C72925">
      <w:pPr>
        <w:spacing w:before="100" w:beforeAutospacing="1" w:after="100" w:afterAutospacing="1"/>
        <w:rPr>
          <w:lang w:val="en-GB"/>
        </w:rPr>
      </w:pPr>
    </w:p>
    <w:p w:rsidR="00650D96" w:rsidRPr="00C72925" w:rsidRDefault="00C72925" w:rsidP="00C72925">
      <w:pPr>
        <w:spacing w:before="100" w:beforeAutospacing="1" w:after="100" w:afterAutospacing="1"/>
        <w:rPr>
          <w:lang w:val="en-GB"/>
        </w:rPr>
      </w:pPr>
      <w:r w:rsidRPr="00C72925">
        <w:rPr>
          <w:b/>
          <w:bCs/>
          <w:lang w:val="en-GB"/>
        </w:rPr>
        <w:t xml:space="preserve">Keywords: </w:t>
      </w:r>
      <w:r w:rsidRPr="00C72925">
        <w:rPr>
          <w:i/>
          <w:iCs/>
          <w:lang w:val="en-GB"/>
        </w:rPr>
        <w:t>plant microbiome; rhizosphere; bioinoculants; soil health; PGPR; mycorrhizal fungi; sustainable agriculture; induced systemic resistance; metagenomics; microbiome engineering</w:t>
      </w:r>
    </w:p>
    <w:p w:rsidR="00650D96" w:rsidRPr="00C72925" w:rsidRDefault="00650D96" w:rsidP="00C72925">
      <w:pPr>
        <w:spacing w:before="100" w:beforeAutospacing="1" w:after="100" w:afterAutospacing="1"/>
        <w:rPr>
          <w:lang w:val="en-GB"/>
        </w:rPr>
      </w:pPr>
    </w:p>
    <w:p w:rsidR="00650D96" w:rsidRPr="00C72925" w:rsidRDefault="00C72925" w:rsidP="00C72925">
      <w:pPr>
        <w:pStyle w:val="Heading1"/>
        <w:spacing w:before="100" w:beforeAutospacing="1" w:after="100" w:afterAutospacing="1"/>
        <w:rPr>
          <w:lang w:val="en-GB"/>
        </w:rPr>
      </w:pPr>
      <w:r w:rsidRPr="00C72925">
        <w:rPr>
          <w:lang w:val="en-GB"/>
        </w:rPr>
        <w:t>1. Introduction</w:t>
      </w:r>
    </w:p>
    <w:p w:rsidR="00650D96" w:rsidRPr="00C72925" w:rsidRDefault="00C72925" w:rsidP="00C72925">
      <w:pPr>
        <w:spacing w:before="100" w:beforeAutospacing="1" w:after="100" w:afterAutospacing="1"/>
        <w:jc w:val="both"/>
        <w:rPr>
          <w:lang w:val="en-GB"/>
        </w:rPr>
      </w:pPr>
      <w:r w:rsidRPr="00C72925">
        <w:rPr>
          <w:lang w:val="en-GB"/>
        </w:rPr>
        <w:t xml:space="preserve">Agriculture faces an unprecedented convergence of challenges in the twenty-first century. Global demand for food is projected to increase substantially over the coming decades, driven by a growing and increasingly affluent human population, whilst the expansion of arable land has effectively plateaued and the productive capacity of existing farmland is threatened by soil degradation, climate volatility, and the unsustainable use of synthetic inputs. Chemical fertilisers and pesticides, which underpinned the dramatic yield gains of the Green Revolution, are now associated with declining soil biodiversity, nutrient leaching, greenhouse gas emissions, and the emergence of pesticide-resistant pathogens and pests. These </w:t>
      </w:r>
      <w:r w:rsidRPr="00C72925">
        <w:rPr>
          <w:lang w:val="en-GB"/>
        </w:rPr>
        <w:lastRenderedPageBreak/>
        <w:t>compounding pressures have intensified scientific and policy interest in biological alternatives that harness the intrinsic productivity of natural ecosystems.</w:t>
      </w:r>
    </w:p>
    <w:p w:rsidR="00650D96" w:rsidRPr="00C72925" w:rsidRDefault="00C72925" w:rsidP="00C72925">
      <w:pPr>
        <w:spacing w:before="100" w:beforeAutospacing="1" w:after="100" w:afterAutospacing="1"/>
        <w:jc w:val="both"/>
        <w:rPr>
          <w:lang w:val="en-GB"/>
        </w:rPr>
      </w:pPr>
      <w:r w:rsidRPr="00C72925">
        <w:rPr>
          <w:lang w:val="en-GB"/>
        </w:rPr>
        <w:t>Chief among these alternatives are the microbial communities that colonise plants and the surrounding soil. A single gram of rhizosphere soil may harbour in excess of 10⁹ bacterial cells and thousands of distinct microbial taxa, including bacteria, archaea, fungi, protists, and viruses (</w:t>
      </w:r>
      <w:proofErr w:type="spellStart"/>
      <w:r w:rsidRPr="00C72925">
        <w:rPr>
          <w:lang w:val="en-GB"/>
        </w:rPr>
        <w:t>Fierer</w:t>
      </w:r>
      <w:proofErr w:type="spellEnd"/>
      <w:r w:rsidRPr="00C72925">
        <w:rPr>
          <w:lang w:val="en-GB"/>
        </w:rPr>
        <w:t>, 2017). Plants do not passively coexist with this microbial multitude; rather, they actively recruit, select, and are functionally shaped by their associated microbiomes through the secretion of root exudates, immune signalling cascades, and physical compartmentalisation of internal tissues (</w:t>
      </w:r>
      <w:proofErr w:type="spellStart"/>
      <w:r w:rsidRPr="00C72925">
        <w:rPr>
          <w:lang w:val="en-GB"/>
        </w:rPr>
        <w:t>Bais</w:t>
      </w:r>
      <w:proofErr w:type="spellEnd"/>
      <w:r w:rsidRPr="00C72925">
        <w:rPr>
          <w:lang w:val="en-GB"/>
        </w:rPr>
        <w:t xml:space="preserve"> et al., 2006; </w:t>
      </w:r>
      <w:proofErr w:type="spellStart"/>
      <w:r w:rsidRPr="00C72925">
        <w:rPr>
          <w:lang w:val="en-GB"/>
        </w:rPr>
        <w:t>Bulgarelli</w:t>
      </w:r>
      <w:proofErr w:type="spellEnd"/>
      <w:r w:rsidRPr="00C72925">
        <w:rPr>
          <w:lang w:val="en-GB"/>
        </w:rPr>
        <w:t xml:space="preserve"> et al., 2013). The microbiome, in turn, supplies plants with fixed nitrogen, solubilised phosphorus, siderophores for iron acquisition, growth-promoting phytohormones, and inducible systemic defences against pathogenic organisms—services that collectively expand what Berendsen et al. (2012) evocatively termed the “second genome” of the plant.</w:t>
      </w:r>
    </w:p>
    <w:p w:rsidR="00650D96" w:rsidRPr="00C72925" w:rsidRDefault="00C72925" w:rsidP="00C72925">
      <w:pPr>
        <w:spacing w:before="100" w:beforeAutospacing="1" w:after="100" w:afterAutospacing="1"/>
        <w:jc w:val="both"/>
        <w:rPr>
          <w:lang w:val="en-GB"/>
        </w:rPr>
      </w:pPr>
      <w:r w:rsidRPr="00C72925">
        <w:rPr>
          <w:lang w:val="en-GB"/>
        </w:rPr>
        <w:t>The ecological significance of soil microbiomes extends well beyond individual plant fitness. Soil microbes collectively regulate global nutrient cycles, mediate organic matter decomposition, stabilise soil aggregates, and sustain terrestrial primary productivity. Van der Heijden et al. (2008) demonstrated that mycorrhizal fungi and nitrogen-fixing bacteria are responsible for approximately 5 to 20 per cent of all nitrogen acquired annually by plants in grassland and savannah systems, and for up to 80 per cent in temperate and boreal forests, whilst also estimating that up to 75 per cent of plant phosphorus uptake in nutrient-poor ecosystems is mediated through mycorrhizal associations. This dependence on microbial symbionts has profound implications for agricultural management, suggesting that soil biological health is as important a determinant of productive capacity as soil physical and chemical properties.</w:t>
      </w:r>
    </w:p>
    <w:p w:rsidR="00650D96" w:rsidRPr="00C72925" w:rsidRDefault="00C72925" w:rsidP="00C72925">
      <w:pPr>
        <w:spacing w:before="100" w:beforeAutospacing="1" w:after="100" w:afterAutospacing="1"/>
        <w:jc w:val="both"/>
        <w:rPr>
          <w:lang w:val="en-GB"/>
        </w:rPr>
      </w:pPr>
      <w:r w:rsidRPr="00C72925">
        <w:rPr>
          <w:lang w:val="en-GB"/>
        </w:rPr>
        <w:t>Despite this recognised importance, the systematic integration of microbiome science into agricultural practice remains nascent. The complexity and context-dependence of plant–microbiome interactions, the technical challenges of manipulating open soil systems, and the regulatory frameworks governing the commercial use of microbial inoculants have all slowed progress. Yet the field has advanced remarkably since the early 2000s. The application of high-throughput amplicon sequencing and metagenomics has resolved the composition and functional potential of plant-associated microbial communities at unprecedented resolution (Trivedi et al., 2020). Landmark studies have identified the molecular determinants of community assembly, the mechanisms of microbe-mediated disease suppression, and the potential of engineered microbial consortia to enhance crop productivity under biotic and abiotic stress (Mendes et al., 2011; Trivedi et al., 2021).</w:t>
      </w:r>
    </w:p>
    <w:p w:rsidR="00650D96" w:rsidRPr="00C72925" w:rsidRDefault="00C72925" w:rsidP="00C72925">
      <w:pPr>
        <w:pStyle w:val="Heading2"/>
        <w:spacing w:before="100" w:beforeAutospacing="1" w:after="100" w:afterAutospacing="1"/>
        <w:rPr>
          <w:lang w:val="en-GB"/>
        </w:rPr>
      </w:pPr>
      <w:r w:rsidRPr="00C72925">
        <w:rPr>
          <w:lang w:val="en-GB"/>
        </w:rPr>
        <w:t>1.1 Scope and Objective</w:t>
      </w:r>
    </w:p>
    <w:p w:rsidR="00650D96" w:rsidRPr="00C72925" w:rsidRDefault="00C72925" w:rsidP="00C72925">
      <w:pPr>
        <w:spacing w:before="100" w:beforeAutospacing="1" w:after="100" w:afterAutospacing="1"/>
        <w:jc w:val="both"/>
        <w:rPr>
          <w:lang w:val="en-GB"/>
        </w:rPr>
      </w:pPr>
      <w:r w:rsidRPr="00C72925">
        <w:rPr>
          <w:lang w:val="en-GB"/>
        </w:rPr>
        <w:t xml:space="preserve">This review aims to provide a comprehensive and critically evaluated synthesis of the current state of knowledge on plant microbiomes and soil health as they relate to sustainable agricultural systems. Specifically, it addresses the ecological composition and spatial distribution of plant-associated microbiomes; the molecular mechanisms underpinning plant–microbe interactions, including nutrient cycling, phytohormone modulation, and induced systemic resistance; the biological indicators and management implications of soil health; the development and application of bioinoculants, encompassing PGPR, mycorrhizal fungi, and multispecies consortia; the contribution of meta-omics tools to mechanistic understanding; and priority directions for future research, including microbiome engineering, climate </w:t>
      </w:r>
      <w:r w:rsidRPr="00C72925">
        <w:rPr>
          <w:lang w:val="en-GB"/>
        </w:rPr>
        <w:lastRenderedPageBreak/>
        <w:t>resilience, and digital integration. The review is intended to serve researchers, agronomists, and policymakers engaged with the transition towards biologically intensive and environmentally sustainable food production.</w:t>
      </w:r>
    </w:p>
    <w:p w:rsidR="00650D96" w:rsidRPr="00C72925" w:rsidRDefault="00650D96" w:rsidP="00C72925">
      <w:pPr>
        <w:spacing w:before="100" w:beforeAutospacing="1" w:after="100" w:afterAutospacing="1"/>
        <w:rPr>
          <w:lang w:val="en-GB"/>
        </w:rPr>
      </w:pPr>
    </w:p>
    <w:p w:rsidR="00650D96" w:rsidRPr="00C72925" w:rsidRDefault="00C72925" w:rsidP="00C72925">
      <w:pPr>
        <w:pStyle w:val="Heading1"/>
        <w:spacing w:before="100" w:beforeAutospacing="1" w:after="100" w:afterAutospacing="1"/>
        <w:rPr>
          <w:lang w:val="en-GB"/>
        </w:rPr>
      </w:pPr>
      <w:r w:rsidRPr="00C72925">
        <w:rPr>
          <w:lang w:val="en-GB"/>
        </w:rPr>
        <w:t>2. Methods for Literature Selection</w:t>
      </w:r>
    </w:p>
    <w:p w:rsidR="00650D96" w:rsidRPr="00C72925" w:rsidRDefault="00C72925" w:rsidP="00C72925">
      <w:pPr>
        <w:spacing w:before="100" w:beforeAutospacing="1" w:after="100" w:afterAutospacing="1"/>
        <w:jc w:val="both"/>
        <w:rPr>
          <w:lang w:val="en-GB"/>
        </w:rPr>
      </w:pPr>
      <w:r w:rsidRPr="00C72925">
        <w:rPr>
          <w:lang w:val="en-GB"/>
        </w:rPr>
        <w:t>The literature reviewed in this article was identified through systematic searches of the academic databases Web of Science, Scopus, PubMed, and Google Scholar. Search strings were constructed using combinations of the following terms and their variants: “plant microbiome,” “rhizosphere microbiome,” “</w:t>
      </w:r>
      <w:proofErr w:type="spellStart"/>
      <w:r w:rsidRPr="00C72925">
        <w:rPr>
          <w:lang w:val="en-GB"/>
        </w:rPr>
        <w:t>phyllosphere</w:t>
      </w:r>
      <w:proofErr w:type="spellEnd"/>
      <w:r w:rsidRPr="00C72925">
        <w:rPr>
          <w:lang w:val="en-GB"/>
        </w:rPr>
        <w:t xml:space="preserve"> microbiome,” “</w:t>
      </w:r>
      <w:proofErr w:type="spellStart"/>
      <w:r w:rsidRPr="00C72925">
        <w:rPr>
          <w:lang w:val="en-GB"/>
        </w:rPr>
        <w:t>endosphere</w:t>
      </w:r>
      <w:proofErr w:type="spellEnd"/>
      <w:r w:rsidRPr="00C72925">
        <w:rPr>
          <w:lang w:val="en-GB"/>
        </w:rPr>
        <w:t xml:space="preserve"> microbiome,” “soil health,” “soil microbial diversity,” “plant growth-promoting rhizobacteria,” “PGPR,” “bioinoculants,” “mycorrhizal fungi,” “induced systemic resistance,” “metagenomics,” “</w:t>
      </w:r>
      <w:proofErr w:type="spellStart"/>
      <w:r w:rsidRPr="00C72925">
        <w:rPr>
          <w:lang w:val="en-GB"/>
        </w:rPr>
        <w:t>metatranscriptomics</w:t>
      </w:r>
      <w:proofErr w:type="spellEnd"/>
      <w:r w:rsidRPr="00C72925">
        <w:rPr>
          <w:lang w:val="en-GB"/>
        </w:rPr>
        <w:t>,” “microbiome engineering,” “sustainable agriculture,” and “root exudates.” Searches were not restricted by geographic region or crop system. The primary date range for recent literature was 2001 to 2026, with the inclusion of foundational older studies where they established conceptual frameworks of continued relevance. Inclusion criteria required that articles be published in peer-reviewed academic journals with established editorial standards, or that reports originate from recognised international organisations such as the United Nations. Grey literature, conference proceedings, theses, and book chapters were excluded. Preference was given to review articles, landmark primary research studies, and meta-analyses. Bibliographies of key review articles were additionally scanned to identify seminal works not captured by database searches.</w:t>
      </w:r>
    </w:p>
    <w:p w:rsidR="00650D96" w:rsidRPr="00C72925" w:rsidRDefault="00650D96" w:rsidP="00C72925">
      <w:pPr>
        <w:spacing w:before="100" w:beforeAutospacing="1" w:after="100" w:afterAutospacing="1"/>
        <w:rPr>
          <w:lang w:val="en-GB"/>
        </w:rPr>
      </w:pPr>
    </w:p>
    <w:p w:rsidR="00650D96" w:rsidRPr="00C72925" w:rsidRDefault="00C72925" w:rsidP="00C72925">
      <w:pPr>
        <w:pStyle w:val="Heading1"/>
        <w:spacing w:before="100" w:beforeAutospacing="1" w:after="100" w:afterAutospacing="1"/>
        <w:rPr>
          <w:lang w:val="en-GB"/>
        </w:rPr>
      </w:pPr>
      <w:r w:rsidRPr="00C72925">
        <w:rPr>
          <w:lang w:val="en-GB"/>
        </w:rPr>
        <w:t>3. Plant Microbiomes: Composition, Distribution, and Ecological Significance</w:t>
      </w:r>
    </w:p>
    <w:p w:rsidR="00650D96" w:rsidRPr="00C72925" w:rsidRDefault="00C72925" w:rsidP="00C72925">
      <w:pPr>
        <w:pStyle w:val="Heading2"/>
        <w:spacing w:before="100" w:beforeAutospacing="1" w:after="100" w:afterAutospacing="1"/>
        <w:rPr>
          <w:lang w:val="en-GB"/>
        </w:rPr>
      </w:pPr>
      <w:r w:rsidRPr="00C72925">
        <w:rPr>
          <w:lang w:val="en-GB"/>
        </w:rPr>
        <w:t>3.1 The Rhizosphere Microbiome</w:t>
      </w:r>
    </w:p>
    <w:p w:rsidR="00650D96" w:rsidRPr="00C72925" w:rsidRDefault="00C72925" w:rsidP="00C72925">
      <w:pPr>
        <w:spacing w:before="100" w:beforeAutospacing="1" w:after="100" w:afterAutospacing="1"/>
        <w:jc w:val="both"/>
        <w:rPr>
          <w:lang w:val="en-GB"/>
        </w:rPr>
      </w:pPr>
      <w:r w:rsidRPr="00C72925">
        <w:rPr>
          <w:lang w:val="en-GB"/>
        </w:rPr>
        <w:t>The rhizosphere—the narrow zone of soil immediately surrounding and influenced by plant roots—is arguably the most ecologically and agronomically significant microbial habitat in terrestrial ecosystems. It is characterised by elevated microbial biomass and activity relative to bulk soil, driven by the continuous release of carbonaceous and nitrogenous compounds from root cells. The term “rhizosphere effect” describes the selective enrichment of specific microbial taxa in this zone, resulting in communities that are compositionally distinct from those of the surrounding bulk soil (</w:t>
      </w:r>
      <w:proofErr w:type="spellStart"/>
      <w:r w:rsidRPr="00C72925">
        <w:rPr>
          <w:lang w:val="en-GB"/>
        </w:rPr>
        <w:t>Philippot</w:t>
      </w:r>
      <w:proofErr w:type="spellEnd"/>
      <w:r w:rsidRPr="00C72925">
        <w:rPr>
          <w:lang w:val="en-GB"/>
        </w:rPr>
        <w:t xml:space="preserve"> et al., 2013). This differentiation is not random; plants exert considerable influence over the composition of their rhizosphere communities through the quality and quantity of root exudates, immune signalling molecules, and the physical architecture of the root system itself (</w:t>
      </w:r>
      <w:proofErr w:type="spellStart"/>
      <w:r w:rsidRPr="00C72925">
        <w:rPr>
          <w:lang w:val="en-GB"/>
        </w:rPr>
        <w:t>Bais</w:t>
      </w:r>
      <w:proofErr w:type="spellEnd"/>
      <w:r w:rsidRPr="00C72925">
        <w:rPr>
          <w:lang w:val="en-GB"/>
        </w:rPr>
        <w:t xml:space="preserve"> et al., 2006).</w:t>
      </w:r>
    </w:p>
    <w:p w:rsidR="00650D96" w:rsidRPr="00C72925" w:rsidRDefault="00C72925" w:rsidP="00C72925">
      <w:pPr>
        <w:spacing w:before="100" w:beforeAutospacing="1" w:after="100" w:afterAutospacing="1"/>
        <w:jc w:val="both"/>
        <w:rPr>
          <w:lang w:val="en-GB"/>
        </w:rPr>
      </w:pPr>
      <w:r w:rsidRPr="00C72925">
        <w:rPr>
          <w:lang w:val="en-GB"/>
        </w:rPr>
        <w:t xml:space="preserve">The bacterial communities of the rhizosphere are dominated by a relatively small number of phyla. Proteobacteria, Actinobacteria, </w:t>
      </w:r>
      <w:proofErr w:type="spellStart"/>
      <w:r w:rsidRPr="00C72925">
        <w:rPr>
          <w:lang w:val="en-GB"/>
        </w:rPr>
        <w:t>Acidobacteria</w:t>
      </w:r>
      <w:proofErr w:type="spellEnd"/>
      <w:r w:rsidRPr="00C72925">
        <w:rPr>
          <w:lang w:val="en-GB"/>
        </w:rPr>
        <w:t>, Bacteroidetes, and Firmicutes collectively account for the majority of sequences recovered from rhizosphere samples across diverse plant species and soil types (</w:t>
      </w:r>
      <w:proofErr w:type="spellStart"/>
      <w:r w:rsidRPr="00C72925">
        <w:rPr>
          <w:lang w:val="en-GB"/>
        </w:rPr>
        <w:t>Bulgarelli</w:t>
      </w:r>
      <w:proofErr w:type="spellEnd"/>
      <w:r w:rsidRPr="00C72925">
        <w:rPr>
          <w:lang w:val="en-GB"/>
        </w:rPr>
        <w:t xml:space="preserve"> et al., 2013). However, within these broad phylogenetic groups, considerable variation in genus- and species-level composition occurs </w:t>
      </w:r>
      <w:r w:rsidRPr="00C72925">
        <w:rPr>
          <w:lang w:val="en-GB"/>
        </w:rPr>
        <w:lastRenderedPageBreak/>
        <w:t>as a function of plant genotype, soil type, plant developmental stage, and environmental conditions. The landmark study of Lundberg et al. (2012) on the Arabidopsis thaliana root microbiome demonstrated that the rhizosphere and root endophyte compartments harbour compositionally distinct communities, and that both soil type and host genotype exert independent effects on community structure. Similarly, Chaparro et al. (2014) showed that the rhizosphere microbiome undergoes systematic shifts as a function of plant developmental stage, with different microbial guilds enriched during seedling establishment, vegetative growth, and reproductive phases, suggesting that the plant actively recruits different functional consortia in accordance with changing physiological needs.</w:t>
      </w:r>
    </w:p>
    <w:p w:rsidR="00650D96" w:rsidRPr="00C72925" w:rsidRDefault="00C72925" w:rsidP="00C72925">
      <w:pPr>
        <w:spacing w:before="100" w:beforeAutospacing="1" w:after="100" w:afterAutospacing="1"/>
        <w:jc w:val="both"/>
        <w:rPr>
          <w:lang w:val="en-GB"/>
        </w:rPr>
      </w:pPr>
      <w:r w:rsidRPr="00C72925">
        <w:rPr>
          <w:lang w:val="en-GB"/>
        </w:rPr>
        <w:t xml:space="preserve">Disease suppression is one of the most agriculturally consequential functions of the rhizosphere microbiome. In disease-suppressive soils, crops suffer less from soil-borne pathogens than expected given pathogen inoculum pressure, and this suppression has long been attributed to the activity of resident microbial communities. Mendes et al. (2011) applied </w:t>
      </w:r>
      <w:proofErr w:type="spellStart"/>
      <w:r w:rsidRPr="00C72925">
        <w:rPr>
          <w:lang w:val="en-GB"/>
        </w:rPr>
        <w:t>PhyloChip</w:t>
      </w:r>
      <w:proofErr w:type="spellEnd"/>
      <w:r w:rsidRPr="00C72925">
        <w:rPr>
          <w:lang w:val="en-GB"/>
        </w:rPr>
        <w:t xml:space="preserve">-based metagenomics combined with culture-dependent methods to identify the bacterial taxa and biochemical mechanisms responsible for suppression of </w:t>
      </w:r>
      <w:proofErr w:type="spellStart"/>
      <w:r w:rsidRPr="00C72925">
        <w:rPr>
          <w:lang w:val="en-GB"/>
        </w:rPr>
        <w:t>Rhizoctonia</w:t>
      </w:r>
      <w:proofErr w:type="spellEnd"/>
      <w:r w:rsidRPr="00C72925">
        <w:rPr>
          <w:lang w:val="en-GB"/>
        </w:rPr>
        <w:t xml:space="preserve"> </w:t>
      </w:r>
      <w:proofErr w:type="spellStart"/>
      <w:r w:rsidRPr="00C72925">
        <w:rPr>
          <w:lang w:val="en-GB"/>
        </w:rPr>
        <w:t>solani</w:t>
      </w:r>
      <w:proofErr w:type="spellEnd"/>
      <w:r w:rsidRPr="00C72925">
        <w:rPr>
          <w:lang w:val="en-GB"/>
        </w:rPr>
        <w:t xml:space="preserve"> in sugar beet rhizosphere soil. Their study revealed that members of the Proteobacteria, Firmicutes, and Actinobacteria—particularly γ-Proteobacteria encoding </w:t>
      </w:r>
      <w:proofErr w:type="spellStart"/>
      <w:r w:rsidRPr="00C72925">
        <w:rPr>
          <w:lang w:val="en-GB"/>
        </w:rPr>
        <w:t>nonribosomal</w:t>
      </w:r>
      <w:proofErr w:type="spellEnd"/>
      <w:r w:rsidRPr="00C72925">
        <w:rPr>
          <w:lang w:val="en-GB"/>
        </w:rPr>
        <w:t xml:space="preserve"> peptide synthetases—were consistently enriched in suppressive soils, providing direct molecular evidence that plants can exploit specific microbial consortia for protection against pathogen infection. This work established a framework for the rational identification and deployment of biocontrol organisms based on community-level metagenomics rather than conventional strain-by-strain screening.</w:t>
      </w:r>
    </w:p>
    <w:p w:rsidR="00650D96" w:rsidRPr="00C72925" w:rsidRDefault="00C72925" w:rsidP="00C72925">
      <w:pPr>
        <w:pStyle w:val="Heading2"/>
        <w:spacing w:before="100" w:beforeAutospacing="1" w:after="100" w:afterAutospacing="1"/>
        <w:rPr>
          <w:lang w:val="en-GB"/>
        </w:rPr>
      </w:pPr>
      <w:r w:rsidRPr="00C72925">
        <w:rPr>
          <w:lang w:val="en-GB"/>
        </w:rPr>
        <w:t xml:space="preserve">3.2 The </w:t>
      </w:r>
      <w:proofErr w:type="spellStart"/>
      <w:r w:rsidRPr="00C72925">
        <w:rPr>
          <w:lang w:val="en-GB"/>
        </w:rPr>
        <w:t>Phyllosphere</w:t>
      </w:r>
      <w:proofErr w:type="spellEnd"/>
      <w:r w:rsidRPr="00C72925">
        <w:rPr>
          <w:lang w:val="en-GB"/>
        </w:rPr>
        <w:t xml:space="preserve"> Microbiome</w:t>
      </w:r>
    </w:p>
    <w:p w:rsidR="00650D96" w:rsidRPr="00C72925" w:rsidRDefault="00C72925" w:rsidP="00C72925">
      <w:pPr>
        <w:spacing w:before="100" w:beforeAutospacing="1" w:after="100" w:afterAutospacing="1"/>
        <w:jc w:val="both"/>
        <w:rPr>
          <w:lang w:val="en-GB"/>
        </w:rPr>
      </w:pPr>
      <w:r w:rsidRPr="00C72925">
        <w:rPr>
          <w:lang w:val="en-GB"/>
        </w:rPr>
        <w:t xml:space="preserve">The </w:t>
      </w:r>
      <w:proofErr w:type="spellStart"/>
      <w:r w:rsidRPr="00C72925">
        <w:rPr>
          <w:lang w:val="en-GB"/>
        </w:rPr>
        <w:t>phyllosphere</w:t>
      </w:r>
      <w:proofErr w:type="spellEnd"/>
      <w:r w:rsidRPr="00C72925">
        <w:rPr>
          <w:lang w:val="en-GB"/>
        </w:rPr>
        <w:t>, encompassing the aerial surfaces of plants including leaves, stems, flowers, and fruits, constitutes one of the largest microbial habitats on Earth. It is estimated that the total leaf surface area of terrestrial plants is approximately twice the land surface area, providing a vast substrate for microbial colonisation (</w:t>
      </w:r>
      <w:proofErr w:type="spellStart"/>
      <w:r w:rsidRPr="00C72925">
        <w:rPr>
          <w:lang w:val="en-GB"/>
        </w:rPr>
        <w:t>Vorholt</w:t>
      </w:r>
      <w:proofErr w:type="spellEnd"/>
      <w:r w:rsidRPr="00C72925">
        <w:rPr>
          <w:lang w:val="en-GB"/>
        </w:rPr>
        <w:t xml:space="preserve">, 2012). Despite this scale, </w:t>
      </w:r>
      <w:proofErr w:type="spellStart"/>
      <w:r w:rsidRPr="00C72925">
        <w:rPr>
          <w:lang w:val="en-GB"/>
        </w:rPr>
        <w:t>phyllosphere</w:t>
      </w:r>
      <w:proofErr w:type="spellEnd"/>
      <w:r w:rsidRPr="00C72925">
        <w:rPr>
          <w:lang w:val="en-GB"/>
        </w:rPr>
        <w:t xml:space="preserve"> microbiology has historically received less attention than rhizosphere research, partly because the </w:t>
      </w:r>
      <w:proofErr w:type="spellStart"/>
      <w:r w:rsidRPr="00C72925">
        <w:rPr>
          <w:lang w:val="en-GB"/>
        </w:rPr>
        <w:t>phyllosphere</w:t>
      </w:r>
      <w:proofErr w:type="spellEnd"/>
      <w:r w:rsidRPr="00C72925">
        <w:rPr>
          <w:lang w:val="en-GB"/>
        </w:rPr>
        <w:t xml:space="preserve"> presents particularly harsh conditions for microbial growth: high UV radiation, desiccation, oligotrophic nutrient availability, and extreme temperature fluctuations across diurnal cycles.</w:t>
      </w:r>
    </w:p>
    <w:p w:rsidR="00650D96" w:rsidRPr="00C72925" w:rsidRDefault="00C72925" w:rsidP="00C72925">
      <w:pPr>
        <w:spacing w:before="100" w:beforeAutospacing="1" w:after="100" w:afterAutospacing="1"/>
        <w:jc w:val="both"/>
        <w:rPr>
          <w:lang w:val="en-GB"/>
        </w:rPr>
      </w:pPr>
      <w:r w:rsidRPr="00C72925">
        <w:rPr>
          <w:lang w:val="en-GB"/>
        </w:rPr>
        <w:t xml:space="preserve">Cultivation-independent studies have revealed that </w:t>
      </w:r>
      <w:proofErr w:type="spellStart"/>
      <w:r w:rsidRPr="00C72925">
        <w:rPr>
          <w:lang w:val="en-GB"/>
        </w:rPr>
        <w:t>phyllosphere</w:t>
      </w:r>
      <w:proofErr w:type="spellEnd"/>
      <w:r w:rsidRPr="00C72925">
        <w:rPr>
          <w:lang w:val="en-GB"/>
        </w:rPr>
        <w:t xml:space="preserve"> bacterial communities are compositionally distinct from those of the rhizosphere and are dominated by a smaller set of phylogenetic groups, notably the classes </w:t>
      </w:r>
      <w:proofErr w:type="spellStart"/>
      <w:r w:rsidRPr="00C72925">
        <w:rPr>
          <w:lang w:val="en-GB"/>
        </w:rPr>
        <w:t>Alphaproteobacteria</w:t>
      </w:r>
      <w:proofErr w:type="spellEnd"/>
      <w:r w:rsidRPr="00C72925">
        <w:rPr>
          <w:lang w:val="en-GB"/>
        </w:rPr>
        <w:t xml:space="preserve"> and </w:t>
      </w:r>
      <w:proofErr w:type="spellStart"/>
      <w:r w:rsidRPr="00C72925">
        <w:rPr>
          <w:lang w:val="en-GB"/>
        </w:rPr>
        <w:t>Gammaproteobacteria</w:t>
      </w:r>
      <w:proofErr w:type="spellEnd"/>
      <w:r w:rsidRPr="00C72925">
        <w:rPr>
          <w:lang w:val="en-GB"/>
        </w:rPr>
        <w:t>, as well as members of Bacteroidetes and Actinobacteria (</w:t>
      </w:r>
      <w:proofErr w:type="spellStart"/>
      <w:r w:rsidRPr="00C72925">
        <w:rPr>
          <w:lang w:val="en-GB"/>
        </w:rPr>
        <w:t>Vorholt</w:t>
      </w:r>
      <w:proofErr w:type="spellEnd"/>
      <w:r w:rsidRPr="00C72925">
        <w:rPr>
          <w:lang w:val="en-GB"/>
        </w:rPr>
        <w:t xml:space="preserve">, 2012). Bacterial cell densities on leaf surfaces are typically in the range of 10⁶ to 10⁷ cells per cm², with spatial heterogeneity at the micro-scale driven by the distribution of stomata, trichomes, and epicuticular wax deposits that influence nutrient availability and microhabitat conditions. Fungal communities in the </w:t>
      </w:r>
      <w:proofErr w:type="spellStart"/>
      <w:r w:rsidRPr="00C72925">
        <w:rPr>
          <w:lang w:val="en-GB"/>
        </w:rPr>
        <w:t>phyllosphere</w:t>
      </w:r>
      <w:proofErr w:type="spellEnd"/>
      <w:r w:rsidRPr="00C72925">
        <w:rPr>
          <w:lang w:val="en-GB"/>
        </w:rPr>
        <w:t xml:space="preserve"> appear to be highly diverse, with many species likely originating from atmospheric dispersal, soil splash, and insect vectors. The </w:t>
      </w:r>
      <w:proofErr w:type="spellStart"/>
      <w:r w:rsidRPr="00C72925">
        <w:rPr>
          <w:lang w:val="en-GB"/>
        </w:rPr>
        <w:t>phyllosphere</w:t>
      </w:r>
      <w:proofErr w:type="spellEnd"/>
      <w:r w:rsidRPr="00C72925">
        <w:rPr>
          <w:lang w:val="en-GB"/>
        </w:rPr>
        <w:t xml:space="preserve"> microbiome influences plant fitness through competition with leaf pathogens, direct antibiosis, and the modulation of stomatal guard cell behaviour that affects pathogen entry routes.</w:t>
      </w:r>
    </w:p>
    <w:p w:rsidR="00650D96" w:rsidRPr="00C72925" w:rsidRDefault="00C72925" w:rsidP="00C72925">
      <w:pPr>
        <w:pStyle w:val="Heading2"/>
        <w:spacing w:before="100" w:beforeAutospacing="1" w:after="100" w:afterAutospacing="1"/>
        <w:rPr>
          <w:lang w:val="en-GB"/>
        </w:rPr>
      </w:pPr>
      <w:r w:rsidRPr="00C72925">
        <w:rPr>
          <w:lang w:val="en-GB"/>
        </w:rPr>
        <w:t xml:space="preserve">3.3 The </w:t>
      </w:r>
      <w:proofErr w:type="spellStart"/>
      <w:r w:rsidRPr="00C72925">
        <w:rPr>
          <w:lang w:val="en-GB"/>
        </w:rPr>
        <w:t>Endosphere</w:t>
      </w:r>
      <w:proofErr w:type="spellEnd"/>
      <w:r w:rsidRPr="00C72925">
        <w:rPr>
          <w:lang w:val="en-GB"/>
        </w:rPr>
        <w:t xml:space="preserve"> Microbiome</w:t>
      </w:r>
    </w:p>
    <w:p w:rsidR="00650D96" w:rsidRPr="00C72925" w:rsidRDefault="00C72925" w:rsidP="00C72925">
      <w:pPr>
        <w:spacing w:before="100" w:beforeAutospacing="1" w:after="100" w:afterAutospacing="1"/>
        <w:jc w:val="both"/>
        <w:rPr>
          <w:lang w:val="en-GB"/>
        </w:rPr>
      </w:pPr>
      <w:r w:rsidRPr="00C72925">
        <w:rPr>
          <w:lang w:val="en-GB"/>
        </w:rPr>
        <w:lastRenderedPageBreak/>
        <w:t xml:space="preserve">The </w:t>
      </w:r>
      <w:proofErr w:type="spellStart"/>
      <w:r w:rsidRPr="00C72925">
        <w:rPr>
          <w:lang w:val="en-GB"/>
        </w:rPr>
        <w:t>endosphere</w:t>
      </w:r>
      <w:proofErr w:type="spellEnd"/>
      <w:r w:rsidRPr="00C72925">
        <w:rPr>
          <w:lang w:val="en-GB"/>
        </w:rPr>
        <w:t xml:space="preserve"> denotes the internal tissues of plants—roots, stems, leaves, seeds, and fruits—that harbour microbial communities despite the physical and immunological barriers that exclude most soil organisms from entering plant tissue. Endophytic microbes colonise plant tissues without causing overt disease symptoms and may engage in a continuum of interactions ranging from neutral commensalism to mutualistic plant growth promotion (</w:t>
      </w:r>
      <w:proofErr w:type="spellStart"/>
      <w:r w:rsidRPr="00C72925">
        <w:rPr>
          <w:lang w:val="en-GB"/>
        </w:rPr>
        <w:t>Compant</w:t>
      </w:r>
      <w:proofErr w:type="spellEnd"/>
      <w:r w:rsidRPr="00C72925">
        <w:rPr>
          <w:lang w:val="en-GB"/>
        </w:rPr>
        <w:t xml:space="preserve"> et al., 2010). The composition of the </w:t>
      </w:r>
      <w:proofErr w:type="spellStart"/>
      <w:r w:rsidRPr="00C72925">
        <w:rPr>
          <w:lang w:val="en-GB"/>
        </w:rPr>
        <w:t>endosphere</w:t>
      </w:r>
      <w:proofErr w:type="spellEnd"/>
      <w:r w:rsidRPr="00C72925">
        <w:rPr>
          <w:lang w:val="en-GB"/>
        </w:rPr>
        <w:t xml:space="preserve"> microbiome is a subset of, and is assembled primarily from, the rhizosphere microbiome, following a two-step selection process described by </w:t>
      </w:r>
      <w:proofErr w:type="spellStart"/>
      <w:r w:rsidRPr="00C72925">
        <w:rPr>
          <w:lang w:val="en-GB"/>
        </w:rPr>
        <w:t>Bulgarelli</w:t>
      </w:r>
      <w:proofErr w:type="spellEnd"/>
      <w:r w:rsidRPr="00C72925">
        <w:rPr>
          <w:lang w:val="en-GB"/>
        </w:rPr>
        <w:t xml:space="preserve"> et al. (2013): an initial substrate-driven community shift in the rhizosphere, followed by host genotype-dependent fine-tuning as microbes enter and establish within root endophyte compartments.</w:t>
      </w:r>
    </w:p>
    <w:p w:rsidR="00650D96" w:rsidRPr="00C72925" w:rsidRDefault="00C72925" w:rsidP="00C72925">
      <w:pPr>
        <w:spacing w:before="100" w:beforeAutospacing="1" w:after="100" w:afterAutospacing="1"/>
        <w:jc w:val="both"/>
        <w:rPr>
          <w:lang w:val="en-GB"/>
        </w:rPr>
      </w:pPr>
      <w:r w:rsidRPr="00C72925">
        <w:rPr>
          <w:lang w:val="en-GB"/>
        </w:rPr>
        <w:t xml:space="preserve">Endophytic bacteria and fungi play functionally important roles in plant physiology. Many endophytes produce phytohormones including indole-3-acetic acid (IAA), gibberellins, and </w:t>
      </w:r>
      <w:proofErr w:type="spellStart"/>
      <w:r w:rsidRPr="00C72925">
        <w:rPr>
          <w:lang w:val="en-GB"/>
        </w:rPr>
        <w:t>cytokinins</w:t>
      </w:r>
      <w:proofErr w:type="spellEnd"/>
      <w:r w:rsidRPr="00C72925">
        <w:rPr>
          <w:lang w:val="en-GB"/>
        </w:rPr>
        <w:t xml:space="preserve"> that modulate plant growth directly. Others solubilise phosphate, fix atmospheric nitrogen, or produce volatile organic compounds that promote plant growth or suppress pathogen development. The seed microbiome—an increasingly recognised component of the plant </w:t>
      </w:r>
      <w:proofErr w:type="spellStart"/>
      <w:r w:rsidRPr="00C72925">
        <w:rPr>
          <w:lang w:val="en-GB"/>
        </w:rPr>
        <w:t>endosphere</w:t>
      </w:r>
      <w:proofErr w:type="spellEnd"/>
      <w:r w:rsidRPr="00C72925">
        <w:rPr>
          <w:lang w:val="en-GB"/>
        </w:rPr>
        <w:t>—constitutes a vertically transmitted microbial consortium that may influence seedling establishment, early developmental trajectories, and even the composition of the rhizosphere microbiome in subsequent generations (</w:t>
      </w:r>
      <w:proofErr w:type="spellStart"/>
      <w:r w:rsidRPr="00C72925">
        <w:rPr>
          <w:lang w:val="en-GB"/>
        </w:rPr>
        <w:t>Compant</w:t>
      </w:r>
      <w:proofErr w:type="spellEnd"/>
      <w:r w:rsidRPr="00C72925">
        <w:rPr>
          <w:lang w:val="en-GB"/>
        </w:rPr>
        <w:t xml:space="preserve"> et al., 2010). The ecological significance of seed microbiomes for crop performance represents a promising area of applied research.</w:t>
      </w:r>
    </w:p>
    <w:p w:rsidR="00650D96" w:rsidRPr="00C72925" w:rsidRDefault="00650D96" w:rsidP="00C72925">
      <w:pPr>
        <w:spacing w:before="100" w:beforeAutospacing="1" w:after="100" w:afterAutospacing="1"/>
        <w:rPr>
          <w:lang w:val="en-GB"/>
        </w:rPr>
      </w:pPr>
    </w:p>
    <w:p w:rsidR="00650D96" w:rsidRPr="00C72925" w:rsidRDefault="00C72925" w:rsidP="00C72925">
      <w:pPr>
        <w:pStyle w:val="Heading1"/>
        <w:spacing w:before="100" w:beforeAutospacing="1" w:after="100" w:afterAutospacing="1"/>
        <w:rPr>
          <w:lang w:val="en-GB"/>
        </w:rPr>
      </w:pPr>
      <w:r w:rsidRPr="00C72925">
        <w:rPr>
          <w:lang w:val="en-GB"/>
        </w:rPr>
        <w:t>4. Mechanisms Governing Plant–Microbiome Interactions</w:t>
      </w:r>
    </w:p>
    <w:p w:rsidR="00650D96" w:rsidRPr="00C72925" w:rsidRDefault="00C72925" w:rsidP="00C72925">
      <w:pPr>
        <w:pStyle w:val="Heading2"/>
        <w:spacing w:before="100" w:beforeAutospacing="1" w:after="100" w:afterAutospacing="1"/>
        <w:rPr>
          <w:lang w:val="en-GB"/>
        </w:rPr>
      </w:pPr>
      <w:r w:rsidRPr="00C72925">
        <w:rPr>
          <w:lang w:val="en-GB"/>
        </w:rPr>
        <w:t>4.1 Root Exudates as Primary Chemical Mediators</w:t>
      </w:r>
    </w:p>
    <w:p w:rsidR="00650D96" w:rsidRPr="00C72925" w:rsidRDefault="00C72925" w:rsidP="00C72925">
      <w:pPr>
        <w:spacing w:before="100" w:beforeAutospacing="1" w:after="100" w:afterAutospacing="1"/>
        <w:jc w:val="both"/>
        <w:rPr>
          <w:lang w:val="en-GB"/>
        </w:rPr>
      </w:pPr>
      <w:r w:rsidRPr="00C72925">
        <w:rPr>
          <w:lang w:val="en-GB"/>
        </w:rPr>
        <w:t xml:space="preserve">The rhizosphere microbiome does not assemble by chance; rather, it is actively sculpted by plant roots through the secretion of a biochemically diverse array of compounds collectively termed root exudates. These include sugars, amino acids, organic acids, fatty acids, phenolics, terpenes, secondary metabolites, and high-molecular-weight compounds such as </w:t>
      </w:r>
      <w:proofErr w:type="spellStart"/>
      <w:r w:rsidRPr="00C72925">
        <w:rPr>
          <w:lang w:val="en-GB"/>
        </w:rPr>
        <w:t>mucilages</w:t>
      </w:r>
      <w:proofErr w:type="spellEnd"/>
      <w:r w:rsidRPr="00C72925">
        <w:rPr>
          <w:lang w:val="en-GB"/>
        </w:rPr>
        <w:t xml:space="preserve"> and proteins (</w:t>
      </w:r>
      <w:proofErr w:type="spellStart"/>
      <w:r w:rsidRPr="00C72925">
        <w:rPr>
          <w:lang w:val="en-GB"/>
        </w:rPr>
        <w:t>Bais</w:t>
      </w:r>
      <w:proofErr w:type="spellEnd"/>
      <w:r w:rsidRPr="00C72925">
        <w:rPr>
          <w:lang w:val="en-GB"/>
        </w:rPr>
        <w:t xml:space="preserve"> et al., 2006). Root exudates perform multiple ecological functions simultaneously: they serve as carbon and energy sources that selectively stimulate certain microbial guilds over others; they act as </w:t>
      </w:r>
      <w:proofErr w:type="spellStart"/>
      <w:r w:rsidRPr="00C72925">
        <w:rPr>
          <w:lang w:val="en-GB"/>
        </w:rPr>
        <w:t>chemoattractants</w:t>
      </w:r>
      <w:proofErr w:type="spellEnd"/>
      <w:r w:rsidRPr="00C72925">
        <w:rPr>
          <w:lang w:val="en-GB"/>
        </w:rPr>
        <w:t xml:space="preserve"> that guide microbial chemotaxis towards root surfaces; they function as signalling molecules that initiate symbiotic programmes with specific microbial partners; and they can act as antimicrobial compounds that inhibit the colonisation of deleterious organisms.</w:t>
      </w:r>
    </w:p>
    <w:p w:rsidR="00650D96" w:rsidRPr="00C72925" w:rsidRDefault="00C72925" w:rsidP="00C72925">
      <w:pPr>
        <w:spacing w:before="100" w:beforeAutospacing="1" w:after="100" w:afterAutospacing="1"/>
        <w:jc w:val="both"/>
        <w:rPr>
          <w:lang w:val="en-GB"/>
        </w:rPr>
      </w:pPr>
      <w:r w:rsidRPr="00C72925">
        <w:rPr>
          <w:lang w:val="en-GB"/>
        </w:rPr>
        <w:t>The composition of root exudates is not static; it varies dynamically in response to the nutritional status of the plant, developmental stage, biotic interactions, and environmental stresses. Chaparro et al. (2014) demonstrated that the transitions between developmental stages in Arabidopsis thaliana are accompanied by systematic changes in rhizosphere microbiome composition that correlate with measured shifts in root exudate chemistry, supporting the hypothesis that the plant actively tailors its microbial recruitment strategy to its physiological requirements at each growth phase. Under phosphorus deficiency, for instance, roots increase the secretion of organic acids that solubilise mineral-bound phosphate and stimulate the growth of phosphate-solubilising bacteria (</w:t>
      </w:r>
      <w:proofErr w:type="spellStart"/>
      <w:r w:rsidRPr="00C72925">
        <w:rPr>
          <w:lang w:val="en-GB"/>
        </w:rPr>
        <w:t>Bais</w:t>
      </w:r>
      <w:proofErr w:type="spellEnd"/>
      <w:r w:rsidRPr="00C72925">
        <w:rPr>
          <w:lang w:val="en-GB"/>
        </w:rPr>
        <w:t xml:space="preserve"> et al., 2006). Under pathogen attack, plants may increase the secretion of antimicrobial compounds whilst </w:t>
      </w:r>
      <w:r w:rsidRPr="00C72925">
        <w:rPr>
          <w:lang w:val="en-GB"/>
        </w:rPr>
        <w:lastRenderedPageBreak/>
        <w:t>simultaneously releasing signals that recruit specific protective microbial consortia—a phenomenon that has been termed the “cry for help” response (Berendsen et al., 2012).</w:t>
      </w:r>
    </w:p>
    <w:p w:rsidR="00650D96" w:rsidRPr="00C72925" w:rsidRDefault="00C72925" w:rsidP="00C72925">
      <w:pPr>
        <w:pStyle w:val="Heading2"/>
        <w:spacing w:before="100" w:beforeAutospacing="1" w:after="100" w:afterAutospacing="1"/>
        <w:rPr>
          <w:lang w:val="en-GB"/>
        </w:rPr>
      </w:pPr>
      <w:r w:rsidRPr="00C72925">
        <w:rPr>
          <w:lang w:val="en-GB"/>
        </w:rPr>
        <w:t>4.2 Nutrient Acquisition and Cycling</w:t>
      </w:r>
    </w:p>
    <w:p w:rsidR="00650D96" w:rsidRPr="00C72925" w:rsidRDefault="00C72925" w:rsidP="00C72925">
      <w:pPr>
        <w:spacing w:before="100" w:beforeAutospacing="1" w:after="100" w:afterAutospacing="1"/>
        <w:jc w:val="both"/>
        <w:rPr>
          <w:lang w:val="en-GB"/>
        </w:rPr>
      </w:pPr>
      <w:r w:rsidRPr="00C72925">
        <w:rPr>
          <w:lang w:val="en-GB"/>
        </w:rPr>
        <w:t>One of the most agriculturally consequential functions of the plant microbiome is the facilitation of nutrient acquisition from forms that are otherwise inaccessible to plants. Nitrogen, phosphorus, and iron are the nutrients most commonly rendered bioavailable by microbial activity, but microbiome-mediated cycling of sulphur, potassium, zinc, and other micronutrients also contributes meaningfully to plant nutrition.</w:t>
      </w:r>
    </w:p>
    <w:p w:rsidR="00650D96" w:rsidRPr="00C72925" w:rsidRDefault="00C72925" w:rsidP="00C72925">
      <w:pPr>
        <w:spacing w:before="100" w:beforeAutospacing="1" w:after="100" w:afterAutospacing="1"/>
        <w:jc w:val="both"/>
        <w:rPr>
          <w:lang w:val="en-GB"/>
        </w:rPr>
      </w:pPr>
      <w:r w:rsidRPr="00C72925">
        <w:rPr>
          <w:lang w:val="en-GB"/>
        </w:rPr>
        <w:t>Biological nitrogen fixation (BNF) is carried out by a phylogenetically diverse group of bacteria and archaea that encode the nitrogenase enzyme complex, which catalyses the conversion of atmospheric dinitrogen to ammonia. Both symbiotic fixers—most notably the Rhizobium–legume symbiosis—and free-living, associative, and endophytic fixers contribute to nitrogen inputs in agricultural systems. Van der Heijden et al. (2008) estimated that mycorrhizal fungi and nitrogen-fixing bacteria together are responsible for approximately 5 to 20 per cent of all nitrogen acquired annually by plants in grassland and savannah systems, and for up to 80 per cent in temperate and boreal forests. Phosphate-solubilising bacteria achieve the release of bioavailable phosphate through the secretion of organic acids, phosphatases, and phytases (</w:t>
      </w:r>
      <w:proofErr w:type="spellStart"/>
      <w:r w:rsidRPr="00C72925">
        <w:rPr>
          <w:lang w:val="en-GB"/>
        </w:rPr>
        <w:t>Lugtenberg</w:t>
      </w:r>
      <w:proofErr w:type="spellEnd"/>
      <w:r w:rsidRPr="00C72925">
        <w:rPr>
          <w:lang w:val="en-GB"/>
        </w:rPr>
        <w:t xml:space="preserve"> &amp; </w:t>
      </w:r>
      <w:proofErr w:type="spellStart"/>
      <w:r w:rsidRPr="00C72925">
        <w:rPr>
          <w:lang w:val="en-GB"/>
        </w:rPr>
        <w:t>Kamilova</w:t>
      </w:r>
      <w:proofErr w:type="spellEnd"/>
      <w:r w:rsidRPr="00C72925">
        <w:rPr>
          <w:lang w:val="en-GB"/>
        </w:rPr>
        <w:t>, 2009). Mycorrhizal fungi extend the functional root surface area by orders of magnitude through their hyphal networks, accessing phosphorus pools in soil micropores that are physically inaccessible to roots. Van der Heijden et al. (2008) demonstrated that mycorrhizal fungi can account for up to 75 per cent of the total phosphorus acquired by plants annually across terrestrial ecosystems. Iron acquisition is facilitated by siderophore-producing bacteria that chelate ferric iron from soil minerals and deliver it to plant roots, a mechanism of particular relevance in alkaline and calcareous soils where iron bioavailability is inherently low.</w:t>
      </w:r>
    </w:p>
    <w:p w:rsidR="00650D96" w:rsidRPr="00C72925" w:rsidRDefault="00C72925" w:rsidP="00C72925">
      <w:pPr>
        <w:pStyle w:val="Heading2"/>
        <w:spacing w:before="100" w:beforeAutospacing="1" w:after="100" w:afterAutospacing="1"/>
        <w:rPr>
          <w:lang w:val="en-GB"/>
        </w:rPr>
      </w:pPr>
      <w:r w:rsidRPr="00C72925">
        <w:rPr>
          <w:lang w:val="en-GB"/>
        </w:rPr>
        <w:t>4.3 Phytohormone Production and Modulation</w:t>
      </w:r>
    </w:p>
    <w:p w:rsidR="00650D96" w:rsidRPr="00C72925" w:rsidRDefault="00C72925" w:rsidP="00C72925">
      <w:pPr>
        <w:spacing w:before="100" w:beforeAutospacing="1" w:after="100" w:afterAutospacing="1"/>
        <w:jc w:val="both"/>
        <w:rPr>
          <w:lang w:val="en-GB"/>
        </w:rPr>
      </w:pPr>
      <w:r w:rsidRPr="00C72925">
        <w:rPr>
          <w:lang w:val="en-GB"/>
        </w:rPr>
        <w:t xml:space="preserve">A substantial proportion of plant growth-promoting rhizobacteria achieve their effects on host plants through the biosynthesis or degradation of phytohormones that regulate plant development. Indole-3-acetic acid (IAA), the principal naturally occurring auxin, is produced by a wide range of rhizobacterial genera including Pseudomonas, Bacillus, </w:t>
      </w:r>
      <w:proofErr w:type="spellStart"/>
      <w:r w:rsidRPr="00C72925">
        <w:rPr>
          <w:lang w:val="en-GB"/>
        </w:rPr>
        <w:t>Azospirillum</w:t>
      </w:r>
      <w:proofErr w:type="spellEnd"/>
      <w:r w:rsidRPr="00C72925">
        <w:rPr>
          <w:lang w:val="en-GB"/>
        </w:rPr>
        <w:t>, and Rhizobium. Bacterial IAA production stimulates root elongation, enhances root hair development, increases root surface area for nutrient absorption, and promotes lateral root initiation—collectively improving the plant’s access to soil resources (Bhattacharyya &amp; Jha, 2012). The enzyme 1-aminocyclopropane-1-carboxylate (ACC) deaminase, produced by many PGPR, degrades ACC—the immediate precursor of the stress hormone ethylene—thereby reducing stress-induced ethylene accumulation and alleviating growth inhibition under conditions of drought, flooding, salinity, and metal toxicity (</w:t>
      </w:r>
      <w:proofErr w:type="spellStart"/>
      <w:r w:rsidRPr="00C72925">
        <w:rPr>
          <w:lang w:val="en-GB"/>
        </w:rPr>
        <w:t>Lugtenberg</w:t>
      </w:r>
      <w:proofErr w:type="spellEnd"/>
      <w:r w:rsidRPr="00C72925">
        <w:rPr>
          <w:lang w:val="en-GB"/>
        </w:rPr>
        <w:t xml:space="preserve"> &amp; </w:t>
      </w:r>
      <w:proofErr w:type="spellStart"/>
      <w:r w:rsidRPr="00C72925">
        <w:rPr>
          <w:lang w:val="en-GB"/>
        </w:rPr>
        <w:t>Kamilova</w:t>
      </w:r>
      <w:proofErr w:type="spellEnd"/>
      <w:r w:rsidRPr="00C72925">
        <w:rPr>
          <w:lang w:val="en-GB"/>
        </w:rPr>
        <w:t>, 2009).</w:t>
      </w:r>
    </w:p>
    <w:p w:rsidR="00650D96" w:rsidRPr="00C72925" w:rsidRDefault="00C72925" w:rsidP="00C72925">
      <w:pPr>
        <w:spacing w:before="100" w:beforeAutospacing="1" w:after="100" w:afterAutospacing="1"/>
        <w:jc w:val="both"/>
        <w:rPr>
          <w:lang w:val="en-GB"/>
        </w:rPr>
      </w:pPr>
      <w:r w:rsidRPr="00C72925">
        <w:rPr>
          <w:lang w:val="en-GB"/>
        </w:rPr>
        <w:t xml:space="preserve">Cytokinin production by rhizobacteria promotes shoot growth and delays leaf senescence, whilst gibberellin-producing bacteria have been demonstrated to stimulate stem elongation under gibberellin-deficient conditions. Bacterial abscisic acid production or its modulation has been implicated in the regulation of stomatal behaviour under drought stress, with some PGPR reported to maintain carbon fixation under water-limited conditions (Bhattacharyya &amp; Jha, 2012). The complex and sometimes opposing effects of different phytohormones mean </w:t>
      </w:r>
      <w:r w:rsidRPr="00C72925">
        <w:rPr>
          <w:lang w:val="en-GB"/>
        </w:rPr>
        <w:lastRenderedPageBreak/>
        <w:t>that the net outcome of any given plant–microbe interaction depends critically on the hormonal network context within which it occurs.</w:t>
      </w:r>
    </w:p>
    <w:p w:rsidR="00650D96" w:rsidRPr="00C72925" w:rsidRDefault="00C72925" w:rsidP="00C72925">
      <w:pPr>
        <w:pStyle w:val="Heading2"/>
        <w:spacing w:before="100" w:beforeAutospacing="1" w:after="100" w:afterAutospacing="1"/>
        <w:rPr>
          <w:lang w:val="en-GB"/>
        </w:rPr>
      </w:pPr>
      <w:r w:rsidRPr="00C72925">
        <w:rPr>
          <w:lang w:val="en-GB"/>
        </w:rPr>
        <w:t>4.4 Induced Systemic Resistance and Hormonal Cross-Talk</w:t>
      </w:r>
    </w:p>
    <w:p w:rsidR="00650D96" w:rsidRPr="00C72925" w:rsidRDefault="00C72925" w:rsidP="00C72925">
      <w:pPr>
        <w:spacing w:before="100" w:beforeAutospacing="1" w:after="100" w:afterAutospacing="1"/>
        <w:jc w:val="both"/>
        <w:rPr>
          <w:lang w:val="en-GB"/>
        </w:rPr>
      </w:pPr>
      <w:r w:rsidRPr="00C72925">
        <w:rPr>
          <w:lang w:val="en-GB"/>
        </w:rPr>
        <w:t xml:space="preserve">Beyond direct nutritional and growth-promotional effects, the plant microbiome plays a central role in priming plant immunity. Induced systemic resistance (ISR) is a plant-wide defensive state triggered by non-pathogenic rhizobacteria that renders the plant more resistant to subsequent infection by pathogens and infestation by insect herbivores. Unlike systemic acquired resistance (SAR)—which is activated by pathogen infection and is dependent on salicylic acid (SA) signalling—ISR is classically regulated through the </w:t>
      </w:r>
      <w:proofErr w:type="spellStart"/>
      <w:r w:rsidRPr="00C72925">
        <w:rPr>
          <w:lang w:val="en-GB"/>
        </w:rPr>
        <w:t>jasmonate</w:t>
      </w:r>
      <w:proofErr w:type="spellEnd"/>
      <w:r w:rsidRPr="00C72925">
        <w:rPr>
          <w:lang w:val="en-GB"/>
        </w:rPr>
        <w:t xml:space="preserve"> (JA) and ethylene (ET) signalling pathways, and does not involve constitutive activation of pathogenesis-related gene expression but rather an enhanced capacity to respond rapidly upon challenge (Pieterse et al., 2012).</w:t>
      </w:r>
    </w:p>
    <w:p w:rsidR="00650D96" w:rsidRPr="00C72925" w:rsidRDefault="00C72925" w:rsidP="00C72925">
      <w:pPr>
        <w:spacing w:before="100" w:beforeAutospacing="1" w:after="100" w:afterAutospacing="1"/>
        <w:jc w:val="both"/>
        <w:rPr>
          <w:lang w:val="en-GB"/>
        </w:rPr>
      </w:pPr>
      <w:r w:rsidRPr="00C72925">
        <w:rPr>
          <w:lang w:val="en-GB"/>
        </w:rPr>
        <w:t>Hormonal crosstalk between the SA, JA, and ET pathways creates a highly interconnected signalling network with an enormous capacity for context-dependent regulatory adjustment. Pieterse et al. (2012) provided a comprehensive analysis of how these hormonal pathways interact synergistically or antagonistically to fine-tune the balance between different defensive programmes and growth processes. Beneficial soil microbes exploit this network to suppress or modulate plant immune responses during colonisation, preventing the activation of defences that would impede their own establishment whilst simultaneously priming the plant for enhanced resistance to pathogens. Plants colonised by ISR-inducing PGPR such as Pseudomonas fluorescens and Bacillus subtilis display reduced susceptibility to a broad spectrum of foliar and soil-borne pathogens without requiring constitutive investment in metabolically costly defensive chemistry (</w:t>
      </w:r>
      <w:proofErr w:type="spellStart"/>
      <w:r w:rsidRPr="00C72925">
        <w:rPr>
          <w:lang w:val="en-GB"/>
        </w:rPr>
        <w:t>Lugtenberg</w:t>
      </w:r>
      <w:proofErr w:type="spellEnd"/>
      <w:r w:rsidRPr="00C72925">
        <w:rPr>
          <w:lang w:val="en-GB"/>
        </w:rPr>
        <w:t xml:space="preserve"> &amp; </w:t>
      </w:r>
      <w:proofErr w:type="spellStart"/>
      <w:r w:rsidRPr="00C72925">
        <w:rPr>
          <w:lang w:val="en-GB"/>
        </w:rPr>
        <w:t>Kamilova</w:t>
      </w:r>
      <w:proofErr w:type="spellEnd"/>
      <w:r w:rsidRPr="00C72925">
        <w:rPr>
          <w:lang w:val="en-GB"/>
        </w:rPr>
        <w:t>, 2009).</w:t>
      </w:r>
    </w:p>
    <w:p w:rsidR="00650D96" w:rsidRPr="00C72925" w:rsidRDefault="00650D96" w:rsidP="00C72925">
      <w:pPr>
        <w:spacing w:before="100" w:beforeAutospacing="1" w:after="100" w:afterAutospacing="1"/>
        <w:rPr>
          <w:lang w:val="en-GB"/>
        </w:rPr>
      </w:pPr>
    </w:p>
    <w:p w:rsidR="00650D96" w:rsidRPr="00C72925" w:rsidRDefault="00C72925" w:rsidP="00C72925">
      <w:pPr>
        <w:pStyle w:val="Heading1"/>
        <w:spacing w:before="100" w:beforeAutospacing="1" w:after="100" w:afterAutospacing="1"/>
        <w:rPr>
          <w:lang w:val="en-GB"/>
        </w:rPr>
      </w:pPr>
      <w:r w:rsidRPr="00C72925">
        <w:rPr>
          <w:lang w:val="en-GB"/>
        </w:rPr>
        <w:t>5. Soil Health: Microbial Dimensions and Agricultural Implications</w:t>
      </w:r>
    </w:p>
    <w:p w:rsidR="00650D96" w:rsidRPr="00C72925" w:rsidRDefault="00C72925" w:rsidP="00C72925">
      <w:pPr>
        <w:pStyle w:val="Heading2"/>
        <w:spacing w:before="100" w:beforeAutospacing="1" w:after="100" w:afterAutospacing="1"/>
        <w:rPr>
          <w:lang w:val="en-GB"/>
        </w:rPr>
      </w:pPr>
      <w:r w:rsidRPr="00C72925">
        <w:rPr>
          <w:lang w:val="en-GB"/>
        </w:rPr>
        <w:t>5.1 Defining and Measuring Soil Health</w:t>
      </w:r>
    </w:p>
    <w:p w:rsidR="00650D96" w:rsidRPr="00C72925" w:rsidRDefault="00C72925" w:rsidP="00C72925">
      <w:pPr>
        <w:spacing w:before="100" w:beforeAutospacing="1" w:after="100" w:afterAutospacing="1"/>
        <w:jc w:val="both"/>
        <w:rPr>
          <w:lang w:val="en-GB"/>
        </w:rPr>
      </w:pPr>
      <w:r w:rsidRPr="00C72925">
        <w:rPr>
          <w:lang w:val="en-GB"/>
        </w:rPr>
        <w:t xml:space="preserve">Soil health is a multidimensional concept that encompasses the physical, chemical, and biological properties of soil that collectively determine its capacity to support plant productivity, regulate environmental quality, and promote animal and human wellbeing. Whilst soil physical properties such as texture, structure, and water retention have long been incorporated into soil assessment frameworks, the biological dimension of soil health has historically received less systematic attention. The Food and Agriculture Organization of the United Nations (FAO, 2015) reported that approximately 33 per cent of the world’s soils are degraded, with degradation manifesting through erosion, nutrient depletion, compaction, </w:t>
      </w:r>
      <w:proofErr w:type="spellStart"/>
      <w:r w:rsidRPr="00C72925">
        <w:rPr>
          <w:lang w:val="en-GB"/>
        </w:rPr>
        <w:t>salinisation</w:t>
      </w:r>
      <w:proofErr w:type="spellEnd"/>
      <w:r w:rsidRPr="00C72925">
        <w:rPr>
          <w:lang w:val="en-GB"/>
        </w:rPr>
        <w:t>, acidification, and the loss of organic matter and biological diversity. These processes are most pronounced in intensively managed agricultural systems where tillage, synthetic inputs, and monoculture have progressively disrupted the ecological processes on which productive soils depend.</w:t>
      </w:r>
    </w:p>
    <w:p w:rsidR="00650D96" w:rsidRPr="00C72925" w:rsidRDefault="00C72925" w:rsidP="00C72925">
      <w:pPr>
        <w:spacing w:before="100" w:beforeAutospacing="1" w:after="100" w:afterAutospacing="1"/>
        <w:jc w:val="both"/>
        <w:rPr>
          <w:lang w:val="en-GB"/>
        </w:rPr>
      </w:pPr>
      <w:r w:rsidRPr="00C72925">
        <w:rPr>
          <w:lang w:val="en-GB"/>
        </w:rPr>
        <w:t xml:space="preserve">Biological indicators of soil health that have received greatest research attention include soil microbial biomass carbon and nitrogen, microbial community diversity and composition, enzyme activities associated with nutrient cycling (such as urease, phosphatase, and β-glucosidase), and functional metrics such as basal soil respiration and the metabolic quotient </w:t>
      </w:r>
      <w:r w:rsidRPr="00C72925">
        <w:rPr>
          <w:lang w:val="en-GB"/>
        </w:rPr>
        <w:lastRenderedPageBreak/>
        <w:t>(</w:t>
      </w:r>
      <w:proofErr w:type="spellStart"/>
      <w:r w:rsidRPr="00C72925">
        <w:rPr>
          <w:lang w:val="en-GB"/>
        </w:rPr>
        <w:t>Fierer</w:t>
      </w:r>
      <w:proofErr w:type="spellEnd"/>
      <w:r w:rsidRPr="00C72925">
        <w:rPr>
          <w:lang w:val="en-GB"/>
        </w:rPr>
        <w:t>, 2017). These indicators are more variable in space and time than physical or chemical ones, and robust, standardised methodologies for their measurement at agronomic scales are relatively recent developments. The development of comprehensive, widely adopted soil biological health assessment frameworks represents an important scientific and policy priority.</w:t>
      </w:r>
    </w:p>
    <w:p w:rsidR="00650D96" w:rsidRPr="00C72925" w:rsidRDefault="00C72925" w:rsidP="00C72925">
      <w:pPr>
        <w:pStyle w:val="Heading2"/>
        <w:spacing w:before="100" w:beforeAutospacing="1" w:after="100" w:afterAutospacing="1"/>
        <w:rPr>
          <w:lang w:val="en-GB"/>
        </w:rPr>
      </w:pPr>
      <w:r w:rsidRPr="00C72925">
        <w:rPr>
          <w:lang w:val="en-GB"/>
        </w:rPr>
        <w:t>5.2 Soil Microbial Biomass, Activity, and Biodiversity</w:t>
      </w:r>
    </w:p>
    <w:p w:rsidR="00650D96" w:rsidRPr="00C72925" w:rsidRDefault="00C72925" w:rsidP="00C72925">
      <w:pPr>
        <w:spacing w:before="100" w:beforeAutospacing="1" w:after="100" w:afterAutospacing="1"/>
        <w:jc w:val="both"/>
        <w:rPr>
          <w:lang w:val="en-GB"/>
        </w:rPr>
      </w:pPr>
      <w:r w:rsidRPr="00C72925">
        <w:rPr>
          <w:lang w:val="en-GB"/>
        </w:rPr>
        <w:t xml:space="preserve">The soil microbiome is remarkable not only for its taxonomic diversity but also for the depth of its functional redundancy. </w:t>
      </w:r>
      <w:proofErr w:type="spellStart"/>
      <w:r w:rsidRPr="00C72925">
        <w:rPr>
          <w:lang w:val="en-GB"/>
        </w:rPr>
        <w:t>Fierer</w:t>
      </w:r>
      <w:proofErr w:type="spellEnd"/>
      <w:r w:rsidRPr="00C72925">
        <w:rPr>
          <w:lang w:val="en-GB"/>
        </w:rPr>
        <w:t xml:space="preserve"> (2017) emphasised that a single gram of soil can contain thousands of individual microbial taxa, including representatives of all three domains of life, together with an extraordinary diversity of viruses. This taxonomic richness reflects billions of years of evolutionary diversification in response to the spatial and chemical heterogeneity of the soil matrix. Functional redundancy—the capacity of multiple, phylogenetically distinct taxa to perform the same biogeochemical function—provides resilience to perturbation, ensuring that critical ecosystem services persist even when individual taxa are lost.</w:t>
      </w:r>
    </w:p>
    <w:p w:rsidR="00650D96" w:rsidRPr="00C72925" w:rsidRDefault="00C72925" w:rsidP="00C72925">
      <w:pPr>
        <w:spacing w:before="100" w:beforeAutospacing="1" w:after="100" w:afterAutospacing="1"/>
        <w:jc w:val="both"/>
        <w:rPr>
          <w:lang w:val="en-GB"/>
        </w:rPr>
      </w:pPr>
      <w:r w:rsidRPr="00C72925">
        <w:rPr>
          <w:lang w:val="en-GB"/>
        </w:rPr>
        <w:t>Soil microbial biomass, typically quantified by chloroform fumigation-extraction methods or phospholipid fatty acid analysis, serves as an integrated indicator of biological activity and organic matter cycling. Microbial diversity, as assessed through amplicon sequencing of marker genes such as the 16S rRNA gene for bacteria and ITS regions for fungi, provides complementary information about community composition that can reveal the effects of management practices on specific functional guilds (</w:t>
      </w:r>
      <w:proofErr w:type="spellStart"/>
      <w:r w:rsidRPr="00C72925">
        <w:rPr>
          <w:lang w:val="en-GB"/>
        </w:rPr>
        <w:t>Fierer</w:t>
      </w:r>
      <w:proofErr w:type="spellEnd"/>
      <w:r w:rsidRPr="00C72925">
        <w:rPr>
          <w:lang w:val="en-GB"/>
        </w:rPr>
        <w:t>, 2017). Van der Heijden et al. (2008) argued on the basis of extensive empirical evidence that soil microbial diversity is a fundamental determinant of ecosystem productivity, with reductions in diversity leading to predictable declines in nutrient cycling rates and plant productivity.</w:t>
      </w:r>
    </w:p>
    <w:p w:rsidR="00650D96" w:rsidRPr="00C72925" w:rsidRDefault="00C72925" w:rsidP="00C72925">
      <w:pPr>
        <w:pStyle w:val="Heading2"/>
        <w:spacing w:before="100" w:beforeAutospacing="1" w:after="100" w:afterAutospacing="1"/>
        <w:rPr>
          <w:lang w:val="en-GB"/>
        </w:rPr>
      </w:pPr>
      <w:r w:rsidRPr="00C72925">
        <w:rPr>
          <w:lang w:val="en-GB"/>
        </w:rPr>
        <w:t>5.3 Agricultural Management Practices and Soil Microbiomes</w:t>
      </w:r>
    </w:p>
    <w:p w:rsidR="00650D96" w:rsidRPr="00C72925" w:rsidRDefault="00C72925" w:rsidP="00C72925">
      <w:pPr>
        <w:spacing w:before="100" w:beforeAutospacing="1" w:after="100" w:afterAutospacing="1"/>
        <w:jc w:val="both"/>
        <w:rPr>
          <w:lang w:val="en-GB"/>
        </w:rPr>
      </w:pPr>
      <w:r w:rsidRPr="00C72925">
        <w:rPr>
          <w:lang w:val="en-GB"/>
        </w:rPr>
        <w:t>The composition and functionality of soil microbiomes are profoundly sensitive to agricultural management practices. Conventional tillage disrupts soil aggregates, buries surface organic matter, and disturbs the hyphal networks of mycorrhizal fungi, with consequences for community composition that can persist for years. Synthetic nitrogen fertilisation alters the stoichiometry of microbial nutrient cycling, often suppressing the activity of nitrogen-fixing symbionts by removing the selective pressure that favours their host plants. Pesticides frequently exhibit off-target effects on non-target soil microbes, with fungicide applications shown to reduce arbuscular mycorrhizal fungal diversity and soil biological activity (van der Heijden et al., 2008).</w:t>
      </w:r>
    </w:p>
    <w:p w:rsidR="00650D96" w:rsidRPr="00C72925" w:rsidRDefault="00C72925" w:rsidP="00C72925">
      <w:pPr>
        <w:spacing w:before="100" w:beforeAutospacing="1" w:after="100" w:afterAutospacing="1"/>
        <w:jc w:val="both"/>
        <w:rPr>
          <w:lang w:val="en-GB"/>
        </w:rPr>
      </w:pPr>
      <w:r w:rsidRPr="00C72925">
        <w:rPr>
          <w:lang w:val="en-GB"/>
        </w:rPr>
        <w:t>Conversely, management practices associated with ecological and organic farming—including the use of cover crops, organic amendments, crop rotations, and reduced tillage—consistently support higher soil microbial diversity and biomass than conventional systems (Trivedi et al., 2021). Long-term organic management studies have demonstrated that the microbiomes of organically managed soils are compositionally distinct from those of conventionally managed soils at the same site, with higher relative abundances of mycorrhizal fungi, nitrogen-fixing bacteria, and taxa associated with disease suppression (Trivedi et al., 2021). Understanding the mechanisms that link specific practices to specific microbiome outcomes is essential for designing management recommendations with predictable biological effects.</w:t>
      </w:r>
    </w:p>
    <w:p w:rsidR="00650D96" w:rsidRPr="00C72925" w:rsidRDefault="00650D96" w:rsidP="00C72925">
      <w:pPr>
        <w:spacing w:before="100" w:beforeAutospacing="1" w:after="100" w:afterAutospacing="1"/>
        <w:rPr>
          <w:lang w:val="en-GB"/>
        </w:rPr>
      </w:pPr>
    </w:p>
    <w:p w:rsidR="00650D96" w:rsidRPr="00C72925" w:rsidRDefault="00C72925" w:rsidP="00C72925">
      <w:pPr>
        <w:pStyle w:val="Heading1"/>
        <w:spacing w:before="100" w:beforeAutospacing="1" w:after="100" w:afterAutospacing="1"/>
        <w:rPr>
          <w:lang w:val="en-GB"/>
        </w:rPr>
      </w:pPr>
      <w:r w:rsidRPr="00C72925">
        <w:rPr>
          <w:lang w:val="en-GB"/>
        </w:rPr>
        <w:t>6. Bioinoculants in Sustainable Agriculture</w:t>
      </w:r>
    </w:p>
    <w:p w:rsidR="00650D96" w:rsidRPr="00C72925" w:rsidRDefault="00C72925" w:rsidP="00C72925">
      <w:pPr>
        <w:pStyle w:val="Heading2"/>
        <w:spacing w:before="100" w:beforeAutospacing="1" w:after="100" w:afterAutospacing="1"/>
        <w:rPr>
          <w:lang w:val="en-GB"/>
        </w:rPr>
      </w:pPr>
      <w:r w:rsidRPr="00C72925">
        <w:rPr>
          <w:lang w:val="en-GB"/>
        </w:rPr>
        <w:t>6.1 Plant Growth-Promoting Rhizobacteria</w:t>
      </w:r>
    </w:p>
    <w:p w:rsidR="00650D96" w:rsidRPr="00C72925" w:rsidRDefault="00C72925" w:rsidP="00C72925">
      <w:pPr>
        <w:spacing w:before="100" w:beforeAutospacing="1" w:after="100" w:afterAutospacing="1"/>
        <w:jc w:val="both"/>
        <w:rPr>
          <w:lang w:val="en-GB"/>
        </w:rPr>
      </w:pPr>
      <w:r w:rsidRPr="00C72925">
        <w:rPr>
          <w:lang w:val="en-GB"/>
        </w:rPr>
        <w:t>Plant growth-promoting rhizobacteria (PGPR) are bacteria that colonise the root system of plants and exert a beneficial effect on plant growth, either through direct mechanisms—nutrient provision, phytohormone production, or stress alleviation—or through indirect mechanisms, primarily biocontrol of plant pathogens (</w:t>
      </w:r>
      <w:proofErr w:type="spellStart"/>
      <w:r w:rsidRPr="00C72925">
        <w:rPr>
          <w:lang w:val="en-GB"/>
        </w:rPr>
        <w:t>Lugtenberg</w:t>
      </w:r>
      <w:proofErr w:type="spellEnd"/>
      <w:r w:rsidRPr="00C72925">
        <w:rPr>
          <w:lang w:val="en-GB"/>
        </w:rPr>
        <w:t xml:space="preserve"> &amp; </w:t>
      </w:r>
      <w:proofErr w:type="spellStart"/>
      <w:r w:rsidRPr="00C72925">
        <w:rPr>
          <w:lang w:val="en-GB"/>
        </w:rPr>
        <w:t>Kamilova</w:t>
      </w:r>
      <w:proofErr w:type="spellEnd"/>
      <w:r w:rsidRPr="00C72925">
        <w:rPr>
          <w:lang w:val="en-GB"/>
        </w:rPr>
        <w:t xml:space="preserve">, 2009). The application of PGPR as bioinoculants represents one of the most extensively studied approaches to reducing synthetic fertiliser and pesticide dependence in crop production. Genera including Pseudomonas, Bacillus, </w:t>
      </w:r>
      <w:proofErr w:type="spellStart"/>
      <w:r w:rsidRPr="00C72925">
        <w:rPr>
          <w:lang w:val="en-GB"/>
        </w:rPr>
        <w:t>Azospirillum</w:t>
      </w:r>
      <w:proofErr w:type="spellEnd"/>
      <w:r w:rsidRPr="00C72925">
        <w:rPr>
          <w:lang w:val="en-GB"/>
        </w:rPr>
        <w:t xml:space="preserve">, Rhizobium, </w:t>
      </w:r>
      <w:proofErr w:type="spellStart"/>
      <w:r w:rsidRPr="00C72925">
        <w:rPr>
          <w:lang w:val="en-GB"/>
        </w:rPr>
        <w:t>Burkholderia</w:t>
      </w:r>
      <w:proofErr w:type="spellEnd"/>
      <w:r w:rsidRPr="00C72925">
        <w:rPr>
          <w:lang w:val="en-GB"/>
        </w:rPr>
        <w:t xml:space="preserve">, </w:t>
      </w:r>
      <w:proofErr w:type="spellStart"/>
      <w:r w:rsidRPr="00C72925">
        <w:rPr>
          <w:lang w:val="en-GB"/>
        </w:rPr>
        <w:t>Azotobacter</w:t>
      </w:r>
      <w:proofErr w:type="spellEnd"/>
      <w:r w:rsidRPr="00C72925">
        <w:rPr>
          <w:lang w:val="en-GB"/>
        </w:rPr>
        <w:t>, and Trichoderma encompass the most well-characterised PGPR species.</w:t>
      </w:r>
    </w:p>
    <w:p w:rsidR="00650D96" w:rsidRPr="00C72925" w:rsidRDefault="00C72925" w:rsidP="00C72925">
      <w:pPr>
        <w:spacing w:before="100" w:beforeAutospacing="1" w:after="100" w:afterAutospacing="1"/>
        <w:jc w:val="both"/>
        <w:rPr>
          <w:lang w:val="en-GB"/>
        </w:rPr>
      </w:pPr>
      <w:r w:rsidRPr="00C72925">
        <w:rPr>
          <w:lang w:val="en-GB"/>
        </w:rPr>
        <w:t xml:space="preserve">Bhattacharyya and Jha (2012) reviewed the emergence of PGPR in agricultural application, documenting the range of mechanisms that have been experimentally validated in diverse crop systems. Phosphate solubilisation by strains of Bacillus and Pseudomonas has been demonstrated to enhance plant phosphorus nutrition comparably to low-level inorganic phosphate amendments in greenhouse studies, whilst nitrogen fixation by free-living and associative fixers such as </w:t>
      </w:r>
      <w:proofErr w:type="spellStart"/>
      <w:r w:rsidRPr="00C72925">
        <w:rPr>
          <w:lang w:val="en-GB"/>
        </w:rPr>
        <w:t>Azospirillum</w:t>
      </w:r>
      <w:proofErr w:type="spellEnd"/>
      <w:r w:rsidRPr="00C72925">
        <w:rPr>
          <w:lang w:val="en-GB"/>
        </w:rPr>
        <w:t xml:space="preserve"> has been credited with reducing the external nitrogen requirement of cereal crops in tropical and subtropical systems. The ACC deaminase activity of diverse PGPR genera provides tolerance to a range of abiotic stresses by reducing ethylene-mediated growth suppression, a mechanism of increasing relevance under the more frequent and intense drought and flooding events anticipated under climate change (</w:t>
      </w:r>
      <w:proofErr w:type="spellStart"/>
      <w:r w:rsidRPr="00C72925">
        <w:rPr>
          <w:lang w:val="en-GB"/>
        </w:rPr>
        <w:t>Lugtenberg</w:t>
      </w:r>
      <w:proofErr w:type="spellEnd"/>
      <w:r w:rsidRPr="00C72925">
        <w:rPr>
          <w:lang w:val="en-GB"/>
        </w:rPr>
        <w:t xml:space="preserve"> &amp; </w:t>
      </w:r>
      <w:proofErr w:type="spellStart"/>
      <w:r w:rsidRPr="00C72925">
        <w:rPr>
          <w:lang w:val="en-GB"/>
        </w:rPr>
        <w:t>Kamilova</w:t>
      </w:r>
      <w:proofErr w:type="spellEnd"/>
      <w:r w:rsidRPr="00C72925">
        <w:rPr>
          <w:lang w:val="en-GB"/>
        </w:rPr>
        <w:t>, 2009).</w:t>
      </w:r>
    </w:p>
    <w:p w:rsidR="00650D96" w:rsidRPr="00C72925" w:rsidRDefault="00C72925" w:rsidP="00C72925">
      <w:pPr>
        <w:spacing w:before="100" w:beforeAutospacing="1" w:after="100" w:afterAutospacing="1"/>
        <w:jc w:val="both"/>
        <w:rPr>
          <w:lang w:val="en-GB"/>
        </w:rPr>
      </w:pPr>
      <w:r w:rsidRPr="00C72925">
        <w:rPr>
          <w:lang w:val="en-GB"/>
        </w:rPr>
        <w:t>Despite extensive research, the field-scale performance of PGPR inoculants has been inconsistent. Numerous studies have documented plant growth promotion under controlled conditions that is not reproducible under field conditions, where native soil microbial communities, environmental variability, and soil-specific physicochemical properties interact in complex ways with introduced strains. The survival and competitive establishment of inoculant strains in field soils populated by established native communities remains a critical bottleneck, as introduced organisms typically lack the ecological history and competitive adaptations of indigenous microbes.</w:t>
      </w:r>
    </w:p>
    <w:p w:rsidR="00650D96" w:rsidRPr="00C72925" w:rsidRDefault="00C72925" w:rsidP="00C72925">
      <w:pPr>
        <w:pStyle w:val="Heading2"/>
        <w:spacing w:before="100" w:beforeAutospacing="1" w:after="100" w:afterAutospacing="1"/>
        <w:rPr>
          <w:lang w:val="en-GB"/>
        </w:rPr>
      </w:pPr>
      <w:r w:rsidRPr="00C72925">
        <w:rPr>
          <w:lang w:val="en-GB"/>
        </w:rPr>
        <w:t>6.2 Mycorrhizal Fungi and Other Fungal Bioinoculants</w:t>
      </w:r>
    </w:p>
    <w:p w:rsidR="00650D96" w:rsidRPr="00C72925" w:rsidRDefault="00C72925" w:rsidP="00C72925">
      <w:pPr>
        <w:spacing w:before="100" w:beforeAutospacing="1" w:after="100" w:afterAutospacing="1"/>
        <w:jc w:val="both"/>
        <w:rPr>
          <w:lang w:val="en-GB"/>
        </w:rPr>
      </w:pPr>
      <w:r w:rsidRPr="00C72925">
        <w:rPr>
          <w:lang w:val="en-GB"/>
        </w:rPr>
        <w:t xml:space="preserve">Arbuscular mycorrhizal fungi (AMF)—obligate biotrophic symbionts belonging to the phylum </w:t>
      </w:r>
      <w:proofErr w:type="spellStart"/>
      <w:r w:rsidRPr="00C72925">
        <w:rPr>
          <w:lang w:val="en-GB"/>
        </w:rPr>
        <w:t>Glomeromycota</w:t>
      </w:r>
      <w:proofErr w:type="spellEnd"/>
      <w:r w:rsidRPr="00C72925">
        <w:rPr>
          <w:lang w:val="en-GB"/>
        </w:rPr>
        <w:t>—form associations with the roots of approximately 80 per cent of terrestrial plant species, including the majority of major food crops. The mycorrhizal symbiosis is characterised by the formation of arbuscular structures within root cortical cells through which bidirectional nutrient exchange occurs: the fungal partner receives photosynthetically fixed carbon from the plant, whilst the plant receives phosphorus, nitrogen, zinc, copper, and water accessed through the extensive extraradical hyphal network. Van der Heijden et al. (2008) quantified the contribution of mycorrhizal fungi to plant nutrient acquisition across multiple ecosystem types and concluded that these organisms are among the most important regulators of plant productivity and diversity on Earth.</w:t>
      </w:r>
    </w:p>
    <w:p w:rsidR="00650D96" w:rsidRPr="00C72925" w:rsidRDefault="00C72925" w:rsidP="00C72925">
      <w:pPr>
        <w:spacing w:before="100" w:beforeAutospacing="1" w:after="100" w:afterAutospacing="1"/>
        <w:jc w:val="both"/>
        <w:rPr>
          <w:lang w:val="en-GB"/>
        </w:rPr>
      </w:pPr>
      <w:r w:rsidRPr="00C72925">
        <w:rPr>
          <w:lang w:val="en-GB"/>
        </w:rPr>
        <w:lastRenderedPageBreak/>
        <w:t>Commercial mycorrhizal inoculants are now widely available and are applied in horticultural, forestry, and increasingly arable crop production contexts. However, their efficacy is highly variable and depends critically on factors including soil phosphorus status, tillage history, native AMF diversity, host crop variety, and inoculant quality (Trivedi et al., 2021). In high-phosphorus soils, the plant may suppress mycorrhizal colonisation as the cost of carbon provision to the fungus outweighs the nutritional benefit. The compatibility between inoculant strains and specific crop genotypes—which may vary substantially with the degree of mycorrhizal dependency bred into modern crop varieties—is a further determinant of inoculant success.</w:t>
      </w:r>
    </w:p>
    <w:p w:rsidR="00650D96" w:rsidRPr="00C72925" w:rsidRDefault="00C72925" w:rsidP="00C72925">
      <w:pPr>
        <w:pStyle w:val="Heading2"/>
        <w:spacing w:before="100" w:beforeAutospacing="1" w:after="100" w:afterAutospacing="1"/>
        <w:rPr>
          <w:lang w:val="en-GB"/>
        </w:rPr>
      </w:pPr>
      <w:r w:rsidRPr="00C72925">
        <w:rPr>
          <w:lang w:val="en-GB"/>
        </w:rPr>
        <w:t>6.3 Consortia-Based Bioinoculants and Synthetic Communities</w:t>
      </w:r>
    </w:p>
    <w:p w:rsidR="00650D96" w:rsidRPr="00C72925" w:rsidRDefault="00C72925" w:rsidP="00C72925">
      <w:pPr>
        <w:spacing w:before="100" w:beforeAutospacing="1" w:after="100" w:afterAutospacing="1"/>
        <w:jc w:val="both"/>
        <w:rPr>
          <w:lang w:val="en-GB"/>
        </w:rPr>
      </w:pPr>
      <w:r w:rsidRPr="00C72925">
        <w:rPr>
          <w:lang w:val="en-GB"/>
        </w:rPr>
        <w:t>Growing recognition of the functional interdependence of different microbial taxa within natural plant-associated communities has catalysed interest in consortia-based bioinoculants that apply multiple complementary organisms simultaneously. Multi-strain inoculants combining nitrogen-fixers with phosphate-</w:t>
      </w:r>
      <w:proofErr w:type="spellStart"/>
      <w:r w:rsidRPr="00C72925">
        <w:rPr>
          <w:lang w:val="en-GB"/>
        </w:rPr>
        <w:t>solubilisers</w:t>
      </w:r>
      <w:proofErr w:type="spellEnd"/>
      <w:r w:rsidRPr="00C72925">
        <w:rPr>
          <w:lang w:val="en-GB"/>
        </w:rPr>
        <w:t>, or PGPR with mycorrhizal fungi, have in many studies demonstrated greater and more consistent plant growth promotion than single-strain applications (Trivedi et al., 2021). The most advanced conceptual development of consortia-based approaches is the synthetic community (</w:t>
      </w:r>
      <w:proofErr w:type="spellStart"/>
      <w:r w:rsidRPr="00C72925">
        <w:rPr>
          <w:lang w:val="en-GB"/>
        </w:rPr>
        <w:t>SynCom</w:t>
      </w:r>
      <w:proofErr w:type="spellEnd"/>
      <w:r w:rsidRPr="00C72925">
        <w:rPr>
          <w:lang w:val="en-GB"/>
        </w:rPr>
        <w:t xml:space="preserve">) framework, in which ecologically informed, phylogenetically diverse microbial communities are designed and assembled from characterised strains with defined functional attributes. Trivedi et al. (2021) discussed the application of </w:t>
      </w:r>
      <w:proofErr w:type="spellStart"/>
      <w:r w:rsidRPr="00C72925">
        <w:rPr>
          <w:lang w:val="en-GB"/>
        </w:rPr>
        <w:t>SynComs</w:t>
      </w:r>
      <w:proofErr w:type="spellEnd"/>
      <w:r w:rsidRPr="00C72925">
        <w:rPr>
          <w:lang w:val="en-GB"/>
        </w:rPr>
        <w:t xml:space="preserve"> as research tools and as templates for the rational design of next-generation bioinoculant products, noting that the translational path from </w:t>
      </w:r>
      <w:proofErr w:type="spellStart"/>
      <w:r w:rsidRPr="00C72925">
        <w:rPr>
          <w:lang w:val="en-GB"/>
        </w:rPr>
        <w:t>SynCom</w:t>
      </w:r>
      <w:proofErr w:type="spellEnd"/>
      <w:r w:rsidRPr="00C72925">
        <w:rPr>
          <w:lang w:val="en-GB"/>
        </w:rPr>
        <w:t xml:space="preserve"> to commercial application requires resolution of ecological compatibility and product stability challenges that remain active areas of research.</w:t>
      </w:r>
    </w:p>
    <w:p w:rsidR="00650D96" w:rsidRPr="00C72925" w:rsidRDefault="00C72925" w:rsidP="00C72925">
      <w:pPr>
        <w:pStyle w:val="Heading2"/>
        <w:spacing w:before="100" w:beforeAutospacing="1" w:after="100" w:afterAutospacing="1"/>
        <w:rPr>
          <w:lang w:val="en-GB"/>
        </w:rPr>
      </w:pPr>
      <w:r w:rsidRPr="00C72925">
        <w:rPr>
          <w:lang w:val="en-GB"/>
        </w:rPr>
        <w:t>6.4 Commercial Products, Challenges, and Regulatory Frameworks</w:t>
      </w:r>
    </w:p>
    <w:p w:rsidR="00650D96" w:rsidRPr="00C72925" w:rsidRDefault="00C72925" w:rsidP="00C72925">
      <w:pPr>
        <w:spacing w:before="100" w:beforeAutospacing="1" w:after="100" w:afterAutospacing="1"/>
        <w:jc w:val="both"/>
        <w:rPr>
          <w:lang w:val="en-GB"/>
        </w:rPr>
      </w:pPr>
      <w:r w:rsidRPr="00C72925">
        <w:rPr>
          <w:lang w:val="en-GB"/>
        </w:rPr>
        <w:t xml:space="preserve">The global </w:t>
      </w:r>
      <w:proofErr w:type="spellStart"/>
      <w:r w:rsidRPr="00C72925">
        <w:rPr>
          <w:lang w:val="en-GB"/>
        </w:rPr>
        <w:t>biostimulant</w:t>
      </w:r>
      <w:proofErr w:type="spellEnd"/>
      <w:r w:rsidRPr="00C72925">
        <w:rPr>
          <w:lang w:val="en-GB"/>
        </w:rPr>
        <w:t xml:space="preserve"> and bioinoculant market has expanded substantially over the past decade, driven by consumer demand for organically produced food, tightening regulatory restrictions on synthetic pesticide use, and increasing awareness of soil biological health as an agronomic asset. However, the quality, consistency, and efficacy of commercial products vary widely, and the industry lacks universal regulatory standards for product registration that would provide farmers with reliable performance guarantees (Trivedi et al., 2021). The regulatory frameworks governing microbial bioinoculants differ substantially between jurisdictions. Harmonisation of regulatory frameworks and the development of robust, standardised bioassay methodologies for product efficacy assessment are priorities for ensuring that the commercial bioinoculant market grows in a manner that is both commercially viable and scientifically defensible.</w:t>
      </w:r>
    </w:p>
    <w:p w:rsidR="00650D96" w:rsidRPr="00C72925" w:rsidRDefault="00650D96" w:rsidP="00C72925">
      <w:pPr>
        <w:spacing w:before="100" w:beforeAutospacing="1" w:after="100" w:afterAutospacing="1"/>
        <w:rPr>
          <w:lang w:val="en-GB"/>
        </w:rPr>
      </w:pPr>
    </w:p>
    <w:p w:rsidR="00650D96" w:rsidRPr="00C72925" w:rsidRDefault="00C72925" w:rsidP="00C72925">
      <w:pPr>
        <w:pStyle w:val="Heading1"/>
        <w:spacing w:before="100" w:beforeAutospacing="1" w:after="100" w:afterAutospacing="1"/>
        <w:rPr>
          <w:lang w:val="en-GB"/>
        </w:rPr>
      </w:pPr>
      <w:r w:rsidRPr="00C72925">
        <w:rPr>
          <w:lang w:val="en-GB"/>
        </w:rPr>
        <w:t>7. Molecular and Omics Approaches to Plant Microbiome Research</w:t>
      </w:r>
    </w:p>
    <w:p w:rsidR="00650D96" w:rsidRPr="00C72925" w:rsidRDefault="00C72925" w:rsidP="00C72925">
      <w:pPr>
        <w:pStyle w:val="Heading2"/>
        <w:spacing w:before="100" w:beforeAutospacing="1" w:after="100" w:afterAutospacing="1"/>
        <w:rPr>
          <w:lang w:val="en-GB"/>
        </w:rPr>
      </w:pPr>
      <w:r w:rsidRPr="00C72925">
        <w:rPr>
          <w:lang w:val="en-GB"/>
        </w:rPr>
        <w:t>7.1 Metagenomics and Amplicon Sequencing</w:t>
      </w:r>
    </w:p>
    <w:p w:rsidR="00650D96" w:rsidRPr="00C72925" w:rsidRDefault="00C72925" w:rsidP="00C72925">
      <w:pPr>
        <w:spacing w:before="100" w:beforeAutospacing="1" w:after="100" w:afterAutospacing="1"/>
        <w:jc w:val="both"/>
        <w:rPr>
          <w:lang w:val="en-GB"/>
        </w:rPr>
      </w:pPr>
      <w:r w:rsidRPr="00C72925">
        <w:rPr>
          <w:lang w:val="en-GB"/>
        </w:rPr>
        <w:t>The past two decades have witnessed a transformative expansion in the methodological toolkit available for characterising plant-associated microbial communities. Prior to the widespread adoption of culture-independent methods, our understanding of soil and plant microbiomes was limited to the small fraction of taxa amenable to laboratory cultivation—</w:t>
      </w:r>
      <w:r w:rsidRPr="00C72925">
        <w:rPr>
          <w:lang w:val="en-GB"/>
        </w:rPr>
        <w:lastRenderedPageBreak/>
        <w:t>estimated at less than one per cent of bacterial diversity in many environments (</w:t>
      </w:r>
      <w:proofErr w:type="spellStart"/>
      <w:r w:rsidRPr="00C72925">
        <w:rPr>
          <w:lang w:val="en-GB"/>
        </w:rPr>
        <w:t>Fierer</w:t>
      </w:r>
      <w:proofErr w:type="spellEnd"/>
      <w:r w:rsidRPr="00C72925">
        <w:rPr>
          <w:lang w:val="en-GB"/>
        </w:rPr>
        <w:t xml:space="preserve">, 2017). The application of 16S rRNA gene amplicon sequencing first revealed the true phylogenetic breadth and compositional complexity of soil and rhizosphere communities. Shotgun metagenomics provides access not only to community composition but also to the functional gene complement of the entire microbiome. Mendes et al. (2011) demonstrated the power of metagenomics for identifying functional genes—specifically </w:t>
      </w:r>
      <w:proofErr w:type="spellStart"/>
      <w:r w:rsidRPr="00C72925">
        <w:rPr>
          <w:lang w:val="en-GB"/>
        </w:rPr>
        <w:t>nonribosomal</w:t>
      </w:r>
      <w:proofErr w:type="spellEnd"/>
      <w:r w:rsidRPr="00C72925">
        <w:rPr>
          <w:lang w:val="en-GB"/>
        </w:rPr>
        <w:t xml:space="preserve"> peptide synthetase gene clusters—that mediate ecologically important processes such as disease suppression. The comprehensive characterisation of the Arabidopsis root microbiome by Lundberg et al. (2012) demonstrated that compartment-specific microbial communities—distinguishable between rhizosphere, root surface, and root endophyte fractions—could be reproducibly resolved across different soil types, validating the experimental framework that now underlies much of plant microbiome research.</w:t>
      </w:r>
    </w:p>
    <w:p w:rsidR="00650D96" w:rsidRPr="00C72925" w:rsidRDefault="00C72925" w:rsidP="00C72925">
      <w:pPr>
        <w:spacing w:before="100" w:beforeAutospacing="1" w:after="100" w:afterAutospacing="1"/>
        <w:jc w:val="both"/>
        <w:rPr>
          <w:lang w:val="en-GB"/>
        </w:rPr>
      </w:pPr>
      <w:r w:rsidRPr="00C72925">
        <w:rPr>
          <w:lang w:val="en-GB"/>
        </w:rPr>
        <w:t>Subsequent methodological advances including long-read sequencing technologies, increased sequencing depth, and improved bioinformatic pipelines for genome-resolved metagenomics have dramatically expanded the resolution with which individual microbial genomes can be recovered from complex community samples (Trivedi et al., 2020). The establishment of open-access databases of plant microbiome sequencing data, coupled with standardised sampling and analysis protocols, is an infrastructural priority for the field that will underpin both basic research advances and applied data science applications.</w:t>
      </w:r>
    </w:p>
    <w:p w:rsidR="00650D96" w:rsidRPr="00C72925" w:rsidRDefault="00C72925" w:rsidP="00C72925">
      <w:pPr>
        <w:pStyle w:val="Heading2"/>
        <w:spacing w:before="100" w:beforeAutospacing="1" w:after="100" w:afterAutospacing="1"/>
        <w:rPr>
          <w:lang w:val="en-GB"/>
        </w:rPr>
      </w:pPr>
      <w:r w:rsidRPr="00C72925">
        <w:rPr>
          <w:lang w:val="en-GB"/>
        </w:rPr>
        <w:t xml:space="preserve">7.2 </w:t>
      </w:r>
      <w:proofErr w:type="spellStart"/>
      <w:r w:rsidRPr="00C72925">
        <w:rPr>
          <w:lang w:val="en-GB"/>
        </w:rPr>
        <w:t>Metatranscriptomics</w:t>
      </w:r>
      <w:proofErr w:type="spellEnd"/>
      <w:r w:rsidRPr="00C72925">
        <w:rPr>
          <w:lang w:val="en-GB"/>
        </w:rPr>
        <w:t xml:space="preserve">, </w:t>
      </w:r>
      <w:proofErr w:type="spellStart"/>
      <w:r w:rsidRPr="00C72925">
        <w:rPr>
          <w:lang w:val="en-GB"/>
        </w:rPr>
        <w:t>Metaproteomics</w:t>
      </w:r>
      <w:proofErr w:type="spellEnd"/>
      <w:r w:rsidRPr="00C72925">
        <w:rPr>
          <w:lang w:val="en-GB"/>
        </w:rPr>
        <w:t>, and Metabolomics</w:t>
      </w:r>
    </w:p>
    <w:p w:rsidR="00650D96" w:rsidRPr="00C72925" w:rsidRDefault="00C72925" w:rsidP="00C72925">
      <w:pPr>
        <w:spacing w:before="100" w:beforeAutospacing="1" w:after="100" w:afterAutospacing="1"/>
        <w:jc w:val="both"/>
        <w:rPr>
          <w:lang w:val="en-GB"/>
        </w:rPr>
      </w:pPr>
      <w:r w:rsidRPr="00C72925">
        <w:rPr>
          <w:lang w:val="en-GB"/>
        </w:rPr>
        <w:t xml:space="preserve">Whilst metagenomics provides information on the potential functional capacities encoded within a microbial community, it does not directly reveal which of those functions are actively expressed under a given set of conditions. </w:t>
      </w:r>
      <w:proofErr w:type="spellStart"/>
      <w:r w:rsidRPr="00C72925">
        <w:rPr>
          <w:lang w:val="en-GB"/>
        </w:rPr>
        <w:t>Metatranscriptomics</w:t>
      </w:r>
      <w:proofErr w:type="spellEnd"/>
      <w:r w:rsidRPr="00C72925">
        <w:rPr>
          <w:lang w:val="en-GB"/>
        </w:rPr>
        <w:t xml:space="preserve"> provides a snapshot of active gene expression at the community level, enabling the identification of metabolic pathways that are differentially activated in response to plant developmental signals, environmental perturbations, or interspecies interactions. </w:t>
      </w:r>
      <w:proofErr w:type="spellStart"/>
      <w:r w:rsidRPr="00C72925">
        <w:rPr>
          <w:lang w:val="en-GB"/>
        </w:rPr>
        <w:t>Metaproteomics</w:t>
      </w:r>
      <w:proofErr w:type="spellEnd"/>
      <w:r w:rsidRPr="00C72925">
        <w:rPr>
          <w:lang w:val="en-GB"/>
        </w:rPr>
        <w:t xml:space="preserve">—the large-scale characterisation of proteins expressed by microbial communities—provides direct evidence of the enzymatic machinery deployed in situ, bridging the gap between transcriptional potential and biochemical reality. Metabolomics, applied to root exudate fractions or rhizosphere soil solutions, characterises the small-molecule landscape that mediates plant–microbe chemical communication (Trivedi et al., 2020). The integration of metagenomic, </w:t>
      </w:r>
      <w:proofErr w:type="spellStart"/>
      <w:r w:rsidRPr="00C72925">
        <w:rPr>
          <w:lang w:val="en-GB"/>
        </w:rPr>
        <w:t>metatranscriptomic</w:t>
      </w:r>
      <w:proofErr w:type="spellEnd"/>
      <w:r w:rsidRPr="00C72925">
        <w:rPr>
          <w:lang w:val="en-GB"/>
        </w:rPr>
        <w:t>, metaproteomic, and metabolomic data—a multi-omics approach—is increasingly recognised as essential for a mechanistically complete understanding of plant–microbiome interactions. Multi-omics frameworks are being applied to identify the molecular signatures of healthy versus degraded soil microbiomes and to characterise the functional responses of microbiomes to management interventions.</w:t>
      </w:r>
    </w:p>
    <w:p w:rsidR="00650D96" w:rsidRPr="00C72925" w:rsidRDefault="00650D96" w:rsidP="00C72925">
      <w:pPr>
        <w:spacing w:before="100" w:beforeAutospacing="1" w:after="100" w:afterAutospacing="1"/>
        <w:rPr>
          <w:lang w:val="en-GB"/>
        </w:rPr>
      </w:pPr>
    </w:p>
    <w:p w:rsidR="00650D96" w:rsidRPr="00C72925" w:rsidRDefault="00C72925" w:rsidP="00C72925">
      <w:pPr>
        <w:pStyle w:val="Heading1"/>
        <w:spacing w:before="100" w:beforeAutospacing="1" w:after="100" w:afterAutospacing="1"/>
        <w:rPr>
          <w:lang w:val="en-GB"/>
        </w:rPr>
      </w:pPr>
      <w:r w:rsidRPr="00C72925">
        <w:rPr>
          <w:lang w:val="en-GB"/>
        </w:rPr>
        <w:t>8. Future Directions in Plant Microbiome Research and Application</w:t>
      </w:r>
    </w:p>
    <w:p w:rsidR="00650D96" w:rsidRPr="00C72925" w:rsidRDefault="00C72925" w:rsidP="00C72925">
      <w:pPr>
        <w:pStyle w:val="Heading2"/>
        <w:spacing w:before="100" w:beforeAutospacing="1" w:after="100" w:afterAutospacing="1"/>
        <w:rPr>
          <w:lang w:val="en-GB"/>
        </w:rPr>
      </w:pPr>
      <w:r w:rsidRPr="00C72925">
        <w:rPr>
          <w:lang w:val="en-GB"/>
        </w:rPr>
        <w:t>8.1 Microbiome Engineering and Synthetic Ecology</w:t>
      </w:r>
    </w:p>
    <w:p w:rsidR="00650D96" w:rsidRPr="00C72925" w:rsidRDefault="00C72925" w:rsidP="00C72925">
      <w:pPr>
        <w:spacing w:before="100" w:beforeAutospacing="1" w:after="100" w:afterAutospacing="1"/>
        <w:jc w:val="both"/>
        <w:rPr>
          <w:lang w:val="en-GB"/>
        </w:rPr>
      </w:pPr>
      <w:r w:rsidRPr="00C72925">
        <w:rPr>
          <w:lang w:val="en-GB"/>
        </w:rPr>
        <w:t xml:space="preserve">The convergence of mechanistic understanding from fundamental microbiome research with advances in synthetic biology has opened the prospect of deliberately engineering plant-associated microbiomes for enhanced agronomic performance. Microbiome engineering strategies range from the relatively simple—the application of targeted bioinoculants that </w:t>
      </w:r>
      <w:r w:rsidRPr="00C72925">
        <w:rPr>
          <w:lang w:val="en-GB"/>
        </w:rPr>
        <w:lastRenderedPageBreak/>
        <w:t>supplement deficient microbiome functions—to the sophisticated, including the genetic modification of plants to produce exudates that selectively recruit specific microbial guilds, or the construction of synthetic microbial communities from defined strains (Trivedi et al., 2021). Plant breeding represents an underutilised lever for microbiome engineering. Modern crop varieties have been selected almost exclusively under high-input conditions, potentially resulting in inadvertent selection against traits that support beneficial microbiome associations. Wild crop relatives, which evolved in the absence of synthetic inputs and in closer coevolutionary contact with diverse soil microbial communities, may represent valuable reservoirs of microbiome-compatibility traits (Trivedi et al., 2021).</w:t>
      </w:r>
    </w:p>
    <w:p w:rsidR="00650D96" w:rsidRPr="00C72925" w:rsidRDefault="00C72925" w:rsidP="00C72925">
      <w:pPr>
        <w:pStyle w:val="Heading2"/>
        <w:spacing w:before="100" w:beforeAutospacing="1" w:after="100" w:afterAutospacing="1"/>
        <w:rPr>
          <w:lang w:val="en-GB"/>
        </w:rPr>
      </w:pPr>
      <w:r w:rsidRPr="00C72925">
        <w:rPr>
          <w:lang w:val="en-GB"/>
        </w:rPr>
        <w:t>8.2 Climate Change and Plant Microbiome Resilience</w:t>
      </w:r>
    </w:p>
    <w:p w:rsidR="00650D96" w:rsidRPr="00C72925" w:rsidRDefault="00C72925" w:rsidP="00C72925">
      <w:pPr>
        <w:spacing w:before="100" w:beforeAutospacing="1" w:after="100" w:afterAutospacing="1"/>
        <w:jc w:val="both"/>
        <w:rPr>
          <w:lang w:val="en-GB"/>
        </w:rPr>
      </w:pPr>
      <w:r w:rsidRPr="00C72925">
        <w:rPr>
          <w:lang w:val="en-GB"/>
        </w:rPr>
        <w:t>Climate change is altering the thermal and hydrological regimes in which plant–microbiome interactions operate, with potentially profound consequences for agricultural microbiome functionality. Elevated temperatures, more frequent and severe droughts, altered precipitation patterns, and increased atmospheric CO₂ concentrations all affect the composition and activity of plant-associated microbial communities (Trivedi et al., 2022). Drought has been shown to reduce rhizosphere microbial diversity and to shift community composition towards stress-tolerant taxa with slower growth strategies, potentially reducing the functional redundancy of the microbiome and impairing nutrient cycling during growing seasons that coincide with water limitation (Trivedi et al., 2022). Trivedi et al. (2022) proposed a conceptual model in which, on short timescales of years to decades, the adaptation of plants to climate change stresses is primarily mediated by the flexibility and resilience of the plant microbiome rather than by plant genetic adaptation. This model carries significant practical implications: managing the microbiome for climate resilience—through organic amendments, diverse rotations, and targeted bioinoculant use—may be one of the most accessible near-term strategies for adapting agricultural systems to a changing climate.</w:t>
      </w:r>
    </w:p>
    <w:p w:rsidR="00650D96" w:rsidRPr="00C72925" w:rsidRDefault="00C72925" w:rsidP="00C72925">
      <w:pPr>
        <w:pStyle w:val="Heading2"/>
        <w:spacing w:before="100" w:beforeAutospacing="1" w:after="100" w:afterAutospacing="1"/>
        <w:rPr>
          <w:lang w:val="en-GB"/>
        </w:rPr>
      </w:pPr>
      <w:r w:rsidRPr="00C72925">
        <w:rPr>
          <w:lang w:val="en-GB"/>
        </w:rPr>
        <w:t>8.3 Integration with Precision Agriculture and Digital Technologies</w:t>
      </w:r>
    </w:p>
    <w:p w:rsidR="00650D96" w:rsidRPr="00C72925" w:rsidRDefault="00C72925" w:rsidP="00C72925">
      <w:pPr>
        <w:spacing w:before="100" w:beforeAutospacing="1" w:after="100" w:afterAutospacing="1"/>
        <w:jc w:val="both"/>
        <w:rPr>
          <w:lang w:val="en-GB"/>
        </w:rPr>
      </w:pPr>
      <w:r w:rsidRPr="00C72925">
        <w:rPr>
          <w:lang w:val="en-GB"/>
        </w:rPr>
        <w:t>The increasing digitalisation of agriculture—through remote sensing, real-time soil monitoring, machine learning-based yield prediction, and variable-rate application technologies—creates new opportunities for the precision management of plant microbiomes at sub-field resolution. Soil biological health indicators derived from microbial community sequencing data could be integrated into precision agriculture decision-support systems to guide the spatial targeting of bioinoculant applications, cover crop selections, organic amendment rates, and tillage decisions in a way that maximises microbiome-mediated ecosystem services whilst minimising inputs (Trivedi et al., 2021). Advances in biosensor technology are enabling the real-time monitoring of specific microbial metabolites and community functional outputs in situ, providing dynamic information about microbiome activity that could eventually be integrated with crop management algorithms. Regulatory frameworks will need to evolve in parallel with technological advances to accommodate the novelty of microbiome-based agricultural interventions, ensuring that the benefits of microbiome technology are accessible to smallholder and resource-limited farming systems in the global south, where the need for sustainable productivity enhancement is most acute.</w:t>
      </w:r>
    </w:p>
    <w:p w:rsidR="00650D96" w:rsidRPr="00C72925" w:rsidRDefault="00650D96" w:rsidP="00C72925">
      <w:pPr>
        <w:spacing w:before="100" w:beforeAutospacing="1" w:after="100" w:afterAutospacing="1"/>
        <w:rPr>
          <w:lang w:val="en-GB"/>
        </w:rPr>
      </w:pPr>
    </w:p>
    <w:p w:rsidR="00650D96" w:rsidRPr="00C72925" w:rsidRDefault="00C72925" w:rsidP="00C72925">
      <w:pPr>
        <w:pStyle w:val="Heading1"/>
        <w:spacing w:before="100" w:beforeAutospacing="1" w:after="100" w:afterAutospacing="1"/>
        <w:rPr>
          <w:lang w:val="en-GB"/>
        </w:rPr>
      </w:pPr>
      <w:r w:rsidRPr="00C72925">
        <w:rPr>
          <w:lang w:val="en-GB"/>
        </w:rPr>
        <w:t>9. Conclusions</w:t>
      </w:r>
    </w:p>
    <w:p w:rsidR="00650D96" w:rsidRPr="00C72925" w:rsidRDefault="00C72925" w:rsidP="00C72925">
      <w:pPr>
        <w:spacing w:before="100" w:beforeAutospacing="1" w:after="100" w:afterAutospacing="1"/>
        <w:jc w:val="both"/>
        <w:rPr>
          <w:lang w:val="en-GB"/>
        </w:rPr>
      </w:pPr>
      <w:r w:rsidRPr="00C72925">
        <w:rPr>
          <w:lang w:val="en-GB"/>
        </w:rPr>
        <w:lastRenderedPageBreak/>
        <w:t xml:space="preserve">The scientific understanding of plant microbiomes and their relationships with soil health has advanced with remarkable rapidity over the past two decades, transforming our conceptualisation of the plant from an individual organism to a </w:t>
      </w:r>
      <w:proofErr w:type="spellStart"/>
      <w:r w:rsidRPr="00C72925">
        <w:rPr>
          <w:lang w:val="en-GB"/>
        </w:rPr>
        <w:t>holobiont</w:t>
      </w:r>
      <w:proofErr w:type="spellEnd"/>
      <w:r w:rsidRPr="00C72925">
        <w:rPr>
          <w:lang w:val="en-GB"/>
        </w:rPr>
        <w:t xml:space="preserve">—a functional composite of the plant host and its associated microbial communities. The rhizosphere, </w:t>
      </w:r>
      <w:proofErr w:type="spellStart"/>
      <w:r w:rsidRPr="00C72925">
        <w:rPr>
          <w:lang w:val="en-GB"/>
        </w:rPr>
        <w:t>phyllosphere</w:t>
      </w:r>
      <w:proofErr w:type="spellEnd"/>
      <w:r w:rsidRPr="00C72925">
        <w:rPr>
          <w:lang w:val="en-GB"/>
        </w:rPr>
        <w:t xml:space="preserve">, and </w:t>
      </w:r>
      <w:proofErr w:type="spellStart"/>
      <w:r w:rsidRPr="00C72925">
        <w:rPr>
          <w:lang w:val="en-GB"/>
        </w:rPr>
        <w:t>endosphere</w:t>
      </w:r>
      <w:proofErr w:type="spellEnd"/>
      <w:r w:rsidRPr="00C72925">
        <w:rPr>
          <w:lang w:val="en-GB"/>
        </w:rPr>
        <w:t xml:space="preserve"> each harbour compositionally distinct microbial communities that are actively recruited and shaped by plants, and that in turn provide services essential for plant nutrition, protection, and stress resilience. At the soil level, microbial diversity and activity are increasingly recognised as non-substitutable dimensions of soil health that underpin the long-term productive capacity of agricultural systems and cannot be adequately addressed through chemical inputs alone.</w:t>
      </w:r>
    </w:p>
    <w:p w:rsidR="00650D96" w:rsidRPr="00C72925" w:rsidRDefault="00C72925" w:rsidP="00C72925">
      <w:pPr>
        <w:spacing w:before="100" w:beforeAutospacing="1" w:after="100" w:afterAutospacing="1"/>
        <w:jc w:val="both"/>
        <w:rPr>
          <w:lang w:val="en-GB"/>
        </w:rPr>
      </w:pPr>
      <w:r w:rsidRPr="00C72925">
        <w:rPr>
          <w:lang w:val="en-GB"/>
        </w:rPr>
        <w:t>Bioinoculant technologies—encompassing PGPR, mycorrhizal fungi, biocontrol organisms, and microbial consortia—offer a biologically grounded pathway to reduced input dependence and improved agronomic sustainability, though their consistent translation from laboratory discovery to field-scale impact remains a defining challenge. This challenge reflects the ecological complexity of open agricultural systems, the regulatory infrastructure required to support a trustworthy bioinoculant market, and the agronomic knowledge needed for farmers to deploy microbiome-based tools effectively. The integration of multi-omics technologies, microbiome engineering strategies, climate-resilience frameworks, and precision digital tools holds the potential to substantially advance the application of microbiome science in agriculture. Plant microbiomes represent not merely a scientific frontier but a biological resource of profound practical significance for feeding a growing and climate-stressed world.</w:t>
      </w:r>
    </w:p>
    <w:p w:rsidR="00650D96" w:rsidRPr="00C72925" w:rsidRDefault="00650D96" w:rsidP="00C72925">
      <w:pPr>
        <w:spacing w:before="100" w:beforeAutospacing="1" w:after="100" w:afterAutospacing="1"/>
        <w:rPr>
          <w:lang w:val="en-GB"/>
        </w:rPr>
      </w:pPr>
    </w:p>
    <w:p w:rsidR="00650D96" w:rsidRPr="00C72925" w:rsidRDefault="00C72925" w:rsidP="00C72925">
      <w:pPr>
        <w:pStyle w:val="Heading1"/>
        <w:spacing w:before="100" w:beforeAutospacing="1" w:after="100" w:afterAutospacing="1"/>
        <w:rPr>
          <w:lang w:val="en-GB"/>
        </w:rPr>
      </w:pPr>
      <w:r w:rsidRPr="00C72925">
        <w:rPr>
          <w:lang w:val="en-GB"/>
        </w:rPr>
        <w:t>10. Limitations</w:t>
      </w:r>
    </w:p>
    <w:p w:rsidR="00650D96" w:rsidRPr="00C72925" w:rsidRDefault="00C72925" w:rsidP="00C72925">
      <w:pPr>
        <w:spacing w:before="100" w:beforeAutospacing="1" w:after="100" w:afterAutospacing="1"/>
        <w:jc w:val="both"/>
        <w:rPr>
          <w:lang w:val="en-GB"/>
        </w:rPr>
      </w:pPr>
      <w:r w:rsidRPr="00C72925">
        <w:rPr>
          <w:lang w:val="en-GB"/>
        </w:rPr>
        <w:t>This review is subject to several limitations that should be noted. First, the literature on plant microbiomes and soil health is vast and expanding rapidly; despite systematic search efforts, it is possible that relevant studies have been overlooked, particularly those published in non-English languages or in regional journals not well indexed by the databases searched. Second, the review draws predominantly on studies conducted in model plant systems—particularly Arabidopsis thaliana and major cereal crops—and in temperate agricultural environments; the generalisability of mechanistic findings to the diversity of globally important crops and tropical or subtropical farming systems may be limited. Third, whilst this review discusses climate change as a determinant of plant microbiome dynamics, the empirical evidence base for climate effects on microbiome function in field-scale agricultural systems remains relatively thin compared to controlled environment studies, introducing some uncertainty in translating climate projections to microbiome management recommendations. Fourth, the discussion of bioinoculant efficacy necessarily draws on a literature characterised by publication bias towards positive results, and the full range of null and negative findings is not comprehensively represented in the accessible literature. Fifth, regulatory information presented here reflects conditions at the time of writing and may not capture subsequent legislative developments.</w:t>
      </w:r>
    </w:p>
    <w:p w:rsidR="00650D96" w:rsidRPr="00C72925" w:rsidRDefault="00650D96" w:rsidP="00C72925">
      <w:pPr>
        <w:spacing w:before="100" w:beforeAutospacing="1" w:after="100" w:afterAutospacing="1"/>
        <w:rPr>
          <w:lang w:val="en-GB"/>
        </w:rPr>
      </w:pPr>
    </w:p>
    <w:p w:rsidR="00650D96" w:rsidRPr="00C72925" w:rsidRDefault="00C72925" w:rsidP="00C72925">
      <w:pPr>
        <w:pStyle w:val="Heading1"/>
        <w:spacing w:before="100" w:beforeAutospacing="1" w:after="100" w:afterAutospacing="1"/>
        <w:rPr>
          <w:lang w:val="en-GB"/>
        </w:rPr>
      </w:pPr>
      <w:r w:rsidRPr="00C72925">
        <w:rPr>
          <w:lang w:val="en-GB"/>
        </w:rPr>
        <w:t>References</w:t>
      </w:r>
    </w:p>
    <w:p w:rsidR="00650D96" w:rsidRPr="00C72925" w:rsidRDefault="00C72925" w:rsidP="00C72925">
      <w:pPr>
        <w:spacing w:before="100" w:beforeAutospacing="1" w:after="100" w:afterAutospacing="1"/>
        <w:ind w:left="720" w:hanging="720"/>
        <w:rPr>
          <w:lang w:val="en-GB"/>
        </w:rPr>
      </w:pPr>
      <w:proofErr w:type="spellStart"/>
      <w:r w:rsidRPr="00C72925">
        <w:rPr>
          <w:sz w:val="22"/>
          <w:szCs w:val="22"/>
          <w:lang w:val="en-GB"/>
        </w:rPr>
        <w:lastRenderedPageBreak/>
        <w:t>Bais</w:t>
      </w:r>
      <w:proofErr w:type="spellEnd"/>
      <w:r w:rsidRPr="00C72925">
        <w:rPr>
          <w:sz w:val="22"/>
          <w:szCs w:val="22"/>
          <w:lang w:val="en-GB"/>
        </w:rPr>
        <w:t xml:space="preserve">, H. P., Weir, T. L., Perry, L. G., Gilroy, S., &amp; </w:t>
      </w:r>
      <w:proofErr w:type="spellStart"/>
      <w:r w:rsidRPr="00C72925">
        <w:rPr>
          <w:sz w:val="22"/>
          <w:szCs w:val="22"/>
          <w:lang w:val="en-GB"/>
        </w:rPr>
        <w:t>Vivanco</w:t>
      </w:r>
      <w:proofErr w:type="spellEnd"/>
      <w:r w:rsidRPr="00C72925">
        <w:rPr>
          <w:sz w:val="22"/>
          <w:szCs w:val="22"/>
          <w:lang w:val="en-GB"/>
        </w:rPr>
        <w:t xml:space="preserve">, J. M. (2006). The role of root exudates in rhizosphere interactions with plants and other organisms. </w:t>
      </w:r>
      <w:r w:rsidRPr="00C72925">
        <w:rPr>
          <w:i/>
          <w:iCs/>
          <w:sz w:val="22"/>
          <w:szCs w:val="22"/>
          <w:lang w:val="en-GB"/>
        </w:rPr>
        <w:t>Annual Review of Plant Biology</w:t>
      </w:r>
      <w:r w:rsidRPr="00C72925">
        <w:rPr>
          <w:sz w:val="22"/>
          <w:szCs w:val="22"/>
          <w:lang w:val="en-GB"/>
        </w:rPr>
        <w:t xml:space="preserve">, </w:t>
      </w:r>
      <w:r w:rsidRPr="00C72925">
        <w:rPr>
          <w:i/>
          <w:iCs/>
          <w:sz w:val="22"/>
          <w:szCs w:val="22"/>
          <w:lang w:val="en-GB"/>
        </w:rPr>
        <w:t>57</w:t>
      </w:r>
      <w:r w:rsidRPr="00C72925">
        <w:rPr>
          <w:sz w:val="22"/>
          <w:szCs w:val="22"/>
          <w:lang w:val="en-GB"/>
        </w:rPr>
        <w:t>, 233–266. https://doi.org/10.1146/annurev.arplant.57.032905.105159</w:t>
      </w:r>
    </w:p>
    <w:p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Berendsen, R. L., Pieterse, C. M. J., &amp; Bakker, P. A. H. M. (2012). The rhizosphere microbiome and plant health. </w:t>
      </w:r>
      <w:r w:rsidRPr="00C72925">
        <w:rPr>
          <w:i/>
          <w:iCs/>
          <w:sz w:val="22"/>
          <w:szCs w:val="22"/>
          <w:lang w:val="en-GB"/>
        </w:rPr>
        <w:t>Trends in Plant Science</w:t>
      </w:r>
      <w:r w:rsidRPr="00C72925">
        <w:rPr>
          <w:sz w:val="22"/>
          <w:szCs w:val="22"/>
          <w:lang w:val="en-GB"/>
        </w:rPr>
        <w:t xml:space="preserve">, </w:t>
      </w:r>
      <w:r w:rsidRPr="00C72925">
        <w:rPr>
          <w:i/>
          <w:iCs/>
          <w:sz w:val="22"/>
          <w:szCs w:val="22"/>
          <w:lang w:val="en-GB"/>
        </w:rPr>
        <w:t>17</w:t>
      </w:r>
      <w:r w:rsidRPr="00C72925">
        <w:rPr>
          <w:sz w:val="22"/>
          <w:szCs w:val="22"/>
          <w:lang w:val="en-GB"/>
        </w:rPr>
        <w:t>(8), 478–486. https://doi.org/10.1016/j.tplants.2012.04.001</w:t>
      </w:r>
    </w:p>
    <w:p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Bhattacharyya, P. N., &amp; Jha, D. K. (2012). Plant growth-promoting rhizobacteria (PGPR): Emergence in agriculture. </w:t>
      </w:r>
      <w:r w:rsidRPr="00C72925">
        <w:rPr>
          <w:i/>
          <w:iCs/>
          <w:sz w:val="22"/>
          <w:szCs w:val="22"/>
          <w:lang w:val="en-GB"/>
        </w:rPr>
        <w:t>World Journal of Microbiology and Biotechnology</w:t>
      </w:r>
      <w:r w:rsidRPr="00C72925">
        <w:rPr>
          <w:sz w:val="22"/>
          <w:szCs w:val="22"/>
          <w:lang w:val="en-GB"/>
        </w:rPr>
        <w:t xml:space="preserve">, </w:t>
      </w:r>
      <w:r w:rsidRPr="00C72925">
        <w:rPr>
          <w:i/>
          <w:iCs/>
          <w:sz w:val="22"/>
          <w:szCs w:val="22"/>
          <w:lang w:val="en-GB"/>
        </w:rPr>
        <w:t>28</w:t>
      </w:r>
      <w:r w:rsidRPr="00C72925">
        <w:rPr>
          <w:sz w:val="22"/>
          <w:szCs w:val="22"/>
          <w:lang w:val="en-GB"/>
        </w:rPr>
        <w:t>(4), 1327–1350. https://doi.org/10.1007/s11274-011-0979-9</w:t>
      </w:r>
    </w:p>
    <w:p w:rsidR="00650D96" w:rsidRPr="00C72925" w:rsidRDefault="00C72925" w:rsidP="00C72925">
      <w:pPr>
        <w:spacing w:before="100" w:beforeAutospacing="1" w:after="100" w:afterAutospacing="1"/>
        <w:ind w:left="720" w:hanging="720"/>
        <w:rPr>
          <w:lang w:val="en-GB"/>
        </w:rPr>
      </w:pPr>
      <w:proofErr w:type="spellStart"/>
      <w:r w:rsidRPr="00C72925">
        <w:rPr>
          <w:sz w:val="22"/>
          <w:szCs w:val="22"/>
          <w:lang w:val="en-GB"/>
        </w:rPr>
        <w:t>Bulgarelli</w:t>
      </w:r>
      <w:proofErr w:type="spellEnd"/>
      <w:r w:rsidRPr="00C72925">
        <w:rPr>
          <w:sz w:val="22"/>
          <w:szCs w:val="22"/>
          <w:lang w:val="en-GB"/>
        </w:rPr>
        <w:t xml:space="preserve">, D., </w:t>
      </w:r>
      <w:proofErr w:type="spellStart"/>
      <w:r w:rsidRPr="00C72925">
        <w:rPr>
          <w:sz w:val="22"/>
          <w:szCs w:val="22"/>
          <w:lang w:val="en-GB"/>
        </w:rPr>
        <w:t>Schlaeppi</w:t>
      </w:r>
      <w:proofErr w:type="spellEnd"/>
      <w:r w:rsidRPr="00C72925">
        <w:rPr>
          <w:sz w:val="22"/>
          <w:szCs w:val="22"/>
          <w:lang w:val="en-GB"/>
        </w:rPr>
        <w:t xml:space="preserve">, K., </w:t>
      </w:r>
      <w:proofErr w:type="spellStart"/>
      <w:r w:rsidRPr="00C72925">
        <w:rPr>
          <w:sz w:val="22"/>
          <w:szCs w:val="22"/>
          <w:lang w:val="en-GB"/>
        </w:rPr>
        <w:t>Spaepen</w:t>
      </w:r>
      <w:proofErr w:type="spellEnd"/>
      <w:r w:rsidRPr="00C72925">
        <w:rPr>
          <w:sz w:val="22"/>
          <w:szCs w:val="22"/>
          <w:lang w:val="en-GB"/>
        </w:rPr>
        <w:t xml:space="preserve">, S., Ver Loren van </w:t>
      </w:r>
      <w:proofErr w:type="spellStart"/>
      <w:r w:rsidRPr="00C72925">
        <w:rPr>
          <w:sz w:val="22"/>
          <w:szCs w:val="22"/>
          <w:lang w:val="en-GB"/>
        </w:rPr>
        <w:t>Themaat</w:t>
      </w:r>
      <w:proofErr w:type="spellEnd"/>
      <w:r w:rsidRPr="00C72925">
        <w:rPr>
          <w:sz w:val="22"/>
          <w:szCs w:val="22"/>
          <w:lang w:val="en-GB"/>
        </w:rPr>
        <w:t>, E., &amp; Schulze-</w:t>
      </w:r>
      <w:proofErr w:type="spellStart"/>
      <w:r w:rsidRPr="00C72925">
        <w:rPr>
          <w:sz w:val="22"/>
          <w:szCs w:val="22"/>
          <w:lang w:val="en-GB"/>
        </w:rPr>
        <w:t>Lefert</w:t>
      </w:r>
      <w:proofErr w:type="spellEnd"/>
      <w:r w:rsidRPr="00C72925">
        <w:rPr>
          <w:sz w:val="22"/>
          <w:szCs w:val="22"/>
          <w:lang w:val="en-GB"/>
        </w:rPr>
        <w:t xml:space="preserve">, P. (2013). Structure and functions of the bacterial microbiota of plants. </w:t>
      </w:r>
      <w:r w:rsidRPr="00C72925">
        <w:rPr>
          <w:i/>
          <w:iCs/>
          <w:sz w:val="22"/>
          <w:szCs w:val="22"/>
          <w:lang w:val="en-GB"/>
        </w:rPr>
        <w:t>Annual Review of Plant Biology</w:t>
      </w:r>
      <w:r w:rsidRPr="00C72925">
        <w:rPr>
          <w:sz w:val="22"/>
          <w:szCs w:val="22"/>
          <w:lang w:val="en-GB"/>
        </w:rPr>
        <w:t xml:space="preserve">, </w:t>
      </w:r>
      <w:r w:rsidRPr="00C72925">
        <w:rPr>
          <w:i/>
          <w:iCs/>
          <w:sz w:val="22"/>
          <w:szCs w:val="22"/>
          <w:lang w:val="en-GB"/>
        </w:rPr>
        <w:t>64</w:t>
      </w:r>
      <w:r w:rsidRPr="00C72925">
        <w:rPr>
          <w:sz w:val="22"/>
          <w:szCs w:val="22"/>
          <w:lang w:val="en-GB"/>
        </w:rPr>
        <w:t>, 807–838. https://doi.org/10.1146/annurev-arplant-050312-120106</w:t>
      </w:r>
    </w:p>
    <w:p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Chaparro, J. M., Badri, D. V., &amp; </w:t>
      </w:r>
      <w:proofErr w:type="spellStart"/>
      <w:r w:rsidRPr="00C72925">
        <w:rPr>
          <w:sz w:val="22"/>
          <w:szCs w:val="22"/>
          <w:lang w:val="en-GB"/>
        </w:rPr>
        <w:t>Vivanco</w:t>
      </w:r>
      <w:proofErr w:type="spellEnd"/>
      <w:r w:rsidRPr="00C72925">
        <w:rPr>
          <w:sz w:val="22"/>
          <w:szCs w:val="22"/>
          <w:lang w:val="en-GB"/>
        </w:rPr>
        <w:t xml:space="preserve">, J. M. (2014). Rhizosphere microbiome assemblage is affected by plant development. </w:t>
      </w:r>
      <w:r w:rsidRPr="00C72925">
        <w:rPr>
          <w:i/>
          <w:iCs/>
          <w:sz w:val="22"/>
          <w:szCs w:val="22"/>
          <w:lang w:val="en-GB"/>
        </w:rPr>
        <w:t>The ISME Journal</w:t>
      </w:r>
      <w:r w:rsidRPr="00C72925">
        <w:rPr>
          <w:sz w:val="22"/>
          <w:szCs w:val="22"/>
          <w:lang w:val="en-GB"/>
        </w:rPr>
        <w:t xml:space="preserve">, </w:t>
      </w:r>
      <w:r w:rsidRPr="00C72925">
        <w:rPr>
          <w:i/>
          <w:iCs/>
          <w:sz w:val="22"/>
          <w:szCs w:val="22"/>
          <w:lang w:val="en-GB"/>
        </w:rPr>
        <w:t>8</w:t>
      </w:r>
      <w:r w:rsidRPr="00C72925">
        <w:rPr>
          <w:sz w:val="22"/>
          <w:szCs w:val="22"/>
          <w:lang w:val="en-GB"/>
        </w:rPr>
        <w:t>(4), 790–803. https://doi.org/10.1038/ismej.2013.196</w:t>
      </w:r>
    </w:p>
    <w:p w:rsidR="00650D96" w:rsidRPr="00C72925" w:rsidRDefault="00C72925" w:rsidP="00C72925">
      <w:pPr>
        <w:spacing w:before="100" w:beforeAutospacing="1" w:after="100" w:afterAutospacing="1"/>
        <w:ind w:left="720" w:hanging="720"/>
        <w:rPr>
          <w:lang w:val="en-GB"/>
        </w:rPr>
      </w:pPr>
      <w:proofErr w:type="spellStart"/>
      <w:r w:rsidRPr="00C72925">
        <w:rPr>
          <w:sz w:val="22"/>
          <w:szCs w:val="22"/>
          <w:lang w:val="en-GB"/>
        </w:rPr>
        <w:t>Compant</w:t>
      </w:r>
      <w:proofErr w:type="spellEnd"/>
      <w:r w:rsidRPr="00C72925">
        <w:rPr>
          <w:sz w:val="22"/>
          <w:szCs w:val="22"/>
          <w:lang w:val="en-GB"/>
        </w:rPr>
        <w:t xml:space="preserve">, S., Clément, C., &amp; </w:t>
      </w:r>
      <w:proofErr w:type="spellStart"/>
      <w:r w:rsidRPr="00C72925">
        <w:rPr>
          <w:sz w:val="22"/>
          <w:szCs w:val="22"/>
          <w:lang w:val="en-GB"/>
        </w:rPr>
        <w:t>Sessitsch</w:t>
      </w:r>
      <w:proofErr w:type="spellEnd"/>
      <w:r w:rsidRPr="00C72925">
        <w:rPr>
          <w:sz w:val="22"/>
          <w:szCs w:val="22"/>
          <w:lang w:val="en-GB"/>
        </w:rPr>
        <w:t xml:space="preserve">, A. (2010). Plant growth-promoting bacteria in the rhizo- and </w:t>
      </w:r>
      <w:proofErr w:type="spellStart"/>
      <w:r w:rsidRPr="00C72925">
        <w:rPr>
          <w:sz w:val="22"/>
          <w:szCs w:val="22"/>
          <w:lang w:val="en-GB"/>
        </w:rPr>
        <w:t>endosphere</w:t>
      </w:r>
      <w:proofErr w:type="spellEnd"/>
      <w:r w:rsidRPr="00C72925">
        <w:rPr>
          <w:sz w:val="22"/>
          <w:szCs w:val="22"/>
          <w:lang w:val="en-GB"/>
        </w:rPr>
        <w:t xml:space="preserve"> of plants: Their role, colonization, mechanisms involved and prospects for utilization. </w:t>
      </w:r>
      <w:r w:rsidRPr="00C72925">
        <w:rPr>
          <w:i/>
          <w:iCs/>
          <w:sz w:val="22"/>
          <w:szCs w:val="22"/>
          <w:lang w:val="en-GB"/>
        </w:rPr>
        <w:t>Soil Biology and Biochemistry</w:t>
      </w:r>
      <w:r w:rsidRPr="00C72925">
        <w:rPr>
          <w:sz w:val="22"/>
          <w:szCs w:val="22"/>
          <w:lang w:val="en-GB"/>
        </w:rPr>
        <w:t xml:space="preserve">, </w:t>
      </w:r>
      <w:r w:rsidRPr="00C72925">
        <w:rPr>
          <w:i/>
          <w:iCs/>
          <w:sz w:val="22"/>
          <w:szCs w:val="22"/>
          <w:lang w:val="en-GB"/>
        </w:rPr>
        <w:t>42</w:t>
      </w:r>
      <w:r w:rsidRPr="00C72925">
        <w:rPr>
          <w:sz w:val="22"/>
          <w:szCs w:val="22"/>
          <w:lang w:val="en-GB"/>
        </w:rPr>
        <w:t>(5), 669–678. https://doi.org/10.1016/j.soilbio.2009.11.024</w:t>
      </w:r>
    </w:p>
    <w:p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Food and Agriculture Organization of the United Nations (FAO). (2015). </w:t>
      </w:r>
      <w:r w:rsidRPr="00C72925">
        <w:rPr>
          <w:i/>
          <w:iCs/>
          <w:sz w:val="22"/>
          <w:szCs w:val="22"/>
          <w:lang w:val="en-GB"/>
        </w:rPr>
        <w:t>Status of the world’s soil resources</w:t>
      </w:r>
      <w:r w:rsidRPr="00C72925">
        <w:rPr>
          <w:sz w:val="22"/>
          <w:szCs w:val="22"/>
          <w:lang w:val="en-GB"/>
        </w:rPr>
        <w:t>. FAO. https://www.fao.org/3/i5199e/i5199e.pdf</w:t>
      </w:r>
    </w:p>
    <w:p w:rsidR="00650D96" w:rsidRPr="00C72925" w:rsidRDefault="00C72925" w:rsidP="00C72925">
      <w:pPr>
        <w:spacing w:before="100" w:beforeAutospacing="1" w:after="100" w:afterAutospacing="1"/>
        <w:ind w:left="720" w:hanging="720"/>
        <w:rPr>
          <w:lang w:val="en-GB"/>
        </w:rPr>
      </w:pPr>
      <w:proofErr w:type="spellStart"/>
      <w:r w:rsidRPr="00C72925">
        <w:rPr>
          <w:sz w:val="22"/>
          <w:szCs w:val="22"/>
          <w:lang w:val="en-GB"/>
        </w:rPr>
        <w:t>Fierer</w:t>
      </w:r>
      <w:proofErr w:type="spellEnd"/>
      <w:r w:rsidRPr="00C72925">
        <w:rPr>
          <w:sz w:val="22"/>
          <w:szCs w:val="22"/>
          <w:lang w:val="en-GB"/>
        </w:rPr>
        <w:t xml:space="preserve">, N. (2017). Embracing the unknown: Disentangling the complexities of the soil microbiome. </w:t>
      </w:r>
      <w:r w:rsidRPr="00C72925">
        <w:rPr>
          <w:i/>
          <w:iCs/>
          <w:sz w:val="22"/>
          <w:szCs w:val="22"/>
          <w:lang w:val="en-GB"/>
        </w:rPr>
        <w:t>Nature Reviews Microbiology</w:t>
      </w:r>
      <w:r w:rsidRPr="00C72925">
        <w:rPr>
          <w:sz w:val="22"/>
          <w:szCs w:val="22"/>
          <w:lang w:val="en-GB"/>
        </w:rPr>
        <w:t xml:space="preserve">, </w:t>
      </w:r>
      <w:r w:rsidRPr="00C72925">
        <w:rPr>
          <w:i/>
          <w:iCs/>
          <w:sz w:val="22"/>
          <w:szCs w:val="22"/>
          <w:lang w:val="en-GB"/>
        </w:rPr>
        <w:t>15</w:t>
      </w:r>
      <w:r w:rsidRPr="00C72925">
        <w:rPr>
          <w:sz w:val="22"/>
          <w:szCs w:val="22"/>
          <w:lang w:val="en-GB"/>
        </w:rPr>
        <w:t>(10), 579–590. https://doi.org/10.1038/nrmicro.2017.87</w:t>
      </w:r>
    </w:p>
    <w:p w:rsidR="00650D96" w:rsidRPr="00C72925" w:rsidRDefault="00C72925" w:rsidP="00C72925">
      <w:pPr>
        <w:spacing w:before="100" w:beforeAutospacing="1" w:after="100" w:afterAutospacing="1"/>
        <w:ind w:left="720" w:hanging="720"/>
        <w:rPr>
          <w:lang w:val="en-GB"/>
        </w:rPr>
      </w:pPr>
      <w:proofErr w:type="spellStart"/>
      <w:r w:rsidRPr="00C72925">
        <w:rPr>
          <w:sz w:val="22"/>
          <w:szCs w:val="22"/>
          <w:lang w:val="en-GB"/>
        </w:rPr>
        <w:t>Lugtenberg</w:t>
      </w:r>
      <w:proofErr w:type="spellEnd"/>
      <w:r w:rsidRPr="00C72925">
        <w:rPr>
          <w:sz w:val="22"/>
          <w:szCs w:val="22"/>
          <w:lang w:val="en-GB"/>
        </w:rPr>
        <w:t xml:space="preserve">, B., &amp; </w:t>
      </w:r>
      <w:proofErr w:type="spellStart"/>
      <w:r w:rsidRPr="00C72925">
        <w:rPr>
          <w:sz w:val="22"/>
          <w:szCs w:val="22"/>
          <w:lang w:val="en-GB"/>
        </w:rPr>
        <w:t>Kamilova</w:t>
      </w:r>
      <w:proofErr w:type="spellEnd"/>
      <w:r w:rsidRPr="00C72925">
        <w:rPr>
          <w:sz w:val="22"/>
          <w:szCs w:val="22"/>
          <w:lang w:val="en-GB"/>
        </w:rPr>
        <w:t xml:space="preserve">, F. (2009). Plant-growth-promoting rhizobacteria. </w:t>
      </w:r>
      <w:r w:rsidRPr="00C72925">
        <w:rPr>
          <w:i/>
          <w:iCs/>
          <w:sz w:val="22"/>
          <w:szCs w:val="22"/>
          <w:lang w:val="en-GB"/>
        </w:rPr>
        <w:t>Annual Review of Microbiology</w:t>
      </w:r>
      <w:r w:rsidRPr="00C72925">
        <w:rPr>
          <w:sz w:val="22"/>
          <w:szCs w:val="22"/>
          <w:lang w:val="en-GB"/>
        </w:rPr>
        <w:t xml:space="preserve">, </w:t>
      </w:r>
      <w:r w:rsidRPr="00C72925">
        <w:rPr>
          <w:i/>
          <w:iCs/>
          <w:sz w:val="22"/>
          <w:szCs w:val="22"/>
          <w:lang w:val="en-GB"/>
        </w:rPr>
        <w:t>63</w:t>
      </w:r>
      <w:r w:rsidRPr="00C72925">
        <w:rPr>
          <w:sz w:val="22"/>
          <w:szCs w:val="22"/>
          <w:lang w:val="en-GB"/>
        </w:rPr>
        <w:t>, 541–556. https://doi.org/10.1146/annurev.micro.62.081307.162918</w:t>
      </w:r>
    </w:p>
    <w:p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Lundberg, D. S., </w:t>
      </w:r>
      <w:proofErr w:type="spellStart"/>
      <w:r w:rsidRPr="00C72925">
        <w:rPr>
          <w:sz w:val="22"/>
          <w:szCs w:val="22"/>
          <w:lang w:val="en-GB"/>
        </w:rPr>
        <w:t>Lebeis</w:t>
      </w:r>
      <w:proofErr w:type="spellEnd"/>
      <w:r w:rsidRPr="00C72925">
        <w:rPr>
          <w:sz w:val="22"/>
          <w:szCs w:val="22"/>
          <w:lang w:val="en-GB"/>
        </w:rPr>
        <w:t xml:space="preserve">, S. L., Herrera Paredes, S., </w:t>
      </w:r>
      <w:proofErr w:type="spellStart"/>
      <w:r w:rsidRPr="00C72925">
        <w:rPr>
          <w:sz w:val="22"/>
          <w:szCs w:val="22"/>
          <w:lang w:val="en-GB"/>
        </w:rPr>
        <w:t>Yourstone</w:t>
      </w:r>
      <w:proofErr w:type="spellEnd"/>
      <w:r w:rsidRPr="00C72925">
        <w:rPr>
          <w:sz w:val="22"/>
          <w:szCs w:val="22"/>
          <w:lang w:val="en-GB"/>
        </w:rPr>
        <w:t xml:space="preserve">, S., Gehring, J., Malfatti, S., Tremblay, J., </w:t>
      </w:r>
      <w:proofErr w:type="spellStart"/>
      <w:r w:rsidRPr="00C72925">
        <w:rPr>
          <w:sz w:val="22"/>
          <w:szCs w:val="22"/>
          <w:lang w:val="en-GB"/>
        </w:rPr>
        <w:t>Engelbrektson</w:t>
      </w:r>
      <w:proofErr w:type="spellEnd"/>
      <w:r w:rsidRPr="00C72925">
        <w:rPr>
          <w:sz w:val="22"/>
          <w:szCs w:val="22"/>
          <w:lang w:val="en-GB"/>
        </w:rPr>
        <w:t xml:space="preserve">, A., </w:t>
      </w:r>
      <w:proofErr w:type="spellStart"/>
      <w:r w:rsidRPr="00C72925">
        <w:rPr>
          <w:sz w:val="22"/>
          <w:szCs w:val="22"/>
          <w:lang w:val="en-GB"/>
        </w:rPr>
        <w:t>Kunin</w:t>
      </w:r>
      <w:proofErr w:type="spellEnd"/>
      <w:r w:rsidRPr="00C72925">
        <w:rPr>
          <w:sz w:val="22"/>
          <w:szCs w:val="22"/>
          <w:lang w:val="en-GB"/>
        </w:rPr>
        <w:t xml:space="preserve">, V., </w:t>
      </w:r>
      <w:proofErr w:type="spellStart"/>
      <w:r w:rsidRPr="00C72925">
        <w:rPr>
          <w:sz w:val="22"/>
          <w:szCs w:val="22"/>
          <w:lang w:val="en-GB"/>
        </w:rPr>
        <w:t>Glavina</w:t>
      </w:r>
      <w:proofErr w:type="spellEnd"/>
      <w:r w:rsidRPr="00C72925">
        <w:rPr>
          <w:sz w:val="22"/>
          <w:szCs w:val="22"/>
          <w:lang w:val="en-GB"/>
        </w:rPr>
        <w:t xml:space="preserve"> del Rio, T., Edgar, R. C., </w:t>
      </w:r>
      <w:proofErr w:type="spellStart"/>
      <w:r w:rsidRPr="00C72925">
        <w:rPr>
          <w:sz w:val="22"/>
          <w:szCs w:val="22"/>
          <w:lang w:val="en-GB"/>
        </w:rPr>
        <w:t>Eickhorst</w:t>
      </w:r>
      <w:proofErr w:type="spellEnd"/>
      <w:r w:rsidRPr="00C72925">
        <w:rPr>
          <w:sz w:val="22"/>
          <w:szCs w:val="22"/>
          <w:lang w:val="en-GB"/>
        </w:rPr>
        <w:t xml:space="preserve">, T., Ley, R. E., </w:t>
      </w:r>
      <w:proofErr w:type="spellStart"/>
      <w:r w:rsidRPr="00C72925">
        <w:rPr>
          <w:sz w:val="22"/>
          <w:szCs w:val="22"/>
          <w:lang w:val="en-GB"/>
        </w:rPr>
        <w:t>Hugenholtz</w:t>
      </w:r>
      <w:proofErr w:type="spellEnd"/>
      <w:r w:rsidRPr="00C72925">
        <w:rPr>
          <w:sz w:val="22"/>
          <w:szCs w:val="22"/>
          <w:lang w:val="en-GB"/>
        </w:rPr>
        <w:t xml:space="preserve">, P., </w:t>
      </w:r>
      <w:proofErr w:type="spellStart"/>
      <w:r w:rsidRPr="00C72925">
        <w:rPr>
          <w:sz w:val="22"/>
          <w:szCs w:val="22"/>
          <w:lang w:val="en-GB"/>
        </w:rPr>
        <w:t>Tringe</w:t>
      </w:r>
      <w:proofErr w:type="spellEnd"/>
      <w:r w:rsidRPr="00C72925">
        <w:rPr>
          <w:sz w:val="22"/>
          <w:szCs w:val="22"/>
          <w:lang w:val="en-GB"/>
        </w:rPr>
        <w:t xml:space="preserve">, S. G., &amp; </w:t>
      </w:r>
      <w:proofErr w:type="spellStart"/>
      <w:r w:rsidRPr="00C72925">
        <w:rPr>
          <w:sz w:val="22"/>
          <w:szCs w:val="22"/>
          <w:lang w:val="en-GB"/>
        </w:rPr>
        <w:t>Dangl</w:t>
      </w:r>
      <w:proofErr w:type="spellEnd"/>
      <w:r w:rsidRPr="00C72925">
        <w:rPr>
          <w:sz w:val="22"/>
          <w:szCs w:val="22"/>
          <w:lang w:val="en-GB"/>
        </w:rPr>
        <w:t xml:space="preserve">, J. L. (2012). Defining the core </w:t>
      </w:r>
      <w:r w:rsidRPr="00C72925">
        <w:rPr>
          <w:i/>
          <w:iCs/>
          <w:sz w:val="22"/>
          <w:szCs w:val="22"/>
          <w:lang w:val="en-GB"/>
        </w:rPr>
        <w:t>Arabidopsis thaliana</w:t>
      </w:r>
      <w:r w:rsidRPr="00C72925">
        <w:rPr>
          <w:sz w:val="22"/>
          <w:szCs w:val="22"/>
          <w:lang w:val="en-GB"/>
        </w:rPr>
        <w:t xml:space="preserve"> root microbiome. </w:t>
      </w:r>
      <w:r w:rsidRPr="00C72925">
        <w:rPr>
          <w:i/>
          <w:iCs/>
          <w:sz w:val="22"/>
          <w:szCs w:val="22"/>
          <w:lang w:val="en-GB"/>
        </w:rPr>
        <w:t>Nature</w:t>
      </w:r>
      <w:r w:rsidRPr="00C72925">
        <w:rPr>
          <w:sz w:val="22"/>
          <w:szCs w:val="22"/>
          <w:lang w:val="en-GB"/>
        </w:rPr>
        <w:t xml:space="preserve">, </w:t>
      </w:r>
      <w:r w:rsidRPr="00C72925">
        <w:rPr>
          <w:i/>
          <w:iCs/>
          <w:sz w:val="22"/>
          <w:szCs w:val="22"/>
          <w:lang w:val="en-GB"/>
        </w:rPr>
        <w:t>488</w:t>
      </w:r>
      <w:r w:rsidRPr="00C72925">
        <w:rPr>
          <w:sz w:val="22"/>
          <w:szCs w:val="22"/>
          <w:lang w:val="en-GB"/>
        </w:rPr>
        <w:t>(7409), 86–90. https://doi.org/10.1038/nature11237</w:t>
      </w:r>
    </w:p>
    <w:p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Mendes, R., </w:t>
      </w:r>
      <w:proofErr w:type="spellStart"/>
      <w:r w:rsidRPr="00C72925">
        <w:rPr>
          <w:sz w:val="22"/>
          <w:szCs w:val="22"/>
          <w:lang w:val="en-GB"/>
        </w:rPr>
        <w:t>Kruijt</w:t>
      </w:r>
      <w:proofErr w:type="spellEnd"/>
      <w:r w:rsidRPr="00C72925">
        <w:rPr>
          <w:sz w:val="22"/>
          <w:szCs w:val="22"/>
          <w:lang w:val="en-GB"/>
        </w:rPr>
        <w:t xml:space="preserve">, M., de </w:t>
      </w:r>
      <w:proofErr w:type="spellStart"/>
      <w:r w:rsidRPr="00C72925">
        <w:rPr>
          <w:sz w:val="22"/>
          <w:szCs w:val="22"/>
          <w:lang w:val="en-GB"/>
        </w:rPr>
        <w:t>Bruijn</w:t>
      </w:r>
      <w:proofErr w:type="spellEnd"/>
      <w:r w:rsidRPr="00C72925">
        <w:rPr>
          <w:sz w:val="22"/>
          <w:szCs w:val="22"/>
          <w:lang w:val="en-GB"/>
        </w:rPr>
        <w:t xml:space="preserve">, I., </w:t>
      </w:r>
      <w:proofErr w:type="spellStart"/>
      <w:r w:rsidRPr="00C72925">
        <w:rPr>
          <w:sz w:val="22"/>
          <w:szCs w:val="22"/>
          <w:lang w:val="en-GB"/>
        </w:rPr>
        <w:t>Dekkers</w:t>
      </w:r>
      <w:proofErr w:type="spellEnd"/>
      <w:r w:rsidRPr="00C72925">
        <w:rPr>
          <w:sz w:val="22"/>
          <w:szCs w:val="22"/>
          <w:lang w:val="en-GB"/>
        </w:rPr>
        <w:t xml:space="preserve">, E., van der </w:t>
      </w:r>
      <w:proofErr w:type="spellStart"/>
      <w:r w:rsidRPr="00C72925">
        <w:rPr>
          <w:sz w:val="22"/>
          <w:szCs w:val="22"/>
          <w:lang w:val="en-GB"/>
        </w:rPr>
        <w:t>Voort</w:t>
      </w:r>
      <w:proofErr w:type="spellEnd"/>
      <w:r w:rsidRPr="00C72925">
        <w:rPr>
          <w:sz w:val="22"/>
          <w:szCs w:val="22"/>
          <w:lang w:val="en-GB"/>
        </w:rPr>
        <w:t xml:space="preserve">, M., Schneider, J. H. M., Piceno, Y. M., DeSantis, T. Z., Andersen, G. L., Bakker, P. A. H. M., &amp; </w:t>
      </w:r>
      <w:proofErr w:type="spellStart"/>
      <w:r w:rsidRPr="00C72925">
        <w:rPr>
          <w:sz w:val="22"/>
          <w:szCs w:val="22"/>
          <w:lang w:val="en-GB"/>
        </w:rPr>
        <w:t>Raaijmakers</w:t>
      </w:r>
      <w:proofErr w:type="spellEnd"/>
      <w:r w:rsidRPr="00C72925">
        <w:rPr>
          <w:sz w:val="22"/>
          <w:szCs w:val="22"/>
          <w:lang w:val="en-GB"/>
        </w:rPr>
        <w:t xml:space="preserve">, J. M. (2011). Deciphering the rhizosphere microbiome for disease-suppressive bacteria. </w:t>
      </w:r>
      <w:r w:rsidRPr="00C72925">
        <w:rPr>
          <w:i/>
          <w:iCs/>
          <w:sz w:val="22"/>
          <w:szCs w:val="22"/>
          <w:lang w:val="en-GB"/>
        </w:rPr>
        <w:t>Science</w:t>
      </w:r>
      <w:r w:rsidRPr="00C72925">
        <w:rPr>
          <w:sz w:val="22"/>
          <w:szCs w:val="22"/>
          <w:lang w:val="en-GB"/>
        </w:rPr>
        <w:t xml:space="preserve">, </w:t>
      </w:r>
      <w:r w:rsidRPr="00C72925">
        <w:rPr>
          <w:i/>
          <w:iCs/>
          <w:sz w:val="22"/>
          <w:szCs w:val="22"/>
          <w:lang w:val="en-GB"/>
        </w:rPr>
        <w:t>332</w:t>
      </w:r>
      <w:r w:rsidRPr="00C72925">
        <w:rPr>
          <w:sz w:val="22"/>
          <w:szCs w:val="22"/>
          <w:lang w:val="en-GB"/>
        </w:rPr>
        <w:t>(6033), 1097–1100. https://doi.org/10.1126/science.1203980</w:t>
      </w:r>
    </w:p>
    <w:p w:rsidR="00650D96" w:rsidRPr="00C72925" w:rsidRDefault="00C72925" w:rsidP="00C72925">
      <w:pPr>
        <w:spacing w:before="100" w:beforeAutospacing="1" w:after="100" w:afterAutospacing="1"/>
        <w:ind w:left="720" w:hanging="720"/>
        <w:rPr>
          <w:lang w:val="en-GB"/>
        </w:rPr>
      </w:pPr>
      <w:proofErr w:type="spellStart"/>
      <w:r w:rsidRPr="00C72925">
        <w:rPr>
          <w:sz w:val="22"/>
          <w:szCs w:val="22"/>
          <w:lang w:val="en-GB"/>
        </w:rPr>
        <w:t>Philippot</w:t>
      </w:r>
      <w:proofErr w:type="spellEnd"/>
      <w:r w:rsidRPr="00C72925">
        <w:rPr>
          <w:sz w:val="22"/>
          <w:szCs w:val="22"/>
          <w:lang w:val="en-GB"/>
        </w:rPr>
        <w:t xml:space="preserve">, L., </w:t>
      </w:r>
      <w:proofErr w:type="spellStart"/>
      <w:r w:rsidRPr="00C72925">
        <w:rPr>
          <w:sz w:val="22"/>
          <w:szCs w:val="22"/>
          <w:lang w:val="en-GB"/>
        </w:rPr>
        <w:t>Raaijmakers</w:t>
      </w:r>
      <w:proofErr w:type="spellEnd"/>
      <w:r w:rsidRPr="00C72925">
        <w:rPr>
          <w:sz w:val="22"/>
          <w:szCs w:val="22"/>
          <w:lang w:val="en-GB"/>
        </w:rPr>
        <w:t xml:space="preserve">, J. M., </w:t>
      </w:r>
      <w:proofErr w:type="spellStart"/>
      <w:r w:rsidRPr="00C72925">
        <w:rPr>
          <w:sz w:val="22"/>
          <w:szCs w:val="22"/>
          <w:lang w:val="en-GB"/>
        </w:rPr>
        <w:t>Lemanceau</w:t>
      </w:r>
      <w:proofErr w:type="spellEnd"/>
      <w:r w:rsidRPr="00C72925">
        <w:rPr>
          <w:sz w:val="22"/>
          <w:szCs w:val="22"/>
          <w:lang w:val="en-GB"/>
        </w:rPr>
        <w:t xml:space="preserve">, P., &amp; van der </w:t>
      </w:r>
      <w:proofErr w:type="spellStart"/>
      <w:r w:rsidRPr="00C72925">
        <w:rPr>
          <w:sz w:val="22"/>
          <w:szCs w:val="22"/>
          <w:lang w:val="en-GB"/>
        </w:rPr>
        <w:t>Putten</w:t>
      </w:r>
      <w:proofErr w:type="spellEnd"/>
      <w:r w:rsidRPr="00C72925">
        <w:rPr>
          <w:sz w:val="22"/>
          <w:szCs w:val="22"/>
          <w:lang w:val="en-GB"/>
        </w:rPr>
        <w:t xml:space="preserve">, W. H. (2013). Going back to the roots: The microbial ecology of the rhizosphere. </w:t>
      </w:r>
      <w:r w:rsidRPr="00C72925">
        <w:rPr>
          <w:i/>
          <w:iCs/>
          <w:sz w:val="22"/>
          <w:szCs w:val="22"/>
          <w:lang w:val="en-GB"/>
        </w:rPr>
        <w:t>Nature Reviews Microbiology</w:t>
      </w:r>
      <w:r w:rsidRPr="00C72925">
        <w:rPr>
          <w:sz w:val="22"/>
          <w:szCs w:val="22"/>
          <w:lang w:val="en-GB"/>
        </w:rPr>
        <w:t xml:space="preserve">, </w:t>
      </w:r>
      <w:r w:rsidRPr="00C72925">
        <w:rPr>
          <w:i/>
          <w:iCs/>
          <w:sz w:val="22"/>
          <w:szCs w:val="22"/>
          <w:lang w:val="en-GB"/>
        </w:rPr>
        <w:t>11</w:t>
      </w:r>
      <w:r w:rsidRPr="00C72925">
        <w:rPr>
          <w:sz w:val="22"/>
          <w:szCs w:val="22"/>
          <w:lang w:val="en-GB"/>
        </w:rPr>
        <w:t>(11), 789–799. https://doi.org/10.1038/nrmicro3109</w:t>
      </w:r>
    </w:p>
    <w:p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Pieterse, C. M. J., Van der Does, D., </w:t>
      </w:r>
      <w:proofErr w:type="spellStart"/>
      <w:r w:rsidRPr="00C72925">
        <w:rPr>
          <w:sz w:val="22"/>
          <w:szCs w:val="22"/>
          <w:lang w:val="en-GB"/>
        </w:rPr>
        <w:t>Zamioudis</w:t>
      </w:r>
      <w:proofErr w:type="spellEnd"/>
      <w:r w:rsidRPr="00C72925">
        <w:rPr>
          <w:sz w:val="22"/>
          <w:szCs w:val="22"/>
          <w:lang w:val="en-GB"/>
        </w:rPr>
        <w:t xml:space="preserve">, C., Leon-Reyes, A., &amp; Van Wees, S. C. M. (2012). Hormonal modulation of plant immunity. </w:t>
      </w:r>
      <w:r w:rsidRPr="00C72925">
        <w:rPr>
          <w:i/>
          <w:iCs/>
          <w:sz w:val="22"/>
          <w:szCs w:val="22"/>
          <w:lang w:val="en-GB"/>
        </w:rPr>
        <w:t>Annual Review of Cell and Developmental Biology</w:t>
      </w:r>
      <w:r w:rsidRPr="00C72925">
        <w:rPr>
          <w:sz w:val="22"/>
          <w:szCs w:val="22"/>
          <w:lang w:val="en-GB"/>
        </w:rPr>
        <w:t xml:space="preserve">, </w:t>
      </w:r>
      <w:r w:rsidRPr="00C72925">
        <w:rPr>
          <w:i/>
          <w:iCs/>
          <w:sz w:val="22"/>
          <w:szCs w:val="22"/>
          <w:lang w:val="en-GB"/>
        </w:rPr>
        <w:t>28</w:t>
      </w:r>
      <w:r w:rsidRPr="00C72925">
        <w:rPr>
          <w:sz w:val="22"/>
          <w:szCs w:val="22"/>
          <w:lang w:val="en-GB"/>
        </w:rPr>
        <w:t>, 489–521. https://doi.org/10.1146/annurev-cellbio-092910-154055</w:t>
      </w:r>
    </w:p>
    <w:p w:rsidR="00650D96" w:rsidRPr="00C72925" w:rsidRDefault="00C72925" w:rsidP="00C72925">
      <w:pPr>
        <w:spacing w:before="100" w:beforeAutospacing="1" w:after="100" w:afterAutospacing="1"/>
        <w:ind w:left="720" w:hanging="720"/>
        <w:rPr>
          <w:lang w:val="en-GB"/>
        </w:rPr>
      </w:pPr>
      <w:r w:rsidRPr="00C72925">
        <w:rPr>
          <w:sz w:val="22"/>
          <w:szCs w:val="22"/>
          <w:lang w:val="en-GB"/>
        </w:rPr>
        <w:lastRenderedPageBreak/>
        <w:t xml:space="preserve">Trivedi, P., Leach, J. E., </w:t>
      </w:r>
      <w:proofErr w:type="spellStart"/>
      <w:r w:rsidRPr="00C72925">
        <w:rPr>
          <w:sz w:val="22"/>
          <w:szCs w:val="22"/>
          <w:lang w:val="en-GB"/>
        </w:rPr>
        <w:t>Tringe</w:t>
      </w:r>
      <w:proofErr w:type="spellEnd"/>
      <w:r w:rsidRPr="00C72925">
        <w:rPr>
          <w:sz w:val="22"/>
          <w:szCs w:val="22"/>
          <w:lang w:val="en-GB"/>
        </w:rPr>
        <w:t xml:space="preserve">, S. G., Sa, T., &amp; Singh, B. K. (2020). Plant–microbiome interactions: From community assembly to plant health. </w:t>
      </w:r>
      <w:r w:rsidRPr="00C72925">
        <w:rPr>
          <w:i/>
          <w:iCs/>
          <w:sz w:val="22"/>
          <w:szCs w:val="22"/>
          <w:lang w:val="en-GB"/>
        </w:rPr>
        <w:t>Nature Reviews Microbiology</w:t>
      </w:r>
      <w:r w:rsidRPr="00C72925">
        <w:rPr>
          <w:sz w:val="22"/>
          <w:szCs w:val="22"/>
          <w:lang w:val="en-GB"/>
        </w:rPr>
        <w:t xml:space="preserve">, </w:t>
      </w:r>
      <w:r w:rsidRPr="00C72925">
        <w:rPr>
          <w:i/>
          <w:iCs/>
          <w:sz w:val="22"/>
          <w:szCs w:val="22"/>
          <w:lang w:val="en-GB"/>
        </w:rPr>
        <w:t>18</w:t>
      </w:r>
      <w:r w:rsidRPr="00C72925">
        <w:rPr>
          <w:sz w:val="22"/>
          <w:szCs w:val="22"/>
          <w:lang w:val="en-GB"/>
        </w:rPr>
        <w:t>(11), 607–621. https://doi.org/10.1038/s41579-020-0412-1</w:t>
      </w:r>
    </w:p>
    <w:p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Trivedi, P., </w:t>
      </w:r>
      <w:proofErr w:type="spellStart"/>
      <w:r w:rsidRPr="00C72925">
        <w:rPr>
          <w:sz w:val="22"/>
          <w:szCs w:val="22"/>
          <w:lang w:val="en-GB"/>
        </w:rPr>
        <w:t>Mattupalli</w:t>
      </w:r>
      <w:proofErr w:type="spellEnd"/>
      <w:r w:rsidRPr="00C72925">
        <w:rPr>
          <w:sz w:val="22"/>
          <w:szCs w:val="22"/>
          <w:lang w:val="en-GB"/>
        </w:rPr>
        <w:t xml:space="preserve">, C., Eversole, K., &amp; Leach, J. E. (2021). Enabling sustainable agriculture through understanding and enhancement of microbiomes. </w:t>
      </w:r>
      <w:r w:rsidRPr="00C72925">
        <w:rPr>
          <w:i/>
          <w:iCs/>
          <w:sz w:val="22"/>
          <w:szCs w:val="22"/>
          <w:lang w:val="en-GB"/>
        </w:rPr>
        <w:t xml:space="preserve">New </w:t>
      </w:r>
      <w:proofErr w:type="spellStart"/>
      <w:r w:rsidRPr="00C72925">
        <w:rPr>
          <w:i/>
          <w:iCs/>
          <w:sz w:val="22"/>
          <w:szCs w:val="22"/>
          <w:lang w:val="en-GB"/>
        </w:rPr>
        <w:t>Phytologist</w:t>
      </w:r>
      <w:proofErr w:type="spellEnd"/>
      <w:r w:rsidRPr="00C72925">
        <w:rPr>
          <w:sz w:val="22"/>
          <w:szCs w:val="22"/>
          <w:lang w:val="en-GB"/>
        </w:rPr>
        <w:t xml:space="preserve">, </w:t>
      </w:r>
      <w:r w:rsidRPr="00C72925">
        <w:rPr>
          <w:i/>
          <w:iCs/>
          <w:sz w:val="22"/>
          <w:szCs w:val="22"/>
          <w:lang w:val="en-GB"/>
        </w:rPr>
        <w:t>230</w:t>
      </w:r>
      <w:r w:rsidRPr="00C72925">
        <w:rPr>
          <w:sz w:val="22"/>
          <w:szCs w:val="22"/>
          <w:lang w:val="en-GB"/>
        </w:rPr>
        <w:t>(6), 2129–2147. https://doi.org/10.1111/nph.17319</w:t>
      </w:r>
    </w:p>
    <w:p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Trivedi, P., Batista, B. D., </w:t>
      </w:r>
      <w:proofErr w:type="spellStart"/>
      <w:r w:rsidRPr="00C72925">
        <w:rPr>
          <w:sz w:val="22"/>
          <w:szCs w:val="22"/>
          <w:lang w:val="en-GB"/>
        </w:rPr>
        <w:t>Bazany</w:t>
      </w:r>
      <w:proofErr w:type="spellEnd"/>
      <w:r w:rsidRPr="00C72925">
        <w:rPr>
          <w:sz w:val="22"/>
          <w:szCs w:val="22"/>
          <w:lang w:val="en-GB"/>
        </w:rPr>
        <w:t xml:space="preserve">, K. E., &amp; Singh, B. K. (2022). Plant–microbiome interactions under a changing world: Responses, consequences and perspectives. </w:t>
      </w:r>
      <w:r w:rsidRPr="00C72925">
        <w:rPr>
          <w:i/>
          <w:iCs/>
          <w:sz w:val="22"/>
          <w:szCs w:val="22"/>
          <w:lang w:val="en-GB"/>
        </w:rPr>
        <w:t xml:space="preserve">New </w:t>
      </w:r>
      <w:proofErr w:type="spellStart"/>
      <w:r w:rsidRPr="00C72925">
        <w:rPr>
          <w:i/>
          <w:iCs/>
          <w:sz w:val="22"/>
          <w:szCs w:val="22"/>
          <w:lang w:val="en-GB"/>
        </w:rPr>
        <w:t>Phytologist</w:t>
      </w:r>
      <w:proofErr w:type="spellEnd"/>
      <w:r w:rsidRPr="00C72925">
        <w:rPr>
          <w:sz w:val="22"/>
          <w:szCs w:val="22"/>
          <w:lang w:val="en-GB"/>
        </w:rPr>
        <w:t xml:space="preserve">, </w:t>
      </w:r>
      <w:r w:rsidRPr="00C72925">
        <w:rPr>
          <w:i/>
          <w:iCs/>
          <w:sz w:val="22"/>
          <w:szCs w:val="22"/>
          <w:lang w:val="en-GB"/>
        </w:rPr>
        <w:t>234</w:t>
      </w:r>
      <w:r w:rsidRPr="00C72925">
        <w:rPr>
          <w:sz w:val="22"/>
          <w:szCs w:val="22"/>
          <w:lang w:val="en-GB"/>
        </w:rPr>
        <w:t>(6), 1951–1959. https://doi.org/10.1111/nph.18016</w:t>
      </w:r>
    </w:p>
    <w:p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van der Heijden, M. G. A., </w:t>
      </w:r>
      <w:proofErr w:type="spellStart"/>
      <w:r w:rsidRPr="00C72925">
        <w:rPr>
          <w:sz w:val="22"/>
          <w:szCs w:val="22"/>
          <w:lang w:val="en-GB"/>
        </w:rPr>
        <w:t>Bardgett</w:t>
      </w:r>
      <w:proofErr w:type="spellEnd"/>
      <w:r w:rsidRPr="00C72925">
        <w:rPr>
          <w:sz w:val="22"/>
          <w:szCs w:val="22"/>
          <w:lang w:val="en-GB"/>
        </w:rPr>
        <w:t xml:space="preserve">, R. D., &amp; van </w:t>
      </w:r>
      <w:proofErr w:type="spellStart"/>
      <w:r w:rsidRPr="00C72925">
        <w:rPr>
          <w:sz w:val="22"/>
          <w:szCs w:val="22"/>
          <w:lang w:val="en-GB"/>
        </w:rPr>
        <w:t>Straalen</w:t>
      </w:r>
      <w:proofErr w:type="spellEnd"/>
      <w:r w:rsidRPr="00C72925">
        <w:rPr>
          <w:sz w:val="22"/>
          <w:szCs w:val="22"/>
          <w:lang w:val="en-GB"/>
        </w:rPr>
        <w:t xml:space="preserve">, N. M. (2008). The unseen majority: Soil microbes as drivers of plant diversity and productivity in terrestrial ecosystems. </w:t>
      </w:r>
      <w:r w:rsidRPr="00C72925">
        <w:rPr>
          <w:i/>
          <w:iCs/>
          <w:sz w:val="22"/>
          <w:szCs w:val="22"/>
          <w:lang w:val="en-GB"/>
        </w:rPr>
        <w:t>Ecology Letters</w:t>
      </w:r>
      <w:r w:rsidRPr="00C72925">
        <w:rPr>
          <w:sz w:val="22"/>
          <w:szCs w:val="22"/>
          <w:lang w:val="en-GB"/>
        </w:rPr>
        <w:t xml:space="preserve">, </w:t>
      </w:r>
      <w:r w:rsidRPr="00C72925">
        <w:rPr>
          <w:i/>
          <w:iCs/>
          <w:sz w:val="22"/>
          <w:szCs w:val="22"/>
          <w:lang w:val="en-GB"/>
        </w:rPr>
        <w:t>11</w:t>
      </w:r>
      <w:r w:rsidRPr="00C72925">
        <w:rPr>
          <w:sz w:val="22"/>
          <w:szCs w:val="22"/>
          <w:lang w:val="en-GB"/>
        </w:rPr>
        <w:t>(3), 296–310. https://doi.org/10.1111/j.1461-0248.2007.01139.x</w:t>
      </w:r>
    </w:p>
    <w:p w:rsidR="00650D96" w:rsidRPr="00C72925" w:rsidRDefault="00C72925" w:rsidP="00C72925">
      <w:pPr>
        <w:spacing w:before="100" w:beforeAutospacing="1" w:after="100" w:afterAutospacing="1"/>
        <w:ind w:left="720" w:hanging="720"/>
        <w:rPr>
          <w:lang w:val="en-GB"/>
        </w:rPr>
      </w:pPr>
      <w:proofErr w:type="spellStart"/>
      <w:r w:rsidRPr="00C72925">
        <w:rPr>
          <w:sz w:val="22"/>
          <w:szCs w:val="22"/>
          <w:lang w:val="en-GB"/>
        </w:rPr>
        <w:t>Vorholt</w:t>
      </w:r>
      <w:proofErr w:type="spellEnd"/>
      <w:r w:rsidRPr="00C72925">
        <w:rPr>
          <w:sz w:val="22"/>
          <w:szCs w:val="22"/>
          <w:lang w:val="en-GB"/>
        </w:rPr>
        <w:t xml:space="preserve">, J. A. (2012). Microbial life in the </w:t>
      </w:r>
      <w:proofErr w:type="spellStart"/>
      <w:r w:rsidRPr="00C72925">
        <w:rPr>
          <w:sz w:val="22"/>
          <w:szCs w:val="22"/>
          <w:lang w:val="en-GB"/>
        </w:rPr>
        <w:t>phyllosphere</w:t>
      </w:r>
      <w:proofErr w:type="spellEnd"/>
      <w:r w:rsidRPr="00C72925">
        <w:rPr>
          <w:sz w:val="22"/>
          <w:szCs w:val="22"/>
          <w:lang w:val="en-GB"/>
        </w:rPr>
        <w:t xml:space="preserve">. </w:t>
      </w:r>
      <w:r w:rsidRPr="00C72925">
        <w:rPr>
          <w:i/>
          <w:iCs/>
          <w:sz w:val="22"/>
          <w:szCs w:val="22"/>
          <w:lang w:val="en-GB"/>
        </w:rPr>
        <w:t>Nature Reviews Microbiology</w:t>
      </w:r>
      <w:r w:rsidRPr="00C72925">
        <w:rPr>
          <w:sz w:val="22"/>
          <w:szCs w:val="22"/>
          <w:lang w:val="en-GB"/>
        </w:rPr>
        <w:t xml:space="preserve">, </w:t>
      </w:r>
      <w:r w:rsidRPr="00C72925">
        <w:rPr>
          <w:i/>
          <w:iCs/>
          <w:sz w:val="22"/>
          <w:szCs w:val="22"/>
          <w:lang w:val="en-GB"/>
        </w:rPr>
        <w:t>10</w:t>
      </w:r>
      <w:r w:rsidRPr="00C72925">
        <w:rPr>
          <w:sz w:val="22"/>
          <w:szCs w:val="22"/>
          <w:lang w:val="en-GB"/>
        </w:rPr>
        <w:t>(12), 828–840. https://doi.org/10.1038/nrmicro2910</w:t>
      </w:r>
    </w:p>
    <w:sectPr w:rsidR="00650D96" w:rsidRPr="00C72925" w:rsidSect="00650D9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E76" w:rsidRDefault="00A46E76" w:rsidP="00CC5958">
      <w:r>
        <w:separator/>
      </w:r>
    </w:p>
  </w:endnote>
  <w:endnote w:type="continuationSeparator" w:id="0">
    <w:p w:rsidR="00A46E76" w:rsidRDefault="00A46E76" w:rsidP="00CC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958" w:rsidRDefault="00CC5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958" w:rsidRDefault="00CC5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958" w:rsidRDefault="00CC5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E76" w:rsidRDefault="00A46E76" w:rsidP="00CC5958">
      <w:r>
        <w:separator/>
      </w:r>
    </w:p>
  </w:footnote>
  <w:footnote w:type="continuationSeparator" w:id="0">
    <w:p w:rsidR="00A46E76" w:rsidRDefault="00A46E76" w:rsidP="00CC5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958" w:rsidRDefault="00CC59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253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958" w:rsidRDefault="00CC59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253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958" w:rsidRDefault="00CC59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253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2536F"/>
    <w:multiLevelType w:val="hybridMultilevel"/>
    <w:tmpl w:val="F85C951C"/>
    <w:lvl w:ilvl="0" w:tplc="E23EE656">
      <w:start w:val="1"/>
      <w:numFmt w:val="bullet"/>
      <w:lvlText w:val="●"/>
      <w:lvlJc w:val="left"/>
      <w:pPr>
        <w:ind w:left="720" w:hanging="360"/>
      </w:pPr>
    </w:lvl>
    <w:lvl w:ilvl="1" w:tplc="1C565768">
      <w:start w:val="1"/>
      <w:numFmt w:val="bullet"/>
      <w:lvlText w:val="○"/>
      <w:lvlJc w:val="left"/>
      <w:pPr>
        <w:ind w:left="1440" w:hanging="360"/>
      </w:pPr>
    </w:lvl>
    <w:lvl w:ilvl="2" w:tplc="87A2CB12">
      <w:start w:val="1"/>
      <w:numFmt w:val="bullet"/>
      <w:lvlText w:val="■"/>
      <w:lvlJc w:val="left"/>
      <w:pPr>
        <w:ind w:left="2160" w:hanging="360"/>
      </w:pPr>
    </w:lvl>
    <w:lvl w:ilvl="3" w:tplc="E946C0E8">
      <w:start w:val="1"/>
      <w:numFmt w:val="bullet"/>
      <w:lvlText w:val="●"/>
      <w:lvlJc w:val="left"/>
      <w:pPr>
        <w:ind w:left="2880" w:hanging="360"/>
      </w:pPr>
    </w:lvl>
    <w:lvl w:ilvl="4" w:tplc="0B2E4006">
      <w:start w:val="1"/>
      <w:numFmt w:val="bullet"/>
      <w:lvlText w:val="○"/>
      <w:lvlJc w:val="left"/>
      <w:pPr>
        <w:ind w:left="3600" w:hanging="360"/>
      </w:pPr>
    </w:lvl>
    <w:lvl w:ilvl="5" w:tplc="A9BC1FCE">
      <w:start w:val="1"/>
      <w:numFmt w:val="bullet"/>
      <w:lvlText w:val="■"/>
      <w:lvlJc w:val="left"/>
      <w:pPr>
        <w:ind w:left="4320" w:hanging="360"/>
      </w:pPr>
    </w:lvl>
    <w:lvl w:ilvl="6" w:tplc="734A3B12">
      <w:start w:val="1"/>
      <w:numFmt w:val="bullet"/>
      <w:lvlText w:val="●"/>
      <w:lvlJc w:val="left"/>
      <w:pPr>
        <w:ind w:left="5040" w:hanging="360"/>
      </w:pPr>
    </w:lvl>
    <w:lvl w:ilvl="7" w:tplc="A6301A84">
      <w:start w:val="1"/>
      <w:numFmt w:val="bullet"/>
      <w:lvlText w:val="●"/>
      <w:lvlJc w:val="left"/>
      <w:pPr>
        <w:ind w:left="5760" w:hanging="360"/>
      </w:pPr>
    </w:lvl>
    <w:lvl w:ilvl="8" w:tplc="B7BC215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0D96"/>
    <w:rsid w:val="00650D96"/>
    <w:rsid w:val="00A46E76"/>
    <w:rsid w:val="00C72925"/>
    <w:rsid w:val="00CC5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985EA80-ABD0-427E-9F45-83F747AC2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650D96"/>
    <w:pPr>
      <w:spacing w:before="360" w:after="120"/>
      <w:outlineLvl w:val="0"/>
    </w:pPr>
    <w:rPr>
      <w:b/>
      <w:bCs/>
      <w:color w:val="000000"/>
      <w:sz w:val="28"/>
      <w:szCs w:val="28"/>
    </w:rPr>
  </w:style>
  <w:style w:type="paragraph" w:styleId="Heading2">
    <w:name w:val="heading 2"/>
    <w:qFormat/>
    <w:rsid w:val="00650D96"/>
    <w:pPr>
      <w:spacing w:before="240" w:after="80"/>
      <w:outlineLvl w:val="1"/>
    </w:pPr>
    <w:rPr>
      <w:b/>
      <w:bCs/>
      <w:color w:val="000000"/>
      <w:sz w:val="26"/>
      <w:szCs w:val="26"/>
    </w:rPr>
  </w:style>
  <w:style w:type="paragraph" w:styleId="Heading3">
    <w:name w:val="heading 3"/>
    <w:qFormat/>
    <w:rsid w:val="00650D96"/>
    <w:pPr>
      <w:outlineLvl w:val="2"/>
    </w:pPr>
    <w:rPr>
      <w:color w:val="1F4D78"/>
    </w:rPr>
  </w:style>
  <w:style w:type="paragraph" w:styleId="Heading4">
    <w:name w:val="heading 4"/>
    <w:qFormat/>
    <w:rsid w:val="00650D96"/>
    <w:pPr>
      <w:outlineLvl w:val="3"/>
    </w:pPr>
    <w:rPr>
      <w:i/>
      <w:iCs/>
      <w:color w:val="2E74B5"/>
    </w:rPr>
  </w:style>
  <w:style w:type="paragraph" w:styleId="Heading5">
    <w:name w:val="heading 5"/>
    <w:qFormat/>
    <w:rsid w:val="00650D96"/>
    <w:pPr>
      <w:outlineLvl w:val="4"/>
    </w:pPr>
    <w:rPr>
      <w:color w:val="2E74B5"/>
    </w:rPr>
  </w:style>
  <w:style w:type="paragraph" w:styleId="Heading6">
    <w:name w:val="heading 6"/>
    <w:qFormat/>
    <w:rsid w:val="00650D96"/>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650D96"/>
    <w:rPr>
      <w:sz w:val="56"/>
      <w:szCs w:val="56"/>
    </w:rPr>
  </w:style>
  <w:style w:type="paragraph" w:customStyle="1" w:styleId="Strong1">
    <w:name w:val="Strong1"/>
    <w:qFormat/>
    <w:rsid w:val="00650D96"/>
    <w:rPr>
      <w:b/>
      <w:bCs/>
    </w:rPr>
  </w:style>
  <w:style w:type="paragraph" w:styleId="ListParagraph">
    <w:name w:val="List Paragraph"/>
    <w:qFormat/>
    <w:rsid w:val="00650D96"/>
  </w:style>
  <w:style w:type="character" w:styleId="Hyperlink">
    <w:name w:val="Hyperlink"/>
    <w:uiPriority w:val="99"/>
    <w:unhideWhenUsed/>
    <w:rsid w:val="00650D96"/>
    <w:rPr>
      <w:color w:val="0563C1"/>
      <w:u w:val="single"/>
    </w:rPr>
  </w:style>
  <w:style w:type="character" w:styleId="FootnoteReference">
    <w:name w:val="footnote reference"/>
    <w:uiPriority w:val="99"/>
    <w:semiHidden/>
    <w:unhideWhenUsed/>
    <w:rsid w:val="00650D96"/>
    <w:rPr>
      <w:vertAlign w:val="superscript"/>
    </w:rPr>
  </w:style>
  <w:style w:type="paragraph" w:styleId="FootnoteText">
    <w:name w:val="footnote text"/>
    <w:link w:val="FootnoteTextChar"/>
    <w:uiPriority w:val="99"/>
    <w:semiHidden/>
    <w:unhideWhenUsed/>
    <w:rsid w:val="00650D96"/>
    <w:rPr>
      <w:sz w:val="20"/>
      <w:szCs w:val="20"/>
    </w:rPr>
  </w:style>
  <w:style w:type="character" w:customStyle="1" w:styleId="FootnoteTextChar">
    <w:name w:val="Footnote Text Char"/>
    <w:link w:val="FootnoteText"/>
    <w:uiPriority w:val="99"/>
    <w:semiHidden/>
    <w:unhideWhenUsed/>
    <w:rsid w:val="00650D96"/>
    <w:rPr>
      <w:sz w:val="20"/>
      <w:szCs w:val="20"/>
    </w:rPr>
  </w:style>
  <w:style w:type="paragraph" w:styleId="Header">
    <w:name w:val="header"/>
    <w:basedOn w:val="Normal"/>
    <w:link w:val="HeaderChar"/>
    <w:uiPriority w:val="99"/>
    <w:unhideWhenUsed/>
    <w:rsid w:val="00CC5958"/>
    <w:pPr>
      <w:tabs>
        <w:tab w:val="center" w:pos="4680"/>
        <w:tab w:val="right" w:pos="9360"/>
      </w:tabs>
    </w:pPr>
  </w:style>
  <w:style w:type="character" w:customStyle="1" w:styleId="HeaderChar">
    <w:name w:val="Header Char"/>
    <w:basedOn w:val="DefaultParagraphFont"/>
    <w:link w:val="Header"/>
    <w:uiPriority w:val="99"/>
    <w:rsid w:val="00CC5958"/>
  </w:style>
  <w:style w:type="paragraph" w:styleId="Footer">
    <w:name w:val="footer"/>
    <w:basedOn w:val="Normal"/>
    <w:link w:val="FooterChar"/>
    <w:uiPriority w:val="99"/>
    <w:unhideWhenUsed/>
    <w:rsid w:val="00CC5958"/>
    <w:pPr>
      <w:tabs>
        <w:tab w:val="center" w:pos="4680"/>
        <w:tab w:val="right" w:pos="9360"/>
      </w:tabs>
    </w:pPr>
  </w:style>
  <w:style w:type="character" w:customStyle="1" w:styleId="FooterChar">
    <w:name w:val="Footer Char"/>
    <w:basedOn w:val="DefaultParagraphFont"/>
    <w:link w:val="Footer"/>
    <w:uiPriority w:val="99"/>
    <w:rsid w:val="00CC5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7302</Words>
  <Characters>41625</Characters>
  <Application>Microsoft Office Word</Application>
  <DocSecurity>0</DocSecurity>
  <Lines>346</Lines>
  <Paragraphs>97</Paragraphs>
  <ScaleCrop>false</ScaleCrop>
  <Company>HP</Company>
  <LinksUpToDate>false</LinksUpToDate>
  <CharactersWithSpaces>48830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4</cp:revision>
  <dcterms:created xsi:type="dcterms:W3CDTF">2026-03-21T20:04:00Z</dcterms:created>
  <dcterms:modified xsi:type="dcterms:W3CDTF">2026-03-23T09:23:00Z</dcterms:modified>
</cp:coreProperties>
</file>