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C35B9" w14:textId="4650FD04" w:rsidR="00BF11A8" w:rsidRDefault="002A4232">
      <w:pPr>
        <w:spacing w:after="240" w:line="294" w:lineRule="auto"/>
        <w:jc w:val="center"/>
        <w:rPr>
          <w:rFonts w:ascii="Arial" w:eastAsia="Arial" w:hAnsi="Arial" w:cs="Arial"/>
          <w:b/>
          <w:color w:val="000000"/>
          <w:sz w:val="28"/>
        </w:rPr>
      </w:pPr>
      <w:r>
        <w:rPr>
          <w:rFonts w:ascii="Arial" w:eastAsia="Arial" w:hAnsi="Arial" w:cs="Arial"/>
          <w:b/>
          <w:color w:val="000000"/>
          <w:sz w:val="28"/>
        </w:rPr>
        <w:t>Mulberry Nutrition and Its Influence on Silkworm Growth and Cocoon Yield</w:t>
      </w:r>
    </w:p>
    <w:p w14:paraId="09CDE850" w14:textId="77777777" w:rsidR="00156F29" w:rsidRDefault="00156F29">
      <w:pPr>
        <w:pStyle w:val="Heading1"/>
        <w:spacing w:after="240" w:line="294" w:lineRule="auto"/>
        <w:rPr>
          <w:rFonts w:ascii="Arial" w:eastAsia="Arial" w:hAnsi="Arial" w:cs="Arial"/>
          <w:color w:val="000000"/>
          <w:sz w:val="22"/>
        </w:rPr>
      </w:pPr>
    </w:p>
    <w:p w14:paraId="40CF4721" w14:textId="41EF0635" w:rsidR="00BF11A8" w:rsidRDefault="002A4232">
      <w:pPr>
        <w:pStyle w:val="Heading1"/>
        <w:spacing w:after="240" w:line="294" w:lineRule="auto"/>
      </w:pPr>
      <w:r>
        <w:rPr>
          <w:rFonts w:ascii="Arial" w:eastAsia="Arial" w:hAnsi="Arial" w:cs="Arial"/>
          <w:color w:val="000000"/>
          <w:sz w:val="22"/>
        </w:rPr>
        <w:t>ABSTRACT</w:t>
      </w:r>
    </w:p>
    <w:p w14:paraId="6AE8A0DE" w14:textId="77777777" w:rsidR="00BF11A8" w:rsidRDefault="002A4232">
      <w:pPr>
        <w:spacing w:after="240" w:line="294" w:lineRule="auto"/>
        <w:jc w:val="both"/>
      </w:pPr>
      <w:r>
        <w:rPr>
          <w:rFonts w:ascii="Arial" w:eastAsia="Arial" w:hAnsi="Arial" w:cs="Arial"/>
          <w:color w:val="000000"/>
          <w:sz w:val="20"/>
        </w:rPr>
        <w:t>The abstract should be concise and informative. Sericulture, the production of silk, is an agro-based industry that is critically dependent on the nutritional quality of mulberry (</w:t>
      </w:r>
      <w:r>
        <w:rPr>
          <w:rFonts w:ascii="Arial" w:eastAsia="Arial" w:hAnsi="Arial" w:cs="Arial"/>
          <w:i/>
          <w:color w:val="000000"/>
          <w:sz w:val="20"/>
        </w:rPr>
        <w:t>Morus spp.</w:t>
      </w:r>
      <w:r>
        <w:rPr>
          <w:rFonts w:ascii="Arial" w:eastAsia="Arial" w:hAnsi="Arial" w:cs="Arial"/>
          <w:color w:val="000000"/>
          <w:sz w:val="20"/>
        </w:rPr>
        <w:t xml:space="preserve">) leaves, the exclusive food source for the silkworm, </w:t>
      </w:r>
      <w:r>
        <w:rPr>
          <w:rFonts w:ascii="Arial" w:eastAsia="Arial" w:hAnsi="Arial" w:cs="Arial"/>
          <w:i/>
          <w:color w:val="000000"/>
          <w:sz w:val="20"/>
        </w:rPr>
        <w:t>Bombyx mori L.</w:t>
      </w:r>
      <w:r>
        <w:rPr>
          <w:rFonts w:ascii="Arial" w:eastAsia="Arial" w:hAnsi="Arial" w:cs="Arial"/>
          <w:color w:val="000000"/>
          <w:sz w:val="20"/>
        </w:rPr>
        <w:t xml:space="preserve"> This review critically synthesizes the intricate relationship between mulberry nutrition, silkworm physiology and cocoon productivity. The nutritional status of mulberry leaves, governed by soil fertility and nutrient management practices, directly dictates their biochemical composition, including proteins, carbohydrates, amino acids, minerals and vitamins. Optimized nutrient application, particularly of nitrogen (N), phosphorus (P) and potassium (K), enhances leaf biomass and enriches these key biochemical constituents, thereby improving leaf quality and palatability. High-quality leaves promote superior larval growth, shorten larval duration and increase survival rates by enhancing the activity of digestive enzymes and optimizing metabolic processes in the silkworm. Consequently, improved larval health translates into significant gains in economic traits, such as increased cocoon weight, shell ratio and filament length. This review examines the effects of conventional, organic and integrated nutrient management (INM) strategies on both mulberry cultivation and silkworm rearing performance. Emerging approaches like precision nutrient management and the use of biostimulants offer pathways to further enhance nutrient use efficiency and sustainability. A comprehensive understanding of the mulberry-silkworm nutritional nexus is paramount for developing sustainable sericultural practices that ensure high cocoon yield and superior silk quality, thereby strengthening the economic viability of the silk industry.</w:t>
      </w:r>
    </w:p>
    <w:p w14:paraId="7970435B" w14:textId="77777777" w:rsidR="00BF11A8" w:rsidRDefault="002A4232">
      <w:pPr>
        <w:spacing w:after="480" w:line="294" w:lineRule="auto"/>
        <w:jc w:val="both"/>
      </w:pPr>
      <w:proofErr w:type="gramStart"/>
      <w:r>
        <w:rPr>
          <w:rFonts w:ascii="Arial" w:eastAsia="Arial" w:hAnsi="Arial" w:cs="Arial"/>
          <w:b/>
          <w:i/>
          <w:color w:val="000000"/>
          <w:sz w:val="20"/>
        </w:rPr>
        <w:t>Keywords:</w:t>
      </w:r>
      <w:r>
        <w:rPr>
          <w:rFonts w:ascii="Arial" w:eastAsia="Arial" w:hAnsi="Arial" w:cs="Arial"/>
          <w:i/>
          <w:color w:val="000000"/>
          <w:sz w:val="20"/>
        </w:rPr>
        <w:t>Bombyx</w:t>
      </w:r>
      <w:proofErr w:type="gramEnd"/>
      <w:r>
        <w:rPr>
          <w:rFonts w:ascii="Arial" w:eastAsia="Arial" w:hAnsi="Arial" w:cs="Arial"/>
          <w:i/>
          <w:color w:val="000000"/>
          <w:sz w:val="20"/>
        </w:rPr>
        <w:t xml:space="preserve"> mori, cocoon yield, leaf quality, mulberry nutrition, nutrient management, sericulture productivity, silk quality.</w:t>
      </w:r>
    </w:p>
    <w:p w14:paraId="62D4EAAD" w14:textId="77777777" w:rsidR="00BF11A8" w:rsidRDefault="002A4232">
      <w:pPr>
        <w:pStyle w:val="Heading1"/>
        <w:spacing w:after="240" w:line="294" w:lineRule="auto"/>
      </w:pPr>
      <w:r>
        <w:rPr>
          <w:rFonts w:ascii="Arial" w:eastAsia="Arial" w:hAnsi="Arial" w:cs="Arial"/>
          <w:color w:val="000000"/>
          <w:sz w:val="22"/>
        </w:rPr>
        <w:t>1. INTRODUCTION</w:t>
      </w:r>
    </w:p>
    <w:p w14:paraId="1D3BC8FD" w14:textId="77777777" w:rsidR="00BF11A8" w:rsidRDefault="002A4232">
      <w:pPr>
        <w:spacing w:after="240" w:line="294" w:lineRule="auto"/>
        <w:jc w:val="both"/>
      </w:pPr>
      <w:r>
        <w:rPr>
          <w:rFonts w:ascii="Arial" w:eastAsia="Arial" w:hAnsi="Arial" w:cs="Arial"/>
          <w:color w:val="000000"/>
          <w:sz w:val="20"/>
        </w:rPr>
        <w:t xml:space="preserve">Sericulture, the ancient practice of silk production, is an agro-industry of significant global economic and cultural importance. At its core lies a unique biological relationship between the domesticated silkworm, </w:t>
      </w:r>
      <w:r>
        <w:rPr>
          <w:rFonts w:ascii="Arial" w:eastAsia="Arial" w:hAnsi="Arial" w:cs="Arial"/>
          <w:i/>
          <w:color w:val="000000"/>
          <w:sz w:val="20"/>
        </w:rPr>
        <w:t>Bombyx mori L.</w:t>
      </w:r>
      <w:r>
        <w:rPr>
          <w:rFonts w:ascii="Arial" w:eastAsia="Arial" w:hAnsi="Arial" w:cs="Arial"/>
          <w:color w:val="000000"/>
          <w:sz w:val="20"/>
        </w:rPr>
        <w:t xml:space="preserve"> and its sole food source, the mulberry plant (</w:t>
      </w:r>
      <w:r>
        <w:rPr>
          <w:rFonts w:ascii="Arial" w:eastAsia="Arial" w:hAnsi="Arial" w:cs="Arial"/>
          <w:i/>
          <w:color w:val="000000"/>
          <w:sz w:val="20"/>
        </w:rPr>
        <w:t>Morus spp.</w:t>
      </w:r>
      <w:r>
        <w:rPr>
          <w:rFonts w:ascii="Arial" w:eastAsia="Arial" w:hAnsi="Arial" w:cs="Arial"/>
          <w:color w:val="000000"/>
          <w:sz w:val="20"/>
        </w:rPr>
        <w:t>) (Zhang et al., 2019). As a monophagous insect, the silkworm derives all essential nutrients required for its growth, development and silk synthesis exclusively from mulberry leaves (Rahmathulla, 2012). This obligate dietary dependence makes the nutritional quality of mulberry foliage the single most critical factor influencing the success of sericulture, contributing to over 38% of cocoon production success (Susikaran and Vijay, 2024). The adage “the quality of silk is spun through the mouth of the silkworm” aptly summarizes this connection, highlighting that superior silk production begins with high-quality mulberry leaves.</w:t>
      </w:r>
    </w:p>
    <w:p w14:paraId="199A5918" w14:textId="77777777" w:rsidR="00BF11A8" w:rsidRDefault="002A4232">
      <w:pPr>
        <w:spacing w:after="240" w:line="294" w:lineRule="auto"/>
        <w:jc w:val="both"/>
      </w:pPr>
      <w:r>
        <w:rPr>
          <w:rFonts w:ascii="Arial" w:eastAsia="Arial" w:hAnsi="Arial" w:cs="Arial"/>
          <w:color w:val="000000"/>
          <w:sz w:val="20"/>
        </w:rPr>
        <w:t xml:space="preserve">The relationship between mulberry leaf quality and silkworm performance is direct and profound. The biochemical composition of the leaves including crude protein, carbohydrates, amino acids, vitamins and </w:t>
      </w:r>
      <w:r>
        <w:rPr>
          <w:rFonts w:ascii="Arial" w:eastAsia="Arial" w:hAnsi="Arial" w:cs="Arial"/>
          <w:color w:val="000000"/>
          <w:sz w:val="20"/>
        </w:rPr>
        <w:lastRenderedPageBreak/>
        <w:t>minerals directly impacts larval growth rate, larval duration, survival and overall physiological efficiency (Muzamil et al., 2023; Hăbeanu, Gheorghe, Lefter, and Mihalcea, 2026). Leaves rich in protein and carbohydrates support robust larval development and the synthesis of silk proteins, fibroin and sericin, which constitute the cocoon filament (Liu et al., 2024). Conversely, poor-quality leaves, deficient in essential nutrients or containing high levels of anti-nutritional factors like tannins, can lead to stunted growth, increased susceptibility to diseases, prolonged larval periods and ultimately, reduced cocoon yield and inferior silk quality (Bongale and Chaluvachari, 2026; Ruth et al., 2019).</w:t>
      </w:r>
    </w:p>
    <w:p w14:paraId="5158B6A0" w14:textId="19F821E6" w:rsidR="00BF11A8" w:rsidRDefault="002A4232">
      <w:pPr>
        <w:spacing w:after="240" w:line="294" w:lineRule="auto"/>
        <w:jc w:val="both"/>
      </w:pPr>
      <w:r>
        <w:rPr>
          <w:rFonts w:ascii="Arial" w:eastAsia="Arial" w:hAnsi="Arial" w:cs="Arial"/>
          <w:color w:val="000000"/>
          <w:sz w:val="20"/>
        </w:rPr>
        <w:t>Recognizing this critical link, nutrient management in mulberry cultivation has become a central focus for enhancing sericultural productivity. Mulberry is a deep-rooted, perennial plant with high biomass production, which leads to significant nutrient depletion from the soil over successive harvests (Baqual and Das, 2006). Therefore, replenishing soil nutrients through systematic fertilization is imperative for sustaining high leaf yields and maintaining optimal leaf quality. The application of macronutrients nitrogen (N), phosphorus (P) and potassium (K)</w:t>
      </w:r>
      <w:r w:rsidR="00945BC4">
        <w:rPr>
          <w:rFonts w:ascii="Arial" w:eastAsia="Arial" w:hAnsi="Arial" w:cs="Arial"/>
          <w:color w:val="000000"/>
          <w:sz w:val="20"/>
        </w:rPr>
        <w:t xml:space="preserve"> </w:t>
      </w:r>
      <w:r>
        <w:rPr>
          <w:rFonts w:ascii="Arial" w:eastAsia="Arial" w:hAnsi="Arial" w:cs="Arial"/>
          <w:color w:val="000000"/>
          <w:sz w:val="20"/>
        </w:rPr>
        <w:t>has been shown to significantly influence mulberry growth, leaf biomass and biochemical composition (Chen et al., 2009; Paul and Qaiyyum, 2009). Nitrogen, in particular, is a key constituent of proteins and chlorophyll and has a major impact on leaf yield and quality (Ushioda, 1954). Similarly, secondary and micronutrients, though required in smaller quantities, play vital roles in various metabolic processes that affect leaf health and nutritional value (Ram and Sannappa, 2017).</w:t>
      </w:r>
    </w:p>
    <w:p w14:paraId="5362E7D9" w14:textId="77777777" w:rsidR="00BF11A8" w:rsidRDefault="002A4232">
      <w:pPr>
        <w:spacing w:after="240" w:line="294" w:lineRule="auto"/>
        <w:jc w:val="both"/>
      </w:pPr>
      <w:r>
        <w:rPr>
          <w:rFonts w:ascii="Arial" w:eastAsia="Arial" w:hAnsi="Arial" w:cs="Arial"/>
          <w:color w:val="000000"/>
          <w:sz w:val="20"/>
        </w:rPr>
        <w:t>In the pursuit of sustainable sericulture, there is a growing need for improved nutritional management strategies that not only maximize productivity but also ensure long-term soil health and environmental integrity. Over-reliance on chemical fertilizers has raised concerns about soil degradation, water pollution and increased production costs (Li et al., 2020). This has spurred research into Integrated Nutrient Management (INM), which combines organic manures, biofertilizers and chemical fertilizers in a balanced manner (Rakshitha et al., 2025). Such approaches aim to improve nutrient use efficiency, enhance soil microbial activity and reduce the environmental footprint of mulberry cultivation (Baqual and Das, 2006). Furthermore, emerging technologies in precision agriculture offer new opportunities for site-specific nutrient management, allowing for targeted fertilizer application based on real-time plant and soil needs (AllyNav, 2025). This review aims to critically synthesize the existing body of peer-reviewed literature on the multifaceted influence of mulberry nutrition on leaf quality, silkworm growth and cocoon productivity, providing a comprehensive overview of current knowledge and future directions for sustainable sericulture.</w:t>
      </w:r>
    </w:p>
    <w:p w14:paraId="146553DD" w14:textId="77777777" w:rsidR="00BF11A8" w:rsidRDefault="002A4232">
      <w:pPr>
        <w:pStyle w:val="Heading1"/>
        <w:spacing w:after="240" w:line="294" w:lineRule="auto"/>
      </w:pPr>
      <w:r>
        <w:rPr>
          <w:rFonts w:ascii="Arial" w:eastAsia="Arial" w:hAnsi="Arial" w:cs="Arial"/>
          <w:color w:val="000000"/>
          <w:sz w:val="22"/>
        </w:rPr>
        <w:t>2. NUTRITIONAL COMPOSITION OF MULBERRY LEAVES</w:t>
      </w:r>
    </w:p>
    <w:p w14:paraId="0E4F0B92" w14:textId="77777777" w:rsidR="00BF11A8" w:rsidRDefault="002A4232">
      <w:pPr>
        <w:spacing w:after="240" w:line="294" w:lineRule="auto"/>
        <w:jc w:val="both"/>
      </w:pPr>
      <w:r>
        <w:rPr>
          <w:rFonts w:ascii="Arial" w:eastAsia="Arial" w:hAnsi="Arial" w:cs="Arial"/>
          <w:color w:val="000000"/>
          <w:sz w:val="20"/>
        </w:rPr>
        <w:t xml:space="preserve">The suitability of mulberry leaves as the exclusive diet for </w:t>
      </w:r>
      <w:r>
        <w:rPr>
          <w:rFonts w:ascii="Arial" w:eastAsia="Arial" w:hAnsi="Arial" w:cs="Arial"/>
          <w:i/>
          <w:color w:val="000000"/>
          <w:sz w:val="20"/>
        </w:rPr>
        <w:t>Bombyx mori</w:t>
      </w:r>
      <w:r>
        <w:rPr>
          <w:rFonts w:ascii="Arial" w:eastAsia="Arial" w:hAnsi="Arial" w:cs="Arial"/>
          <w:color w:val="000000"/>
          <w:sz w:val="20"/>
        </w:rPr>
        <w:t xml:space="preserve"> is attributed to their rich and balanced nutritional profile. These leaves are a complex matrix of biochemical compounds that fulfill all the dietary requirements of the silkworm for its complete life cycle. The composition varies significantly depending on the mulberry variety, agro-climatic conditions, cultivation practices and leaf maturity (Yu et al., 2018; Bongale and Chaluvachari, 2026). Understanding this composition is fundamental to optimizing both mulberry cultivation and silkworm rearing.</w:t>
      </w:r>
    </w:p>
    <w:p w14:paraId="097BA20E" w14:textId="77777777" w:rsidR="00BF11A8" w:rsidRDefault="002A4232">
      <w:pPr>
        <w:pStyle w:val="Heading2"/>
        <w:spacing w:before="360" w:after="180" w:line="294" w:lineRule="auto"/>
      </w:pPr>
      <w:r>
        <w:rPr>
          <w:rFonts w:ascii="Arial" w:eastAsia="Arial" w:hAnsi="Arial" w:cs="Arial"/>
          <w:color w:val="000000"/>
          <w:sz w:val="22"/>
        </w:rPr>
        <w:lastRenderedPageBreak/>
        <w:t>2.1 Macronutrients and Secondary Nutrients</w:t>
      </w:r>
    </w:p>
    <w:p w14:paraId="6704A789" w14:textId="77777777" w:rsidR="00BF11A8" w:rsidRDefault="002A4232">
      <w:pPr>
        <w:spacing w:after="240" w:line="294" w:lineRule="auto"/>
        <w:jc w:val="both"/>
      </w:pPr>
      <w:r>
        <w:rPr>
          <w:rFonts w:ascii="Arial" w:eastAsia="Arial" w:hAnsi="Arial" w:cs="Arial"/>
          <w:color w:val="000000"/>
          <w:sz w:val="20"/>
        </w:rPr>
        <w:t>Nitrogen (N), phosphorus (P) and potassium (K) are the primary macronutrients essential for mulberry growth and are major determinants of leaf quality. Nitrogen is the most critical, being a core component of proteins, amino acids and chlorophyll. Mulberry leaves typically contain high levels of crude protein, ranging from 15% to 35% on a dry matter basis, which is significantly higher than many other forage crops (Xue et al., 2025; Srivastava et al., 2006). This high protein content is directly responsible for over 70% of the silk protein synthesis in silkworms (Liu et al., 2024). Phosphorus is vital for energy transfer (ATP) and nucleic acid synthesis, while potassium is crucial for enzyme activation and osmoregulation, contributing to plant vigor and stress tolerance (Mithilasri et al., 2023). Secondary nutrients like calcium (Ca), magnesium (Mg) and sulfur (S) are also present in significant amounts. Calcium is essential for cell wall structure and its presence in leaves has been positively correlated with silkworm reproductive potential (Ruth et al., 2019). Magnesium is the central atom of the chlorophyll molecule, making it indispensable for photosynthesis (Ahmed et al., 2023).</w:t>
      </w:r>
    </w:p>
    <w:p w14:paraId="389C124E" w14:textId="77777777" w:rsidR="00BF11A8" w:rsidRDefault="002A4232">
      <w:pPr>
        <w:pStyle w:val="Heading2"/>
        <w:spacing w:before="360" w:after="180" w:line="294" w:lineRule="auto"/>
      </w:pPr>
      <w:r>
        <w:rPr>
          <w:rFonts w:ascii="Arial" w:eastAsia="Arial" w:hAnsi="Arial" w:cs="Arial"/>
          <w:color w:val="000000"/>
          <w:sz w:val="22"/>
        </w:rPr>
        <w:t>2.2 Micronutrients</w:t>
      </w:r>
    </w:p>
    <w:p w14:paraId="56770484" w14:textId="77777777" w:rsidR="00BF11A8" w:rsidRDefault="002A4232">
      <w:pPr>
        <w:spacing w:after="240" w:line="294" w:lineRule="auto"/>
        <w:jc w:val="both"/>
      </w:pPr>
      <w:r>
        <w:rPr>
          <w:rFonts w:ascii="Arial" w:eastAsia="Arial" w:hAnsi="Arial" w:cs="Arial"/>
          <w:color w:val="000000"/>
          <w:sz w:val="20"/>
        </w:rPr>
        <w:t>Although required in smaller quantities, micronutrients such as iron (Fe), manganese (Mn), zinc (Zn) and copper (Cu) are critical cofactors for various enzymatic reactions in the plant. Iron is essential for chlorophyll synthesis, while zinc is involved in the biosynthesis of auxins and proteins (Ram and Sannappa, 2017). Studies have shown that foliar application of micronutrients can enhance the biochemical content of mulberry leaves, leading to improved larval growth and cocoon parameters (Devamani et al., 2024). The mineral content varies widely among cultivars; for instance, V1 and S13 varieties have been reported to accumulate higher levels of Fe, Mn and Zn compared to others like G4 (Mithilasri et al., 2023).</w:t>
      </w:r>
    </w:p>
    <w:p w14:paraId="2EF50F0D" w14:textId="77777777" w:rsidR="00BF11A8" w:rsidRDefault="002A4232">
      <w:pPr>
        <w:pStyle w:val="Heading2"/>
        <w:spacing w:before="360" w:after="180" w:line="294" w:lineRule="auto"/>
      </w:pPr>
      <w:r>
        <w:rPr>
          <w:rFonts w:ascii="Arial" w:eastAsia="Arial" w:hAnsi="Arial" w:cs="Arial"/>
          <w:color w:val="000000"/>
          <w:sz w:val="22"/>
        </w:rPr>
        <w:t>2.3 Biochemical Constituents</w:t>
      </w:r>
    </w:p>
    <w:p w14:paraId="0A4F2A10" w14:textId="77777777" w:rsidR="00BF11A8" w:rsidRDefault="002A4232">
      <w:pPr>
        <w:spacing w:after="240" w:line="294" w:lineRule="auto"/>
        <w:jc w:val="both"/>
      </w:pPr>
      <w:r>
        <w:rPr>
          <w:rFonts w:ascii="Arial" w:eastAsia="Arial" w:hAnsi="Arial" w:cs="Arial"/>
          <w:color w:val="000000"/>
          <w:sz w:val="20"/>
        </w:rPr>
        <w:t>Beyond elemental nutrients, the biochemical makeup of mulberry leaves is what truly defines their quality.</w:t>
      </w:r>
    </w:p>
    <w:p w14:paraId="1A0D4E1A" w14:textId="77777777" w:rsidR="00BF11A8" w:rsidRDefault="002A4232">
      <w:pPr>
        <w:spacing w:after="240" w:line="294" w:lineRule="auto"/>
        <w:jc w:val="both"/>
      </w:pPr>
      <w:r>
        <w:rPr>
          <w:rFonts w:ascii="Arial" w:eastAsia="Arial" w:hAnsi="Arial" w:cs="Arial"/>
          <w:b/>
          <w:color w:val="000000"/>
          <w:sz w:val="20"/>
        </w:rPr>
        <w:t>Proteins and Amino Acids:</w:t>
      </w:r>
      <w:r>
        <w:rPr>
          <w:rFonts w:ascii="Arial" w:eastAsia="Arial" w:hAnsi="Arial" w:cs="Arial"/>
          <w:color w:val="000000"/>
          <w:sz w:val="20"/>
        </w:rPr>
        <w:t xml:space="preserve"> Mulberry leaf protein is characterized by a well-balanced amino acid profile, containing 17 amino acids, including all those essential for the silkworm (Xue et al., 2025). The essential amino acid to total amino acid ratio (EAA/TAA) is approximately 0.38, which is close to the ideal protein standard defined by the FAO/WHO (Xue et al., 2025; Hăbeanu, Lefter, et al., 2024). Glutamic acid, aspartic acid and leucine are typically the most abundant amino acids.</w:t>
      </w:r>
    </w:p>
    <w:p w14:paraId="0B7A0E52" w14:textId="77777777" w:rsidR="00BF11A8" w:rsidRDefault="002A4232">
      <w:pPr>
        <w:spacing w:after="240" w:line="294" w:lineRule="auto"/>
        <w:jc w:val="both"/>
      </w:pPr>
      <w:r>
        <w:rPr>
          <w:rFonts w:ascii="Arial" w:eastAsia="Arial" w:hAnsi="Arial" w:cs="Arial"/>
          <w:b/>
          <w:color w:val="000000"/>
          <w:sz w:val="20"/>
        </w:rPr>
        <w:t>Carbohydrates:</w:t>
      </w:r>
      <w:r>
        <w:rPr>
          <w:rFonts w:ascii="Arial" w:eastAsia="Arial" w:hAnsi="Arial" w:cs="Arial"/>
          <w:color w:val="000000"/>
          <w:sz w:val="20"/>
        </w:rPr>
        <w:t xml:space="preserve"> Soluble sugars are a primary energy source for silkworms and also act as a feeding stimulant (phagostimulant). The carbohydrate content generally increases with leaf maturity, ranging from 16% to 22% (Bongale and Chaluvachari, 2026).</w:t>
      </w:r>
    </w:p>
    <w:p w14:paraId="64840F37" w14:textId="77777777" w:rsidR="00BF11A8" w:rsidRDefault="002A4232">
      <w:pPr>
        <w:spacing w:after="240" w:line="294" w:lineRule="auto"/>
        <w:jc w:val="both"/>
      </w:pPr>
      <w:r>
        <w:rPr>
          <w:rFonts w:ascii="Arial" w:eastAsia="Arial" w:hAnsi="Arial" w:cs="Arial"/>
          <w:b/>
          <w:color w:val="000000"/>
          <w:sz w:val="20"/>
        </w:rPr>
        <w:t>Vitamins and Bioactive Compounds:</w:t>
      </w:r>
      <w:r>
        <w:rPr>
          <w:rFonts w:ascii="Arial" w:eastAsia="Arial" w:hAnsi="Arial" w:cs="Arial"/>
          <w:color w:val="000000"/>
          <w:sz w:val="20"/>
        </w:rPr>
        <w:t xml:space="preserve"> Mulberry leaves are a rich source of vitamins, including ascorbic acid (Vitamin C), β-carotene (a precursor to Vitamin A) and Vitamin E (Srivastava et al., 2006). They also contain a plethora of bioactive compounds like flavonoids (e.g., rutin, quercetin), phenolic acids (e.g., chlorogenic acid) and alkaloids (e.g., 1- deoxynojirimycin or DNJ), which possess antioxidant, anti-inflammatory and hypoglycemic properties (Memete et al., 2022; Zhou et al., 2025). While beneficial for human health, some of these compounds, like tannins, can act as anti-nutritional factors for silkworms if </w:t>
      </w:r>
      <w:r>
        <w:rPr>
          <w:rFonts w:ascii="Arial" w:eastAsia="Arial" w:hAnsi="Arial" w:cs="Arial"/>
          <w:color w:val="000000"/>
          <w:sz w:val="20"/>
        </w:rPr>
        <w:lastRenderedPageBreak/>
        <w:t>present in high concentrations, by binding to proteins and reducing their digestibility (Bongale and Chaluvachari, 2026).</w:t>
      </w:r>
    </w:p>
    <w:p w14:paraId="3948B05C" w14:textId="77777777" w:rsidR="00BF11A8" w:rsidRDefault="002A4232">
      <w:pPr>
        <w:spacing w:after="120" w:line="294" w:lineRule="auto"/>
      </w:pPr>
      <w:r>
        <w:rPr>
          <w:rFonts w:ascii="Arial" w:eastAsia="Arial" w:hAnsi="Arial" w:cs="Arial"/>
          <w:b/>
          <w:color w:val="000000"/>
          <w:sz w:val="20"/>
        </w:rPr>
        <w:t>Table 1. Nutritional Composition of Mulberry Leaves Reported in Different Studies (Values on Dry Matter Basis unless specified)</w:t>
      </w:r>
    </w:p>
    <w:tbl>
      <w:tblPr>
        <w:tblW w:w="0" w:type="auto"/>
        <w:jc w:val="center"/>
        <w:tblBorders>
          <w:insideH w:val="single" w:sz="4" w:space="0" w:color="DDDDDD"/>
          <w:insideV w:val="single" w:sz="4" w:space="0" w:color="DDDDDD"/>
        </w:tblBorders>
        <w:tblLook w:val="04A0" w:firstRow="1" w:lastRow="0" w:firstColumn="1" w:lastColumn="0" w:noHBand="0" w:noVBand="1"/>
      </w:tblPr>
      <w:tblGrid>
        <w:gridCol w:w="3218"/>
        <w:gridCol w:w="3190"/>
        <w:gridCol w:w="3192"/>
      </w:tblGrid>
      <w:tr w:rsidR="00BF11A8" w14:paraId="006D9E04" w14:textId="77777777">
        <w:trPr>
          <w:jc w:val="center"/>
        </w:trPr>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34A28B2B" w14:textId="77777777" w:rsidR="00BF11A8" w:rsidRDefault="002A4232">
            <w:r>
              <w:rPr>
                <w:rFonts w:ascii="Arial" w:eastAsia="Arial" w:hAnsi="Arial" w:cs="Arial"/>
                <w:color w:val="000000"/>
                <w:sz w:val="20"/>
              </w:rPr>
              <w:t>Component</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5AC1D0FA" w14:textId="77777777" w:rsidR="00BF11A8" w:rsidRDefault="002A4232">
            <w:r>
              <w:rPr>
                <w:rFonts w:ascii="Arial" w:eastAsia="Arial" w:hAnsi="Arial" w:cs="Arial"/>
                <w:color w:val="000000"/>
                <w:sz w:val="20"/>
              </w:rPr>
              <w:t>Reported Range/Value</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587AF749" w14:textId="77777777" w:rsidR="00BF11A8" w:rsidRDefault="002A4232">
            <w:r>
              <w:rPr>
                <w:rFonts w:ascii="Arial" w:eastAsia="Arial" w:hAnsi="Arial" w:cs="Arial"/>
                <w:color w:val="000000"/>
                <w:sz w:val="20"/>
              </w:rPr>
              <w:t>Reference</w:t>
            </w:r>
          </w:p>
        </w:tc>
      </w:tr>
      <w:tr w:rsidR="00BF11A8" w14:paraId="0A54375C" w14:textId="77777777">
        <w:trPr>
          <w:jc w:val="center"/>
        </w:trPr>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0853A18D" w14:textId="77777777" w:rsidR="00BF11A8" w:rsidRDefault="002A4232">
            <w:r>
              <w:rPr>
                <w:rFonts w:ascii="Arial" w:eastAsia="Arial" w:hAnsi="Arial" w:cs="Arial"/>
                <w:color w:val="000000"/>
                <w:sz w:val="20"/>
              </w:rPr>
              <w:t>Moisture (Fresh Leaf)</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0B694424" w14:textId="77777777" w:rsidR="00BF11A8" w:rsidRDefault="002A4232">
            <w:r>
              <w:rPr>
                <w:rFonts w:ascii="Arial" w:eastAsia="Arial" w:hAnsi="Arial" w:cs="Arial"/>
                <w:color w:val="000000"/>
                <w:sz w:val="20"/>
              </w:rPr>
              <w:t>71.1% - 76.7%</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6067D49B" w14:textId="77777777" w:rsidR="00BF11A8" w:rsidRDefault="002A4232">
            <w:r>
              <w:rPr>
                <w:rFonts w:ascii="Arial" w:eastAsia="Arial" w:hAnsi="Arial" w:cs="Arial"/>
                <w:color w:val="000000"/>
                <w:sz w:val="20"/>
              </w:rPr>
              <w:t>Srivastava et al. (2006)</w:t>
            </w:r>
          </w:p>
        </w:tc>
      </w:tr>
      <w:tr w:rsidR="00BF11A8" w14:paraId="137B8CCF" w14:textId="77777777">
        <w:trPr>
          <w:jc w:val="center"/>
        </w:trPr>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5BDC7593" w14:textId="77777777" w:rsidR="00BF11A8" w:rsidRDefault="002A4232">
            <w:r>
              <w:rPr>
                <w:rFonts w:ascii="Arial" w:eastAsia="Arial" w:hAnsi="Arial" w:cs="Arial"/>
                <w:color w:val="000000"/>
                <w:sz w:val="20"/>
              </w:rPr>
              <w:t>Crude Protein</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3397683D" w14:textId="77777777" w:rsidR="00BF11A8" w:rsidRDefault="002A4232">
            <w:r>
              <w:rPr>
                <w:rFonts w:ascii="Arial" w:eastAsia="Arial" w:hAnsi="Arial" w:cs="Arial"/>
                <w:color w:val="000000"/>
                <w:sz w:val="20"/>
              </w:rPr>
              <w:t>15% - 35%</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5286ABD9" w14:textId="77777777" w:rsidR="00BF11A8" w:rsidRDefault="002A4232">
            <w:r>
              <w:rPr>
                <w:rFonts w:ascii="Arial" w:eastAsia="Arial" w:hAnsi="Arial" w:cs="Arial"/>
                <w:color w:val="000000"/>
                <w:sz w:val="20"/>
              </w:rPr>
              <w:t>Xue et al. (2025)</w:t>
            </w:r>
          </w:p>
        </w:tc>
      </w:tr>
      <w:tr w:rsidR="00BF11A8" w14:paraId="1E200CCF" w14:textId="77777777">
        <w:trPr>
          <w:jc w:val="center"/>
        </w:trPr>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05D5A709" w14:textId="77777777" w:rsidR="00BF11A8" w:rsidRDefault="002A4232">
            <w:r>
              <w:rPr>
                <w:rFonts w:ascii="Arial" w:eastAsia="Arial" w:hAnsi="Arial" w:cs="Arial"/>
                <w:color w:val="000000"/>
                <w:sz w:val="20"/>
              </w:rPr>
              <w:t>Crude Fat</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7075C2D5" w14:textId="77777777" w:rsidR="00BF11A8" w:rsidRDefault="002A4232">
            <w:r>
              <w:rPr>
                <w:rFonts w:ascii="Arial" w:eastAsia="Arial" w:hAnsi="Arial" w:cs="Arial"/>
                <w:color w:val="000000"/>
                <w:sz w:val="20"/>
              </w:rPr>
              <w:t>4.38% (average)</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70C058EA" w14:textId="77777777" w:rsidR="00BF11A8" w:rsidRDefault="002A4232">
            <w:r>
              <w:rPr>
                <w:rFonts w:ascii="Arial" w:eastAsia="Arial" w:hAnsi="Arial" w:cs="Arial"/>
                <w:color w:val="000000"/>
                <w:sz w:val="20"/>
              </w:rPr>
              <w:t>Sci-Journals (2023)</w:t>
            </w:r>
          </w:p>
        </w:tc>
      </w:tr>
      <w:tr w:rsidR="00BF11A8" w14:paraId="2F653FB3" w14:textId="77777777">
        <w:trPr>
          <w:jc w:val="center"/>
        </w:trPr>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4E982828" w14:textId="77777777" w:rsidR="00BF11A8" w:rsidRDefault="002A4232">
            <w:r>
              <w:rPr>
                <w:rFonts w:ascii="Arial" w:eastAsia="Arial" w:hAnsi="Arial" w:cs="Arial"/>
                <w:color w:val="000000"/>
                <w:sz w:val="20"/>
              </w:rPr>
              <w:t>Crude Fiber</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3E4960E5" w14:textId="77777777" w:rsidR="00BF11A8" w:rsidRDefault="002A4232">
            <w:r>
              <w:rPr>
                <w:rFonts w:ascii="Arial" w:eastAsia="Arial" w:hAnsi="Arial" w:cs="Arial"/>
                <w:color w:val="000000"/>
                <w:sz w:val="20"/>
              </w:rPr>
              <w:t>8% - 12%</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20170D48" w14:textId="77777777" w:rsidR="00BF11A8" w:rsidRDefault="002A4232">
            <w:r>
              <w:rPr>
                <w:rFonts w:ascii="Arial" w:eastAsia="Arial" w:hAnsi="Arial" w:cs="Arial"/>
                <w:color w:val="000000"/>
                <w:sz w:val="20"/>
              </w:rPr>
              <w:t>Tian et al. (2025)</w:t>
            </w:r>
          </w:p>
        </w:tc>
      </w:tr>
      <w:tr w:rsidR="00BF11A8" w14:paraId="0236E29C" w14:textId="77777777">
        <w:trPr>
          <w:jc w:val="center"/>
        </w:trPr>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5A4986E0" w14:textId="77777777" w:rsidR="00BF11A8" w:rsidRDefault="002A4232">
            <w:r>
              <w:rPr>
                <w:rFonts w:ascii="Arial" w:eastAsia="Arial" w:hAnsi="Arial" w:cs="Arial"/>
                <w:color w:val="000000"/>
                <w:sz w:val="20"/>
              </w:rPr>
              <w:t>Ash</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51C818D7" w14:textId="77777777" w:rsidR="00BF11A8" w:rsidRDefault="002A4232">
            <w:r>
              <w:rPr>
                <w:rFonts w:ascii="Arial" w:eastAsia="Arial" w:hAnsi="Arial" w:cs="Arial"/>
                <w:color w:val="000000"/>
                <w:sz w:val="20"/>
              </w:rPr>
              <w:t>8% - 12%</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046DC54E" w14:textId="77777777" w:rsidR="00BF11A8" w:rsidRDefault="002A4232">
            <w:r>
              <w:rPr>
                <w:rFonts w:ascii="Arial" w:eastAsia="Arial" w:hAnsi="Arial" w:cs="Arial"/>
                <w:color w:val="000000"/>
                <w:sz w:val="20"/>
              </w:rPr>
              <w:t>Tian et al. (2025)</w:t>
            </w:r>
          </w:p>
        </w:tc>
      </w:tr>
      <w:tr w:rsidR="00BF11A8" w14:paraId="4677E624" w14:textId="77777777">
        <w:trPr>
          <w:jc w:val="center"/>
        </w:trPr>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0EA020AA" w14:textId="77777777" w:rsidR="00BF11A8" w:rsidRDefault="002A4232">
            <w:r>
              <w:rPr>
                <w:rFonts w:ascii="Arial" w:eastAsia="Arial" w:hAnsi="Arial" w:cs="Arial"/>
                <w:color w:val="000000"/>
                <w:sz w:val="20"/>
              </w:rPr>
              <w:t>Total Carbohydrates</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3011D0C2" w14:textId="77777777" w:rsidR="00BF11A8" w:rsidRDefault="002A4232">
            <w:r>
              <w:rPr>
                <w:rFonts w:ascii="Arial" w:eastAsia="Arial" w:hAnsi="Arial" w:cs="Arial"/>
                <w:color w:val="000000"/>
                <w:sz w:val="20"/>
              </w:rPr>
              <w:t>16.08% - 22.02%</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36827965" w14:textId="77777777" w:rsidR="00BF11A8" w:rsidRDefault="002A4232">
            <w:r>
              <w:rPr>
                <w:rFonts w:ascii="Arial" w:eastAsia="Arial" w:hAnsi="Arial" w:cs="Arial"/>
                <w:color w:val="000000"/>
                <w:sz w:val="20"/>
              </w:rPr>
              <w:t>Bongale and Chaluvachari (2026)</w:t>
            </w:r>
          </w:p>
        </w:tc>
      </w:tr>
      <w:tr w:rsidR="00BF11A8" w14:paraId="2FEE6225" w14:textId="77777777">
        <w:trPr>
          <w:jc w:val="center"/>
        </w:trPr>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00C4D3BD" w14:textId="77777777" w:rsidR="00BF11A8" w:rsidRDefault="002A4232">
            <w:r>
              <w:rPr>
                <w:rFonts w:ascii="Arial" w:eastAsia="Arial" w:hAnsi="Arial" w:cs="Arial"/>
                <w:color w:val="000000"/>
                <w:sz w:val="20"/>
              </w:rPr>
              <w:t>Nitrogen (N)</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19FBB947" w14:textId="77777777" w:rsidR="00BF11A8" w:rsidRDefault="002A4232">
            <w:r>
              <w:rPr>
                <w:rFonts w:ascii="Arial" w:eastAsia="Arial" w:hAnsi="Arial" w:cs="Arial"/>
                <w:color w:val="000000"/>
                <w:sz w:val="20"/>
              </w:rPr>
              <w:t>3.50% - 3.90%</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68FF946F" w14:textId="77777777" w:rsidR="00BF11A8" w:rsidRDefault="002A4232">
            <w:r>
              <w:rPr>
                <w:rFonts w:ascii="Arial" w:eastAsia="Arial" w:hAnsi="Arial" w:cs="Arial"/>
                <w:color w:val="000000"/>
                <w:sz w:val="20"/>
              </w:rPr>
              <w:t>Mithilasri et al. (2023)</w:t>
            </w:r>
          </w:p>
        </w:tc>
      </w:tr>
      <w:tr w:rsidR="00BF11A8" w14:paraId="277B44EE" w14:textId="77777777">
        <w:trPr>
          <w:jc w:val="center"/>
        </w:trPr>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6737F251" w14:textId="77777777" w:rsidR="00BF11A8" w:rsidRDefault="002A4232">
            <w:r>
              <w:rPr>
                <w:rFonts w:ascii="Arial" w:eastAsia="Arial" w:hAnsi="Arial" w:cs="Arial"/>
                <w:color w:val="000000"/>
                <w:sz w:val="20"/>
              </w:rPr>
              <w:t>Phosphorus (P)</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6857F533" w14:textId="77777777" w:rsidR="00BF11A8" w:rsidRDefault="002A4232">
            <w:r>
              <w:rPr>
                <w:rFonts w:ascii="Arial" w:eastAsia="Arial" w:hAnsi="Arial" w:cs="Arial"/>
                <w:color w:val="000000"/>
                <w:sz w:val="20"/>
              </w:rPr>
              <w:t>0.27% - 0.31%</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11669553" w14:textId="77777777" w:rsidR="00BF11A8" w:rsidRDefault="002A4232">
            <w:r>
              <w:rPr>
                <w:rFonts w:ascii="Arial" w:eastAsia="Arial" w:hAnsi="Arial" w:cs="Arial"/>
                <w:color w:val="000000"/>
                <w:sz w:val="20"/>
              </w:rPr>
              <w:t>Mithilasri et al. (2023)</w:t>
            </w:r>
          </w:p>
        </w:tc>
      </w:tr>
      <w:tr w:rsidR="00BF11A8" w14:paraId="0BB77A9E" w14:textId="77777777">
        <w:trPr>
          <w:jc w:val="center"/>
        </w:trPr>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3F1025A5" w14:textId="77777777" w:rsidR="00BF11A8" w:rsidRDefault="002A4232">
            <w:r>
              <w:rPr>
                <w:rFonts w:ascii="Arial" w:eastAsia="Arial" w:hAnsi="Arial" w:cs="Arial"/>
                <w:color w:val="000000"/>
                <w:sz w:val="20"/>
              </w:rPr>
              <w:t>Potassium (K)</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6980F3D8" w14:textId="77777777" w:rsidR="00BF11A8" w:rsidRDefault="002A4232">
            <w:r>
              <w:rPr>
                <w:rFonts w:ascii="Arial" w:eastAsia="Arial" w:hAnsi="Arial" w:cs="Arial"/>
                <w:color w:val="000000"/>
                <w:sz w:val="20"/>
              </w:rPr>
              <w:t>2.60% - 2.90%</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13179B8F" w14:textId="77777777" w:rsidR="00BF11A8" w:rsidRDefault="002A4232">
            <w:r>
              <w:rPr>
                <w:rFonts w:ascii="Arial" w:eastAsia="Arial" w:hAnsi="Arial" w:cs="Arial"/>
                <w:color w:val="000000"/>
                <w:sz w:val="20"/>
              </w:rPr>
              <w:t>Mithilasri et al. (2023)</w:t>
            </w:r>
          </w:p>
        </w:tc>
      </w:tr>
      <w:tr w:rsidR="00BF11A8" w14:paraId="00E55CE0" w14:textId="77777777">
        <w:trPr>
          <w:jc w:val="center"/>
        </w:trPr>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18E7C5AF" w14:textId="77777777" w:rsidR="00BF11A8" w:rsidRDefault="002A4232">
            <w:r>
              <w:rPr>
                <w:rFonts w:ascii="Arial" w:eastAsia="Arial" w:hAnsi="Arial" w:cs="Arial"/>
                <w:color w:val="000000"/>
                <w:sz w:val="20"/>
              </w:rPr>
              <w:t>Calcium (Ca)</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0E978C97" w14:textId="77777777" w:rsidR="00BF11A8" w:rsidRDefault="002A4232">
            <w:r>
              <w:rPr>
                <w:rFonts w:ascii="Arial" w:eastAsia="Arial" w:hAnsi="Arial" w:cs="Arial"/>
                <w:color w:val="000000"/>
                <w:sz w:val="20"/>
              </w:rPr>
              <w:t>1.50% - 1.80%</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66F9314E" w14:textId="77777777" w:rsidR="00BF11A8" w:rsidRDefault="002A4232">
            <w:r>
              <w:rPr>
                <w:rFonts w:ascii="Arial" w:eastAsia="Arial" w:hAnsi="Arial" w:cs="Arial"/>
                <w:color w:val="000000"/>
                <w:sz w:val="20"/>
              </w:rPr>
              <w:t>Mithilasri et al. (2023)</w:t>
            </w:r>
          </w:p>
        </w:tc>
      </w:tr>
      <w:tr w:rsidR="00BF11A8" w14:paraId="4F41116F" w14:textId="77777777">
        <w:trPr>
          <w:jc w:val="center"/>
        </w:trPr>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7A28A130" w14:textId="77777777" w:rsidR="00BF11A8" w:rsidRDefault="002A4232">
            <w:r>
              <w:rPr>
                <w:rFonts w:ascii="Arial" w:eastAsia="Arial" w:hAnsi="Arial" w:cs="Arial"/>
                <w:color w:val="000000"/>
                <w:sz w:val="20"/>
              </w:rPr>
              <w:t>Magnesium (Mg)</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03BCA7E7" w14:textId="77777777" w:rsidR="00BF11A8" w:rsidRDefault="002A4232">
            <w:r>
              <w:rPr>
                <w:rFonts w:ascii="Arial" w:eastAsia="Arial" w:hAnsi="Arial" w:cs="Arial"/>
                <w:color w:val="000000"/>
                <w:sz w:val="20"/>
              </w:rPr>
              <w:t>0.40% - 0.48%</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7781F280" w14:textId="77777777" w:rsidR="00BF11A8" w:rsidRDefault="002A4232">
            <w:r>
              <w:rPr>
                <w:rFonts w:ascii="Arial" w:eastAsia="Arial" w:hAnsi="Arial" w:cs="Arial"/>
                <w:color w:val="000000"/>
                <w:sz w:val="20"/>
              </w:rPr>
              <w:t>Mithilasri et al. (2023)</w:t>
            </w:r>
          </w:p>
        </w:tc>
      </w:tr>
      <w:tr w:rsidR="00BF11A8" w14:paraId="5990EB43" w14:textId="77777777">
        <w:trPr>
          <w:jc w:val="center"/>
        </w:trPr>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0E46AFC3" w14:textId="77777777" w:rsidR="00BF11A8" w:rsidRDefault="002A4232">
            <w:r>
              <w:rPr>
                <w:rFonts w:ascii="Arial" w:eastAsia="Arial" w:hAnsi="Arial" w:cs="Arial"/>
                <w:color w:val="000000"/>
                <w:sz w:val="20"/>
              </w:rPr>
              <w:t>Iron (Fe)</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48D1768C" w14:textId="77777777" w:rsidR="00BF11A8" w:rsidRDefault="002A4232">
            <w:r>
              <w:rPr>
                <w:rFonts w:ascii="Arial" w:eastAsia="Arial" w:hAnsi="Arial" w:cs="Arial"/>
                <w:color w:val="000000"/>
                <w:sz w:val="20"/>
              </w:rPr>
              <w:t>77.67 - 87.67 ppm</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26BDC73B" w14:textId="77777777" w:rsidR="00BF11A8" w:rsidRDefault="002A4232">
            <w:r>
              <w:rPr>
                <w:rFonts w:ascii="Arial" w:eastAsia="Arial" w:hAnsi="Arial" w:cs="Arial"/>
                <w:color w:val="000000"/>
                <w:sz w:val="20"/>
              </w:rPr>
              <w:t>Mithilasri et al. (2023)</w:t>
            </w:r>
          </w:p>
        </w:tc>
      </w:tr>
      <w:tr w:rsidR="00BF11A8" w14:paraId="70537515" w14:textId="77777777">
        <w:trPr>
          <w:jc w:val="center"/>
        </w:trPr>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279E5876" w14:textId="77777777" w:rsidR="00BF11A8" w:rsidRDefault="002A4232">
            <w:r>
              <w:rPr>
                <w:rFonts w:ascii="Arial" w:eastAsia="Arial" w:hAnsi="Arial" w:cs="Arial"/>
                <w:color w:val="000000"/>
                <w:sz w:val="20"/>
              </w:rPr>
              <w:t>Zinc (Zn)</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00B468A9" w14:textId="77777777" w:rsidR="00BF11A8" w:rsidRDefault="002A4232">
            <w:r>
              <w:rPr>
                <w:rFonts w:ascii="Arial" w:eastAsia="Arial" w:hAnsi="Arial" w:cs="Arial"/>
                <w:color w:val="000000"/>
                <w:sz w:val="20"/>
              </w:rPr>
              <w:t>20.00 - 26.67 ppm</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241FBAF1" w14:textId="77777777" w:rsidR="00BF11A8" w:rsidRDefault="002A4232">
            <w:r>
              <w:rPr>
                <w:rFonts w:ascii="Arial" w:eastAsia="Arial" w:hAnsi="Arial" w:cs="Arial"/>
                <w:color w:val="000000"/>
                <w:sz w:val="20"/>
              </w:rPr>
              <w:t>Mithilasri et al. (2023)</w:t>
            </w:r>
          </w:p>
        </w:tc>
      </w:tr>
      <w:tr w:rsidR="00BF11A8" w14:paraId="0AB66E74" w14:textId="77777777">
        <w:trPr>
          <w:jc w:val="center"/>
        </w:trPr>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4CBFA18C" w14:textId="77777777" w:rsidR="00BF11A8" w:rsidRDefault="002A4232">
            <w:r>
              <w:rPr>
                <w:rFonts w:ascii="Arial" w:eastAsia="Arial" w:hAnsi="Arial" w:cs="Arial"/>
                <w:color w:val="000000"/>
                <w:sz w:val="20"/>
              </w:rPr>
              <w:t>Ascorbic Acid (Fresh Leaf)</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6EA56447" w14:textId="77777777" w:rsidR="00BF11A8" w:rsidRDefault="002A4232">
            <w:r>
              <w:rPr>
                <w:rFonts w:ascii="Arial" w:eastAsia="Arial" w:hAnsi="Arial" w:cs="Arial"/>
                <w:color w:val="000000"/>
                <w:sz w:val="20"/>
              </w:rPr>
              <w:t>160 - 280 mg/100g</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5A04F1A0" w14:textId="77777777" w:rsidR="00BF11A8" w:rsidRDefault="002A4232">
            <w:r>
              <w:rPr>
                <w:rFonts w:ascii="Arial" w:eastAsia="Arial" w:hAnsi="Arial" w:cs="Arial"/>
                <w:color w:val="000000"/>
                <w:sz w:val="20"/>
              </w:rPr>
              <w:t>Srivastava et al. (2006)</w:t>
            </w:r>
          </w:p>
        </w:tc>
      </w:tr>
      <w:tr w:rsidR="00BF11A8" w14:paraId="2BB447C5" w14:textId="77777777">
        <w:trPr>
          <w:jc w:val="center"/>
        </w:trPr>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13B81E20" w14:textId="77777777" w:rsidR="00BF11A8" w:rsidRDefault="002A4232">
            <w:r>
              <w:rPr>
                <w:rFonts w:ascii="Arial" w:eastAsia="Arial" w:hAnsi="Arial" w:cs="Arial"/>
                <w:color w:val="000000"/>
                <w:sz w:val="20"/>
              </w:rPr>
              <w:lastRenderedPageBreak/>
              <w:t>Total Amino Acids (TAA)</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19687E21" w14:textId="77777777" w:rsidR="00BF11A8" w:rsidRDefault="002A4232">
            <w:r>
              <w:rPr>
                <w:rFonts w:ascii="Arial" w:eastAsia="Arial" w:hAnsi="Arial" w:cs="Arial"/>
                <w:color w:val="000000"/>
                <w:sz w:val="20"/>
              </w:rPr>
              <w:t>410.77 mg/g</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58BB7CEC" w14:textId="77777777" w:rsidR="00BF11A8" w:rsidRDefault="002A4232">
            <w:r>
              <w:rPr>
                <w:rFonts w:ascii="Arial" w:eastAsia="Arial" w:hAnsi="Arial" w:cs="Arial"/>
                <w:color w:val="000000"/>
                <w:sz w:val="20"/>
              </w:rPr>
              <w:t>Xue et al. (2025)</w:t>
            </w:r>
          </w:p>
        </w:tc>
      </w:tr>
      <w:tr w:rsidR="00BF11A8" w14:paraId="4CBEBB5F" w14:textId="77777777">
        <w:trPr>
          <w:jc w:val="center"/>
        </w:trPr>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3E3228D5" w14:textId="77777777" w:rsidR="00BF11A8" w:rsidRDefault="002A4232">
            <w:r>
              <w:rPr>
                <w:rFonts w:ascii="Arial" w:eastAsia="Arial" w:hAnsi="Arial" w:cs="Arial"/>
                <w:color w:val="000000"/>
                <w:sz w:val="20"/>
              </w:rPr>
              <w:t>Total Phenolics</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25554C2C" w14:textId="77777777" w:rsidR="00BF11A8" w:rsidRDefault="002A4232">
            <w:r>
              <w:rPr>
                <w:rFonts w:ascii="Arial" w:eastAsia="Arial" w:hAnsi="Arial" w:cs="Arial"/>
                <w:color w:val="000000"/>
                <w:sz w:val="20"/>
              </w:rPr>
              <w:t>17.03 - 20.07 mg GAE/g</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5457F0D3" w14:textId="77777777" w:rsidR="00BF11A8" w:rsidRDefault="002A4232">
            <w:r>
              <w:rPr>
                <w:rFonts w:ascii="Arial" w:eastAsia="Arial" w:hAnsi="Arial" w:cs="Arial"/>
                <w:color w:val="000000"/>
                <w:sz w:val="20"/>
              </w:rPr>
              <w:t>Urbanek Krajnc et al. (2022)</w:t>
            </w:r>
          </w:p>
        </w:tc>
      </w:tr>
    </w:tbl>
    <w:p w14:paraId="4C271ADB" w14:textId="77777777" w:rsidR="00BF11A8" w:rsidRDefault="002A4232">
      <w:pPr>
        <w:pStyle w:val="Heading1"/>
        <w:spacing w:after="240" w:line="294" w:lineRule="auto"/>
      </w:pPr>
      <w:r>
        <w:rPr>
          <w:rFonts w:ascii="Arial" w:eastAsia="Arial" w:hAnsi="Arial" w:cs="Arial"/>
          <w:color w:val="000000"/>
          <w:sz w:val="22"/>
        </w:rPr>
        <w:t>3. INFLUENCE OF MULBERRY NUTRITION ON LEAF YIELD AND QUALITY</w:t>
      </w:r>
    </w:p>
    <w:p w14:paraId="133E1A41" w14:textId="77777777" w:rsidR="00BF11A8" w:rsidRDefault="002A4232">
      <w:pPr>
        <w:spacing w:after="240" w:line="294" w:lineRule="auto"/>
        <w:jc w:val="both"/>
      </w:pPr>
      <w:r>
        <w:rPr>
          <w:rFonts w:ascii="Arial" w:eastAsia="Arial" w:hAnsi="Arial" w:cs="Arial"/>
          <w:color w:val="000000"/>
          <w:sz w:val="20"/>
        </w:rPr>
        <w:t>The productivity of sericulture is fundamentally tied to the yield and quality of mulberry leaves, which are, in turn, heavily influenced by nutrient management practices. A well-devised fertilization strategy is essential to replenish the nutrients removed from the soil with each leaf harvest and to sustain vigorous plant growth. The effects of nutrient management are manifested in increased leaf biomass, altered biochemical composition and improved palatability for silkworms.</w:t>
      </w:r>
    </w:p>
    <w:p w14:paraId="5081E928" w14:textId="77777777" w:rsidR="00BF11A8" w:rsidRDefault="002A4232">
      <w:pPr>
        <w:pStyle w:val="Heading2"/>
        <w:spacing w:before="360" w:after="180" w:line="294" w:lineRule="auto"/>
      </w:pPr>
      <w:r>
        <w:rPr>
          <w:rFonts w:ascii="Arial" w:eastAsia="Arial" w:hAnsi="Arial" w:cs="Arial"/>
          <w:color w:val="000000"/>
          <w:sz w:val="22"/>
        </w:rPr>
        <w:t>3.1 Effects of Fertilization on Mulberry Growth and Leaf Biomass</w:t>
      </w:r>
    </w:p>
    <w:p w14:paraId="22DA908E" w14:textId="77777777" w:rsidR="00BF11A8" w:rsidRDefault="002A4232">
      <w:pPr>
        <w:spacing w:after="240" w:line="294" w:lineRule="auto"/>
        <w:jc w:val="both"/>
      </w:pPr>
      <w:r>
        <w:rPr>
          <w:rFonts w:ascii="Arial" w:eastAsia="Arial" w:hAnsi="Arial" w:cs="Arial"/>
          <w:color w:val="000000"/>
          <w:sz w:val="20"/>
        </w:rPr>
        <w:t>The application of fertilizers, both organic and inorganic, has a pronounced effect on the vegetative growth of mulberry plants. Key growth parameters such as plant height, number of shoots, number of leaves per plant and leaf area are significantly enhanced by balanced nutrition (Ram and Sannappa, 2017). Nitrogen (N) is particularly influential, as it promotes cell division and elongation, leading to longer shoots and a greater number of leaves (Paul and Qaiyyum, 2009). Studies have consistently shown that increasing levels of NPK application lead to a significant increase in leaf yield. For instance, Ahmed et al. (2022) reported that prominent doses of nitrogen enhanced both mulberry leaf yield and quality. Similarly, Anislag and Gavina (2022) found that fertilization strategies involving chicken compost and urea significantly increased the number of shoots, shoot weight and leaf weight compared to unfertilized controls. The integration of organic manures like Farm Yard Manure (FYM) with recommended doses of chemical fertilizers (RDF) has also been proven to boost yield parameters significantly (The Pharma Innovation Journal, 2022). For example, a treatment combining 100% RDF with FYM resulted in the highest leaf yield per hectare (The Pharma Innovation Journal, 2022). Emerging technologies like nano-fertilizers have also shown promise; foliar application of nano NPK at 6 g/L resulted in a leaf yield of 752.25 g/plant, significantly higher than the 563.97 g/plant in unsprayed controls (Plant Archives, 2023).</w:t>
      </w:r>
    </w:p>
    <w:p w14:paraId="35E85614" w14:textId="77777777" w:rsidR="00BF11A8" w:rsidRDefault="002A4232">
      <w:pPr>
        <w:pStyle w:val="Heading2"/>
        <w:spacing w:before="360" w:after="180" w:line="294" w:lineRule="auto"/>
      </w:pPr>
      <w:r>
        <w:rPr>
          <w:rFonts w:ascii="Arial" w:eastAsia="Arial" w:hAnsi="Arial" w:cs="Arial"/>
          <w:color w:val="000000"/>
          <w:sz w:val="22"/>
        </w:rPr>
        <w:t>3.2 Changes in Biochemical Composition of Leaves</w:t>
      </w:r>
    </w:p>
    <w:p w14:paraId="2D3B037A" w14:textId="77777777" w:rsidR="00BF11A8" w:rsidRDefault="002A4232">
      <w:pPr>
        <w:spacing w:after="240" w:line="294" w:lineRule="auto"/>
        <w:jc w:val="both"/>
      </w:pPr>
      <w:r>
        <w:rPr>
          <w:rFonts w:ascii="Arial" w:eastAsia="Arial" w:hAnsi="Arial" w:cs="Arial"/>
          <w:color w:val="000000"/>
          <w:sz w:val="20"/>
        </w:rPr>
        <w:t xml:space="preserve">Nutrient management not only increases the quantity of leaves but also profoundly alters their quality by modifying their biochemical composition. Adequate nitrogen supply is directly correlated with higher crude protein content in leaves, a critical factor for silkworm nutrition (Ren et al., 2025; Shankar et al., 2000). Rashmi (2025) reported that integrated nutrient management practices significantly increased leaf protein and carbohydrate content. The application of organic manures and biofertilizers enhances the availability of various nutrients, leading to higher concentrations of chlorophyll, which is an indicator of photosynthetic efficiency (Ahammed et al., 2025; International Journal of Advanced Biochemistry Research, 2025). For example, treatments with vermicompost and microbial consortiums have been shown to increase chlorophyll, protein and carbohydrate levels (Khan, 2026; Rashmi, 2025). Leaf moisture content, another crucial quality parameter that affects palatability and digestibility for silkworms, is also improved with </w:t>
      </w:r>
      <w:r>
        <w:rPr>
          <w:rFonts w:ascii="Arial" w:eastAsia="Arial" w:hAnsi="Arial" w:cs="Arial"/>
          <w:color w:val="000000"/>
          <w:sz w:val="20"/>
        </w:rPr>
        <w:lastRenderedPageBreak/>
        <w:t>balanced fertilization. Higher nitrogen levels are positively related to leaf moisture, making the leaves more succulent and desirable for the larvae (Bongale et al., 2000).</w:t>
      </w:r>
    </w:p>
    <w:p w14:paraId="4C011A5D" w14:textId="77777777" w:rsidR="00BF11A8" w:rsidRDefault="002A4232">
      <w:pPr>
        <w:pStyle w:val="Heading2"/>
        <w:spacing w:before="360" w:after="180" w:line="294" w:lineRule="auto"/>
      </w:pPr>
      <w:r>
        <w:rPr>
          <w:rFonts w:ascii="Arial" w:eastAsia="Arial" w:hAnsi="Arial" w:cs="Arial"/>
          <w:color w:val="000000"/>
          <w:sz w:val="22"/>
        </w:rPr>
        <w:t>3.3 Nutrient Status and Leaf Palatability</w:t>
      </w:r>
    </w:p>
    <w:p w14:paraId="615D40B8" w14:textId="77777777" w:rsidR="00BF11A8" w:rsidRDefault="002A4232">
      <w:pPr>
        <w:spacing w:after="240" w:line="294" w:lineRule="auto"/>
        <w:jc w:val="both"/>
      </w:pPr>
      <w:r>
        <w:rPr>
          <w:rFonts w:ascii="Arial" w:eastAsia="Arial" w:hAnsi="Arial" w:cs="Arial"/>
          <w:color w:val="000000"/>
          <w:sz w:val="20"/>
        </w:rPr>
        <w:t>The nutritional status of the mulberry plant directly influences the palatability and consumption rate of leaves by silkworms. Silkworms exhibit a strong feeding preference for leaves that are nutritionally balanced and rich in phagostimulants like sucrose, sitosterol and specific phenolic compounds like chlorogenic acid (Urbanek Krajnc et al., 2022). Proper nutrient management ensures the synthesis of these compounds. For instance, chlorogenic acid, which stimulates feeding, is found in higher concentrations in well-nourished leaves (Urbanek Krajnc et al., 2022). Conversely, nutrient deficiencies can lead to the accumulation of anti-nutritional compounds or a reduction in feeding stimulants, making the leaves less palatable. For example, excessive tannins, which can accumulate under certain stress conditions, may reduce nutrient availability by binding to proteins, thereby impairing digestion and reducing leaf intake (Bongale and Chaluvachari, 2026). Therefore, a balanced nutrient supply is crucial not only for producing a high yield of leaves but also for ensuring those leaves are of a quality that promotes vigorous feeding and optimal growth in silkworms.</w:t>
      </w:r>
    </w:p>
    <w:p w14:paraId="5188B200" w14:textId="77777777" w:rsidR="00BF11A8" w:rsidRDefault="002A4232">
      <w:pPr>
        <w:pStyle w:val="Heading1"/>
        <w:spacing w:after="240" w:line="294" w:lineRule="auto"/>
      </w:pPr>
      <w:bookmarkStart w:id="0" w:name="section-5"/>
      <w:r>
        <w:rPr>
          <w:rFonts w:ascii="Arial" w:eastAsia="Arial" w:hAnsi="Arial" w:cs="Arial"/>
          <w:color w:val="000000"/>
          <w:sz w:val="22"/>
        </w:rPr>
        <w:t>4. INFLUENCE OF MULBERRY NUTRITION ON SILKWORM GROWTH AND DEVELOPMENT</w:t>
      </w:r>
      <w:bookmarkEnd w:id="0"/>
    </w:p>
    <w:p w14:paraId="04219E11" w14:textId="77777777" w:rsidR="00BF11A8" w:rsidRDefault="002A4232">
      <w:pPr>
        <w:spacing w:after="240" w:line="294" w:lineRule="auto"/>
        <w:jc w:val="both"/>
      </w:pPr>
      <w:r>
        <w:rPr>
          <w:rFonts w:ascii="Arial" w:eastAsia="Arial" w:hAnsi="Arial" w:cs="Arial"/>
          <w:color w:val="000000"/>
          <w:sz w:val="20"/>
        </w:rPr>
        <w:t xml:space="preserve">The nutritional quality of mulberry leaves is the cornerstone of silkworm health, directly governing larval growth, developmental duration and physiological efficiency. As </w:t>
      </w:r>
      <w:r>
        <w:rPr>
          <w:rFonts w:ascii="Arial" w:eastAsia="Arial" w:hAnsi="Arial" w:cs="Arial"/>
          <w:i/>
          <w:color w:val="000000"/>
          <w:sz w:val="20"/>
        </w:rPr>
        <w:t>Bombyx mori</w:t>
      </w:r>
      <w:r>
        <w:rPr>
          <w:rFonts w:ascii="Arial" w:eastAsia="Arial" w:hAnsi="Arial" w:cs="Arial"/>
          <w:color w:val="000000"/>
          <w:sz w:val="20"/>
        </w:rPr>
        <w:t xml:space="preserve"> consumes mulberry leaves, the ingested nutrients are digested, absorbed and assimilated to fuel metabolic processes, tissue growth and ultimately, silk synthesis. The intricate link between leaf quality and larval performance underscores the importance of optimized mulberry nutrition in sericulture.</w:t>
      </w:r>
    </w:p>
    <w:p w14:paraId="18B9B384" w14:textId="77777777" w:rsidR="00BF11A8" w:rsidRDefault="002A4232">
      <w:pPr>
        <w:pStyle w:val="Heading2"/>
        <w:spacing w:before="360" w:after="180" w:line="294" w:lineRule="auto"/>
      </w:pPr>
      <w:r>
        <w:rPr>
          <w:rFonts w:ascii="Arial" w:eastAsia="Arial" w:hAnsi="Arial" w:cs="Arial"/>
          <w:color w:val="000000"/>
          <w:sz w:val="22"/>
        </w:rPr>
        <w:t>4.1 Effects of Leaf Nutritional Quality on Larval Growth Rate</w:t>
      </w:r>
    </w:p>
    <w:p w14:paraId="2728916B" w14:textId="77777777" w:rsidR="00BF11A8" w:rsidRDefault="002A4232">
      <w:pPr>
        <w:spacing w:after="240" w:line="294" w:lineRule="auto"/>
        <w:jc w:val="both"/>
      </w:pPr>
      <w:r>
        <w:rPr>
          <w:rFonts w:ascii="Arial" w:eastAsia="Arial" w:hAnsi="Arial" w:cs="Arial"/>
          <w:color w:val="000000"/>
          <w:sz w:val="20"/>
        </w:rPr>
        <w:t>The growth of silkworm larvae, particularly during the final two instars (4th and 5th), is exponential, with the 5th instar alone accounting for 80-85% of the total leaf consumption (Ramesha et al., 2012). The rate of larval weight gain is highly correlated with the nutritional value of the ingested leaves. High-quality leaves, rich in protein, carbohydrates and essential amino acids, support a rapid increase in larval biomass (Muzamil et al., 2023). Studies consistently demonstrate that larvae fed on leaves from well-fertilized mulberry plants exhibit significantly higher weights compared to those fed on leaves from nutrient-deficient plants. For instance, Hăbeanu, Gheorghe, Lefter and Mihalcea (2026) found that supplementing mulberry leaves with probiotics, which enhance nutrient availability, led to increased larval weight and average daily gain (ADG). Similarly, Muzamil et al. (2023) reported that fortifying leaves with amino acids like alanine significantly increased larval weight throughout the 5th instar. The protein content of leaves is especially critical, as approximately 70% of the silk protein is biosynthesized directly from the amino acids derived from leaf proteins.</w:t>
      </w:r>
    </w:p>
    <w:p w14:paraId="5A5F6DC4" w14:textId="77777777" w:rsidR="00BF11A8" w:rsidRDefault="002A4232">
      <w:pPr>
        <w:pStyle w:val="Heading2"/>
        <w:spacing w:before="360" w:after="180" w:line="294" w:lineRule="auto"/>
      </w:pPr>
      <w:r>
        <w:rPr>
          <w:rFonts w:ascii="Arial" w:eastAsia="Arial" w:hAnsi="Arial" w:cs="Arial"/>
          <w:color w:val="000000"/>
          <w:sz w:val="22"/>
        </w:rPr>
        <w:lastRenderedPageBreak/>
        <w:t>4.2 Impact on Larval Duration, Survival and Physiological Efficiency</w:t>
      </w:r>
    </w:p>
    <w:p w14:paraId="1A02E560" w14:textId="77777777" w:rsidR="00BF11A8" w:rsidRDefault="002A4232">
      <w:pPr>
        <w:spacing w:after="240" w:line="294" w:lineRule="auto"/>
        <w:jc w:val="both"/>
      </w:pPr>
      <w:r>
        <w:rPr>
          <w:rFonts w:ascii="Arial" w:eastAsia="Arial" w:hAnsi="Arial" w:cs="Arial"/>
          <w:color w:val="000000"/>
          <w:sz w:val="20"/>
        </w:rPr>
        <w:t>Nutritional quality not only affects the rate of growth but also the duration of the larval stage and the survival rate. Larvae fed on nutrient-rich leaves complete their development faster, leading to a shorter larval period, which is economically advantageous as it reduces labor costs and the risk of disease exposure (Reddy et al., 2024). Conversely, poor nutrition prolongs the larval stage and increases mortality (Garai, 2025). The Effective Rate of Rearing (ERR), a key metric representing the percentage of larvae that successfully develop into cocoons, is significantly higher when silkworms are reared on high-quality leaves (Reddy et al., 2024). Nutritional efficiency indices, such as the Efficiency of Conversion of Ingested food (ECI) and Digested food (ECD) to biomass, are also improved. These indices measure the larva’s ability to convert feed into body mass and higher values indicate better nutrient utilization (Chinnaswamy et al., 2012). For example, Hăbeanu, Gheorghe, Lefter and Mihalcea (2026) observed that probiotic supplementation improved feed conversion ratios, indicating more efficient nutrient assimilation.</w:t>
      </w:r>
    </w:p>
    <w:p w14:paraId="7C26604C" w14:textId="77777777" w:rsidR="00BF11A8" w:rsidRDefault="002A4232">
      <w:pPr>
        <w:pStyle w:val="Heading2"/>
        <w:spacing w:before="360" w:after="180" w:line="294" w:lineRule="auto"/>
      </w:pPr>
      <w:r>
        <w:rPr>
          <w:rFonts w:ascii="Arial" w:eastAsia="Arial" w:hAnsi="Arial" w:cs="Arial"/>
          <w:color w:val="000000"/>
          <w:sz w:val="22"/>
        </w:rPr>
        <w:t>4.3 Nutritional Regulation of Digestive Enzymes and Metabolic Processes</w:t>
      </w:r>
    </w:p>
    <w:p w14:paraId="67494E4D" w14:textId="77777777" w:rsidR="00BF11A8" w:rsidRDefault="002A4232">
      <w:pPr>
        <w:spacing w:after="240" w:line="294" w:lineRule="auto"/>
        <w:jc w:val="both"/>
      </w:pPr>
      <w:r>
        <w:rPr>
          <w:rFonts w:ascii="Arial" w:eastAsia="Arial" w:hAnsi="Arial" w:cs="Arial"/>
          <w:color w:val="000000"/>
          <w:sz w:val="20"/>
        </w:rPr>
        <w:t>The digestion of complex macromolecules in mulberry leaves into absorbable units is facilitated by a suite of digestive enzymes in the silkworm’s midgut, including amylase (for carbohydrates), proteases (for proteins) and lipases (for fats) (Saravanan et al., 2011). The activity of these enzymes is dynamically regulated by the nutritional composition of the diet. For instance, a diet rich in protein can induce higher protease activity, while a high-carbohydrate diet can upregulate amylase activity (Saravanan et al., 2011). Studies have shown that supplementing mulberry leaves with nutrients can enhance the activity of these digestive enzymes, leading to improved digestibility. The approximate digestibility of mulberry leaves, which averages around 54%, can be significantly increased through dietary fortification (Doliș et al., 2024; Hăbeanu, Gheorghe, Lefter, and Mihalcea, 2026). Beyond digestion, leaf nutrients regulate key metabolic pathways. Metabolomic studies have revealed significant differences in the metabolic profiles of silkworms fed on mulberry leaves versus artificial diets, with pathways related to amino acid metabolism, energy metabolism and lipid metabolism being particularly affected (Dong et al., 2017; Wu et al., 2022). For example, silkworms on artificial diets often show signs of dysfunctional energy metabolism and impaired nutrient absorption compared to their mulberry-fed counterparts, highlighting the unique and optimized nutritional synergy between the silkworm and its natural host plant (Zhou et al., 2008).</w:t>
      </w:r>
    </w:p>
    <w:p w14:paraId="024DC235" w14:textId="77777777" w:rsidR="00BF11A8" w:rsidRDefault="002A4232">
      <w:pPr>
        <w:pStyle w:val="Heading1"/>
        <w:spacing w:after="240" w:line="294" w:lineRule="auto"/>
      </w:pPr>
      <w:bookmarkStart w:id="1" w:name="section-6"/>
      <w:r>
        <w:rPr>
          <w:rFonts w:ascii="Arial" w:eastAsia="Arial" w:hAnsi="Arial" w:cs="Arial"/>
          <w:color w:val="000000"/>
          <w:sz w:val="22"/>
        </w:rPr>
        <w:t>5. EFFECTS OF MULBERRY NUTRITION ON COCOON YIELD AND SILK QUALITY</w:t>
      </w:r>
      <w:bookmarkEnd w:id="1"/>
    </w:p>
    <w:p w14:paraId="7C2023BF" w14:textId="77777777" w:rsidR="00BF11A8" w:rsidRDefault="002A4232">
      <w:pPr>
        <w:spacing w:after="240" w:line="294" w:lineRule="auto"/>
        <w:jc w:val="both"/>
      </w:pPr>
      <w:r>
        <w:rPr>
          <w:rFonts w:ascii="Arial" w:eastAsia="Arial" w:hAnsi="Arial" w:cs="Arial"/>
          <w:color w:val="000000"/>
          <w:sz w:val="20"/>
        </w:rPr>
        <w:t>The ultimate goal of sericulture is the production of high-quality cocoons, which serve as the raw material for the silk industry. The nutritional intake of the silkworm during its larval stage has a direct and quantifiable impact on the economic traits of the cocoon, including its weight, the proportion of silk it contains (shell ratio) and the physical properties of the silk filament.</w:t>
      </w:r>
    </w:p>
    <w:p w14:paraId="780854F1" w14:textId="77777777" w:rsidR="00BF11A8" w:rsidRDefault="002A4232">
      <w:pPr>
        <w:pStyle w:val="Heading2"/>
        <w:spacing w:before="360" w:after="180" w:line="294" w:lineRule="auto"/>
      </w:pPr>
      <w:r>
        <w:rPr>
          <w:rFonts w:ascii="Arial" w:eastAsia="Arial" w:hAnsi="Arial" w:cs="Arial"/>
          <w:color w:val="000000"/>
          <w:sz w:val="22"/>
        </w:rPr>
        <w:t>5.1 Influence on Cocoon Weight, Shell Ratio and Productivity</w:t>
      </w:r>
    </w:p>
    <w:p w14:paraId="72AF8A5F" w14:textId="77777777" w:rsidR="00BF11A8" w:rsidRDefault="002A4232">
      <w:pPr>
        <w:spacing w:after="240" w:line="294" w:lineRule="auto"/>
        <w:jc w:val="both"/>
      </w:pPr>
      <w:r>
        <w:rPr>
          <w:rFonts w:ascii="Arial" w:eastAsia="Arial" w:hAnsi="Arial" w:cs="Arial"/>
          <w:color w:val="000000"/>
          <w:sz w:val="20"/>
        </w:rPr>
        <w:t xml:space="preserve">Cocoon weight is a primary indicator of a successful rearing and is strongly influenced by the final weight of the mature larva. Larvae fed on high-quality, nutrient-dense mulberry leaves attain a greater body mass, which translates directly into heavier cocoons (Muzamil et al., 2023). Numerous studies have established a positive correlation between improved mulberry nutrition and increased cocoon weight. For </w:t>
      </w:r>
      <w:r>
        <w:rPr>
          <w:rFonts w:ascii="Arial" w:eastAsia="Arial" w:hAnsi="Arial" w:cs="Arial"/>
          <w:color w:val="000000"/>
          <w:sz w:val="20"/>
        </w:rPr>
        <w:lastRenderedPageBreak/>
        <w:t>example, Reddy et al. (2024) demonstrated that applying secondary nutrients (Ca, Mg, S) to mulberry plants resulted in significantly higher cocoon weights (mean of 2.54 g) compared to the control (2.08 g). Similarly, Hăbeanu, Gheorghe, Lefter and Mihalcea (2026) found that fortifying leaves with a probiotic mixture increased cocoon weight, particularly in the more responsive Kahuri/T breed. The cocoon shell weight and shell ratio (shell weight as a percentage of total cocoon weight) are even more critical economic traits, as they represent the actual amount of raw silk available for reeling. High protein content in mulberry leaves is essential for the development of the silk glands and the synthesis of silk proteins, leading to a heavier shell and a higher shell ratio. Muzamil et al. (2023) reported a shell ratio of up to 35.21% in silkworms fed with alanine-fortified leaves, a significant increase from the 21.55% in the control group. These improvements in individual cocoon traits culminate in higher overall cocoon yield per 10,000 larvae, a key metric for commercial viability (International Journal of Veterinary Sciences and Animal Husbandry, 2024).</w:t>
      </w:r>
    </w:p>
    <w:p w14:paraId="535C6335" w14:textId="77777777" w:rsidR="00BF11A8" w:rsidRDefault="002A4232">
      <w:pPr>
        <w:pStyle w:val="Heading2"/>
        <w:spacing w:before="360" w:after="180" w:line="294" w:lineRule="auto"/>
      </w:pPr>
      <w:r>
        <w:rPr>
          <w:rFonts w:ascii="Arial" w:eastAsia="Arial" w:hAnsi="Arial" w:cs="Arial"/>
          <w:color w:val="000000"/>
          <w:sz w:val="22"/>
        </w:rPr>
        <w:t>5.2 Effects on Silk Filament Length, Strength and Denier</w:t>
      </w:r>
    </w:p>
    <w:p w14:paraId="1A56DC78" w14:textId="77777777" w:rsidR="00BF11A8" w:rsidRDefault="002A4232">
      <w:pPr>
        <w:spacing w:after="240" w:line="294" w:lineRule="auto"/>
        <w:jc w:val="both"/>
      </w:pPr>
      <w:r>
        <w:rPr>
          <w:rFonts w:ascii="Arial" w:eastAsia="Arial" w:hAnsi="Arial" w:cs="Arial"/>
          <w:color w:val="000000"/>
          <w:sz w:val="20"/>
        </w:rPr>
        <w:t>Beyond the sheer quantity of silk, mulberry nutrition also affects the quality of the silk filament. Filament length, a measure of the continuous thread that can be reeled from a single cocoon, is a primary quality parameter. Longer filaments are more desirable as they result in less breakage during reeling and weaving. Studies have shown that improved nutrition leads to longer filaments. Reddy et al. (2024) recorded a maximum filament length of 1356.57 m in cocoons from larvae fed on leaves from mulberry treated with an optimal dose of secondary nutrients, compared to 1077.34 m in the control. The denier of the filament, which is a measure of its linear mass density or thickness, is also influenced by nutrition. A balanced diet ensures the uniform secretion of silk proteins, resulting in a filament with a consistent denier (International Journal of Advanced Biochemistry Research, 2024). While less frequently studied, filament strength and elasticity, which are determined by the molecular structure of the fibroin protein, are also believed to be influenced by the availability of specific amino acids like glycine, alanine and serine from the diet (Muzamil et al., 2023).</w:t>
      </w:r>
    </w:p>
    <w:p w14:paraId="1154B6DF" w14:textId="77777777" w:rsidR="00BF11A8" w:rsidRDefault="002A4232">
      <w:pPr>
        <w:pStyle w:val="Heading2"/>
        <w:spacing w:before="360" w:after="180" w:line="294" w:lineRule="auto"/>
      </w:pPr>
      <w:r>
        <w:rPr>
          <w:rFonts w:ascii="Arial" w:eastAsia="Arial" w:hAnsi="Arial" w:cs="Arial"/>
          <w:color w:val="000000"/>
          <w:sz w:val="22"/>
        </w:rPr>
        <w:t>5.3 Evidence from Experimental Studies</w:t>
      </w:r>
    </w:p>
    <w:p w14:paraId="79F8433A" w14:textId="55E10DBC" w:rsidR="00BF11A8" w:rsidRDefault="002A4232">
      <w:pPr>
        <w:spacing w:after="240" w:line="294" w:lineRule="auto"/>
        <w:jc w:val="both"/>
      </w:pPr>
      <w:r>
        <w:rPr>
          <w:rFonts w:ascii="Arial" w:eastAsia="Arial" w:hAnsi="Arial" w:cs="Arial"/>
          <w:color w:val="000000"/>
          <w:sz w:val="20"/>
        </w:rPr>
        <w:t>A large body of experimental evidence supports the link between leaf nutrient status and cocoon productivity. Ruth et al. (2019) demonstrated significant variations in cocoon weight, shell weight and filament length when different silkworm strains were reared on various mulberry varieties, underscoring the genetic component of leaf quality. Table 2 further synthesizes findings from several studies, showing a clear trend where enhanced nutrient management</w:t>
      </w:r>
      <w:r w:rsidR="00945BC4">
        <w:rPr>
          <w:rFonts w:ascii="Arial" w:eastAsia="Arial" w:hAnsi="Arial" w:cs="Arial"/>
          <w:color w:val="000000"/>
          <w:sz w:val="20"/>
        </w:rPr>
        <w:t xml:space="preserve"> </w:t>
      </w:r>
      <w:r>
        <w:rPr>
          <w:rFonts w:ascii="Arial" w:eastAsia="Arial" w:hAnsi="Arial" w:cs="Arial"/>
          <w:color w:val="000000"/>
          <w:sz w:val="20"/>
        </w:rPr>
        <w:t>whether through balanced NPK application, organic amendments, or micronutrient fortification</w:t>
      </w:r>
      <w:r w:rsidR="00945BC4">
        <w:rPr>
          <w:rFonts w:ascii="Arial" w:eastAsia="Arial" w:hAnsi="Arial" w:cs="Arial"/>
          <w:color w:val="000000"/>
          <w:sz w:val="20"/>
        </w:rPr>
        <w:t xml:space="preserve"> </w:t>
      </w:r>
      <w:r>
        <w:rPr>
          <w:rFonts w:ascii="Arial" w:eastAsia="Arial" w:hAnsi="Arial" w:cs="Arial"/>
          <w:color w:val="000000"/>
          <w:sz w:val="20"/>
        </w:rPr>
        <w:t>leads to measurable improvements in both leaf yield and key cocoon parameters. For instance, the application of NPK fertilizers combined with FYM has been shown to increase cocoon yield per hectare (Murugan et al., 2019). These quantitative findings collectively affirm that strategic investment in mulberry nutrition is a direct and effective means of enhancing both the quantity and quality of silk production.</w:t>
      </w:r>
    </w:p>
    <w:p w14:paraId="44380D71" w14:textId="77777777" w:rsidR="00BF11A8" w:rsidRDefault="002A4232">
      <w:pPr>
        <w:spacing w:after="120" w:line="294" w:lineRule="auto"/>
      </w:pPr>
      <w:r>
        <w:rPr>
          <w:rFonts w:ascii="Arial" w:eastAsia="Arial" w:hAnsi="Arial" w:cs="Arial"/>
          <w:b/>
          <w:color w:val="000000"/>
          <w:sz w:val="20"/>
        </w:rPr>
        <w:t>Table 2. Effects of Nutrient Management Practices on Mulberry Leaf Yield and Cocoon Productivity</w:t>
      </w:r>
    </w:p>
    <w:tbl>
      <w:tblPr>
        <w:tblW w:w="0" w:type="auto"/>
        <w:jc w:val="center"/>
        <w:tblBorders>
          <w:insideH w:val="single" w:sz="4" w:space="0" w:color="DDDDDD"/>
          <w:insideV w:val="single" w:sz="4" w:space="0" w:color="DDDDDD"/>
        </w:tblBorders>
        <w:tblLook w:val="04A0" w:firstRow="1" w:lastRow="0" w:firstColumn="1" w:lastColumn="0" w:noHBand="0" w:noVBand="1"/>
      </w:tblPr>
      <w:tblGrid>
        <w:gridCol w:w="3204"/>
        <w:gridCol w:w="3197"/>
        <w:gridCol w:w="3199"/>
      </w:tblGrid>
      <w:tr w:rsidR="00BF11A8" w14:paraId="6281464E" w14:textId="77777777">
        <w:trPr>
          <w:jc w:val="center"/>
        </w:trPr>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35688E2E" w14:textId="77777777" w:rsidR="00BF11A8" w:rsidRDefault="002A4232">
            <w:r>
              <w:rPr>
                <w:rFonts w:ascii="Arial" w:eastAsia="Arial" w:hAnsi="Arial" w:cs="Arial"/>
                <w:color w:val="000000"/>
                <w:sz w:val="20"/>
              </w:rPr>
              <w:t>Nutrient Management Practice</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0723444B" w14:textId="77777777" w:rsidR="00BF11A8" w:rsidRDefault="002A4232">
            <w:r>
              <w:rPr>
                <w:rFonts w:ascii="Arial" w:eastAsia="Arial" w:hAnsi="Arial" w:cs="Arial"/>
                <w:color w:val="000000"/>
                <w:sz w:val="20"/>
              </w:rPr>
              <w:t xml:space="preserve">Key Findings on Leaf/Cocoon </w:t>
            </w:r>
            <w:r>
              <w:rPr>
                <w:rFonts w:ascii="Arial" w:eastAsia="Arial" w:hAnsi="Arial" w:cs="Arial"/>
                <w:color w:val="000000"/>
                <w:sz w:val="20"/>
              </w:rPr>
              <w:lastRenderedPageBreak/>
              <w:t>Parameters</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6EFFB2F5" w14:textId="77777777" w:rsidR="00BF11A8" w:rsidRDefault="002A4232">
            <w:r>
              <w:rPr>
                <w:rFonts w:ascii="Arial" w:eastAsia="Arial" w:hAnsi="Arial" w:cs="Arial"/>
                <w:color w:val="000000"/>
                <w:sz w:val="20"/>
              </w:rPr>
              <w:lastRenderedPageBreak/>
              <w:t>Reference</w:t>
            </w:r>
          </w:p>
        </w:tc>
      </w:tr>
      <w:tr w:rsidR="00BF11A8" w14:paraId="07A2F880" w14:textId="77777777">
        <w:trPr>
          <w:jc w:val="center"/>
        </w:trPr>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14730E5B" w14:textId="77777777" w:rsidR="00BF11A8" w:rsidRDefault="002A4232">
            <w:r>
              <w:rPr>
                <w:rFonts w:ascii="Arial" w:eastAsia="Arial" w:hAnsi="Arial" w:cs="Arial"/>
                <w:color w:val="000000"/>
                <w:sz w:val="20"/>
              </w:rPr>
              <w:t>Application of NPK fertilizers (100% RDF + FYM)</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1CFA81BE" w14:textId="77777777" w:rsidR="00BF11A8" w:rsidRDefault="002A4232">
            <w:r>
              <w:rPr>
                <w:rFonts w:ascii="Arial" w:eastAsia="Arial" w:hAnsi="Arial" w:cs="Arial"/>
                <w:color w:val="000000"/>
                <w:sz w:val="20"/>
              </w:rPr>
              <w:t>Increased leaf yield to 7464.80 kg/ha/crop. Highest cocoon weight (2.09 g) and shell weight (0.46 g) observed.</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515010D7" w14:textId="77777777" w:rsidR="00BF11A8" w:rsidRDefault="002A4232">
            <w:r>
              <w:rPr>
                <w:rFonts w:ascii="Arial" w:eastAsia="Arial" w:hAnsi="Arial" w:cs="Arial"/>
                <w:color w:val="000000"/>
                <w:sz w:val="20"/>
              </w:rPr>
              <w:t>The Pharma Innovation Journal (2022); International Journal of Advanced Biochemistry Research (2024)</w:t>
            </w:r>
          </w:p>
        </w:tc>
      </w:tr>
      <w:tr w:rsidR="00BF11A8" w14:paraId="17945D57" w14:textId="77777777">
        <w:trPr>
          <w:jc w:val="center"/>
        </w:trPr>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12240BA9" w14:textId="77777777" w:rsidR="00BF11A8" w:rsidRDefault="002A4232">
            <w:r>
              <w:rPr>
                <w:rFonts w:ascii="Arial" w:eastAsia="Arial" w:hAnsi="Arial" w:cs="Arial"/>
                <w:color w:val="000000"/>
                <w:sz w:val="20"/>
              </w:rPr>
              <w:t>Secondary Nutrient Application (</w:t>
            </w:r>
            <w:proofErr w:type="gramStart"/>
            <w:r>
              <w:rPr>
                <w:rFonts w:ascii="Arial" w:eastAsia="Arial" w:hAnsi="Arial" w:cs="Arial"/>
                <w:color w:val="000000"/>
                <w:sz w:val="20"/>
              </w:rPr>
              <w:t>Ca:Mg</w:t>
            </w:r>
            <w:proofErr w:type="gramEnd"/>
            <w:r>
              <w:rPr>
                <w:rFonts w:ascii="Arial" w:eastAsia="Arial" w:hAnsi="Arial" w:cs="Arial"/>
                <w:color w:val="000000"/>
                <w:sz w:val="20"/>
              </w:rPr>
              <w:t>:S at 82.5:27.5:25 kg/ha)</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0BE01EFA" w14:textId="77777777" w:rsidR="00BF11A8" w:rsidRDefault="002A4232">
            <w:r>
              <w:rPr>
                <w:rFonts w:ascii="Arial" w:eastAsia="Arial" w:hAnsi="Arial" w:cs="Arial"/>
                <w:color w:val="000000"/>
                <w:sz w:val="20"/>
              </w:rPr>
              <w:t>Increased mean larval weight to 48.23 g/10 larvae. Increased mean cocoon weight to 2.54 g and filament length to 1356.57 m.</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3011025C" w14:textId="77777777" w:rsidR="00BF11A8" w:rsidRDefault="002A4232">
            <w:r>
              <w:rPr>
                <w:rFonts w:ascii="Arial" w:eastAsia="Arial" w:hAnsi="Arial" w:cs="Arial"/>
                <w:color w:val="000000"/>
                <w:sz w:val="20"/>
              </w:rPr>
              <w:t>Reddy et al. (2024)</w:t>
            </w:r>
          </w:p>
        </w:tc>
      </w:tr>
      <w:tr w:rsidR="00BF11A8" w14:paraId="2A7B3EC5" w14:textId="77777777">
        <w:trPr>
          <w:jc w:val="center"/>
        </w:trPr>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31CD84E2" w14:textId="77777777" w:rsidR="00BF11A8" w:rsidRDefault="002A4232">
            <w:r>
              <w:rPr>
                <w:rFonts w:ascii="Arial" w:eastAsia="Arial" w:hAnsi="Arial" w:cs="Arial"/>
                <w:color w:val="000000"/>
                <w:sz w:val="20"/>
              </w:rPr>
              <w:t>Amino Acid Fortification (1% Alanine)</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346FA75F" w14:textId="77777777" w:rsidR="00BF11A8" w:rsidRDefault="002A4232">
            <w:r>
              <w:rPr>
                <w:rFonts w:ascii="Arial" w:eastAsia="Arial" w:hAnsi="Arial" w:cs="Arial"/>
                <w:color w:val="000000"/>
                <w:sz w:val="20"/>
              </w:rPr>
              <w:t>Increased cocoon weight to 1.313 g (vs. 0.983 g control) and shell ratio to 35.21% (vs. 21.55% control).</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3A74B61D" w14:textId="77777777" w:rsidR="00BF11A8" w:rsidRDefault="002A4232">
            <w:r>
              <w:rPr>
                <w:rFonts w:ascii="Arial" w:eastAsia="Arial" w:hAnsi="Arial" w:cs="Arial"/>
                <w:color w:val="000000"/>
                <w:sz w:val="20"/>
              </w:rPr>
              <w:t>Muzamil et al. (2023)</w:t>
            </w:r>
          </w:p>
        </w:tc>
      </w:tr>
      <w:tr w:rsidR="00BF11A8" w14:paraId="12B1D95D" w14:textId="77777777">
        <w:trPr>
          <w:jc w:val="center"/>
        </w:trPr>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5523C2F0" w14:textId="77777777" w:rsidR="00BF11A8" w:rsidRDefault="002A4232">
            <w:r>
              <w:rPr>
                <w:rFonts w:ascii="Arial" w:eastAsia="Arial" w:hAnsi="Arial" w:cs="Arial"/>
                <w:color w:val="000000"/>
                <w:sz w:val="20"/>
              </w:rPr>
              <w:t>Probiotic Fortification (2% Probiotic)</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57FA53F1" w14:textId="77777777" w:rsidR="00BF11A8" w:rsidRDefault="002A4232">
            <w:r>
              <w:rPr>
                <w:rFonts w:ascii="Arial" w:eastAsia="Arial" w:hAnsi="Arial" w:cs="Arial"/>
                <w:color w:val="000000"/>
                <w:sz w:val="20"/>
              </w:rPr>
              <w:t>Increased cocoon weight to 2.170 g (vs. 2.006 g control) and shell weight to 0.403 g (vs. 0.373 g control).</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39732DD3" w14:textId="77777777" w:rsidR="00BF11A8" w:rsidRDefault="002A4232">
            <w:r>
              <w:rPr>
                <w:rFonts w:ascii="Arial" w:eastAsia="Arial" w:hAnsi="Arial" w:cs="Arial"/>
                <w:color w:val="000000"/>
                <w:sz w:val="20"/>
              </w:rPr>
              <w:t>Habeanu, Gheorghe, Lefter, and Mihalcea (2026)</w:t>
            </w:r>
          </w:p>
        </w:tc>
      </w:tr>
      <w:tr w:rsidR="00BF11A8" w14:paraId="65825E4F" w14:textId="77777777">
        <w:trPr>
          <w:jc w:val="center"/>
        </w:trPr>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4BEC72DE" w14:textId="77777777" w:rsidR="00BF11A8" w:rsidRDefault="002A4232">
            <w:r>
              <w:rPr>
                <w:rFonts w:ascii="Arial" w:eastAsia="Arial" w:hAnsi="Arial" w:cs="Arial"/>
                <w:color w:val="000000"/>
                <w:sz w:val="20"/>
              </w:rPr>
              <w:t>Organic Farming (LEISA + Biofertilizer)</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48FF7D53" w14:textId="77777777" w:rsidR="00BF11A8" w:rsidRDefault="002A4232">
            <w:r>
              <w:rPr>
                <w:rFonts w:ascii="Arial" w:eastAsia="Arial" w:hAnsi="Arial" w:cs="Arial"/>
                <w:color w:val="000000"/>
                <w:sz w:val="20"/>
              </w:rPr>
              <w:t>Achieved higher cocoon yield per box (21.93 kg) and higher net income compared to conventional farming.</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0C77A85B" w14:textId="77777777" w:rsidR="00BF11A8" w:rsidRDefault="002A4232">
            <w:r>
              <w:rPr>
                <w:rFonts w:ascii="Arial" w:eastAsia="Arial" w:hAnsi="Arial" w:cs="Arial"/>
                <w:color w:val="000000"/>
                <w:sz w:val="20"/>
              </w:rPr>
              <w:t>Caccam and Mendoza (2025)</w:t>
            </w:r>
          </w:p>
        </w:tc>
      </w:tr>
      <w:tr w:rsidR="00BF11A8" w14:paraId="4D8A1570" w14:textId="77777777">
        <w:trPr>
          <w:jc w:val="center"/>
        </w:trPr>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5568DFD4" w14:textId="77777777" w:rsidR="00BF11A8" w:rsidRDefault="002A4232">
            <w:r>
              <w:rPr>
                <w:rFonts w:ascii="Arial" w:eastAsia="Arial" w:hAnsi="Arial" w:cs="Arial"/>
                <w:color w:val="000000"/>
                <w:sz w:val="20"/>
              </w:rPr>
              <w:t>Foliar Spray (Nano NPK at 6 g/l)</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335FADC5" w14:textId="77777777" w:rsidR="00BF11A8" w:rsidRDefault="002A4232">
            <w:r>
              <w:rPr>
                <w:rFonts w:ascii="Arial" w:eastAsia="Arial" w:hAnsi="Arial" w:cs="Arial"/>
                <w:color w:val="000000"/>
                <w:sz w:val="20"/>
              </w:rPr>
              <w:t>Increased leaf yield to 752.25 g/plant compared to 563.97 g/plant in control.</w:t>
            </w:r>
          </w:p>
        </w:tc>
        <w:tc>
          <w:tcPr>
            <w:tcW w:w="360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789A2BAA" w14:textId="77777777" w:rsidR="00BF11A8" w:rsidRDefault="002A4232">
            <w:r>
              <w:rPr>
                <w:rFonts w:ascii="Arial" w:eastAsia="Arial" w:hAnsi="Arial" w:cs="Arial"/>
                <w:color w:val="000000"/>
                <w:sz w:val="20"/>
              </w:rPr>
              <w:t>Plant Archives (2023)</w:t>
            </w:r>
          </w:p>
        </w:tc>
      </w:tr>
    </w:tbl>
    <w:p w14:paraId="45654D1E" w14:textId="77777777" w:rsidR="00BF11A8" w:rsidRDefault="002A4232">
      <w:pPr>
        <w:pStyle w:val="Heading1"/>
        <w:spacing w:after="240" w:line="294" w:lineRule="auto"/>
      </w:pPr>
      <w:bookmarkStart w:id="2" w:name="section-7"/>
      <w:r>
        <w:rPr>
          <w:rFonts w:ascii="Arial" w:eastAsia="Arial" w:hAnsi="Arial" w:cs="Arial"/>
          <w:color w:val="000000"/>
          <w:sz w:val="22"/>
        </w:rPr>
        <w:t>6. ORGANIC AND INTEGRATED NUTRIENT MANAGEMENT IN MULBERRY</w:t>
      </w:r>
      <w:bookmarkEnd w:id="2"/>
    </w:p>
    <w:p w14:paraId="5A4C5329" w14:textId="77777777" w:rsidR="00BF11A8" w:rsidRDefault="002A4232">
      <w:pPr>
        <w:spacing w:after="240" w:line="294" w:lineRule="auto"/>
        <w:jc w:val="both"/>
      </w:pPr>
      <w:r>
        <w:rPr>
          <w:rFonts w:ascii="Arial" w:eastAsia="Arial" w:hAnsi="Arial" w:cs="Arial"/>
          <w:color w:val="000000"/>
          <w:sz w:val="20"/>
        </w:rPr>
        <w:t>In response to the environmental and economic challenges posed by conventional, chemical-intensive agriculture, sustainable nutrient management strategies have gained prominence in sericulture. Organic and Integrated Nutrient Management (INM) practices aim to maintain or enhance soil fertility, improve leaf quality and ensure the long-term viability of mulberry cultivation while minimizing negative ecological impacts.</w:t>
      </w:r>
    </w:p>
    <w:p w14:paraId="3D1F2EE0" w14:textId="77777777" w:rsidR="00BF11A8" w:rsidRDefault="002A4232">
      <w:pPr>
        <w:pStyle w:val="Heading2"/>
        <w:spacing w:before="360" w:after="180" w:line="294" w:lineRule="auto"/>
      </w:pPr>
      <w:r>
        <w:rPr>
          <w:rFonts w:ascii="Arial" w:eastAsia="Arial" w:hAnsi="Arial" w:cs="Arial"/>
          <w:color w:val="000000"/>
          <w:sz w:val="22"/>
        </w:rPr>
        <w:lastRenderedPageBreak/>
        <w:t>6.1 Role of Organic Manures and Composts</w:t>
      </w:r>
    </w:p>
    <w:p w14:paraId="70561F30" w14:textId="77777777" w:rsidR="00BF11A8" w:rsidRDefault="002A4232">
      <w:pPr>
        <w:spacing w:after="240" w:line="294" w:lineRule="auto"/>
        <w:jc w:val="both"/>
      </w:pPr>
      <w:r>
        <w:rPr>
          <w:rFonts w:ascii="Arial" w:eastAsia="Arial" w:hAnsi="Arial" w:cs="Arial"/>
          <w:color w:val="000000"/>
          <w:sz w:val="20"/>
        </w:rPr>
        <w:t>Organic manures such as Farm Yard Manure (FYM), compost and vermicompost are foundational to sustainable soil management. They serve as a slow-release source of a wide spectrum of macro- and micronutrients, improve soil physical properties like structure and water-holding capacity and enhance soil biological activity (Khan, 2026). In mulberry cultivation, the application of organic manures has been shown to significantly improve growth and yield parameters. For example, Khan (2026) reported that treatments involving vermicompost and poultry manure, combined with a microbial consortium, resulted in the highest number of shoots, shoot length and leaf yield. Ahammed et al. (2025) found that combined organic treatments, particularly cow dung with vermicompost, significantly enhanced mulberry leaf quality and cocoon yield. The use of sericulture waste itself, such as silkworm litter and leftover leaves, can be composted and recycled back into the field, creating a closed-loop system that reduces waste and replenishes soil organic matter (Jaiswal et al., 2021).</w:t>
      </w:r>
    </w:p>
    <w:p w14:paraId="32F77025" w14:textId="77777777" w:rsidR="00BF11A8" w:rsidRDefault="002A4232">
      <w:pPr>
        <w:pStyle w:val="Heading2"/>
        <w:spacing w:before="360" w:after="180" w:line="294" w:lineRule="auto"/>
      </w:pPr>
      <w:r>
        <w:rPr>
          <w:rFonts w:ascii="Arial" w:eastAsia="Arial" w:hAnsi="Arial" w:cs="Arial"/>
          <w:color w:val="000000"/>
          <w:sz w:val="22"/>
        </w:rPr>
        <w:t>6.2 Biofertilizers and Microbial Inoculants</w:t>
      </w:r>
    </w:p>
    <w:p w14:paraId="59961115" w14:textId="77777777" w:rsidR="00BF11A8" w:rsidRDefault="002A4232">
      <w:pPr>
        <w:spacing w:after="240" w:line="294" w:lineRule="auto"/>
        <w:jc w:val="both"/>
      </w:pPr>
      <w:r>
        <w:rPr>
          <w:rFonts w:ascii="Arial" w:eastAsia="Arial" w:hAnsi="Arial" w:cs="Arial"/>
          <w:color w:val="000000"/>
          <w:sz w:val="20"/>
        </w:rPr>
        <w:t>Biofertilizers are formulations containing living microorganisms that, when applied to seeds, plant surfaces, or soil, colonize the rhizosphere and promote growth by increasing the supply or availability of primary nutrients to the host plant (Afreen, 2024). Key groups of biofertilizers used in mulberry include nitrogen-fixing bacteria (e.g., Azotobacter, Azospirillum), phosphate-solubilizing bacteria (PSB) and arbuscular mycorrhizal fungi (AMF). Nitrogen-fixing bacteria convert atmospheric nitrogen into a plant-usable form, reducing the need for synthetic nitrogen fertilizers. Sudhakar et al. (2000) demonstrated that foliar application of Azotobacter significantly improved the leaf yield and quality of mulberry. AMF form a symbiotic relationship with mulberry roots, extending the root system’s reach and enhancing the uptake of phosphorus and other immobile nutrients (Zhang et al., 2023). Zhang et al. (2023) found that inoculating mulberry seedlings with AMF not only enhanced nutrient absorption but also improved root morphology, leading to a lower leaf C:N ratio, which is favorable for vegetative growth. These microbial inoculants represent a low-cost, eco-friendly approach to supplement plant nutrition.</w:t>
      </w:r>
    </w:p>
    <w:p w14:paraId="6D1A4411" w14:textId="77777777" w:rsidR="00BF11A8" w:rsidRDefault="002A4232">
      <w:pPr>
        <w:pStyle w:val="Heading2"/>
        <w:spacing w:before="360" w:after="180" w:line="294" w:lineRule="auto"/>
      </w:pPr>
      <w:bookmarkStart w:id="3" w:name="section-3"/>
      <w:r>
        <w:rPr>
          <w:rFonts w:ascii="Arial" w:eastAsia="Arial" w:hAnsi="Arial" w:cs="Arial"/>
          <w:color w:val="000000"/>
          <w:sz w:val="22"/>
        </w:rPr>
        <w:t>6.3 Integrated Nutrient Management (INM) Approaches</w:t>
      </w:r>
      <w:bookmarkEnd w:id="3"/>
    </w:p>
    <w:p w14:paraId="23B24088" w14:textId="77777777" w:rsidR="00BF11A8" w:rsidRDefault="002A4232">
      <w:pPr>
        <w:spacing w:after="240" w:line="294" w:lineRule="auto"/>
        <w:jc w:val="both"/>
      </w:pPr>
      <w:r>
        <w:rPr>
          <w:rFonts w:ascii="Arial" w:eastAsia="Arial" w:hAnsi="Arial" w:cs="Arial"/>
          <w:color w:val="000000"/>
          <w:sz w:val="20"/>
        </w:rPr>
        <w:t>Integrated Nutrient Management (INM) is a holistic approach that advocates for the judicious and combined use of chemical fertilizers, organic manures and biofertilizers to optimize nutrient supply and sustain soil health (Baqual and Das, 2006). The principle of INM is to balance nutrient supply with crop demand, enhance nutrient use efficiency and build soil fertility over the long term. In sericulture, INM has proven to be highly effective. Rakshitha et al. (2025) found that combining 75% of the recommended dose of fertilizers (RDF) with FYM, vermicompost and a liquid microbial consortium resulted in leaf quality parameters on par with 100% RDF, while improving soil health. Similarly, Ray et al. (2021) developed a soil-cum-nutrient management package for acid soils that integrated liming, organic manure and balanced chemical fertilizers, leading to high mulberry yield and quality. By reducing the reliance on chemical inputs, INM not only lowers the cost of cultivation but also mitigates the environmental risks associated with fertilizer runoff and soil degradation, making it a cornerstone of sustainable sericulture (Horizone Publishing, 2023).</w:t>
      </w:r>
    </w:p>
    <w:p w14:paraId="08625ABB" w14:textId="77777777" w:rsidR="00BF11A8" w:rsidRDefault="002A4232">
      <w:pPr>
        <w:pStyle w:val="Heading2"/>
        <w:spacing w:before="360" w:after="180" w:line="294" w:lineRule="auto"/>
      </w:pPr>
      <w:bookmarkStart w:id="4" w:name="section-4"/>
      <w:r>
        <w:rPr>
          <w:rFonts w:ascii="Arial" w:eastAsia="Arial" w:hAnsi="Arial" w:cs="Arial"/>
          <w:color w:val="000000"/>
          <w:sz w:val="22"/>
        </w:rPr>
        <w:lastRenderedPageBreak/>
        <w:t>6.4 Implications for Soil Health and Carbon Sequestration</w:t>
      </w:r>
      <w:bookmarkEnd w:id="4"/>
    </w:p>
    <w:p w14:paraId="403F69B0" w14:textId="77777777" w:rsidR="00BF11A8" w:rsidRDefault="002A4232">
      <w:pPr>
        <w:spacing w:after="240" w:line="294" w:lineRule="auto"/>
        <w:jc w:val="both"/>
      </w:pPr>
      <w:r>
        <w:rPr>
          <w:rFonts w:ascii="Arial" w:eastAsia="Arial" w:hAnsi="Arial" w:cs="Arial"/>
          <w:color w:val="000000"/>
          <w:sz w:val="20"/>
        </w:rPr>
        <w:t>A significant co-benefit of organic and integrated nutrient management is the improvement of soil health and its potential for carbon sequestration. The addition of organic matter through manures and composts increases soil organic carbon (SOC) stocks, which enhances soil structure, water retention and nutrient cycling (Yadav et al., 2020). Healthy soils with high microbial diversity are more resilient to stress and less prone to erosion. Mulberry, as a perennial deep-rooted plant, is itself an effective agent for carbon sequestration, fixing atmospheric CO₂ into its biomass (Yadav et al., 2020). Management practices that enhance biomass production, such as INM, therefore contribute to greater carbon storage both above and below ground. Kar et al. (2018) reported that mulberry grown under moderate tillage with grass cover sequestered 6.90 t C ha⁻¹ yr⁻¹, highlighting the potential of sero-agroforestry systems. By promoting practices that build SOC, sustainable nutrient management in mulberry cultivation can play a role in climate change mitigation, aligning sericulture with broader environmental goals (Li et al., 2020).</w:t>
      </w:r>
    </w:p>
    <w:p w14:paraId="5BC64FCA" w14:textId="77777777" w:rsidR="00BF11A8" w:rsidRDefault="002A4232">
      <w:pPr>
        <w:pStyle w:val="Heading1"/>
        <w:spacing w:after="240" w:line="294" w:lineRule="auto"/>
      </w:pPr>
      <w:bookmarkStart w:id="5" w:name="section-8"/>
      <w:r>
        <w:rPr>
          <w:rFonts w:ascii="Arial" w:eastAsia="Arial" w:hAnsi="Arial" w:cs="Arial"/>
          <w:color w:val="000000"/>
          <w:sz w:val="22"/>
        </w:rPr>
        <w:t>7. EMERGING APPROACHES IN MULBERRY NUTRITIONAL MANAGEMENT</w:t>
      </w:r>
      <w:bookmarkEnd w:id="5"/>
    </w:p>
    <w:p w14:paraId="61EFE3D4" w14:textId="77777777" w:rsidR="00BF11A8" w:rsidRDefault="002A4232">
      <w:pPr>
        <w:spacing w:after="240" w:line="294" w:lineRule="auto"/>
        <w:jc w:val="both"/>
      </w:pPr>
      <w:r>
        <w:rPr>
          <w:rFonts w:ascii="Arial" w:eastAsia="Arial" w:hAnsi="Arial" w:cs="Arial"/>
          <w:color w:val="000000"/>
          <w:sz w:val="20"/>
        </w:rPr>
        <w:t>As the demand for sustainable and efficient agricultural production grows, sericulture is beginning to adopt advanced technologies and innovative approaches for mulberry nutritional management. These emerging strategies aim to optimize nutrient use, enhance plant performance and minimize environmental impact by moving beyond traditional, uniform application methods.</w:t>
      </w:r>
    </w:p>
    <w:p w14:paraId="4B0427FD" w14:textId="77777777" w:rsidR="00BF11A8" w:rsidRDefault="002A4232">
      <w:pPr>
        <w:pStyle w:val="Heading2"/>
        <w:spacing w:before="360" w:after="180" w:line="294" w:lineRule="auto"/>
      </w:pPr>
      <w:bookmarkStart w:id="6" w:name="section-1"/>
      <w:r>
        <w:rPr>
          <w:rFonts w:ascii="Arial" w:eastAsia="Arial" w:hAnsi="Arial" w:cs="Arial"/>
          <w:color w:val="000000"/>
          <w:sz w:val="22"/>
        </w:rPr>
        <w:t>7.1 Precision Nutrient Management</w:t>
      </w:r>
      <w:bookmarkEnd w:id="6"/>
    </w:p>
    <w:p w14:paraId="797EE4EE" w14:textId="77777777" w:rsidR="00BF11A8" w:rsidRDefault="002A4232">
      <w:pPr>
        <w:spacing w:after="240" w:line="294" w:lineRule="auto"/>
        <w:jc w:val="both"/>
      </w:pPr>
      <w:r>
        <w:rPr>
          <w:rFonts w:ascii="Arial" w:eastAsia="Arial" w:hAnsi="Arial" w:cs="Arial"/>
          <w:color w:val="000000"/>
          <w:sz w:val="20"/>
        </w:rPr>
        <w:t>Precision nutrient management involves using modern technologies to apply nutrients at the right time, in the right place and in the right amount. This data-driven approach leverages tools like the Global Positioning System (GPS), Geographic Information Systems (GIS), remote sensing and variable-rate technology (VRT) to manage spatial variability within a mulberry field (AllyNav, 2025). For instance, satellite or drone imagery can be used to create crop health maps (e.g., using NDVI), identifying areas with potential nutrient deficiencies. Soil sensors can provide real-time data on moisture and nutrient levels. This information is integrated into farm management platforms, which can then generate prescription maps to guide automated machinery for targeted fertilizer application (Farmonaut, 2026). By matching nutrient supply with plant demand on a site-specific basis, precision management can significantly reduce fertilizer waste, lower costs and prevent environmental pollution from nutrient runoff, while maximizing leaf yield and quality.</w:t>
      </w:r>
    </w:p>
    <w:p w14:paraId="14217E5E" w14:textId="77777777" w:rsidR="00BF11A8" w:rsidRDefault="002A4232">
      <w:pPr>
        <w:pStyle w:val="Heading2"/>
        <w:spacing w:before="360" w:after="180" w:line="294" w:lineRule="auto"/>
      </w:pPr>
      <w:bookmarkStart w:id="7" w:name="section-2"/>
      <w:r>
        <w:rPr>
          <w:rFonts w:ascii="Arial" w:eastAsia="Arial" w:hAnsi="Arial" w:cs="Arial"/>
          <w:color w:val="000000"/>
          <w:sz w:val="22"/>
        </w:rPr>
        <w:t>7.2 Use of Plant Growth Stimulants and Biostimulants</w:t>
      </w:r>
      <w:bookmarkEnd w:id="7"/>
    </w:p>
    <w:p w14:paraId="63F99205" w14:textId="77777777" w:rsidR="00BF11A8" w:rsidRDefault="002A4232">
      <w:pPr>
        <w:spacing w:after="240" w:line="294" w:lineRule="auto"/>
        <w:jc w:val="both"/>
      </w:pPr>
      <w:r>
        <w:rPr>
          <w:rFonts w:ascii="Arial" w:eastAsia="Arial" w:hAnsi="Arial" w:cs="Arial"/>
          <w:color w:val="000000"/>
          <w:sz w:val="20"/>
        </w:rPr>
        <w:t>Biostimulants are substances or microorganisms that, when applied to plants or the rhizosphere, stimulate natural processes to enhance nutrient uptake, nutrient efficiency, tolerance to abiotic stress and crop quality, independent of their nutrient content (Sachdev et al., 2021). In mulberry cultivation, this category includes a diverse range of products.</w:t>
      </w:r>
    </w:p>
    <w:p w14:paraId="7863BAA8" w14:textId="77777777" w:rsidR="00BF11A8" w:rsidRDefault="002A4232">
      <w:pPr>
        <w:spacing w:after="240" w:line="294" w:lineRule="auto"/>
        <w:jc w:val="both"/>
      </w:pPr>
      <w:r>
        <w:rPr>
          <w:rFonts w:ascii="Arial" w:eastAsia="Arial" w:hAnsi="Arial" w:cs="Arial"/>
          <w:b/>
          <w:color w:val="000000"/>
          <w:sz w:val="20"/>
        </w:rPr>
        <w:t>Protein Hydrolysates and Amino Acids:</w:t>
      </w:r>
      <w:r>
        <w:rPr>
          <w:rFonts w:ascii="Arial" w:eastAsia="Arial" w:hAnsi="Arial" w:cs="Arial"/>
          <w:color w:val="000000"/>
          <w:sz w:val="20"/>
        </w:rPr>
        <w:t xml:space="preserve"> Foliar application of amino acid mixtures or protein hydrolysates can provide readily available building blocks for protein synthesis, helping plants overcome stress and boosting growth (Sun et al., 2024).</w:t>
      </w:r>
    </w:p>
    <w:p w14:paraId="24FCAE01" w14:textId="77777777" w:rsidR="00BF11A8" w:rsidRDefault="002A4232">
      <w:pPr>
        <w:spacing w:after="240" w:line="294" w:lineRule="auto"/>
        <w:jc w:val="both"/>
      </w:pPr>
      <w:r>
        <w:rPr>
          <w:rFonts w:ascii="Arial" w:eastAsia="Arial" w:hAnsi="Arial" w:cs="Arial"/>
          <w:b/>
          <w:color w:val="000000"/>
          <w:sz w:val="20"/>
        </w:rPr>
        <w:lastRenderedPageBreak/>
        <w:t>Humic and Fulvic Acids:</w:t>
      </w:r>
      <w:r>
        <w:rPr>
          <w:rFonts w:ascii="Arial" w:eastAsia="Arial" w:hAnsi="Arial" w:cs="Arial"/>
          <w:color w:val="000000"/>
          <w:sz w:val="20"/>
        </w:rPr>
        <w:t xml:space="preserve"> These are organic compounds derived from the decomposition of plant and microbial matter. They improve soil structure, enhance nutrient uptake (especially micronutrients) and stimulate root growth. One study found that applying humic and fulvic acid significantly increased leaf moisture, chlorophyll, protein and carbohydrate content in mulberry (International Journal of Advanced Biochemistry Research, 2025).</w:t>
      </w:r>
    </w:p>
    <w:p w14:paraId="0CAC104B" w14:textId="77777777" w:rsidR="00BF11A8" w:rsidRDefault="002A4232">
      <w:pPr>
        <w:spacing w:after="240" w:line="294" w:lineRule="auto"/>
        <w:jc w:val="both"/>
      </w:pPr>
      <w:r>
        <w:rPr>
          <w:rFonts w:ascii="Arial" w:eastAsia="Arial" w:hAnsi="Arial" w:cs="Arial"/>
          <w:b/>
          <w:color w:val="000000"/>
          <w:sz w:val="20"/>
        </w:rPr>
        <w:t>Plant Growth Regulators (PGRs):</w:t>
      </w:r>
      <w:r>
        <w:rPr>
          <w:rFonts w:ascii="Arial" w:eastAsia="Arial" w:hAnsi="Arial" w:cs="Arial"/>
          <w:color w:val="000000"/>
          <w:sz w:val="20"/>
        </w:rPr>
        <w:t xml:space="preserve"> Exogenous application of PGRs like cytokinins (e.g., 6-Benzylaminopurine) can promote shoot differentiation, delay leaf senescence and increase the accumulation of beneficial compounds like flavonoids, thereby enhancing leaf quality and extending the harvesting window (Zhang et al., 2022; Gali et al., 2025). These biostimulants work by modulating the plant’s physiological and metabolic pathways, making them a powerful tool for enhancing mulberry productivity in a sustainable manner.</w:t>
      </w:r>
    </w:p>
    <w:p w14:paraId="3FF9BC00" w14:textId="77777777" w:rsidR="00BF11A8" w:rsidRDefault="002A4232">
      <w:pPr>
        <w:pStyle w:val="Heading1"/>
        <w:spacing w:after="240" w:line="294" w:lineRule="auto"/>
      </w:pPr>
      <w:bookmarkStart w:id="8" w:name="section-9"/>
      <w:r>
        <w:rPr>
          <w:rFonts w:ascii="Arial" w:eastAsia="Arial" w:hAnsi="Arial" w:cs="Arial"/>
          <w:color w:val="000000"/>
          <w:sz w:val="22"/>
        </w:rPr>
        <w:t>8. RESEARCH GAPS AND FUTURE DIRECTIONS</w:t>
      </w:r>
      <w:bookmarkEnd w:id="8"/>
    </w:p>
    <w:p w14:paraId="6AAE3306" w14:textId="77777777" w:rsidR="00BF11A8" w:rsidRDefault="002A4232">
      <w:pPr>
        <w:spacing w:after="240" w:line="294" w:lineRule="auto"/>
        <w:jc w:val="both"/>
      </w:pPr>
      <w:r>
        <w:rPr>
          <w:rFonts w:ascii="Arial" w:eastAsia="Arial" w:hAnsi="Arial" w:cs="Arial"/>
          <w:color w:val="000000"/>
          <w:sz w:val="20"/>
        </w:rPr>
        <w:t>Despite considerable progress in understanding the role of mulberry nutrition in sericulture, several research gaps and opportunities for future investigation remain. Addressing these areas is crucial for developing more robust, efficient and sustainable silk production systems globally.</w:t>
      </w:r>
    </w:p>
    <w:p w14:paraId="37E86404" w14:textId="77777777" w:rsidR="00BF11A8" w:rsidRDefault="002A4232">
      <w:pPr>
        <w:spacing w:after="240" w:line="294" w:lineRule="auto"/>
        <w:jc w:val="both"/>
      </w:pPr>
      <w:r>
        <w:rPr>
          <w:rFonts w:ascii="Arial" w:eastAsia="Arial" w:hAnsi="Arial" w:cs="Arial"/>
          <w:color w:val="000000"/>
          <w:sz w:val="20"/>
        </w:rPr>
        <w:t>One of the primary limitations is the lack of region-specific and cultivar-specific nutrient recommendations. Most current guidelines are generalized, yet nutrient requirements can vary significantly based on soil type, climate, mulberry variety and planting density (Ray et al., 2021). Future research should focus on developing dynamic, site-specific nutrient management protocols using precision agriculture tools. This would involve creating comprehensive soil and leaf nutrient maps for major sericultural zones and correlating them with silkworm performance to establish precise diagnostic indices for nutrient deficiencies or excesses (Bongale, 1994).</w:t>
      </w:r>
    </w:p>
    <w:p w14:paraId="6951CA70" w14:textId="77777777" w:rsidR="00BF11A8" w:rsidRDefault="002A4232">
      <w:pPr>
        <w:spacing w:after="240" w:line="294" w:lineRule="auto"/>
        <w:jc w:val="both"/>
      </w:pPr>
      <w:r>
        <w:rPr>
          <w:rFonts w:ascii="Arial" w:eastAsia="Arial" w:hAnsi="Arial" w:cs="Arial"/>
          <w:color w:val="000000"/>
          <w:sz w:val="20"/>
        </w:rPr>
        <w:t>Furthermore, there is a need for a more integrated approach that connects plant nutrition directly with silkworm physiology and metabolomics. While many studies have linked leaf quality to cocoon yield, the underlying molecular mechanisms are not fully elucidated. Future studies should simultaneously analyze the leaf metabolome, the silkworm’s gut microbiome and its physiological responses (e.g., digestive enzyme profiles, hemolymph metabolites) to different nutritional regimes (Dong et al., 2017). This would provide a holistic understanding of how specific leaf components regulate silkworm metabolism and silk synthesis. Investigating the impact of nutrient management on the concentration of both phagostimulants and anti-nutritional factors in leaves is another critical area that warrants more attention.</w:t>
      </w:r>
    </w:p>
    <w:p w14:paraId="01D0147E" w14:textId="77777777" w:rsidR="00BF11A8" w:rsidRDefault="002A4232">
      <w:pPr>
        <w:spacing w:after="240" w:line="294" w:lineRule="auto"/>
        <w:jc w:val="both"/>
      </w:pPr>
      <w:r>
        <w:rPr>
          <w:rFonts w:ascii="Arial" w:eastAsia="Arial" w:hAnsi="Arial" w:cs="Arial"/>
          <w:color w:val="000000"/>
          <w:sz w:val="20"/>
        </w:rPr>
        <w:t>Finally, as climate change poses increasing threats through drought and temperature stress, research should focus on nutritional strategies that enhance mulberry’s resilience to abiotic stresses. This includes exploring the role of specific nutrients (e.g., potassium, silicon) and biostimulants in mitigating stress, as well as breeding mulberry varieties with higher nutrient and water use efficiency (Ren et al., 2025; Vijayan et al., 2011). Integrating these nutritional studies with genetic and genomic approaches will be key to developing climate-resilient sericulture systems for the future.</w:t>
      </w:r>
    </w:p>
    <w:p w14:paraId="26AEC52C" w14:textId="77777777" w:rsidR="00BF11A8" w:rsidRDefault="002A4232">
      <w:pPr>
        <w:pStyle w:val="Heading1"/>
        <w:spacing w:after="240" w:line="294" w:lineRule="auto"/>
      </w:pPr>
      <w:bookmarkStart w:id="9" w:name="section-10"/>
      <w:r>
        <w:rPr>
          <w:rFonts w:ascii="Arial" w:eastAsia="Arial" w:hAnsi="Arial" w:cs="Arial"/>
          <w:color w:val="000000"/>
          <w:sz w:val="22"/>
        </w:rPr>
        <w:lastRenderedPageBreak/>
        <w:t>9. CONCLUSION</w:t>
      </w:r>
      <w:bookmarkEnd w:id="9"/>
    </w:p>
    <w:p w14:paraId="19CEE096" w14:textId="7A6FE2DD" w:rsidR="00BF11A8" w:rsidRDefault="002A4232">
      <w:pPr>
        <w:spacing w:after="240" w:line="294" w:lineRule="auto"/>
        <w:jc w:val="both"/>
      </w:pPr>
      <w:r>
        <w:rPr>
          <w:rFonts w:ascii="Arial" w:eastAsia="Arial" w:hAnsi="Arial" w:cs="Arial"/>
          <w:color w:val="000000"/>
          <w:sz w:val="20"/>
        </w:rPr>
        <w:t xml:space="preserve">The intricate link between mulberry nutrition and sericultural productivity is undeniable. This review has synthesized extensive evidence demonstrating that the nutritional quality of mulberry leaves, as the sole food for </w:t>
      </w:r>
      <w:r>
        <w:rPr>
          <w:rFonts w:ascii="Arial" w:eastAsia="Arial" w:hAnsi="Arial" w:cs="Arial"/>
          <w:i/>
          <w:color w:val="000000"/>
          <w:sz w:val="20"/>
        </w:rPr>
        <w:t>Bombyx mori</w:t>
      </w:r>
      <w:r>
        <w:rPr>
          <w:rFonts w:ascii="Arial" w:eastAsia="Arial" w:hAnsi="Arial" w:cs="Arial"/>
          <w:color w:val="000000"/>
          <w:sz w:val="20"/>
        </w:rPr>
        <w:t>, is the primary determinant of silkworm growth, development and cocoon yield. Optimized nutrient management in mulberry cultivation</w:t>
      </w:r>
      <w:r w:rsidR="00945BC4">
        <w:rPr>
          <w:rFonts w:ascii="Arial" w:eastAsia="Arial" w:hAnsi="Arial" w:cs="Arial"/>
          <w:color w:val="000000"/>
          <w:sz w:val="20"/>
        </w:rPr>
        <w:t xml:space="preserve"> </w:t>
      </w:r>
      <w:r>
        <w:rPr>
          <w:rFonts w:ascii="Arial" w:eastAsia="Arial" w:hAnsi="Arial" w:cs="Arial"/>
          <w:color w:val="000000"/>
          <w:sz w:val="20"/>
        </w:rPr>
        <w:t>encompassing the balanced application of macro- and micronutrients</w:t>
      </w:r>
      <w:r w:rsidR="00945BC4">
        <w:rPr>
          <w:rFonts w:ascii="Arial" w:eastAsia="Arial" w:hAnsi="Arial" w:cs="Arial"/>
          <w:color w:val="000000"/>
          <w:sz w:val="20"/>
        </w:rPr>
        <w:t xml:space="preserve"> </w:t>
      </w:r>
      <w:r>
        <w:rPr>
          <w:rFonts w:ascii="Arial" w:eastAsia="Arial" w:hAnsi="Arial" w:cs="Arial"/>
          <w:color w:val="000000"/>
          <w:sz w:val="20"/>
        </w:rPr>
        <w:t>directly enhances leaf biomass and enriches its biochemical profile with essential proteins, carbohydrates and minerals. This, in turn, promotes vigorous larval growth, improves physiological efficiency and culminates in superior cocoon and silk quality.</w:t>
      </w:r>
    </w:p>
    <w:p w14:paraId="308A9C6E" w14:textId="77777777" w:rsidR="00BF11A8" w:rsidRDefault="002A4232">
      <w:pPr>
        <w:spacing w:after="240" w:line="294" w:lineRule="auto"/>
        <w:jc w:val="both"/>
      </w:pPr>
      <w:r>
        <w:rPr>
          <w:rFonts w:ascii="Arial" w:eastAsia="Arial" w:hAnsi="Arial" w:cs="Arial"/>
          <w:color w:val="000000"/>
          <w:sz w:val="20"/>
        </w:rPr>
        <w:t>The shift towards sustainable practices, such as Integrated Nutrient Management (INM) and the use of organic amendments and biofertilizers, offers a pathway to enhance productivity while preserving soil health and minimizing environmental impact. Emerging approaches like precision nutrition and biostimulants promise further gains in efficiency. Future research must focus on developing cultivar- and region-specific nutrient recommendations and deepening our understanding of the molecular interactions at the plant-insect interface. Ultimately, investing in mulberry nutrition is a direct investment in the sustainability and economic prosperity of the global silk industry. A holistic approach that integrates agronomy, plant physiology and insect science is essential to unlock the full potential of sericulture in a changing world.</w:t>
      </w:r>
    </w:p>
    <w:p w14:paraId="59D177D3" w14:textId="77777777" w:rsidR="00F91509" w:rsidRDefault="00F91509">
      <w:pPr>
        <w:spacing w:after="240" w:line="294" w:lineRule="auto"/>
        <w:jc w:val="both"/>
        <w:rPr>
          <w:rFonts w:ascii="Arial" w:eastAsia="Arial" w:hAnsi="Arial" w:cs="Arial"/>
          <w:color w:val="000000"/>
          <w:sz w:val="20"/>
        </w:rPr>
      </w:pPr>
      <w:bookmarkStart w:id="10" w:name="_GoBack"/>
      <w:bookmarkEnd w:id="10"/>
    </w:p>
    <w:p w14:paraId="36796BE9" w14:textId="77777777" w:rsidR="00F91509" w:rsidRDefault="00F91509" w:rsidP="00F91509">
      <w:pPr>
        <w:spacing w:after="240" w:line="294" w:lineRule="auto"/>
        <w:jc w:val="both"/>
      </w:pPr>
      <w:r>
        <w:t>COMPETING INTERESTS DISCLAIMER:</w:t>
      </w:r>
    </w:p>
    <w:p w14:paraId="4D780C77" w14:textId="6B2D8EBA" w:rsidR="00F91509" w:rsidRDefault="00F91509" w:rsidP="00F91509">
      <w:pPr>
        <w:spacing w:after="240" w:line="294" w:lineRule="auto"/>
        <w:jc w:val="both"/>
      </w:pPr>
      <w:r>
        <w:t>Authors have declared that they have no known competing financial interests OR non-financial interests OR personal relationships that could have appeared to influence the work reported in this paper.</w:t>
      </w:r>
    </w:p>
    <w:p w14:paraId="61F198C7" w14:textId="77777777" w:rsidR="00BF11A8" w:rsidRDefault="002A4232">
      <w:pPr>
        <w:pStyle w:val="Heading1"/>
        <w:spacing w:after="240" w:line="294" w:lineRule="auto"/>
      </w:pPr>
      <w:bookmarkStart w:id="11" w:name="section-14"/>
      <w:r>
        <w:rPr>
          <w:rFonts w:ascii="Arial" w:eastAsia="Arial" w:hAnsi="Arial" w:cs="Arial"/>
          <w:color w:val="000000"/>
          <w:sz w:val="22"/>
        </w:rPr>
        <w:t>REFERENCES</w:t>
      </w:r>
      <w:bookmarkEnd w:id="11"/>
    </w:p>
    <w:p w14:paraId="0C7EF645" w14:textId="77777777" w:rsidR="00BF11A8" w:rsidRDefault="002A4232" w:rsidP="00CB6122">
      <w:pPr>
        <w:spacing w:after="120" w:line="294" w:lineRule="auto"/>
        <w:jc w:val="both"/>
      </w:pPr>
      <w:r>
        <w:rPr>
          <w:rFonts w:ascii="Arial" w:eastAsia="Arial" w:hAnsi="Arial" w:cs="Arial"/>
          <w:color w:val="000000"/>
          <w:sz w:val="20"/>
        </w:rPr>
        <w:t>Afreen, S. (2024). An overview of biofertilizers in agriculture with special reference to mulberry. International Journal of Advanced Biochemistry Research.</w:t>
      </w:r>
    </w:p>
    <w:p w14:paraId="7DBA5EB9" w14:textId="77777777" w:rsidR="00BF11A8" w:rsidRDefault="002A4232" w:rsidP="00CB6122">
      <w:pPr>
        <w:spacing w:after="120" w:line="294" w:lineRule="auto"/>
        <w:jc w:val="both"/>
      </w:pPr>
      <w:r>
        <w:rPr>
          <w:rFonts w:ascii="Arial" w:eastAsia="Arial" w:hAnsi="Arial" w:cs="Arial"/>
          <w:color w:val="000000"/>
          <w:sz w:val="20"/>
        </w:rPr>
        <w:t>Ahammed, I., Uddin, M. A., Hossain, M. S., &amp; Ahmed, F. (2025). Integrating organic fertilizer strategies for optimizing mulberry crop production and soil health resilience: A pathway to sustainable agriculture. Plant Physiology and Biochemistry. https://doi.org/10.1007/s44447-025-00116-6</w:t>
      </w:r>
    </w:p>
    <w:p w14:paraId="71D0DF1B" w14:textId="77777777" w:rsidR="00BF11A8" w:rsidRDefault="002A4232" w:rsidP="00CB6122">
      <w:pPr>
        <w:spacing w:after="120" w:line="294" w:lineRule="auto"/>
        <w:jc w:val="both"/>
      </w:pPr>
      <w:r>
        <w:rPr>
          <w:rFonts w:ascii="Arial" w:eastAsia="Arial" w:hAnsi="Arial" w:cs="Arial"/>
          <w:color w:val="000000"/>
          <w:sz w:val="20"/>
        </w:rPr>
        <w:t>Ahmed, F., Hossain, M. S., &amp; Uddin, M. A. (2022). Prominent doses of nitrogen enhance mulberry and silk cocoon productivity. European Journal of Food Science and Technology, 4(1), 415.</w:t>
      </w:r>
    </w:p>
    <w:p w14:paraId="750C1168" w14:textId="77777777" w:rsidR="00BF11A8" w:rsidRDefault="002A4232" w:rsidP="00CB6122">
      <w:pPr>
        <w:spacing w:after="120" w:line="294" w:lineRule="auto"/>
        <w:jc w:val="both"/>
      </w:pPr>
      <w:r>
        <w:rPr>
          <w:rFonts w:ascii="Arial" w:eastAsia="Arial" w:hAnsi="Arial" w:cs="Arial"/>
          <w:color w:val="000000"/>
          <w:sz w:val="20"/>
        </w:rPr>
        <w:t>Ahmed, N., Zhang, B., &amp; Bozdar, B. (2023). The power of magnesium: unlocking the potential for increased yield, quality and stress tolerance of horticultural crops. Frontiers in Plant Science, 14, 1285512. https://doi.org/10.3389/fpls.2023.1285512</w:t>
      </w:r>
    </w:p>
    <w:p w14:paraId="6B04B3B2" w14:textId="77777777" w:rsidR="00BF11A8" w:rsidRDefault="002A4232" w:rsidP="00CB6122">
      <w:pPr>
        <w:spacing w:after="120" w:line="294" w:lineRule="auto"/>
        <w:jc w:val="both"/>
      </w:pPr>
      <w:r>
        <w:rPr>
          <w:rFonts w:ascii="Arial" w:eastAsia="Arial" w:hAnsi="Arial" w:cs="Arial"/>
          <w:color w:val="000000"/>
          <w:sz w:val="20"/>
        </w:rPr>
        <w:t>AllyNav. (2025, December 2). GPS in precision farming. AllyNav.</w:t>
      </w:r>
    </w:p>
    <w:p w14:paraId="2E6EA9AD" w14:textId="77777777" w:rsidR="00BF11A8" w:rsidRDefault="002A4232" w:rsidP="00CB6122">
      <w:pPr>
        <w:spacing w:after="120" w:line="294" w:lineRule="auto"/>
        <w:jc w:val="both"/>
      </w:pPr>
      <w:r>
        <w:rPr>
          <w:rFonts w:ascii="Arial" w:eastAsia="Arial" w:hAnsi="Arial" w:cs="Arial"/>
          <w:color w:val="000000"/>
          <w:sz w:val="20"/>
        </w:rPr>
        <w:lastRenderedPageBreak/>
        <w:t>Anislag, R. D., &amp; Gavina, M. K. A. (2022). Growth and yield performance of mulberry (Morus alba L. var. Alfonso) as influenced by fertilization strategies. Journal of Biodiversity and Environmental Sciences, 21(5), 24-34.</w:t>
      </w:r>
    </w:p>
    <w:p w14:paraId="66702EFB" w14:textId="77777777" w:rsidR="00BF11A8" w:rsidRDefault="002A4232" w:rsidP="00CB6122">
      <w:pPr>
        <w:spacing w:after="120" w:line="294" w:lineRule="auto"/>
        <w:jc w:val="both"/>
      </w:pPr>
      <w:r w:rsidRPr="00CB6122">
        <w:rPr>
          <w:rFonts w:ascii="Arial" w:eastAsia="Arial" w:hAnsi="Arial" w:cs="Arial"/>
          <w:color w:val="000000"/>
          <w:sz w:val="20"/>
          <w:lang w:val="de-DE"/>
        </w:rPr>
        <w:t xml:space="preserve">Baqual, M. F., &amp; Das, P. K. (2006). </w:t>
      </w:r>
      <w:r>
        <w:rPr>
          <w:rFonts w:ascii="Arial" w:eastAsia="Arial" w:hAnsi="Arial" w:cs="Arial"/>
          <w:color w:val="000000"/>
          <w:sz w:val="20"/>
        </w:rPr>
        <w:t>Integrated nutrient management for sustainable mulberry production and soil fertility in irrigated and rainfed sericulture. International Journal of Industrial Entomology, 13(2), 125-133.</w:t>
      </w:r>
    </w:p>
    <w:p w14:paraId="78C74AEA" w14:textId="77777777" w:rsidR="00BF11A8" w:rsidRDefault="002A4232" w:rsidP="00CB6122">
      <w:pPr>
        <w:spacing w:after="120" w:line="294" w:lineRule="auto"/>
        <w:jc w:val="both"/>
      </w:pPr>
      <w:r>
        <w:rPr>
          <w:rFonts w:ascii="Arial" w:eastAsia="Arial" w:hAnsi="Arial" w:cs="Arial"/>
          <w:color w:val="000000"/>
          <w:sz w:val="20"/>
        </w:rPr>
        <w:t>Bongale, U. D. (1994). Nutritional disorders, analytical diagnosis and nutrient guide for mulberry, Morus indica L. Sericologia, 34(3), 507-518.</w:t>
      </w:r>
    </w:p>
    <w:p w14:paraId="1091FD41" w14:textId="77777777" w:rsidR="00BF11A8" w:rsidRDefault="002A4232" w:rsidP="00CB6122">
      <w:pPr>
        <w:spacing w:after="120" w:line="294" w:lineRule="auto"/>
        <w:jc w:val="both"/>
      </w:pPr>
      <w:r>
        <w:rPr>
          <w:rFonts w:ascii="Arial" w:eastAsia="Arial" w:hAnsi="Arial" w:cs="Arial"/>
          <w:color w:val="000000"/>
          <w:sz w:val="20"/>
        </w:rPr>
        <w:t>Bongale, U. D., &amp; Chaluvachari. (2026). Biochemical variations in mulberry leaves: An analysis across growth stages and farming practices. International Journal of Advanced Biochemistry Research, 10(1S), 728-732.</w:t>
      </w:r>
    </w:p>
    <w:p w14:paraId="4BAD5F09" w14:textId="77777777" w:rsidR="00BF11A8" w:rsidRDefault="002A4232" w:rsidP="00CB6122">
      <w:pPr>
        <w:spacing w:after="120" w:line="294" w:lineRule="auto"/>
        <w:jc w:val="both"/>
      </w:pPr>
      <w:r>
        <w:rPr>
          <w:rFonts w:ascii="Arial" w:eastAsia="Arial" w:hAnsi="Arial" w:cs="Arial"/>
          <w:color w:val="000000"/>
          <w:sz w:val="20"/>
        </w:rPr>
        <w:t>Bongale, U. D., Lingaiah, M., &amp; Narahari Rao, S. (2000). Relationship between leaf moisture and nitrogen contents in mulberry. Indian Journal of Sericulture, 39(2), 169-170.</w:t>
      </w:r>
    </w:p>
    <w:p w14:paraId="5523AD7E" w14:textId="77777777" w:rsidR="00BF11A8" w:rsidRDefault="002A4232" w:rsidP="00CB6122">
      <w:pPr>
        <w:spacing w:after="120" w:line="294" w:lineRule="auto"/>
        <w:jc w:val="both"/>
      </w:pPr>
      <w:r>
        <w:rPr>
          <w:rFonts w:ascii="Arial" w:eastAsia="Arial" w:hAnsi="Arial" w:cs="Arial"/>
          <w:color w:val="000000"/>
          <w:sz w:val="20"/>
        </w:rPr>
        <w:t>Caccam, M. M., &amp; Mendoza, T. C. (2025). Cocoon and raw silk quality of silkworm (Bombyx mori L.) reared under different farming practices. International Journal of Biosciences, 26(4), 181-197.</w:t>
      </w:r>
    </w:p>
    <w:p w14:paraId="54C390B7" w14:textId="77777777" w:rsidR="00BF11A8" w:rsidRDefault="002A4232" w:rsidP="00CB6122">
      <w:pPr>
        <w:spacing w:after="120" w:line="294" w:lineRule="auto"/>
        <w:jc w:val="both"/>
      </w:pPr>
      <w:r>
        <w:rPr>
          <w:rFonts w:ascii="Arial" w:eastAsia="Arial" w:hAnsi="Arial" w:cs="Arial"/>
          <w:color w:val="000000"/>
          <w:sz w:val="20"/>
        </w:rPr>
        <w:t>Chen, F., Yuan, Y., Li, Q., &amp; Zhang, Z. (2009). Mulberry nutrient management for silk production in Hubei Province of China. Journal of Plant Nutrition and Soil Science, 172(2), 245-253. https://doi.org/10.1002/jpln.200800093</w:t>
      </w:r>
    </w:p>
    <w:p w14:paraId="6D93A36E" w14:textId="77777777" w:rsidR="00BF11A8" w:rsidRDefault="002A4232" w:rsidP="00CB6122">
      <w:pPr>
        <w:spacing w:after="120" w:line="294" w:lineRule="auto"/>
        <w:jc w:val="both"/>
      </w:pPr>
      <w:r>
        <w:rPr>
          <w:rFonts w:ascii="Arial" w:eastAsia="Arial" w:hAnsi="Arial" w:cs="Arial"/>
          <w:color w:val="000000"/>
          <w:sz w:val="20"/>
        </w:rPr>
        <w:t>Chinnaswamy, R., Lakshmi, H., Kumari, S. S., Anuradha, C. M., &amp; Kumar, C. S. (2012). Nutrigenetic screening strains of the mulberry silkworm, Bombyx mori, for nutritional efficiency. Journal of Insect Science, 12(3), 1-19. https://doi.org/10.1673/031.012.0301</w:t>
      </w:r>
    </w:p>
    <w:p w14:paraId="53F1A2D4" w14:textId="77777777" w:rsidR="00BF11A8" w:rsidRDefault="002A4232" w:rsidP="00CB6122">
      <w:pPr>
        <w:spacing w:after="120" w:line="294" w:lineRule="auto"/>
        <w:jc w:val="both"/>
      </w:pPr>
      <w:r>
        <w:rPr>
          <w:rFonts w:ascii="Arial" w:eastAsia="Arial" w:hAnsi="Arial" w:cs="Arial"/>
          <w:color w:val="000000"/>
          <w:sz w:val="20"/>
        </w:rPr>
        <w:t>Devamani, M., Kumar, S. A., &amp; Kumar, R. S. (2024). Role of micronutrients on the increased growth and yield of mulberry (Morus alba L.) plants. Agriculture and Food: E-Newsletter, 11(1).</w:t>
      </w:r>
    </w:p>
    <w:p w14:paraId="78008032" w14:textId="77777777" w:rsidR="00BF11A8" w:rsidRDefault="002A4232" w:rsidP="00CB6122">
      <w:pPr>
        <w:spacing w:after="120" w:line="294" w:lineRule="auto"/>
        <w:jc w:val="both"/>
      </w:pPr>
      <w:r>
        <w:rPr>
          <w:rFonts w:ascii="Arial" w:eastAsia="Arial" w:hAnsi="Arial" w:cs="Arial"/>
          <w:color w:val="000000"/>
          <w:sz w:val="20"/>
        </w:rPr>
        <w:t>Doliș, M. G., Pânzaru, C., Usturoi, M. G., Usturoi, A., Radu-Rusu, C. G., &amp; Davidescu, M. A. (2024). On the digestibility of mulberry leaf fed to Bombyx mori larvae. Agriculture, 14(8), 1394. https://doi.org/10.3390/agriculture14081394</w:t>
      </w:r>
    </w:p>
    <w:p w14:paraId="4642EE8E" w14:textId="77777777" w:rsidR="00BF11A8" w:rsidRDefault="002A4232" w:rsidP="00CB6122">
      <w:pPr>
        <w:spacing w:after="120" w:line="294" w:lineRule="auto"/>
        <w:jc w:val="both"/>
      </w:pPr>
      <w:r>
        <w:rPr>
          <w:rFonts w:ascii="Arial" w:eastAsia="Arial" w:hAnsi="Arial" w:cs="Arial"/>
          <w:color w:val="000000"/>
          <w:sz w:val="20"/>
        </w:rPr>
        <w:t>Dong, H. L., Zhang, S. X., Tao, H., Chen, Z. H., Li, X., Qiu, J. F., ... &amp; Xu, S. Q. (2017). Metabolomics differences between silkworms (Bombyx mori) reared on fresh mulberry (Morus) leaves or artificial diets. Scientific Reports, 7(1), 10972. https://doi.org/10.1038/s41598-017-11592-4</w:t>
      </w:r>
    </w:p>
    <w:p w14:paraId="10C6A91C" w14:textId="77777777" w:rsidR="00BF11A8" w:rsidRDefault="002A4232" w:rsidP="00CB6122">
      <w:pPr>
        <w:spacing w:after="120" w:line="294" w:lineRule="auto"/>
        <w:jc w:val="both"/>
      </w:pPr>
      <w:r>
        <w:rPr>
          <w:rFonts w:ascii="Arial" w:eastAsia="Arial" w:hAnsi="Arial" w:cs="Arial"/>
          <w:color w:val="000000"/>
          <w:sz w:val="20"/>
        </w:rPr>
        <w:t>Farmonaut. (2026). Precision farming 2026: Advanced GPS tools for maximum yield. Farmonaut.</w:t>
      </w:r>
    </w:p>
    <w:p w14:paraId="305263C0" w14:textId="77777777" w:rsidR="00BF11A8" w:rsidRDefault="002A4232" w:rsidP="00CB6122">
      <w:pPr>
        <w:spacing w:after="120" w:line="294" w:lineRule="auto"/>
        <w:jc w:val="both"/>
      </w:pPr>
      <w:r>
        <w:rPr>
          <w:rFonts w:ascii="Arial" w:eastAsia="Arial" w:hAnsi="Arial" w:cs="Arial"/>
          <w:color w:val="000000"/>
          <w:sz w:val="20"/>
        </w:rPr>
        <w:t>Gali, S., Kumar, A., &amp; Kumar, S. (2025, October 19). Plant growth regulators: Enhancing mulberry leaf characteristics for sustainable sericulture. ResearchGate.</w:t>
      </w:r>
    </w:p>
    <w:p w14:paraId="63C988A7" w14:textId="77777777" w:rsidR="00BF11A8" w:rsidRDefault="002A4232" w:rsidP="00CB6122">
      <w:pPr>
        <w:spacing w:after="120" w:line="294" w:lineRule="auto"/>
        <w:jc w:val="both"/>
      </w:pPr>
      <w:r>
        <w:rPr>
          <w:rFonts w:ascii="Arial" w:eastAsia="Arial" w:hAnsi="Arial" w:cs="Arial"/>
          <w:color w:val="000000"/>
          <w:sz w:val="20"/>
        </w:rPr>
        <w:t>Garai, A. (2025). Age-specific life table analysis of Bombyx mori Linnaeus on Ber-1 mulberry cultivar: Implications for sericultural management. International Journal of Agriculture and Food Science, 7(11), 532-536.</w:t>
      </w:r>
    </w:p>
    <w:p w14:paraId="458C4895" w14:textId="77777777" w:rsidR="00BF11A8" w:rsidRDefault="002A4232" w:rsidP="00CB6122">
      <w:pPr>
        <w:spacing w:after="120" w:line="294" w:lineRule="auto"/>
        <w:jc w:val="both"/>
      </w:pPr>
      <w:r>
        <w:rPr>
          <w:rFonts w:ascii="Arial" w:eastAsia="Arial" w:hAnsi="Arial" w:cs="Arial"/>
          <w:color w:val="000000"/>
          <w:sz w:val="20"/>
        </w:rPr>
        <w:t>Hăbeanu, M., Gheorghe, A., Lefter, N. A., &amp; Mihalcea, T. (2026). Nutritional efficiency of mulberry leaves enriched with a concentrated probiotic in two breeds (Kahuri/T and AO/T) of Bombyx mori L. silkworm. Applied Sciences, 16(2), 961. https://doi.org/10.3390/app16020961</w:t>
      </w:r>
    </w:p>
    <w:p w14:paraId="31C954C5" w14:textId="77777777" w:rsidR="00BF11A8" w:rsidRDefault="002A4232" w:rsidP="00CB6122">
      <w:pPr>
        <w:spacing w:after="120" w:line="294" w:lineRule="auto"/>
        <w:jc w:val="both"/>
      </w:pPr>
      <w:r>
        <w:rPr>
          <w:rFonts w:ascii="Arial" w:eastAsia="Arial" w:hAnsi="Arial" w:cs="Arial"/>
          <w:color w:val="000000"/>
          <w:sz w:val="20"/>
        </w:rPr>
        <w:lastRenderedPageBreak/>
        <w:t>Hăbeanu, M., Lefter, N. A., Gheorghe, A., Ropota, M., &amp; Mihalcea, T. (2024). An in-depth insight into the profile, mechanisms, functions and transfer of essential amino acids from mulberry leaves to silkworm Bombyx mori L. pupae and their importance in fish nutrition. Insects, 15(5), 332. https://doi.org/10.3390/insects15050332</w:t>
      </w:r>
    </w:p>
    <w:p w14:paraId="13C5DED6" w14:textId="77777777" w:rsidR="00BF11A8" w:rsidRDefault="002A4232" w:rsidP="00CB6122">
      <w:pPr>
        <w:spacing w:after="120" w:line="294" w:lineRule="auto"/>
        <w:jc w:val="both"/>
      </w:pPr>
      <w:r>
        <w:rPr>
          <w:rFonts w:ascii="Arial" w:eastAsia="Arial" w:hAnsi="Arial" w:cs="Arial"/>
          <w:color w:val="000000"/>
          <w:sz w:val="20"/>
        </w:rPr>
        <w:t>International Journal of Advanced Biochemistry Research. (2024). Effect of different organic nutrient sources on fresh weight of 100 leaves and leaf yield of mulberry. International Journal of Advanced Biochemistry Research, 10(1S), 622-628.</w:t>
      </w:r>
    </w:p>
    <w:p w14:paraId="29028658" w14:textId="77777777" w:rsidR="00BF11A8" w:rsidRDefault="002A4232" w:rsidP="00CB6122">
      <w:pPr>
        <w:spacing w:after="120" w:line="294" w:lineRule="auto"/>
        <w:jc w:val="both"/>
      </w:pPr>
      <w:r>
        <w:rPr>
          <w:rFonts w:ascii="Arial" w:eastAsia="Arial" w:hAnsi="Arial" w:cs="Arial"/>
          <w:color w:val="000000"/>
          <w:sz w:val="20"/>
        </w:rPr>
        <w:t>International Journal of Advanced Biochemistry Research. (2025). Effect of foliar nutrition on biochemical constituents (Total chlorophyll, protein and Total carbohydrates) in mulberry. International Journal of Advanced Biochemistry Research, 9(8S), 69-173.</w:t>
      </w:r>
    </w:p>
    <w:p w14:paraId="60E8A633" w14:textId="77777777" w:rsidR="00BF11A8" w:rsidRDefault="002A4232" w:rsidP="00CB6122">
      <w:pPr>
        <w:spacing w:after="120" w:line="294" w:lineRule="auto"/>
        <w:jc w:val="both"/>
      </w:pPr>
      <w:r>
        <w:rPr>
          <w:rFonts w:ascii="Arial" w:eastAsia="Arial" w:hAnsi="Arial" w:cs="Arial"/>
          <w:color w:val="000000"/>
          <w:sz w:val="20"/>
        </w:rPr>
        <w:t>International Journal of Veterinary Sciences and Animal Husbandry. (2024). Efficacy of multinutrient foliar spray on mulberry leaf yield, quality and commercial characters of silkworm (Bombyx mori L.). International Journal of Veterinary Sciences and Animal Husbandry, 9(3), 424-427.</w:t>
      </w:r>
    </w:p>
    <w:p w14:paraId="583CD043" w14:textId="77777777" w:rsidR="00BF11A8" w:rsidRDefault="002A4232" w:rsidP="00CB6122">
      <w:pPr>
        <w:spacing w:after="120" w:line="294" w:lineRule="auto"/>
        <w:jc w:val="both"/>
      </w:pPr>
      <w:r>
        <w:rPr>
          <w:rFonts w:ascii="Arial" w:eastAsia="Arial" w:hAnsi="Arial" w:cs="Arial"/>
          <w:color w:val="000000"/>
          <w:sz w:val="20"/>
        </w:rPr>
        <w:t>Jaiswal, K. K., Banerjee, I., &amp; Mayookha, V. P. (2021). Recent trends in the development and diversification of sericulture natural products for innovative and sustainable applications. Bioresour Technol Rep, 13, 100614. https://doi.org/10.1016/j.biteb.2020.100614</w:t>
      </w:r>
    </w:p>
    <w:p w14:paraId="300E7D19" w14:textId="77777777" w:rsidR="00BF11A8" w:rsidRDefault="002A4232" w:rsidP="00CB6122">
      <w:pPr>
        <w:spacing w:after="120" w:line="294" w:lineRule="auto"/>
        <w:jc w:val="both"/>
      </w:pPr>
      <w:r>
        <w:rPr>
          <w:rFonts w:ascii="Arial" w:eastAsia="Arial" w:hAnsi="Arial" w:cs="Arial"/>
          <w:color w:val="000000"/>
          <w:sz w:val="20"/>
        </w:rPr>
        <w:t>Kar, R., Vijay, V., &amp; Trivedy, K. (2018). Comparative performance of farming practices in terms of carbon sequestration potential of mulberry and soil organic carbon stock. Journal of Soil Science and Environmental Management, 9(10), 147-153. https://doi.org/10.5897/JSSEM2018.0697</w:t>
      </w:r>
    </w:p>
    <w:p w14:paraId="36E1EAFE" w14:textId="77777777" w:rsidR="00BF11A8" w:rsidRDefault="002A4232" w:rsidP="00CB6122">
      <w:pPr>
        <w:spacing w:after="120" w:line="294" w:lineRule="auto"/>
        <w:jc w:val="both"/>
      </w:pPr>
      <w:r>
        <w:rPr>
          <w:rFonts w:ascii="Arial" w:eastAsia="Arial" w:hAnsi="Arial" w:cs="Arial"/>
          <w:color w:val="000000"/>
          <w:sz w:val="20"/>
        </w:rPr>
        <w:t>Khan, I. L. (2026, February 11). Influence of organic nutrient management on growth and yield attributes of mulberry (Morus spp.) under temperate conditions. ResearchGate.</w:t>
      </w:r>
    </w:p>
    <w:p w14:paraId="1400F3FC" w14:textId="77777777" w:rsidR="00BF11A8" w:rsidRDefault="002A4232" w:rsidP="00CB6122">
      <w:pPr>
        <w:spacing w:after="120" w:line="294" w:lineRule="auto"/>
        <w:jc w:val="both"/>
      </w:pPr>
      <w:r>
        <w:rPr>
          <w:rFonts w:ascii="Arial" w:eastAsia="Arial" w:hAnsi="Arial" w:cs="Arial"/>
          <w:color w:val="000000"/>
          <w:sz w:val="20"/>
        </w:rPr>
        <w:t>Li, Y., Wang, Y., Zhang, H., &amp; Chen, Y. (2020). Carbon footprint calculation and evaluation of mulberry production. Sustainability, 12(5), 1777. https://doi.org/10.3390/su12051777</w:t>
      </w:r>
    </w:p>
    <w:p w14:paraId="039CB8A2" w14:textId="77777777" w:rsidR="00BF11A8" w:rsidRDefault="002A4232" w:rsidP="00CB6122">
      <w:pPr>
        <w:spacing w:after="120" w:line="294" w:lineRule="auto"/>
        <w:jc w:val="both"/>
      </w:pPr>
      <w:r>
        <w:rPr>
          <w:rFonts w:ascii="Arial" w:eastAsia="Arial" w:hAnsi="Arial" w:cs="Arial"/>
          <w:color w:val="000000"/>
          <w:sz w:val="20"/>
        </w:rPr>
        <w:t>Liu, Q., Liu, Y., Wang, Y., &amp; Chen, X. (2025). Comparison of leaf quality of three mulberry species as feed for ruminants. Journal of Food Composition and Analysis. https://doi.org/10.1016/j.jfca.2025.106274</w:t>
      </w:r>
    </w:p>
    <w:p w14:paraId="2E63C72A" w14:textId="77777777" w:rsidR="00BF11A8" w:rsidRDefault="002A4232" w:rsidP="00CB6122">
      <w:pPr>
        <w:spacing w:after="120" w:line="294" w:lineRule="auto"/>
        <w:jc w:val="both"/>
      </w:pPr>
      <w:r w:rsidRPr="00CB6122">
        <w:rPr>
          <w:rFonts w:ascii="Arial" w:eastAsia="Arial" w:hAnsi="Arial" w:cs="Arial"/>
          <w:color w:val="000000"/>
          <w:sz w:val="20"/>
          <w:lang w:val="de-DE"/>
        </w:rPr>
        <w:t xml:space="preserve">Liu, Y., Lv, Z., Wei, J., Liu, P., Pan, M., Ma, H., &amp; Lin, T. (2024). </w:t>
      </w:r>
      <w:r>
        <w:rPr>
          <w:rFonts w:ascii="Arial" w:eastAsia="Arial" w:hAnsi="Arial" w:cs="Arial"/>
          <w:color w:val="000000"/>
          <w:sz w:val="20"/>
        </w:rPr>
        <w:t>Comparative physiological, proteomic and metabolomic insights into a promising low-pruning mulberry cultivar for silkworm rearing. International Journal of Molecular Sciences, 25(24), 13483. https://doi.org/10.3390/ijms252413483</w:t>
      </w:r>
    </w:p>
    <w:p w14:paraId="44DC6575" w14:textId="77777777" w:rsidR="00BF11A8" w:rsidRPr="00CB6122" w:rsidRDefault="002A4232" w:rsidP="00CB6122">
      <w:pPr>
        <w:spacing w:after="120" w:line="294" w:lineRule="auto"/>
        <w:jc w:val="both"/>
        <w:rPr>
          <w:lang w:val="de-DE"/>
        </w:rPr>
      </w:pPr>
      <w:r>
        <w:rPr>
          <w:rFonts w:ascii="Arial" w:eastAsia="Arial" w:hAnsi="Arial" w:cs="Arial"/>
          <w:color w:val="000000"/>
          <w:sz w:val="20"/>
        </w:rPr>
        <w:t xml:space="preserve">Memete, A. R., Timar, A. V., Vuscan, A. N., Tanaselia, C., Vicas, S. I., Gheldiu, A. M., &amp; Bunea, A. (2022). Phytochemical composition of different anatomical parts of Morus species and their biological activity. </w:t>
      </w:r>
      <w:r w:rsidRPr="00CB6122">
        <w:rPr>
          <w:rFonts w:ascii="Arial" w:eastAsia="Arial" w:hAnsi="Arial" w:cs="Arial"/>
          <w:color w:val="000000"/>
          <w:sz w:val="20"/>
          <w:lang w:val="de-DE"/>
        </w:rPr>
        <w:t>Plants, 11(2), 179. https://doi.org/10.3390/plants11020179</w:t>
      </w:r>
    </w:p>
    <w:p w14:paraId="562D131E" w14:textId="77777777" w:rsidR="00BF11A8" w:rsidRDefault="002A4232" w:rsidP="00CB6122">
      <w:pPr>
        <w:spacing w:after="120" w:line="294" w:lineRule="auto"/>
        <w:jc w:val="both"/>
      </w:pPr>
      <w:r w:rsidRPr="00CB6122">
        <w:rPr>
          <w:rFonts w:ascii="Arial" w:eastAsia="Arial" w:hAnsi="Arial" w:cs="Arial"/>
          <w:color w:val="000000"/>
          <w:sz w:val="20"/>
          <w:lang w:val="de-DE"/>
        </w:rPr>
        <w:t xml:space="preserve">Mithilasri, G., Kumar, S. A., &amp; Kumar, R. S. (2023). </w:t>
      </w:r>
      <w:r>
        <w:rPr>
          <w:rFonts w:ascii="Arial" w:eastAsia="Arial" w:hAnsi="Arial" w:cs="Arial"/>
          <w:color w:val="000000"/>
          <w:sz w:val="20"/>
        </w:rPr>
        <w:t>Assessment of macronutrient and micronutrient content of five mulberry cultivars (V1, G2, G4, S36 and S13) to evaluate their nutritional superiority. The Journal of Research ANGRAU, 8(2), 32-852.</w:t>
      </w:r>
    </w:p>
    <w:p w14:paraId="1A434908" w14:textId="77777777" w:rsidR="00BF11A8" w:rsidRDefault="002A4232" w:rsidP="00CB6122">
      <w:pPr>
        <w:spacing w:after="120" w:line="294" w:lineRule="auto"/>
        <w:jc w:val="both"/>
      </w:pPr>
      <w:r>
        <w:rPr>
          <w:rFonts w:ascii="Arial" w:eastAsia="Arial" w:hAnsi="Arial" w:cs="Arial"/>
          <w:color w:val="000000"/>
          <w:sz w:val="20"/>
        </w:rPr>
        <w:t>Murugan, N., Krishnan, R., Geetha, T., Umapathi, G., Santhi, P., &amp; Sivakumar, R. (2019). Study of irrigation regimes and nutrient management practices on economics of silkworm cocoon production. The Pharma Innovation Journal, 8(2S), 161-777.</w:t>
      </w:r>
    </w:p>
    <w:p w14:paraId="2255774C" w14:textId="77777777" w:rsidR="00BF11A8" w:rsidRDefault="002A4232" w:rsidP="00CB6122">
      <w:pPr>
        <w:spacing w:after="120" w:line="294" w:lineRule="auto"/>
        <w:jc w:val="both"/>
      </w:pPr>
      <w:r>
        <w:rPr>
          <w:rFonts w:ascii="Arial" w:eastAsia="Arial" w:hAnsi="Arial" w:cs="Arial"/>
          <w:color w:val="000000"/>
          <w:sz w:val="20"/>
        </w:rPr>
        <w:t>Muzamil, A., Tahir, H. M., Ali, A., Bhatti, M. F., Munir, F., Ijaz, F., ... &amp; Aslam, M. (2023). Effect of amino acid fortified mulberry leaves on economic and biological traits of Bombyx mori L. Heliyon, 9(10), e21053. https://doi.org/10.1016/j.heliyon.2023.e21053</w:t>
      </w:r>
    </w:p>
    <w:p w14:paraId="43CE6BB6" w14:textId="77777777" w:rsidR="00BF11A8" w:rsidRDefault="002A4232" w:rsidP="00CB6122">
      <w:pPr>
        <w:spacing w:after="120" w:line="294" w:lineRule="auto"/>
        <w:jc w:val="both"/>
      </w:pPr>
      <w:r>
        <w:rPr>
          <w:rFonts w:ascii="Arial" w:eastAsia="Arial" w:hAnsi="Arial" w:cs="Arial"/>
          <w:color w:val="000000"/>
          <w:sz w:val="20"/>
        </w:rPr>
        <w:lastRenderedPageBreak/>
        <w:t>Paul, D. C., &amp; Qaiyyum, M. A. (2009). Effect of different levels of NPK fertilizers on growth and yield components of two high yielding mulberry (Morus alba L.) varieties in irrigated conditions. Journal of Agriculture and Rural Development, 7(1-2), 119-124.</w:t>
      </w:r>
    </w:p>
    <w:p w14:paraId="6106FB6F" w14:textId="77777777" w:rsidR="00BF11A8" w:rsidRDefault="002A4232" w:rsidP="00CB6122">
      <w:pPr>
        <w:spacing w:after="120" w:line="294" w:lineRule="auto"/>
        <w:jc w:val="both"/>
      </w:pPr>
      <w:r>
        <w:rPr>
          <w:rFonts w:ascii="Arial" w:eastAsia="Arial" w:hAnsi="Arial" w:cs="Arial"/>
          <w:color w:val="000000"/>
          <w:sz w:val="20"/>
        </w:rPr>
        <w:t>Plant Archives. (2023). Enhancing the mulberry leaf quality and yield through foliar application of nanofertilizers. Plant Archives, 23(1), 1010-1013.</w:t>
      </w:r>
    </w:p>
    <w:p w14:paraId="63E8B4C1" w14:textId="77777777" w:rsidR="00BF11A8" w:rsidRDefault="002A4232" w:rsidP="00CB6122">
      <w:pPr>
        <w:spacing w:after="120" w:line="294" w:lineRule="auto"/>
        <w:jc w:val="both"/>
      </w:pPr>
      <w:r>
        <w:rPr>
          <w:rFonts w:ascii="Arial" w:eastAsia="Arial" w:hAnsi="Arial" w:cs="Arial"/>
          <w:color w:val="000000"/>
          <w:sz w:val="20"/>
        </w:rPr>
        <w:t>Rahmathulla, V. K. (2012). Management of various diseases and pests in mulberry sericulture. Sericulture, 1, 25-45.</w:t>
      </w:r>
    </w:p>
    <w:p w14:paraId="716B2B60" w14:textId="77777777" w:rsidR="00BF11A8" w:rsidRDefault="002A4232" w:rsidP="00CB6122">
      <w:pPr>
        <w:spacing w:after="120" w:line="294" w:lineRule="auto"/>
        <w:jc w:val="both"/>
      </w:pPr>
      <w:r>
        <w:rPr>
          <w:rFonts w:ascii="Arial" w:eastAsia="Arial" w:hAnsi="Arial" w:cs="Arial"/>
          <w:color w:val="000000"/>
          <w:sz w:val="20"/>
        </w:rPr>
        <w:t>Rakshitha, M. S., Naveen, D. V., &amp; Reddy, H. C. (2025). Biochemical parameters of tree mulberry influenced by different integrated nutrient management. International Journal of Research in Agronomy, 8(8), 10-779.</w:t>
      </w:r>
    </w:p>
    <w:p w14:paraId="376BE4DB" w14:textId="77777777" w:rsidR="00BF11A8" w:rsidRDefault="002A4232" w:rsidP="00CB6122">
      <w:pPr>
        <w:spacing w:after="120" w:line="294" w:lineRule="auto"/>
        <w:jc w:val="both"/>
      </w:pPr>
      <w:r>
        <w:rPr>
          <w:rFonts w:ascii="Arial" w:eastAsia="Arial" w:hAnsi="Arial" w:cs="Arial"/>
          <w:color w:val="000000"/>
          <w:sz w:val="20"/>
        </w:rPr>
        <w:t>Ram, R. L., &amp; Sannappa, B. (2017). Role of micronutrients on the increased growth and yield of mulberry (Morus alba L.) plants. International Journal of Current Microbiology and Applied Sciences, 6(1), 40-46.</w:t>
      </w:r>
    </w:p>
    <w:p w14:paraId="41377D73" w14:textId="77777777" w:rsidR="00BF11A8" w:rsidRDefault="002A4232" w:rsidP="00CB6122">
      <w:pPr>
        <w:spacing w:after="120" w:line="294" w:lineRule="auto"/>
        <w:jc w:val="both"/>
      </w:pPr>
      <w:r>
        <w:rPr>
          <w:rFonts w:ascii="Arial" w:eastAsia="Arial" w:hAnsi="Arial" w:cs="Arial"/>
          <w:color w:val="000000"/>
          <w:sz w:val="20"/>
        </w:rPr>
        <w:t>Ramesha, C., Himantharaj, M. T., Rajan, R. K., &amp; Kamble, C. K. (2012). Nutrigenetic screening strains of the mulberry silkworm, Bombyx mori, for nutritional efficiency. Journal of Insect Science, 12(3), 1-19.</w:t>
      </w:r>
    </w:p>
    <w:p w14:paraId="08D48118" w14:textId="77777777" w:rsidR="00BF11A8" w:rsidRDefault="002A4232" w:rsidP="00CB6122">
      <w:pPr>
        <w:spacing w:after="120" w:line="294" w:lineRule="auto"/>
        <w:jc w:val="both"/>
      </w:pPr>
      <w:r>
        <w:rPr>
          <w:rFonts w:ascii="Arial" w:eastAsia="Arial" w:hAnsi="Arial" w:cs="Arial"/>
          <w:color w:val="000000"/>
          <w:sz w:val="20"/>
        </w:rPr>
        <w:t>Rashmi, K. M. (2025). Impact of organic based nutrient management on growth and yield parameters of mulberry (Morus sp.). Journal of Chemical and Pharmaceutical Research, 8(4h), 9738.</w:t>
      </w:r>
    </w:p>
    <w:p w14:paraId="5B6920CD" w14:textId="77777777" w:rsidR="00BF11A8" w:rsidRDefault="002A4232" w:rsidP="00CB6122">
      <w:pPr>
        <w:spacing w:after="120" w:line="294" w:lineRule="auto"/>
        <w:jc w:val="both"/>
      </w:pPr>
      <w:r>
        <w:rPr>
          <w:rFonts w:ascii="Arial" w:eastAsia="Arial" w:hAnsi="Arial" w:cs="Arial"/>
          <w:color w:val="000000"/>
          <w:sz w:val="20"/>
        </w:rPr>
        <w:t>Ray, P., Borthakur, S., &amp; Bandyopadhyay, S. (2021). Soil-cum-nutrient management package for achieving high yield and quality of mulberry (Morus indica L.) leaf in acid soil of North Eastern India. Journal of Plant Nutrition, 44(14), 2135-2148. https://doi.org/10.1080/01904167.2021.1921196</w:t>
      </w:r>
    </w:p>
    <w:p w14:paraId="6B1C4351" w14:textId="77777777" w:rsidR="00BF11A8" w:rsidRDefault="002A4232" w:rsidP="00CB6122">
      <w:pPr>
        <w:spacing w:after="120" w:line="294" w:lineRule="auto"/>
        <w:jc w:val="both"/>
      </w:pPr>
      <w:r>
        <w:rPr>
          <w:rFonts w:ascii="Arial" w:eastAsia="Arial" w:hAnsi="Arial" w:cs="Arial"/>
          <w:color w:val="000000"/>
          <w:sz w:val="20"/>
        </w:rPr>
        <w:t>Reddy, H. C., Naika, R., Naveen, D. V., &amp; Gulabrao, D. P. (2024). Performance of tree mulberry applied with secondary nutrients and its influence on silkworm (Bombyx mori L.) larval, cocoon and reeling parameters. International Journal of Research in Agronomy, 7(8S), 147-601.</w:t>
      </w:r>
    </w:p>
    <w:p w14:paraId="364F7B61" w14:textId="77777777" w:rsidR="00BF11A8" w:rsidRDefault="002A4232" w:rsidP="00CB6122">
      <w:pPr>
        <w:spacing w:after="120" w:line="294" w:lineRule="auto"/>
        <w:jc w:val="both"/>
      </w:pPr>
      <w:r>
        <w:rPr>
          <w:rFonts w:ascii="Arial" w:eastAsia="Arial" w:hAnsi="Arial" w:cs="Arial"/>
          <w:color w:val="000000"/>
          <w:sz w:val="20"/>
        </w:rPr>
        <w:t>Ren, Y., Guo, G., Wang, Z., Zhu, L., &amp; Geng, B. (2025). Response of yield and protein content of forage mulberry to irrigation in North China Plain. Agronomy, 15(5), 1016. https://doi.org/10.3390/agronomy15051016</w:t>
      </w:r>
    </w:p>
    <w:p w14:paraId="223D02F2" w14:textId="77777777" w:rsidR="00BF11A8" w:rsidRDefault="002A4232" w:rsidP="00CB6122">
      <w:pPr>
        <w:spacing w:after="120" w:line="294" w:lineRule="auto"/>
        <w:jc w:val="both"/>
      </w:pPr>
      <w:r>
        <w:rPr>
          <w:rFonts w:ascii="Arial" w:eastAsia="Arial" w:hAnsi="Arial" w:cs="Arial"/>
          <w:color w:val="000000"/>
          <w:sz w:val="20"/>
        </w:rPr>
        <w:t>Ruth, L., Ghatak, S., Subbarayan, S., Choudhury, B. N., Gurusubramanian, G., Kumar, N. S., ... &amp; Kundu, S. C. (2019). Influence of micronutrients on the food consumption rate and silk production of Bombyx mori (Lepidoptera: Bombycidae) reared on mulberry plants grown in a mountainous agro-ecological condition. Frontiers in Physiology, 10, 878. https://doi.org/10.3389/fphys.2019.00878</w:t>
      </w:r>
    </w:p>
    <w:p w14:paraId="19A6B510" w14:textId="77777777" w:rsidR="00BF11A8" w:rsidRDefault="002A4232" w:rsidP="00CB6122">
      <w:pPr>
        <w:spacing w:after="120" w:line="294" w:lineRule="auto"/>
        <w:jc w:val="both"/>
      </w:pPr>
      <w:r>
        <w:rPr>
          <w:rFonts w:ascii="Arial" w:eastAsia="Arial" w:hAnsi="Arial" w:cs="Arial"/>
          <w:color w:val="000000"/>
          <w:sz w:val="20"/>
        </w:rPr>
        <w:t>Sachdev, S., Ansari, S. A., &amp; Ansari, M. I. (2021). Abiotic stress and reactive oxygen species: Generation, signaling and defense mechanisms. Antioxidants, 10(2), 277. https://doi.org/10.3390/antiox10020277</w:t>
      </w:r>
    </w:p>
    <w:p w14:paraId="2B7CF4AA" w14:textId="77777777" w:rsidR="00BF11A8" w:rsidRDefault="002A4232" w:rsidP="00CB6122">
      <w:pPr>
        <w:spacing w:after="120" w:line="294" w:lineRule="auto"/>
        <w:jc w:val="both"/>
      </w:pPr>
      <w:r>
        <w:rPr>
          <w:rFonts w:ascii="Arial" w:eastAsia="Arial" w:hAnsi="Arial" w:cs="Arial"/>
          <w:color w:val="000000"/>
          <w:sz w:val="20"/>
        </w:rPr>
        <w:t>Saravanan, N., Manjula, S., &amp; Anuradha, C. M. (2011). Studies on the nutritional supplement of mulberry leaves with Cowpeas (Vigna unguiculata) to the silk worm Bombyx mori (L</w:t>
      </w:r>
      <w:proofErr w:type="gramStart"/>
      <w:r>
        <w:rPr>
          <w:rFonts w:ascii="Arial" w:eastAsia="Arial" w:hAnsi="Arial" w:cs="Arial"/>
          <w:color w:val="000000"/>
          <w:sz w:val="20"/>
        </w:rPr>
        <w:t>)(</w:t>
      </w:r>
      <w:proofErr w:type="gramEnd"/>
      <w:r>
        <w:rPr>
          <w:rFonts w:ascii="Arial" w:eastAsia="Arial" w:hAnsi="Arial" w:cs="Arial"/>
          <w:color w:val="000000"/>
          <w:sz w:val="20"/>
        </w:rPr>
        <w:t>Lepidoptera: Bombycidae) upon the activities of midgut digestive enzymes. International Journal of Nutrition and Pharmacology, 1(2), 12.</w:t>
      </w:r>
    </w:p>
    <w:p w14:paraId="73C2ED07" w14:textId="77777777" w:rsidR="00BF11A8" w:rsidRDefault="002A4232" w:rsidP="00CB6122">
      <w:pPr>
        <w:spacing w:after="120" w:line="294" w:lineRule="auto"/>
        <w:jc w:val="both"/>
      </w:pPr>
      <w:r>
        <w:rPr>
          <w:rFonts w:ascii="Arial" w:eastAsia="Arial" w:hAnsi="Arial" w:cs="Arial"/>
          <w:color w:val="000000"/>
          <w:sz w:val="20"/>
        </w:rPr>
        <w:t>Shankar, M. A., Agnol, M. D., &amp; Dandin, S. B. (2000). Effect of integrated nutrient management on quality leaf production in mulberry (Morus alba) under rainfed, alluvial soil conditions. Indian Journal of Agricultural Sciences, 75, 474-478.</w:t>
      </w:r>
    </w:p>
    <w:p w14:paraId="180C2C7E" w14:textId="77777777" w:rsidR="00BF11A8" w:rsidRDefault="002A4232" w:rsidP="00CB6122">
      <w:pPr>
        <w:spacing w:after="120" w:line="294" w:lineRule="auto"/>
        <w:jc w:val="both"/>
      </w:pPr>
      <w:r>
        <w:rPr>
          <w:rFonts w:ascii="Arial" w:eastAsia="Arial" w:hAnsi="Arial" w:cs="Arial"/>
          <w:color w:val="000000"/>
          <w:sz w:val="20"/>
        </w:rPr>
        <w:lastRenderedPageBreak/>
        <w:t>Srivastava, S., Kapoor, R., Thathola, A., &amp; Srivastava, R. P. (2006). Nutritional quality of leaves of some genotypes of mulberry (Morus alba). International Journal of Food Sciences and Nutrition, 57(5-6), 305-313. https://doi.org/10.1080/09637480600801831</w:t>
      </w:r>
    </w:p>
    <w:p w14:paraId="2613967F" w14:textId="77777777" w:rsidR="00BF11A8" w:rsidRDefault="002A4232" w:rsidP="00CB6122">
      <w:pPr>
        <w:spacing w:after="120" w:line="294" w:lineRule="auto"/>
        <w:jc w:val="both"/>
      </w:pPr>
      <w:r>
        <w:rPr>
          <w:rFonts w:ascii="Arial" w:eastAsia="Arial" w:hAnsi="Arial" w:cs="Arial"/>
          <w:color w:val="000000"/>
          <w:sz w:val="20"/>
        </w:rPr>
        <w:t>Sudhakar, P., Chattopadhyay, G. N., Gangwar, S. K., &amp; Ghosh, J. K. (2000). Effect of foliar application of Azotobacter, Azospirillum and Beijerinckia on leaf yield and quality of mulberry (Morus alba). The Journal of Agricultural Science, 134(2), 227-234.</w:t>
      </w:r>
    </w:p>
    <w:p w14:paraId="58814CDE" w14:textId="77777777" w:rsidR="00BF11A8" w:rsidRDefault="002A4232" w:rsidP="00CB6122">
      <w:pPr>
        <w:spacing w:after="120" w:line="294" w:lineRule="auto"/>
        <w:jc w:val="both"/>
      </w:pPr>
      <w:r>
        <w:rPr>
          <w:rFonts w:ascii="Arial" w:eastAsia="Arial" w:hAnsi="Arial" w:cs="Arial"/>
          <w:color w:val="000000"/>
          <w:sz w:val="20"/>
        </w:rPr>
        <w:t>Sun, W., Shahrajabian, M. H., &amp; Kuang, Y. (2024). Amino acids biostimulants and protein hydrolysates in agricultural sciences. Plants, 13(2), 210. https://doi.org/10.3390/plants13020210</w:t>
      </w:r>
    </w:p>
    <w:p w14:paraId="736ECC78" w14:textId="77777777" w:rsidR="00BF11A8" w:rsidRDefault="002A4232" w:rsidP="00CB6122">
      <w:pPr>
        <w:spacing w:after="120" w:line="294" w:lineRule="auto"/>
        <w:jc w:val="both"/>
      </w:pPr>
      <w:r>
        <w:rPr>
          <w:rFonts w:ascii="Arial" w:eastAsia="Arial" w:hAnsi="Arial" w:cs="Arial"/>
          <w:color w:val="000000"/>
          <w:sz w:val="20"/>
        </w:rPr>
        <w:t>Susikaran, S., &amp; Vijay, V. (2024). Effect of different spacing of tree-type mulberry leaves on silkworm larval parameters. Marumegh, 9(5), 1753340159.</w:t>
      </w:r>
    </w:p>
    <w:p w14:paraId="7CA7000A" w14:textId="77777777" w:rsidR="00BF11A8" w:rsidRDefault="002A4232" w:rsidP="00CB6122">
      <w:pPr>
        <w:spacing w:after="120" w:line="294" w:lineRule="auto"/>
        <w:jc w:val="both"/>
      </w:pPr>
      <w:r>
        <w:rPr>
          <w:rFonts w:ascii="Arial" w:eastAsia="Arial" w:hAnsi="Arial" w:cs="Arial"/>
          <w:color w:val="000000"/>
          <w:sz w:val="20"/>
        </w:rPr>
        <w:t>The Pharma Innovation Journal. (2022). Effect of different levels of NPK fertilizers on growth and yield parameters in tree mulberry. The Pharma Innovation Journal, 11(11), 1214- 1217.</w:t>
      </w:r>
    </w:p>
    <w:p w14:paraId="2DB987EE" w14:textId="77777777" w:rsidR="00BF11A8" w:rsidRDefault="002A4232" w:rsidP="00CB6122">
      <w:pPr>
        <w:spacing w:after="120" w:line="294" w:lineRule="auto"/>
        <w:jc w:val="both"/>
      </w:pPr>
      <w:r>
        <w:rPr>
          <w:rFonts w:ascii="Arial" w:eastAsia="Arial" w:hAnsi="Arial" w:cs="Arial"/>
          <w:color w:val="000000"/>
          <w:sz w:val="20"/>
        </w:rPr>
        <w:t>Tian, J., Wen, H., Liu, B., Tian, X., Wu, Y., Yang, J., ... &amp; Li, H. (2025). Fruit quality evaluation of different mulberry varieties. Frontiers in Plant Science, 15, 1500253. https://doi.org/10.3389/fpls.2024.1500253</w:t>
      </w:r>
    </w:p>
    <w:p w14:paraId="41A07886" w14:textId="77777777" w:rsidR="00BF11A8" w:rsidRDefault="002A4232" w:rsidP="00CB6122">
      <w:pPr>
        <w:spacing w:after="120" w:line="294" w:lineRule="auto"/>
        <w:jc w:val="both"/>
      </w:pPr>
      <w:r>
        <w:rPr>
          <w:rFonts w:ascii="Arial" w:eastAsia="Arial" w:hAnsi="Arial" w:cs="Arial"/>
          <w:color w:val="000000"/>
          <w:sz w:val="20"/>
        </w:rPr>
        <w:t>Urbanek Krajnc, A., Bakonyi, T. andó, I., Kurucz, E., Solymosi, N., Pongrac, P., ... &amp; Lojen, K. (2022). The effect of feeding with Central European local mulberry genotypes on the development and health status of silkworms and quality parameters of raw silk. Insects, 13(9), 836. https://doi.org/10.3390/insects13090836</w:t>
      </w:r>
    </w:p>
    <w:p w14:paraId="443C75F6" w14:textId="77777777" w:rsidR="00BF11A8" w:rsidRDefault="002A4232" w:rsidP="00CB6122">
      <w:pPr>
        <w:spacing w:after="120" w:line="294" w:lineRule="auto"/>
        <w:jc w:val="both"/>
      </w:pPr>
      <w:r>
        <w:rPr>
          <w:rFonts w:ascii="Arial" w:eastAsia="Arial" w:hAnsi="Arial" w:cs="Arial"/>
          <w:color w:val="000000"/>
          <w:sz w:val="20"/>
        </w:rPr>
        <w:t>Ushioda, T. (1954). Studies on the foliar analysis of mulberry trees. Sanshi-Kenkyu, 8, 1-10.</w:t>
      </w:r>
    </w:p>
    <w:p w14:paraId="5E862A91" w14:textId="77777777" w:rsidR="00BF11A8" w:rsidRDefault="002A4232" w:rsidP="00CB6122">
      <w:pPr>
        <w:spacing w:after="120" w:line="294" w:lineRule="auto"/>
        <w:jc w:val="both"/>
      </w:pPr>
      <w:r>
        <w:rPr>
          <w:rFonts w:ascii="Arial" w:eastAsia="Arial" w:hAnsi="Arial" w:cs="Arial"/>
          <w:color w:val="000000"/>
          <w:sz w:val="20"/>
        </w:rPr>
        <w:t>Vijayan, K., Srivastava, P. P., &amp; Awasthi, A. K. (2011). Analysis of genetic diversity in mulberry (Morus spp.) using molecular markers. Acta Biologica Cracoviensia Series Botanica, 53(1), 85-92.</w:t>
      </w:r>
    </w:p>
    <w:p w14:paraId="5C1BF276" w14:textId="77777777" w:rsidR="00BF11A8" w:rsidRDefault="002A4232" w:rsidP="00CB6122">
      <w:pPr>
        <w:spacing w:after="120" w:line="294" w:lineRule="auto"/>
        <w:jc w:val="both"/>
      </w:pPr>
      <w:r>
        <w:rPr>
          <w:rFonts w:ascii="Arial" w:eastAsia="Arial" w:hAnsi="Arial" w:cs="Arial"/>
          <w:color w:val="000000"/>
          <w:sz w:val="20"/>
        </w:rPr>
        <w:t>Wu, X., He, K., Velickovic, T. C., &amp; Liu, Z. (2022). Multi-tissue metabolomic profiling reveals potential mechanisms of cocoon yield in silkworms (Bombyx mori) fed formula feed versus mulberry leaves. Frontiers in Molecular Biosciences, 9, 977047. https://doi.org/10.3389/fmolb.2022.977047</w:t>
      </w:r>
    </w:p>
    <w:p w14:paraId="37318763" w14:textId="77777777" w:rsidR="00BF11A8" w:rsidRDefault="002A4232" w:rsidP="00CB6122">
      <w:pPr>
        <w:spacing w:after="120" w:line="294" w:lineRule="auto"/>
        <w:jc w:val="both"/>
      </w:pPr>
      <w:r>
        <w:rPr>
          <w:rFonts w:ascii="Arial" w:eastAsia="Arial" w:hAnsi="Arial" w:cs="Arial"/>
          <w:color w:val="000000"/>
          <w:sz w:val="20"/>
        </w:rPr>
        <w:t>Xue, R., Wang, Y., Zhang, Y., Li, H., &amp; Deng, Z. (2025). Mulberry leaf protein: A comprehensive review of its nutritional value, extraction methods, functional properties and applications. Foods, 14(15), 2602. https://doi.org/10.3390/foods14152602</w:t>
      </w:r>
    </w:p>
    <w:p w14:paraId="0223B7BC" w14:textId="77777777" w:rsidR="00BF11A8" w:rsidRDefault="002A4232" w:rsidP="00CB6122">
      <w:pPr>
        <w:spacing w:after="120" w:line="294" w:lineRule="auto"/>
        <w:jc w:val="both"/>
      </w:pPr>
      <w:r>
        <w:rPr>
          <w:rFonts w:ascii="Arial" w:eastAsia="Arial" w:hAnsi="Arial" w:cs="Arial"/>
          <w:color w:val="000000"/>
          <w:sz w:val="20"/>
        </w:rPr>
        <w:t>Yadav, V. K., Padhan, D., &amp; Sen, S. (2020). Assessment of carbon sequestration potential of mulberry vis-à-vis soils under different cultivation practices. International Journal of Current Microbiology and Applied Sciences, 9(1), 2523-2532.</w:t>
      </w:r>
    </w:p>
    <w:p w14:paraId="2F4C67D0" w14:textId="77777777" w:rsidR="00BF11A8" w:rsidRDefault="002A4232" w:rsidP="00CB6122">
      <w:pPr>
        <w:spacing w:after="120" w:line="294" w:lineRule="auto"/>
        <w:jc w:val="both"/>
      </w:pPr>
      <w:r>
        <w:rPr>
          <w:rFonts w:ascii="Arial" w:eastAsia="Arial" w:hAnsi="Arial" w:cs="Arial"/>
          <w:color w:val="000000"/>
          <w:sz w:val="20"/>
        </w:rPr>
        <w:t>Yu, Y., Li, H., Zhang, B., Wang, J., Shi, X., Huang, J., ... &amp; Deng, Z. (2018). Nutritional and functional components of mulberry leaves from different varieties: Evaluation of their potential as food materials. International Journal of Food Properties, 21(1), 1495-1507. https://doi.org/10.1080/10942912.2018.1489833</w:t>
      </w:r>
    </w:p>
    <w:p w14:paraId="2137591A" w14:textId="77777777" w:rsidR="00BF11A8" w:rsidRDefault="002A4232" w:rsidP="00CB6122">
      <w:pPr>
        <w:spacing w:after="120" w:line="294" w:lineRule="auto"/>
        <w:jc w:val="both"/>
      </w:pPr>
      <w:r>
        <w:rPr>
          <w:rFonts w:ascii="Arial" w:eastAsia="Arial" w:hAnsi="Arial" w:cs="Arial"/>
          <w:color w:val="000000"/>
          <w:sz w:val="20"/>
        </w:rPr>
        <w:t xml:space="preserve">Zhang, H., Cheng, H., Twagirayezu, G., Zhang, F., Shi, Y., Luo, C., ... &amp; Xing, D. (2023). Arbuscular mycorrhizal fungi </w:t>
      </w:r>
      <w:proofErr w:type="gramStart"/>
      <w:r>
        <w:rPr>
          <w:rFonts w:ascii="Arial" w:eastAsia="Arial" w:hAnsi="Arial" w:cs="Arial"/>
          <w:color w:val="000000"/>
          <w:sz w:val="20"/>
        </w:rPr>
        <w:t>adjusts</w:t>
      </w:r>
      <w:proofErr w:type="gramEnd"/>
      <w:r>
        <w:rPr>
          <w:rFonts w:ascii="Arial" w:eastAsia="Arial" w:hAnsi="Arial" w:cs="Arial"/>
          <w:color w:val="000000"/>
          <w:sz w:val="20"/>
        </w:rPr>
        <w:t xml:space="preserve"> root architecture to promote leaf nitrogen accumulation and reduce leaf carbon-nitrogen ratio of mulberry seedlings. Forests, 14(12), 2448. https://doi.org/10.3390/f14122448</w:t>
      </w:r>
    </w:p>
    <w:p w14:paraId="63621050" w14:textId="77777777" w:rsidR="00BF11A8" w:rsidRDefault="002A4232" w:rsidP="00CB6122">
      <w:pPr>
        <w:spacing w:after="120" w:line="294" w:lineRule="auto"/>
        <w:jc w:val="both"/>
      </w:pPr>
      <w:r>
        <w:rPr>
          <w:rFonts w:ascii="Arial" w:eastAsia="Arial" w:hAnsi="Arial" w:cs="Arial"/>
          <w:color w:val="000000"/>
          <w:sz w:val="20"/>
        </w:rPr>
        <w:t>Zhang, Z. J., Li, Y. C., Wang, Y. F., &amp; Zhang, G. Z. (2019). GR24, a synthetic strigolactone analog, is a strong feeding deterrent to the monophagous silkworm, Bombyx mori. Journal of Agricultural and Food Chemistry, 67(10), 2885-2892. https://doi.org/10.1021/acs.jafc.8b06871</w:t>
      </w:r>
    </w:p>
    <w:p w14:paraId="4418AD0C" w14:textId="77777777" w:rsidR="00BF11A8" w:rsidRDefault="002A4232" w:rsidP="00CB6122">
      <w:pPr>
        <w:spacing w:after="120" w:line="294" w:lineRule="auto"/>
        <w:jc w:val="both"/>
      </w:pPr>
      <w:r w:rsidRPr="00CB6122">
        <w:rPr>
          <w:rFonts w:ascii="Arial" w:eastAsia="Arial" w:hAnsi="Arial" w:cs="Arial"/>
          <w:color w:val="000000"/>
          <w:sz w:val="20"/>
          <w:lang w:val="de-DE"/>
        </w:rPr>
        <w:lastRenderedPageBreak/>
        <w:t xml:space="preserve">Zhang, Z., Lv, Z., Wei, J., Liu, P., Pan, M., Ma, H., &amp; Lin, T. (2022). </w:t>
      </w:r>
      <w:r>
        <w:rPr>
          <w:rFonts w:ascii="Arial" w:eastAsia="Arial" w:hAnsi="Arial" w:cs="Arial"/>
          <w:color w:val="000000"/>
          <w:sz w:val="20"/>
        </w:rPr>
        <w:t>Foliar spraying of 6- benzylaminopurine promotes growth and flavonoid accumulation in mulberry (Morus alba L.). Journal of Plant Growth Regulation, 41(5), 2045-2056. https://doi.org/10.1007/s00344-021-10435-x</w:t>
      </w:r>
    </w:p>
    <w:p w14:paraId="01B372FD" w14:textId="77777777" w:rsidR="00BF11A8" w:rsidRDefault="002A4232" w:rsidP="00CB6122">
      <w:pPr>
        <w:spacing w:after="120" w:line="294" w:lineRule="auto"/>
        <w:jc w:val="both"/>
      </w:pPr>
      <w:r>
        <w:rPr>
          <w:rFonts w:ascii="Arial" w:eastAsia="Arial" w:hAnsi="Arial" w:cs="Arial"/>
          <w:color w:val="000000"/>
          <w:sz w:val="20"/>
        </w:rPr>
        <w:t>Zhou, L. H., Yang, H. X., Wang, Z. L., Li, P., &amp; Cui, W. Z. (2008). Comparative proteomic analysis between the domesticated silkworm (Bombyx mori) reared on fresh mulberry leaves and on artificial diet. Journal of Proteome Research, 7(12), 5103-5111. https://doi.org/10.1021/pr800383r</w:t>
      </w:r>
    </w:p>
    <w:p w14:paraId="5C4F0E47" w14:textId="77777777" w:rsidR="00BF11A8" w:rsidRDefault="002A4232" w:rsidP="00CB6122">
      <w:pPr>
        <w:spacing w:after="120" w:line="294" w:lineRule="auto"/>
        <w:jc w:val="both"/>
      </w:pPr>
      <w:r>
        <w:rPr>
          <w:rFonts w:ascii="Arial" w:eastAsia="Arial" w:hAnsi="Arial" w:cs="Arial"/>
          <w:color w:val="000000"/>
          <w:sz w:val="20"/>
        </w:rPr>
        <w:t>Zhou, Y., Zhou, S., &amp; Duan, H. (2025). Regional variation in mulberry leaf metabolites: Alkaloids and flavonoids are regulated by distinct environmental factors. Frontiers in Plant Science, 15, 12654259.</w:t>
      </w:r>
    </w:p>
    <w:sectPr w:rsidR="00BF11A8" w:rsidSect="00156F2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5DD2B" w14:textId="77777777" w:rsidR="00901924" w:rsidRDefault="00901924" w:rsidP="00156F29">
      <w:pPr>
        <w:spacing w:after="0" w:line="240" w:lineRule="auto"/>
      </w:pPr>
      <w:r>
        <w:separator/>
      </w:r>
    </w:p>
  </w:endnote>
  <w:endnote w:type="continuationSeparator" w:id="0">
    <w:p w14:paraId="13DE9970" w14:textId="77777777" w:rsidR="00901924" w:rsidRDefault="00901924" w:rsidP="00156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unga">
    <w:altName w:val="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34D2A" w14:textId="77777777" w:rsidR="00156F29" w:rsidRDefault="00156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7F306" w14:textId="77777777" w:rsidR="00156F29" w:rsidRDefault="00156F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E63C0" w14:textId="77777777" w:rsidR="00156F29" w:rsidRDefault="00156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6C972" w14:textId="77777777" w:rsidR="00901924" w:rsidRDefault="00901924" w:rsidP="00156F29">
      <w:pPr>
        <w:spacing w:after="0" w:line="240" w:lineRule="auto"/>
      </w:pPr>
      <w:r>
        <w:separator/>
      </w:r>
    </w:p>
  </w:footnote>
  <w:footnote w:type="continuationSeparator" w:id="0">
    <w:p w14:paraId="5C9BBC22" w14:textId="77777777" w:rsidR="00901924" w:rsidRDefault="00901924" w:rsidP="00156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909B8" w14:textId="5A0690AE" w:rsidR="00156F29" w:rsidRDefault="00156F29">
    <w:pPr>
      <w:pStyle w:val="Header"/>
    </w:pPr>
    <w:r>
      <w:rPr>
        <w:noProof/>
      </w:rPr>
      <w:pict w14:anchorId="3B161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11438" o:spid="_x0000_s2050" type="#_x0000_t136" style="position:absolute;margin-left:0;margin-top:0;width:585.35pt;height:74.4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04056" w14:textId="5E5F80A2" w:rsidR="00156F29" w:rsidRDefault="00156F29">
    <w:pPr>
      <w:pStyle w:val="Header"/>
    </w:pPr>
    <w:r>
      <w:rPr>
        <w:noProof/>
      </w:rPr>
      <w:pict w14:anchorId="2B5B0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11439" o:spid="_x0000_s2051" type="#_x0000_t136" style="position:absolute;margin-left:0;margin-top:0;width:585.35pt;height:74.4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65B9A" w14:textId="6863C4FA" w:rsidR="00156F29" w:rsidRDefault="00156F29">
    <w:pPr>
      <w:pStyle w:val="Header"/>
    </w:pPr>
    <w:r>
      <w:rPr>
        <w:noProof/>
      </w:rPr>
      <w:pict w14:anchorId="2090A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11437" o:spid="_x0000_s2049" type="#_x0000_t136" style="position:absolute;margin-left:0;margin-top:0;width:585.35pt;height:74.4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77C2"/>
    <w:rsid w:val="0015074B"/>
    <w:rsid w:val="00156F29"/>
    <w:rsid w:val="00171085"/>
    <w:rsid w:val="0029639D"/>
    <w:rsid w:val="002A4232"/>
    <w:rsid w:val="00326F90"/>
    <w:rsid w:val="00366509"/>
    <w:rsid w:val="0044669C"/>
    <w:rsid w:val="00707320"/>
    <w:rsid w:val="007D318B"/>
    <w:rsid w:val="00843073"/>
    <w:rsid w:val="00901924"/>
    <w:rsid w:val="00945BC4"/>
    <w:rsid w:val="00A61130"/>
    <w:rsid w:val="00AA1D8D"/>
    <w:rsid w:val="00B11367"/>
    <w:rsid w:val="00B4676B"/>
    <w:rsid w:val="00B47730"/>
    <w:rsid w:val="00BF11A8"/>
    <w:rsid w:val="00BF65EC"/>
    <w:rsid w:val="00C94D96"/>
    <w:rsid w:val="00CB0664"/>
    <w:rsid w:val="00CB6122"/>
    <w:rsid w:val="00EF4792"/>
    <w:rsid w:val="00F91509"/>
    <w:rsid w:val="00FC693F"/>
    <w:rsid w:val="00FC6C8B"/>
  </w:rsids>
  <m:mathPr>
    <m:mathFont m:val="Cambria Math"/>
    <m:brkBin m:val="before"/>
    <m:brkBinSub m:val="--"/>
    <m:smallFrac m:val="0"/>
    <m:dispDef/>
    <m:lMargin m:val="0"/>
    <m:rMargin m:val="0"/>
    <m:defJc m:val="centerGroup"/>
    <m:wrapIndent m:val="1440"/>
    <m:intLim m:val="subSup"/>
    <m:naryLim m:val="undOvr"/>
  </m:mathPr>
  <w:themeFontLang w:val="en-US" w:eastAsia="ja-JP" w:bidi="k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EF08DE7"/>
  <w14:defaultImageDpi w14:val="300"/>
  <w15:docId w15:val="{5AA5AB74-7646-499C-B341-1E5FA4E4E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neNumber">
    <w:name w:val="line number"/>
    <w:basedOn w:val="DefaultParagraphFont"/>
    <w:uiPriority w:val="99"/>
    <w:semiHidden/>
    <w:unhideWhenUsed/>
    <w:rsid w:val="00CB6122"/>
  </w:style>
  <w:style w:type="character" w:styleId="Hyperlink">
    <w:name w:val="Hyperlink"/>
    <w:basedOn w:val="DefaultParagraphFont"/>
    <w:uiPriority w:val="99"/>
    <w:unhideWhenUsed/>
    <w:rsid w:val="00843073"/>
    <w:rPr>
      <w:color w:val="0000FF" w:themeColor="hyperlink"/>
      <w:u w:val="single"/>
    </w:rPr>
  </w:style>
  <w:style w:type="character" w:styleId="UnresolvedMention">
    <w:name w:val="Unresolved Mention"/>
    <w:basedOn w:val="DefaultParagraphFont"/>
    <w:uiPriority w:val="99"/>
    <w:semiHidden/>
    <w:unhideWhenUsed/>
    <w:rsid w:val="00BF6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E641F-731C-4544-8633-0228A614D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8082</Words>
  <Characters>46072</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17</cp:revision>
  <dcterms:created xsi:type="dcterms:W3CDTF">2013-12-23T23:15:00Z</dcterms:created>
  <dcterms:modified xsi:type="dcterms:W3CDTF">2026-03-19T09:06:00Z</dcterms:modified>
  <cp:category/>
</cp:coreProperties>
</file>