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678A" w:rsidRPr="00C1318A" w14:paraId="1710A51F" w14:textId="77777777">
        <w:trPr>
          <w:trHeight w:val="20"/>
          <w:jc w:val="center"/>
        </w:trPr>
        <w:tc>
          <w:tcPr>
            <w:tcW w:w="1186" w:type="pct"/>
          </w:tcPr>
          <w:p w14:paraId="226FA1E7" w14:textId="77777777" w:rsidR="0064678A" w:rsidRPr="00C1318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A2E3F9" w14:textId="77777777" w:rsidR="0064678A" w:rsidRPr="00C1318A" w:rsidRDefault="00BE71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tr w:rsidR="0064678A" w:rsidRPr="00C1318A" w14:paraId="715BBC6C" w14:textId="77777777">
        <w:trPr>
          <w:trHeight w:val="20"/>
          <w:jc w:val="center"/>
        </w:trPr>
        <w:tc>
          <w:tcPr>
            <w:tcW w:w="1186" w:type="pct"/>
          </w:tcPr>
          <w:p w14:paraId="749B4BAF" w14:textId="77777777" w:rsidR="0064678A" w:rsidRPr="00C1318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B365F9" w14:textId="77777777" w:rsidR="0064678A" w:rsidRPr="00C1318A" w:rsidRDefault="00D21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Ms_MRJI_156313</w:t>
            </w:r>
          </w:p>
        </w:tc>
      </w:tr>
      <w:tr w:rsidR="0064678A" w:rsidRPr="00C1318A" w14:paraId="51249049" w14:textId="77777777">
        <w:trPr>
          <w:trHeight w:val="20"/>
          <w:jc w:val="center"/>
        </w:trPr>
        <w:tc>
          <w:tcPr>
            <w:tcW w:w="1186" w:type="pct"/>
          </w:tcPr>
          <w:p w14:paraId="67587990" w14:textId="77777777" w:rsidR="0064678A" w:rsidRPr="00C1318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3C6CBE" w14:textId="77777777" w:rsidR="0064678A" w:rsidRPr="00C1318A" w:rsidRDefault="00D21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Digestive carriage and acquisition of multidrug-resistant Enterobacteriaceae (MDR-E) strains in children who received empirical antibiotic therapy, hospitalized in the Paediatric department of the Sylvanus Olympio Teaching Hospital, Lomé (Togo) in 2023</w:t>
            </w:r>
          </w:p>
        </w:tc>
      </w:tr>
      <w:tr w:rsidR="0064678A" w:rsidRPr="00C1318A" w14:paraId="14B7EF24" w14:textId="77777777">
        <w:trPr>
          <w:trHeight w:val="20"/>
          <w:jc w:val="center"/>
        </w:trPr>
        <w:tc>
          <w:tcPr>
            <w:tcW w:w="1186" w:type="pct"/>
          </w:tcPr>
          <w:p w14:paraId="02C02381" w14:textId="77777777" w:rsidR="0064678A" w:rsidRPr="00C1318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1EBD51" w14:textId="77777777" w:rsidR="0064678A" w:rsidRPr="00C1318A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51A1C5" w14:textId="77777777" w:rsidR="0064678A" w:rsidRPr="00C1318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3249B9" w14:textId="77777777" w:rsidR="0064678A" w:rsidRPr="00C1318A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A4338CA" w14:textId="77777777" w:rsidR="0064678A" w:rsidRPr="00C1318A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1318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1318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FE67D84" w14:textId="77777777" w:rsidR="0064678A" w:rsidRPr="00C1318A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678A" w:rsidRPr="00C1318A" w14:paraId="389224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6A0C84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76EFC71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D768BF" w14:textId="77777777" w:rsidR="0064678A" w:rsidRPr="00C1318A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131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31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DA3E3A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6E5B1BD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9F09EF" w14:textId="77777777" w:rsidR="0064678A" w:rsidRPr="00C1318A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4D095D" w14:textId="77777777" w:rsidR="0064678A" w:rsidRPr="00C1318A" w:rsidRDefault="00806B37" w:rsidP="00806B3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study addresses the serious and growing public health concern of Multidrug resistant </w:t>
            </w:r>
            <w:proofErr w:type="spellStart"/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enterobacteriaceae</w:t>
            </w:r>
            <w:proofErr w:type="spellEnd"/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(MDR-E) among hospitalized </w:t>
            </w:r>
            <w:proofErr w:type="spellStart"/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pediatric</w:t>
            </w:r>
            <w:proofErr w:type="spellEnd"/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individuals. It offers important information on hospital-acquired development of resistance strains during empirical antibiotic therapy as well as baseline carriage. The results underscore the critical need to update antibiotic stewardship and infection control procedures in low-resource settings due to the startlingly high rates of carriage and acquisition, especially among infants. Additionally, the study adds region-specific data from Togo, which is still underrepresented in surveillance of antibiotic resistance worldwide.</w:t>
            </w:r>
          </w:p>
        </w:tc>
        <w:tc>
          <w:tcPr>
            <w:tcW w:w="1367" w:type="pct"/>
          </w:tcPr>
          <w:p w14:paraId="376D1212" w14:textId="63572405" w:rsidR="0064678A" w:rsidRPr="00C1318A" w:rsidRDefault="009E3E91" w:rsidP="009E3E91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this summary which describes the main points of this work quite well</w:t>
            </w:r>
          </w:p>
        </w:tc>
      </w:tr>
    </w:tbl>
    <w:p w14:paraId="1629322C" w14:textId="77777777" w:rsidR="0064678A" w:rsidRPr="00C1318A" w:rsidRDefault="0064678A">
      <w:pPr>
        <w:rPr>
          <w:rFonts w:ascii="Arial" w:hAnsi="Arial" w:cs="Arial"/>
          <w:sz w:val="20"/>
          <w:szCs w:val="20"/>
          <w:lang w:val="en-GB"/>
        </w:rPr>
      </w:pPr>
    </w:p>
    <w:p w14:paraId="45766EB7" w14:textId="77777777" w:rsidR="0064678A" w:rsidRPr="00C1318A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1318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B824D2D" w14:textId="77777777" w:rsidR="0064678A" w:rsidRPr="00C1318A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678A" w:rsidRPr="00C1318A" w14:paraId="70D04B1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0D7AA5E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CAF84BA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83D6B3" w14:textId="77777777" w:rsidR="0064678A" w:rsidRPr="00C1318A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31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 w:rsidRPr="00C1318A" w14:paraId="65AC41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DCF29" w14:textId="77777777" w:rsidR="0064678A" w:rsidRPr="00C1318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60F9B0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7ABB4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31646" w14:textId="77777777" w:rsidR="0064678A" w:rsidRPr="00C1318A" w:rsidRDefault="00B26F92" w:rsidP="00B26F92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(Title is clear but slightly lengthy. </w:t>
            </w:r>
            <w:r w:rsidRPr="00C1318A">
              <w:rPr>
                <w:rFonts w:ascii="Arial" w:hAnsi="Arial" w:cs="Arial"/>
                <w:sz w:val="20"/>
                <w:szCs w:val="20"/>
                <w:lang w:val="en-IN" w:eastAsia="en-IN"/>
              </w:rPr>
              <w:t>It may be simplified to make it easier to read</w:t>
            </w: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732DB21E" w14:textId="1DC8AD43" w:rsidR="009E3E91" w:rsidRPr="00C1318A" w:rsidRDefault="009E3E91" w:rsidP="009E3E9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for this comment, which </w:t>
            </w:r>
            <w:r w:rsidR="004D447A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we</w:t>
            </w: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fully agree with. We will propose a new title.</w:t>
            </w:r>
          </w:p>
          <w:p w14:paraId="7E5A34E5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2D822E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DC06F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3AC3618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41369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94AB6" w14:textId="77777777" w:rsidR="0064678A" w:rsidRPr="00C1318A" w:rsidRDefault="00806B37" w:rsidP="00806B3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="00B26F92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</w:t>
            </w:r>
            <w:r w:rsidR="00E664C0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Mention the study design, and rectify the sample number at admission vs discharge and mention the age, hospital stay etc as a key risk factors in results section)</w:t>
            </w:r>
          </w:p>
        </w:tc>
        <w:tc>
          <w:tcPr>
            <w:tcW w:w="1367" w:type="pct"/>
          </w:tcPr>
          <w:p w14:paraId="52C81C7A" w14:textId="6481F4C8" w:rsidR="00CB6FF6" w:rsidRPr="00C1318A" w:rsidRDefault="004D447A" w:rsidP="00CB6FF6">
            <w:pPr>
              <w:pStyle w:val="Body"/>
              <w:spacing w:after="0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b/>
                <w:lang w:val="en-GB"/>
              </w:rPr>
              <w:t xml:space="preserve">Thank you for this comment. The sample number at admission vs discharge are not the same due to the </w:t>
            </w:r>
            <w:r w:rsidRPr="00C1318A">
              <w:rPr>
                <w:rFonts w:ascii="Arial" w:hAnsi="Arial" w:cs="Arial"/>
                <w:b/>
                <w:bCs/>
                <w:lang w:val="en-GB"/>
              </w:rPr>
              <w:t>high loss to follow-up rate</w:t>
            </w:r>
            <w:r w:rsidRPr="00C1318A">
              <w:rPr>
                <w:rFonts w:ascii="Arial" w:hAnsi="Arial" w:cs="Arial"/>
                <w:b/>
                <w:bCs/>
                <w:i/>
                <w:iCs/>
                <w:lang w:val="en-GB"/>
              </w:rPr>
              <w:t>.</w:t>
            </w:r>
            <w:r w:rsidR="00CB6FF6" w:rsidRPr="00C1318A">
              <w:rPr>
                <w:rFonts w:ascii="Arial" w:eastAsia="Calibri" w:hAnsi="Arial" w:cs="Arial"/>
                <w:b/>
                <w:i/>
                <w:iCs/>
              </w:rPr>
              <w:t xml:space="preserve"> “Study design:</w:t>
            </w:r>
            <w:r w:rsidR="00CB6FF6" w:rsidRPr="00C1318A">
              <w:rPr>
                <w:rFonts w:ascii="Arial" w:eastAsia="Calibri" w:hAnsi="Arial" w:cs="Arial"/>
                <w:i/>
                <w:iCs/>
              </w:rPr>
              <w:t xml:space="preserve">  </w:t>
            </w:r>
            <w:r w:rsidR="00CB6FF6" w:rsidRPr="00C1318A">
              <w:rPr>
                <w:rFonts w:ascii="Arial" w:hAnsi="Arial" w:cs="Arial"/>
                <w:i/>
                <w:iCs/>
                <w:lang w:val="en-GB"/>
              </w:rPr>
              <w:t>This was a cross-sectional before-and-after study involving children who received empirical antibiotic therapy.</w:t>
            </w:r>
            <w:r w:rsidR="00CB6FF6" w:rsidRPr="00C1318A">
              <w:rPr>
                <w:rFonts w:ascii="Arial" w:hAnsi="Arial" w:cs="Arial"/>
                <w:lang w:val="en-GB"/>
              </w:rPr>
              <w:t xml:space="preserve"> “ the study design is mention</w:t>
            </w:r>
          </w:p>
          <w:p w14:paraId="0B03D800" w14:textId="61F95ABF" w:rsidR="0064678A" w:rsidRPr="00C1318A" w:rsidRDefault="004D44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bCs w:val="0"/>
                <w:lang w:val="en-GB"/>
              </w:rPr>
              <w:t xml:space="preserve"> </w:t>
            </w:r>
            <w:r w:rsidR="00CB6FF6" w:rsidRPr="00C1318A">
              <w:rPr>
                <w:rFonts w:ascii="Arial" w:hAnsi="Arial" w:cs="Arial"/>
                <w:b w:val="0"/>
                <w:bCs w:val="0"/>
                <w:lang w:val="en-GB"/>
              </w:rPr>
              <w:t>“</w:t>
            </w:r>
            <w:r w:rsidR="00CB6FF6" w:rsidRPr="00C1318A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>The acquisition of MDR-E strains was significantly associated with the length of hospital stay (p=0.003) and age (p=0.0001).” This part of abstract show the risk factors</w:t>
            </w:r>
          </w:p>
        </w:tc>
      </w:tr>
      <w:tr w:rsidR="0064678A" w:rsidRPr="00C1318A" w14:paraId="2E0BF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F5FF7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28177FD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4DA56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98DC46" w14:textId="77777777" w:rsidR="0064678A" w:rsidRPr="00C1318A" w:rsidRDefault="00806B37" w:rsidP="00806B3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474AC3" w14:textId="1D1C2732" w:rsidR="0064678A" w:rsidRPr="00C1318A" w:rsidRDefault="00CB6F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</w:tc>
      </w:tr>
      <w:tr w:rsidR="00112F95" w:rsidRPr="00C1318A" w14:paraId="1170F3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EAC1E" w14:textId="77777777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FCDC839" w14:textId="77777777" w:rsidR="00112F95" w:rsidRPr="00C1318A" w:rsidRDefault="00112F95" w:rsidP="00112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71DEF" w14:textId="77777777" w:rsidR="00112F95" w:rsidRPr="00C1318A" w:rsidRDefault="00112F95" w:rsidP="00112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940A9B" w14:textId="77777777" w:rsidR="00112F95" w:rsidRPr="00C1318A" w:rsidRDefault="00112F95" w:rsidP="00112F9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 (include research gap and mention studies related to evaluation acquisition dynamics. Remove repetition of global AMR reports)</w:t>
            </w:r>
          </w:p>
        </w:tc>
        <w:tc>
          <w:tcPr>
            <w:tcW w:w="1367" w:type="pct"/>
          </w:tcPr>
          <w:p w14:paraId="132C196B" w14:textId="4BEEBC01" w:rsidR="008300E4" w:rsidRPr="00C1318A" w:rsidRDefault="008300E4" w:rsidP="008300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Thank you for your comment. The background has been revised</w:t>
            </w:r>
          </w:p>
          <w:p w14:paraId="3067994D" w14:textId="082BCB8A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 w:eastAsia="en-US"/>
              </w:rPr>
            </w:pPr>
          </w:p>
        </w:tc>
      </w:tr>
      <w:tr w:rsidR="00112F95" w:rsidRPr="00C1318A" w14:paraId="1A14C9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15ECE" w14:textId="77777777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20EDC47" w14:textId="77777777" w:rsidR="00112F95" w:rsidRPr="00C1318A" w:rsidRDefault="00112F95" w:rsidP="00112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568A8" w14:textId="77777777" w:rsidR="00112F95" w:rsidRPr="00C1318A" w:rsidRDefault="00112F95" w:rsidP="00112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2CDF34" w14:textId="77777777" w:rsidR="00112F95" w:rsidRPr="00C1318A" w:rsidRDefault="00112F95" w:rsidP="00112F9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7BB67D" w14:textId="69E06200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</w:tc>
      </w:tr>
      <w:tr w:rsidR="00112F95" w:rsidRPr="00C1318A" w14:paraId="55CDF9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74CA3C" w14:textId="77777777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D7F3211" w14:textId="77777777" w:rsidR="00112F95" w:rsidRPr="00C1318A" w:rsidRDefault="00112F95" w:rsidP="00112F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0A0F2" w14:textId="77777777" w:rsidR="00112F95" w:rsidRPr="00C1318A" w:rsidRDefault="00112F95" w:rsidP="00112F9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1B5DE5" w14:textId="77777777" w:rsidR="00112F95" w:rsidRPr="00C1318A" w:rsidRDefault="00112F95" w:rsidP="00112F9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EE0F4D" w14:textId="601C9900" w:rsidR="00112F95" w:rsidRPr="00C1318A" w:rsidRDefault="00112F95" w:rsidP="00112F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</w:tc>
      </w:tr>
      <w:tr w:rsidR="0064678A" w:rsidRPr="00C1318A" w14:paraId="2E53F3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E99F5B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2934990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9FB8C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B3E26E" w14:textId="77777777" w:rsidR="0064678A" w:rsidRPr="00C1318A" w:rsidRDefault="00806B37" w:rsidP="00806B37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="00B1269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(Sample size calculation  were performed? And mention inclusion and exclusion criteria justification)</w:t>
            </w:r>
          </w:p>
        </w:tc>
        <w:tc>
          <w:tcPr>
            <w:tcW w:w="1367" w:type="pct"/>
          </w:tcPr>
          <w:p w14:paraId="2D12018A" w14:textId="77777777" w:rsidR="0064678A" w:rsidRPr="00C1318A" w:rsidRDefault="00112F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62EB7082" w14:textId="7D4824E8" w:rsidR="00822263" w:rsidRPr="00C1318A" w:rsidRDefault="00822263" w:rsidP="00822263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The sample size was computed using the standard formula </w:t>
            </w:r>
            <w:r w:rsidRPr="00C1318A">
              <w:rPr>
                <w:rFonts w:ascii="Arial" w:hAnsi="Arial" w:cs="Arial"/>
                <w:i/>
                <w:iCs/>
                <w:sz w:val="20"/>
                <w:szCs w:val="20"/>
              </w:rPr>
              <w:t>Cochran</w:t>
            </w:r>
            <w:r w:rsidRPr="00C1318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to calculate the minimum sample size  required to estimate a proportion in a population, a significance level of 5%, an expected prevalence of 15%.</w:t>
            </w:r>
          </w:p>
          <w:p w14:paraId="33BCB2DD" w14:textId="77777777" w:rsidR="00822263" w:rsidRPr="00C1318A" w:rsidRDefault="00822263" w:rsidP="00822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Inclusion criteria</w:t>
            </w: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:</w:t>
            </w: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 xml:space="preserve"> All patients admitted to the department and placed on empirical antibiotic therapy were eligible</w:t>
            </w:r>
          </w:p>
          <w:p w14:paraId="738FF0C7" w14:textId="77777777" w:rsidR="00822263" w:rsidRPr="00C1318A" w:rsidRDefault="00822263" w:rsidP="00822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provided they remained in the hospital for at least one night.</w:t>
            </w:r>
          </w:p>
          <w:p w14:paraId="42B3B6E9" w14:textId="77777777" w:rsidR="00822263" w:rsidRPr="00C1318A" w:rsidRDefault="00822263" w:rsidP="0082226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Exclusion criteria:</w:t>
            </w: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 xml:space="preserve"> Previously included patients who were readmitted to the hospital during the study period were not included</w:t>
            </w:r>
          </w:p>
          <w:p w14:paraId="3902751F" w14:textId="037CE9AE" w:rsidR="00822263" w:rsidRPr="00C1318A" w:rsidRDefault="00822263" w:rsidP="00822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678A" w:rsidRPr="00C1318A" w14:paraId="547C91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30C11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318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6B2D101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8CB43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A9027" w14:textId="77777777" w:rsidR="0064678A" w:rsidRPr="00C1318A" w:rsidRDefault="00806B37" w:rsidP="00806B37">
            <w:pPr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="00CC0BE1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3DE781BD" w14:textId="77777777" w:rsidR="00822263" w:rsidRPr="00C1318A" w:rsidRDefault="00822263" w:rsidP="008222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4C28CE3B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789C33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0C7FF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355987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86C5A" w14:textId="77777777" w:rsidR="0064678A" w:rsidRPr="00C1318A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1B081" w14:textId="77777777" w:rsidR="0064678A" w:rsidRPr="00C1318A" w:rsidRDefault="00806B37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="00CC0BE1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(Cut short the long paragraph into smaller sections. Ensure consistent percentage formatting)</w:t>
            </w:r>
          </w:p>
        </w:tc>
        <w:tc>
          <w:tcPr>
            <w:tcW w:w="1367" w:type="pct"/>
          </w:tcPr>
          <w:p w14:paraId="0E927221" w14:textId="77777777" w:rsidR="001B37A3" w:rsidRPr="00C1318A" w:rsidRDefault="001B37A3" w:rsidP="001B37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Thank you for the feedback. The results have been reviewed and corrections have been made.</w:t>
            </w:r>
          </w:p>
          <w:p w14:paraId="577D2FB6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63FEC2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7E3120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2F6713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2248F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9167ED" w14:textId="77777777" w:rsidR="0064678A" w:rsidRPr="00C1318A" w:rsidRDefault="00806B37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4CD11A" w14:textId="5F7048C1" w:rsidR="0064678A" w:rsidRPr="00C1318A" w:rsidRDefault="00D057D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bCs w:val="0"/>
                <w:lang w:val="en-GB"/>
              </w:rPr>
              <w:t>Thank you for your comment.</w:t>
            </w:r>
          </w:p>
        </w:tc>
      </w:tr>
      <w:tr w:rsidR="0064678A" w:rsidRPr="00C1318A" w14:paraId="0E519C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829778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F9AE43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F07BE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F90833" w14:textId="77777777" w:rsidR="0064678A" w:rsidRPr="00C1318A" w:rsidRDefault="00806B37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="0062070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(avoid repetition for prevalence comparison. Explain the antibiotic pressure as a key driver)</w:t>
            </w:r>
          </w:p>
        </w:tc>
        <w:tc>
          <w:tcPr>
            <w:tcW w:w="1367" w:type="pct"/>
          </w:tcPr>
          <w:p w14:paraId="31DF605E" w14:textId="797356B3" w:rsidR="00797D63" w:rsidRPr="00C1318A" w:rsidRDefault="00D057D7" w:rsidP="00797D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Thank you for your comment.</w:t>
            </w:r>
            <w:r w:rsidR="00797D63" w:rsidRPr="00C1318A">
              <w:rPr>
                <w:rFonts w:ascii="Arial" w:hAnsi="Arial" w:cs="Arial"/>
                <w:sz w:val="20"/>
                <w:szCs w:val="20"/>
                <w:lang w:val="en-GB"/>
              </w:rPr>
              <w:t xml:space="preserve"> The discussion has been revised</w:t>
            </w:r>
          </w:p>
          <w:p w14:paraId="77BC4FE3" w14:textId="6180C1E6" w:rsidR="0064678A" w:rsidRPr="00C1318A" w:rsidRDefault="0064678A" w:rsidP="001B3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678A" w:rsidRPr="00C1318A" w14:paraId="2E0216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F23BA1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E66E59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424AD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FBA3E" w14:textId="77777777" w:rsidR="0064678A" w:rsidRPr="00C1318A" w:rsidRDefault="00620709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 avoid repetition of discussion points and strengthens with the Antibiotic stewardship programs etc.)</w:t>
            </w:r>
          </w:p>
        </w:tc>
        <w:tc>
          <w:tcPr>
            <w:tcW w:w="1367" w:type="pct"/>
          </w:tcPr>
          <w:p w14:paraId="2D006E15" w14:textId="77777777" w:rsidR="001B37A3" w:rsidRPr="00C1318A" w:rsidRDefault="001B37A3" w:rsidP="001B37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Thank you for your comment. The conclusion has been revised</w:t>
            </w:r>
          </w:p>
          <w:p w14:paraId="34B8BB9C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47271E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2593E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C6619C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7F73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5608E" w14:textId="77777777" w:rsidR="0064678A" w:rsidRPr="00C1318A" w:rsidRDefault="00806B37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="0062070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(add </w:t>
            </w:r>
            <w:bookmarkStart w:id="0" w:name="_Hlk226615939"/>
            <w:r w:rsidR="0062070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molecular characterization</w:t>
            </w:r>
            <w:bookmarkEnd w:id="0"/>
            <w:r w:rsidR="0062070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, prior antibiotic exposure data)</w:t>
            </w:r>
          </w:p>
        </w:tc>
        <w:tc>
          <w:tcPr>
            <w:tcW w:w="1367" w:type="pct"/>
          </w:tcPr>
          <w:p w14:paraId="6805F223" w14:textId="64434B35" w:rsidR="0064678A" w:rsidRPr="00C1318A" w:rsidRDefault="00112F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  <w:r w:rsidRPr="00C1318A">
              <w:rPr>
                <w:rFonts w:ascii="Arial" w:hAnsi="Arial" w:cs="Arial"/>
                <w:b w:val="0"/>
                <w:i/>
                <w:iCs/>
                <w:lang w:val="en-GB" w:eastAsia="en-US"/>
              </w:rPr>
              <w:t>.</w:t>
            </w:r>
            <w:r w:rsidRPr="00C1318A">
              <w:rPr>
                <w:rFonts w:ascii="Arial" w:hAnsi="Arial" w:cs="Arial"/>
                <w:i/>
                <w:iCs/>
                <w:lang w:val="en-GB"/>
              </w:rPr>
              <w:t xml:space="preserve">      </w:t>
            </w:r>
            <w:r w:rsidRPr="00C1318A">
              <w:rPr>
                <w:rFonts w:ascii="Arial" w:hAnsi="Arial" w:cs="Arial"/>
                <w:b w:val="0"/>
                <w:bCs w:val="0"/>
                <w:i/>
                <w:iCs/>
                <w:lang w:val="en-GB"/>
              </w:rPr>
              <w:t>The limitation of this study lies in the failure to account for previous antibiotic therapy in the included children and the lack of identification of specific resistance genes.</w:t>
            </w:r>
            <w:r w:rsidRPr="00C1318A">
              <w:rPr>
                <w:rFonts w:ascii="Arial" w:hAnsi="Arial" w:cs="Arial"/>
                <w:b w:val="0"/>
                <w:bCs w:val="0"/>
                <w:lang w:val="en-GB"/>
              </w:rPr>
              <w:t xml:space="preserve"> </w:t>
            </w:r>
            <w:r w:rsidR="008564C2" w:rsidRPr="00C1318A">
              <w:rPr>
                <w:rFonts w:ascii="Arial" w:hAnsi="Arial" w:cs="Arial"/>
                <w:b w:val="0"/>
                <w:bCs w:val="0"/>
                <w:lang w:val="en-GB"/>
              </w:rPr>
              <w:t xml:space="preserve">This is mention here but we can reformulate so </w:t>
            </w:r>
            <w:r w:rsidR="001B37A3" w:rsidRPr="00C1318A">
              <w:rPr>
                <w:rFonts w:ascii="Arial" w:hAnsi="Arial" w:cs="Arial"/>
                <w:b w:val="0"/>
                <w:bCs w:val="0"/>
                <w:lang w:val="en-GB"/>
              </w:rPr>
              <w:t>they</w:t>
            </w:r>
            <w:r w:rsidR="008564C2" w:rsidRPr="00C1318A">
              <w:rPr>
                <w:rFonts w:ascii="Arial" w:hAnsi="Arial" w:cs="Arial"/>
                <w:b w:val="0"/>
                <w:bCs w:val="0"/>
                <w:lang w:val="en-GB"/>
              </w:rPr>
              <w:t xml:space="preserve"> appear clearly</w:t>
            </w:r>
          </w:p>
        </w:tc>
      </w:tr>
      <w:tr w:rsidR="0064678A" w:rsidRPr="00C1318A" w14:paraId="32E38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CFC2C3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6F815E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2B469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900201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3AA99C62" w14:textId="77777777" w:rsidR="0064678A" w:rsidRPr="00C1318A" w:rsidRDefault="00806B37" w:rsidP="00806B37">
            <w:pPr>
              <w:pStyle w:val="ListParagraph"/>
              <w:ind w:left="-154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17E12209" w14:textId="01D27FDE" w:rsidR="0064678A" w:rsidRPr="00C1318A" w:rsidRDefault="001B37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your for the feed back</w:t>
            </w:r>
          </w:p>
        </w:tc>
      </w:tr>
      <w:tr w:rsidR="0064678A" w:rsidRPr="00C1318A" w14:paraId="15113A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DCDEA" w14:textId="77777777" w:rsidR="0064678A" w:rsidRPr="00C1318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416A4A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78263" w14:textId="77777777" w:rsidR="0064678A" w:rsidRPr="00C1318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71B9DA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F3A847" w14:textId="77777777" w:rsidR="0064678A" w:rsidRPr="00C1318A" w:rsidRDefault="00806B37" w:rsidP="00806B3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="00620709"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(Grammar check)</w:t>
            </w:r>
          </w:p>
        </w:tc>
        <w:tc>
          <w:tcPr>
            <w:tcW w:w="1367" w:type="pct"/>
          </w:tcPr>
          <w:p w14:paraId="2F8B7B98" w14:textId="2014E9FA" w:rsidR="0064678A" w:rsidRPr="00C1318A" w:rsidRDefault="001B37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The manuscript was review</w:t>
            </w:r>
          </w:p>
        </w:tc>
      </w:tr>
    </w:tbl>
    <w:p w14:paraId="510BA5B8" w14:textId="77777777" w:rsidR="0064678A" w:rsidRPr="00C1318A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3E9E84" w14:textId="77777777" w:rsidR="0064678A" w:rsidRPr="00C1318A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1318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554205E" w14:textId="77777777" w:rsidR="0064678A" w:rsidRPr="00C1318A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678A" w:rsidRPr="00C1318A" w14:paraId="3A69F945" w14:textId="77777777" w:rsidTr="007256A5">
        <w:trPr>
          <w:trHeight w:val="20"/>
          <w:jc w:val="center"/>
        </w:trPr>
        <w:tc>
          <w:tcPr>
            <w:tcW w:w="1672" w:type="pct"/>
            <w:noWrap/>
          </w:tcPr>
          <w:p w14:paraId="476A9E00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03C3665" w14:textId="77777777" w:rsidR="0064678A" w:rsidRPr="00C1318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0FFBD14" w14:textId="77777777" w:rsidR="0064678A" w:rsidRPr="00C1318A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E054975" w14:textId="77777777" w:rsidR="0064678A" w:rsidRPr="00C1318A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31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31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DFF940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C1318A" w14:paraId="5DD05808" w14:textId="77777777" w:rsidTr="007256A5">
        <w:trPr>
          <w:trHeight w:val="20"/>
          <w:jc w:val="center"/>
        </w:trPr>
        <w:tc>
          <w:tcPr>
            <w:tcW w:w="1672" w:type="pct"/>
            <w:noWrap/>
          </w:tcPr>
          <w:p w14:paraId="0E8CB0EC" w14:textId="77777777" w:rsidR="0064678A" w:rsidRPr="00C1318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6C13F1" w14:textId="77777777" w:rsidR="0064678A" w:rsidRPr="00C1318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45E5F5" w14:textId="77777777" w:rsidR="0064678A" w:rsidRPr="00C1318A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93C6F1" w14:textId="77777777" w:rsidR="0064678A" w:rsidRPr="00C1318A" w:rsidRDefault="00806B37" w:rsidP="00D9461C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1" w:name="_GoBack"/>
            <w:bookmarkEnd w:id="1"/>
          </w:p>
        </w:tc>
        <w:tc>
          <w:tcPr>
            <w:tcW w:w="1542" w:type="pct"/>
          </w:tcPr>
          <w:p w14:paraId="0B2B213A" w14:textId="77777777" w:rsidR="00D057D7" w:rsidRPr="00C1318A" w:rsidRDefault="00D057D7" w:rsidP="00D057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title</w:t>
            </w:r>
          </w:p>
          <w:p w14:paraId="6755002B" w14:textId="77777777" w:rsidR="001B37A3" w:rsidRPr="00C1318A" w:rsidRDefault="001B37A3" w:rsidP="001B37A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 xml:space="preserve">Impact of empirical antibiotic therapy on the carriage and acquisition of multidrug-resistant Enterobacteriaceae in </w:t>
            </w:r>
            <w:proofErr w:type="spellStart"/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>Paeditric</w:t>
            </w:r>
            <w:proofErr w:type="spellEnd"/>
            <w:r w:rsidRPr="00C1318A">
              <w:rPr>
                <w:rFonts w:ascii="Arial" w:hAnsi="Arial" w:cs="Arial"/>
                <w:sz w:val="20"/>
                <w:szCs w:val="20"/>
                <w:lang w:val="en-GB"/>
              </w:rPr>
              <w:t xml:space="preserve"> department of Sylvanus Olympio Teaching Hospital, Lomé (Togo), 2023</w:t>
            </w:r>
          </w:p>
          <w:p w14:paraId="5743C458" w14:textId="77777777" w:rsidR="0064678A" w:rsidRPr="00C1318A" w:rsidRDefault="0064678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7256A5" w:rsidRPr="00C1318A" w14:paraId="5E4AF785" w14:textId="77777777" w:rsidTr="007256A5">
        <w:trPr>
          <w:trHeight w:val="20"/>
          <w:jc w:val="center"/>
        </w:trPr>
        <w:tc>
          <w:tcPr>
            <w:tcW w:w="1672" w:type="pct"/>
            <w:noWrap/>
          </w:tcPr>
          <w:p w14:paraId="1CCE129C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8ACAD23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7ACF9E" w14:textId="77777777" w:rsidR="007256A5" w:rsidRPr="00C1318A" w:rsidRDefault="007256A5" w:rsidP="007256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7B80D8" w14:textId="77777777" w:rsidR="007256A5" w:rsidRPr="00C1318A" w:rsidRDefault="007256A5" w:rsidP="007256A5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Yes</w:t>
            </w:r>
          </w:p>
        </w:tc>
        <w:tc>
          <w:tcPr>
            <w:tcW w:w="1542" w:type="pct"/>
          </w:tcPr>
          <w:p w14:paraId="7ED879A7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320AAAE6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56A5" w:rsidRPr="00C1318A" w14:paraId="58712613" w14:textId="77777777" w:rsidTr="007256A5">
        <w:trPr>
          <w:trHeight w:val="20"/>
          <w:jc w:val="center"/>
        </w:trPr>
        <w:tc>
          <w:tcPr>
            <w:tcW w:w="1672" w:type="pct"/>
            <w:noWrap/>
          </w:tcPr>
          <w:p w14:paraId="7D068B78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1318A">
              <w:rPr>
                <w:rFonts w:ascii="Arial" w:hAnsi="Arial" w:cs="Arial"/>
                <w:lang w:val="en-GB" w:eastAsia="en-US"/>
              </w:rPr>
              <w:br/>
            </w:r>
          </w:p>
          <w:p w14:paraId="7F2178D8" w14:textId="77777777" w:rsidR="007256A5" w:rsidRPr="00C1318A" w:rsidRDefault="007256A5" w:rsidP="007256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25F938" w14:textId="77777777" w:rsidR="007256A5" w:rsidRPr="00C1318A" w:rsidRDefault="007256A5" w:rsidP="007256A5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1BFFA12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45D6B1D6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56A5" w:rsidRPr="00C1318A" w14:paraId="470FF49F" w14:textId="77777777" w:rsidTr="007256A5">
        <w:trPr>
          <w:trHeight w:val="20"/>
          <w:jc w:val="center"/>
        </w:trPr>
        <w:tc>
          <w:tcPr>
            <w:tcW w:w="1672" w:type="pct"/>
            <w:noWrap/>
          </w:tcPr>
          <w:p w14:paraId="07CE7DBF" w14:textId="77777777" w:rsidR="007256A5" w:rsidRPr="00C1318A" w:rsidRDefault="007256A5" w:rsidP="007256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BACFDF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C55C6D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77A733" w14:textId="77777777" w:rsidR="007256A5" w:rsidRPr="00C1318A" w:rsidRDefault="007256A5" w:rsidP="007256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56350E" w14:textId="77777777" w:rsidR="007256A5" w:rsidRPr="00C1318A" w:rsidRDefault="007256A5" w:rsidP="007256A5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E96EDD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2D3E38A6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56A5" w:rsidRPr="00C1318A" w14:paraId="5BCB756E" w14:textId="77777777" w:rsidTr="007256A5">
        <w:trPr>
          <w:trHeight w:val="896"/>
          <w:jc w:val="center"/>
        </w:trPr>
        <w:tc>
          <w:tcPr>
            <w:tcW w:w="1672" w:type="pct"/>
            <w:noWrap/>
          </w:tcPr>
          <w:p w14:paraId="4A285A11" w14:textId="77777777" w:rsidR="007256A5" w:rsidRPr="00C1318A" w:rsidRDefault="007256A5" w:rsidP="007256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142402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B60E6E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548A85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52F41F" w14:textId="77777777" w:rsidR="007256A5" w:rsidRPr="00C1318A" w:rsidRDefault="007256A5" w:rsidP="007256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66C2101" w14:textId="77777777" w:rsidR="007256A5" w:rsidRPr="00C1318A" w:rsidRDefault="007256A5" w:rsidP="007256A5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318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1D3AF1BE" w14:textId="77777777" w:rsidR="007256A5" w:rsidRPr="00C1318A" w:rsidRDefault="007256A5" w:rsidP="007256A5">
            <w:pPr>
              <w:ind w:firstLine="7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24EE476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318A">
              <w:rPr>
                <w:rFonts w:ascii="Arial" w:hAnsi="Arial" w:cs="Arial"/>
                <w:b w:val="0"/>
                <w:lang w:val="en-GB" w:eastAsia="en-US"/>
              </w:rPr>
              <w:t>Thank you for the comment</w:t>
            </w:r>
          </w:p>
          <w:p w14:paraId="7958B959" w14:textId="77777777" w:rsidR="007256A5" w:rsidRPr="00C1318A" w:rsidRDefault="007256A5" w:rsidP="007256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64DE98" w14:textId="77777777" w:rsidR="0064678A" w:rsidRPr="00C1318A" w:rsidRDefault="0064678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3BC3AB1" w14:textId="77777777" w:rsidR="0064678A" w:rsidRPr="00C1318A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7249176" w14:textId="77777777" w:rsidR="0064678A" w:rsidRPr="00C1318A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4678A" w:rsidRPr="00C1318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755D" w14:textId="77777777" w:rsidR="0085347F" w:rsidRDefault="0085347F">
      <w:r>
        <w:separator/>
      </w:r>
    </w:p>
  </w:endnote>
  <w:endnote w:type="continuationSeparator" w:id="0">
    <w:p w14:paraId="060E9C45" w14:textId="77777777" w:rsidR="0085347F" w:rsidRDefault="0085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168AA" w14:textId="77777777" w:rsidR="00620709" w:rsidRDefault="00620709">
    <w:pPr>
      <w:pStyle w:val="Footer"/>
      <w:jc w:val="right"/>
    </w:pPr>
  </w:p>
  <w:p w14:paraId="17D942F0" w14:textId="77777777" w:rsidR="00620709" w:rsidRDefault="0062070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130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1309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4E9AA5D" w14:textId="77777777" w:rsidR="00620709" w:rsidRDefault="0062070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39559B" w14:textId="77777777" w:rsidR="00620709" w:rsidRDefault="00620709">
    <w:pPr>
      <w:pStyle w:val="Footer"/>
      <w:jc w:val="right"/>
    </w:pPr>
  </w:p>
  <w:p w14:paraId="1995C80B" w14:textId="77777777" w:rsidR="00620709" w:rsidRDefault="006207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3DE9D" w14:textId="77777777" w:rsidR="0085347F" w:rsidRDefault="0085347F">
      <w:r>
        <w:separator/>
      </w:r>
    </w:p>
  </w:footnote>
  <w:footnote w:type="continuationSeparator" w:id="0">
    <w:p w14:paraId="521C6990" w14:textId="77777777" w:rsidR="0085347F" w:rsidRDefault="00853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1EC60" w14:textId="77777777" w:rsidR="00620709" w:rsidRDefault="0062070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85DC8B" w14:textId="77777777" w:rsidR="00620709" w:rsidRDefault="0062070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78A"/>
    <w:rsid w:val="00051C13"/>
    <w:rsid w:val="00112F95"/>
    <w:rsid w:val="001B37A3"/>
    <w:rsid w:val="002672F0"/>
    <w:rsid w:val="003B1E93"/>
    <w:rsid w:val="004464AA"/>
    <w:rsid w:val="004D447A"/>
    <w:rsid w:val="004F4779"/>
    <w:rsid w:val="0056280B"/>
    <w:rsid w:val="005D5119"/>
    <w:rsid w:val="0061274D"/>
    <w:rsid w:val="00620709"/>
    <w:rsid w:val="0064246D"/>
    <w:rsid w:val="0064678A"/>
    <w:rsid w:val="00695793"/>
    <w:rsid w:val="00710F96"/>
    <w:rsid w:val="007256A5"/>
    <w:rsid w:val="00797D63"/>
    <w:rsid w:val="00806B37"/>
    <w:rsid w:val="00822263"/>
    <w:rsid w:val="008300E4"/>
    <w:rsid w:val="0085347F"/>
    <w:rsid w:val="008564C2"/>
    <w:rsid w:val="008B365B"/>
    <w:rsid w:val="008B5C84"/>
    <w:rsid w:val="008F63C0"/>
    <w:rsid w:val="009E3E91"/>
    <w:rsid w:val="00A91910"/>
    <w:rsid w:val="00B12699"/>
    <w:rsid w:val="00B26F92"/>
    <w:rsid w:val="00BE711C"/>
    <w:rsid w:val="00BF5F83"/>
    <w:rsid w:val="00C1318A"/>
    <w:rsid w:val="00CA233D"/>
    <w:rsid w:val="00CB6FF6"/>
    <w:rsid w:val="00CC0BE1"/>
    <w:rsid w:val="00D057D7"/>
    <w:rsid w:val="00D14F47"/>
    <w:rsid w:val="00D21FAA"/>
    <w:rsid w:val="00D60789"/>
    <w:rsid w:val="00D9461C"/>
    <w:rsid w:val="00E664C0"/>
    <w:rsid w:val="00F36DBB"/>
    <w:rsid w:val="00FB77B3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948B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rsid w:val="00CB6FF6"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7815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