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29D6" w14:paraId="129B3D11" w14:textId="77777777">
        <w:trPr>
          <w:trHeight w:val="20"/>
          <w:jc w:val="center"/>
        </w:trPr>
        <w:tc>
          <w:tcPr>
            <w:tcW w:w="1186" w:type="pct"/>
          </w:tcPr>
          <w:p w14:paraId="5EFB9D91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D8A0BC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5B579A38" w14:textId="77777777">
        <w:trPr>
          <w:trHeight w:val="20"/>
          <w:jc w:val="center"/>
        </w:trPr>
        <w:tc>
          <w:tcPr>
            <w:tcW w:w="1186" w:type="pct"/>
          </w:tcPr>
          <w:p w14:paraId="688276E3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17C7C4" w14:textId="77777777" w:rsidR="00B929D6" w:rsidRDefault="00A27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276E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Ms_JSRR_156614</w:t>
            </w:r>
          </w:p>
        </w:tc>
      </w:tr>
      <w:tr w:rsidR="00B929D6" w14:paraId="159F8DBA" w14:textId="77777777">
        <w:trPr>
          <w:trHeight w:val="20"/>
          <w:jc w:val="center"/>
        </w:trPr>
        <w:tc>
          <w:tcPr>
            <w:tcW w:w="1186" w:type="pct"/>
          </w:tcPr>
          <w:p w14:paraId="4AC44576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A9A804" w14:textId="77777777" w:rsidR="00B929D6" w:rsidRDefault="00A27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76E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Sustainable Cold Chain Management of Dairy Foods: Energy Efficiency, Monitoring, and Logistics Strategies</w:t>
            </w:r>
          </w:p>
        </w:tc>
      </w:tr>
      <w:tr w:rsidR="00B929D6" w14:paraId="679218D9" w14:textId="77777777">
        <w:trPr>
          <w:trHeight w:val="20"/>
          <w:jc w:val="center"/>
        </w:trPr>
        <w:tc>
          <w:tcPr>
            <w:tcW w:w="1186" w:type="pct"/>
          </w:tcPr>
          <w:p w14:paraId="250CDE1B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B17ADC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8C34DF3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AD03829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077C59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B35A2E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5978468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0BF609F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8EAA19C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929D6" w14:paraId="59D1EC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C469C1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BDEDD98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E7F5BF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CB7EF2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53E61A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6E6586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739AB82" w14:textId="77777777"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7C947C8" w14:textId="77777777" w:rsidR="00B929D6" w:rsidRDefault="00F77B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 of this manuscript consists in the manner of approaching aspects such as:</w:t>
            </w:r>
          </w:p>
          <w:p w14:paraId="79121277" w14:textId="455B51DF" w:rsidR="00F77B92" w:rsidRPr="00F77B92" w:rsidRDefault="00F77B92" w:rsidP="00F77B9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</w:t>
            </w:r>
            <w:r w:rsidRPr="00F77B92">
              <w:rPr>
                <w:b/>
                <w:bCs/>
                <w:sz w:val="20"/>
                <w:szCs w:val="20"/>
              </w:rPr>
              <w:t>he global food supply chain faces the dual challenge of ensuring food security for a burgeoning population while adhering to stringent net-zero emission mandates</w:t>
            </w:r>
            <w:r>
              <w:rPr>
                <w:b/>
                <w:bCs/>
                <w:sz w:val="20"/>
                <w:szCs w:val="20"/>
              </w:rPr>
              <w:t>; w</w:t>
            </w:r>
            <w:r w:rsidRPr="00F77B92">
              <w:rPr>
                <w:b/>
                <w:bCs/>
                <w:sz w:val="20"/>
                <w:szCs w:val="20"/>
              </w:rPr>
              <w:t xml:space="preserve">ithin this context, the dairy industry is </w:t>
            </w:r>
            <w:r>
              <w:rPr>
                <w:b/>
                <w:bCs/>
                <w:sz w:val="20"/>
                <w:szCs w:val="20"/>
              </w:rPr>
              <w:t>known to be a</w:t>
            </w:r>
            <w:r w:rsidRPr="00F77B92">
              <w:rPr>
                <w:b/>
                <w:bCs/>
                <w:sz w:val="20"/>
                <w:szCs w:val="20"/>
              </w:rPr>
              <w:t xml:space="preserve"> carbon-intensive sector, responsible for substantial greenhouse gas (GHG) emissions that significantly contribute to anthropogenic climate change</w:t>
            </w:r>
          </w:p>
          <w:p w14:paraId="5A756E4B" w14:textId="6C556E67" w:rsidR="00F77B92" w:rsidRDefault="00E762CD" w:rsidP="00F77B9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</w:t>
            </w:r>
            <w:r w:rsidRPr="00E762CD">
              <w:rPr>
                <w:b/>
                <w:bCs/>
                <w:sz w:val="20"/>
                <w:szCs w:val="20"/>
              </w:rPr>
              <w:t xml:space="preserve">his </w:t>
            </w:r>
            <w:r>
              <w:rPr>
                <w:b/>
                <w:bCs/>
                <w:sz w:val="20"/>
                <w:szCs w:val="20"/>
              </w:rPr>
              <w:t>manuscriptg</w:t>
            </w:r>
            <w:r w:rsidRPr="00E762CD">
              <w:rPr>
                <w:b/>
                <w:bCs/>
                <w:sz w:val="20"/>
                <w:szCs w:val="20"/>
              </w:rPr>
              <w:t xml:space="preserve"> proposes an innovative framework for sustainable dairy supply chain management, underscoring the critical interdependencies between technological, operational, and policy mechanisms. By synchronizing these dimensions within a circular economy paradigm, the study demonstrates how to concurrently optimize product freshness, enhance energy efficiency, attenuate environmental emissions, and minimize systemic waste</w:t>
            </w:r>
          </w:p>
        </w:tc>
        <w:tc>
          <w:tcPr>
            <w:tcW w:w="1367" w:type="pct"/>
          </w:tcPr>
          <w:p w14:paraId="66152BCE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34A851" w14:textId="77777777" w:rsidR="00B929D6" w:rsidRDefault="00B929D6">
      <w:pPr>
        <w:rPr>
          <w:sz w:val="20"/>
          <w:szCs w:val="20"/>
          <w:lang w:val="en-GB"/>
        </w:rPr>
      </w:pPr>
    </w:p>
    <w:p w14:paraId="602A202A" w14:textId="77777777" w:rsidR="00B929D6" w:rsidRDefault="00B929D6">
      <w:pPr>
        <w:rPr>
          <w:sz w:val="20"/>
          <w:szCs w:val="20"/>
          <w:lang w:val="en-GB"/>
        </w:rPr>
      </w:pPr>
    </w:p>
    <w:p w14:paraId="4B20C4F2" w14:textId="77777777" w:rsidR="00B929D6" w:rsidRDefault="00B929D6">
      <w:pPr>
        <w:rPr>
          <w:sz w:val="20"/>
          <w:szCs w:val="20"/>
          <w:lang w:val="en-GB"/>
        </w:rPr>
      </w:pPr>
    </w:p>
    <w:p w14:paraId="43306203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22CEEB9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929D6" w14:paraId="3AA2435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0CEFCB0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1FC0985F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57ABD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FE22E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98CF1CD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24F3DA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236811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04A19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867A28E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41CFE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91C67" w14:textId="5FDFC59B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739D58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38840B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862F0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788627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F4E66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F7CCB" w14:textId="4E564D49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D33423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662B1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CCCA9E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85E3D8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2A426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FEEA4" w14:textId="02ECB7DD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D2E332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2FBBD3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0DD37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435414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D7FF2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224A58" w14:textId="5C4FF812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8AED3C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6FC43B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AA615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A64827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F17B5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6D3EDD" w14:textId="48A425EE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118265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620A9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BC7C4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E6B8DE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0DA9A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EF214" w14:textId="219E154E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D9C294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0F17A9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11C6D7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405F1B6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69128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CB94A8" w14:textId="5D4E584B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12C4E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CC568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BC61DD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B031979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52E04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3416C" w14:textId="1240DC41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218A5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081406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3ED40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4F166F2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742AE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95F549" w14:textId="52834D7F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EFD6E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45102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40B725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4BEBD83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937D7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5FF724" w14:textId="43814D67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98F73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2AEDA1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16152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5B5F6DE4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79B44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C7EEE" w14:textId="1434AA98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FE5AC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0513B4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509C25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4832D9B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95804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280F2" w14:textId="2574FDAD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89A88B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4A0EF5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F376AA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A1C3592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FE566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505F34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615656" w14:textId="5F67A014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39F23E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658B86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F6244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C99A179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45F78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5F677D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123201" w14:textId="24796014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151321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AFAD61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B302A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939181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41B7F7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23B37C1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929D6" w14:paraId="01EE8AD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D6A35B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945B56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4CCDA5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779E046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9DB327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314888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751A310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E97CCC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056582BE" w14:textId="77777777"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556454" w14:textId="7C624EE9" w:rsidR="00B929D6" w:rsidRDefault="00E762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F6B1EC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743632C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C72638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412177F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551C4538" w14:textId="77777777" w:rsidR="00B929D6" w:rsidRDefault="00C25A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984644" w14:textId="77777777" w:rsidR="00B929D6" w:rsidRDefault="00B929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CC7F23" w14:textId="19EAE5E8" w:rsidR="00B929D6" w:rsidRPr="006E5543" w:rsidRDefault="006E554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6E5543">
              <w:rPr>
                <w:b w:val="0"/>
                <w:bCs w:val="0"/>
              </w:rPr>
              <w:t>Condensed.</w:t>
            </w:r>
          </w:p>
        </w:tc>
      </w:tr>
      <w:tr w:rsidR="00B929D6" w14:paraId="3C611B9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47376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D24C03B" w14:textId="77777777" w:rsidR="00B929D6" w:rsidRDefault="00C25A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EF8D86" w14:textId="65449D24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yee</w:t>
            </w:r>
          </w:p>
        </w:tc>
        <w:tc>
          <w:tcPr>
            <w:tcW w:w="1523" w:type="pct"/>
          </w:tcPr>
          <w:p w14:paraId="42150B5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1D587B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46D3E68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001CF6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0563C28B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F2AF24F" w14:textId="2B7CE2CC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9EBA2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2083C7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7C5315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8C45DD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515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5F0CA947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C700E9" w14:textId="77777777"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7A9548" w14:textId="5CA1C7EC" w:rsidR="00B929D6" w:rsidRDefault="00E762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DBDAC31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7A925A" w14:textId="77777777" w:rsidR="00B929D6" w:rsidRDefault="00B929D6">
      <w:pPr>
        <w:rPr>
          <w:lang w:val="en-GB"/>
        </w:rPr>
      </w:pPr>
    </w:p>
    <w:p w14:paraId="4B4D7956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34AEC8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2226FD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D3CB8F" w14:textId="647B9032" w:rsidR="00B929D6" w:rsidRDefault="00C25ABA" w:rsidP="00B16481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434E406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B929D6" w14:paraId="5EB0CF8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C1C810F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C901636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 w14:paraId="4726DA82" w14:textId="77777777">
        <w:trPr>
          <w:trHeight w:val="20"/>
          <w:jc w:val="center"/>
        </w:trPr>
        <w:tc>
          <w:tcPr>
            <w:tcW w:w="3011" w:type="pct"/>
            <w:noWrap/>
          </w:tcPr>
          <w:p w14:paraId="4016A445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FA8BB51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 w14:paraId="29FBEBA3" w14:textId="77777777">
        <w:trPr>
          <w:trHeight w:val="20"/>
          <w:jc w:val="center"/>
        </w:trPr>
        <w:tc>
          <w:tcPr>
            <w:tcW w:w="3011" w:type="pct"/>
            <w:noWrap/>
          </w:tcPr>
          <w:p w14:paraId="38997D07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8F0099" w14:textId="77777777" w:rsidR="00FB3B6C" w:rsidRPr="00FB3B6C" w:rsidRDefault="00FB3B6C" w:rsidP="00FB3B6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B3B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further strengthen the arguments presented, it would be advisable for the author to include a specific, real-world case study or best practice example of an IoT-blockchain integrated infrastructure, such as peer-to-peer energy trading in smart grids, to empirically validate the proclaimed benefits of improved traceability and operational efficiency.</w:t>
            </w:r>
          </w:p>
          <w:p w14:paraId="735E3A2D" w14:textId="7A16B699" w:rsidR="00B929D6" w:rsidRDefault="00FB3B6C" w:rsidP="00FB3B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B3B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Regarding the part of the manuscript dealing with renewables integration, my remark is as follows: it necessitates the adoption of thermal energy storage to mitigate intermittency, the implementation of AI-driven smart energy management systems, the prioritization of energy efficiency, and the development of innovative financial models to overcome high upfront costs and ensure long-term, low-carbon resilience.</w:t>
            </w:r>
          </w:p>
          <w:p w14:paraId="00EAB8E0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C32BD6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5758F01" w14:textId="40BB3167" w:rsidR="00B929D6" w:rsidRPr="006E5543" w:rsidRDefault="006E55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55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Revised and cited relevant references </w:t>
            </w:r>
          </w:p>
        </w:tc>
      </w:tr>
    </w:tbl>
    <w:p w14:paraId="408B90A0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5381DBF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EC19" w14:textId="77777777" w:rsidR="00F2787A" w:rsidRDefault="00F2787A">
      <w:r>
        <w:separator/>
      </w:r>
    </w:p>
  </w:endnote>
  <w:endnote w:type="continuationSeparator" w:id="0">
    <w:p w14:paraId="5E7910A2" w14:textId="77777777" w:rsidR="00F2787A" w:rsidRDefault="00F2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E82C" w14:textId="361410C4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164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164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00CB7CD" w14:textId="77777777" w:rsidR="00B929D6" w:rsidRDefault="00B929D6">
    <w:pPr>
      <w:pStyle w:val="Footer"/>
      <w:jc w:val="right"/>
    </w:pPr>
  </w:p>
  <w:p w14:paraId="42F408D1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38799" w14:textId="77777777" w:rsidR="00F2787A" w:rsidRDefault="00F2787A">
      <w:r>
        <w:separator/>
      </w:r>
    </w:p>
  </w:footnote>
  <w:footnote w:type="continuationSeparator" w:id="0">
    <w:p w14:paraId="48555226" w14:textId="77777777" w:rsidR="00F2787A" w:rsidRDefault="00F27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A74C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10F20A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3229B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69591A"/>
    <w:multiLevelType w:val="hybridMultilevel"/>
    <w:tmpl w:val="2BC0CB74"/>
    <w:lvl w:ilvl="0" w:tplc="E59C4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5301562">
    <w:abstractNumId w:val="4"/>
  </w:num>
  <w:num w:numId="2" w16cid:durableId="305478391">
    <w:abstractNumId w:val="8"/>
  </w:num>
  <w:num w:numId="3" w16cid:durableId="1156802668">
    <w:abstractNumId w:val="7"/>
  </w:num>
  <w:num w:numId="4" w16cid:durableId="917787519">
    <w:abstractNumId w:val="10"/>
  </w:num>
  <w:num w:numId="5" w16cid:durableId="1263684576">
    <w:abstractNumId w:val="6"/>
  </w:num>
  <w:num w:numId="6" w16cid:durableId="549343001">
    <w:abstractNumId w:val="0"/>
  </w:num>
  <w:num w:numId="7" w16cid:durableId="982658091">
    <w:abstractNumId w:val="3"/>
  </w:num>
  <w:num w:numId="8" w16cid:durableId="280957432">
    <w:abstractNumId w:val="12"/>
  </w:num>
  <w:num w:numId="9" w16cid:durableId="931012718">
    <w:abstractNumId w:val="11"/>
  </w:num>
  <w:num w:numId="10" w16cid:durableId="845902115">
    <w:abstractNumId w:val="2"/>
  </w:num>
  <w:num w:numId="11" w16cid:durableId="1133017346">
    <w:abstractNumId w:val="1"/>
  </w:num>
  <w:num w:numId="12" w16cid:durableId="1437020503">
    <w:abstractNumId w:val="5"/>
  </w:num>
  <w:num w:numId="13" w16cid:durableId="1363359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9D6"/>
    <w:rsid w:val="00151D4B"/>
    <w:rsid w:val="001756E7"/>
    <w:rsid w:val="002254F7"/>
    <w:rsid w:val="00243C42"/>
    <w:rsid w:val="002D03BF"/>
    <w:rsid w:val="003216E2"/>
    <w:rsid w:val="003229B9"/>
    <w:rsid w:val="003605C3"/>
    <w:rsid w:val="003D645A"/>
    <w:rsid w:val="003E4431"/>
    <w:rsid w:val="004F48CA"/>
    <w:rsid w:val="005953F5"/>
    <w:rsid w:val="006E5543"/>
    <w:rsid w:val="00A276E4"/>
    <w:rsid w:val="00AB5BED"/>
    <w:rsid w:val="00B03F22"/>
    <w:rsid w:val="00B16481"/>
    <w:rsid w:val="00B929D6"/>
    <w:rsid w:val="00C25ABA"/>
    <w:rsid w:val="00C3481A"/>
    <w:rsid w:val="00C82DDA"/>
    <w:rsid w:val="00CD7534"/>
    <w:rsid w:val="00D11BCF"/>
    <w:rsid w:val="00D40948"/>
    <w:rsid w:val="00E627C1"/>
    <w:rsid w:val="00E762CD"/>
    <w:rsid w:val="00F2787A"/>
    <w:rsid w:val="00F77B92"/>
    <w:rsid w:val="00FB3B6C"/>
    <w:rsid w:val="00FB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BE2D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Devaraju R</cp:lastModifiedBy>
  <cp:revision>15</cp:revision>
  <dcterms:created xsi:type="dcterms:W3CDTF">2026-04-06T13:11:00Z</dcterms:created>
  <dcterms:modified xsi:type="dcterms:W3CDTF">2026-04-11T11:44:00Z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