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F54E7">
        <w:trPr>
          <w:trHeight w:val="20"/>
          <w:jc w:val="center"/>
        </w:trPr>
        <w:tc>
          <w:tcPr>
            <w:tcW w:w="1186" w:type="pct"/>
          </w:tcPr>
          <w:p w:rsidR="00EF54E7" w:rsidRDefault="003747F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EF54E7" w:rsidRDefault="004645A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0312B" w:rsidRPr="0090312B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Complementary and Alternative Medical Research</w:t>
              </w:r>
            </w:hyperlink>
          </w:p>
        </w:tc>
      </w:tr>
      <w:tr w:rsidR="00EF54E7">
        <w:trPr>
          <w:trHeight w:val="20"/>
          <w:jc w:val="center"/>
        </w:trPr>
        <w:tc>
          <w:tcPr>
            <w:tcW w:w="1186" w:type="pct"/>
          </w:tcPr>
          <w:p w:rsidR="00EF54E7" w:rsidRDefault="003747F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EF54E7" w:rsidRDefault="004D72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D72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Ms_JOCAMR_157370</w:t>
            </w:r>
          </w:p>
        </w:tc>
      </w:tr>
      <w:tr w:rsidR="00EF54E7">
        <w:trPr>
          <w:trHeight w:val="20"/>
          <w:jc w:val="center"/>
        </w:trPr>
        <w:tc>
          <w:tcPr>
            <w:tcW w:w="1186" w:type="pct"/>
          </w:tcPr>
          <w:p w:rsidR="00EF54E7" w:rsidRDefault="003747F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EF54E7" w:rsidRDefault="00DF63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F632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Medicinal Significance of Pyracantha crenulata: Insights into Botany, Phytochemistry, and Pharmacology</w:t>
            </w:r>
          </w:p>
        </w:tc>
      </w:tr>
      <w:tr w:rsidR="00EF54E7">
        <w:trPr>
          <w:trHeight w:val="20"/>
          <w:jc w:val="center"/>
        </w:trPr>
        <w:tc>
          <w:tcPr>
            <w:tcW w:w="1186" w:type="pct"/>
          </w:tcPr>
          <w:p w:rsidR="00EF54E7" w:rsidRDefault="003747F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EF54E7" w:rsidRDefault="003747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EF54E7" w:rsidRDefault="00EF54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F54E7" w:rsidRDefault="00EF54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F54E7" w:rsidRDefault="00EF54E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EF54E7" w:rsidRDefault="003747F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F54E7" w:rsidRDefault="00EF54E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EF54E7" w:rsidRDefault="00EF54E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F54E7">
        <w:trPr>
          <w:trHeight w:val="20"/>
          <w:jc w:val="center"/>
        </w:trPr>
        <w:tc>
          <w:tcPr>
            <w:tcW w:w="1789" w:type="pct"/>
            <w:noWrap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EF54E7" w:rsidRDefault="003747F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89" w:type="pct"/>
            <w:noWrap/>
          </w:tcPr>
          <w:p w:rsidR="00EF54E7" w:rsidRDefault="003747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EF54E7" w:rsidRDefault="00EF54E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:rsidR="00EF54E7" w:rsidRPr="00970B81" w:rsidRDefault="00970B81" w:rsidP="00970B8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970B81">
              <w:rPr>
                <w:sz w:val="20"/>
                <w:szCs w:val="20"/>
                <w:lang w:val="en-GB"/>
              </w:rPr>
              <w:t>The manuscript provides a comprehensive overview of Pyracantha crenulata, covering its botanical characteristics, phytochemical composition, and pharmacological activities.</w:t>
            </w:r>
            <w:r w:rsidRPr="00970B81">
              <w:rPr>
                <w:sz w:val="20"/>
                <w:szCs w:val="20"/>
              </w:rPr>
              <w:t xml:space="preserve">The integration of traditional uses with modern scientific findings enhances its relevance. </w:t>
            </w:r>
          </w:p>
        </w:tc>
        <w:tc>
          <w:tcPr>
            <w:tcW w:w="1367" w:type="pct"/>
          </w:tcPr>
          <w:p w:rsidR="00EF54E7" w:rsidRDefault="00B77C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77C17">
              <w:rPr>
                <w:rFonts w:ascii="Times New Roman" w:hAnsi="Times New Roman"/>
                <w:b w:val="0"/>
                <w:lang w:val="en-GB"/>
              </w:rPr>
              <w:t>We appreciate your insightful comments.</w:t>
            </w:r>
          </w:p>
        </w:tc>
      </w:tr>
    </w:tbl>
    <w:p w:rsidR="00EF54E7" w:rsidRDefault="00EF54E7">
      <w:pPr>
        <w:rPr>
          <w:sz w:val="20"/>
          <w:szCs w:val="20"/>
          <w:lang w:val="en-GB"/>
        </w:rPr>
      </w:pPr>
    </w:p>
    <w:p w:rsidR="00EF54E7" w:rsidRDefault="00EF54E7">
      <w:pPr>
        <w:rPr>
          <w:sz w:val="20"/>
          <w:szCs w:val="20"/>
          <w:lang w:val="en-GB"/>
        </w:rPr>
      </w:pPr>
    </w:p>
    <w:p w:rsidR="00EF54E7" w:rsidRDefault="00EF54E7">
      <w:pPr>
        <w:rPr>
          <w:sz w:val="20"/>
          <w:szCs w:val="20"/>
          <w:lang w:val="en-GB"/>
        </w:rPr>
      </w:pPr>
    </w:p>
    <w:p w:rsidR="00EF54E7" w:rsidRDefault="003747F0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EF54E7" w:rsidRDefault="00EF54E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F54E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:rsidR="00EF54E7" w:rsidRDefault="00EF54E7">
            <w:pPr>
              <w:rPr>
                <w:sz w:val="22"/>
                <w:szCs w:val="22"/>
                <w:lang w:val="en-GB"/>
              </w:rPr>
            </w:pPr>
          </w:p>
          <w:p w:rsidR="00EF54E7" w:rsidRDefault="00EF54E7">
            <w:pPr>
              <w:rPr>
                <w:sz w:val="20"/>
                <w:szCs w:val="2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EF54E7" w:rsidRDefault="003747F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790" w:type="pct"/>
            <w:noWrap/>
          </w:tcPr>
          <w:p w:rsidR="00EF54E7" w:rsidRDefault="003747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F54E7" w:rsidRDefault="00374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EF54E7" w:rsidRDefault="003747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EF54E7" w:rsidRDefault="00EF54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F54E7" w:rsidRDefault="00EF54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F54E7" w:rsidRDefault="00EF54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F54E7" w:rsidRDefault="003747F0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EF54E7" w:rsidRDefault="00EF54E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4"/>
        <w:gridCol w:w="6146"/>
        <w:gridCol w:w="4232"/>
      </w:tblGrid>
      <w:tr w:rsidR="00EF54E7">
        <w:trPr>
          <w:trHeight w:val="20"/>
          <w:jc w:val="center"/>
        </w:trPr>
        <w:tc>
          <w:tcPr>
            <w:tcW w:w="1265" w:type="pct"/>
            <w:noWrap/>
          </w:tcPr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EF54E7" w:rsidRDefault="00EF54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:rsidR="00EF54E7" w:rsidRDefault="003747F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F54E7" w:rsidRDefault="00EF54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F54E7">
        <w:trPr>
          <w:trHeight w:val="20"/>
          <w:jc w:val="center"/>
        </w:trPr>
        <w:tc>
          <w:tcPr>
            <w:tcW w:w="1265" w:type="pct"/>
            <w:noWrap/>
          </w:tcPr>
          <w:p w:rsidR="00EF54E7" w:rsidRDefault="003747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F54E7" w:rsidRDefault="00EF54E7">
            <w:pPr>
              <w:rPr>
                <w:bCs/>
                <w:sz w:val="20"/>
                <w:szCs w:val="20"/>
                <w:lang w:val="en-GB"/>
              </w:rPr>
            </w:pPr>
          </w:p>
          <w:p w:rsidR="00EF54E7" w:rsidRDefault="003747F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F54E7" w:rsidRDefault="00B77C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  <w:tr w:rsidR="00EF54E7">
        <w:trPr>
          <w:trHeight w:val="20"/>
          <w:jc w:val="center"/>
        </w:trPr>
        <w:tc>
          <w:tcPr>
            <w:tcW w:w="1265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F54E7" w:rsidRDefault="00EF54E7">
            <w:pPr>
              <w:rPr>
                <w:bCs/>
                <w:sz w:val="20"/>
                <w:szCs w:val="20"/>
                <w:lang w:val="en-GB"/>
              </w:rPr>
            </w:pPr>
          </w:p>
          <w:p w:rsidR="00EF54E7" w:rsidRDefault="003747F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EF54E7" w:rsidRDefault="00970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</w:t>
            </w:r>
            <w:r>
              <w:rPr>
                <w:b/>
                <w:bCs/>
              </w:rPr>
              <w:t>t</w:t>
            </w:r>
            <w:r w:rsidRPr="00970B81">
              <w:rPr>
                <w:b/>
                <w:bCs/>
                <w:sz w:val="20"/>
                <w:szCs w:val="20"/>
                <w:lang w:val="en-GB"/>
              </w:rPr>
              <w:t>he abstract should be more concise and structured, clearly highlighting methodology, key findings, and specific conclusions rather than general statements.</w:t>
            </w:r>
          </w:p>
        </w:tc>
        <w:tc>
          <w:tcPr>
            <w:tcW w:w="1523" w:type="pct"/>
          </w:tcPr>
          <w:p w:rsidR="00EF54E7" w:rsidRDefault="00264C86" w:rsidP="00264C86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 w:rsidRPr="00264C86">
              <w:rPr>
                <w:rFonts w:ascii="Times New Roman" w:hAnsi="Times New Roman"/>
                <w:b w:val="0"/>
                <w:lang w:val="en-GB"/>
              </w:rPr>
              <w:t>The abstract has been revised to improve clarity and concise</w:t>
            </w:r>
            <w:r>
              <w:rPr>
                <w:rFonts w:ascii="Times New Roman" w:hAnsi="Times New Roman"/>
                <w:b w:val="0"/>
                <w:lang w:val="en-GB"/>
              </w:rPr>
              <w:t>ness. It is now more structured</w:t>
            </w:r>
            <w:r w:rsidRPr="00264C86">
              <w:rPr>
                <w:rFonts w:ascii="Times New Roman" w:hAnsi="Times New Roman"/>
                <w:b w:val="0"/>
                <w:lang w:val="en-GB"/>
              </w:rPr>
              <w:t xml:space="preserve"> with specific emphasis o</w:t>
            </w:r>
            <w:r>
              <w:rPr>
                <w:rFonts w:ascii="Times New Roman" w:hAnsi="Times New Roman"/>
                <w:b w:val="0"/>
                <w:lang w:val="en-GB"/>
              </w:rPr>
              <w:t>n the methodology, key findings</w:t>
            </w:r>
            <w:r w:rsidRPr="00264C86">
              <w:rPr>
                <w:rFonts w:ascii="Times New Roman" w:hAnsi="Times New Roman"/>
                <w:b w:val="0"/>
                <w:lang w:val="en-GB"/>
              </w:rPr>
              <w:t xml:space="preserve"> and precise conclusions to better reflect the scope and outcomes of the review.</w:t>
            </w:r>
          </w:p>
        </w:tc>
      </w:tr>
      <w:tr w:rsidR="00EF54E7">
        <w:trPr>
          <w:trHeight w:val="20"/>
          <w:jc w:val="center"/>
        </w:trPr>
        <w:tc>
          <w:tcPr>
            <w:tcW w:w="1265" w:type="pct"/>
            <w:noWrap/>
          </w:tcPr>
          <w:p w:rsidR="00EF54E7" w:rsidRDefault="003747F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EF54E7" w:rsidRDefault="003747F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Partially,</w:t>
            </w:r>
            <w:r>
              <w:rPr>
                <w:bCs/>
              </w:rPr>
              <w:t>a</w:t>
            </w:r>
            <w:r w:rsidRPr="00970B81">
              <w:rPr>
                <w:bCs/>
                <w:sz w:val="20"/>
                <w:szCs w:val="20"/>
                <w:lang w:val="en-GB"/>
              </w:rPr>
              <w:t>lthough the manuscript gathers relevant information, it does not sufficiently compare findings across studies or provide detailed mechanistic insights</w:t>
            </w:r>
          </w:p>
        </w:tc>
        <w:tc>
          <w:tcPr>
            <w:tcW w:w="1523" w:type="pct"/>
          </w:tcPr>
          <w:p w:rsidR="00EF54E7" w:rsidRDefault="00264C86" w:rsidP="00264C86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 w:rsidRPr="00264C86">
              <w:rPr>
                <w:rFonts w:ascii="Times New Roman" w:hAnsi="Times New Roman"/>
                <w:b w:val="0"/>
                <w:lang w:val="en-GB"/>
              </w:rPr>
              <w:t xml:space="preserve">The manuscript has been substantially improved by incorporating comparative analysis across different studies. Additional discussion on mechanistic aspects has been included to provide deeper insights into the pharmacological activities of </w:t>
            </w:r>
            <w:r w:rsidRPr="00264C86">
              <w:rPr>
                <w:rFonts w:ascii="Times New Roman" w:hAnsi="Times New Roman"/>
                <w:b w:val="0"/>
                <w:i/>
                <w:lang w:val="en-GB"/>
              </w:rPr>
              <w:t>Pyracantha crenulata.</w:t>
            </w:r>
          </w:p>
        </w:tc>
      </w:tr>
      <w:tr w:rsidR="00EF54E7">
        <w:trPr>
          <w:trHeight w:val="20"/>
          <w:jc w:val="center"/>
        </w:trPr>
        <w:tc>
          <w:tcPr>
            <w:tcW w:w="1265" w:type="pct"/>
            <w:noWrap/>
          </w:tcPr>
          <w:p w:rsidR="00EF54E7" w:rsidRDefault="003747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F54E7" w:rsidRDefault="00EF54E7">
            <w:pPr>
              <w:rPr>
                <w:bCs/>
                <w:sz w:val="20"/>
                <w:szCs w:val="20"/>
                <w:lang w:val="en-GB"/>
              </w:rPr>
            </w:pPr>
          </w:p>
          <w:p w:rsidR="00EF54E7" w:rsidRDefault="003747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Cs/>
                <w:sz w:val="20"/>
                <w:szCs w:val="20"/>
              </w:rPr>
              <w:t>i</w:t>
            </w:r>
            <w:r w:rsidRPr="00970B81">
              <w:rPr>
                <w:bCs/>
                <w:sz w:val="20"/>
                <w:szCs w:val="20"/>
              </w:rPr>
              <w:t>nclude more recent high-impact journal articles (last 3–5 years) and reduce reliance on older or repetitive citations.</w:t>
            </w:r>
          </w:p>
        </w:tc>
        <w:tc>
          <w:tcPr>
            <w:tcW w:w="1523" w:type="pct"/>
          </w:tcPr>
          <w:p w:rsidR="00EF54E7" w:rsidRDefault="00264C86" w:rsidP="00264C86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 w:rsidRPr="00264C86">
              <w:rPr>
                <w:rFonts w:ascii="Times New Roman" w:hAnsi="Times New Roman"/>
                <w:b w:val="0"/>
                <w:lang w:val="en-GB"/>
              </w:rPr>
              <w:t>Recent and relevant high-impa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ct publications </w:t>
            </w:r>
            <w:r w:rsidR="00F92218">
              <w:rPr>
                <w:rFonts w:ascii="Times New Roman" w:hAnsi="Times New Roman"/>
                <w:b w:val="0"/>
                <w:lang w:val="en-GB"/>
              </w:rPr>
              <w:t>have been added</w:t>
            </w:r>
            <w:r w:rsidRPr="00264C86">
              <w:rPr>
                <w:rFonts w:ascii="Times New Roman" w:hAnsi="Times New Roman"/>
                <w:b w:val="0"/>
                <w:lang w:val="en-GB"/>
              </w:rPr>
              <w:t xml:space="preserve"> and redundant or outdated references have been minimized to enhance the scientific quality and relevance of the review.</w:t>
            </w:r>
          </w:p>
        </w:tc>
      </w:tr>
      <w:tr w:rsidR="00EF54E7">
        <w:trPr>
          <w:trHeight w:val="20"/>
          <w:jc w:val="center"/>
        </w:trPr>
        <w:tc>
          <w:tcPr>
            <w:tcW w:w="1265" w:type="pct"/>
            <w:noWrap/>
          </w:tcPr>
          <w:p w:rsidR="00EF54E7" w:rsidRDefault="003747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F54E7" w:rsidRDefault="003747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F54E7" w:rsidRDefault="00EF54E7">
            <w:pPr>
              <w:rPr>
                <w:bCs/>
                <w:sz w:val="20"/>
                <w:szCs w:val="20"/>
                <w:lang w:val="en-GB"/>
              </w:rPr>
            </w:pPr>
          </w:p>
          <w:p w:rsidR="00EF54E7" w:rsidRDefault="003747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F54E7" w:rsidRDefault="00EF54E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F54E7" w:rsidRDefault="00970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EF54E7" w:rsidRDefault="00B77C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</w:tbl>
    <w:p w:rsidR="00EF54E7" w:rsidRDefault="00EF54E7">
      <w:pPr>
        <w:rPr>
          <w:lang w:val="en-GB"/>
        </w:rPr>
      </w:pPr>
    </w:p>
    <w:p w:rsidR="00EF54E7" w:rsidRDefault="00EF54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F54E7" w:rsidRDefault="00EF54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EF54E7" w:rsidSect="00972EE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18D" w:rsidRDefault="00CA718D">
      <w:r>
        <w:separator/>
      </w:r>
    </w:p>
  </w:endnote>
  <w:endnote w:type="continuationSeparator" w:id="1">
    <w:p w:rsidR="00CA718D" w:rsidRDefault="00CA7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E7" w:rsidRDefault="003747F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645A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645A2">
      <w:rPr>
        <w:b/>
        <w:sz w:val="20"/>
      </w:rPr>
      <w:fldChar w:fldCharType="separate"/>
    </w:r>
    <w:r w:rsidR="00B77C17">
      <w:rPr>
        <w:b/>
        <w:noProof/>
        <w:sz w:val="20"/>
      </w:rPr>
      <w:t>2</w:t>
    </w:r>
    <w:r w:rsidR="004645A2">
      <w:rPr>
        <w:b/>
        <w:sz w:val="20"/>
      </w:rPr>
      <w:fldChar w:fldCharType="end"/>
    </w:r>
    <w:r>
      <w:rPr>
        <w:sz w:val="20"/>
      </w:rPr>
      <w:t xml:space="preserve"> of </w:t>
    </w:r>
    <w:r w:rsidR="004645A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645A2">
      <w:rPr>
        <w:b/>
        <w:sz w:val="20"/>
      </w:rPr>
      <w:fldChar w:fldCharType="separate"/>
    </w:r>
    <w:r w:rsidR="00B77C17">
      <w:rPr>
        <w:b/>
        <w:noProof/>
        <w:sz w:val="20"/>
      </w:rPr>
      <w:t>2</w:t>
    </w:r>
    <w:r w:rsidR="004645A2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EF54E7" w:rsidRDefault="00EF54E7">
    <w:pPr>
      <w:pStyle w:val="Footer"/>
      <w:jc w:val="right"/>
    </w:pPr>
  </w:p>
  <w:p w:rsidR="00EF54E7" w:rsidRDefault="00EF54E7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18D" w:rsidRDefault="00CA718D">
      <w:r>
        <w:separator/>
      </w:r>
    </w:p>
  </w:footnote>
  <w:footnote w:type="continuationSeparator" w:id="1">
    <w:p w:rsidR="00CA718D" w:rsidRDefault="00CA71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E7" w:rsidRDefault="00EF54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F54E7" w:rsidRDefault="003747F0">
    <w:pPr>
      <w:spacing w:before="100" w:beforeAutospacing="1" w:after="100" w:afterAutospacing="1"/>
      <w:jc w:val="center"/>
      <w:rPr>
        <w:color w:val="000000"/>
        <w:sz w:val="20"/>
      </w:rPr>
    </w:pPr>
    <w:r w:rsidRPr="006A38D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4E7"/>
    <w:rsid w:val="00122A5D"/>
    <w:rsid w:val="00264C86"/>
    <w:rsid w:val="002E4D6B"/>
    <w:rsid w:val="003747F0"/>
    <w:rsid w:val="003A67FA"/>
    <w:rsid w:val="0044101B"/>
    <w:rsid w:val="004645A2"/>
    <w:rsid w:val="00476B78"/>
    <w:rsid w:val="004D72EC"/>
    <w:rsid w:val="00583DE2"/>
    <w:rsid w:val="005F2B35"/>
    <w:rsid w:val="006A38D8"/>
    <w:rsid w:val="00730E42"/>
    <w:rsid w:val="008E2304"/>
    <w:rsid w:val="0090312B"/>
    <w:rsid w:val="00970B81"/>
    <w:rsid w:val="00972EEE"/>
    <w:rsid w:val="00AB60C3"/>
    <w:rsid w:val="00AF3772"/>
    <w:rsid w:val="00B77C17"/>
    <w:rsid w:val="00CA718D"/>
    <w:rsid w:val="00CC5CB5"/>
    <w:rsid w:val="00DF6322"/>
    <w:rsid w:val="00EF54E7"/>
    <w:rsid w:val="00F92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EE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72EE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72EE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72EE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72EE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72E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72EE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72EE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72EE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72EE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2EE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2EE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72E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2EEE"/>
    <w:pPr>
      <w:ind w:left="720"/>
      <w:contextualSpacing/>
    </w:pPr>
  </w:style>
  <w:style w:type="paragraph" w:styleId="Revision">
    <w:name w:val="Revision"/>
    <w:hidden/>
    <w:uiPriority w:val="99"/>
    <w:semiHidden/>
    <w:rsid w:val="00972EE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72EEE"/>
    <w:rPr>
      <w:color w:val="800080"/>
      <w:u w:val="single"/>
    </w:rPr>
  </w:style>
  <w:style w:type="table" w:styleId="TableGrid">
    <w:name w:val="Table Grid"/>
    <w:basedOn w:val="TableNormal"/>
    <w:uiPriority w:val="59"/>
    <w:rsid w:val="00972EEE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972E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972EE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usr</cp:lastModifiedBy>
  <cp:revision>26</cp:revision>
  <dcterms:created xsi:type="dcterms:W3CDTF">2026-03-24T06:32:00Z</dcterms:created>
  <dcterms:modified xsi:type="dcterms:W3CDTF">2026-04-25T10:04:00Z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