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0"/>
        <w:gridCol w:w="10162"/>
      </w:tblGrid>
      <w:tr w:rsidR="00C211BE" w14:paraId="0E1C505A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7CEDA0CA" w14:textId="77777777" w:rsidR="00C211BE" w:rsidRDefault="00C211BE">
            <w:pPr>
              <w:rPr>
                <w:lang w:val="en-GB"/>
              </w:rPr>
            </w:pPr>
          </w:p>
        </w:tc>
      </w:tr>
      <w:tr w:rsidR="00C211BE" w14:paraId="128E4CC3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378E8B0B" w14:textId="77777777" w:rsidR="00C211BE" w:rsidRDefault="003959C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C2A5A" w14:textId="77777777" w:rsidR="00C211BE" w:rsidRDefault="002140EA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6" w:tgtFrame="_parent" w:history="1">
              <w:r w:rsidR="003959CD">
                <w:rPr>
                  <w:b/>
                  <w:bCs/>
                  <w:color w:val="0000CC"/>
                  <w:sz w:val="20"/>
                  <w:szCs w:val="20"/>
                  <w:lang w:val="en-IN"/>
                </w:rPr>
                <w:t xml:space="preserve">Journal of Cancer and Tumor International </w:t>
              </w:r>
            </w:hyperlink>
          </w:p>
        </w:tc>
      </w:tr>
      <w:tr w:rsidR="00C211BE" w14:paraId="44C57282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77AD8783" w14:textId="77777777" w:rsidR="00C211BE" w:rsidRDefault="003959C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92530" w14:textId="77777777" w:rsidR="00C211BE" w:rsidRDefault="003959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Ms_JCTI_155588</w:t>
            </w:r>
          </w:p>
        </w:tc>
      </w:tr>
      <w:tr w:rsidR="00C211BE" w14:paraId="27C3E5F3" w14:textId="77777777">
        <w:trPr>
          <w:trHeight w:val="650"/>
        </w:trPr>
        <w:tc>
          <w:tcPr>
            <w:tcW w:w="1186" w:type="pct"/>
            <w:shd w:val="clear" w:color="auto" w:fill="EBFFFF"/>
          </w:tcPr>
          <w:p w14:paraId="3D946148" w14:textId="77777777" w:rsidR="00C211BE" w:rsidRDefault="003959C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1BCB0" w14:textId="77777777" w:rsidR="00C211BE" w:rsidRDefault="003959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Paget’s Disease of the Breast with Underlying Invasive Ductal Carcinoma in a 64-Year-Old Woman who Declined Treatment due to False Belief-Need for Increase Awareness: A Classic Case Report and Literature Review</w:t>
            </w:r>
          </w:p>
        </w:tc>
      </w:tr>
      <w:tr w:rsidR="00C211BE" w14:paraId="2CD52723" w14:textId="77777777">
        <w:trPr>
          <w:trHeight w:val="332"/>
        </w:trPr>
        <w:tc>
          <w:tcPr>
            <w:tcW w:w="1186" w:type="pct"/>
            <w:shd w:val="clear" w:color="auto" w:fill="EBFFFF"/>
          </w:tcPr>
          <w:p w14:paraId="4C1D5C41" w14:textId="77777777" w:rsidR="00C211BE" w:rsidRDefault="003959C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37051" w14:textId="77777777" w:rsidR="00C211BE" w:rsidRDefault="003959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C0A8A8F" w14:textId="77777777" w:rsidR="00C211BE" w:rsidRDefault="00C211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92DB57" w14:textId="77777777" w:rsidR="00C211BE" w:rsidRDefault="00C211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6F495C" w14:textId="77777777" w:rsidR="00C211BE" w:rsidRDefault="003959CD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612777DC" w14:textId="77777777" w:rsidR="00C211BE" w:rsidRDefault="00C211B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E103B78" w14:textId="77777777" w:rsidR="00C211BE" w:rsidRDefault="00C211B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2"/>
        <w:gridCol w:w="4887"/>
        <w:gridCol w:w="3623"/>
      </w:tblGrid>
      <w:tr w:rsidR="00C211BE" w14:paraId="6688A9D2" w14:textId="77777777">
        <w:tc>
          <w:tcPr>
            <w:tcW w:w="1789" w:type="pct"/>
            <w:noWrap/>
          </w:tcPr>
          <w:p w14:paraId="1DD297BE" w14:textId="77777777" w:rsidR="00C211BE" w:rsidRDefault="00C211B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9AE8E22" w14:textId="77777777" w:rsidR="00C211BE" w:rsidRDefault="003959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3A557D2" w14:textId="77777777" w:rsidR="00C211BE" w:rsidRDefault="003959C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EA14530" w14:textId="77777777" w:rsidR="00C211BE" w:rsidRDefault="00C211B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211BE" w14:paraId="58D5410C" w14:textId="77777777">
        <w:trPr>
          <w:trHeight w:val="1264"/>
        </w:trPr>
        <w:tc>
          <w:tcPr>
            <w:tcW w:w="1789" w:type="pct"/>
            <w:noWrap/>
          </w:tcPr>
          <w:p w14:paraId="1D43C381" w14:textId="77777777" w:rsidR="00C211BE" w:rsidRDefault="003959C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1B01969" w14:textId="77777777" w:rsidR="00C211BE" w:rsidRPr="00AD3267" w:rsidRDefault="003959C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AD3267">
              <w:rPr>
                <w:rFonts w:ascii="Segoe UI" w:eastAsia="Segoe UI" w:hAnsi="Segoe UI" w:cs="Segoe UI"/>
                <w:color w:val="0F1115"/>
                <w:sz w:val="20"/>
                <w:szCs w:val="20"/>
                <w:shd w:val="clear" w:color="auto" w:fill="FFFFFF"/>
              </w:rPr>
              <w:t>This manuscript underscores the critical need for heightened clinical awareness of Paget’s disease of the breast, particularly in resource-limited settings where diagnostic delays are common due to its resemblance to benign dermatoses. By documenting a case where the patient declined evidence-based treatment owing to a false belief system, the report highlights the intersection of clinical presentation, histopathological diagnosis, and sociocultural barriers to care. It reinforces the importance of prompt biopsy for persistent unilateral nipple-areolar lesions and contributes valuable insights into the challenges of managing breast malignancy in populations with limited access to specialized care. </w:t>
            </w:r>
          </w:p>
        </w:tc>
        <w:tc>
          <w:tcPr>
            <w:tcW w:w="1367" w:type="pct"/>
          </w:tcPr>
          <w:p w14:paraId="2F9920FA" w14:textId="77777777" w:rsidR="00C211BE" w:rsidRDefault="00C211B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8936783" w14:textId="77777777" w:rsidR="00C211BE" w:rsidRDefault="00C211BE">
      <w:pPr>
        <w:rPr>
          <w:sz w:val="20"/>
          <w:szCs w:val="20"/>
          <w:lang w:val="en-GB"/>
        </w:rPr>
      </w:pPr>
    </w:p>
    <w:p w14:paraId="4BDEEF81" w14:textId="77777777" w:rsidR="00C211BE" w:rsidRDefault="00C211BE">
      <w:pPr>
        <w:rPr>
          <w:sz w:val="20"/>
          <w:szCs w:val="20"/>
          <w:lang w:val="en-GB"/>
        </w:rPr>
      </w:pPr>
    </w:p>
    <w:p w14:paraId="05A24BB7" w14:textId="77777777" w:rsidR="00C211BE" w:rsidRDefault="00C211BE">
      <w:pPr>
        <w:rPr>
          <w:sz w:val="20"/>
          <w:szCs w:val="20"/>
          <w:lang w:val="en-GB"/>
        </w:rPr>
      </w:pPr>
    </w:p>
    <w:p w14:paraId="3449A35A" w14:textId="77777777" w:rsidR="00C211BE" w:rsidRDefault="00C211BE">
      <w:pPr>
        <w:rPr>
          <w:sz w:val="20"/>
          <w:szCs w:val="20"/>
          <w:lang w:val="en-GB"/>
        </w:rPr>
      </w:pPr>
    </w:p>
    <w:p w14:paraId="47EDFE0D" w14:textId="77777777" w:rsidR="00C211BE" w:rsidRDefault="003959CD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14:paraId="1190BAA1" w14:textId="77777777" w:rsidR="00C211BE" w:rsidRDefault="00C211BE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7"/>
        <w:gridCol w:w="4888"/>
        <w:gridCol w:w="3626"/>
      </w:tblGrid>
      <w:tr w:rsidR="00C211BE" w14:paraId="2E7B7D7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02B530E" w14:textId="77777777" w:rsidR="00C211BE" w:rsidRDefault="00C211BE">
            <w:pPr>
              <w:rPr>
                <w:lang w:val="en-GB"/>
              </w:rPr>
            </w:pPr>
          </w:p>
          <w:p w14:paraId="2B24732F" w14:textId="77777777" w:rsidR="00C211BE" w:rsidRDefault="00C211BE">
            <w:pPr>
              <w:rPr>
                <w:sz w:val="20"/>
                <w:szCs w:val="20"/>
                <w:lang w:val="en-GB"/>
              </w:rPr>
            </w:pPr>
          </w:p>
        </w:tc>
      </w:tr>
      <w:tr w:rsidR="00C211BE" w14:paraId="7F210B17" w14:textId="77777777">
        <w:tc>
          <w:tcPr>
            <w:tcW w:w="1790" w:type="pct"/>
            <w:noWrap/>
          </w:tcPr>
          <w:p w14:paraId="7A2257D7" w14:textId="77777777" w:rsidR="00C211BE" w:rsidRDefault="00C211B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ED465E1" w14:textId="77777777" w:rsidR="00C211BE" w:rsidRDefault="003959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7F7D4FF" w14:textId="77777777" w:rsidR="00C211BE" w:rsidRDefault="003959CD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211BE" w14:paraId="0412BF76" w14:textId="77777777">
        <w:trPr>
          <w:trHeight w:val="1262"/>
        </w:trPr>
        <w:tc>
          <w:tcPr>
            <w:tcW w:w="1790" w:type="pct"/>
            <w:noWrap/>
          </w:tcPr>
          <w:p w14:paraId="2EADBE11" w14:textId="77777777" w:rsidR="00C211BE" w:rsidRDefault="003959C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59D8BC5" w14:textId="77777777" w:rsidR="00C211BE" w:rsidRDefault="003959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09B80" w14:textId="77777777" w:rsidR="00C211BE" w:rsidRDefault="003959C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B624F7" w14:textId="77777777" w:rsidR="00C211BE" w:rsidRDefault="003959C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5693B184" w14:textId="77777777" w:rsidR="00C211BE" w:rsidRDefault="00C211B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211BE" w14:paraId="5C68FE6C" w14:textId="77777777">
        <w:trPr>
          <w:trHeight w:val="1262"/>
        </w:trPr>
        <w:tc>
          <w:tcPr>
            <w:tcW w:w="1790" w:type="pct"/>
            <w:noWrap/>
          </w:tcPr>
          <w:p w14:paraId="56C64569" w14:textId="77777777" w:rsidR="00C211BE" w:rsidRDefault="003959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5900D76D" w14:textId="77777777" w:rsidR="00C211BE" w:rsidRDefault="003959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4B27D0" w14:textId="77777777" w:rsidR="00C211BE" w:rsidRDefault="003959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5CA7B3" w14:textId="77777777" w:rsidR="00C211BE" w:rsidRDefault="003959C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 </w:t>
            </w:r>
            <w:r>
              <w:rPr>
                <w:rFonts w:ascii="Segoe UI" w:eastAsia="Segoe UI" w:hAnsi="Segoe UI" w:cs="Segoe UI"/>
                <w:color w:val="0F1115"/>
                <w:sz w:val="12"/>
                <w:szCs w:val="12"/>
                <w:shd w:val="clear" w:color="auto" w:fill="FFFFFF"/>
              </w:rPr>
              <w:t>The abstract covers key elements—introduction, case presentation, discussion, and conclusion—but lacks explicit mention of the literature review component referenced in the title.</w:t>
            </w:r>
          </w:p>
        </w:tc>
        <w:tc>
          <w:tcPr>
            <w:tcW w:w="1367" w:type="pct"/>
          </w:tcPr>
          <w:p w14:paraId="26A5749E" w14:textId="30DCF7C1" w:rsidR="00C211BE" w:rsidRDefault="000315E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reviewed and the literature review component captured. As was detailed in the discussion of the article.</w:t>
            </w:r>
          </w:p>
        </w:tc>
      </w:tr>
      <w:tr w:rsidR="00C211BE" w14:paraId="7A27F6D7" w14:textId="77777777">
        <w:trPr>
          <w:trHeight w:val="1262"/>
        </w:trPr>
        <w:tc>
          <w:tcPr>
            <w:tcW w:w="1790" w:type="pct"/>
            <w:noWrap/>
          </w:tcPr>
          <w:p w14:paraId="673A1070" w14:textId="77777777" w:rsidR="00C211BE" w:rsidRDefault="003959C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9D58FCA" w14:textId="77777777" w:rsidR="00C211BE" w:rsidRDefault="003959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3B1A17" w14:textId="77777777" w:rsidR="00C211BE" w:rsidRDefault="003959C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3BFA05" w14:textId="77777777" w:rsidR="00C211BE" w:rsidRDefault="003959C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32827986" w14:textId="1BD0FDB0" w:rsidR="00C211BE" w:rsidRDefault="00DD6B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</w:t>
            </w:r>
            <w:r w:rsidR="000315E1">
              <w:rPr>
                <w:rFonts w:ascii="Times New Roman" w:hAnsi="Times New Roman"/>
                <w:b w:val="0"/>
                <w:lang w:val="en-GB" w:eastAsia="en-US"/>
              </w:rPr>
              <w:t>oted</w:t>
            </w:r>
          </w:p>
        </w:tc>
      </w:tr>
      <w:tr w:rsidR="00C211BE" w14:paraId="4A1CC22E" w14:textId="77777777">
        <w:trPr>
          <w:trHeight w:val="1262"/>
        </w:trPr>
        <w:tc>
          <w:tcPr>
            <w:tcW w:w="1790" w:type="pct"/>
            <w:noWrap/>
          </w:tcPr>
          <w:p w14:paraId="3831183A" w14:textId="77777777" w:rsidR="00C211BE" w:rsidRDefault="003959C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9BBF248" w14:textId="77777777" w:rsidR="00C211BE" w:rsidRDefault="003959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92F4D5" w14:textId="77777777" w:rsidR="00C211BE" w:rsidRDefault="003959C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B86246" w14:textId="77777777" w:rsidR="00C211BE" w:rsidRDefault="003959C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1F7893DB" w14:textId="77AC6A55" w:rsidR="00C211BE" w:rsidRDefault="00DD6B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</w:t>
            </w:r>
            <w:r w:rsidR="000315E1">
              <w:rPr>
                <w:rFonts w:ascii="Times New Roman" w:hAnsi="Times New Roman"/>
                <w:b w:val="0"/>
                <w:lang w:val="en-GB" w:eastAsia="en-US"/>
              </w:rPr>
              <w:t>oted</w:t>
            </w:r>
          </w:p>
        </w:tc>
      </w:tr>
      <w:tr w:rsidR="00C211BE" w14:paraId="1262E285" w14:textId="77777777">
        <w:trPr>
          <w:trHeight w:val="1262"/>
        </w:trPr>
        <w:tc>
          <w:tcPr>
            <w:tcW w:w="1790" w:type="pct"/>
            <w:noWrap/>
          </w:tcPr>
          <w:p w14:paraId="146D0AA2" w14:textId="77777777" w:rsidR="00C211BE" w:rsidRDefault="003959C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ECBA42D" w14:textId="77777777" w:rsidR="00C211BE" w:rsidRDefault="003959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00616C" w14:textId="77777777" w:rsidR="00C211BE" w:rsidRDefault="003959C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7750EB" w14:textId="77777777" w:rsidR="00C211BE" w:rsidRDefault="003959C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 </w:t>
            </w:r>
            <w:r>
              <w:rPr>
                <w:rFonts w:ascii="Segoe UI" w:eastAsia="Segoe UI" w:hAnsi="Segoe UI" w:cs="Segoe UI"/>
                <w:color w:val="0F1115"/>
                <w:sz w:val="12"/>
                <w:szCs w:val="12"/>
                <w:shd w:val="clear" w:color="auto" w:fill="FFFFFF"/>
              </w:rPr>
              <w:t>The manuscript does not explicitly state its objectives (e.</w:t>
            </w:r>
            <w:bookmarkStart w:id="0" w:name="_Hlk225951353"/>
            <w:r>
              <w:rPr>
                <w:rFonts w:ascii="Segoe UI" w:eastAsia="Segoe UI" w:hAnsi="Segoe UI" w:cs="Segoe UI"/>
                <w:color w:val="0F1115"/>
                <w:sz w:val="12"/>
                <w:szCs w:val="12"/>
                <w:shd w:val="clear" w:color="auto" w:fill="FFFFFF"/>
              </w:rPr>
              <w:t>g., to highlight diagnostic delay and barriers to care).</w:t>
            </w:r>
            <w:bookmarkEnd w:id="0"/>
            <w:r>
              <w:rPr>
                <w:rFonts w:ascii="Segoe UI" w:eastAsia="Segoe UI" w:hAnsi="Segoe UI" w:cs="Segoe UI"/>
                <w:color w:val="0F1115"/>
                <w:sz w:val="12"/>
                <w:szCs w:val="12"/>
                <w:shd w:val="clear" w:color="auto" w:fill="FFFFFF"/>
              </w:rPr>
              <w:t xml:space="preserve"> This could be clarified if possible.</w:t>
            </w:r>
          </w:p>
        </w:tc>
        <w:tc>
          <w:tcPr>
            <w:tcW w:w="1367" w:type="pct"/>
          </w:tcPr>
          <w:p w14:paraId="3CF67FB8" w14:textId="58804AAE" w:rsidR="00C211BE" w:rsidRDefault="007262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Aim has been clearly stated and captured in the article</w:t>
            </w:r>
          </w:p>
        </w:tc>
      </w:tr>
      <w:tr w:rsidR="00C211BE" w14:paraId="60B95759" w14:textId="77777777">
        <w:trPr>
          <w:trHeight w:val="1262"/>
        </w:trPr>
        <w:tc>
          <w:tcPr>
            <w:tcW w:w="1790" w:type="pct"/>
            <w:noWrap/>
          </w:tcPr>
          <w:p w14:paraId="4907A2A0" w14:textId="77777777" w:rsidR="00C211BE" w:rsidRDefault="003959C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2D969DA" w14:textId="77777777" w:rsidR="00C211BE" w:rsidRDefault="003959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64E39D" w14:textId="77777777" w:rsidR="00C211BE" w:rsidRDefault="003959C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AE2E9F" w14:textId="77777777" w:rsidR="00C211BE" w:rsidRDefault="003959C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1253A62D" w14:textId="19BA4AD1" w:rsidR="00C211BE" w:rsidRDefault="00DD6B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</w:t>
            </w:r>
            <w:r w:rsidR="00313594">
              <w:rPr>
                <w:rFonts w:ascii="Times New Roman" w:hAnsi="Times New Roman"/>
                <w:b w:val="0"/>
                <w:lang w:val="en-GB" w:eastAsia="en-US"/>
              </w:rPr>
              <w:t>oted</w:t>
            </w:r>
          </w:p>
        </w:tc>
      </w:tr>
      <w:tr w:rsidR="00C211BE" w14:paraId="172A2351" w14:textId="77777777">
        <w:trPr>
          <w:trHeight w:val="1262"/>
        </w:trPr>
        <w:tc>
          <w:tcPr>
            <w:tcW w:w="1790" w:type="pct"/>
            <w:noWrap/>
          </w:tcPr>
          <w:p w14:paraId="2E5BBB08" w14:textId="77777777" w:rsidR="00C211BE" w:rsidRDefault="003959C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B17E7D1" w14:textId="77777777" w:rsidR="00C211BE" w:rsidRDefault="003959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E5252F" w14:textId="77777777" w:rsidR="00C211BE" w:rsidRDefault="003959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DB43AD" w14:textId="77777777" w:rsidR="00C211BE" w:rsidRDefault="003959C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4D247A33" w14:textId="43CDF682" w:rsidR="00C211BE" w:rsidRDefault="00313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C211BE" w14:paraId="31E72D04" w14:textId="77777777">
        <w:trPr>
          <w:trHeight w:val="1262"/>
        </w:trPr>
        <w:tc>
          <w:tcPr>
            <w:tcW w:w="1790" w:type="pct"/>
            <w:noWrap/>
          </w:tcPr>
          <w:p w14:paraId="3EF706E3" w14:textId="77777777" w:rsidR="00C211BE" w:rsidRDefault="003959C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054EBC8" w14:textId="77777777" w:rsidR="00C211BE" w:rsidRDefault="003959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6792D7" w14:textId="77777777" w:rsidR="00C211BE" w:rsidRDefault="003959C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C7370A" w14:textId="77777777" w:rsidR="00C211BE" w:rsidRDefault="003959C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 </w:t>
            </w:r>
            <w:r>
              <w:rPr>
                <w:rFonts w:ascii="Segoe UI" w:eastAsia="Segoe UI" w:hAnsi="Segoe UI" w:cs="Segoe UI"/>
                <w:color w:val="0F1115"/>
                <w:sz w:val="12"/>
                <w:szCs w:val="12"/>
                <w:shd w:val="clear" w:color="auto" w:fill="FFFFFF"/>
              </w:rPr>
              <w:t>Ethical considerations such as patient consent are not explicitly mentioned. A statement regarding informed consent for publication should be added.</w:t>
            </w:r>
          </w:p>
        </w:tc>
        <w:tc>
          <w:tcPr>
            <w:tcW w:w="1367" w:type="pct"/>
          </w:tcPr>
          <w:p w14:paraId="61CC7198" w14:textId="5DDBFEE8" w:rsidR="00C211BE" w:rsidRDefault="009A24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Consent was obtained from patient prior to commencement of care</w:t>
            </w:r>
          </w:p>
        </w:tc>
      </w:tr>
      <w:tr w:rsidR="00C211BE" w14:paraId="78A02D52" w14:textId="77777777">
        <w:trPr>
          <w:trHeight w:val="703"/>
        </w:trPr>
        <w:tc>
          <w:tcPr>
            <w:tcW w:w="1790" w:type="pct"/>
            <w:noWrap/>
          </w:tcPr>
          <w:p w14:paraId="181DBC9C" w14:textId="77777777" w:rsidR="00C211BE" w:rsidRDefault="003959C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460B38D" w14:textId="77777777" w:rsidR="00C211BE" w:rsidRDefault="003959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58967B" w14:textId="77777777" w:rsidR="00C211BE" w:rsidRDefault="003959C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2CBF1B" w14:textId="77777777" w:rsidR="00C211BE" w:rsidRDefault="003959CD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</w:t>
            </w:r>
            <w:r>
              <w:rPr>
                <w:b/>
                <w:sz w:val="20"/>
                <w:szCs w:val="20"/>
              </w:rPr>
              <w:t xml:space="preserve"> 5</w:t>
            </w:r>
          </w:p>
        </w:tc>
        <w:tc>
          <w:tcPr>
            <w:tcW w:w="1367" w:type="pct"/>
          </w:tcPr>
          <w:p w14:paraId="66FF074B" w14:textId="1A591EED" w:rsidR="00C211BE" w:rsidRDefault="00313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C211BE" w14:paraId="4C7FCAE7" w14:textId="77777777">
        <w:trPr>
          <w:trHeight w:val="703"/>
        </w:trPr>
        <w:tc>
          <w:tcPr>
            <w:tcW w:w="1790" w:type="pct"/>
            <w:noWrap/>
          </w:tcPr>
          <w:p w14:paraId="344509DD" w14:textId="77777777" w:rsidR="00C211BE" w:rsidRDefault="003959C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D04DFEA" w14:textId="77777777" w:rsidR="00C211BE" w:rsidRDefault="003959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632ADE" w14:textId="77777777" w:rsidR="00C211BE" w:rsidRDefault="003959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623071" w14:textId="77777777" w:rsidR="00C211BE" w:rsidRDefault="003959CD">
            <w:pPr>
              <w:pStyle w:val="ListParagraph"/>
              <w:ind w:left="0" w:firstLineChars="250" w:firstLine="502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rFonts w:ascii="Segoe UI" w:eastAsia="Segoe UI" w:hAnsi="Segoe UI" w:cs="Segoe UI"/>
                <w:color w:val="0F1115"/>
                <w:sz w:val="12"/>
                <w:szCs w:val="12"/>
                <w:shd w:val="clear" w:color="auto" w:fill="FFFFFF"/>
              </w:rPr>
              <w:t>Figure 1(a,b) is not very clear.</w:t>
            </w:r>
          </w:p>
        </w:tc>
        <w:tc>
          <w:tcPr>
            <w:tcW w:w="1367" w:type="pct"/>
          </w:tcPr>
          <w:p w14:paraId="40DE0236" w14:textId="4DFCC381" w:rsidR="00C211BE" w:rsidRDefault="00313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adjusted appropriately</w:t>
            </w:r>
          </w:p>
        </w:tc>
      </w:tr>
      <w:tr w:rsidR="00C211BE" w14:paraId="37E96F92" w14:textId="77777777">
        <w:trPr>
          <w:trHeight w:val="703"/>
        </w:trPr>
        <w:tc>
          <w:tcPr>
            <w:tcW w:w="1790" w:type="pct"/>
            <w:noWrap/>
          </w:tcPr>
          <w:p w14:paraId="30861FA0" w14:textId="77777777" w:rsidR="00C211BE" w:rsidRDefault="003959C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EA27439" w14:textId="77777777" w:rsidR="00C211BE" w:rsidRDefault="003959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6A86C7" w14:textId="77777777" w:rsidR="00C211BE" w:rsidRDefault="003959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A3E055" w14:textId="77777777" w:rsidR="00C211BE" w:rsidRDefault="003959CD">
            <w:pPr>
              <w:pStyle w:val="ListParagraph"/>
              <w:ind w:left="0" w:firstLineChars="300" w:firstLine="602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0483335F" w14:textId="0184DB5A" w:rsidR="00C211BE" w:rsidRDefault="00313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C211BE" w14:paraId="525CB7A3" w14:textId="77777777">
        <w:trPr>
          <w:trHeight w:val="703"/>
        </w:trPr>
        <w:tc>
          <w:tcPr>
            <w:tcW w:w="1790" w:type="pct"/>
            <w:noWrap/>
          </w:tcPr>
          <w:p w14:paraId="3440B9AC" w14:textId="77777777" w:rsidR="00C211BE" w:rsidRDefault="003959C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509A4E" w14:textId="77777777" w:rsidR="00C211BE" w:rsidRDefault="003959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31AC7E" w14:textId="77777777" w:rsidR="00C211BE" w:rsidRDefault="003959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39E72A" w14:textId="77777777" w:rsidR="00C211BE" w:rsidRDefault="003959CD">
            <w:pPr>
              <w:pStyle w:val="ListParagraph"/>
              <w:ind w:left="0" w:firstLineChars="250" w:firstLine="502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4D736283" w14:textId="260492DD" w:rsidR="00C211BE" w:rsidRDefault="00313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C211BE" w14:paraId="0852F50E" w14:textId="77777777">
        <w:trPr>
          <w:trHeight w:val="703"/>
        </w:trPr>
        <w:tc>
          <w:tcPr>
            <w:tcW w:w="1790" w:type="pct"/>
            <w:noWrap/>
          </w:tcPr>
          <w:p w14:paraId="43E53816" w14:textId="77777777" w:rsidR="00C211BE" w:rsidRDefault="003959C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961619" w14:textId="77777777" w:rsidR="00C211BE" w:rsidRDefault="003959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2519EF" w14:textId="77777777" w:rsidR="00C211BE" w:rsidRDefault="003959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F37B22" w14:textId="77777777" w:rsidR="00C211BE" w:rsidRDefault="003959CD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</w:t>
            </w:r>
            <w:r>
              <w:rPr>
                <w:b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rFonts w:ascii="Segoe UI" w:eastAsia="Segoe UI" w:hAnsi="Segoe UI" w:cs="Segoe UI"/>
                <w:color w:val="0F1115"/>
                <w:sz w:val="12"/>
                <w:szCs w:val="12"/>
                <w:shd w:val="clear" w:color="auto" w:fill="FFFFFF"/>
              </w:rPr>
              <w:t>Limitations are not explicitly addressed. A case report could acknowledge the single-case nature, lack of follow-up, or the patient’s treatment refusal as limiting generalizability.</w:t>
            </w:r>
          </w:p>
        </w:tc>
        <w:tc>
          <w:tcPr>
            <w:tcW w:w="1367" w:type="pct"/>
          </w:tcPr>
          <w:p w14:paraId="0CE425AC" w14:textId="77777777" w:rsidR="00C211BE" w:rsidRDefault="00313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Aknowledged and effected accordingly</w:t>
            </w:r>
          </w:p>
          <w:p w14:paraId="12F9BD97" w14:textId="7545EC66" w:rsidR="001B3F3B" w:rsidRPr="001B3F3B" w:rsidRDefault="001B3F3B" w:rsidP="001B3F3B">
            <w:pPr>
              <w:rPr>
                <w:lang w:val="en-GB"/>
              </w:rPr>
            </w:pPr>
            <w:r>
              <w:rPr>
                <w:lang w:val="en-GB"/>
              </w:rPr>
              <w:t>Limitations include patient’s refusal to standard treatment despite late presentation and this is a single case report.</w:t>
            </w:r>
            <w:bookmarkStart w:id="1" w:name="_GoBack"/>
            <w:bookmarkEnd w:id="1"/>
          </w:p>
        </w:tc>
      </w:tr>
      <w:tr w:rsidR="00C211BE" w14:paraId="21C1D477" w14:textId="77777777">
        <w:trPr>
          <w:trHeight w:val="703"/>
        </w:trPr>
        <w:tc>
          <w:tcPr>
            <w:tcW w:w="1790" w:type="pct"/>
            <w:noWrap/>
          </w:tcPr>
          <w:p w14:paraId="77765F53" w14:textId="77777777" w:rsidR="00C211BE" w:rsidRDefault="003959C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596E491" w14:textId="77777777" w:rsidR="00C211BE" w:rsidRDefault="003959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41F5F4" w14:textId="77777777" w:rsidR="00C211BE" w:rsidRDefault="003959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E367E4" w14:textId="77777777" w:rsidR="00C211BE" w:rsidRDefault="003959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A3A552B" w14:textId="77777777" w:rsidR="00C211BE" w:rsidRDefault="003959CD">
            <w:pPr>
              <w:pStyle w:val="ListParagraph"/>
              <w:ind w:left="0" w:firstLineChars="300" w:firstLine="602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23CDF2A5" w14:textId="5ED5E692" w:rsidR="00C211BE" w:rsidRDefault="00DD6B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</w:t>
            </w:r>
            <w:r w:rsidR="00313594">
              <w:rPr>
                <w:rFonts w:ascii="Times New Roman" w:hAnsi="Times New Roman"/>
                <w:b w:val="0"/>
                <w:lang w:val="en-GB" w:eastAsia="en-US"/>
              </w:rPr>
              <w:t>oted</w:t>
            </w:r>
          </w:p>
        </w:tc>
      </w:tr>
      <w:tr w:rsidR="00C211BE" w14:paraId="150D38C4" w14:textId="77777777">
        <w:trPr>
          <w:trHeight w:val="703"/>
        </w:trPr>
        <w:tc>
          <w:tcPr>
            <w:tcW w:w="1790" w:type="pct"/>
            <w:noWrap/>
          </w:tcPr>
          <w:p w14:paraId="10170259" w14:textId="77777777" w:rsidR="00C211BE" w:rsidRDefault="003959C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59F98D6" w14:textId="77777777" w:rsidR="00C211BE" w:rsidRDefault="003959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7F4711" w14:textId="77777777" w:rsidR="00C211BE" w:rsidRDefault="003959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D63983" w14:textId="77777777" w:rsidR="00C211BE" w:rsidRDefault="003959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79E4A00" w14:textId="77777777" w:rsidR="00C211BE" w:rsidRDefault="003959CD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</w:t>
            </w:r>
            <w:r>
              <w:rPr>
                <w:b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rFonts w:ascii="Segoe UI" w:eastAsia="Segoe UI" w:hAnsi="Segoe UI" w:cs="Segoe UI"/>
                <w:color w:val="0F1115"/>
                <w:sz w:val="12"/>
                <w:szCs w:val="12"/>
                <w:shd w:val="clear" w:color="auto" w:fill="FFFFFF"/>
              </w:rPr>
              <w:t>Minor grammatical and typographical errors are present (e.g., “pagétic,” “con sidered”).</w:t>
            </w:r>
          </w:p>
        </w:tc>
        <w:tc>
          <w:tcPr>
            <w:tcW w:w="1367" w:type="pct"/>
          </w:tcPr>
          <w:p w14:paraId="1FA3B986" w14:textId="77596157" w:rsidR="00C211BE" w:rsidRDefault="00DD6B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</w:t>
            </w:r>
            <w:r w:rsidR="00313594">
              <w:rPr>
                <w:rFonts w:ascii="Times New Roman" w:hAnsi="Times New Roman"/>
                <w:b w:val="0"/>
                <w:lang w:val="en-GB" w:eastAsia="en-US"/>
              </w:rPr>
              <w:t>oted</w:t>
            </w:r>
          </w:p>
        </w:tc>
      </w:tr>
    </w:tbl>
    <w:p w14:paraId="567F59C6" w14:textId="77777777" w:rsidR="00C211BE" w:rsidRDefault="00C211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C01F42" w14:textId="77777777" w:rsidR="00C211BE" w:rsidRDefault="00C211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659A97" w14:textId="77777777" w:rsidR="00C211BE" w:rsidRDefault="00C211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8C5730" w:rsidRPr="008C5730" w14:paraId="73268C30" w14:textId="77777777" w:rsidTr="008C573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3CE12" w14:textId="77777777" w:rsidR="008C5730" w:rsidRDefault="008C573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0D554E4" w14:textId="77777777" w:rsidR="008C5730" w:rsidRDefault="008C573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C5730" w:rsidRPr="008C5730" w14:paraId="61B2A831" w14:textId="77777777" w:rsidTr="008C573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CF3B7" w14:textId="77777777" w:rsidR="008C5730" w:rsidRDefault="008C573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E8B12" w14:textId="77777777" w:rsidR="008C5730" w:rsidRDefault="008C573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A1856" w14:textId="77777777" w:rsidR="008C5730" w:rsidRDefault="008C573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C74A38A" w14:textId="77777777" w:rsidR="008C5730" w:rsidRDefault="008C573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C5730" w:rsidRPr="008C5730" w14:paraId="4DD7147B" w14:textId="77777777" w:rsidTr="008C573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B4F72" w14:textId="77777777" w:rsidR="008C5730" w:rsidRDefault="008C573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6753949D" w14:textId="77777777" w:rsidR="008C5730" w:rsidRDefault="008C573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940D3" w14:textId="77777777" w:rsidR="008C5730" w:rsidRDefault="008C573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2B8A6CF" w14:textId="77777777" w:rsidR="008C5730" w:rsidRDefault="008C573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429F8" w14:textId="77777777" w:rsidR="008C5730" w:rsidRDefault="008C573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C2ACF9B" w14:textId="77777777" w:rsidR="008C5730" w:rsidRDefault="008C573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16B5635" w14:textId="77777777" w:rsidR="008C5730" w:rsidRDefault="008C573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4F399BBC" w14:textId="77777777" w:rsidR="008C5730" w:rsidRDefault="008C5730" w:rsidP="008C5730"/>
    <w:p w14:paraId="70184819" w14:textId="77777777" w:rsidR="008C5730" w:rsidRDefault="008C5730" w:rsidP="008C5730"/>
    <w:p w14:paraId="6E92C7E3" w14:textId="77777777" w:rsidR="008C5730" w:rsidRDefault="008C5730" w:rsidP="008C5730">
      <w:pPr>
        <w:rPr>
          <w:bCs/>
          <w:u w:val="single"/>
          <w:lang w:val="en-GB"/>
        </w:rPr>
      </w:pPr>
    </w:p>
    <w:bookmarkEnd w:id="3"/>
    <w:p w14:paraId="100B4362" w14:textId="77777777" w:rsidR="008C5730" w:rsidRDefault="008C5730" w:rsidP="008C5730"/>
    <w:p w14:paraId="3A2E504E" w14:textId="77777777" w:rsidR="00C211BE" w:rsidRDefault="00C211BE" w:rsidP="008C5730">
      <w:pPr>
        <w:pStyle w:val="BodyText"/>
      </w:pPr>
    </w:p>
    <w:sectPr w:rsidR="00C211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8FFFC" w14:textId="77777777" w:rsidR="002140EA" w:rsidRDefault="002140EA">
      <w:r>
        <w:separator/>
      </w:r>
    </w:p>
  </w:endnote>
  <w:endnote w:type="continuationSeparator" w:id="0">
    <w:p w14:paraId="7A7D4827" w14:textId="77777777" w:rsidR="002140EA" w:rsidRDefault="00214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28183" w14:textId="77777777" w:rsidR="00C211BE" w:rsidRDefault="00C211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567A" w14:textId="77777777" w:rsidR="00C211BE" w:rsidRDefault="00C211BE">
    <w:pPr>
      <w:pStyle w:val="Footer"/>
      <w:jc w:val="right"/>
    </w:pPr>
  </w:p>
  <w:p w14:paraId="50BC56B4" w14:textId="17D5B6C0" w:rsidR="00C211BE" w:rsidRDefault="003959C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C5730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C5730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FBC8BA6" w14:textId="77777777" w:rsidR="00C211BE" w:rsidRDefault="003959CD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3B5FCFD9" w14:textId="77777777" w:rsidR="00C211BE" w:rsidRDefault="00C211BE">
    <w:pPr>
      <w:pStyle w:val="Footer"/>
      <w:jc w:val="right"/>
    </w:pPr>
  </w:p>
  <w:p w14:paraId="2022A1E8" w14:textId="77777777" w:rsidR="00C211BE" w:rsidRDefault="00C211BE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3BB59" w14:textId="77777777" w:rsidR="00C211BE" w:rsidRDefault="00C211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24F81" w14:textId="77777777" w:rsidR="002140EA" w:rsidRDefault="002140EA">
      <w:r>
        <w:separator/>
      </w:r>
    </w:p>
  </w:footnote>
  <w:footnote w:type="continuationSeparator" w:id="0">
    <w:p w14:paraId="1E89B385" w14:textId="77777777" w:rsidR="002140EA" w:rsidRDefault="00214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C3C85" w14:textId="77777777" w:rsidR="00C211BE" w:rsidRDefault="00C211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2EB86" w14:textId="77777777" w:rsidR="00C211BE" w:rsidRDefault="00C211B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26DBD58" w14:textId="77777777" w:rsidR="00C211BE" w:rsidRDefault="003959CD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4CBA4" w14:textId="77777777" w:rsidR="00C211BE" w:rsidRDefault="00C211B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15E1"/>
    <w:rsid w:val="00037D52"/>
    <w:rsid w:val="00043D0B"/>
    <w:rsid w:val="000450FC"/>
    <w:rsid w:val="00056CB0"/>
    <w:rsid w:val="000577C2"/>
    <w:rsid w:val="0006257C"/>
    <w:rsid w:val="0007341D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3F3B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140EA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3594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959CD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23CE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6285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C5730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24B5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3267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11BE"/>
    <w:rsid w:val="00C22886"/>
    <w:rsid w:val="00C25C8F"/>
    <w:rsid w:val="00C263C6"/>
    <w:rsid w:val="00C30D74"/>
    <w:rsid w:val="00C46811"/>
    <w:rsid w:val="00C50973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C22C5"/>
    <w:rsid w:val="00DD6B73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1867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E2FA8"/>
    <w:rsid w:val="00FF09A0"/>
    <w:rsid w:val="2C8D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1C5AC"/>
  <w15:docId w15:val="{D3E0F4B6-A557-476C-9BCF-F74982D25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qFormat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58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cti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victor wagozie</cp:lastModifiedBy>
  <cp:revision>6</cp:revision>
  <dcterms:created xsi:type="dcterms:W3CDTF">2026-04-01T14:23:00Z</dcterms:created>
  <dcterms:modified xsi:type="dcterms:W3CDTF">2026-04-01T15:14:00Z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1049-12.2.0.23196</vt:lpwstr>
  </property>
  <property fmtid="{D5CDD505-2E9C-101B-9397-08002B2CF9AE}" pid="4" name="ICV">
    <vt:lpwstr>8ECC7D29284E457FB053DE37E30027A4_12</vt:lpwstr>
  </property>
</Properties>
</file>