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DF6" w:rsidRPr="00947C2D" w:rsidRDefault="00110DF6">
      <w:pPr>
        <w:spacing w:before="6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2"/>
        <w:gridCol w:w="10161"/>
      </w:tblGrid>
      <w:tr w:rsidR="00110DF6" w:rsidRPr="00947C2D">
        <w:trPr>
          <w:trHeight w:val="286"/>
        </w:trPr>
        <w:tc>
          <w:tcPr>
            <w:tcW w:w="3162" w:type="dxa"/>
            <w:tcBorders>
              <w:left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Journal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61" w:type="dxa"/>
            <w:tcBorders>
              <w:left w:val="single" w:sz="4" w:space="0" w:color="000000"/>
              <w:right w:val="single" w:sz="4" w:space="0" w:color="000000"/>
            </w:tcBorders>
          </w:tcPr>
          <w:p w:rsidR="00110DF6" w:rsidRPr="00947C2D" w:rsidRDefault="000A20D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Journal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Advances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in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Mathematics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and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Computer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</w:rPr>
                <w:t xml:space="preserve"> </w:t>
              </w:r>
              <w:r w:rsidR="008A34B8" w:rsidRPr="00947C2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Science</w:t>
              </w:r>
            </w:hyperlink>
          </w:p>
        </w:tc>
      </w:tr>
      <w:tr w:rsidR="00110DF6" w:rsidRPr="00947C2D">
        <w:trPr>
          <w:trHeight w:val="287"/>
        </w:trPr>
        <w:tc>
          <w:tcPr>
            <w:tcW w:w="3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Manuscript</w:t>
            </w:r>
            <w:r w:rsidRPr="00947C2D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Ms_JAMCS_155814</w:t>
            </w:r>
          </w:p>
        </w:tc>
      </w:tr>
      <w:tr w:rsidR="00110DF6" w:rsidRPr="00947C2D">
        <w:trPr>
          <w:trHeight w:val="6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Title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spacing w:before="96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Modified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Logistic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Incorporating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Tilapia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Harvesting: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A Case Study of </w:t>
            </w:r>
            <w:proofErr w:type="spellStart"/>
            <w:r w:rsidRPr="00947C2D">
              <w:rPr>
                <w:rFonts w:ascii="Arial" w:hAnsi="Arial" w:cs="Arial"/>
                <w:b/>
                <w:sz w:val="20"/>
                <w:szCs w:val="20"/>
              </w:rPr>
              <w:t>Aquasamaki</w:t>
            </w:r>
            <w:proofErr w:type="spellEnd"/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 Farm, </w:t>
            </w:r>
            <w:proofErr w:type="spellStart"/>
            <w:r w:rsidRPr="00947C2D">
              <w:rPr>
                <w:rFonts w:ascii="Arial" w:hAnsi="Arial" w:cs="Arial"/>
                <w:b/>
                <w:sz w:val="20"/>
                <w:szCs w:val="20"/>
              </w:rPr>
              <w:t>Mogotio</w:t>
            </w:r>
            <w:proofErr w:type="spellEnd"/>
            <w:r w:rsidRPr="00947C2D">
              <w:rPr>
                <w:rFonts w:ascii="Arial" w:hAnsi="Arial" w:cs="Arial"/>
                <w:b/>
                <w:sz w:val="20"/>
                <w:szCs w:val="20"/>
              </w:rPr>
              <w:t>, Kenya</w:t>
            </w:r>
          </w:p>
        </w:tc>
      </w:tr>
      <w:tr w:rsidR="00110DF6" w:rsidRPr="00947C2D">
        <w:trPr>
          <w:trHeight w:val="333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Type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DF6" w:rsidRPr="00947C2D" w:rsidRDefault="008A34B8">
            <w:pPr>
              <w:pStyle w:val="TableParagraph"/>
              <w:spacing w:before="51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110DF6" w:rsidRPr="00947C2D" w:rsidRDefault="008A34B8">
      <w:pPr>
        <w:pStyle w:val="BodyText"/>
        <w:ind w:left="165"/>
        <w:rPr>
          <w:rFonts w:ascii="Arial" w:hAnsi="Arial" w:cs="Arial"/>
        </w:rPr>
      </w:pPr>
      <w:r w:rsidRPr="00947C2D">
        <w:rPr>
          <w:rFonts w:ascii="Arial" w:hAnsi="Arial" w:cs="Arial"/>
          <w:color w:val="000000"/>
          <w:highlight w:val="yellow"/>
        </w:rPr>
        <w:t>PART</w:t>
      </w:r>
      <w:r w:rsidRPr="00947C2D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1(Importance</w:t>
      </w:r>
      <w:r w:rsidRPr="00947C2D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of</w:t>
      </w:r>
      <w:r w:rsidRPr="00947C2D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the</w:t>
      </w:r>
      <w:r w:rsidRPr="00947C2D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spacing w:val="-2"/>
          <w:highlight w:val="yellow"/>
        </w:rPr>
        <w:t>manuscript)</w:t>
      </w: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110DF6">
      <w:pPr>
        <w:spacing w:before="4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8"/>
        <w:gridCol w:w="4969"/>
        <w:gridCol w:w="3679"/>
      </w:tblGrid>
      <w:tr w:rsidR="00110DF6" w:rsidRPr="00947C2D">
        <w:trPr>
          <w:trHeight w:val="638"/>
        </w:trPr>
        <w:tc>
          <w:tcPr>
            <w:tcW w:w="4818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9" w:type="dxa"/>
          </w:tcPr>
          <w:p w:rsidR="00110DF6" w:rsidRPr="00947C2D" w:rsidRDefault="008A34B8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79" w:type="dxa"/>
          </w:tcPr>
          <w:p w:rsidR="00110DF6" w:rsidRPr="00947C2D" w:rsidRDefault="008A34B8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47C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10DF6" w:rsidRPr="00947C2D">
        <w:trPr>
          <w:trHeight w:val="2068"/>
        </w:trPr>
        <w:tc>
          <w:tcPr>
            <w:tcW w:w="4818" w:type="dxa"/>
          </w:tcPr>
          <w:p w:rsidR="00110DF6" w:rsidRPr="00947C2D" w:rsidRDefault="008A34B8">
            <w:pPr>
              <w:pStyle w:val="TableParagraph"/>
              <w:ind w:right="68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minimum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3-4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sentences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may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969" w:type="dxa"/>
          </w:tcPr>
          <w:p w:rsidR="00110DF6" w:rsidRPr="00947C2D" w:rsidRDefault="008A34B8">
            <w:pPr>
              <w:pStyle w:val="TableParagraph"/>
              <w:ind w:left="108" w:right="6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This study blends theory and real-world fish farming by incorporating water-quality factors such as pH and alkalinity into the classic logistic growth model. It gives farm managers a key tool to spot "severe stress" points where growth can't keep up with harvesting, averting population crashes. Key finding: a tipping point at Q≈0.4 shows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sustainability</w:t>
            </w: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shifts</w:t>
            </w:r>
            <w:r w:rsidRPr="00947C2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with</w:t>
            </w: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conditions.</w:t>
            </w:r>
          </w:p>
          <w:p w:rsidR="00110DF6" w:rsidRPr="00947C2D" w:rsidRDefault="008A34B8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Overall, it pushes for adaptive strategies and real-time monitoring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to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balance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harvests,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food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security,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profits.</w:t>
            </w:r>
          </w:p>
        </w:tc>
        <w:tc>
          <w:tcPr>
            <w:tcW w:w="3679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23224" w:rsidRPr="00947C2D" w:rsidRDefault="005232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23224" w:rsidRPr="00947C2D" w:rsidRDefault="005232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</w:tbl>
    <w:p w:rsidR="00110DF6" w:rsidRPr="00947C2D" w:rsidRDefault="00110DF6">
      <w:pPr>
        <w:pStyle w:val="TableParagraph"/>
        <w:rPr>
          <w:rFonts w:ascii="Arial" w:hAnsi="Arial" w:cs="Arial"/>
          <w:sz w:val="20"/>
          <w:szCs w:val="20"/>
        </w:rPr>
        <w:sectPr w:rsidR="00110DF6" w:rsidRPr="00947C2D">
          <w:headerReference w:type="default" r:id="rId8"/>
          <w:footerReference w:type="default" r:id="rId9"/>
          <w:type w:val="continuous"/>
          <w:pgSz w:w="16840" w:h="23820"/>
          <w:pgMar w:top="1760" w:right="1275" w:bottom="1620" w:left="1275" w:header="1284" w:footer="1431" w:gutter="0"/>
          <w:pgNumType w:start="1"/>
          <w:cols w:space="720"/>
        </w:sectPr>
      </w:pP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110DF6">
      <w:pPr>
        <w:spacing w:before="7"/>
        <w:rPr>
          <w:rFonts w:ascii="Arial" w:hAnsi="Arial" w:cs="Arial"/>
          <w:b/>
          <w:sz w:val="20"/>
          <w:szCs w:val="20"/>
        </w:rPr>
      </w:pPr>
    </w:p>
    <w:p w:rsidR="00110DF6" w:rsidRPr="00947C2D" w:rsidRDefault="008A34B8">
      <w:pPr>
        <w:pStyle w:val="BodyText"/>
        <w:ind w:left="165"/>
        <w:rPr>
          <w:rFonts w:ascii="Arial" w:hAnsi="Arial" w:cs="Arial"/>
        </w:rPr>
      </w:pPr>
      <w:r w:rsidRPr="00947C2D">
        <w:rPr>
          <w:rFonts w:ascii="Arial" w:hAnsi="Arial" w:cs="Arial"/>
          <w:color w:val="000000"/>
          <w:highlight w:val="yellow"/>
        </w:rPr>
        <w:t>PART</w:t>
      </w:r>
      <w:r w:rsidRPr="00947C2D">
        <w:rPr>
          <w:rFonts w:ascii="Arial" w:hAnsi="Arial" w:cs="Arial"/>
          <w:color w:val="000000"/>
          <w:spacing w:val="42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2.1</w:t>
      </w:r>
      <w:r w:rsidRPr="00947C2D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(Objective</w:t>
      </w:r>
      <w:r w:rsidRPr="00947C2D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spacing w:val="-2"/>
          <w:highlight w:val="yellow"/>
        </w:rPr>
        <w:t>Evaluation)</w:t>
      </w: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110DF6">
      <w:pPr>
        <w:spacing w:before="4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6"/>
        <w:gridCol w:w="3680"/>
      </w:tblGrid>
      <w:tr w:rsidR="00110DF6" w:rsidRPr="00947C2D">
        <w:trPr>
          <w:trHeight w:val="408"/>
        </w:trPr>
        <w:tc>
          <w:tcPr>
            <w:tcW w:w="4822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6" w:type="dxa"/>
          </w:tcPr>
          <w:p w:rsidR="00110DF6" w:rsidRPr="00947C2D" w:rsidRDefault="008A34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80" w:type="dxa"/>
          </w:tcPr>
          <w:p w:rsidR="00110DF6" w:rsidRPr="00947C2D" w:rsidRDefault="008A34B8">
            <w:pPr>
              <w:pStyle w:val="TableParagraph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47C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10DF6" w:rsidRPr="00947C2D">
        <w:trPr>
          <w:trHeight w:val="1262"/>
        </w:trPr>
        <w:tc>
          <w:tcPr>
            <w:tcW w:w="4822" w:type="dxa"/>
          </w:tcPr>
          <w:p w:rsidR="00110DF6" w:rsidRPr="00947C2D" w:rsidRDefault="008A34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110DF6" w:rsidRPr="00947C2D" w:rsidRDefault="008A34B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10DF6" w:rsidRPr="00947C2D" w:rsidRDefault="008A34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110DF6" w:rsidRPr="00947C2D" w:rsidRDefault="008A34B8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:rsidR="00110DF6" w:rsidRPr="00947C2D" w:rsidRDefault="00F9379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DF6" w:rsidRPr="00947C2D">
        <w:trPr>
          <w:trHeight w:val="1262"/>
        </w:trPr>
        <w:tc>
          <w:tcPr>
            <w:tcW w:w="4822" w:type="dxa"/>
          </w:tcPr>
          <w:p w:rsidR="00110DF6" w:rsidRPr="00947C2D" w:rsidRDefault="008A34B8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110DF6" w:rsidRPr="00947C2D" w:rsidRDefault="008A34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10DF6" w:rsidRPr="00947C2D" w:rsidRDefault="008A34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110DF6" w:rsidRPr="00947C2D" w:rsidRDefault="008A34B8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:rsidR="00110DF6" w:rsidRPr="00947C2D" w:rsidRDefault="00F9379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262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262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ind w:right="73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262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ind w:right="73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47C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262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date?</w:t>
            </w:r>
          </w:p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262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DF6" w:rsidRPr="00947C2D">
        <w:trPr>
          <w:trHeight w:val="1261"/>
        </w:trPr>
        <w:tc>
          <w:tcPr>
            <w:tcW w:w="4822" w:type="dxa"/>
          </w:tcPr>
          <w:p w:rsidR="00110DF6" w:rsidRPr="00947C2D" w:rsidRDefault="008A34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110DF6" w:rsidRPr="00947C2D" w:rsidRDefault="008A34B8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10DF6" w:rsidRPr="00947C2D" w:rsidRDefault="008A34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110DF6" w:rsidRPr="00947C2D" w:rsidRDefault="008A34B8">
            <w:pPr>
              <w:pStyle w:val="TableParagraph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3680" w:type="dxa"/>
          </w:tcPr>
          <w:p w:rsidR="00110DF6" w:rsidRPr="00947C2D" w:rsidRDefault="00F9379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379E" w:rsidRPr="00947C2D">
        <w:trPr>
          <w:trHeight w:val="919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148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151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919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918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381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F9379E" w:rsidRPr="00947C2D" w:rsidRDefault="00F9379E" w:rsidP="00F9379E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47C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379E" w:rsidRPr="00947C2D">
        <w:trPr>
          <w:trHeight w:val="1149"/>
        </w:trPr>
        <w:tc>
          <w:tcPr>
            <w:tcW w:w="4822" w:type="dxa"/>
          </w:tcPr>
          <w:p w:rsidR="00F9379E" w:rsidRPr="00947C2D" w:rsidRDefault="00F9379E" w:rsidP="00F9379E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47C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47C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F9379E" w:rsidRPr="00947C2D" w:rsidRDefault="00F9379E" w:rsidP="00F9379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47C2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9379E" w:rsidRPr="00947C2D" w:rsidRDefault="00F9379E" w:rsidP="00F9379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47C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</w:tc>
        <w:tc>
          <w:tcPr>
            <w:tcW w:w="4966" w:type="dxa"/>
          </w:tcPr>
          <w:p w:rsidR="00F9379E" w:rsidRPr="00947C2D" w:rsidRDefault="00F9379E" w:rsidP="00F9379E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0" w:type="dxa"/>
          </w:tcPr>
          <w:p w:rsidR="00F9379E" w:rsidRPr="00947C2D" w:rsidRDefault="00F9379E" w:rsidP="00F9379E">
            <w:pPr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:rsidR="00110DF6" w:rsidRPr="00947C2D" w:rsidRDefault="00110DF6">
      <w:pPr>
        <w:pStyle w:val="TableParagraph"/>
        <w:rPr>
          <w:rFonts w:ascii="Arial" w:hAnsi="Arial" w:cs="Arial"/>
          <w:sz w:val="20"/>
          <w:szCs w:val="20"/>
        </w:rPr>
        <w:sectPr w:rsidR="00110DF6" w:rsidRPr="00947C2D">
          <w:pgSz w:w="16840" w:h="23820"/>
          <w:pgMar w:top="1760" w:right="1275" w:bottom="1620" w:left="1275" w:header="1284" w:footer="1431" w:gutter="0"/>
          <w:cols w:space="720"/>
        </w:sect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6"/>
        <w:gridCol w:w="3680"/>
      </w:tblGrid>
      <w:tr w:rsidR="00110DF6" w:rsidRPr="00947C2D">
        <w:trPr>
          <w:trHeight w:val="703"/>
        </w:trPr>
        <w:tc>
          <w:tcPr>
            <w:tcW w:w="4822" w:type="dxa"/>
          </w:tcPr>
          <w:p w:rsidR="00110DF6" w:rsidRPr="00947C2D" w:rsidRDefault="008A34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lastRenderedPageBreak/>
              <w:t>N/A</w:t>
            </w:r>
            <w:r w:rsidRPr="00947C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47C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47C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6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0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8A34B8">
      <w:pPr>
        <w:pStyle w:val="BodyText"/>
        <w:spacing w:before="1"/>
        <w:ind w:left="165"/>
        <w:rPr>
          <w:rFonts w:ascii="Arial" w:hAnsi="Arial" w:cs="Arial"/>
        </w:rPr>
      </w:pPr>
      <w:bookmarkStart w:id="0" w:name="_GoBack"/>
      <w:bookmarkEnd w:id="0"/>
      <w:r w:rsidRPr="00947C2D">
        <w:rPr>
          <w:rFonts w:ascii="Arial" w:hAnsi="Arial" w:cs="Arial"/>
          <w:color w:val="000000"/>
          <w:highlight w:val="yellow"/>
        </w:rPr>
        <w:t>PART</w:t>
      </w:r>
      <w:r w:rsidRPr="00947C2D">
        <w:rPr>
          <w:rFonts w:ascii="Arial" w:hAnsi="Arial" w:cs="Arial"/>
          <w:color w:val="000000"/>
          <w:spacing w:val="41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2.2</w:t>
      </w:r>
      <w:r w:rsidRPr="00947C2D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highlight w:val="yellow"/>
        </w:rPr>
        <w:t>(Subjective</w:t>
      </w:r>
      <w:r w:rsidRPr="00947C2D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47C2D">
        <w:rPr>
          <w:rFonts w:ascii="Arial" w:hAnsi="Arial" w:cs="Arial"/>
          <w:color w:val="000000"/>
          <w:spacing w:val="-2"/>
          <w:highlight w:val="yellow"/>
        </w:rPr>
        <w:t>Evaluation)</w:t>
      </w:r>
    </w:p>
    <w:p w:rsidR="00110DF6" w:rsidRPr="00947C2D" w:rsidRDefault="00110DF6">
      <w:pPr>
        <w:spacing w:before="4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7"/>
        <w:gridCol w:w="6272"/>
        <w:gridCol w:w="4320"/>
      </w:tblGrid>
      <w:tr w:rsidR="00110DF6" w:rsidRPr="00947C2D">
        <w:trPr>
          <w:trHeight w:val="885"/>
        </w:trPr>
        <w:tc>
          <w:tcPr>
            <w:tcW w:w="3587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2" w:type="dxa"/>
          </w:tcPr>
          <w:p w:rsidR="00110DF6" w:rsidRPr="00947C2D" w:rsidRDefault="008A34B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47C2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320" w:type="dxa"/>
          </w:tcPr>
          <w:p w:rsidR="00110DF6" w:rsidRPr="00947C2D" w:rsidRDefault="008A34B8">
            <w:pPr>
              <w:pStyle w:val="TableParagraph"/>
              <w:spacing w:line="256" w:lineRule="auto"/>
              <w:ind w:left="108" w:right="253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(It</w:t>
            </w:r>
            <w:r w:rsidRPr="00947C2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mandatory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that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110DF6" w:rsidRPr="00947C2D">
        <w:trPr>
          <w:trHeight w:val="1261"/>
        </w:trPr>
        <w:tc>
          <w:tcPr>
            <w:tcW w:w="3587" w:type="dxa"/>
          </w:tcPr>
          <w:p w:rsidR="00110DF6" w:rsidRPr="00947C2D" w:rsidRDefault="008A34B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47C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10DF6" w:rsidRPr="00947C2D" w:rsidRDefault="008A34B8">
            <w:pPr>
              <w:pStyle w:val="TableParagraph"/>
              <w:spacing w:before="229"/>
              <w:ind w:left="468" w:right="133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If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your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answer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NO,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272" w:type="dxa"/>
          </w:tcPr>
          <w:p w:rsidR="00110DF6" w:rsidRPr="00947C2D" w:rsidRDefault="008A34B8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Yes,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title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suitable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for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this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320" w:type="dxa"/>
          </w:tcPr>
          <w:p w:rsidR="00110DF6" w:rsidRPr="00947C2D" w:rsidRDefault="00AE50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DF6" w:rsidRPr="00947C2D">
        <w:trPr>
          <w:trHeight w:val="1378"/>
        </w:trPr>
        <w:tc>
          <w:tcPr>
            <w:tcW w:w="3587" w:type="dxa"/>
          </w:tcPr>
          <w:p w:rsidR="00110DF6" w:rsidRPr="00947C2D" w:rsidRDefault="008A34B8">
            <w:pPr>
              <w:pStyle w:val="TableParagraph"/>
              <w:ind w:left="468" w:right="764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47C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110DF6" w:rsidRPr="00947C2D" w:rsidRDefault="008A34B8">
            <w:pPr>
              <w:pStyle w:val="TableParagraph"/>
              <w:spacing w:before="208" w:line="230" w:lineRule="exact"/>
              <w:ind w:left="392" w:right="209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If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your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answer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NO,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272" w:type="dxa"/>
          </w:tcPr>
          <w:p w:rsidR="00110DF6" w:rsidRPr="00947C2D" w:rsidRDefault="008A34B8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Yes,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abstract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4320" w:type="dxa"/>
          </w:tcPr>
          <w:p w:rsidR="00110DF6" w:rsidRPr="00947C2D" w:rsidRDefault="00875AA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DF6" w:rsidRPr="00947C2D">
        <w:trPr>
          <w:trHeight w:val="9299"/>
        </w:trPr>
        <w:tc>
          <w:tcPr>
            <w:tcW w:w="3587" w:type="dxa"/>
          </w:tcPr>
          <w:p w:rsidR="00110DF6" w:rsidRPr="00947C2D" w:rsidRDefault="008A34B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47C2D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110DF6" w:rsidRPr="00947C2D" w:rsidRDefault="00110DF6">
            <w:pPr>
              <w:pStyle w:val="TableParagraph"/>
              <w:spacing w:before="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ind w:left="392" w:right="209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If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your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answer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NO,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272" w:type="dxa"/>
          </w:tcPr>
          <w:p w:rsidR="00110DF6" w:rsidRPr="00947C2D" w:rsidRDefault="008A34B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manuscript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correct,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but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following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suggestions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or comments can improve the manuscript:</w:t>
            </w:r>
          </w:p>
          <w:p w:rsidR="00110DF6" w:rsidRPr="00947C2D" w:rsidRDefault="00110DF6">
            <w:pPr>
              <w:pStyle w:val="TableParagraph"/>
              <w:spacing w:before="7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before="1" w:line="271" w:lineRule="auto"/>
              <w:ind w:right="2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In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equation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(3.3),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no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subscripts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on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equation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variables used,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while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in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equations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3.4-3.6, subscripts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 introduced.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 correct this and be consistent.</w:t>
            </w:r>
          </w:p>
          <w:p w:rsidR="00110DF6" w:rsidRPr="00947C2D" w:rsidRDefault="00110DF6">
            <w:pPr>
              <w:pStyle w:val="TableParagraph"/>
              <w:spacing w:before="4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before="1" w:line="273" w:lineRule="auto"/>
              <w:ind w:right="161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There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cases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where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claims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made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without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providing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evidence from the literature, mostly in the introduction section and in the literature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review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section.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provide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references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to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support.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This will also increase the number of citations in the references</w:t>
            </w:r>
          </w:p>
          <w:p w:rsidR="00110DF6" w:rsidRPr="00947C2D" w:rsidRDefault="00110DF6">
            <w:pPr>
              <w:pStyle w:val="TableParagraph"/>
              <w:spacing w:before="3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80" w:lineRule="auto"/>
              <w:ind w:right="143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Ensure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all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units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explicitly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stated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in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47C2D">
              <w:rPr>
                <w:rFonts w:ascii="Arial" w:hAnsi="Arial" w:cs="Arial"/>
                <w:sz w:val="20"/>
                <w:szCs w:val="20"/>
              </w:rPr>
              <w:t>parameterisation</w:t>
            </w:r>
            <w:proofErr w:type="spellEnd"/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section. While </w:t>
            </w:r>
            <w:r w:rsidRPr="00947C2D">
              <w:rPr>
                <w:rFonts w:ascii="Arial" w:hAnsi="Arial" w:cs="Arial"/>
                <w:noProof/>
                <w:spacing w:val="1"/>
                <w:sz w:val="20"/>
                <w:szCs w:val="20"/>
              </w:rPr>
              <w:drawing>
                <wp:inline distT="0" distB="0" distL="0" distR="0">
                  <wp:extent cx="76198" cy="9144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98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 given as 0.5, the</w:t>
            </w:r>
            <w:r w:rsidRPr="00947C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"unit time" (e.g.,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days, weeks, months) should be defined to make the harvesting rate ( </w:t>
            </w:r>
            <w:r w:rsidRPr="00947C2D">
              <w:rPr>
                <w:rFonts w:ascii="Arial" w:hAnsi="Arial" w:cs="Arial"/>
                <w:noProof/>
                <w:spacing w:val="2"/>
                <w:sz w:val="20"/>
                <w:szCs w:val="20"/>
              </w:rPr>
              <w:drawing>
                <wp:inline distT="0" distB="0" distL="0" distR="0">
                  <wp:extent cx="397486" cy="9144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486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z w:val="20"/>
                <w:szCs w:val="20"/>
              </w:rPr>
              <w:t>)</w:t>
            </w:r>
            <w:r w:rsidRPr="00947C2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and growth rate are biologically meaningful for Tilapia.</w:t>
            </w:r>
          </w:p>
          <w:p w:rsidR="00110DF6" w:rsidRPr="00947C2D" w:rsidRDefault="00110DF6">
            <w:pPr>
              <w:pStyle w:val="TableParagraph"/>
              <w:spacing w:before="3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73" w:lineRule="auto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While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text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correctly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identifies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"higher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equilibrium"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as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stable and the "lower equilibrium" as an unstable threshold, providing a formal stability proof using the derivative of the net growth function (Jacobian stability analysis) would strengthen the "Equilibrium Analysis" section.</w:t>
            </w:r>
          </w:p>
          <w:p w:rsidR="00110DF6" w:rsidRPr="00947C2D" w:rsidRDefault="00110DF6">
            <w:pPr>
              <w:pStyle w:val="TableParagraph"/>
              <w:spacing w:before="3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before="1" w:line="273" w:lineRule="auto"/>
              <w:ind w:right="674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The specific functional forms for the modifiers, such as the Gaussian-like</w:t>
            </w:r>
            <w:r w:rsidRPr="00947C2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noProof/>
                <w:position w:val="-5"/>
                <w:sz w:val="20"/>
                <w:szCs w:val="20"/>
              </w:rPr>
              <w:drawing>
                <wp:inline distT="0" distB="0" distL="0" distR="0">
                  <wp:extent cx="175259" cy="130054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59" cy="130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exponential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noProof/>
                <w:position w:val="-7"/>
                <w:sz w:val="20"/>
                <w:szCs w:val="20"/>
              </w:rPr>
              <w:drawing>
                <wp:inline distT="0" distB="0" distL="0" distR="0">
                  <wp:extent cx="374600" cy="13716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0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,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presented without explicit citations or empirical justification from the </w:t>
            </w:r>
            <w:proofErr w:type="spellStart"/>
            <w:r w:rsidRPr="00947C2D">
              <w:rPr>
                <w:rFonts w:ascii="Arial" w:hAnsi="Arial" w:cs="Arial"/>
                <w:sz w:val="20"/>
                <w:szCs w:val="20"/>
              </w:rPr>
              <w:t>Aquasamaki</w:t>
            </w:r>
            <w:proofErr w:type="spellEnd"/>
            <w:r w:rsidRPr="00947C2D">
              <w:rPr>
                <w:rFonts w:ascii="Arial" w:hAnsi="Arial" w:cs="Arial"/>
                <w:sz w:val="20"/>
                <w:szCs w:val="20"/>
              </w:rPr>
              <w:t xml:space="preserve"> Farm data. Briefly explain why these specific mathematical structures were chosen to represent those environmental stressors (refer to equations 3.4-3.6).</w:t>
            </w:r>
          </w:p>
          <w:p w:rsidR="00110DF6" w:rsidRPr="00947C2D" w:rsidRDefault="00110DF6">
            <w:pPr>
              <w:pStyle w:val="TableParagraph"/>
              <w:spacing w:before="4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0DF6" w:rsidRPr="00947C2D" w:rsidRDefault="008A34B8">
            <w:pPr>
              <w:pStyle w:val="TableParagraph"/>
              <w:numPr>
                <w:ilvl w:val="0"/>
                <w:numId w:val="1"/>
              </w:numPr>
              <w:tabs>
                <w:tab w:val="left" w:pos="707"/>
              </w:tabs>
              <w:spacing w:line="280" w:lineRule="auto"/>
              <w:ind w:right="149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transition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from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"Optimal"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(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noProof/>
                <w:spacing w:val="4"/>
                <w:position w:val="-3"/>
                <w:sz w:val="20"/>
                <w:szCs w:val="20"/>
              </w:rPr>
              <w:drawing>
                <wp:inline distT="0" distB="0" distL="0" distR="0">
                  <wp:extent cx="420370" cy="106679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7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z w:val="20"/>
                <w:szCs w:val="20"/>
              </w:rPr>
              <w:t>)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to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"Moderate"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(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noProof/>
                <w:spacing w:val="-1"/>
                <w:position w:val="-3"/>
                <w:sz w:val="20"/>
                <w:szCs w:val="20"/>
              </w:rPr>
              <w:drawing>
                <wp:inline distT="0" distB="0" distL="0" distR="0">
                  <wp:extent cx="420370" cy="1143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7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) and "Severe" ( </w:t>
            </w:r>
            <w:r w:rsidRPr="00947C2D">
              <w:rPr>
                <w:rFonts w:ascii="Arial" w:hAnsi="Arial" w:cs="Arial"/>
                <w:noProof/>
                <w:position w:val="-3"/>
                <w:sz w:val="20"/>
                <w:szCs w:val="20"/>
              </w:rPr>
              <w:drawing>
                <wp:inline distT="0" distB="0" distL="0" distR="0">
                  <wp:extent cx="420370" cy="106679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7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z w:val="20"/>
                <w:szCs w:val="20"/>
              </w:rPr>
              <w:t>)</w:t>
            </w:r>
            <w:r w:rsidRPr="00947C2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 xml:space="preserve">is helpful. However, the study notes a critical bifurcation at </w:t>
            </w:r>
            <w:r w:rsidRPr="00947C2D">
              <w:rPr>
                <w:rFonts w:ascii="Arial" w:hAnsi="Arial" w:cs="Arial"/>
                <w:noProof/>
                <w:spacing w:val="4"/>
                <w:position w:val="-3"/>
                <w:sz w:val="20"/>
                <w:szCs w:val="20"/>
              </w:rPr>
              <w:drawing>
                <wp:inline distT="0" distB="0" distL="0" distR="0">
                  <wp:extent cx="450850" cy="106679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85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C2D">
              <w:rPr>
                <w:rFonts w:ascii="Arial" w:hAnsi="Arial" w:cs="Arial"/>
                <w:sz w:val="20"/>
                <w:szCs w:val="20"/>
              </w:rPr>
              <w:t>. Providing a simulation specifically at this "tipping point" would significantly enhance the results.</w:t>
            </w:r>
          </w:p>
        </w:tc>
        <w:tc>
          <w:tcPr>
            <w:tcW w:w="4320" w:type="dxa"/>
          </w:tcPr>
          <w:p w:rsidR="00110DF6" w:rsidRPr="00947C2D" w:rsidRDefault="00110D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 xml:space="preserve">Added more references </w:t>
            </w: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 xml:space="preserve">Noted and revised </w:t>
            </w: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368A8" w:rsidRPr="00947C2D" w:rsidRDefault="001368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 xml:space="preserve">Checked and revised </w:t>
            </w: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F521E" w:rsidRPr="00947C2D" w:rsidRDefault="00EF52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DF6" w:rsidRPr="00947C2D">
        <w:trPr>
          <w:trHeight w:val="1379"/>
        </w:trPr>
        <w:tc>
          <w:tcPr>
            <w:tcW w:w="3587" w:type="dxa"/>
          </w:tcPr>
          <w:p w:rsidR="00110DF6" w:rsidRPr="00947C2D" w:rsidRDefault="008A34B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47C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47C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47C2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947C2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110DF6" w:rsidRPr="00947C2D" w:rsidRDefault="008A34B8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(YES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or</w:t>
            </w:r>
            <w:r w:rsidRPr="00947C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110DF6" w:rsidRPr="00947C2D" w:rsidRDefault="008A34B8">
            <w:pPr>
              <w:pStyle w:val="TableParagraph"/>
              <w:spacing w:before="209" w:line="230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If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your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answer</w:t>
            </w:r>
            <w:r w:rsidRPr="00947C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is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NO,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</w:t>
            </w:r>
            <w:r w:rsidRPr="00947C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272" w:type="dxa"/>
          </w:tcPr>
          <w:p w:rsidR="00110DF6" w:rsidRPr="00947C2D" w:rsidRDefault="008A34B8">
            <w:pPr>
              <w:pStyle w:val="TableParagraph"/>
              <w:ind w:left="107" w:right="166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>No, the references are insufficient, as many claims made in the introduction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and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parts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of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the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literature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review</w:t>
            </w:r>
            <w:r w:rsidRPr="00947C2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are</w:t>
            </w:r>
            <w:r w:rsidRPr="00947C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not</w:t>
            </w:r>
            <w:r w:rsidRPr="00947C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referenced.</w:t>
            </w:r>
            <w:r w:rsidRPr="00947C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7C2D">
              <w:rPr>
                <w:rFonts w:ascii="Arial" w:hAnsi="Arial" w:cs="Arial"/>
                <w:sz w:val="20"/>
                <w:szCs w:val="20"/>
              </w:rPr>
              <w:t>Please provide references that are sufficient.</w:t>
            </w:r>
          </w:p>
        </w:tc>
        <w:tc>
          <w:tcPr>
            <w:tcW w:w="4320" w:type="dxa"/>
          </w:tcPr>
          <w:p w:rsidR="00110DF6" w:rsidRPr="00947C2D" w:rsidRDefault="008948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7C2D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</w:tbl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EA3CFB" w:rsidRPr="00947C2D" w:rsidRDefault="00EA3CFB" w:rsidP="00EA3CFB">
      <w:pPr>
        <w:pStyle w:val="BodyText"/>
        <w:rPr>
          <w:rFonts w:ascii="Arial" w:hAnsi="Arial" w:cs="Arial"/>
          <w:u w:val="single"/>
          <w:lang w:val="en-GB"/>
        </w:rPr>
      </w:pPr>
    </w:p>
    <w:p w:rsidR="00EA3CFB" w:rsidRPr="00947C2D" w:rsidRDefault="00EA3CFB" w:rsidP="00EA3CF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947C2D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947C2D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EA3CFB" w:rsidRPr="00947C2D" w:rsidRDefault="00EA3CFB" w:rsidP="00EA3CFB">
      <w:pPr>
        <w:pStyle w:val="BodyText"/>
        <w:rPr>
          <w:rFonts w:ascii="Arial" w:eastAsia="MS Mincho" w:hAnsi="Arial" w:cs="Arial"/>
          <w:b w:val="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833"/>
        <w:gridCol w:w="4518"/>
      </w:tblGrid>
      <w:tr w:rsidR="00EA3CFB" w:rsidRPr="00947C2D" w:rsidTr="00EA3CF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CFB" w:rsidRPr="00947C2D" w:rsidRDefault="00EA3C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EA3CFB" w:rsidRPr="00947C2D" w:rsidTr="00EA3CF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CFB" w:rsidRPr="00947C2D" w:rsidRDefault="00EA3CF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CFB" w:rsidRPr="00947C2D" w:rsidRDefault="00EA3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947C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FB" w:rsidRPr="00947C2D" w:rsidRDefault="00EA3C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947C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947C2D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EA3CFB" w:rsidRPr="00947C2D" w:rsidRDefault="00EA3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EA3CFB" w:rsidRPr="00947C2D" w:rsidTr="00EA3CFB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CFB" w:rsidRPr="00947C2D" w:rsidRDefault="00EA3C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947C2D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EA3CFB" w:rsidRPr="00947C2D" w:rsidRDefault="00EA3CF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3CFB" w:rsidRPr="00947C2D" w:rsidRDefault="00EA3C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947C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 w:rsidRPr="00947C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 w:rsidRPr="00947C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:rsidR="00EA3CFB" w:rsidRPr="00947C2D" w:rsidRDefault="00EA3CF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CFB" w:rsidRPr="00947C2D" w:rsidRDefault="00EA3CF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EA3CFB" w:rsidRPr="00947C2D" w:rsidRDefault="00EA3CF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EA3CFB" w:rsidRPr="00947C2D" w:rsidRDefault="00EA3CF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:rsidR="00EA3CFB" w:rsidRPr="00947C2D" w:rsidRDefault="00EA3CFB" w:rsidP="00EA3CFB">
      <w:pPr>
        <w:pStyle w:val="BodyText"/>
        <w:rPr>
          <w:rFonts w:ascii="Arial" w:eastAsia="MS Mincho" w:hAnsi="Arial" w:cs="Arial"/>
          <w:u w:val="single"/>
          <w:lang w:val="en-GB" w:eastAsia="x-none"/>
        </w:rPr>
      </w:pPr>
    </w:p>
    <w:p w:rsidR="00EA3CFB" w:rsidRPr="00947C2D" w:rsidRDefault="00EA3CFB" w:rsidP="00EA3CFB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947C2D">
        <w:rPr>
          <w:rFonts w:ascii="Arial" w:hAnsi="Arial" w:cs="Arial"/>
          <w:b/>
          <w:bCs/>
          <w:lang w:val="en-GB"/>
        </w:rPr>
        <w:t xml:space="preserve">      </w:t>
      </w:r>
    </w:p>
    <w:p w:rsidR="00EA3CFB" w:rsidRPr="00947C2D" w:rsidRDefault="00EA3CFB" w:rsidP="00EA3CFB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:rsidR="00110DF6" w:rsidRPr="00947C2D" w:rsidRDefault="00110DF6">
      <w:pPr>
        <w:rPr>
          <w:rFonts w:ascii="Arial" w:hAnsi="Arial" w:cs="Arial"/>
          <w:b/>
          <w:sz w:val="20"/>
          <w:szCs w:val="20"/>
        </w:rPr>
      </w:pPr>
    </w:p>
    <w:p w:rsidR="000B3CE1" w:rsidRPr="00947C2D" w:rsidRDefault="000B3CE1">
      <w:pPr>
        <w:rPr>
          <w:rFonts w:ascii="Arial" w:hAnsi="Arial" w:cs="Arial"/>
          <w:b/>
          <w:sz w:val="20"/>
          <w:szCs w:val="20"/>
        </w:rPr>
      </w:pPr>
    </w:p>
    <w:sectPr w:rsidR="000B3CE1" w:rsidRPr="00947C2D" w:rsidSect="00EA3CFB">
      <w:type w:val="continuous"/>
      <w:pgSz w:w="16840" w:h="23820"/>
      <w:pgMar w:top="1760" w:right="1275" w:bottom="1620" w:left="1275" w:header="1284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0D8" w:rsidRDefault="000A20D8">
      <w:r>
        <w:separator/>
      </w:r>
    </w:p>
  </w:endnote>
  <w:endnote w:type="continuationSeparator" w:id="0">
    <w:p w:rsidR="000A20D8" w:rsidRDefault="000A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0DF6" w:rsidRDefault="008A34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14074060</wp:posOffset>
              </wp:positionV>
              <wp:extent cx="600710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0DF6" w:rsidRDefault="008A34B8">
                          <w:pPr>
                            <w:spacing w:before="10" w:line="242" w:lineRule="auto"/>
                            <w:ind w:left="181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pt;width:47.3pt;height:24.7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" filled="f" stroked="f">
              <v:textbox inset="0,0,0,0">
                <w:txbxContent>
                  <w:p w:rsidR="00110DF6" w:rsidRDefault="008A34B8">
                    <w:pPr>
                      <w:spacing w:before="10" w:line="242" w:lineRule="auto"/>
                      <w:ind w:left="181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0D8" w:rsidRDefault="000A20D8">
      <w:r>
        <w:separator/>
      </w:r>
    </w:p>
  </w:footnote>
  <w:footnote w:type="continuationSeparator" w:id="0">
    <w:p w:rsidR="000A20D8" w:rsidRDefault="000A2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0DF6" w:rsidRDefault="008A34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4627753</wp:posOffset>
              </wp:positionH>
              <wp:positionV relativeFrom="page">
                <wp:posOffset>802626</wp:posOffset>
              </wp:positionV>
              <wp:extent cx="143446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44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0DF6" w:rsidRDefault="008A34B8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 MT"/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 MT"/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4pt;margin-top:63.2pt;width:112.95pt;height:13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" filled="f" stroked="f">
              <v:textbox inset="0,0,0,0">
                <w:txbxContent>
                  <w:p w:rsidR="00110DF6" w:rsidRDefault="008A34B8">
                    <w:pPr>
                      <w:spacing w:before="12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 MT"/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 MT"/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 MT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47A1"/>
    <w:multiLevelType w:val="hybridMultilevel"/>
    <w:tmpl w:val="5962848E"/>
    <w:lvl w:ilvl="0" w:tplc="DD7C7270">
      <w:numFmt w:val="bullet"/>
      <w:lvlText w:val="●"/>
      <w:lvlJc w:val="left"/>
      <w:pPr>
        <w:ind w:left="707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C57CB1BC">
      <w:numFmt w:val="bullet"/>
      <w:lvlText w:val="•"/>
      <w:lvlJc w:val="left"/>
      <w:pPr>
        <w:ind w:left="1256" w:hanging="360"/>
      </w:pPr>
      <w:rPr>
        <w:rFonts w:hint="default"/>
        <w:lang w:val="en-US" w:eastAsia="en-US" w:bidi="ar-SA"/>
      </w:rPr>
    </w:lvl>
    <w:lvl w:ilvl="2" w:tplc="0F882142">
      <w:numFmt w:val="bullet"/>
      <w:lvlText w:val="•"/>
      <w:lvlJc w:val="left"/>
      <w:pPr>
        <w:ind w:left="1812" w:hanging="360"/>
      </w:pPr>
      <w:rPr>
        <w:rFonts w:hint="default"/>
        <w:lang w:val="en-US" w:eastAsia="en-US" w:bidi="ar-SA"/>
      </w:rPr>
    </w:lvl>
    <w:lvl w:ilvl="3" w:tplc="62280460">
      <w:numFmt w:val="bullet"/>
      <w:lvlText w:val="•"/>
      <w:lvlJc w:val="left"/>
      <w:pPr>
        <w:ind w:left="2368" w:hanging="360"/>
      </w:pPr>
      <w:rPr>
        <w:rFonts w:hint="default"/>
        <w:lang w:val="en-US" w:eastAsia="en-US" w:bidi="ar-SA"/>
      </w:rPr>
    </w:lvl>
    <w:lvl w:ilvl="4" w:tplc="3A264E48">
      <w:numFmt w:val="bullet"/>
      <w:lvlText w:val="•"/>
      <w:lvlJc w:val="left"/>
      <w:pPr>
        <w:ind w:left="2924" w:hanging="360"/>
      </w:pPr>
      <w:rPr>
        <w:rFonts w:hint="default"/>
        <w:lang w:val="en-US" w:eastAsia="en-US" w:bidi="ar-SA"/>
      </w:rPr>
    </w:lvl>
    <w:lvl w:ilvl="5" w:tplc="908CCEFA">
      <w:numFmt w:val="bullet"/>
      <w:lvlText w:val="•"/>
      <w:lvlJc w:val="left"/>
      <w:pPr>
        <w:ind w:left="3481" w:hanging="360"/>
      </w:pPr>
      <w:rPr>
        <w:rFonts w:hint="default"/>
        <w:lang w:val="en-US" w:eastAsia="en-US" w:bidi="ar-SA"/>
      </w:rPr>
    </w:lvl>
    <w:lvl w:ilvl="6" w:tplc="E9146292">
      <w:numFmt w:val="bullet"/>
      <w:lvlText w:val="•"/>
      <w:lvlJc w:val="left"/>
      <w:pPr>
        <w:ind w:left="4037" w:hanging="360"/>
      </w:pPr>
      <w:rPr>
        <w:rFonts w:hint="default"/>
        <w:lang w:val="en-US" w:eastAsia="en-US" w:bidi="ar-SA"/>
      </w:rPr>
    </w:lvl>
    <w:lvl w:ilvl="7" w:tplc="1592D31C">
      <w:numFmt w:val="bullet"/>
      <w:lvlText w:val="•"/>
      <w:lvlJc w:val="left"/>
      <w:pPr>
        <w:ind w:left="4593" w:hanging="360"/>
      </w:pPr>
      <w:rPr>
        <w:rFonts w:hint="default"/>
        <w:lang w:val="en-US" w:eastAsia="en-US" w:bidi="ar-SA"/>
      </w:rPr>
    </w:lvl>
    <w:lvl w:ilvl="8" w:tplc="4F6EBDF4">
      <w:numFmt w:val="bullet"/>
      <w:lvlText w:val="•"/>
      <w:lvlJc w:val="left"/>
      <w:pPr>
        <w:ind w:left="514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DD45EF8"/>
    <w:multiLevelType w:val="hybridMultilevel"/>
    <w:tmpl w:val="580678C6"/>
    <w:lvl w:ilvl="0" w:tplc="D7EC1A14">
      <w:start w:val="1"/>
      <w:numFmt w:val="decimal"/>
      <w:lvlText w:val="%1."/>
      <w:lvlJc w:val="left"/>
      <w:pPr>
        <w:ind w:left="367" w:hanging="203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DC30DE94">
      <w:numFmt w:val="bullet"/>
      <w:lvlText w:val="•"/>
      <w:lvlJc w:val="left"/>
      <w:pPr>
        <w:ind w:left="1752" w:hanging="203"/>
      </w:pPr>
      <w:rPr>
        <w:rFonts w:hint="default"/>
        <w:lang w:val="en-US" w:eastAsia="en-US" w:bidi="ar-SA"/>
      </w:rPr>
    </w:lvl>
    <w:lvl w:ilvl="2" w:tplc="58F06BF2">
      <w:numFmt w:val="bullet"/>
      <w:lvlText w:val="•"/>
      <w:lvlJc w:val="left"/>
      <w:pPr>
        <w:ind w:left="3145" w:hanging="203"/>
      </w:pPr>
      <w:rPr>
        <w:rFonts w:hint="default"/>
        <w:lang w:val="en-US" w:eastAsia="en-US" w:bidi="ar-SA"/>
      </w:rPr>
    </w:lvl>
    <w:lvl w:ilvl="3" w:tplc="90A23CF6">
      <w:numFmt w:val="bullet"/>
      <w:lvlText w:val="•"/>
      <w:lvlJc w:val="left"/>
      <w:pPr>
        <w:ind w:left="4538" w:hanging="203"/>
      </w:pPr>
      <w:rPr>
        <w:rFonts w:hint="default"/>
        <w:lang w:val="en-US" w:eastAsia="en-US" w:bidi="ar-SA"/>
      </w:rPr>
    </w:lvl>
    <w:lvl w:ilvl="4" w:tplc="FAE48B3C">
      <w:numFmt w:val="bullet"/>
      <w:lvlText w:val="•"/>
      <w:lvlJc w:val="left"/>
      <w:pPr>
        <w:ind w:left="5931" w:hanging="203"/>
      </w:pPr>
      <w:rPr>
        <w:rFonts w:hint="default"/>
        <w:lang w:val="en-US" w:eastAsia="en-US" w:bidi="ar-SA"/>
      </w:rPr>
    </w:lvl>
    <w:lvl w:ilvl="5" w:tplc="ED06C58A">
      <w:numFmt w:val="bullet"/>
      <w:lvlText w:val="•"/>
      <w:lvlJc w:val="left"/>
      <w:pPr>
        <w:ind w:left="7323" w:hanging="203"/>
      </w:pPr>
      <w:rPr>
        <w:rFonts w:hint="default"/>
        <w:lang w:val="en-US" w:eastAsia="en-US" w:bidi="ar-SA"/>
      </w:rPr>
    </w:lvl>
    <w:lvl w:ilvl="6" w:tplc="BF129E06">
      <w:numFmt w:val="bullet"/>
      <w:lvlText w:val="•"/>
      <w:lvlJc w:val="left"/>
      <w:pPr>
        <w:ind w:left="8716" w:hanging="203"/>
      </w:pPr>
      <w:rPr>
        <w:rFonts w:hint="default"/>
        <w:lang w:val="en-US" w:eastAsia="en-US" w:bidi="ar-SA"/>
      </w:rPr>
    </w:lvl>
    <w:lvl w:ilvl="7" w:tplc="C59EEF6C">
      <w:numFmt w:val="bullet"/>
      <w:lvlText w:val="•"/>
      <w:lvlJc w:val="left"/>
      <w:pPr>
        <w:ind w:left="10109" w:hanging="203"/>
      </w:pPr>
      <w:rPr>
        <w:rFonts w:hint="default"/>
        <w:lang w:val="en-US" w:eastAsia="en-US" w:bidi="ar-SA"/>
      </w:rPr>
    </w:lvl>
    <w:lvl w:ilvl="8" w:tplc="BE1E3AF6">
      <w:numFmt w:val="bullet"/>
      <w:lvlText w:val="•"/>
      <w:lvlJc w:val="left"/>
      <w:pPr>
        <w:ind w:left="11502" w:hanging="203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NTeyNDA1BmJDYyUdpeDU4uLM/DyQAsNaAC0526ksAAAA"/>
  </w:docVars>
  <w:rsids>
    <w:rsidRoot w:val="00110DF6"/>
    <w:rsid w:val="000A20D8"/>
    <w:rsid w:val="000B3CE1"/>
    <w:rsid w:val="00110DF6"/>
    <w:rsid w:val="001368A8"/>
    <w:rsid w:val="00305F21"/>
    <w:rsid w:val="004E1EAF"/>
    <w:rsid w:val="00523224"/>
    <w:rsid w:val="00585EC0"/>
    <w:rsid w:val="00875AAF"/>
    <w:rsid w:val="00894894"/>
    <w:rsid w:val="008A34B8"/>
    <w:rsid w:val="008E0303"/>
    <w:rsid w:val="00947C2D"/>
    <w:rsid w:val="00AE50A4"/>
    <w:rsid w:val="00B40DEE"/>
    <w:rsid w:val="00C314FE"/>
    <w:rsid w:val="00EA3CFB"/>
    <w:rsid w:val="00EF521E"/>
    <w:rsid w:val="00F30590"/>
    <w:rsid w:val="00F9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7B136E-8F0E-4C7E-B3DC-DC7E0D0D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6" w:hanging="201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Affiliation">
    <w:name w:val="Affiliation"/>
    <w:basedOn w:val="Normal"/>
    <w:rsid w:val="00EA3CFB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998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2026-03-27T05:59:00Z</dcterms:created>
  <dcterms:modified xsi:type="dcterms:W3CDTF">2026-04-04T08:49:00Z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2026-03-27T00:00:00Z</vt:filetime>
  </property>
  <property fmtid="{D5CDD505-2E9C-101B-9397-08002B2CF9AE}" pid="5" name="Producer">
    <vt:lpwstr>Microsoft® Word for Microsoft 365</vt:lpwstr>
  </property>
</Properties>
</file>