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3742F" w14:paraId="2F575AF5" w14:textId="77777777">
        <w:trPr>
          <w:trHeight w:val="20"/>
          <w:jc w:val="center"/>
        </w:trPr>
        <w:tc>
          <w:tcPr>
            <w:tcW w:w="1186" w:type="pct"/>
          </w:tcPr>
          <w:p w14:paraId="0C3860E0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E91F01" w14:textId="77777777" w:rsidR="0013742F" w:rsidRDefault="006D3F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TROPICAL DISEASE &amp; Health</w:t>
            </w:r>
          </w:p>
        </w:tc>
      </w:tr>
      <w:tr w:rsidR="0013742F" w14:paraId="58BD7BE4" w14:textId="77777777">
        <w:trPr>
          <w:trHeight w:val="20"/>
          <w:jc w:val="center"/>
        </w:trPr>
        <w:tc>
          <w:tcPr>
            <w:tcW w:w="1186" w:type="pct"/>
          </w:tcPr>
          <w:p w14:paraId="45492A91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2F2D40B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Ms_IJTDH_156335</w:t>
            </w:r>
          </w:p>
        </w:tc>
      </w:tr>
      <w:tr w:rsidR="0013742F" w14:paraId="74A8C95C" w14:textId="77777777">
        <w:trPr>
          <w:trHeight w:val="20"/>
          <w:jc w:val="center"/>
        </w:trPr>
        <w:tc>
          <w:tcPr>
            <w:tcW w:w="1186" w:type="pct"/>
          </w:tcPr>
          <w:p w14:paraId="7846C81F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78357D" w14:textId="77777777" w:rsidR="0013742F" w:rsidRDefault="006F0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F0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vestibular and systemic symptoms post-COVID-19 and vaccination: neurological and sensory impacts</w:t>
            </w:r>
          </w:p>
        </w:tc>
      </w:tr>
      <w:tr w:rsidR="0013742F" w14:paraId="1CDB1944" w14:textId="77777777">
        <w:trPr>
          <w:trHeight w:val="20"/>
          <w:jc w:val="center"/>
        </w:trPr>
        <w:tc>
          <w:tcPr>
            <w:tcW w:w="1186" w:type="pct"/>
          </w:tcPr>
          <w:p w14:paraId="0A41BD2B" w14:textId="77777777" w:rsidR="0013742F" w:rsidRDefault="006D3FA9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702E015" w14:textId="77777777" w:rsidR="0013742F" w:rsidRDefault="006D3F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45B47B7" w14:textId="77777777" w:rsidR="0013742F" w:rsidRDefault="001374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64FAC1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F488AA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2BD7B3" w14:textId="77777777" w:rsidR="0013742F" w:rsidRDefault="0013742F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FE9DC2" w14:textId="77777777" w:rsidR="0013742F" w:rsidRDefault="0013742F">
      <w:pPr>
        <w:pStyle w:val="Corpodetexto"/>
        <w:rPr>
          <w:rFonts w:ascii="Times New Roman" w:hAnsi="Times New Roman"/>
          <w:sz w:val="22"/>
          <w:szCs w:val="20"/>
          <w:lang w:val="en-GB"/>
        </w:rPr>
      </w:pPr>
    </w:p>
    <w:p w14:paraId="06F6EA01" w14:textId="77777777" w:rsidR="0013742F" w:rsidRDefault="006D3FA9">
      <w:pPr>
        <w:pStyle w:val="Corpodetexto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97BE9A0" w14:textId="77777777" w:rsidR="0013742F" w:rsidRDefault="0013742F">
      <w:pPr>
        <w:pStyle w:val="Corpodetexto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3742F" w14:paraId="671A75D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BE80FC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466FF90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67241C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E1161F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2984C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274CA9" w14:textId="77777777" w:rsidR="0013742F" w:rsidRDefault="006D3FA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7B4D8E4" w14:textId="77777777" w:rsidR="0013742F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As a prevalent epidemiological disease, this manuscript proofs beneficial in highlighting the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long term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complications associated with the disease. The manuscripts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underlines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Otoneurological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symptoms which are not reversible with the vaccination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stratergies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1FF19971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AD8426" w14:textId="77777777" w:rsidR="0013742F" w:rsidRDefault="0013742F">
      <w:pPr>
        <w:rPr>
          <w:sz w:val="22"/>
          <w:szCs w:val="20"/>
          <w:lang w:val="en-GB"/>
        </w:rPr>
      </w:pPr>
    </w:p>
    <w:p w14:paraId="56B390CD" w14:textId="77777777" w:rsidR="0013742F" w:rsidRDefault="0013742F">
      <w:pPr>
        <w:rPr>
          <w:sz w:val="22"/>
          <w:szCs w:val="20"/>
          <w:lang w:val="en-GB"/>
        </w:rPr>
      </w:pPr>
    </w:p>
    <w:p w14:paraId="41C6F0FF" w14:textId="77777777" w:rsidR="0013742F" w:rsidRDefault="0013742F">
      <w:pPr>
        <w:rPr>
          <w:sz w:val="22"/>
          <w:szCs w:val="20"/>
          <w:lang w:val="en-GB"/>
        </w:rPr>
      </w:pPr>
    </w:p>
    <w:p w14:paraId="08184F64" w14:textId="77777777" w:rsidR="0013742F" w:rsidRDefault="006D3FA9">
      <w:pPr>
        <w:pStyle w:val="Ttulo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7AA6042" w14:textId="77777777" w:rsidR="0013742F" w:rsidRDefault="0013742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3742F" w14:paraId="3F93405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3B8EE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DE62655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5972BA" w14:textId="77777777" w:rsidR="0013742F" w:rsidRDefault="006D3FA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42F" w14:paraId="14CD89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7D2E6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02891D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2E2EC" w14:textId="77777777" w:rsidR="0013742F" w:rsidRDefault="006D3FA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D832DB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23BB19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13D10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123857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2081F6C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A4675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5DB046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4048FD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5A6EEA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8F688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8D6BC9C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E9A97" w14:textId="77777777" w:rsidR="0013742F" w:rsidRDefault="006D3F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4D7E9A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FEBB94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772E33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1D1F51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475B9D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2732C" w14:textId="77777777" w:rsidR="0013742F" w:rsidRDefault="006D3F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9305A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A0F6F0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387DA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CA8AE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92FF128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34C1F" w14:textId="77777777" w:rsidR="0013742F" w:rsidRDefault="006D3F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CC0AC4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C5E250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B340F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C7C6E7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4267E7B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F2A78" w14:textId="77777777" w:rsidR="0013742F" w:rsidRDefault="006D3F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D2C1E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B22B4E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745AE9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0E0BC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4CA4B2A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24CF2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3EACB8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74C94A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396EEC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BA2116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943A36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9EEB4" w14:textId="77777777" w:rsidR="0013742F" w:rsidRDefault="006D3FA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73500" w14:textId="77777777" w:rsidR="0013742F" w:rsidRDefault="0066492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D91107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ECE8D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C2B01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98AAF3E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183F7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E0552D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306CE6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774526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04D7D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79B84A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F9660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889C9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AAC49B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69AC46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444C5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FFF0338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B6A63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9D3925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A630D6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50382" w:rsidRPr="00C50382" w14:paraId="261DBF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28D87F" w14:textId="77777777" w:rsidR="00C50382" w:rsidRDefault="00C503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064C09" w14:textId="77777777" w:rsidR="00C50382" w:rsidRDefault="00C503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FF58B" w14:textId="77777777" w:rsidR="00C50382" w:rsidRDefault="00C503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BD480" w14:textId="77777777" w:rsidR="00C50382" w:rsidRPr="00664926" w:rsidRDefault="00C50382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vMerge w:val="restart"/>
          </w:tcPr>
          <w:p w14:paraId="4B3407D8" w14:textId="60100C23" w:rsidR="00C50382" w:rsidRPr="00C50382" w:rsidRDefault="00C50382">
            <w:pPr>
              <w:pStyle w:val="Ttulo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C50382">
              <w:rPr>
                <w:rFonts w:ascii="Times New Roman" w:hAnsi="Times New Roman"/>
                <w:b w:val="0"/>
                <w:lang w:val="en-US" w:eastAsia="en-US"/>
              </w:rPr>
              <w:t>Answer: We reinforced the Conclusion section so that it is strictly linked to the statistical data presented (Pearson's Chi-square test). The limitations were expanded to discuss memory bias and the lack of initial physical examinations.</w:t>
            </w:r>
          </w:p>
        </w:tc>
      </w:tr>
      <w:tr w:rsidR="00C50382" w14:paraId="061DEC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36A6BE" w14:textId="77777777" w:rsidR="00C50382" w:rsidRDefault="00C503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A7A521" w14:textId="77777777" w:rsidR="00C50382" w:rsidRDefault="00C503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6E896" w14:textId="77777777" w:rsidR="00C50382" w:rsidRDefault="00C503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C5973D" w14:textId="77777777" w:rsidR="00C50382" w:rsidRPr="00664926" w:rsidRDefault="00C50382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vMerge/>
          </w:tcPr>
          <w:p w14:paraId="3247C359" w14:textId="77777777" w:rsidR="00C50382" w:rsidRDefault="00C50382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1C72D1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F56379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4F5EE01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8560F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CA520A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BA4C9C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19C3A0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4964DF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E97447" w14:textId="77777777" w:rsidR="0013742F" w:rsidRDefault="006D3F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61ED110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723A9" w14:textId="77777777" w:rsidR="0013742F" w:rsidRDefault="006D3F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2FE3DB" w14:textId="77777777" w:rsidR="0013742F" w:rsidRDefault="006D3F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45441E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52FA9B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DE3FCBA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635238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5628B3" w14:textId="77777777" w:rsidR="0013742F" w:rsidRDefault="0013742F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644CB1" w14:textId="77777777" w:rsidR="0013742F" w:rsidRDefault="006D3FA9">
      <w:pPr>
        <w:pStyle w:val="Ttulo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1DF1145" w14:textId="77777777" w:rsidR="0013742F" w:rsidRDefault="0013742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3742F" w14:paraId="2B0693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A65E4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7BBE4F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840A17C" w14:textId="77777777" w:rsidR="0013742F" w:rsidRDefault="0013742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27FE226" w14:textId="77777777" w:rsidR="0013742F" w:rsidRDefault="006D3F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1385F2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502C9A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64E8BAE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515259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10D10CC2" w14:textId="77777777" w:rsidR="0013742F" w:rsidRDefault="006D3FA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E31BA9" w14:textId="77777777" w:rsidR="0013742F" w:rsidRDefault="00664926" w:rsidP="006649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title seems suitable for the study.</w:t>
            </w:r>
          </w:p>
        </w:tc>
        <w:tc>
          <w:tcPr>
            <w:tcW w:w="1543" w:type="pct"/>
          </w:tcPr>
          <w:p w14:paraId="29A8EA2D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7AE197D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353455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62587E8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28DB9FC2" w14:textId="77777777" w:rsidR="0013742F" w:rsidRDefault="006D3FA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8C8C1A" w14:textId="77777777" w:rsidR="0013742F" w:rsidRDefault="00664926" w:rsidP="00664926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abstract showcases the need for this study and offers comprehensive introduction.</w:t>
            </w:r>
          </w:p>
        </w:tc>
        <w:tc>
          <w:tcPr>
            <w:tcW w:w="1543" w:type="pct"/>
          </w:tcPr>
          <w:p w14:paraId="06E784E2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24EB74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8BB0E2" w14:textId="77777777" w:rsidR="0013742F" w:rsidRDefault="006D3FA9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90D9F8C" w14:textId="77777777" w:rsidR="0013742F" w:rsidRDefault="006D3FA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AEA8B6" w14:textId="77777777" w:rsidR="0013742F" w:rsidRDefault="00664926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hightlights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oto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-neurological issues associated with COVID-19 but the age group especially &gt;60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years experience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these symptoms due to age related degeneration which is not included in the study.</w:t>
            </w: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1543" w:type="pct"/>
          </w:tcPr>
          <w:p w14:paraId="398B027E" w14:textId="495437DC" w:rsidR="0013742F" w:rsidRDefault="00C50382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0382">
              <w:rPr>
                <w:rFonts w:ascii="Times New Roman" w:hAnsi="Times New Roman"/>
                <w:b w:val="0"/>
                <w:lang w:val="en-GB" w:eastAsia="en-US"/>
              </w:rPr>
              <w:t xml:space="preserve">Response: We appreciate the comment regarding the age group over 60 years. We have added a subsection in the Limitations and a paragraph in the Discussion addressing the confounding factor of </w:t>
            </w:r>
            <w:proofErr w:type="spellStart"/>
            <w:r w:rsidRPr="00C50382">
              <w:rPr>
                <w:rFonts w:ascii="Times New Roman" w:hAnsi="Times New Roman"/>
                <w:b w:val="0"/>
                <w:lang w:val="en-GB" w:eastAsia="en-US"/>
              </w:rPr>
              <w:t>presbyvestibulopathy</w:t>
            </w:r>
            <w:proofErr w:type="spellEnd"/>
            <w:r w:rsidRPr="00C50382">
              <w:rPr>
                <w:rFonts w:ascii="Times New Roman" w:hAnsi="Times New Roman"/>
                <w:b w:val="0"/>
                <w:lang w:val="en-GB" w:eastAsia="en-US"/>
              </w:rPr>
              <w:t xml:space="preserve">. Justification: We recognize that in elderly individuals, natural sensory degeneration may overlap with the sequelae of COVID-19. Although our average age is young (24.9 years), mentioning this group is vital for the scientific accuracy of the </w:t>
            </w:r>
            <w:proofErr w:type="spellStart"/>
            <w:r w:rsidRPr="00C50382">
              <w:rPr>
                <w:rFonts w:ascii="Times New Roman" w:hAnsi="Times New Roman"/>
                <w:b w:val="0"/>
                <w:lang w:val="en-GB" w:eastAsia="en-US"/>
              </w:rPr>
              <w:t>otoneurological</w:t>
            </w:r>
            <w:proofErr w:type="spellEnd"/>
            <w:r w:rsidRPr="00C50382">
              <w:rPr>
                <w:rFonts w:ascii="Times New Roman" w:hAnsi="Times New Roman"/>
                <w:b w:val="0"/>
                <w:lang w:val="en-GB" w:eastAsia="en-US"/>
              </w:rPr>
              <w:t xml:space="preserve"> findings.</w:t>
            </w:r>
          </w:p>
        </w:tc>
      </w:tr>
      <w:tr w:rsidR="0013742F" w14:paraId="0201CA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DAFBE7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FEC601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6FEDC39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4A53319A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4A2B1F1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09151F4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3742F" w14:paraId="0896883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C5F19A" w14:textId="77777777" w:rsidR="0013742F" w:rsidRDefault="006D3F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D26641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A9BD20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  <w:p w14:paraId="45C97BF2" w14:textId="77777777" w:rsidR="0013742F" w:rsidRDefault="006D3F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A4CE8D" w14:textId="77777777" w:rsidR="0013742F" w:rsidRDefault="001374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694D6AF" w14:textId="77777777" w:rsidR="0013742F" w:rsidRPr="00664926" w:rsidRDefault="00664926">
            <w:pPr>
              <w:pStyle w:val="PargrafodaLista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66FCBAC8" w14:textId="77777777" w:rsidR="0013742F" w:rsidRDefault="0013742F">
            <w:pPr>
              <w:pStyle w:val="Ttulo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1F55020" w14:textId="77777777" w:rsidR="0013742F" w:rsidRDefault="0013742F">
      <w:pPr>
        <w:pStyle w:val="Ttulo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B0F8570" w14:textId="77777777" w:rsidR="0013742F" w:rsidRDefault="0013742F">
      <w:pPr>
        <w:rPr>
          <w:highlight w:val="yellow"/>
          <w:lang w:val="en-GB"/>
        </w:rPr>
      </w:pPr>
    </w:p>
    <w:p w14:paraId="6D7EDACC" w14:textId="77777777" w:rsidR="0013742F" w:rsidRDefault="0013742F">
      <w:pPr>
        <w:rPr>
          <w:highlight w:val="yellow"/>
          <w:lang w:val="en-GB"/>
        </w:rPr>
      </w:pPr>
    </w:p>
    <w:sectPr w:rsidR="0013742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660F6" w14:textId="77777777" w:rsidR="00B63FB5" w:rsidRDefault="00B63FB5">
      <w:r>
        <w:separator/>
      </w:r>
    </w:p>
  </w:endnote>
  <w:endnote w:type="continuationSeparator" w:id="0">
    <w:p w14:paraId="0618CA79" w14:textId="77777777" w:rsidR="00B63FB5" w:rsidRDefault="00B6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03A" w14:textId="77777777" w:rsidR="0013742F" w:rsidRDefault="0013742F">
    <w:pPr>
      <w:pStyle w:val="Rodap"/>
      <w:jc w:val="right"/>
    </w:pPr>
  </w:p>
  <w:p w14:paraId="7ACFFE9D" w14:textId="77777777" w:rsidR="0013742F" w:rsidRDefault="006D3FA9">
    <w:pPr>
      <w:pStyle w:val="Rodap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6492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6492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867BC4E" w14:textId="77777777" w:rsidR="0013742F" w:rsidRDefault="006D3FA9">
    <w:pPr>
      <w:pStyle w:val="Rodap"/>
      <w:jc w:val="right"/>
      <w:rPr>
        <w:b/>
        <w:sz w:val="20"/>
      </w:rPr>
    </w:pPr>
    <w:r>
      <w:rPr>
        <w:b/>
        <w:sz w:val="20"/>
      </w:rPr>
      <w:t>V240326</w:t>
    </w:r>
  </w:p>
  <w:p w14:paraId="5EAFCC22" w14:textId="77777777" w:rsidR="0013742F" w:rsidRDefault="0013742F">
    <w:pPr>
      <w:pStyle w:val="Rodap"/>
      <w:jc w:val="right"/>
    </w:pPr>
  </w:p>
  <w:p w14:paraId="19371F5A" w14:textId="77777777" w:rsidR="0013742F" w:rsidRDefault="0013742F">
    <w:pPr>
      <w:pStyle w:val="Rodap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243C7" w14:textId="77777777" w:rsidR="00B63FB5" w:rsidRDefault="00B63FB5">
      <w:r>
        <w:separator/>
      </w:r>
    </w:p>
  </w:footnote>
  <w:footnote w:type="continuationSeparator" w:id="0">
    <w:p w14:paraId="5BDB932F" w14:textId="77777777" w:rsidR="00B63FB5" w:rsidRDefault="00B63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42FB" w14:textId="77777777" w:rsidR="0013742F" w:rsidRDefault="001374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505899" w14:textId="77777777" w:rsidR="0013742F" w:rsidRDefault="006D3F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75649628">
    <w:abstractNumId w:val="4"/>
  </w:num>
  <w:num w:numId="2" w16cid:durableId="1624573546">
    <w:abstractNumId w:val="8"/>
  </w:num>
  <w:num w:numId="3" w16cid:durableId="964458096">
    <w:abstractNumId w:val="7"/>
  </w:num>
  <w:num w:numId="4" w16cid:durableId="1203790760">
    <w:abstractNumId w:val="9"/>
  </w:num>
  <w:num w:numId="5" w16cid:durableId="1253007602">
    <w:abstractNumId w:val="6"/>
  </w:num>
  <w:num w:numId="6" w16cid:durableId="1281648389">
    <w:abstractNumId w:val="0"/>
  </w:num>
  <w:num w:numId="7" w16cid:durableId="140199058">
    <w:abstractNumId w:val="3"/>
  </w:num>
  <w:num w:numId="8" w16cid:durableId="36202250">
    <w:abstractNumId w:val="11"/>
  </w:num>
  <w:num w:numId="9" w16cid:durableId="1367608382">
    <w:abstractNumId w:val="10"/>
  </w:num>
  <w:num w:numId="10" w16cid:durableId="520510108">
    <w:abstractNumId w:val="2"/>
  </w:num>
  <w:num w:numId="11" w16cid:durableId="237834259">
    <w:abstractNumId w:val="1"/>
  </w:num>
  <w:num w:numId="12" w16cid:durableId="1311399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pt-B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42F"/>
    <w:rsid w:val="000E164E"/>
    <w:rsid w:val="00111CA2"/>
    <w:rsid w:val="0013742F"/>
    <w:rsid w:val="00664926"/>
    <w:rsid w:val="006D3FA9"/>
    <w:rsid w:val="006F0319"/>
    <w:rsid w:val="008B2DCC"/>
    <w:rsid w:val="00996082"/>
    <w:rsid w:val="009F1A45"/>
    <w:rsid w:val="00A74ED9"/>
    <w:rsid w:val="00B63FB5"/>
    <w:rsid w:val="00C50382"/>
    <w:rsid w:val="00CE269F"/>
    <w:rsid w:val="00DC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3030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tulo4">
    <w:name w:val="heading 4"/>
    <w:basedOn w:val="Normal"/>
    <w:link w:val="Ttulo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har">
    <w:name w:val="Título 4 Char"/>
    <w:link w:val="Ttulo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texto">
    <w:name w:val="Body Text"/>
    <w:basedOn w:val="Normal"/>
    <w:link w:val="Corpodetexto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odetextoChar">
    <w:name w:val="Corpo de texto Char"/>
    <w:link w:val="Corpodetexto"/>
    <w:rPr>
      <w:rFonts w:ascii="Helvetica" w:eastAsia="MS Mincho" w:hAnsi="Helvetica" w:cs="Helvetica"/>
      <w:sz w:val="24"/>
      <w:szCs w:val="24"/>
      <w:lang w:val="fr-FR"/>
    </w:rPr>
  </w:style>
  <w:style w:type="paragraph" w:styleId="Cabealho">
    <w:name w:val="header"/>
    <w:basedOn w:val="Normal"/>
    <w:link w:val="Cabealho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Reviso">
    <w:name w:val="Revision"/>
    <w:hidden/>
    <w:uiPriority w:val="99"/>
    <w:semiHidden/>
    <w:rPr>
      <w:sz w:val="22"/>
      <w:szCs w:val="22"/>
    </w:rPr>
  </w:style>
  <w:style w:type="character" w:styleId="HiperlinkVisitado">
    <w:name w:val="FollowedHyperlink"/>
    <w:uiPriority w:val="99"/>
    <w:semiHidden/>
    <w:unhideWhenUsed/>
    <w:rPr>
      <w:color w:val="800080"/>
      <w:u w:val="single"/>
    </w:rPr>
  </w:style>
  <w:style w:type="table" w:styleId="Tabelacomgrade">
    <w:name w:val="Table Grid"/>
    <w:basedOn w:val="Tabela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111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Guilherme Gallo</cp:lastModifiedBy>
  <cp:revision>2</cp:revision>
  <dcterms:created xsi:type="dcterms:W3CDTF">2026-04-07T17:26:00Z</dcterms:created>
  <dcterms:modified xsi:type="dcterms:W3CDTF">2026-04-07T17:26:00Z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