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20E33" w:rsidRDefault="00C20E3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20E33">
        <w:trPr>
          <w:trHeight w:val="290"/>
        </w:trPr>
        <w:tc>
          <w:tcPr>
            <w:tcW w:w="20934" w:type="dxa"/>
            <w:gridSpan w:val="2"/>
            <w:tcBorders>
              <w:top w:val="nil"/>
              <w:left w:val="nil"/>
              <w:right w:val="nil"/>
            </w:tcBorders>
          </w:tcPr>
          <w:p w:rsidR="00C20E33" w:rsidRDefault="00C20E33">
            <w:pPr>
              <w:pStyle w:val="Heading2"/>
              <w:jc w:val="left"/>
              <w:rPr>
                <w:rFonts w:ascii="Times New Roman" w:eastAsia="Times New Roman" w:hAnsi="Times New Roman" w:cs="Times New Roman"/>
                <w:b w:val="0"/>
                <w:bCs w:val="0"/>
                <w:sz w:val="28"/>
                <w:szCs w:val="28"/>
              </w:rPr>
            </w:pPr>
          </w:p>
        </w:tc>
      </w:tr>
      <w:tr w:rsidR="00C20E33">
        <w:trPr>
          <w:trHeight w:val="290"/>
        </w:trPr>
        <w:tc>
          <w:tcPr>
            <w:tcW w:w="5167" w:type="dxa"/>
          </w:tcPr>
          <w:p w:rsidR="00C20E33" w:rsidRDefault="00F115EE">
            <w:pPr>
              <w:pBdr>
                <w:top w:val="nil"/>
                <w:left w:val="nil"/>
                <w:bottom w:val="nil"/>
                <w:right w:val="nil"/>
                <w:between w:val="nil"/>
              </w:pBdr>
              <w:ind w:left="90"/>
              <w:rPr>
                <w:color w:val="000000"/>
                <w:sz w:val="20"/>
                <w:szCs w:val="20"/>
              </w:rPr>
            </w:pPr>
            <w:r>
              <w:rPr>
                <w:color w:val="000000"/>
                <w:sz w:val="20"/>
                <w:szCs w:val="20"/>
              </w:rPr>
              <w:t>Journal Name:</w:t>
            </w:r>
          </w:p>
        </w:tc>
        <w:tc>
          <w:tcPr>
            <w:tcW w:w="15767" w:type="dxa"/>
            <w:tcMar>
              <w:top w:w="0" w:type="dxa"/>
              <w:left w:w="108" w:type="dxa"/>
              <w:bottom w:w="0" w:type="dxa"/>
              <w:right w:w="108" w:type="dxa"/>
            </w:tcMar>
            <w:vAlign w:val="center"/>
          </w:tcPr>
          <w:p w:rsidR="00C20E33" w:rsidRDefault="00F115EE">
            <w:pPr>
              <w:rPr>
                <w:color w:val="0000FF"/>
                <w:sz w:val="20"/>
                <w:szCs w:val="20"/>
              </w:rPr>
            </w:pPr>
            <w:hyperlink r:id="rId7">
              <w:r>
                <w:rPr>
                  <w:b/>
                  <w:bCs/>
                  <w:color w:val="0000FF"/>
                  <w:sz w:val="20"/>
                  <w:szCs w:val="20"/>
                  <w:u w:val="single"/>
                </w:rPr>
                <w:t>International Journal of Medical and Pharmaceutical Case Reports</w:t>
              </w:r>
            </w:hyperlink>
            <w:r>
              <w:rPr>
                <w:b/>
                <w:bCs/>
                <w:color w:val="0000FF"/>
                <w:sz w:val="20"/>
                <w:szCs w:val="20"/>
              </w:rPr>
              <w:t xml:space="preserve"> </w:t>
            </w:r>
          </w:p>
        </w:tc>
      </w:tr>
      <w:tr w:rsidR="00C20E33">
        <w:trPr>
          <w:trHeight w:val="290"/>
        </w:trPr>
        <w:tc>
          <w:tcPr>
            <w:tcW w:w="5167" w:type="dxa"/>
          </w:tcPr>
          <w:p w:rsidR="00C20E33" w:rsidRDefault="00F115EE">
            <w:pPr>
              <w:pBdr>
                <w:top w:val="nil"/>
                <w:left w:val="nil"/>
                <w:bottom w:val="nil"/>
                <w:right w:val="nil"/>
                <w:between w:val="nil"/>
              </w:pBdr>
              <w:ind w:left="90"/>
              <w:rPr>
                <w:color w:val="000000"/>
                <w:sz w:val="20"/>
                <w:szCs w:val="20"/>
              </w:rPr>
            </w:pPr>
            <w:r>
              <w:rPr>
                <w:color w:val="000000"/>
                <w:sz w:val="20"/>
                <w:szCs w:val="20"/>
              </w:rPr>
              <w:t>Manuscript Number:</w:t>
            </w:r>
          </w:p>
        </w:tc>
        <w:tc>
          <w:tcPr>
            <w:tcW w:w="15767" w:type="dxa"/>
            <w:tcMar>
              <w:top w:w="0" w:type="dxa"/>
              <w:left w:w="108" w:type="dxa"/>
              <w:bottom w:w="0" w:type="dxa"/>
              <w:right w:w="108" w:type="dxa"/>
            </w:tcMar>
            <w:vAlign w:val="center"/>
          </w:tcPr>
          <w:p w:rsidR="00C20E33" w:rsidRDefault="00F115EE">
            <w:pPr>
              <w:pBdr>
                <w:top w:val="nil"/>
                <w:left w:val="nil"/>
                <w:bottom w:val="nil"/>
                <w:right w:val="nil"/>
                <w:between w:val="nil"/>
              </w:pBdr>
              <w:rPr>
                <w:color w:val="000000"/>
                <w:sz w:val="20"/>
                <w:szCs w:val="20"/>
              </w:rPr>
            </w:pPr>
            <w:r>
              <w:rPr>
                <w:b/>
                <w:bCs/>
                <w:color w:val="000000"/>
                <w:sz w:val="20"/>
                <w:szCs w:val="20"/>
              </w:rPr>
              <w:t>Ms_IJMPCR_155097</w:t>
            </w:r>
          </w:p>
        </w:tc>
      </w:tr>
      <w:tr w:rsidR="00C20E33">
        <w:trPr>
          <w:trHeight w:val="650"/>
        </w:trPr>
        <w:tc>
          <w:tcPr>
            <w:tcW w:w="5167" w:type="dxa"/>
          </w:tcPr>
          <w:p w:rsidR="00C20E33" w:rsidRDefault="00F115EE">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5767" w:type="dxa"/>
            <w:tcMar>
              <w:top w:w="0" w:type="dxa"/>
              <w:left w:w="108" w:type="dxa"/>
              <w:bottom w:w="0" w:type="dxa"/>
              <w:right w:w="108" w:type="dxa"/>
            </w:tcMar>
            <w:vAlign w:val="center"/>
          </w:tcPr>
          <w:p w:rsidR="00C20E33" w:rsidRDefault="00F115EE">
            <w:pPr>
              <w:pBdr>
                <w:top w:val="nil"/>
                <w:left w:val="nil"/>
                <w:bottom w:val="nil"/>
                <w:right w:val="nil"/>
                <w:between w:val="nil"/>
              </w:pBdr>
              <w:rPr>
                <w:color w:val="000000"/>
                <w:sz w:val="20"/>
                <w:szCs w:val="20"/>
              </w:rPr>
            </w:pPr>
            <w:r>
              <w:rPr>
                <w:b/>
                <w:bCs/>
                <w:color w:val="000000"/>
                <w:sz w:val="20"/>
                <w:szCs w:val="20"/>
              </w:rPr>
              <w:t>Flow Cytometric Detection of CK19-Positive Circulating Tumor Cells in Bone Marrow and Peripheral Blood in Breast Carcinoma: Case Report and Brief Review</w:t>
            </w:r>
          </w:p>
        </w:tc>
      </w:tr>
      <w:tr w:rsidR="00C20E33">
        <w:trPr>
          <w:trHeight w:val="332"/>
        </w:trPr>
        <w:tc>
          <w:tcPr>
            <w:tcW w:w="5167" w:type="dxa"/>
          </w:tcPr>
          <w:p w:rsidR="00C20E33" w:rsidRDefault="00F115EE">
            <w:pPr>
              <w:pBdr>
                <w:top w:val="nil"/>
                <w:left w:val="nil"/>
                <w:bottom w:val="nil"/>
                <w:right w:val="nil"/>
                <w:between w:val="nil"/>
              </w:pBdr>
              <w:ind w:left="90"/>
              <w:rPr>
                <w:color w:val="000000"/>
                <w:sz w:val="20"/>
                <w:szCs w:val="20"/>
              </w:rPr>
            </w:pPr>
            <w:r>
              <w:rPr>
                <w:color w:val="000000"/>
                <w:sz w:val="20"/>
                <w:szCs w:val="20"/>
              </w:rPr>
              <w:t>Type of the Article</w:t>
            </w:r>
          </w:p>
        </w:tc>
        <w:tc>
          <w:tcPr>
            <w:tcW w:w="15767" w:type="dxa"/>
            <w:tcMar>
              <w:top w:w="0" w:type="dxa"/>
              <w:left w:w="108" w:type="dxa"/>
              <w:bottom w:w="0" w:type="dxa"/>
              <w:right w:w="108" w:type="dxa"/>
            </w:tcMar>
            <w:vAlign w:val="center"/>
          </w:tcPr>
          <w:p w:rsidR="00C20E33" w:rsidRDefault="00F115EE">
            <w:pPr>
              <w:pBdr>
                <w:top w:val="nil"/>
                <w:left w:val="nil"/>
                <w:bottom w:val="nil"/>
                <w:right w:val="nil"/>
                <w:between w:val="nil"/>
              </w:pBdr>
              <w:rPr>
                <w:color w:val="000000"/>
                <w:sz w:val="20"/>
                <w:szCs w:val="20"/>
              </w:rPr>
            </w:pPr>
            <w:r>
              <w:rPr>
                <w:b/>
                <w:bCs/>
                <w:color w:val="000000"/>
                <w:sz w:val="20"/>
                <w:szCs w:val="20"/>
              </w:rPr>
              <w:t>Case Report</w:t>
            </w:r>
          </w:p>
        </w:tc>
      </w:tr>
    </w:tbl>
    <w:p w:rsidR="00C20E33" w:rsidRDefault="00C20E33">
      <w:pPr>
        <w:pBdr>
          <w:top w:val="nil"/>
          <w:left w:val="nil"/>
          <w:bottom w:val="nil"/>
          <w:right w:val="nil"/>
          <w:between w:val="nil"/>
        </w:pBdr>
        <w:jc w:val="both"/>
        <w:rPr>
          <w:color w:val="000000"/>
          <w:sz w:val="20"/>
          <w:szCs w:val="20"/>
          <w:u w:val="single"/>
        </w:rPr>
      </w:pPr>
      <w:bookmarkStart w:id="0" w:name="_heading=h.f2kd5tigxj15" w:colFirst="0" w:colLast="0"/>
      <w:bookmarkEnd w:id="0"/>
    </w:p>
    <w:p w:rsidR="00C20E33" w:rsidRDefault="00C20E33">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20E33">
        <w:tc>
          <w:tcPr>
            <w:tcW w:w="21150" w:type="dxa"/>
            <w:gridSpan w:val="3"/>
            <w:tcBorders>
              <w:top w:val="nil"/>
              <w:left w:val="nil"/>
              <w:right w:val="nil"/>
            </w:tcBorders>
          </w:tcPr>
          <w:p w:rsidR="00C20E33" w:rsidRDefault="00F115E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C20E33" w:rsidRDefault="00C20E33">
            <w:pPr>
              <w:rPr>
                <w:sz w:val="20"/>
                <w:szCs w:val="20"/>
              </w:rPr>
            </w:pPr>
          </w:p>
        </w:tc>
      </w:tr>
      <w:tr w:rsidR="00C20E33">
        <w:tc>
          <w:tcPr>
            <w:tcW w:w="5351" w:type="dxa"/>
          </w:tcPr>
          <w:p w:rsidR="00C20E33" w:rsidRDefault="00C20E33">
            <w:pPr>
              <w:pStyle w:val="Heading2"/>
              <w:jc w:val="left"/>
              <w:rPr>
                <w:rFonts w:ascii="Times New Roman" w:eastAsia="Times New Roman" w:hAnsi="Times New Roman" w:cs="Times New Roman"/>
              </w:rPr>
            </w:pPr>
          </w:p>
        </w:tc>
        <w:tc>
          <w:tcPr>
            <w:tcW w:w="9357" w:type="dxa"/>
          </w:tcPr>
          <w:p w:rsidR="00C20E33" w:rsidRDefault="00F115E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C20E33" w:rsidRDefault="00C20E33"/>
        </w:tc>
        <w:tc>
          <w:tcPr>
            <w:tcW w:w="6442" w:type="dxa"/>
          </w:tcPr>
          <w:p w:rsidR="00C20E33" w:rsidRDefault="00F115EE">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C20E33" w:rsidRDefault="00C20E33">
            <w:pPr>
              <w:pStyle w:val="Heading2"/>
              <w:jc w:val="left"/>
              <w:rPr>
                <w:rFonts w:ascii="Times New Roman" w:eastAsia="Times New Roman" w:hAnsi="Times New Roman" w:cs="Times New Roman"/>
                <w:b w:val="0"/>
                <w:bCs w:val="0"/>
              </w:rPr>
            </w:pPr>
          </w:p>
        </w:tc>
      </w:tr>
      <w:tr w:rsidR="00C20E33">
        <w:trPr>
          <w:trHeight w:val="1264"/>
        </w:trPr>
        <w:tc>
          <w:tcPr>
            <w:tcW w:w="5351" w:type="dxa"/>
          </w:tcPr>
          <w:p w:rsidR="00C20E33" w:rsidRDefault="00F115EE">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C20E33" w:rsidRDefault="00C20E33">
            <w:pPr>
              <w:ind w:left="360"/>
              <w:rPr>
                <w:sz w:val="20"/>
                <w:szCs w:val="20"/>
              </w:rPr>
            </w:pPr>
          </w:p>
        </w:tc>
        <w:tc>
          <w:tcPr>
            <w:tcW w:w="9357" w:type="dxa"/>
          </w:tcPr>
          <w:p w:rsidR="00C20E33" w:rsidRDefault="00F115EE">
            <w:pPr>
              <w:pBdr>
                <w:top w:val="nil"/>
                <w:left w:val="nil"/>
                <w:bottom w:val="nil"/>
                <w:right w:val="nil"/>
                <w:between w:val="nil"/>
              </w:pBdr>
              <w:rPr>
                <w:color w:val="4472C4"/>
                <w:sz w:val="20"/>
                <w:szCs w:val="20"/>
              </w:rPr>
            </w:pPr>
            <w:r>
              <w:rPr>
                <w:color w:val="4472C4"/>
              </w:rPr>
              <w:t>The study demonstrates th</w:t>
            </w:r>
            <w:r>
              <w:rPr>
                <w:color w:val="4472C4"/>
              </w:rPr>
              <w:t>e application of immunophenotyping markers such as CK-19, Pan-CK, and GCDFP-15 in identifying epithelial tumor cells in both bone marrow and peripheral blood. The report contributes to the growing evidence supporting flow cytometry as a complementary diagn</w:t>
            </w:r>
            <w:r>
              <w:rPr>
                <w:color w:val="4472C4"/>
              </w:rPr>
              <w:t>ostic method to immunohistochemistry in metastatic breast cancer. The findings may help improve early detection of bone marrow metastasis and assist clinicians in monitoring disease progression.</w:t>
            </w:r>
          </w:p>
        </w:tc>
        <w:tc>
          <w:tcPr>
            <w:tcW w:w="6442" w:type="dxa"/>
          </w:tcPr>
          <w:p w:rsidR="00C20E33" w:rsidRDefault="00F115E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their positive assessment of our work. We are pleased that the reviewer recognized the clinical importance of using CK-19, Pan-CK, and GCDFP-15 for detecting metastatic breast cancer cells. Our goal was indeed to highlight flow cy</w:t>
            </w:r>
            <w:r>
              <w:rPr>
                <w:rFonts w:ascii="Times New Roman" w:eastAsia="Times New Roman" w:hAnsi="Times New Roman" w:cs="Times New Roman"/>
                <w:b w:val="0"/>
                <w:bCs w:val="0"/>
              </w:rPr>
              <w:t>tometry as a robust, complementary tool to immunohistochemistry, and we appreciate the reviewer’s validation of these findings' potential to improve patient monitoring</w:t>
            </w:r>
          </w:p>
        </w:tc>
      </w:tr>
      <w:tr w:rsidR="00C20E33">
        <w:trPr>
          <w:trHeight w:val="1262"/>
        </w:trPr>
        <w:tc>
          <w:tcPr>
            <w:tcW w:w="5351" w:type="dxa"/>
          </w:tcPr>
          <w:p w:rsidR="00C20E33" w:rsidRDefault="00F115EE">
            <w:pPr>
              <w:ind w:left="360"/>
              <w:rPr>
                <w:sz w:val="20"/>
                <w:szCs w:val="20"/>
              </w:rPr>
            </w:pPr>
            <w:r>
              <w:rPr>
                <w:b/>
                <w:bCs/>
                <w:sz w:val="20"/>
                <w:szCs w:val="20"/>
              </w:rPr>
              <w:t>Is the title of the article suitable?</w:t>
            </w:r>
          </w:p>
          <w:p w:rsidR="00C20E33" w:rsidRDefault="00F115EE">
            <w:pPr>
              <w:ind w:left="360"/>
              <w:rPr>
                <w:sz w:val="20"/>
                <w:szCs w:val="20"/>
              </w:rPr>
            </w:pPr>
            <w:r>
              <w:rPr>
                <w:b/>
                <w:bCs/>
                <w:sz w:val="20"/>
                <w:szCs w:val="20"/>
              </w:rPr>
              <w:t>(If not please suggest an alternative title)</w:t>
            </w:r>
          </w:p>
          <w:p w:rsidR="00C20E33" w:rsidRDefault="00C20E33">
            <w:pPr>
              <w:pStyle w:val="Heading2"/>
              <w:jc w:val="left"/>
              <w:rPr>
                <w:rFonts w:ascii="Times New Roman" w:eastAsia="Times New Roman" w:hAnsi="Times New Roman" w:cs="Times New Roman"/>
                <w:u w:val="single"/>
              </w:rPr>
            </w:pPr>
          </w:p>
        </w:tc>
        <w:tc>
          <w:tcPr>
            <w:tcW w:w="9357" w:type="dxa"/>
          </w:tcPr>
          <w:p w:rsidR="00C20E33" w:rsidRDefault="00F115EE">
            <w:pPr>
              <w:spacing w:after="280"/>
              <w:rPr>
                <w:color w:val="4472C4"/>
              </w:rPr>
            </w:pPr>
            <w:r>
              <w:rPr>
                <w:b/>
                <w:bCs/>
                <w:color w:val="4472C4"/>
              </w:rPr>
              <w:t>Flow Cytometric Detection of CK19-Positive Circulating Tumor Cells in Bone Marrow and Peripheral Blood in Metastatic Breast Cancer: A Case Report and Brief Review</w:t>
            </w:r>
          </w:p>
          <w:p w:rsidR="00C20E33" w:rsidRDefault="00C20E33">
            <w:pPr>
              <w:ind w:left="360"/>
              <w:rPr>
                <w:sz w:val="20"/>
                <w:szCs w:val="20"/>
              </w:rPr>
            </w:pPr>
          </w:p>
        </w:tc>
        <w:tc>
          <w:tcPr>
            <w:tcW w:w="6442" w:type="dxa"/>
          </w:tcPr>
          <w:p w:rsidR="00C20E33" w:rsidRDefault="00F115E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the excellent suggestion regarding the title. We agree that the pr</w:t>
            </w:r>
            <w:r>
              <w:rPr>
                <w:rFonts w:ascii="Times New Roman" w:eastAsia="Times New Roman" w:hAnsi="Times New Roman" w:cs="Times New Roman"/>
                <w:b w:val="0"/>
                <w:bCs w:val="0"/>
              </w:rPr>
              <w:t>oposed title more accurately reflects the scope and findings of our study. The title has been updated accordingly in the revised manuscript</w:t>
            </w:r>
          </w:p>
        </w:tc>
      </w:tr>
      <w:tr w:rsidR="00C20E33">
        <w:trPr>
          <w:trHeight w:val="1262"/>
        </w:trPr>
        <w:tc>
          <w:tcPr>
            <w:tcW w:w="5351" w:type="dxa"/>
          </w:tcPr>
          <w:p w:rsidR="00C20E33" w:rsidRDefault="00F115EE">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C20E33" w:rsidRDefault="00C20E33">
            <w:pPr>
              <w:pStyle w:val="Heading2"/>
              <w:jc w:val="left"/>
              <w:rPr>
                <w:rFonts w:ascii="Times New Roman" w:eastAsia="Times New Roman" w:hAnsi="Times New Roman" w:cs="Times New Roman"/>
                <w:u w:val="single"/>
              </w:rPr>
            </w:pPr>
          </w:p>
        </w:tc>
        <w:tc>
          <w:tcPr>
            <w:tcW w:w="9357" w:type="dxa"/>
          </w:tcPr>
          <w:p w:rsidR="00C20E33" w:rsidRDefault="00F115EE">
            <w:pPr>
              <w:spacing w:after="280"/>
              <w:rPr>
                <w:color w:val="4472C4"/>
              </w:rPr>
            </w:pPr>
            <w:r>
              <w:rPr>
                <w:color w:val="4472C4"/>
              </w:rPr>
              <w:t>The abstract summarizes the case and the diagnostic approach clearly and provides relevant clinical</w:t>
            </w:r>
            <w:r>
              <w:rPr>
                <w:color w:val="4472C4"/>
              </w:rPr>
              <w:t xml:space="preserve"> information. However, minor improvements could increase clarity and readability. The authors may consider briefly emphasizing the clinical relevance of the findings and the importance of flow cytometry as a complementary diagnostic method. Additionally, m</w:t>
            </w:r>
            <w:r>
              <w:rPr>
                <w:color w:val="4472C4"/>
              </w:rPr>
              <w:t>inor language corrections and standardization of percentage formatting (e.g., 4.0% instead of 4,0%) are recommended. Overall, the abstract adequately represents the content of the manuscript.</w:t>
            </w:r>
          </w:p>
          <w:p w:rsidR="00C20E33" w:rsidRDefault="00C20E33">
            <w:pPr>
              <w:ind w:left="360"/>
              <w:rPr>
                <w:sz w:val="20"/>
                <w:szCs w:val="20"/>
              </w:rPr>
            </w:pPr>
          </w:p>
        </w:tc>
        <w:tc>
          <w:tcPr>
            <w:tcW w:w="6442" w:type="dxa"/>
          </w:tcPr>
          <w:p w:rsidR="00C20E33" w:rsidRDefault="00F115E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the positive and constructive feedbac</w:t>
            </w:r>
            <w:r>
              <w:rPr>
                <w:rFonts w:ascii="Times New Roman" w:eastAsia="Times New Roman" w:hAnsi="Times New Roman" w:cs="Times New Roman"/>
                <w:b w:val="0"/>
                <w:bCs w:val="0"/>
              </w:rPr>
              <w:t>k on our abstract. Following your suggestions, we have revised the text to more clearly emphasize the clinical relevance of our findings and the role of flow cytometry as a complementary diagnostic tool. Furthermore, we have performed a thorough language r</w:t>
            </w:r>
            <w:r>
              <w:rPr>
                <w:rFonts w:ascii="Times New Roman" w:eastAsia="Times New Roman" w:hAnsi="Times New Roman" w:cs="Times New Roman"/>
                <w:b w:val="0"/>
                <w:bCs w:val="0"/>
              </w:rPr>
              <w:t>eview and standardized the numerical formatting (e.g., using 4.0% instead of 4,0%) throughout the entire manuscript. We believe these changes have significantly improved the clarity and readability of the abstract</w:t>
            </w:r>
          </w:p>
        </w:tc>
      </w:tr>
      <w:tr w:rsidR="00C20E33">
        <w:trPr>
          <w:trHeight w:val="704"/>
        </w:trPr>
        <w:tc>
          <w:tcPr>
            <w:tcW w:w="5351" w:type="dxa"/>
          </w:tcPr>
          <w:p w:rsidR="00C20E33" w:rsidRDefault="00F115EE">
            <w:pPr>
              <w:pStyle w:val="Heading2"/>
              <w:ind w:left="360"/>
              <w:jc w:val="left"/>
              <w:rPr>
                <w:rFonts w:ascii="Times New Roman" w:eastAsia="Times New Roman" w:hAnsi="Times New Roman" w:cs="Times New Roman"/>
                <w:b w:val="0"/>
                <w:bCs w:val="0"/>
                <w:u w:val="single"/>
              </w:rPr>
            </w:pPr>
            <w:r>
              <w:rPr>
                <w:rFonts w:ascii="Times New Roman" w:eastAsia="Times New Roman" w:hAnsi="Times New Roman" w:cs="Times New Roman"/>
              </w:rPr>
              <w:t>Is the manuscript scientifically, correct</w:t>
            </w:r>
            <w:r>
              <w:rPr>
                <w:rFonts w:ascii="Times New Roman" w:eastAsia="Times New Roman" w:hAnsi="Times New Roman" w:cs="Times New Roman"/>
              </w:rPr>
              <w:t>? Please write here.</w:t>
            </w:r>
          </w:p>
        </w:tc>
        <w:tc>
          <w:tcPr>
            <w:tcW w:w="9357" w:type="dxa"/>
          </w:tcPr>
          <w:p w:rsidR="00C20E33" w:rsidRDefault="00F115EE">
            <w:pPr>
              <w:pBdr>
                <w:top w:val="nil"/>
                <w:left w:val="nil"/>
                <w:bottom w:val="nil"/>
                <w:right w:val="nil"/>
                <w:between w:val="nil"/>
              </w:pBdr>
              <w:rPr>
                <w:color w:val="4472C4"/>
                <w:sz w:val="20"/>
                <w:szCs w:val="20"/>
              </w:rPr>
            </w:pPr>
            <w:r>
              <w:rPr>
                <w:color w:val="4472C4"/>
              </w:rPr>
              <w:t>The manuscript appears to be scientifically sound and presents a well-documented clinical case. The diagnostic findings obtained by flow cytometry are consistent with the immunohistochemical results and support the presence of bone mar</w:t>
            </w:r>
            <w:r>
              <w:rPr>
                <w:color w:val="4472C4"/>
              </w:rPr>
              <w:t>row metastasis. The discussion appropriately relates the findings to current knowledge about circulating tumor cells and bone marrow involvement in breast cancer. However, the manuscript could benefit from minor clarifications in the methodological descrip</w:t>
            </w:r>
            <w:r>
              <w:rPr>
                <w:color w:val="4472C4"/>
              </w:rPr>
              <w:t>tion of the flow cytometry protocol and slight improvements in the discussion to further emphasize the clinical implications of the findings.</w:t>
            </w:r>
          </w:p>
        </w:tc>
        <w:tc>
          <w:tcPr>
            <w:tcW w:w="6442" w:type="dxa"/>
          </w:tcPr>
          <w:p w:rsidR="00C20E33" w:rsidRDefault="00F115EE">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thank the reviewer for the positive evaluation of our manuscript and for recognizing the consistency between our flow cytometry findings and the immunohistochemical </w:t>
            </w:r>
            <w:proofErr w:type="spellStart"/>
            <w:proofErr w:type="gramStart"/>
            <w:r>
              <w:rPr>
                <w:rFonts w:ascii="Times New Roman" w:eastAsia="Times New Roman" w:hAnsi="Times New Roman" w:cs="Times New Roman"/>
                <w:b w:val="0"/>
                <w:bCs w:val="0"/>
              </w:rPr>
              <w:t>results.As</w:t>
            </w:r>
            <w:proofErr w:type="spellEnd"/>
            <w:proofErr w:type="gramEnd"/>
            <w:r>
              <w:rPr>
                <w:rFonts w:ascii="Times New Roman" w:eastAsia="Times New Roman" w:hAnsi="Times New Roman" w:cs="Times New Roman"/>
                <w:b w:val="0"/>
                <w:bCs w:val="0"/>
              </w:rPr>
              <w:t xml:space="preserve"> suggested, we have provided further clarification on the flow cytometry proto</w:t>
            </w:r>
            <w:r>
              <w:rPr>
                <w:rFonts w:ascii="Times New Roman" w:eastAsia="Times New Roman" w:hAnsi="Times New Roman" w:cs="Times New Roman"/>
                <w:b w:val="0"/>
                <w:bCs w:val="0"/>
              </w:rPr>
              <w:t>col. Additionally, we have updated the Discussion to more strongly emphasize the clinical implications of identifying bone marrow involvement using this method, particularly for monitoring disease progression and guiding treatment decisions in metastatic b</w:t>
            </w:r>
            <w:r>
              <w:rPr>
                <w:rFonts w:ascii="Times New Roman" w:eastAsia="Times New Roman" w:hAnsi="Times New Roman" w:cs="Times New Roman"/>
                <w:b w:val="0"/>
                <w:bCs w:val="0"/>
              </w:rPr>
              <w:t>reast cancer. We believe these revisions have strengthened the manuscript</w:t>
            </w:r>
          </w:p>
          <w:p w:rsidR="00C20E33" w:rsidRDefault="00C20E33">
            <w:pPr>
              <w:pStyle w:val="Heading2"/>
              <w:jc w:val="left"/>
              <w:rPr>
                <w:rFonts w:ascii="Times New Roman" w:eastAsia="Times New Roman" w:hAnsi="Times New Roman" w:cs="Times New Roman"/>
                <w:b w:val="0"/>
                <w:bCs w:val="0"/>
              </w:rPr>
            </w:pPr>
          </w:p>
        </w:tc>
      </w:tr>
      <w:tr w:rsidR="00C20E33">
        <w:trPr>
          <w:trHeight w:val="2304"/>
        </w:trPr>
        <w:tc>
          <w:tcPr>
            <w:tcW w:w="5351" w:type="dxa"/>
          </w:tcPr>
          <w:p w:rsidR="00C20E33" w:rsidRDefault="00F115EE">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C20E33" w:rsidRDefault="00F115EE">
            <w:pPr>
              <w:pBdr>
                <w:top w:val="nil"/>
                <w:left w:val="nil"/>
                <w:bottom w:val="nil"/>
                <w:right w:val="nil"/>
                <w:between w:val="nil"/>
              </w:pBdr>
              <w:rPr>
                <w:color w:val="4472C4"/>
                <w:sz w:val="20"/>
                <w:szCs w:val="20"/>
              </w:rPr>
            </w:pPr>
            <w:r>
              <w:rPr>
                <w:color w:val="4472C4"/>
              </w:rPr>
              <w:t xml:space="preserve">The references cited are generally relevant and </w:t>
            </w:r>
            <w:r>
              <w:rPr>
                <w:color w:val="4472C4"/>
              </w:rPr>
              <w:t>include both classic and recent literature related to breast cancer metastasis and diagnostic techniques. Most references are appropriate for supporting the discussion. However, the authors may consider adding a few additional recent studies on circulating</w:t>
            </w:r>
            <w:r>
              <w:rPr>
                <w:color w:val="4472C4"/>
              </w:rPr>
              <w:t xml:space="preserve"> tumor cells and flow cytometry applications in solid tumors to further strengthen the literature background. Overall, the reference list is adequate for this case report.</w:t>
            </w:r>
          </w:p>
        </w:tc>
        <w:tc>
          <w:tcPr>
            <w:tcW w:w="6442" w:type="dxa"/>
          </w:tcPr>
          <w:p w:rsidR="00C20E33" w:rsidRDefault="00F115EE">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the helpful suggestions regarding our references and the l</w:t>
            </w:r>
            <w:r>
              <w:rPr>
                <w:rFonts w:ascii="Times New Roman" w:eastAsia="Times New Roman" w:hAnsi="Times New Roman" w:cs="Times New Roman"/>
                <w:b w:val="0"/>
                <w:bCs w:val="0"/>
              </w:rPr>
              <w:t>anguage of the manuscript. As requested, we have incorporated the suggested reference. Furthermore, the entire manuscript has undergone thorough language editing and proofreading to correct grammatical errors, improve sentence fluency, and ensure consisten</w:t>
            </w:r>
            <w:r>
              <w:rPr>
                <w:rFonts w:ascii="Times New Roman" w:eastAsia="Times New Roman" w:hAnsi="Times New Roman" w:cs="Times New Roman"/>
                <w:b w:val="0"/>
                <w:bCs w:val="0"/>
              </w:rPr>
              <w:t>cy in terminology. We believe these revisions have significantly enhanced the clarity and professional quality of the report</w:t>
            </w:r>
          </w:p>
          <w:p w:rsidR="00C20E33" w:rsidRDefault="00C20E33">
            <w:pPr>
              <w:pStyle w:val="Heading2"/>
              <w:jc w:val="left"/>
              <w:rPr>
                <w:rFonts w:ascii="Times New Roman" w:eastAsia="Times New Roman" w:hAnsi="Times New Roman" w:cs="Times New Roman"/>
                <w:b w:val="0"/>
                <w:bCs w:val="0"/>
              </w:rPr>
            </w:pPr>
          </w:p>
        </w:tc>
      </w:tr>
      <w:tr w:rsidR="00C20E33">
        <w:trPr>
          <w:trHeight w:val="1949"/>
        </w:trPr>
        <w:tc>
          <w:tcPr>
            <w:tcW w:w="5351" w:type="dxa"/>
          </w:tcPr>
          <w:p w:rsidR="00C20E33" w:rsidRDefault="00F115E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C20E33" w:rsidRDefault="00C20E33">
            <w:pPr>
              <w:rPr>
                <w:sz w:val="20"/>
                <w:szCs w:val="20"/>
              </w:rPr>
            </w:pPr>
          </w:p>
        </w:tc>
        <w:tc>
          <w:tcPr>
            <w:tcW w:w="9357" w:type="dxa"/>
          </w:tcPr>
          <w:p w:rsidR="00C20E33" w:rsidRDefault="00F115EE">
            <w:pPr>
              <w:spacing w:after="280"/>
              <w:rPr>
                <w:color w:val="4472C4"/>
              </w:rPr>
            </w:pPr>
            <w:r>
              <w:rPr>
                <w:color w:val="4472C4"/>
              </w:rPr>
              <w:t>The manuscript is generally understandable; however, several minor grammatical errors and language inconsistencies are present throughout the text. Some sentences could be improved for clarity and fluency, and minor typographical errors should be corrected</w:t>
            </w:r>
            <w:r>
              <w:rPr>
                <w:color w:val="4472C4"/>
              </w:rPr>
              <w:t>. Careful language editing or professional English proofreading is recommended before publication to improve the overall readability of the manuscript.</w:t>
            </w:r>
          </w:p>
          <w:p w:rsidR="00C20E33" w:rsidRDefault="00C20E33">
            <w:pPr>
              <w:rPr>
                <w:sz w:val="20"/>
                <w:szCs w:val="20"/>
              </w:rPr>
            </w:pPr>
          </w:p>
        </w:tc>
        <w:tc>
          <w:tcPr>
            <w:tcW w:w="6442" w:type="dxa"/>
          </w:tcPr>
          <w:p w:rsidR="00C20E33" w:rsidRDefault="00F115EE">
            <w:pPr>
              <w:pStyle w:val="Heading2"/>
              <w:spacing w:before="240" w:after="240"/>
              <w:jc w:val="left"/>
            </w:pPr>
            <w:bookmarkStart w:id="1" w:name="_heading=h.pf49k6ip5o6l" w:colFirst="0" w:colLast="0"/>
            <w:bookmarkEnd w:id="1"/>
            <w:r>
              <w:rPr>
                <w:rFonts w:ascii="Times New Roman" w:eastAsia="Times New Roman" w:hAnsi="Times New Roman" w:cs="Times New Roman"/>
                <w:b w:val="0"/>
                <w:bCs w:val="0"/>
              </w:rPr>
              <w:t xml:space="preserve">We thank the reviewer for the helpful suggestions. As requested, the manuscript has undergone thorough </w:t>
            </w:r>
            <w:r>
              <w:rPr>
                <w:rFonts w:ascii="Times New Roman" w:eastAsia="Times New Roman" w:hAnsi="Times New Roman" w:cs="Times New Roman"/>
                <w:b w:val="0"/>
                <w:bCs w:val="0"/>
              </w:rPr>
              <w:t>language editing and proofreading to correct grammatical errors, and improve sentence fluency.</w:t>
            </w:r>
          </w:p>
        </w:tc>
      </w:tr>
      <w:tr w:rsidR="00C20E33">
        <w:trPr>
          <w:trHeight w:val="1178"/>
        </w:trPr>
        <w:tc>
          <w:tcPr>
            <w:tcW w:w="5351" w:type="dxa"/>
          </w:tcPr>
          <w:p w:rsidR="00C20E33" w:rsidRDefault="00F115E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C20E33" w:rsidRDefault="00C20E33">
            <w:pPr>
              <w:pStyle w:val="Heading2"/>
              <w:jc w:val="left"/>
              <w:rPr>
                <w:rFonts w:ascii="Times New Roman" w:eastAsia="Times New Roman" w:hAnsi="Times New Roman" w:cs="Times New Roman"/>
                <w:b w:val="0"/>
                <w:bCs w:val="0"/>
              </w:rPr>
            </w:pPr>
          </w:p>
        </w:tc>
        <w:tc>
          <w:tcPr>
            <w:tcW w:w="9357" w:type="dxa"/>
          </w:tcPr>
          <w:p w:rsidR="00C20E33" w:rsidRDefault="00F115EE">
            <w:pPr>
              <w:spacing w:after="280"/>
              <w:rPr>
                <w:color w:val="4472C4"/>
              </w:rPr>
            </w:pPr>
            <w:r>
              <w:rPr>
                <w:color w:val="4472C4"/>
              </w:rPr>
              <w:t>This manuscript presents an interesting and clinically relevant case highlighting the potential role of flow cytometry in detecting circulating and disseminated tumor cells in breast cancer patients. The integration of flow cytometry findings with immunohi</w:t>
            </w:r>
            <w:r>
              <w:rPr>
                <w:color w:val="4472C4"/>
              </w:rPr>
              <w:t>stochemical results strengthens the diagnostic interpretation. The figures are informative and support the findings described in the text. With minor revisions related to language editing, methodological clarification, and formatting consistency, the manus</w:t>
            </w:r>
            <w:r>
              <w:rPr>
                <w:color w:val="4472C4"/>
              </w:rPr>
              <w:t>cript would be suitable for publication.</w:t>
            </w:r>
          </w:p>
          <w:p w:rsidR="00C20E33" w:rsidRDefault="00C20E33">
            <w:pPr>
              <w:pBdr>
                <w:top w:val="nil"/>
                <w:left w:val="nil"/>
                <w:bottom w:val="nil"/>
                <w:right w:val="nil"/>
                <w:between w:val="nil"/>
              </w:pBdr>
              <w:rPr>
                <w:color w:val="000000"/>
                <w:sz w:val="20"/>
                <w:szCs w:val="20"/>
              </w:rPr>
            </w:pPr>
          </w:p>
        </w:tc>
        <w:tc>
          <w:tcPr>
            <w:tcW w:w="6442" w:type="dxa"/>
          </w:tcPr>
          <w:p w:rsidR="00C20E33" w:rsidRDefault="00F115EE">
            <w:pPr>
              <w:rPr>
                <w:sz w:val="20"/>
                <w:szCs w:val="20"/>
              </w:rPr>
            </w:pPr>
            <w:r>
              <w:rPr>
                <w:sz w:val="20"/>
                <w:szCs w:val="20"/>
              </w:rPr>
              <w:t>We are grateful for the reviewer’s positive concluding remarks and for recognizing the clinical relevance and the strength of our diagnostic integration. We have carefully addressed all the points raised, including</w:t>
            </w:r>
            <w:r>
              <w:rPr>
                <w:sz w:val="20"/>
                <w:szCs w:val="20"/>
              </w:rPr>
              <w:t xml:space="preserve"> the methodological clarifications, language editing, and formatting consistency. We believe the manuscript is now significantly strengthened and ready for publication. </w:t>
            </w:r>
          </w:p>
        </w:tc>
      </w:tr>
    </w:tbl>
    <w:p w:rsidR="00C20E33" w:rsidRDefault="00C20E33">
      <w:pPr>
        <w:pBdr>
          <w:top w:val="nil"/>
          <w:left w:val="nil"/>
          <w:bottom w:val="nil"/>
          <w:right w:val="nil"/>
          <w:between w:val="nil"/>
        </w:pBdr>
        <w:jc w:val="both"/>
        <w:rPr>
          <w:color w:val="000000"/>
          <w:sz w:val="20"/>
          <w:szCs w:val="20"/>
          <w:u w:val="single"/>
        </w:rPr>
      </w:pPr>
      <w:bookmarkStart w:id="2" w:name="_GoBack"/>
      <w:bookmarkEnd w:id="2"/>
    </w:p>
    <w:p w:rsidR="00C20E33" w:rsidRDefault="00C20E33">
      <w:pPr>
        <w:pBdr>
          <w:top w:val="nil"/>
          <w:left w:val="nil"/>
          <w:bottom w:val="nil"/>
          <w:right w:val="nil"/>
          <w:between w:val="nil"/>
        </w:pBdr>
        <w:jc w:val="both"/>
        <w:rPr>
          <w:color w:val="000000"/>
          <w:sz w:val="20"/>
          <w:szCs w:val="20"/>
          <w:u w:val="single"/>
        </w:rPr>
      </w:pPr>
      <w:bookmarkStart w:id="3" w:name="_heading=h.tgce0jrln1jb" w:colFirst="0" w:colLast="0"/>
      <w:bookmarkEnd w:id="3"/>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C20E33">
        <w:tc>
          <w:tcPr>
            <w:tcW w:w="21150" w:type="dxa"/>
            <w:gridSpan w:val="3"/>
            <w:tcBorders>
              <w:top w:val="nil"/>
              <w:left w:val="nil"/>
              <w:right w:val="nil"/>
            </w:tcBorders>
            <w:tcMar>
              <w:top w:w="0" w:type="dxa"/>
              <w:left w:w="108" w:type="dxa"/>
              <w:bottom w:w="0" w:type="dxa"/>
              <w:right w:w="108" w:type="dxa"/>
            </w:tcMar>
            <w:vAlign w:val="center"/>
          </w:tcPr>
          <w:p w:rsidR="00C20E33" w:rsidRDefault="00F115EE">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C20E33" w:rsidRDefault="00C20E33">
            <w:pPr>
              <w:rPr>
                <w:rFonts w:ascii="Arial" w:eastAsia="Arial" w:hAnsi="Arial" w:cs="Arial"/>
                <w:sz w:val="20"/>
                <w:szCs w:val="20"/>
                <w:u w:val="single"/>
              </w:rPr>
            </w:pPr>
          </w:p>
        </w:tc>
      </w:tr>
      <w:tr w:rsidR="00C20E33">
        <w:tc>
          <w:tcPr>
            <w:tcW w:w="6831" w:type="dxa"/>
            <w:tcMar>
              <w:top w:w="0" w:type="dxa"/>
              <w:left w:w="108" w:type="dxa"/>
              <w:bottom w:w="0" w:type="dxa"/>
              <w:right w:w="108" w:type="dxa"/>
            </w:tcMar>
            <w:vAlign w:val="center"/>
          </w:tcPr>
          <w:p w:rsidR="00C20E33" w:rsidRDefault="00C20E33">
            <w:pPr>
              <w:rPr>
                <w:rFonts w:ascii="Arial" w:eastAsia="Arial" w:hAnsi="Arial" w:cs="Arial"/>
                <w:sz w:val="20"/>
                <w:szCs w:val="20"/>
              </w:rPr>
            </w:pPr>
          </w:p>
        </w:tc>
        <w:tc>
          <w:tcPr>
            <w:tcW w:w="7166" w:type="dxa"/>
            <w:tcMar>
              <w:top w:w="0" w:type="dxa"/>
              <w:left w:w="108" w:type="dxa"/>
              <w:bottom w:w="0" w:type="dxa"/>
              <w:right w:w="108" w:type="dxa"/>
            </w:tcMar>
          </w:tcPr>
          <w:p w:rsidR="00C20E33" w:rsidRDefault="00F115EE">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C20E33" w:rsidRDefault="00F115EE">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C20E33" w:rsidRDefault="00C20E33">
            <w:pPr>
              <w:keepNext/>
              <w:rPr>
                <w:rFonts w:ascii="Arial" w:eastAsia="Arial" w:hAnsi="Arial" w:cs="Arial"/>
                <w:sz w:val="20"/>
                <w:szCs w:val="20"/>
              </w:rPr>
            </w:pPr>
          </w:p>
        </w:tc>
      </w:tr>
      <w:tr w:rsidR="00C20E33">
        <w:trPr>
          <w:trHeight w:val="890"/>
        </w:trPr>
        <w:tc>
          <w:tcPr>
            <w:tcW w:w="6831" w:type="dxa"/>
            <w:tcMar>
              <w:top w:w="0" w:type="dxa"/>
              <w:left w:w="108" w:type="dxa"/>
              <w:bottom w:w="0" w:type="dxa"/>
              <w:right w:w="108" w:type="dxa"/>
            </w:tcMar>
            <w:vAlign w:val="center"/>
          </w:tcPr>
          <w:p w:rsidR="00C20E33" w:rsidRDefault="00F115EE">
            <w:pPr>
              <w:rPr>
                <w:rFonts w:ascii="Arial" w:eastAsia="Arial" w:hAnsi="Arial" w:cs="Arial"/>
                <w:sz w:val="20"/>
                <w:szCs w:val="20"/>
              </w:rPr>
            </w:pPr>
            <w:r>
              <w:rPr>
                <w:rFonts w:ascii="Arial" w:eastAsia="Arial" w:hAnsi="Arial" w:cs="Arial"/>
                <w:b/>
                <w:bCs/>
                <w:sz w:val="20"/>
                <w:szCs w:val="20"/>
              </w:rPr>
              <w:lastRenderedPageBreak/>
              <w:t xml:space="preserve">Are there ethical issues in this manuscript? </w:t>
            </w:r>
          </w:p>
          <w:p w:rsidR="00C20E33" w:rsidRDefault="00C20E33">
            <w:pPr>
              <w:rPr>
                <w:rFonts w:ascii="Arial" w:eastAsia="Arial" w:hAnsi="Arial" w:cs="Arial"/>
                <w:sz w:val="20"/>
                <w:szCs w:val="20"/>
              </w:rPr>
            </w:pPr>
          </w:p>
        </w:tc>
        <w:tc>
          <w:tcPr>
            <w:tcW w:w="7166" w:type="dxa"/>
            <w:tcMar>
              <w:top w:w="0" w:type="dxa"/>
              <w:left w:w="108" w:type="dxa"/>
              <w:bottom w:w="0" w:type="dxa"/>
              <w:right w:w="108" w:type="dxa"/>
            </w:tcMar>
            <w:vAlign w:val="center"/>
          </w:tcPr>
          <w:p w:rsidR="00C20E33" w:rsidRDefault="00F115EE">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C20E33" w:rsidRDefault="00C20E33">
            <w:pPr>
              <w:rPr>
                <w:rFonts w:ascii="Arial" w:eastAsia="Arial" w:hAnsi="Arial" w:cs="Arial"/>
                <w:sz w:val="20"/>
                <w:szCs w:val="20"/>
              </w:rPr>
            </w:pPr>
          </w:p>
        </w:tc>
        <w:tc>
          <w:tcPr>
            <w:tcW w:w="7153" w:type="dxa"/>
            <w:vAlign w:val="center"/>
          </w:tcPr>
          <w:p w:rsidR="00C20E33" w:rsidRDefault="00C20E33">
            <w:pPr>
              <w:rPr>
                <w:rFonts w:ascii="Arial" w:eastAsia="Arial" w:hAnsi="Arial" w:cs="Arial"/>
                <w:sz w:val="20"/>
                <w:szCs w:val="20"/>
              </w:rPr>
            </w:pPr>
          </w:p>
          <w:p w:rsidR="00C20E33" w:rsidRDefault="00C20E33">
            <w:pPr>
              <w:rPr>
                <w:rFonts w:ascii="Arial" w:eastAsia="Arial" w:hAnsi="Arial" w:cs="Arial"/>
                <w:sz w:val="20"/>
                <w:szCs w:val="20"/>
              </w:rPr>
            </w:pPr>
          </w:p>
          <w:p w:rsidR="00C20E33" w:rsidRDefault="00C20E33">
            <w:pPr>
              <w:rPr>
                <w:rFonts w:ascii="Arial" w:eastAsia="Arial" w:hAnsi="Arial" w:cs="Arial"/>
                <w:sz w:val="20"/>
                <w:szCs w:val="20"/>
              </w:rPr>
            </w:pPr>
          </w:p>
        </w:tc>
      </w:tr>
    </w:tbl>
    <w:p w:rsidR="00C20E33" w:rsidRDefault="00C20E33"/>
    <w:p w:rsidR="00C20E33" w:rsidRDefault="00C20E33"/>
    <w:p w:rsidR="00C20E33" w:rsidRDefault="00C20E33">
      <w:pPr>
        <w:rPr>
          <w:u w:val="single"/>
        </w:rPr>
      </w:pPr>
    </w:p>
    <w:p w:rsidR="00C20E33" w:rsidRDefault="00C20E33"/>
    <w:p w:rsidR="00C20E33" w:rsidRDefault="00C20E33">
      <w:pPr>
        <w:pBdr>
          <w:top w:val="nil"/>
          <w:left w:val="nil"/>
          <w:bottom w:val="nil"/>
          <w:right w:val="nil"/>
          <w:between w:val="nil"/>
        </w:pBdr>
        <w:jc w:val="both"/>
        <w:rPr>
          <w:color w:val="000000"/>
          <w:sz w:val="20"/>
          <w:szCs w:val="20"/>
          <w:u w:val="single"/>
        </w:rPr>
      </w:pPr>
    </w:p>
    <w:sectPr w:rsidR="00C20E3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15EE" w:rsidRDefault="00F115EE">
      <w:r>
        <w:separator/>
      </w:r>
    </w:p>
  </w:endnote>
  <w:endnote w:type="continuationSeparator" w:id="0">
    <w:p w:rsidR="00F115EE" w:rsidRDefault="00F115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0311B9DE-A889-40C4-A713-F3FC5845386B}"/>
  </w:font>
  <w:font w:name="Arimo">
    <w:charset w:val="00"/>
    <w:family w:val="auto"/>
    <w:pitch w:val="default"/>
    <w:embedBold r:id="rId2" w:fontKey="{7BD7D99C-A92B-4573-BCC5-9A135866CFBB}"/>
  </w:font>
  <w:font w:name="Helvetica">
    <w:panose1 w:val="020B0604020202020204"/>
    <w:charset w:val="00"/>
    <w:family w:val="swiss"/>
    <w:pitch w:val="variable"/>
    <w:sig w:usb0="00000003" w:usb1="00000000" w:usb2="00000000" w:usb3="00000000" w:csb0="00000001" w:csb1="00000000"/>
    <w:embedRegular r:id="rId3" w:fontKey="{5CCF8A33-191D-4C91-A520-C1C46A519032}"/>
    <w:embedBold r:id="rId4" w:fontKey="{0EB07EAF-87AB-428F-B16F-AF1123CE4CAE}"/>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fontKey="{9F455A55-526A-4B12-81E9-2387D3871421}"/>
  </w:font>
  <w:font w:name="Georgia">
    <w:panose1 w:val="02040502050405020303"/>
    <w:charset w:val="00"/>
    <w:family w:val="auto"/>
    <w:pitch w:val="default"/>
    <w:embedItalic r:id="rId6" w:fontKey="{29DA9D3C-5898-42DF-A9DF-08EC0E25865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291E01FF-7E5A-49BA-AA61-9CFD12691A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0E33" w:rsidRDefault="00F115E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15EE" w:rsidRDefault="00F115EE">
      <w:r>
        <w:separator/>
      </w:r>
    </w:p>
  </w:footnote>
  <w:footnote w:type="continuationSeparator" w:id="0">
    <w:p w:rsidR="00F115EE" w:rsidRDefault="00F115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0E33" w:rsidRDefault="00C20E33">
    <w:pPr>
      <w:spacing w:after="280"/>
      <w:jc w:val="center"/>
      <w:rPr>
        <w:rFonts w:ascii="Arial" w:eastAsia="Arial" w:hAnsi="Arial" w:cs="Arial"/>
        <w:color w:val="003399"/>
        <w:u w:val="single"/>
      </w:rPr>
    </w:pPr>
  </w:p>
  <w:p w:rsidR="00C20E33" w:rsidRDefault="00F115E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0E33"/>
    <w:rsid w:val="001315AA"/>
    <w:rsid w:val="00C20E33"/>
    <w:rsid w:val="00C87F19"/>
    <w:rsid w:val="00F115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29C182"/>
  <w15:docId w15:val="{0A640473-DBFA-4972-B60A-1985F3F668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mpcr.com/index.php/IJMPC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I1XG5Nfsw2a91cHEhjwq/kmMug==">CgMxLjAyDmguZjJrZDV0aWd4ajE1Mg5oLnBmNDlrNmlwNW82bDIOaC50Z2NlMGpybG4xamI4AHIhMWNtYTlueEwzcUFaWGF2M2NEM21IakI2ek1pZENJY0Y3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1130</Words>
  <Characters>6444</Characters>
  <Application>Microsoft Office Word</Application>
  <DocSecurity>0</DocSecurity>
  <Lines>53</Lines>
  <Paragraphs>15</Paragraphs>
  <ScaleCrop>false</ScaleCrop>
  <Company/>
  <LinksUpToDate>false</LinksUpToDate>
  <CharactersWithSpaces>7559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4</cp:revision>
  <dcterms:created xsi:type="dcterms:W3CDTF">2011-08-01T09:21:00Z</dcterms:created>
  <dcterms:modified xsi:type="dcterms:W3CDTF">2026-03-24T09:44:00Z</dcterms:modified>
</cp:coreProperties>
</file>