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43"/>
        <w:gridCol w:w="10427"/>
        <w:tblGridChange w:id="0">
          <w:tblGrid>
            <w:gridCol w:w="3243"/>
            <w:gridCol w:w="10427"/>
          </w:tblGrid>
        </w:tblGridChange>
      </w:tblGrid>
      <w:tr>
        <w:trPr>
          <w:cantSplit w:val="0"/>
          <w:trHeight w:val="2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b w:val="1"/>
                <w:bCs w:val="1"/>
                <w:color w:val="0000ff"/>
                <w:sz w:val="20"/>
                <w:szCs w:val="20"/>
              </w:rPr>
            </w:pPr>
            <w:r w:rsidDel="00000000" w:rsidR="00000000" w:rsidRPr="00000000">
              <w:rPr>
                <w:b w:val="1"/>
                <w:bCs w:val="1"/>
                <w:color w:val="0000ff"/>
                <w:sz w:val="20"/>
                <w:szCs w:val="20"/>
                <w:rtl w:val="0"/>
              </w:rPr>
              <w:t xml:space="preserve">Asian Journal of Research in Infectious Diseases</w:t>
            </w:r>
          </w:p>
        </w:tc>
      </w:tr>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Ms_AJRID_156894</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Knowledge, Attitude and Practices to Malaria in Pregnancy and Use of Sulfadoxine-Pyrimethamine among Pregnant Women in Osun State, Nigeria</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1 (Importance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92"/>
        <w:gridCol w:w="5041"/>
        <w:gridCol w:w="3737"/>
        <w:tblGridChange w:id="0">
          <w:tblGrid>
            <w:gridCol w:w="4892"/>
            <w:gridCol w:w="5041"/>
            <w:gridCol w:w="3737"/>
          </w:tblGrid>
        </w:tblGridChange>
      </w:tblGrid>
      <w:tr>
        <w:trPr>
          <w:cantSplit w:val="0"/>
          <w:trHeight w:val="20" w:hRule="atLeast"/>
          <w:tblHeader w:val="0"/>
        </w:trPr>
        <w:tc>
          <w:tcPr/>
          <w:p w:rsidR="00000000" w:rsidDel="00000000" w:rsidP="00000000" w:rsidRDefault="00000000" w:rsidRPr="00000000" w14:paraId="00000013">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5">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6">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7">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This manuscript is important because it highlights the extent of knowledge, attitudes, and practices among pregnant women regarding the use of IPTp-SP. As the efficacy of SP is dependent on KAP, it enables the ministry of Health to tailor interventions towards improving them. However, the article did not demonstrate the relationship, interplay, or association between KAP and IPTp usage.</w:t>
            </w:r>
          </w:p>
        </w:tc>
        <w:tc>
          <w:tcPr/>
          <w:p w:rsidR="00000000" w:rsidDel="00000000" w:rsidP="00000000" w:rsidRDefault="00000000" w:rsidRPr="00000000" w14:paraId="00000019">
            <w:pPr>
              <w:pStyle w:val="Heading2"/>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1A">
      <w:pPr>
        <w:rPr>
          <w:sz w:val="22"/>
          <w:szCs w:val="22"/>
        </w:rPr>
      </w:pPr>
      <w:r w:rsidDel="00000000" w:rsidR="00000000" w:rsidRPr="00000000">
        <w:rPr>
          <w:rtl w:val="0"/>
        </w:rPr>
      </w:r>
    </w:p>
    <w:p w:rsidR="00000000" w:rsidDel="00000000" w:rsidP="00000000" w:rsidRDefault="00000000" w:rsidRPr="00000000" w14:paraId="0000001B">
      <w:pPr>
        <w:rPr>
          <w:sz w:val="22"/>
          <w:szCs w:val="22"/>
        </w:rPr>
      </w:pPr>
      <w:r w:rsidDel="00000000" w:rsidR="00000000" w:rsidRPr="00000000">
        <w:rPr>
          <w:rtl w:val="0"/>
        </w:rPr>
      </w:r>
    </w:p>
    <w:p w:rsidR="00000000" w:rsidDel="00000000" w:rsidP="00000000" w:rsidRDefault="00000000" w:rsidRPr="00000000" w14:paraId="0000001C">
      <w:pPr>
        <w:rPr>
          <w:sz w:val="22"/>
          <w:szCs w:val="22"/>
        </w:rPr>
      </w:pPr>
      <w:r w:rsidDel="00000000" w:rsidR="00000000" w:rsidRPr="00000000">
        <w:rPr>
          <w:rtl w:val="0"/>
        </w:rPr>
      </w:r>
    </w:p>
    <w:p w:rsidR="00000000" w:rsidDel="00000000" w:rsidP="00000000" w:rsidRDefault="00000000" w:rsidRPr="00000000" w14:paraId="0000001D">
      <w:pPr>
        <w:pStyle w:val="Heading2"/>
        <w:jc w:val="left"/>
        <w:rPr>
          <w:rFonts w:ascii="Times New Roman" w:cs="Times New Roman" w:eastAsia="Times New Roman" w:hAnsi="Times New Roman"/>
          <w:highlight w:val="yellow"/>
          <w:u w:val="single"/>
        </w:rPr>
      </w:pPr>
      <w:r w:rsidDel="00000000" w:rsidR="00000000" w:rsidRPr="00000000">
        <w:rPr>
          <w:rFonts w:ascii="Times New Roman" w:cs="Times New Roman" w:eastAsia="Times New Roman" w:hAnsi="Times New Roman"/>
          <w:highlight w:val="yellow"/>
          <w:u w:val="single"/>
          <w:rtl w:val="0"/>
        </w:rPr>
        <w:t xml:space="preserve">PART 2.1 (Objective Evaluation)</w:t>
      </w:r>
    </w:p>
    <w:p w:rsidR="00000000" w:rsidDel="00000000" w:rsidP="00000000" w:rsidRDefault="00000000" w:rsidRPr="00000000" w14:paraId="0000001E">
      <w:pPr>
        <w:rPr>
          <w:sz w:val="28"/>
          <w:szCs w:val="28"/>
        </w:rPr>
      </w:pPr>
      <w:r w:rsidDel="00000000" w:rsidR="00000000" w:rsidRPr="00000000">
        <w:rPr>
          <w:rtl w:val="0"/>
        </w:rPr>
      </w:r>
    </w:p>
    <w:tbl>
      <w:tblPr>
        <w:tblStyle w:val="Table3"/>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94"/>
        <w:gridCol w:w="5039"/>
        <w:gridCol w:w="3737"/>
        <w:tblGridChange w:id="0">
          <w:tblGrid>
            <w:gridCol w:w="4894"/>
            <w:gridCol w:w="5039"/>
            <w:gridCol w:w="3737"/>
          </w:tblGrid>
        </w:tblGridChange>
      </w:tblGrid>
      <w:tr>
        <w:trPr>
          <w:cantSplit w:val="0"/>
          <w:trHeight w:val="20" w:hRule="atLeast"/>
          <w:tblHeader w:val="1"/>
        </w:trPr>
        <w:tc>
          <w:tcPr/>
          <w:p w:rsidR="00000000" w:rsidDel="00000000" w:rsidP="00000000" w:rsidRDefault="00000000" w:rsidRPr="00000000" w14:paraId="0000001F">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1">
            <w:pPr>
              <w:spacing w:after="160" w:line="259" w:lineRule="auto"/>
              <w:rPr>
                <w:b w:val="1"/>
                <w:bCs w:val="1"/>
                <w:sz w:val="22"/>
                <w:szCs w:val="22"/>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2">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4">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5">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6">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A">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2B">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F">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30">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31">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4">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5">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3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9">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3A">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3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E">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F">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3">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4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8">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49">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A">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4</w:t>
            </w:r>
          </w:p>
        </w:tc>
        <w:tc>
          <w:tcPr/>
          <w:p w:rsidR="00000000" w:rsidDel="00000000" w:rsidP="00000000" w:rsidRDefault="00000000" w:rsidRPr="00000000" w14:paraId="0000004E">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F">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53">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54">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58">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59">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5D">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5E">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62">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63">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5">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6">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68">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69">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B">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C">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6E">
            <w:pPr>
              <w:pStyle w:val="Heading2"/>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2">
      <w:pPr>
        <w:pStyle w:val="Heading2"/>
        <w:jc w:val="left"/>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tbl>
      <w:tblPr>
        <w:tblStyle w:val="Table4"/>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71"/>
        <w:gridCol w:w="4883"/>
        <w:gridCol w:w="4216"/>
        <w:tblGridChange w:id="0">
          <w:tblGrid>
            <w:gridCol w:w="4571"/>
            <w:gridCol w:w="4883"/>
            <w:gridCol w:w="4216"/>
          </w:tblGrid>
        </w:tblGridChange>
      </w:tblGrid>
      <w:tr>
        <w:trPr>
          <w:cantSplit w:val="0"/>
          <w:trHeight w:val="20" w:hRule="atLeast"/>
          <w:tblHeader w:val="0"/>
        </w:trPr>
        <w:tc>
          <w:tcPr/>
          <w:p w:rsidR="00000000" w:rsidDel="00000000" w:rsidP="00000000" w:rsidRDefault="00000000" w:rsidRPr="00000000" w14:paraId="00000074">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7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6">
            <w:pPr>
              <w:rPr>
                <w:sz w:val="22"/>
                <w:szCs w:val="22"/>
              </w:rPr>
            </w:pPr>
            <w:r w:rsidDel="00000000" w:rsidR="00000000" w:rsidRPr="00000000">
              <w:rPr>
                <w:rtl w:val="0"/>
              </w:rPr>
            </w:r>
          </w:p>
        </w:tc>
        <w:tc>
          <w:tcPr/>
          <w:p w:rsidR="00000000" w:rsidDel="00000000" w:rsidP="00000000" w:rsidRDefault="00000000" w:rsidRPr="00000000" w14:paraId="00000077">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8">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9">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A">
            <w:pPr>
              <w:rPr>
                <w:sz w:val="20"/>
                <w:szCs w:val="20"/>
              </w:rPr>
            </w:pPr>
            <w:r w:rsidDel="00000000" w:rsidR="00000000" w:rsidRPr="00000000">
              <w:rPr>
                <w:rtl w:val="0"/>
              </w:rPr>
            </w:r>
          </w:p>
          <w:p w:rsidR="00000000" w:rsidDel="00000000" w:rsidP="00000000" w:rsidRDefault="00000000" w:rsidRPr="00000000" w14:paraId="0000007B">
            <w:pPr>
              <w:rPr>
                <w:sz w:val="22"/>
                <w:szCs w:val="22"/>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7C">
            <w:pPr>
              <w:rPr>
                <w:b w:val="1"/>
                <w:bCs w:val="1"/>
                <w:sz w:val="20"/>
                <w:szCs w:val="20"/>
              </w:rPr>
            </w:pPr>
            <w:r w:rsidDel="00000000" w:rsidR="00000000" w:rsidRPr="00000000">
              <w:rPr>
                <w:b w:val="1"/>
                <w:bCs w:val="1"/>
                <w:sz w:val="20"/>
                <w:szCs w:val="20"/>
                <w:rtl w:val="0"/>
              </w:rPr>
              <w:t xml:space="preserve">No</w:t>
              <w:br w:type="textWrapping"/>
              <w:t xml:space="preserve">Authors should consider whether they are doing any form of association or relationship </w:t>
            </w:r>
          </w:p>
        </w:tc>
        <w:tc>
          <w:tcPr/>
          <w:p w:rsidR="00000000" w:rsidDel="00000000" w:rsidP="00000000" w:rsidRDefault="00000000" w:rsidRPr="00000000" w14:paraId="0000007D">
            <w:pPr>
              <w:pStyle w:val="Heading2"/>
              <w:spacing w:after="240" w:line="276" w:lineRule="auto"/>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opportunity to address these final points. Please find our response below:</w:t>
            </w:r>
          </w:p>
          <w:p w:rsidR="00000000" w:rsidDel="00000000" w:rsidP="00000000" w:rsidRDefault="00000000" w:rsidRPr="00000000" w14:paraId="0000007E">
            <w:pPr>
              <w:pStyle w:val="Heading2"/>
              <w:spacing w:after="240" w:line="276" w:lineRule="auto"/>
              <w:ind w:left="0" w:firstLine="0"/>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Regarding Associations/Relationships:</w:t>
            </w:r>
            <w:r w:rsidDel="00000000" w:rsidR="00000000" w:rsidRPr="00000000">
              <w:rPr>
                <w:rFonts w:ascii="Times New Roman" w:cs="Times New Roman" w:eastAsia="Times New Roman" w:hAnsi="Times New Roman"/>
                <w:b w:val="0"/>
                <w:bCs w:val="0"/>
                <w:rtl w:val="0"/>
              </w:rPr>
              <w:t xml:space="preserve"> We have carefully considered the use of inferential statistics and have decided to maintain a descriptive scope for this manuscript.</w:t>
            </w:r>
          </w:p>
        </w:tc>
      </w:tr>
      <w:tr>
        <w:trPr>
          <w:cantSplit w:val="0"/>
          <w:trHeight w:val="20" w:hRule="atLeast"/>
          <w:tblHeader w:val="0"/>
        </w:trPr>
        <w:tc>
          <w:tcPr/>
          <w:p w:rsidR="00000000" w:rsidDel="00000000" w:rsidP="00000000" w:rsidRDefault="00000000" w:rsidRPr="00000000" w14:paraId="0000007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80">
            <w:pPr>
              <w:rPr>
                <w:sz w:val="20"/>
                <w:szCs w:val="20"/>
              </w:rPr>
            </w:pPr>
            <w:r w:rsidDel="00000000" w:rsidR="00000000" w:rsidRPr="00000000">
              <w:rPr>
                <w:rtl w:val="0"/>
              </w:rPr>
            </w:r>
          </w:p>
          <w:p w:rsidR="00000000" w:rsidDel="00000000" w:rsidP="00000000" w:rsidRDefault="00000000" w:rsidRPr="00000000" w14:paraId="00000081">
            <w:pPr>
              <w:rPr>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2">
            <w:pPr>
              <w:rPr>
                <w:b w:val="1"/>
                <w:bCs w:val="1"/>
                <w:sz w:val="20"/>
                <w:szCs w:val="20"/>
              </w:rPr>
            </w:pPr>
            <w:r w:rsidDel="00000000" w:rsidR="00000000" w:rsidRPr="00000000">
              <w:rPr>
                <w:b w:val="1"/>
                <w:bCs w:val="1"/>
                <w:sz w:val="20"/>
                <w:szCs w:val="20"/>
                <w:rtl w:val="0"/>
              </w:rPr>
              <w:t xml:space="preserve">Findings lack inferential statistics for the study to make appropriate inference in conclusion </w:t>
            </w:r>
          </w:p>
        </w:tc>
        <w:tc>
          <w:tcPr/>
          <w:p w:rsidR="00000000" w:rsidDel="00000000" w:rsidP="00000000" w:rsidRDefault="00000000" w:rsidRPr="00000000" w14:paraId="0000008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have revised the manuscript to clarify that this study is a descriptive baseline evaluation intended to provide a high-resolution overview of current clinical gaps and knowledge trends.</w:t>
            </w:r>
          </w:p>
        </w:tc>
      </w:tr>
      <w:tr>
        <w:trPr>
          <w:cantSplit w:val="0"/>
          <w:trHeight w:val="20" w:hRule="atLeast"/>
          <w:tblHeader w:val="0"/>
        </w:trPr>
        <w:tc>
          <w:tcPr/>
          <w:p w:rsidR="00000000" w:rsidDel="00000000" w:rsidP="00000000" w:rsidRDefault="00000000" w:rsidRPr="00000000" w14:paraId="0000008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5">
            <w:pPr>
              <w:rPr>
                <w:b w:val="1"/>
                <w:bCs w:val="1"/>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w:t>
              <w:br w:type="textWrapping"/>
              <w:t xml:space="preserve">Authors should add inferential statistics and make appropriate interpretations </w:t>
            </w:r>
          </w:p>
        </w:tc>
        <w:tc>
          <w:tcPr/>
          <w:p w:rsidR="00000000" w:rsidDel="00000000" w:rsidP="00000000" w:rsidRDefault="00000000" w:rsidRPr="00000000" w14:paraId="0000008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reviewer’s emphasis on inferential statistics. However, we would like to clarify that this specific manuscript is intentionally designed as a descriptive study to provide a high-resolution baseline of knowledge and clinical practice gaps. A separate, more complex analytical report is currently underway that will address multivariate associations and predictive modeling. To ensure this manuscript remains internally consistent as a standalone descriptive report, we have removed all inferential terminology</w:t>
            </w:r>
          </w:p>
        </w:tc>
      </w:tr>
      <w:tr>
        <w:trPr>
          <w:cantSplit w:val="0"/>
          <w:trHeight w:val="20" w:hRule="atLeast"/>
          <w:tblHeader w:val="0"/>
        </w:trPr>
        <w:tc>
          <w:tcPr/>
          <w:p w:rsidR="00000000" w:rsidDel="00000000" w:rsidP="00000000" w:rsidRDefault="00000000" w:rsidRPr="00000000" w14:paraId="00000088">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9">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A">
            <w:pPr>
              <w:rPr>
                <w:sz w:val="20"/>
                <w:szCs w:val="20"/>
              </w:rPr>
            </w:pPr>
            <w:r w:rsidDel="00000000" w:rsidR="00000000" w:rsidRPr="00000000">
              <w:rPr>
                <w:rtl w:val="0"/>
              </w:rPr>
            </w:r>
          </w:p>
          <w:p w:rsidR="00000000" w:rsidDel="00000000" w:rsidP="00000000" w:rsidRDefault="00000000" w:rsidRPr="00000000" w14:paraId="0000008B">
            <w:pPr>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should add recent and relevant references to make them 30s, the current 21 are not adequate</w:t>
              <w:br w:type="textWrapping"/>
              <w:t xml:space="preserve">Formatting should also be consistent on the use of volume number, issue number, page numbers, article number, and DOI</w:t>
            </w:r>
          </w:p>
        </w:tc>
        <w:tc>
          <w:tcPr/>
          <w:p w:rsidR="00000000" w:rsidDel="00000000" w:rsidP="00000000" w:rsidRDefault="00000000" w:rsidRPr="00000000" w14:paraId="0000008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More references have been and the and they are well formatted.</w:t>
            </w:r>
          </w:p>
        </w:tc>
      </w:tr>
      <w:tr>
        <w:trPr>
          <w:cantSplit w:val="0"/>
          <w:trHeight w:val="896" w:hRule="atLeast"/>
          <w:tblHeader w:val="0"/>
        </w:trPr>
        <w:tc>
          <w:tcPr/>
          <w:p w:rsidR="00000000" w:rsidDel="00000000" w:rsidP="00000000" w:rsidRDefault="00000000" w:rsidRPr="00000000" w14:paraId="0000008F">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90">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1">
            <w:pPr>
              <w:rPr>
                <w:sz w:val="20"/>
                <w:szCs w:val="20"/>
              </w:rPr>
            </w:pPr>
            <w:r w:rsidDel="00000000" w:rsidR="00000000" w:rsidRPr="00000000">
              <w:rPr>
                <w:rtl w:val="0"/>
              </w:rPr>
            </w:r>
          </w:p>
          <w:p w:rsidR="00000000" w:rsidDel="00000000" w:rsidP="00000000" w:rsidRDefault="00000000" w:rsidRPr="00000000" w14:paraId="00000092">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3">
            <w:pPr>
              <w:rPr>
                <w:sz w:val="20"/>
                <w:szCs w:val="20"/>
              </w:rPr>
            </w:pPr>
            <w:r w:rsidDel="00000000" w:rsidR="00000000" w:rsidRPr="00000000">
              <w:rPr>
                <w:rtl w:val="0"/>
              </w:rPr>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95">
            <w:pPr>
              <w:pStyle w:val="Heading2"/>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96">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97">
      <w:pPr>
        <w:rPr>
          <w:highlight w:val="yellow"/>
        </w:rPr>
      </w:pPr>
      <w:r w:rsidDel="00000000" w:rsidR="00000000" w:rsidRPr="00000000">
        <w:rPr>
          <w:rtl w:val="0"/>
        </w:rPr>
      </w:r>
    </w:p>
    <w:p w:rsidR="00000000" w:rsidDel="00000000" w:rsidP="00000000" w:rsidRDefault="00000000" w:rsidRPr="00000000" w14:paraId="00000098">
      <w:pPr>
        <w:rPr>
          <w:highlight w:val="yellow"/>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3</w:t>
      </w:r>
    </w:p>
    <w:p w:rsidR="00000000" w:rsidDel="00000000" w:rsidP="00000000" w:rsidRDefault="00000000" w:rsidRPr="00000000" w14:paraId="0000009D">
      <w:pPr>
        <w:rPr/>
      </w:pPr>
      <w:r w:rsidDel="00000000" w:rsidR="00000000" w:rsidRPr="00000000">
        <w:rPr>
          <w:rtl w:val="0"/>
        </w:rPr>
      </w:r>
    </w:p>
    <w:tbl>
      <w:tblPr>
        <w:tblStyle w:val="Table5"/>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11"/>
        <w:gridCol w:w="6059"/>
        <w:tblGridChange w:id="0">
          <w:tblGrid>
            <w:gridCol w:w="7611"/>
            <w:gridCol w:w="6059"/>
          </w:tblGrid>
        </w:tblGridChange>
      </w:tblGrid>
      <w:tr>
        <w:trPr>
          <w:cantSplit w:val="0"/>
          <w:trHeight w:val="20" w:hRule="atLeast"/>
          <w:tblHeader w:val="0"/>
        </w:trPr>
        <w:tc>
          <w:tcPr>
            <w:gridSpan w:val="2"/>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Authors should perform inferential statistics and report them appropriately in the abstract, results, discussion, and conclusion</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See Attachment</w:t>
            </w:r>
          </w:p>
        </w:tc>
        <w:tc>
          <w:tcPr/>
          <w:p w:rsidR="00000000" w:rsidDel="00000000" w:rsidP="00000000" w:rsidRDefault="00000000" w:rsidRPr="00000000" w14:paraId="000000A7">
            <w:pPr>
              <w:pStyle w:val="Heading2"/>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bookmarkStart w:colFirst="0" w:colLast="0" w:name="_heading=h.hipw6sa8lzzp" w:id="0"/>
            <w:bookmarkEnd w:id="0"/>
            <w:r w:rsidDel="00000000" w:rsidR="00000000" w:rsidRPr="00000000">
              <w:rPr>
                <w:rFonts w:ascii="Times New Roman" w:cs="Times New Roman" w:eastAsia="Times New Roman" w:hAnsi="Times New Roman"/>
                <w:b w:val="0"/>
                <w:bCs w:val="0"/>
                <w:rtl w:val="0"/>
              </w:rPr>
              <w:t xml:space="preserve">Thank you  for your comment. </w:t>
              <w:br w:type="textWrapping"/>
              <w:br w:type="textWrapping"/>
              <w:t xml:space="preserve">We intentionally designed as a descriptive study to provide a high-resolution baseline of knowledge and clinical practice gaps</w:t>
            </w:r>
            <w:r w:rsidDel="00000000" w:rsidR="00000000" w:rsidRPr="00000000">
              <w:rPr>
                <w:rtl w:val="0"/>
              </w:rPr>
            </w:r>
          </w:p>
        </w:tc>
      </w:tr>
    </w:tbl>
    <w:p w:rsidR="00000000" w:rsidDel="00000000" w:rsidP="00000000" w:rsidRDefault="00000000" w:rsidRPr="00000000" w14:paraId="000000A8">
      <w:pPr>
        <w:rPr>
          <w:b w:val="1"/>
          <w:bCs w:val="1"/>
          <w:sz w:val="20"/>
          <w:szCs w:val="20"/>
          <w:u w:val="single"/>
        </w:rPr>
      </w:pPr>
      <w:r w:rsidDel="00000000" w:rsidR="00000000" w:rsidRPr="00000000">
        <w:rPr>
          <w:rtl w:val="0"/>
        </w:rPr>
      </w:r>
    </w:p>
    <w:p w:rsidR="00000000" w:rsidDel="00000000" w:rsidP="00000000" w:rsidRDefault="00000000" w:rsidRPr="00000000" w14:paraId="000000A9">
      <w:pPr>
        <w:rPr>
          <w:b w:val="1"/>
          <w:bCs w:val="1"/>
          <w:sz w:val="20"/>
          <w:szCs w:val="20"/>
          <w:u w:val="single"/>
        </w:rPr>
      </w:pPr>
      <w:r w:rsidDel="00000000" w:rsidR="00000000" w:rsidRPr="00000000">
        <w:rPr>
          <w:rtl w:val="0"/>
        </w:rPr>
      </w:r>
    </w:p>
    <w:p w:rsidR="00000000" w:rsidDel="00000000" w:rsidP="00000000" w:rsidRDefault="00000000" w:rsidRPr="00000000" w14:paraId="000000AA">
      <w:pPr>
        <w:rPr>
          <w:b w:val="1"/>
          <w:bCs w:val="1"/>
          <w:sz w:val="20"/>
          <w:szCs w:val="20"/>
          <w:u w:val="single"/>
        </w:rPr>
      </w:pPr>
      <w:bookmarkStart w:colFirst="0" w:colLast="0" w:name="_heading=h.fivazs2s3nzu" w:id="1"/>
      <w:bookmarkEnd w:id="1"/>
      <w:r w:rsidDel="00000000" w:rsidR="00000000" w:rsidRPr="00000000">
        <w:rPr>
          <w:rtl w:val="0"/>
        </w:rPr>
      </w:r>
    </w:p>
    <w:sectPr>
      <w:headerReference r:id="rId7" w:type="default"/>
      <w:footerReference r:id="rId8"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AC">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k6nO79130bckHloyDQKsRWslXw==">CgMxLjAyDmguaGlwdzZzYThsenpwMg5oLmZpdmF6czJzM256dTgAciExTUFSMXhaYlRkejdrZzVCWmNmcHZyRzdCUzE3Z2F6QWc=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