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B809FB" w14:paraId="7384CC48" w14:textId="77777777">
        <w:trPr>
          <w:trHeight w:val="20"/>
          <w:jc w:val="center"/>
        </w:trPr>
        <w:tc>
          <w:tcPr>
            <w:tcW w:w="1186" w:type="pct"/>
          </w:tcPr>
          <w:p w14:paraId="078EB762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ADD8F09" w14:textId="77777777" w:rsidR="00B809FB" w:rsidRDefault="00BC28CB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in Infectious Diseases</w:t>
            </w:r>
          </w:p>
        </w:tc>
      </w:tr>
      <w:tr w:rsidR="00B809FB" w14:paraId="58F39310" w14:textId="77777777">
        <w:trPr>
          <w:trHeight w:val="20"/>
          <w:jc w:val="center"/>
        </w:trPr>
        <w:tc>
          <w:tcPr>
            <w:tcW w:w="1186" w:type="pct"/>
          </w:tcPr>
          <w:p w14:paraId="704A42EB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6F04FBC" w14:textId="77777777" w:rsidR="00B809FB" w:rsidRDefault="00BC2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Ms_AJRID_156169</w:t>
            </w:r>
          </w:p>
        </w:tc>
      </w:tr>
      <w:tr w:rsidR="00B809FB" w14:paraId="5C56ABB5" w14:textId="77777777">
        <w:trPr>
          <w:trHeight w:val="20"/>
          <w:jc w:val="center"/>
        </w:trPr>
        <w:tc>
          <w:tcPr>
            <w:tcW w:w="1186" w:type="pct"/>
          </w:tcPr>
          <w:p w14:paraId="6824E969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D45DDA0" w14:textId="77777777" w:rsidR="00B809FB" w:rsidRDefault="00BC2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Molecular Determinants of Resistance to First- and Second-Line Anti-Tuberculosis Drugs: Current Evidence and Future Directions</w:t>
            </w:r>
          </w:p>
        </w:tc>
      </w:tr>
      <w:tr w:rsidR="00B809FB" w14:paraId="6947EAEE" w14:textId="77777777">
        <w:trPr>
          <w:trHeight w:val="20"/>
          <w:jc w:val="center"/>
        </w:trPr>
        <w:tc>
          <w:tcPr>
            <w:tcW w:w="1186" w:type="pct"/>
          </w:tcPr>
          <w:p w14:paraId="099110ED" w14:textId="77777777" w:rsidR="00B809FB" w:rsidRDefault="00BC28CB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C1C2B5" w14:textId="77777777" w:rsidR="00B809FB" w:rsidRDefault="00BC28C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4F9CAB6C" w14:textId="77777777" w:rsidR="00B809FB" w:rsidRDefault="00B809F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5A9760E9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06C331E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9254EF" w14:textId="77777777" w:rsidR="00B809FB" w:rsidRDefault="00B809FB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183B9153" w14:textId="77777777" w:rsidR="00B809FB" w:rsidRDefault="00BC28CB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7B0A7110" w14:textId="77777777" w:rsidR="00B809FB" w:rsidRDefault="00B809F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3ED20C37" w14:textId="77777777" w:rsidR="00B809FB" w:rsidRDefault="00B809FB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B809FB" w14:paraId="79C26D51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419955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587827E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4B885B7C" w14:textId="77777777" w:rsidR="00B809FB" w:rsidRDefault="00BC2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62EF0F7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30713EA2" w14:textId="77777777">
        <w:trPr>
          <w:trHeight w:val="20"/>
          <w:jc w:val="center"/>
        </w:trPr>
        <w:tc>
          <w:tcPr>
            <w:tcW w:w="1789" w:type="pct"/>
            <w:noWrap/>
          </w:tcPr>
          <w:p w14:paraId="64BA17A7" w14:textId="77777777" w:rsidR="00B809FB" w:rsidRDefault="00BC2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4F8E9DE9" w14:textId="77777777" w:rsidR="00B809FB" w:rsidRDefault="00B809FB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18540B6E" w14:textId="4BAA1EE3" w:rsidR="00B809FB" w:rsidRDefault="00BC28CB">
            <w:pPr>
              <w:rPr>
                <w:rFonts w:ascii="SimSun" w:eastAsia="SimSun" w:hAnsi="SimSun" w:cs="SimSun"/>
                <w:lang w:val="en-IN" w:eastAsia="zh-CN" w:bidi="ar"/>
              </w:rPr>
            </w:pPr>
            <w:r>
              <w:rPr>
                <w:rFonts w:ascii="SimSun" w:eastAsia="SimSun" w:hAnsi="SimSun" w:cs="SimSun"/>
                <w:lang w:eastAsia="zh-CN" w:bidi="ar"/>
              </w:rPr>
              <w:t xml:space="preserve">In addition to introducing new </w:t>
            </w:r>
            <w:r>
              <w:rPr>
                <w:rFonts w:ascii="SimSun" w:eastAsia="SimSun" w:hAnsi="SimSun" w:cs="SimSun"/>
                <w:lang w:val="en-IN" w:eastAsia="zh-CN" w:bidi="ar"/>
              </w:rPr>
              <w:t>drug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 targets, this review study identifies every significant target gene that contributes to tuberculosis drug resistance.</w:t>
            </w:r>
            <w:r w:rsidR="0047194C">
              <w:rPr>
                <w:rFonts w:ascii="SimSun" w:eastAsia="SimSun" w:hAnsi="SimSun" w:cs="SimSun"/>
                <w:lang w:eastAsia="zh-CN" w:bidi="ar"/>
              </w:rPr>
              <w:t xml:space="preserve"> 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Additionally, it has provided </w:t>
            </w:r>
            <w:r>
              <w:rPr>
                <w:rFonts w:ascii="SimSun" w:eastAsia="SimSun" w:hAnsi="SimSun" w:cs="SimSun"/>
                <w:lang w:val="en-IN" w:eastAsia="zh-CN" w:bidi="ar"/>
              </w:rPr>
              <w:t>an</w:t>
            </w:r>
            <w:r>
              <w:rPr>
                <w:rFonts w:ascii="SimSun" w:eastAsia="SimSun" w:hAnsi="SimSun" w:cs="SimSun"/>
                <w:lang w:eastAsia="zh-CN" w:bidi="ar"/>
              </w:rPr>
              <w:t xml:space="preserve"> explanation of how bacterial fitness and the evolution of resistance are impacted by epistatic and compensating interactions between </w:t>
            </w:r>
            <w:r w:rsidR="0047194C">
              <w:rPr>
                <w:rFonts w:ascii="SimSun" w:eastAsia="SimSun" w:hAnsi="SimSun" w:cs="SimSun"/>
                <w:lang w:eastAsia="zh-CN" w:bidi="ar"/>
              </w:rPr>
              <w:t>mutation</w:t>
            </w:r>
            <w:r>
              <w:rPr>
                <w:rFonts w:ascii="SimSun" w:eastAsia="SimSun" w:hAnsi="SimSun" w:cs="SimSun"/>
                <w:lang w:val="en-IN" w:eastAsia="zh-CN" w:bidi="ar"/>
              </w:rPr>
              <w:t>.</w:t>
            </w:r>
          </w:p>
          <w:p w14:paraId="33D6F4E8" w14:textId="77777777" w:rsidR="00B809FB" w:rsidRDefault="00B809FB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367" w:type="pct"/>
          </w:tcPr>
          <w:p w14:paraId="5DA1A62C" w14:textId="3F801685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17D215CD" w14:textId="77777777" w:rsidR="00B809FB" w:rsidRDefault="00B809FB">
      <w:pPr>
        <w:rPr>
          <w:sz w:val="20"/>
          <w:szCs w:val="20"/>
          <w:lang w:val="en-GB"/>
        </w:rPr>
      </w:pPr>
    </w:p>
    <w:p w14:paraId="7357A134" w14:textId="77777777" w:rsidR="00B809FB" w:rsidRDefault="00B809FB">
      <w:pPr>
        <w:rPr>
          <w:sz w:val="20"/>
          <w:szCs w:val="20"/>
          <w:lang w:val="en-GB"/>
        </w:rPr>
      </w:pPr>
    </w:p>
    <w:p w14:paraId="1C64B347" w14:textId="77777777" w:rsidR="00B809FB" w:rsidRDefault="00B809FB">
      <w:pPr>
        <w:rPr>
          <w:sz w:val="20"/>
          <w:szCs w:val="20"/>
          <w:lang w:val="en-GB"/>
        </w:rPr>
      </w:pPr>
    </w:p>
    <w:p w14:paraId="6FCBEBCD" w14:textId="77777777" w:rsidR="00B809FB" w:rsidRDefault="00BC2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310639BA" w14:textId="77777777" w:rsidR="00B809FB" w:rsidRDefault="00B809FB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B809FB" w14:paraId="7B692BDF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29662BBE" w14:textId="77777777" w:rsidR="00B809FB" w:rsidRDefault="00B809FB">
            <w:pPr>
              <w:rPr>
                <w:sz w:val="22"/>
                <w:szCs w:val="22"/>
                <w:lang w:val="en-GB"/>
              </w:rPr>
            </w:pPr>
          </w:p>
          <w:p w14:paraId="297E9651" w14:textId="77777777" w:rsidR="00B809FB" w:rsidRDefault="00B809FB">
            <w:pPr>
              <w:rPr>
                <w:sz w:val="20"/>
                <w:szCs w:val="20"/>
                <w:lang w:val="en-GB"/>
              </w:rPr>
            </w:pPr>
          </w:p>
        </w:tc>
      </w:tr>
      <w:tr w:rsidR="00B809FB" w14:paraId="5D5D6930" w14:textId="77777777">
        <w:trPr>
          <w:trHeight w:val="20"/>
          <w:jc w:val="center"/>
        </w:trPr>
        <w:tc>
          <w:tcPr>
            <w:tcW w:w="1790" w:type="pct"/>
            <w:noWrap/>
          </w:tcPr>
          <w:p w14:paraId="3345B13D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0EBE1CC8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4B1C0D3" w14:textId="77777777" w:rsidR="00B809FB" w:rsidRDefault="00BC28CB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809FB" w14:paraId="3D353A0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FA711E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5C13C76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C918C" w14:textId="77777777" w:rsidR="00B809FB" w:rsidRDefault="00BC28C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A17DBD6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3</w:t>
            </w:r>
          </w:p>
        </w:tc>
        <w:tc>
          <w:tcPr>
            <w:tcW w:w="1367" w:type="pct"/>
          </w:tcPr>
          <w:p w14:paraId="7F1D1325" w14:textId="16B74C74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3C5BFD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BBFB096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7C467C6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D9A67E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E12A443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B5B9965" w14:textId="6311F186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260D648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BC0932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9484143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9F1DC8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82F019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2AB832D" w14:textId="5A745706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078A4FA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6661B4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F8CDFEC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7AAADC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0AA943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3A19015F" w14:textId="3C3B59D2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3EF6B9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DEC0AC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0F4EEB2B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D7FCE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B2A1F9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508DD577" w14:textId="4BF1A28F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6A34A9C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E94308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2A47B402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298BCF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C298455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02CDF7F6" w14:textId="0FF6168D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788FA7F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80A45A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D78900D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479F21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CD9476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EE8ECF9" w14:textId="6ECBE773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2794088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B95E20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600CC13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5CE3DB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46053B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367" w:type="pct"/>
          </w:tcPr>
          <w:p w14:paraId="4026D85E" w14:textId="2DFA4FA5" w:rsidR="00B809FB" w:rsidRDefault="00FB5560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It’s </w:t>
            </w:r>
            <w:r w:rsidR="009A2060">
              <w:rPr>
                <w:rFonts w:ascii="Times New Roman" w:hAnsi="Times New Roman"/>
                <w:b w:val="0"/>
                <w:lang w:val="en-GB" w:eastAsia="en-US"/>
              </w:rPr>
              <w:t>review research</w:t>
            </w:r>
            <w:r>
              <w:rPr>
                <w:rFonts w:ascii="Times New Roman" w:hAnsi="Times New Roman"/>
                <w:b w:val="0"/>
                <w:lang w:val="en-GB" w:eastAsia="en-US"/>
              </w:rPr>
              <w:t xml:space="preserve"> that doesn’t really need to follow a specific methodology</w:t>
            </w:r>
          </w:p>
        </w:tc>
      </w:tr>
      <w:tr w:rsidR="00B809FB" w14:paraId="65D1F3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F19A6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C2A556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B58D264" w14:textId="77777777" w:rsidR="00B809FB" w:rsidRDefault="00BC28CB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B1D1F5" w14:textId="77777777" w:rsidR="00B809FB" w:rsidRDefault="00BC28C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367" w:type="pct"/>
          </w:tcPr>
          <w:p w14:paraId="2522110A" w14:textId="3E422F93" w:rsidR="006201CA" w:rsidRPr="00933E08" w:rsidRDefault="006201CA" w:rsidP="006201CA">
            <w:r>
              <w:rPr>
                <w:sz w:val="20"/>
                <w:szCs w:val="20"/>
              </w:rPr>
              <w:t xml:space="preserve">The limit in critical analysis of literature is because </w:t>
            </w:r>
            <w:r w:rsidRPr="006201CA">
              <w:rPr>
                <w:sz w:val="20"/>
                <w:szCs w:val="20"/>
              </w:rPr>
              <w:t xml:space="preserve">while the molecular basis of resistance to </w:t>
            </w:r>
            <w:r>
              <w:rPr>
                <w:sz w:val="20"/>
                <w:szCs w:val="20"/>
              </w:rPr>
              <w:t>first-line drug</w:t>
            </w:r>
            <w:r w:rsidRPr="006201CA">
              <w:rPr>
                <w:sz w:val="20"/>
                <w:szCs w:val="20"/>
              </w:rPr>
              <w:t xml:space="preserve"> is relatively well characterized, knowledge gaps persist for many second-line and newer drugs, where resistance mechanisms remain incompletely defined.</w:t>
            </w:r>
          </w:p>
          <w:p w14:paraId="1142EE33" w14:textId="26F47C95" w:rsidR="00512A42" w:rsidRDefault="00512A42" w:rsidP="00512A42">
            <w:pPr>
              <w:rPr>
                <w:sz w:val="20"/>
                <w:szCs w:val="20"/>
              </w:rPr>
            </w:pPr>
          </w:p>
          <w:p w14:paraId="52CC562C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4000BB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829AFB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4B0C0413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EA460F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AF11512" w14:textId="77777777" w:rsidR="00B809FB" w:rsidRDefault="00BC28CB">
            <w:pPr>
              <w:pStyle w:val="ListParagraph"/>
              <w:ind w:left="0" w:firstLineChars="250" w:firstLine="5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46A65EF6" w14:textId="607D9F5F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73C1B1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FD51E09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E62A26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571D6C7B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5C6CA6" w14:textId="77777777" w:rsidR="00B809FB" w:rsidRDefault="00BC28CB">
            <w:pPr>
              <w:pStyle w:val="ListParagraph"/>
              <w:ind w:left="0" w:firstLineChars="300" w:firstLine="6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lastRenderedPageBreak/>
              <w:t>4</w:t>
            </w:r>
          </w:p>
        </w:tc>
        <w:tc>
          <w:tcPr>
            <w:tcW w:w="1367" w:type="pct"/>
          </w:tcPr>
          <w:p w14:paraId="3EE74A8D" w14:textId="4E57E33E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323575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3D68D1C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7981E454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AD8C1F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7B04F0" w14:textId="77777777" w:rsidR="00B809FB" w:rsidRDefault="00BC28CB">
            <w:pPr>
              <w:pStyle w:val="ListParagraph"/>
              <w:ind w:left="0" w:firstLineChars="300" w:firstLine="6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NA</w:t>
            </w:r>
          </w:p>
        </w:tc>
        <w:tc>
          <w:tcPr>
            <w:tcW w:w="1367" w:type="pct"/>
          </w:tcPr>
          <w:p w14:paraId="38C4BAA6" w14:textId="77777777" w:rsidR="00527B9A" w:rsidRDefault="00527B9A" w:rsidP="00527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0560854C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17F3A76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46D66B3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DA4AE4C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D9DBA9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01280AB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35CA8FC" w14:textId="77777777" w:rsidR="00B809FB" w:rsidRDefault="00BC28CB">
            <w:pPr>
              <w:pStyle w:val="ListParagraph"/>
              <w:ind w:left="0" w:firstLineChars="350" w:firstLine="7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7BA1DA16" w14:textId="6F495828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  <w:tr w:rsidR="00B809FB" w14:paraId="793223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2535EF" w14:textId="77777777" w:rsidR="00B809FB" w:rsidRDefault="00BC28C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09BAF25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BA0D51" w14:textId="77777777" w:rsidR="00B809FB" w:rsidRDefault="00BC28C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BD4B8F8" w14:textId="77777777" w:rsidR="00B809FB" w:rsidRDefault="00BC28C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674FFD71" w14:textId="77777777" w:rsidR="00B809FB" w:rsidRDefault="00BC28CB">
            <w:pPr>
              <w:pStyle w:val="ListParagraph"/>
              <w:ind w:left="0" w:firstLineChars="400" w:firstLine="8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4</w:t>
            </w:r>
          </w:p>
        </w:tc>
        <w:tc>
          <w:tcPr>
            <w:tcW w:w="1367" w:type="pct"/>
          </w:tcPr>
          <w:p w14:paraId="6B0F958A" w14:textId="6BC7EE44" w:rsidR="00B809FB" w:rsidRDefault="0047194C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Satisfactory</w:t>
            </w:r>
          </w:p>
        </w:tc>
      </w:tr>
    </w:tbl>
    <w:p w14:paraId="66DC86DC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0356E53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F80787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05CEEA" w14:textId="77777777" w:rsidR="00B809FB" w:rsidRDefault="00BC28CB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140E8DAB" w14:textId="77777777" w:rsidR="00B809FB" w:rsidRDefault="00B809FB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B809FB" w14:paraId="475C64AE" w14:textId="77777777">
        <w:trPr>
          <w:trHeight w:val="20"/>
          <w:jc w:val="center"/>
        </w:trPr>
        <w:tc>
          <w:tcPr>
            <w:tcW w:w="1265" w:type="pct"/>
            <w:noWrap/>
          </w:tcPr>
          <w:p w14:paraId="7C4B6CF9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1FAECF28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5055B61" w14:textId="77777777" w:rsidR="00B809FB" w:rsidRDefault="00B809F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7D93A87D" w14:textId="77777777" w:rsidR="00B809FB" w:rsidRDefault="00BC28CB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347B95C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23C82282" w14:textId="77777777">
        <w:trPr>
          <w:trHeight w:val="20"/>
          <w:jc w:val="center"/>
        </w:trPr>
        <w:tc>
          <w:tcPr>
            <w:tcW w:w="1265" w:type="pct"/>
            <w:noWrap/>
          </w:tcPr>
          <w:p w14:paraId="0F61CBB4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6C88342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51B3619D" w14:textId="77777777" w:rsidR="00B809FB" w:rsidRDefault="00BC28C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13DD245" w14:textId="77777777" w:rsidR="00B809FB" w:rsidRDefault="00B809FB"/>
          <w:p w14:paraId="4E4D81F1" w14:textId="54BDC9F2" w:rsidR="00B809FB" w:rsidRDefault="00BC28CB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The title may be made appealing and pertinent.</w:t>
            </w:r>
          </w:p>
        </w:tc>
        <w:tc>
          <w:tcPr>
            <w:tcW w:w="1523" w:type="pct"/>
          </w:tcPr>
          <w:p w14:paraId="481D01E3" w14:textId="77777777" w:rsidR="00B809FB" w:rsidRDefault="00B809FB" w:rsidP="00527B9A">
            <w:pPr>
              <w:rPr>
                <w:b/>
                <w:lang w:val="en-GB"/>
              </w:rPr>
            </w:pPr>
          </w:p>
        </w:tc>
      </w:tr>
      <w:tr w:rsidR="00B809FB" w14:paraId="485B6CC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8BBE44B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B9C7F28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6D5116BA" w14:textId="77777777" w:rsidR="00B809FB" w:rsidRDefault="00BC28C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43F3018" w14:textId="77777777" w:rsidR="00B809FB" w:rsidRDefault="00B809FB">
            <w:pPr>
              <w:rPr>
                <w:b/>
                <w:bCs/>
                <w:sz w:val="20"/>
                <w:szCs w:val="20"/>
                <w:lang w:val="en-IN"/>
              </w:rPr>
            </w:pPr>
          </w:p>
          <w:p w14:paraId="480B556F" w14:textId="77777777" w:rsidR="00B809FB" w:rsidRDefault="00BC28CB">
            <w:pPr>
              <w:rPr>
                <w:b/>
                <w:bCs/>
                <w:sz w:val="20"/>
                <w:szCs w:val="20"/>
                <w:lang w:val="en-IN"/>
              </w:rPr>
            </w:pPr>
            <w:r>
              <w:rPr>
                <w:b/>
                <w:bCs/>
                <w:sz w:val="20"/>
                <w:szCs w:val="20"/>
                <w:lang w:val="en-IN"/>
              </w:rPr>
              <w:t>The number of drug targets is not fully stated,just like the number of medications specified.The phrase “We  examine” sounds inappropriate.</w:t>
            </w:r>
          </w:p>
          <w:p w14:paraId="2E72E036" w14:textId="77777777" w:rsidR="00B809FB" w:rsidRDefault="00B809FB"/>
          <w:p w14:paraId="5A66F10C" w14:textId="77777777" w:rsidR="00B809FB" w:rsidRDefault="00B809FB">
            <w:pPr>
              <w:ind w:left="360"/>
              <w:rPr>
                <w:b/>
                <w:bCs/>
                <w:sz w:val="20"/>
                <w:szCs w:val="20"/>
                <w:lang w:val="en-IN"/>
              </w:rPr>
            </w:pPr>
          </w:p>
        </w:tc>
        <w:tc>
          <w:tcPr>
            <w:tcW w:w="1523" w:type="pct"/>
          </w:tcPr>
          <w:p w14:paraId="18F1A3BC" w14:textId="77777777" w:rsidR="00527B9A" w:rsidRDefault="00527B9A" w:rsidP="00527B9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It has been taken care of.</w:t>
            </w:r>
          </w:p>
          <w:p w14:paraId="77231AC6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62A02FB7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5107A0" w14:textId="77777777" w:rsidR="00B809FB" w:rsidRDefault="00BC28C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50904E9" w14:textId="77777777" w:rsidR="00B809FB" w:rsidRDefault="00BC28C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9635074" w14:textId="77777777" w:rsidR="00B809FB" w:rsidRDefault="00BC28CB">
            <w:pPr>
              <w:pStyle w:val="ListParagraph"/>
              <w:ind w:left="0" w:firstLineChars="1050" w:firstLine="21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523" w:type="pct"/>
          </w:tcPr>
          <w:p w14:paraId="7A1619FD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5B2DEBFD" w14:textId="77777777">
        <w:trPr>
          <w:trHeight w:val="20"/>
          <w:jc w:val="center"/>
        </w:trPr>
        <w:tc>
          <w:tcPr>
            <w:tcW w:w="1265" w:type="pct"/>
            <w:noWrap/>
          </w:tcPr>
          <w:p w14:paraId="5C06A367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3CF575F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0E0A3979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39EEF321" w14:textId="77777777" w:rsidR="00B809FB" w:rsidRDefault="00BC28CB">
            <w:pPr>
              <w:pStyle w:val="ListParagraph"/>
              <w:ind w:left="0" w:firstLineChars="1050" w:firstLine="21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523" w:type="pct"/>
          </w:tcPr>
          <w:p w14:paraId="621B660E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809FB" w14:paraId="030A388C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328AA3" w14:textId="77777777" w:rsidR="00B809FB" w:rsidRDefault="00BC28C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F723BFE" w14:textId="77777777" w:rsidR="00B809FB" w:rsidRDefault="00BC2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361969C" w14:textId="77777777" w:rsidR="00B809FB" w:rsidRDefault="00B809FB">
            <w:pPr>
              <w:rPr>
                <w:bCs/>
                <w:sz w:val="20"/>
                <w:szCs w:val="20"/>
                <w:lang w:val="en-GB"/>
              </w:rPr>
            </w:pPr>
          </w:p>
          <w:p w14:paraId="3C9593F3" w14:textId="77777777" w:rsidR="00B809FB" w:rsidRDefault="00BC28C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25F3B48" w14:textId="77777777" w:rsidR="00B809FB" w:rsidRDefault="00B809F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63382A5" w14:textId="77777777" w:rsidR="00B809FB" w:rsidRDefault="00BC28CB">
            <w:pPr>
              <w:pStyle w:val="ListParagraph"/>
              <w:ind w:firstLineChars="700" w:firstLine="1400"/>
              <w:rPr>
                <w:bCs/>
                <w:sz w:val="20"/>
                <w:szCs w:val="20"/>
                <w:lang w:val="en-IN"/>
              </w:rPr>
            </w:pPr>
            <w:r>
              <w:rPr>
                <w:bCs/>
                <w:sz w:val="20"/>
                <w:szCs w:val="20"/>
                <w:lang w:val="en-IN"/>
              </w:rPr>
              <w:t>-</w:t>
            </w:r>
          </w:p>
        </w:tc>
        <w:tc>
          <w:tcPr>
            <w:tcW w:w="1523" w:type="pct"/>
          </w:tcPr>
          <w:p w14:paraId="41E000BB" w14:textId="77777777" w:rsidR="00B809FB" w:rsidRDefault="00B809F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3AE2B64" w14:textId="77777777" w:rsidR="00B809FB" w:rsidRDefault="00B809FB">
      <w:pPr>
        <w:rPr>
          <w:lang w:val="en-GB"/>
        </w:rPr>
      </w:pPr>
    </w:p>
    <w:p w14:paraId="737F88B2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0EA374" w14:textId="77777777" w:rsidR="00B809FB" w:rsidRDefault="00B809FB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B809FB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7EE11E" w14:textId="77777777" w:rsidR="00766734" w:rsidRDefault="00766734">
      <w:r>
        <w:separator/>
      </w:r>
    </w:p>
  </w:endnote>
  <w:endnote w:type="continuationSeparator" w:id="0">
    <w:p w14:paraId="10737CB0" w14:textId="77777777" w:rsidR="00766734" w:rsidRDefault="00766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EF3C3" w14:textId="2AE964DB" w:rsidR="00B809FB" w:rsidRDefault="00BC28CB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E58B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E58B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4C15D43F" w14:textId="77777777" w:rsidR="00B809FB" w:rsidRDefault="00B809FB">
    <w:pPr>
      <w:pStyle w:val="Footer"/>
      <w:jc w:val="right"/>
    </w:pPr>
  </w:p>
  <w:p w14:paraId="3A1C43AC" w14:textId="77777777" w:rsidR="00B809FB" w:rsidRDefault="00B809FB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5C40FD" w14:textId="77777777" w:rsidR="00766734" w:rsidRDefault="00766734">
      <w:r>
        <w:separator/>
      </w:r>
    </w:p>
  </w:footnote>
  <w:footnote w:type="continuationSeparator" w:id="0">
    <w:p w14:paraId="214D1E38" w14:textId="77777777" w:rsidR="00766734" w:rsidRDefault="00766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A0B4C7" w14:textId="77777777" w:rsidR="00B809FB" w:rsidRDefault="00B809FB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E4F119" w14:textId="77777777" w:rsidR="00B809FB" w:rsidRDefault="00BC28CB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7030"/>
    <w:rsid w:val="00185B75"/>
    <w:rsid w:val="00206A85"/>
    <w:rsid w:val="0047194C"/>
    <w:rsid w:val="00512A42"/>
    <w:rsid w:val="00527B9A"/>
    <w:rsid w:val="0053344C"/>
    <w:rsid w:val="00566604"/>
    <w:rsid w:val="006201CA"/>
    <w:rsid w:val="006A2E9A"/>
    <w:rsid w:val="00755546"/>
    <w:rsid w:val="00766734"/>
    <w:rsid w:val="009A2060"/>
    <w:rsid w:val="00A9649C"/>
    <w:rsid w:val="00B77030"/>
    <w:rsid w:val="00B809FB"/>
    <w:rsid w:val="00B83220"/>
    <w:rsid w:val="00BC28CB"/>
    <w:rsid w:val="00BE58BD"/>
    <w:rsid w:val="00CF0F90"/>
    <w:rsid w:val="00CF215B"/>
    <w:rsid w:val="00CF637A"/>
    <w:rsid w:val="00FB0E89"/>
    <w:rsid w:val="00FB5560"/>
    <w:rsid w:val="1C095610"/>
    <w:rsid w:val="44AA703F"/>
    <w:rsid w:val="5E09234C"/>
    <w:rsid w:val="72D5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4464B6"/>
  <w15:docId w15:val="{89867727-8B7A-4692-B493-01AA87DE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rPr>
      <w:rFonts w:ascii="Calibri" w:eastAsia="Calibri" w:hAnsi="Calibri"/>
      <w:sz w:val="22"/>
      <w:szCs w:val="22"/>
      <w:lang w:val="en-US" w:eastAsia="en-US"/>
    </w:r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206A8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zite</cp:lastModifiedBy>
  <cp:revision>25</cp:revision>
  <dcterms:created xsi:type="dcterms:W3CDTF">2026-03-24T06:32:00Z</dcterms:created>
  <dcterms:modified xsi:type="dcterms:W3CDTF">2026-04-08T16:13:00Z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1033-12.2.0.23196</vt:lpwstr>
  </property>
  <property fmtid="{D5CDD505-2E9C-101B-9397-08002B2CF9AE}" pid="4" name="ICV">
    <vt:lpwstr>E44B3031F13D42C0BEC5F72C4897585E_13</vt:lpwstr>
  </property>
</Properties>
</file>