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50A844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273BC7D4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169E8E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Medicine and Health</w:t>
            </w:r>
          </w:p>
        </w:tc>
      </w:tr>
      <w:tr w14:paraId="11573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4AAE68A0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F08C7D3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Ms_AJMAH_156896</w:t>
            </w:r>
          </w:p>
        </w:tc>
      </w:tr>
      <w:tr w14:paraId="41CEC1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223E89A4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6DACD8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systematic review of factors affecting uptake of contraception amongst adolescents in Nigeria</w:t>
            </w:r>
          </w:p>
        </w:tc>
      </w:tr>
      <w:tr w14:paraId="51669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47CA1B0E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2DBE1D9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C63CBC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8D3D1D5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D05E1B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90BFC6">
      <w:pPr>
        <w:pStyle w:val="6"/>
        <w:rPr>
          <w:rFonts w:ascii="Times New Roman" w:hAnsi="Times New Roman"/>
          <w:sz w:val="20"/>
          <w:szCs w:val="20"/>
          <w:lang w:val="en-GB"/>
        </w:rPr>
      </w:pPr>
    </w:p>
    <w:p w14:paraId="2A45D378">
      <w:pPr>
        <w:pStyle w:val="6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50ECA45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45D7F34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5D09E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5DB5E7D5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1DFDF7EA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8F075B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30D9CF0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35CB9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1E80558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AB2B658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030F4668">
            <w:pPr>
              <w:pStyle w:val="19"/>
              <w:numPr>
                <w:ilvl w:val="0"/>
                <w:numId w:val="1"/>
              </w:numPr>
            </w:pPr>
            <w:r>
              <w:t>This study synthesizes fragmented evidence on adolescent contraceptive uptake in Nigeria.</w:t>
            </w:r>
          </w:p>
          <w:p w14:paraId="27AE3BE6">
            <w:pPr>
              <w:pStyle w:val="19"/>
              <w:numPr>
                <w:ilvl w:val="0"/>
                <w:numId w:val="1"/>
              </w:numPr>
            </w:pPr>
            <w:r>
              <w:t>It integrates individual, interpersonal, socio-cultural, and health system determinants.</w:t>
            </w:r>
          </w:p>
          <w:p w14:paraId="1E669428">
            <w:pPr>
              <w:pStyle w:val="19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It helps to enhance understanding of the complex drivers of reproductive health behavior in a high-burden setting. </w:t>
            </w:r>
          </w:p>
          <w:p w14:paraId="00631710">
            <w:pPr>
              <w:pStyle w:val="19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t>Its findings are useful for policymakers, public health practitioners and researchers that are involved to design effective adolescent-friendly reproductive health programs especially in low- and middle-income countries.</w:t>
            </w:r>
          </w:p>
        </w:tc>
        <w:tc>
          <w:tcPr>
            <w:tcW w:w="1367" w:type="pct"/>
            <w:shd w:val="clear" w:color="auto" w:fill="auto"/>
          </w:tcPr>
          <w:p w14:paraId="4104392C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</w:tbl>
    <w:p w14:paraId="1BAF0D4C">
      <w:pPr>
        <w:rPr>
          <w:sz w:val="20"/>
          <w:szCs w:val="20"/>
          <w:lang w:val="en-GB"/>
        </w:rPr>
      </w:pPr>
    </w:p>
    <w:p w14:paraId="28751859">
      <w:pPr>
        <w:rPr>
          <w:sz w:val="20"/>
          <w:szCs w:val="20"/>
          <w:lang w:val="en-GB"/>
        </w:rPr>
      </w:pPr>
    </w:p>
    <w:p w14:paraId="7BB26069">
      <w:pPr>
        <w:rPr>
          <w:sz w:val="20"/>
          <w:szCs w:val="20"/>
          <w:lang w:val="en-GB"/>
        </w:rPr>
      </w:pPr>
    </w:p>
    <w:p w14:paraId="7D066CBA">
      <w:pPr>
        <w:pStyle w:val="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776DB440">
      <w:pPr>
        <w:rPr>
          <w:sz w:val="20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34CF9D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1C052481">
            <w:pPr>
              <w:rPr>
                <w:sz w:val="22"/>
                <w:szCs w:val="22"/>
                <w:lang w:val="en-GB"/>
              </w:rPr>
            </w:pPr>
          </w:p>
          <w:p w14:paraId="335CAA88">
            <w:pPr>
              <w:rPr>
                <w:sz w:val="20"/>
                <w:szCs w:val="20"/>
                <w:lang w:val="en-GB"/>
              </w:rPr>
            </w:pPr>
          </w:p>
        </w:tc>
      </w:tr>
      <w:tr w14:paraId="37B20E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55E750F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  <w:vAlign w:val="center"/>
          </w:tcPr>
          <w:p w14:paraId="1B8C613B">
            <w:pPr>
              <w:pStyle w:val="2"/>
              <w:keepNext w:val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A1FC80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14:paraId="51563D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E187E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6CBF6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E22B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01145D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5 (Excellent)</w:t>
            </w:r>
          </w:p>
        </w:tc>
        <w:tc>
          <w:tcPr>
            <w:tcW w:w="1367" w:type="pct"/>
            <w:shd w:val="clear" w:color="auto" w:fill="auto"/>
          </w:tcPr>
          <w:p w14:paraId="600D0D9D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46AD85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5C765B1B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4822DF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0DD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145B86E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5 (Excellent)</w:t>
            </w:r>
          </w:p>
        </w:tc>
        <w:tc>
          <w:tcPr>
            <w:tcW w:w="1367" w:type="pct"/>
            <w:shd w:val="clear" w:color="auto" w:fill="auto"/>
          </w:tcPr>
          <w:p w14:paraId="752EE366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0BB3D2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A5FE326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A9CF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85F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601625E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4 (Good)</w:t>
            </w:r>
          </w:p>
        </w:tc>
        <w:tc>
          <w:tcPr>
            <w:tcW w:w="1367" w:type="pct"/>
            <w:shd w:val="clear" w:color="auto" w:fill="auto"/>
          </w:tcPr>
          <w:p w14:paraId="5F0D5F2B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470E8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ADACC19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1B0AF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695D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0D3B7D6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5 (Excellent)</w:t>
            </w:r>
          </w:p>
        </w:tc>
        <w:tc>
          <w:tcPr>
            <w:tcW w:w="1367" w:type="pct"/>
            <w:shd w:val="clear" w:color="auto" w:fill="auto"/>
          </w:tcPr>
          <w:p w14:paraId="36E5FD4A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3D2A5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6D6BE2C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E4520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734B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63CD0D1B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5 (Excellent)</w:t>
            </w:r>
          </w:p>
        </w:tc>
        <w:tc>
          <w:tcPr>
            <w:tcW w:w="1367" w:type="pct"/>
            <w:shd w:val="clear" w:color="auto" w:fill="auto"/>
          </w:tcPr>
          <w:p w14:paraId="31A3E28C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6C72A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3643492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2BD79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502F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5A6E7E5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5 (Excellent)</w:t>
            </w:r>
          </w:p>
        </w:tc>
        <w:tc>
          <w:tcPr>
            <w:tcW w:w="1367" w:type="pct"/>
            <w:shd w:val="clear" w:color="auto" w:fill="auto"/>
          </w:tcPr>
          <w:p w14:paraId="524EDC62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641C43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1C4C8F3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4D9CE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BE361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661F028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5 (Excellent)</w:t>
            </w:r>
          </w:p>
        </w:tc>
        <w:tc>
          <w:tcPr>
            <w:tcW w:w="1367" w:type="pct"/>
            <w:shd w:val="clear" w:color="auto" w:fill="auto"/>
          </w:tcPr>
          <w:p w14:paraId="598D8E36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2003B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DB3E51E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0E114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0E9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707A3B9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5 (Excellent)</w:t>
            </w:r>
          </w:p>
        </w:tc>
        <w:tc>
          <w:tcPr>
            <w:tcW w:w="1367" w:type="pct"/>
            <w:shd w:val="clear" w:color="auto" w:fill="auto"/>
          </w:tcPr>
          <w:p w14:paraId="779C27D1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29488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6C8DAF4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69AE1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B71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381DB58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4 (Good)</w:t>
            </w:r>
          </w:p>
        </w:tc>
        <w:tc>
          <w:tcPr>
            <w:tcW w:w="1367" w:type="pct"/>
            <w:shd w:val="clear" w:color="auto" w:fill="auto"/>
          </w:tcPr>
          <w:p w14:paraId="0B5218D2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5423D0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58013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4146A70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1DED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7A25C28B">
            <w:pPr>
              <w:pStyle w:val="19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t>4 (Good)</w:t>
            </w:r>
          </w:p>
        </w:tc>
        <w:tc>
          <w:tcPr>
            <w:tcW w:w="1367" w:type="pct"/>
            <w:shd w:val="clear" w:color="auto" w:fill="auto"/>
          </w:tcPr>
          <w:p w14:paraId="237CB6BE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33B18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C6091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95FF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19EB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62C320FC">
            <w:pPr>
              <w:pStyle w:val="19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t>5 (Excellent)</w:t>
            </w:r>
          </w:p>
        </w:tc>
        <w:tc>
          <w:tcPr>
            <w:tcW w:w="1367" w:type="pct"/>
            <w:shd w:val="clear" w:color="auto" w:fill="auto"/>
          </w:tcPr>
          <w:p w14:paraId="69079153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7450D2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D2991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C896E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EDD9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39036914">
            <w:pPr>
              <w:pStyle w:val="19"/>
              <w:ind w:left="0"/>
              <w:jc w:val="center"/>
              <w:rPr>
                <w:b/>
                <w:bCs/>
              </w:rPr>
            </w:pPr>
            <w:r>
              <w:rPr>
                <w:rStyle w:val="12"/>
                <w:rFonts w:eastAsia="MS Mincho"/>
                <w:b w:val="0"/>
                <w:bCs w:val="0"/>
              </w:rPr>
              <w:t>2 (Needs Improvement)</w:t>
            </w:r>
            <w:r>
              <w:rPr>
                <w:b/>
                <w:bCs/>
              </w:rPr>
              <w:t xml:space="preserve"> </w:t>
            </w:r>
          </w:p>
          <w:p w14:paraId="67D9CAA8">
            <w:pPr>
              <w:pStyle w:val="19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as proper</w:t>
            </w:r>
            <w:r>
              <w:rPr>
                <w:b/>
                <w:bCs/>
              </w:rPr>
              <w:t xml:space="preserve"> </w:t>
            </w:r>
            <w:r>
              <w:rPr>
                <w:rStyle w:val="12"/>
                <w:rFonts w:eastAsia="MS Mincho"/>
                <w:b w:val="0"/>
                <w:bCs w:val="0"/>
              </w:rPr>
              <w:t>limitations section is missing</w:t>
            </w:r>
            <w:r>
              <w:rPr>
                <w:b/>
                <w:bCs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14:paraId="74DED2D9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4D8F67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69AC2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DE1F1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CF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DF6E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4E6D6D20">
            <w:pPr>
              <w:pStyle w:val="19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t>4 (Good)</w:t>
            </w:r>
          </w:p>
        </w:tc>
        <w:tc>
          <w:tcPr>
            <w:tcW w:w="1367" w:type="pct"/>
            <w:shd w:val="clear" w:color="auto" w:fill="auto"/>
          </w:tcPr>
          <w:p w14:paraId="268FE52B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67CCD8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CE442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72893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7B1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7AD1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42ED8687">
            <w:pPr>
              <w:pStyle w:val="19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t>5 (Excellent)</w:t>
            </w:r>
          </w:p>
        </w:tc>
        <w:tc>
          <w:tcPr>
            <w:tcW w:w="1367" w:type="pct"/>
            <w:shd w:val="clear" w:color="auto" w:fill="auto"/>
          </w:tcPr>
          <w:p w14:paraId="36F3A632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</w:tbl>
    <w:p w14:paraId="52447CDA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22BFA2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30D316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E4471E">
      <w:pPr>
        <w:pStyle w:val="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39DEE35C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4"/>
        <w:gridCol w:w="6146"/>
        <w:gridCol w:w="4232"/>
      </w:tblGrid>
      <w:tr w14:paraId="365F8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6C5FAD29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196A661A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1C91B4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1F0E1C9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888ED5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44424B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5E8211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591E75">
            <w:pPr>
              <w:rPr>
                <w:bCs/>
                <w:sz w:val="20"/>
                <w:szCs w:val="20"/>
                <w:lang w:val="en-GB"/>
              </w:rPr>
            </w:pPr>
          </w:p>
          <w:p w14:paraId="5542FF0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  <w:vAlign w:val="center"/>
          </w:tcPr>
          <w:p w14:paraId="127A952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Yes.</w:t>
            </w:r>
          </w:p>
        </w:tc>
        <w:tc>
          <w:tcPr>
            <w:tcW w:w="1523" w:type="pct"/>
            <w:shd w:val="clear" w:color="auto" w:fill="auto"/>
          </w:tcPr>
          <w:p w14:paraId="31AFDFC3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222D2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5CE746A3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3F9457FB">
            <w:pPr>
              <w:rPr>
                <w:bCs/>
                <w:sz w:val="20"/>
                <w:szCs w:val="20"/>
                <w:lang w:val="en-GB"/>
              </w:rPr>
            </w:pPr>
          </w:p>
          <w:p w14:paraId="0248B70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  <w:vAlign w:val="center"/>
          </w:tcPr>
          <w:p w14:paraId="2C2208F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Yes.</w:t>
            </w:r>
          </w:p>
        </w:tc>
        <w:tc>
          <w:tcPr>
            <w:tcW w:w="1523" w:type="pct"/>
            <w:shd w:val="clear" w:color="auto" w:fill="auto"/>
          </w:tcPr>
          <w:p w14:paraId="3B9306D0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7523C5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790942FD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 w:type="textWrapping"/>
            </w:r>
          </w:p>
          <w:p w14:paraId="5A5095B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  <w:vAlign w:val="center"/>
          </w:tcPr>
          <w:p w14:paraId="79E9F207">
            <w:pPr>
              <w:pStyle w:val="19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t>Yes.</w:t>
            </w:r>
          </w:p>
        </w:tc>
        <w:tc>
          <w:tcPr>
            <w:tcW w:w="1523" w:type="pct"/>
            <w:shd w:val="clear" w:color="auto" w:fill="auto"/>
          </w:tcPr>
          <w:p w14:paraId="6A2CF0C8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2E0B6E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07E04D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B95AF6C">
            <w:pPr>
              <w:rPr>
                <w:bCs/>
                <w:sz w:val="20"/>
                <w:szCs w:val="20"/>
                <w:lang w:val="en-GB"/>
              </w:rPr>
            </w:pPr>
          </w:p>
          <w:p w14:paraId="5F9636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  <w:vAlign w:val="center"/>
          </w:tcPr>
          <w:p w14:paraId="1508B9AB">
            <w:pPr>
              <w:pStyle w:val="19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t>Yes.</w:t>
            </w:r>
          </w:p>
        </w:tc>
        <w:tc>
          <w:tcPr>
            <w:tcW w:w="1523" w:type="pct"/>
            <w:shd w:val="clear" w:color="auto" w:fill="auto"/>
          </w:tcPr>
          <w:p w14:paraId="54679EEB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553A9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7ACF231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25EC6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257D613">
            <w:pPr>
              <w:rPr>
                <w:bCs/>
                <w:sz w:val="20"/>
                <w:szCs w:val="20"/>
                <w:lang w:val="en-GB"/>
              </w:rPr>
            </w:pPr>
          </w:p>
          <w:p w14:paraId="34F72D0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788711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  <w:vAlign w:val="center"/>
          </w:tcPr>
          <w:p w14:paraId="04051F09">
            <w:pPr>
              <w:pStyle w:val="19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t>No significant ethical concerns</w:t>
            </w:r>
          </w:p>
        </w:tc>
        <w:tc>
          <w:tcPr>
            <w:tcW w:w="1523" w:type="pct"/>
            <w:shd w:val="clear" w:color="auto" w:fill="auto"/>
          </w:tcPr>
          <w:p w14:paraId="370981D1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bookmarkStart w:id="0" w:name="_GoBack"/>
            <w:bookmarkEnd w:id="0"/>
          </w:p>
        </w:tc>
      </w:tr>
    </w:tbl>
    <w:p w14:paraId="3616EA5C">
      <w:pPr>
        <w:rPr>
          <w:lang w:val="en-GB"/>
        </w:rPr>
      </w:pPr>
    </w:p>
    <w:p w14:paraId="2AF14A53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116BD0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9C20A2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934AA6">
      <w:pPr>
        <w:pStyle w:val="2"/>
        <w:keepNext w:val="0"/>
        <w:jc w:val="left"/>
        <w:rPr>
          <w:rFonts w:ascii="Times New Roman" w:hAnsi="Times New Roman"/>
          <w:b w:val="0"/>
          <w:bCs w:val="0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14:paraId="07A7EA67">
      <w:pPr>
        <w:pStyle w:val="11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2B38F83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6"/>
        <w:gridCol w:w="5526"/>
      </w:tblGrid>
      <w:tr w14:paraId="2D85A3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2CAD01CF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A8CC6F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0BD7A5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11" w:type="pct"/>
            <w:shd w:val="clear" w:color="auto" w:fill="auto"/>
            <w:noWrap/>
          </w:tcPr>
          <w:p w14:paraId="42CB4D91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756C861D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372531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11" w:type="pct"/>
            <w:shd w:val="clear" w:color="auto" w:fill="auto"/>
            <w:noWrap/>
          </w:tcPr>
          <w:p w14:paraId="02CACA56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EBDD2DB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646F14D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This manuscript is well-structured and methodologically sound systematic review on adolescent contraceptive uptake in Nigeria. The use of PRISMA guidelines and PROSPERO registration strengthens its credibilit. The topic is highly significant.However, a few concerns may be noted. The manuscript lacks a clearly articulated limitations section, which is essential for a systematic review. Additionally, while the synthesis is comprehensive, the depth of critical appraisal of included studies could be improved. Minor issues such as duplicate references and inclusion of some lower-quality grey literature can be looked after.</w:t>
            </w:r>
          </w:p>
          <w:p w14:paraId="148039F8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5B8EDF73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019AC6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800660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BEA10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 w:type="textWrapping"/>
    </w:r>
    <w:r>
      <w:rPr>
        <w:b/>
        <w:sz w:val="20"/>
      </w:rPr>
      <w:t>V240326</w:t>
    </w:r>
  </w:p>
  <w:p w14:paraId="7EF1836A">
    <w:pPr>
      <w:pStyle w:val="8"/>
      <w:jc w:val="right"/>
    </w:pPr>
  </w:p>
  <w:p w14:paraId="4526B1EF">
    <w:pPr>
      <w:pStyle w:val="8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AD0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4A89889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B5268C"/>
    <w:multiLevelType w:val="multilevel"/>
    <w:tmpl w:val="1BB5268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TrackMoves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B39A4"/>
    <w:rsid w:val="0017371E"/>
    <w:rsid w:val="00276BBC"/>
    <w:rsid w:val="002B321E"/>
    <w:rsid w:val="002D31DF"/>
    <w:rsid w:val="004C73DA"/>
    <w:rsid w:val="00583DFE"/>
    <w:rsid w:val="006B4CDF"/>
    <w:rsid w:val="008F3D65"/>
    <w:rsid w:val="0099349A"/>
    <w:rsid w:val="00B135FC"/>
    <w:rsid w:val="00BF0FE4"/>
    <w:rsid w:val="00D76908"/>
    <w:rsid w:val="00DB39A4"/>
    <w:rsid w:val="00E2255B"/>
    <w:rsid w:val="00F875C0"/>
    <w:rsid w:val="00FC384F"/>
    <w:rsid w:val="06B347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/>
    </w:rPr>
  </w:style>
  <w:style w:type="paragraph" w:styleId="3">
    <w:name w:val="heading 4"/>
    <w:basedOn w:val="1"/>
    <w:link w:val="15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6"/>
    <w:qFormat/>
    <w:uiPriority w:val="0"/>
    <w:pPr>
      <w:jc w:val="both"/>
    </w:pPr>
    <w:rPr>
      <w:rFonts w:ascii="Helvetica" w:hAnsi="Helvetica" w:eastAsia="MS Mincho"/>
      <w:lang w:val="fr-FR"/>
    </w:r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paragraph" w:styleId="8">
    <w:name w:val="footer"/>
    <w:basedOn w:val="1"/>
    <w:link w:val="18"/>
    <w:unhideWhenUsed/>
    <w:uiPriority w:val="99"/>
    <w:pPr>
      <w:tabs>
        <w:tab w:val="center" w:pos="4513"/>
        <w:tab w:val="right" w:pos="9026"/>
      </w:tabs>
    </w:pPr>
  </w:style>
  <w:style w:type="paragraph" w:styleId="9">
    <w:name w:val="header"/>
    <w:basedOn w:val="1"/>
    <w:link w:val="17"/>
    <w:qFormat/>
    <w:uiPriority w:val="99"/>
    <w:pPr>
      <w:tabs>
        <w:tab w:val="center" w:pos="4680"/>
        <w:tab w:val="right" w:pos="9360"/>
      </w:tabs>
    </w:pPr>
  </w:style>
  <w:style w:type="character" w:styleId="10">
    <w:name w:val="Hyperlink"/>
    <w:unhideWhenUsed/>
    <w:uiPriority w:val="99"/>
    <w:rPr>
      <w:color w:val="0000FF"/>
      <w:u w:val="single"/>
    </w:rPr>
  </w:style>
  <w:style w:type="paragraph" w:styleId="11">
    <w:name w:val="Normal (Web)"/>
    <w:basedOn w:val="1"/>
    <w:qFormat/>
    <w:uiPriority w:val="99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character" w:styleId="12">
    <w:name w:val="Strong"/>
    <w:basedOn w:val="4"/>
    <w:qFormat/>
    <w:uiPriority w:val="22"/>
    <w:rPr>
      <w:b/>
      <w:bCs/>
    </w:rPr>
  </w:style>
  <w:style w:type="table" w:styleId="13">
    <w:name w:val="Table Grid"/>
    <w:basedOn w:val="5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4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5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6">
    <w:name w:val="Body Text Char"/>
    <w:link w:val="6"/>
    <w:qFormat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7">
    <w:name w:val="Header Char"/>
    <w:link w:val="9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8">
    <w:name w:val="Footer Char"/>
    <w:link w:val="8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paragraph" w:customStyle="1" w:styleId="20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1">
    <w:name w:val="Nicht aufgelöste Erwähnung"/>
    <w:semiHidden/>
    <w:unhideWhenUsed/>
    <w:uiPriority w:val="99"/>
    <w:rPr>
      <w:color w:val="605E5C"/>
      <w:shd w:val="clear" w:color="auto" w:fill="E1DFDD"/>
    </w:rPr>
  </w:style>
  <w:style w:type="character" w:customStyle="1" w:styleId="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3">
    <w:name w:val="Unresolved Mention"/>
    <w:basedOn w:val="4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776</Words>
  <Characters>4429</Characters>
  <Lines>36</Lines>
  <Paragraphs>10</Paragraphs>
  <TotalTime>0</TotalTime>
  <ScaleCrop>false</ScaleCrop>
  <LinksUpToDate>false</LinksUpToDate>
  <CharactersWithSpaces>5195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2026-03-24T06:32:00Z</dcterms:created>
  <dc:creator>Surojit Bera</dc:creator>
  <cp:lastModifiedBy>Alofa Chinwe Melford</cp:lastModifiedBy>
  <dcterms:modified xsi:type="dcterms:W3CDTF">2026-04-13T14:24:03Z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BA741CDAD9594E4E887C4CB24E4BAE8B_12</vt:lpwstr>
  </property>
</Properties>
</file>