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772" w:type="pct"/>
        <w:tblInd w:w="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60"/>
        <w:gridCol w:w="10162"/>
      </w:tblGrid>
      <w:tr w14:paraId="024D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AE4E55B">
            <w:pPr>
              <w:rPr>
                <w:lang w:val="en-GB"/>
              </w:rPr>
            </w:pPr>
          </w:p>
        </w:tc>
      </w:tr>
      <w:tr w14:paraId="246D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579C80DA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FE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"https://journalajmah.com" \t "_parent" </w:instrText>
            </w:r>
            <w:r>
              <w:fldChar w:fldCharType="separate"/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Asian Journal of Medicine and Health </w:t>
            </w: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fldChar w:fldCharType="end"/>
            </w:r>
          </w:p>
        </w:tc>
      </w:tr>
      <w:tr w14:paraId="12950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186" w:type="pct"/>
            <w:shd w:val="clear" w:color="auto" w:fill="EBFFFF"/>
          </w:tcPr>
          <w:p w14:paraId="124BDD4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F47C2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Ms_AJMAH_155625</w:t>
            </w:r>
          </w:p>
        </w:tc>
      </w:tr>
      <w:tr w14:paraId="6FE1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86" w:type="pct"/>
            <w:shd w:val="clear" w:color="auto" w:fill="EBFFFF"/>
          </w:tcPr>
          <w:p w14:paraId="5762866E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48C2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EFFECTIVENESS OF NURSE-LED FAMILY PLANNING COUNSELING PROGRAM: A SYSTEMATIC REVIEW</w:t>
            </w:r>
          </w:p>
        </w:tc>
      </w:tr>
      <w:tr w14:paraId="183D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86" w:type="pct"/>
            <w:shd w:val="clear" w:color="auto" w:fill="EBFFFF"/>
          </w:tcPr>
          <w:p w14:paraId="6734E3CD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BD61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34A6BC39">
      <w:pPr>
        <w:pStyle w:val="6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2BCF76C0">
      <w:pPr>
        <w:pStyle w:val="6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6A42204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1F6898D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8"/>
        <w:gridCol w:w="4966"/>
        <w:gridCol w:w="3682"/>
      </w:tblGrid>
      <w:tr w14:paraId="2968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89" w:type="pct"/>
            <w:noWrap/>
          </w:tcPr>
          <w:p w14:paraId="73EB66ED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EA419BF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DDFA79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4532B8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14:paraId="4174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1789" w:type="pct"/>
            <w:noWrap/>
          </w:tcPr>
          <w:p w14:paraId="0F30807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815245">
            <w:pPr>
              <w:pStyle w:val="18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and timely topic in reproductive health</w:t>
            </w:r>
          </w:p>
          <w:p w14:paraId="6247B8FD">
            <w:pPr>
              <w:pStyle w:val="18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Provides valuable insights into how task-sharing with nurses can improve access to family planning services. </w:t>
            </w:r>
          </w:p>
          <w:p w14:paraId="224E6CB5">
            <w:pPr>
              <w:pStyle w:val="18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Can contribute meaningfully to public health policy, nursing practice, and program implementation</w:t>
            </w:r>
          </w:p>
          <w:p w14:paraId="217572EC">
            <w:pPr>
              <w:pStyle w:val="18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Emphasize the role of nurses in improving reproductive health outcomes.</w:t>
            </w:r>
          </w:p>
        </w:tc>
        <w:tc>
          <w:tcPr>
            <w:tcW w:w="1367" w:type="pct"/>
          </w:tcPr>
          <w:p w14:paraId="247F6972">
            <w:pPr>
              <w:pStyle w:val="2"/>
              <w:jc w:val="left"/>
              <w:rPr>
                <w:rFonts w:hint="default" w:ascii="Times New Roman" w:hAnsi="Times New Roman"/>
                <w:b w:val="0"/>
                <w:lang w:val="en-US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</w:tbl>
    <w:p w14:paraId="6A77A44A">
      <w:pPr>
        <w:rPr>
          <w:sz w:val="20"/>
          <w:szCs w:val="20"/>
          <w:lang w:val="en-GB"/>
        </w:rPr>
      </w:pPr>
    </w:p>
    <w:p w14:paraId="4F169E2D">
      <w:pPr>
        <w:rPr>
          <w:sz w:val="20"/>
          <w:szCs w:val="20"/>
          <w:lang w:val="en-GB"/>
        </w:rPr>
      </w:pPr>
    </w:p>
    <w:p w14:paraId="3EFBE5E0">
      <w:pPr>
        <w:pStyle w:val="2"/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highlight w:val="yellow"/>
          <w:lang w:val="en-GB"/>
        </w:rPr>
        <w:t>PART  2</w:t>
      </w:r>
    </w:p>
    <w:p w14:paraId="7989165A">
      <w:pPr>
        <w:rPr>
          <w:sz w:val="20"/>
          <w:szCs w:val="20"/>
          <w:lang w:val="en-GB"/>
        </w:rPr>
      </w:pPr>
    </w:p>
    <w:tbl>
      <w:tblPr>
        <w:tblStyle w:val="5"/>
        <w:tblW w:w="47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4964"/>
        <w:gridCol w:w="3682"/>
      </w:tblGrid>
      <w:tr w14:paraId="6D92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84B81D2">
            <w:pPr>
              <w:rPr>
                <w:lang w:val="en-GB"/>
              </w:rPr>
            </w:pPr>
          </w:p>
          <w:p w14:paraId="69BB1F51">
            <w:pPr>
              <w:rPr>
                <w:sz w:val="20"/>
                <w:szCs w:val="20"/>
                <w:lang w:val="en-GB"/>
              </w:rPr>
            </w:pPr>
          </w:p>
        </w:tc>
      </w:tr>
      <w:tr w14:paraId="68178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pct"/>
            <w:noWrap/>
          </w:tcPr>
          <w:p w14:paraId="4BD1F262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D332F1C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89BB343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14:paraId="7655B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E5196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0154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6B8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D713ABF">
            <w:pPr>
              <w:jc w:val="center"/>
            </w:pPr>
            <w:r>
              <w:t>4 (Good)</w:t>
            </w:r>
          </w:p>
        </w:tc>
        <w:tc>
          <w:tcPr>
            <w:tcW w:w="1367" w:type="pct"/>
          </w:tcPr>
          <w:p w14:paraId="699AD99C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2724F42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06BC88B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166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576DA0E4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B5562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47F8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5A91452">
            <w:pPr>
              <w:jc w:val="center"/>
            </w:pPr>
            <w:r>
              <w:t>4 (Good)</w:t>
            </w:r>
          </w:p>
        </w:tc>
        <w:tc>
          <w:tcPr>
            <w:tcW w:w="1367" w:type="pct"/>
          </w:tcPr>
          <w:p w14:paraId="51CADC2A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6B3A324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635E96E4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773DD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3C36967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844B6A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7EA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807248E">
            <w:pPr>
              <w:jc w:val="center"/>
            </w:pPr>
            <w:r>
              <w:t>4 (Good)</w:t>
            </w:r>
          </w:p>
        </w:tc>
        <w:tc>
          <w:tcPr>
            <w:tcW w:w="1367" w:type="pct"/>
          </w:tcPr>
          <w:p w14:paraId="344E9C32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12B4D047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E3B137D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6325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BE9FE33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96D4C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523D1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746E90A">
            <w:pPr>
              <w:jc w:val="center"/>
            </w:pPr>
            <w:r>
              <w:t>5 (Excellent)</w:t>
            </w:r>
          </w:p>
        </w:tc>
        <w:tc>
          <w:tcPr>
            <w:tcW w:w="1367" w:type="pct"/>
          </w:tcPr>
          <w:p w14:paraId="736F7557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F917933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224AFD61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64618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25852341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4F381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CDF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911073D">
            <w:pPr>
              <w:jc w:val="center"/>
            </w:pPr>
            <w:r>
              <w:t>5 (Excellent)</w:t>
            </w:r>
          </w:p>
        </w:tc>
        <w:tc>
          <w:tcPr>
            <w:tcW w:w="1367" w:type="pct"/>
          </w:tcPr>
          <w:p w14:paraId="5375CD69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9C148E5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31FA00C0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6FFC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8B138F6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A0C59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9D5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356D0E0">
            <w:pPr>
              <w:jc w:val="center"/>
            </w:pPr>
            <w:r>
              <w:t>5 (Excellent)</w:t>
            </w:r>
          </w:p>
        </w:tc>
        <w:tc>
          <w:tcPr>
            <w:tcW w:w="1367" w:type="pct"/>
          </w:tcPr>
          <w:p w14:paraId="51371323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639A3092">
            <w:pPr>
              <w:pStyle w:val="2"/>
              <w:jc w:val="left"/>
              <w:rPr>
                <w:rFonts w:hint="default" w:ascii="Times New Roman" w:hAnsi="Times New Roman"/>
                <w:b w:val="0"/>
                <w:highlight w:val="yellow"/>
                <w:lang w:val="en-US"/>
              </w:rPr>
            </w:pPr>
          </w:p>
          <w:p w14:paraId="5D1ACB78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07925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233A62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54AD7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C278A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76D7AE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</w:tcPr>
          <w:p w14:paraId="42FBBC6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474307EA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2996E02B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19A1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742E81E8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00AD9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E6AD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619C1D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5 (Excellent)</w:t>
            </w:r>
          </w:p>
        </w:tc>
        <w:tc>
          <w:tcPr>
            <w:tcW w:w="1367" w:type="pct"/>
          </w:tcPr>
          <w:p w14:paraId="509FCD8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14DFD76B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27EB64B4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7A98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790" w:type="pct"/>
            <w:noWrap/>
          </w:tcPr>
          <w:p w14:paraId="4DA1EFFE">
            <w:pPr>
              <w:pStyle w:val="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9E1FC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D36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4CF19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t>4 (Good)</w:t>
            </w:r>
          </w:p>
        </w:tc>
        <w:tc>
          <w:tcPr>
            <w:tcW w:w="1367" w:type="pct"/>
          </w:tcPr>
          <w:p w14:paraId="235D0973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6F550DCC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1963BC55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6281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5E2141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5B0DB2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34EAC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CA53ECC">
            <w:pPr>
              <w:jc w:val="center"/>
            </w:pPr>
            <w:r>
              <w:t>5 (Excellent)</w:t>
            </w:r>
          </w:p>
        </w:tc>
        <w:tc>
          <w:tcPr>
            <w:tcW w:w="1367" w:type="pct"/>
          </w:tcPr>
          <w:p w14:paraId="187497F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453ED380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72C9660D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5330A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17E624B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9D065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68F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5CCD7B0">
            <w:pPr>
              <w:jc w:val="center"/>
            </w:pPr>
            <w:r>
              <w:t>5 (Excellent)</w:t>
            </w:r>
          </w:p>
        </w:tc>
        <w:tc>
          <w:tcPr>
            <w:tcW w:w="1367" w:type="pct"/>
          </w:tcPr>
          <w:p w14:paraId="4C86D5E2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54E8240C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2E5EF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6E6C3B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9E985A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9597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83FF710">
            <w:pPr>
              <w:pStyle w:val="18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t>3 (Satisfactory)</w:t>
            </w:r>
          </w:p>
        </w:tc>
        <w:tc>
          <w:tcPr>
            <w:tcW w:w="1367" w:type="pct"/>
          </w:tcPr>
          <w:p w14:paraId="1F5D42C7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1AACA9C1">
            <w:pPr>
              <w:rPr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483B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3193D7F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27CD7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B53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6A75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42999AD4">
            <w:pPr>
              <w:jc w:val="center"/>
            </w:pPr>
            <w:r>
              <w:t>4 (Good)</w:t>
            </w:r>
          </w:p>
        </w:tc>
        <w:tc>
          <w:tcPr>
            <w:tcW w:w="1367" w:type="pct"/>
          </w:tcPr>
          <w:p w14:paraId="53DA79D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62C51BD1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0F759E9A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  <w:tr w14:paraId="32C3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90" w:type="pct"/>
            <w:noWrap/>
          </w:tcPr>
          <w:p w14:paraId="2F00F6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4A591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B0F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E1B5A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00970C64">
            <w:pPr>
              <w:jc w:val="center"/>
            </w:pPr>
            <w:r>
              <w:t>4 (Good)</w:t>
            </w:r>
          </w:p>
        </w:tc>
        <w:tc>
          <w:tcPr>
            <w:tcW w:w="1367" w:type="pct"/>
          </w:tcPr>
          <w:p w14:paraId="6C8EFB89">
            <w:pPr>
              <w:pStyle w:val="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1D1E88BF">
            <w:pPr>
              <w:rPr>
                <w:rFonts w:ascii="Times New Roman" w:hAnsi="Times New Roman"/>
                <w:b w:val="0"/>
                <w:lang w:val="en-GB"/>
              </w:rPr>
            </w:pPr>
          </w:p>
          <w:p w14:paraId="6103C039">
            <w:pPr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hint="default" w:ascii="Times New Roman" w:hAnsi="Times New Roman"/>
                <w:b w:val="0"/>
                <w:highlight w:val="yellow"/>
                <w:lang w:val="en-US"/>
              </w:rPr>
              <w:t>Thank you</w:t>
            </w:r>
          </w:p>
        </w:tc>
      </w:tr>
    </w:tbl>
    <w:p w14:paraId="620C7A0D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1A811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Style w:val="5"/>
        <w:tblW w:w="4784" w:type="pct"/>
        <w:tblInd w:w="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88"/>
        <w:gridCol w:w="4959"/>
        <w:gridCol w:w="3716"/>
      </w:tblGrid>
      <w:tr w14:paraId="49BA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234A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hAnsi="Arial" w:eastAsia="Arial Unicode MS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6F118E">
            <w:pPr>
              <w:rPr>
                <w:rFonts w:ascii="Arial" w:hAnsi="Arial" w:eastAsia="Arial Unicode MS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14:paraId="29AC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27CA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8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DD59">
            <w:pPr>
              <w:keepNext/>
              <w:outlineLvl w:val="1"/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eastAsia="MS Mincho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69" w:type="pct"/>
            <w:shd w:val="clear" w:color="auto" w:fill="auto"/>
          </w:tcPr>
          <w:p w14:paraId="508128C9">
            <w:pPr>
              <w:spacing w:after="160" w:line="252" w:lineRule="auto"/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hAnsi="Arial" w:eastAsia="Calibri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hAnsi="Arial" w:eastAsia="Calibri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00D389">
            <w:pPr>
              <w:keepNext/>
              <w:outlineLvl w:val="1"/>
              <w:rPr>
                <w:rFonts w:ascii="Arial" w:hAnsi="Arial" w:eastAsia="MS Mincho" w:cs="Arial"/>
                <w:bCs/>
                <w:sz w:val="20"/>
                <w:szCs w:val="20"/>
                <w:lang w:val="en-GB"/>
              </w:rPr>
            </w:pPr>
          </w:p>
        </w:tc>
      </w:tr>
      <w:tr w14:paraId="1430D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80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0B01C">
            <w:pP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eastAsia="Arial Unicode MS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9212E9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8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8887A">
            <w:pP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eastAsia="Arial Unicode MS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232BFB7">
            <w:pPr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</w:p>
        </w:tc>
        <w:tc>
          <w:tcPr>
            <w:tcW w:w="1369" w:type="pct"/>
            <w:shd w:val="clear" w:color="auto" w:fill="auto"/>
            <w:vAlign w:val="center"/>
          </w:tcPr>
          <w:p w14:paraId="6643BFFA">
            <w:pPr>
              <w:pStyle w:val="11"/>
              <w:keepNext w:val="0"/>
              <w:keepLines w:val="0"/>
              <w:widowControl/>
              <w:suppressLineNumbers w:val="0"/>
              <w:bidi w:val="0"/>
              <w:spacing w:before="240" w:beforeAutospacing="0" w:after="240" w:afterAutospacing="0" w:line="21" w:lineRule="atLeast"/>
              <w:jc w:val="both"/>
              <w:rPr>
                <w:rFonts w:ascii="Arial" w:hAnsi="Arial" w:eastAsia="Arial Unicode MS" w:cs="Arial"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  <w:t>This study utilized data from previously published studies and did not involve direct interaction with human participants; therefore, ethical approval was not required. All sources were appropriately cited.</w:t>
            </w:r>
          </w:p>
        </w:tc>
      </w:tr>
      <w:bookmarkEnd w:id="0"/>
    </w:tbl>
    <w:p w14:paraId="4B4811DE">
      <w:pPr>
        <w:rPr>
          <w:lang w:val="en-GB"/>
        </w:rPr>
      </w:pPr>
    </w:p>
    <w:p w14:paraId="6708A5B3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4</w:t>
      </w:r>
    </w:p>
    <w:p w14:paraId="5F271B3D">
      <w:pPr>
        <w:rPr>
          <w:lang w:val="en-GB"/>
        </w:rPr>
      </w:pPr>
    </w:p>
    <w:tbl>
      <w:tblPr>
        <w:tblStyle w:val="5"/>
        <w:tblW w:w="46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0"/>
        <w:gridCol w:w="5843"/>
      </w:tblGrid>
      <w:tr w14:paraId="04A0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6503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48891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1491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B9B5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0EB4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1E95A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39FE7">
            <w:r>
              <w:t>The manuscript is generally well-written, structured, and supported by recent literature. However, abstract can be strengthened by making it more specific methodological details, providing a clearer discussion of study limitations, and also by enhancing the depth of critical appraisal of included studies. But overall, the manuscript is strong with good scientific merit.</w:t>
            </w:r>
          </w:p>
          <w:p w14:paraId="2B918EDE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DFA3C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E000D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1F0715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757A">
            <w:pPr>
              <w:pStyle w:val="11"/>
              <w:spacing w:before="0" w:beforeAutospacing="0" w:after="0" w:afterAutospacing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Thanks you</w:t>
            </w:r>
            <w:bookmarkStart w:id="1" w:name="_GoBack"/>
            <w:bookmarkEnd w:id="1"/>
          </w:p>
        </w:tc>
      </w:tr>
    </w:tbl>
    <w:p w14:paraId="5DA4AB9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4C3FBF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CAED3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V180326</w:t>
    </w:r>
  </w:p>
  <w:p w14:paraId="79EE3FFD">
    <w:pPr>
      <w:pStyle w:val="8"/>
      <w:jc w:val="right"/>
    </w:pPr>
  </w:p>
  <w:p w14:paraId="4BF8A228">
    <w:pPr>
      <w:pStyle w:val="8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23BB4"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02F2E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3D4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D64ED2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28B12"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3E6B6"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8D1"/>
    <w:multiLevelType w:val="multilevel"/>
    <w:tmpl w:val="1D1448D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133115E7"/>
    <w:rsid w:val="74F728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uiPriority w:val="0"/>
    <w:pPr>
      <w:jc w:val="both"/>
    </w:pPr>
    <w:rPr>
      <w:rFonts w:ascii="Helvetica" w:hAnsi="Helvetica" w:eastAsia="MS Mincho"/>
      <w:lang w:val="fr-FR"/>
    </w:rPr>
  </w:style>
  <w:style w:type="character" w:styleId="7">
    <w:name w:val="FollowedHyperlink"/>
    <w:semiHidden/>
    <w:unhideWhenUsed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</w:pPr>
  </w:style>
  <w:style w:type="paragraph" w:styleId="9">
    <w:name w:val="header"/>
    <w:basedOn w:val="1"/>
    <w:link w:val="16"/>
    <w:uiPriority w:val="99"/>
    <w:pPr>
      <w:tabs>
        <w:tab w:val="center" w:pos="4680"/>
        <w:tab w:val="right" w:pos="9360"/>
      </w:tabs>
    </w:p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22">
    <w:name w:val="Unresolved Mention"/>
    <w:basedOn w:val="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612</Words>
  <Characters>3490</Characters>
  <Lines>29</Lines>
  <Paragraphs>8</Paragraphs>
  <TotalTime>11</TotalTime>
  <ScaleCrop>false</ScaleCrop>
  <LinksUpToDate>false</LinksUpToDate>
  <CharactersWithSpaces>4094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2026-03-19T07:31:00Z</dcterms:created>
  <dc:creator>Surojit Bera</dc:creator>
  <cp:lastModifiedBy>Alofa Chinwe Melford</cp:lastModifiedBy>
  <dcterms:modified xsi:type="dcterms:W3CDTF">2026-03-27T12:33:47Z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F3FCD4A697314CC58159CF784B0747A9_12</vt:lpwstr>
  </property>
</Properties>
</file>