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1C051333" w14:textId="77777777">
        <w:trPr>
          <w:trHeight w:val="20"/>
          <w:jc w:val="center"/>
        </w:trPr>
        <w:tc>
          <w:tcPr>
            <w:tcW w:w="1186" w:type="pct"/>
          </w:tcPr>
          <w:p w14:paraId="28167E35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1F480FD" w14:textId="77777777" w:rsidR="00647E05" w:rsidRDefault="00CB015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CB015D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Economics, Business and Accounting</w:t>
              </w:r>
            </w:hyperlink>
          </w:p>
        </w:tc>
      </w:tr>
      <w:tr w:rsidR="00647E05" w14:paraId="00BD0342" w14:textId="77777777">
        <w:trPr>
          <w:trHeight w:val="20"/>
          <w:jc w:val="center"/>
        </w:trPr>
        <w:tc>
          <w:tcPr>
            <w:tcW w:w="1186" w:type="pct"/>
          </w:tcPr>
          <w:p w14:paraId="09BE423B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2FF8C7A" w14:textId="77777777" w:rsidR="00647E05" w:rsidRDefault="004869E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869E2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Ms_AJEBA_156946</w:t>
            </w:r>
          </w:p>
        </w:tc>
      </w:tr>
      <w:tr w:rsidR="00647E05" w14:paraId="487E93CD" w14:textId="77777777">
        <w:trPr>
          <w:trHeight w:val="20"/>
          <w:jc w:val="center"/>
        </w:trPr>
        <w:tc>
          <w:tcPr>
            <w:tcW w:w="1186" w:type="pct"/>
          </w:tcPr>
          <w:p w14:paraId="6E32B3C5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A2780A2" w14:textId="77777777" w:rsidR="00647E05" w:rsidRDefault="00331D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31D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 Capital and SME Internationalization: The Mediating Role of Digital Capability in Teak Wood Craft SMEs</w:t>
            </w:r>
          </w:p>
        </w:tc>
      </w:tr>
      <w:tr w:rsidR="00647E05" w14:paraId="54EC02BC" w14:textId="77777777">
        <w:trPr>
          <w:trHeight w:val="20"/>
          <w:jc w:val="center"/>
        </w:trPr>
        <w:tc>
          <w:tcPr>
            <w:tcW w:w="1186" w:type="pct"/>
          </w:tcPr>
          <w:p w14:paraId="3AF90E38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FA33FA6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4CDC42F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D31C0F5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C46EF6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E1CC3B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913DBEC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9E8CE83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347795E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69DC6CF9" w14:textId="77777777">
        <w:trPr>
          <w:trHeight w:val="20"/>
          <w:jc w:val="center"/>
        </w:trPr>
        <w:tc>
          <w:tcPr>
            <w:tcW w:w="1789" w:type="pct"/>
            <w:noWrap/>
          </w:tcPr>
          <w:p w14:paraId="0807D5B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F9E29F7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1BCBED2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0F1732E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792520C7" w14:textId="77777777">
        <w:trPr>
          <w:trHeight w:val="20"/>
          <w:jc w:val="center"/>
        </w:trPr>
        <w:tc>
          <w:tcPr>
            <w:tcW w:w="1789" w:type="pct"/>
            <w:noWrap/>
          </w:tcPr>
          <w:p w14:paraId="484D6E50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D8DD571" w14:textId="12607949" w:rsidR="00647E05" w:rsidRDefault="0017074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manuscript provides a valuable contribution to the literature on SME internationalization by </w:t>
            </w:r>
            <w:r w:rsidR="0090384D">
              <w:rPr>
                <w:b/>
                <w:bCs/>
                <w:sz w:val="20"/>
                <w:szCs w:val="20"/>
                <w:lang w:val="en-GB"/>
              </w:rPr>
              <w:t xml:space="preserve">integrating human capital and digital capability within a mediation framework. The study enriches the resource based view and dynamic capability theory by empirically demonstating how digital capability acts as </w:t>
            </w:r>
            <w:r w:rsidR="00EB18B1"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="0090384D">
              <w:rPr>
                <w:b/>
                <w:bCs/>
                <w:sz w:val="20"/>
                <w:szCs w:val="20"/>
                <w:lang w:val="en-GB"/>
              </w:rPr>
              <w:t>mechanism to transform human capital into international outcomes. Furthermore, the focus on teak wood craft MSMEs in a developing country context offers important insights int</w:t>
            </w:r>
            <w:r w:rsidR="00EB18B1">
              <w:rPr>
                <w:b/>
                <w:bCs/>
                <w:sz w:val="20"/>
                <w:szCs w:val="20"/>
                <w:lang w:val="en-GB"/>
              </w:rPr>
              <w:t xml:space="preserve">o </w:t>
            </w:r>
            <w:r w:rsidR="0090384D">
              <w:rPr>
                <w:b/>
                <w:bCs/>
                <w:sz w:val="20"/>
                <w:szCs w:val="20"/>
                <w:lang w:val="en-GB"/>
              </w:rPr>
              <w:t xml:space="preserve">traditional industries undergoing digital transformation. The findings are particularly relevant for policymakers and </w:t>
            </w:r>
            <w:r w:rsidR="00EB18B1">
              <w:rPr>
                <w:b/>
                <w:bCs/>
                <w:sz w:val="20"/>
                <w:szCs w:val="20"/>
                <w:lang w:val="en-GB"/>
              </w:rPr>
              <w:t>practitioners aiming to enhance SME competitiveness in global markets through digitalization.</w:t>
            </w:r>
          </w:p>
        </w:tc>
        <w:tc>
          <w:tcPr>
            <w:tcW w:w="1367" w:type="pct"/>
          </w:tcPr>
          <w:p w14:paraId="25423CD9" w14:textId="1A19A07E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0676B3B" w14:textId="77777777" w:rsidR="00647E05" w:rsidRDefault="00647E05">
      <w:pPr>
        <w:rPr>
          <w:sz w:val="22"/>
          <w:szCs w:val="20"/>
          <w:lang w:val="en-GB"/>
        </w:rPr>
      </w:pPr>
    </w:p>
    <w:p w14:paraId="3A897081" w14:textId="77777777" w:rsidR="00647E05" w:rsidRDefault="00647E05">
      <w:pPr>
        <w:rPr>
          <w:sz w:val="22"/>
          <w:szCs w:val="20"/>
          <w:lang w:val="en-GB"/>
        </w:rPr>
      </w:pPr>
    </w:p>
    <w:p w14:paraId="45ADD5F0" w14:textId="77777777" w:rsidR="00647E05" w:rsidRDefault="00647E05">
      <w:pPr>
        <w:rPr>
          <w:sz w:val="22"/>
          <w:szCs w:val="20"/>
          <w:lang w:val="en-GB"/>
        </w:rPr>
      </w:pPr>
    </w:p>
    <w:p w14:paraId="38F52032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EE0E6FF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21C835C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50A8D65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0DF1D7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A7ABD98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40B1B8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8C301AC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C23E96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BEFD29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DF61AB" w14:textId="77777777" w:rsidR="00647E05" w:rsidRDefault="00EB18B1" w:rsidP="00EB18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5 (Excellent)</w:t>
            </w:r>
          </w:p>
          <w:p w14:paraId="3202E812" w14:textId="7FD6ACC8" w:rsidR="00EB18B1" w:rsidRDefault="00EB18B1" w:rsidP="00EB18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clear, specific, and accurately reflects the variables, context, and research model (including mediation)</w:t>
            </w:r>
          </w:p>
        </w:tc>
        <w:tc>
          <w:tcPr>
            <w:tcW w:w="1367" w:type="pct"/>
          </w:tcPr>
          <w:p w14:paraId="348DD85A" w14:textId="69AF681E" w:rsidR="00647E05" w:rsidRDefault="00647E05" w:rsidP="00EB18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36E0F6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EED63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719DC43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7E4F85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A74AC7" w14:textId="77777777" w:rsidR="00647E05" w:rsidRDefault="00EB18B1" w:rsidP="00EB18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4 (Good)</w:t>
            </w:r>
          </w:p>
          <w:p w14:paraId="24BD88CB" w14:textId="178BC9A1" w:rsidR="00EB18B1" w:rsidRDefault="00EB18B1" w:rsidP="00EB18B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well structured</w:t>
            </w:r>
            <w:r w:rsidR="00DE6EB6">
              <w:rPr>
                <w:b/>
                <w:bCs/>
                <w:sz w:val="20"/>
                <w:szCs w:val="20"/>
                <w:lang w:val="en-GB"/>
              </w:rPr>
              <w:t xml:space="preserve"> and includes objectives, methodology and key findings. However, it can be improved by briefly highlighting the research gap and theoretical contribution</w:t>
            </w:r>
          </w:p>
        </w:tc>
        <w:tc>
          <w:tcPr>
            <w:tcW w:w="1367" w:type="pct"/>
          </w:tcPr>
          <w:p w14:paraId="1635A7AB" w14:textId="2918FC18" w:rsidR="00647E05" w:rsidRDefault="00A16361" w:rsidP="00EB18B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16361">
              <w:rPr>
                <w:rFonts w:ascii="Times New Roman" w:hAnsi="Times New Roman"/>
                <w:b w:val="0"/>
                <w:lang w:val="en-US" w:eastAsia="en-US"/>
              </w:rPr>
              <w:t>We appreciate this valuable suggestion. The abstract has been revised to explicitly state the research gap (</w:t>
            </w:r>
            <w:r w:rsidRPr="00A16361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"Despite growing interest in SME internationalization, limited attention has been paid to the mediating mechanisms that convert human capital into global outcomes..."</w:t>
            </w:r>
            <w:r w:rsidRPr="00A16361">
              <w:rPr>
                <w:rFonts w:ascii="Times New Roman" w:hAnsi="Times New Roman"/>
                <w:b w:val="0"/>
                <w:lang w:val="en-US" w:eastAsia="en-US"/>
              </w:rPr>
              <w:t>) and the theoretical contribution (</w:t>
            </w:r>
            <w:r w:rsidRPr="00A16361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"This study extends the Resource-Based View by positioning digital capability as a dynamic conversion mechanism..."</w:t>
            </w:r>
            <w:r w:rsidRPr="00A16361">
              <w:rPr>
                <w:rFonts w:ascii="Times New Roman" w:hAnsi="Times New Roman"/>
                <w:b w:val="0"/>
                <w:lang w:val="en-US" w:eastAsia="en-US"/>
              </w:rPr>
              <w:t>). We also simplified complex sentences throughout to enhance clarity and academic flow.</w:t>
            </w:r>
          </w:p>
        </w:tc>
      </w:tr>
      <w:tr w:rsidR="00647E05" w14:paraId="641257C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50E849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AEC0F8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BEA02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77F10B" w14:textId="77777777" w:rsidR="00647E05" w:rsidRDefault="00DE6EB6" w:rsidP="00DE6E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4 (Good)</w:t>
            </w:r>
          </w:p>
          <w:p w14:paraId="12ED2B44" w14:textId="1D9A6723" w:rsidR="00DE6EB6" w:rsidRDefault="00DE6EB6" w:rsidP="00DE6E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Keywords are relevant and aligned with the study. However, adding terms such as PLS SEM or dynamic capability could improve indexing and discoverability</w:t>
            </w:r>
          </w:p>
        </w:tc>
        <w:tc>
          <w:tcPr>
            <w:tcW w:w="1367" w:type="pct"/>
          </w:tcPr>
          <w:p w14:paraId="2FA18FB1" w14:textId="42F6C6DB" w:rsidR="00647E05" w:rsidRDefault="00A16361" w:rsidP="00DE6E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C0117">
              <w:rPr>
                <w:rFonts w:ascii="Times New Roman" w:hAnsi="Times New Roman"/>
                <w:b w:val="0"/>
                <w:lang w:val="en-GB" w:eastAsia="en-US"/>
              </w:rPr>
              <w:t>We appreciate this constructive feedback. The keywords have been rearranged in alphabetical order as follows: Bojonegoro, digital capability, human capital, internationalization, MSMEs, PLS-SEM, teak woodcraft.</w:t>
            </w:r>
          </w:p>
        </w:tc>
      </w:tr>
      <w:tr w:rsidR="00647E05" w14:paraId="05E4F05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BE95BC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0830D5C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A467E1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204012" w14:textId="77777777" w:rsidR="00647E05" w:rsidRDefault="00DE6EB6" w:rsidP="00DE6E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4 (Good)</w:t>
            </w:r>
          </w:p>
          <w:p w14:paraId="2431D3F8" w14:textId="549CCDC5" w:rsidR="00DE6EB6" w:rsidRDefault="00DE6EB6" w:rsidP="00DE6E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introduction is comprehensive and logically structured, with strong theoretical grounding. However, it could be more concise and reduce some redundancy in explaining internationalization challenges</w:t>
            </w:r>
          </w:p>
        </w:tc>
        <w:tc>
          <w:tcPr>
            <w:tcW w:w="1367" w:type="pct"/>
          </w:tcPr>
          <w:p w14:paraId="269D9189" w14:textId="6D5FA093" w:rsidR="00647E05" w:rsidRDefault="0034317E" w:rsidP="00DE6E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317E">
              <w:rPr>
                <w:rFonts w:ascii="Times New Roman" w:hAnsi="Times New Roman"/>
                <w:b w:val="0"/>
                <w:lang w:val="en-US" w:eastAsia="en-US"/>
              </w:rPr>
              <w:t>We appreciate this feedback. The Introduction has been streamlined by merging overlapping paragraphs on internationalization barriers and removing repetitive explanations, resulting in a more focused narrative while preserving theoretical grounding.</w:t>
            </w:r>
          </w:p>
        </w:tc>
      </w:tr>
      <w:tr w:rsidR="00647E05" w14:paraId="055CF7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E4FC98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DBB158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35D2BC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7728DE" w14:textId="77777777" w:rsidR="00647E05" w:rsidRDefault="00DE6EB6" w:rsidP="00DE6E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5 (Excellent)</w:t>
            </w:r>
          </w:p>
          <w:p w14:paraId="64E21EFB" w14:textId="140335CC" w:rsidR="00DE6EB6" w:rsidRDefault="00DE6EB6" w:rsidP="00DE6E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hypotheses (H1-H4) are clearly stated logically derived and consistent with the theoretical framework</w:t>
            </w:r>
          </w:p>
        </w:tc>
        <w:tc>
          <w:tcPr>
            <w:tcW w:w="1367" w:type="pct"/>
          </w:tcPr>
          <w:p w14:paraId="51CB7539" w14:textId="5A3383BD" w:rsidR="00647E05" w:rsidRDefault="00647E05" w:rsidP="00DE6E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BA7AA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7F9F4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D0DEE35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7866C8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596DB6" w14:textId="77777777" w:rsidR="00647E05" w:rsidRDefault="00DE6EB6" w:rsidP="00DE6E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4 (Good)</w:t>
            </w:r>
          </w:p>
          <w:p w14:paraId="080BE67E" w14:textId="45A2F4F2" w:rsidR="00DE6EB6" w:rsidRDefault="00DE6EB6" w:rsidP="00DE6EB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literature review is relevant and includes recent studies</w:t>
            </w:r>
            <w:r w:rsidR="00422C33">
              <w:rPr>
                <w:b/>
                <w:bCs/>
                <w:sz w:val="20"/>
                <w:szCs w:val="20"/>
                <w:lang w:val="en-GB"/>
              </w:rPr>
              <w:t>.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22C33">
              <w:rPr>
                <w:b/>
                <w:bCs/>
                <w:sz w:val="20"/>
                <w:szCs w:val="20"/>
                <w:lang w:val="en-GB"/>
              </w:rPr>
              <w:t>H</w:t>
            </w:r>
            <w:r>
              <w:rPr>
                <w:b/>
                <w:bCs/>
                <w:sz w:val="20"/>
                <w:szCs w:val="20"/>
                <w:lang w:val="en-GB"/>
              </w:rPr>
              <w:t>owever, it would benefit from incorporating more high impact international</w:t>
            </w:r>
            <w:r w:rsidR="00422C33">
              <w:rPr>
                <w:b/>
                <w:bCs/>
                <w:sz w:val="20"/>
                <w:szCs w:val="20"/>
                <w:lang w:val="en-GB"/>
              </w:rPr>
              <w:t xml:space="preserve"> journal references (e.g., Scopus Q1/Q2) to strengthen theoretical positioning</w:t>
            </w:r>
          </w:p>
        </w:tc>
        <w:tc>
          <w:tcPr>
            <w:tcW w:w="1367" w:type="pct"/>
          </w:tcPr>
          <w:p w14:paraId="4B962F76" w14:textId="2D846892" w:rsidR="00647E05" w:rsidRDefault="0034317E" w:rsidP="00DE6EB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317E">
              <w:rPr>
                <w:rFonts w:ascii="Times New Roman" w:hAnsi="Times New Roman"/>
                <w:b w:val="0"/>
                <w:lang w:val="en-US" w:eastAsia="en-US"/>
              </w:rPr>
              <w:t xml:space="preserve">Thank you for this valuable suggestion. We have integrated additional references from high-impact Scopus Q1/Q2 journals (2020–2025), including </w:t>
            </w:r>
            <w:r w:rsidRPr="0034317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Journal of International Business Studies</w:t>
            </w:r>
            <w:r w:rsidRPr="0034317E">
              <w:rPr>
                <w:rFonts w:ascii="Times New Roman" w:hAnsi="Times New Roman"/>
                <w:b w:val="0"/>
                <w:lang w:val="en-US" w:eastAsia="en-US"/>
              </w:rPr>
              <w:t xml:space="preserve"> and </w:t>
            </w:r>
            <w:r w:rsidRPr="0034317E">
              <w:rPr>
                <w:rFonts w:ascii="Times New Roman" w:hAnsi="Times New Roman"/>
                <w:b w:val="0"/>
                <w:i/>
                <w:iCs/>
                <w:lang w:val="en-US" w:eastAsia="en-US"/>
              </w:rPr>
              <w:t>International Business Review</w:t>
            </w:r>
            <w:r w:rsidRPr="0034317E">
              <w:rPr>
                <w:rFonts w:ascii="Times New Roman" w:hAnsi="Times New Roman"/>
                <w:b w:val="0"/>
                <w:lang w:val="en-US" w:eastAsia="en-US"/>
              </w:rPr>
              <w:t>, to strengthen theoretical positioning and currency.</w:t>
            </w:r>
          </w:p>
        </w:tc>
      </w:tr>
      <w:tr w:rsidR="00647E05" w14:paraId="0D1FCBF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1E64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2FCFCE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7EF717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44FF5F" w14:textId="77777777" w:rsidR="00647E05" w:rsidRDefault="00422C33" w:rsidP="00422C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Rating 5 (Excellent)</w:t>
            </w:r>
          </w:p>
          <w:p w14:paraId="67DA3101" w14:textId="4E1F721C" w:rsidR="00422C33" w:rsidRDefault="00422C33" w:rsidP="00422C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use PLS SEM is appropriate for testing complex relationship and mediation effects. The methodology is clearly explained and follows established guidelines</w:t>
            </w:r>
          </w:p>
        </w:tc>
        <w:tc>
          <w:tcPr>
            <w:tcW w:w="1367" w:type="pct"/>
          </w:tcPr>
          <w:p w14:paraId="3896D2BF" w14:textId="2769879F" w:rsidR="00647E05" w:rsidRDefault="00647E05" w:rsidP="00422C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282A0AF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E1AA9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75B0C9F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000376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38A1BF" w14:textId="77777777" w:rsidR="00647E05" w:rsidRDefault="00422C33" w:rsidP="00422C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Raring 3 (Satisfactory)</w:t>
            </w:r>
          </w:p>
          <w:p w14:paraId="1A917539" w14:textId="0DA0A0F1" w:rsidR="00422C33" w:rsidRDefault="00422C33" w:rsidP="00422C3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There is</w:t>
            </w:r>
            <w:r w:rsidR="000A6C2C">
              <w:rPr>
                <w:b/>
                <w:bCs/>
                <w:sz w:val="20"/>
                <w:szCs w:val="20"/>
                <w:lang w:val="en-GB"/>
              </w:rPr>
              <w:t xml:space="preserve"> no explicit ethical statement. The manuscript should include clarification regarding informed consent, confidentiality, and ethical approval </w:t>
            </w:r>
          </w:p>
        </w:tc>
        <w:tc>
          <w:tcPr>
            <w:tcW w:w="1367" w:type="pct"/>
          </w:tcPr>
          <w:p w14:paraId="594ADDC1" w14:textId="40413E88" w:rsidR="00647E05" w:rsidRDefault="00A16361" w:rsidP="00422C33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16361">
              <w:rPr>
                <w:rFonts w:ascii="Times New Roman" w:hAnsi="Times New Roman"/>
                <w:b w:val="0"/>
                <w:lang w:val="en-GB" w:eastAsia="en-US"/>
              </w:rPr>
              <w:t>We acknowledge this omission. A formal Ethical Considerations Statement has been added, including informed consent procedures, voluntary participation, and data anonymization protocols.</w:t>
            </w:r>
          </w:p>
        </w:tc>
      </w:tr>
      <w:tr w:rsidR="00647E05" w14:paraId="7D8CF5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F41F2A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35C824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FD8B9F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B9FDF6" w14:textId="77777777" w:rsidR="00647E05" w:rsidRDefault="000A6C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5 (Excellent)</w:t>
            </w:r>
          </w:p>
          <w:p w14:paraId="2FE21958" w14:textId="6DCC4664" w:rsidR="000A6C2C" w:rsidRDefault="000A6C2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Results are clearly presented with appropriate statistical indicators (e.g., loadings, CR, AVE, path coefficients, t-values)</w:t>
            </w:r>
          </w:p>
        </w:tc>
        <w:tc>
          <w:tcPr>
            <w:tcW w:w="1367" w:type="pct"/>
          </w:tcPr>
          <w:p w14:paraId="0FF322DB" w14:textId="50B5612A" w:rsidR="00647E05" w:rsidRDefault="00647E05" w:rsidP="000A6C2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9D2E6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C1E680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0B478A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60C7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01056C" w14:textId="77777777" w:rsidR="00647E05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4 (Good)</w:t>
            </w:r>
          </w:p>
          <w:p w14:paraId="5F9A057A" w14:textId="7FE461E8" w:rsidR="00783B5E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Tables are relevant and informative. However, formatting consistency (e.g., decimal notation, labelling) can be improved.</w:t>
            </w:r>
          </w:p>
        </w:tc>
        <w:tc>
          <w:tcPr>
            <w:tcW w:w="1367" w:type="pct"/>
          </w:tcPr>
          <w:p w14:paraId="32D11301" w14:textId="0B3B0E46" w:rsidR="00647E05" w:rsidRDefault="00A16361" w:rsidP="00783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16361">
              <w:rPr>
                <w:rFonts w:ascii="Times New Roman" w:hAnsi="Times New Roman"/>
                <w:b w:val="0"/>
                <w:lang w:val="en-GB" w:eastAsia="en-US"/>
              </w:rPr>
              <w:t>Thank you for this attention to detail. All tables have been reformatted to ensure: (1) consistent use of periods (not commas) for decimal notation (e.g., 0.792 instead of 0,792); (2) uniform table numbering and caption style; and (3) aligned column headers for improved readability.</w:t>
            </w:r>
          </w:p>
        </w:tc>
      </w:tr>
      <w:tr w:rsidR="00647E05" w14:paraId="42A3E68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E5889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62B6299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65DDF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979BB6" w14:textId="7A3CDA36" w:rsidR="00647E05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5 (Excellent)</w:t>
            </w:r>
          </w:p>
          <w:p w14:paraId="3C024133" w14:textId="7C1ACBA1" w:rsidR="00783B5E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discussion effectively connects findings with existing literature and theoretical frameworks.</w:t>
            </w:r>
          </w:p>
        </w:tc>
        <w:tc>
          <w:tcPr>
            <w:tcW w:w="1367" w:type="pct"/>
          </w:tcPr>
          <w:p w14:paraId="3D8C18E5" w14:textId="2B02EB9B" w:rsidR="00647E05" w:rsidRDefault="00647E05" w:rsidP="00783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3088652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D09580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04270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9A449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BFC7C7" w14:textId="77777777" w:rsidR="00647E05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5 (Excellent)</w:t>
            </w:r>
          </w:p>
          <w:p w14:paraId="55006AA5" w14:textId="6FB75019" w:rsidR="00783B5E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Conclusions are well supported by empirical findings and aligned with research objectives.</w:t>
            </w:r>
          </w:p>
        </w:tc>
        <w:tc>
          <w:tcPr>
            <w:tcW w:w="1367" w:type="pct"/>
          </w:tcPr>
          <w:p w14:paraId="0C082BE3" w14:textId="6688C671" w:rsidR="00647E05" w:rsidRDefault="00647E05" w:rsidP="00783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3AF436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B9E54A6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4225454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09BCE9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3CF950" w14:textId="77777777" w:rsidR="00647E05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2 (Needs Improvement)</w:t>
            </w:r>
          </w:p>
          <w:p w14:paraId="74A0F86E" w14:textId="679F6755" w:rsidR="00783B5E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 manuscript lacks a clear discussion of limitations. Authors should explicitly state methodological and contextual limitations.</w:t>
            </w:r>
          </w:p>
        </w:tc>
        <w:tc>
          <w:tcPr>
            <w:tcW w:w="1367" w:type="pct"/>
          </w:tcPr>
          <w:p w14:paraId="5E67803B" w14:textId="1E78F7A4" w:rsidR="00647E05" w:rsidRDefault="00A16361" w:rsidP="00783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060FB8">
              <w:rPr>
                <w:rFonts w:ascii="Times New Roman" w:hAnsi="Times New Roman"/>
                <w:b w:val="0"/>
                <w:lang w:val="en-GB" w:eastAsia="en-US"/>
              </w:rPr>
              <w:t>We sincerely thank the reviewer for highlighting this gap. A new subsection "Limitations of the Study" has been added before the Conclusion, discussing: (1) methodological limitations (cross-sectional design, sample size n=150, generalizability); (2) contextual limitations (focus on teak woodcraft MSMEs in Bojonegoro); and (3) measurement limitations (self-reported data).</w:t>
            </w:r>
          </w:p>
        </w:tc>
      </w:tr>
      <w:tr w:rsidR="00647E05" w14:paraId="4555498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5B9BCCE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18D046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EDB30A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FA4A2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7F07F61" w14:textId="18C28A35" w:rsidR="00647E05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4 (Good)</w:t>
            </w:r>
          </w:p>
          <w:p w14:paraId="62FB3A2B" w14:textId="170B4139" w:rsidR="00783B5E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References are generally relevant and sufficient, but inclusion of more recent international publications would enhance academic rigor.</w:t>
            </w:r>
          </w:p>
        </w:tc>
        <w:tc>
          <w:tcPr>
            <w:tcW w:w="1367" w:type="pct"/>
          </w:tcPr>
          <w:p w14:paraId="5AF35D75" w14:textId="31B26492" w:rsidR="00647E05" w:rsidRDefault="00A16361" w:rsidP="00783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16361">
              <w:rPr>
                <w:rFonts w:ascii="Times New Roman" w:hAnsi="Times New Roman"/>
                <w:b w:val="0"/>
                <w:lang w:val="en-US" w:eastAsia="en-US"/>
              </w:rPr>
              <w:t>The reference list has been updated to ensure &gt;80% of citations are from publications within the last 5 years (2020–2025), prioritizing Scopus-indexed journals to enhance academic rigor and relevance.</w:t>
            </w:r>
          </w:p>
        </w:tc>
      </w:tr>
      <w:tr w:rsidR="00647E05" w14:paraId="3FFA1B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F30C85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4E343EE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E160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580233F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013D505" w14:textId="77777777" w:rsidR="00647E05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Rating 4 (Good)</w:t>
            </w:r>
          </w:p>
          <w:p w14:paraId="5FD508C4" w14:textId="0B4E444A" w:rsidR="00783B5E" w:rsidRDefault="00783B5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manuscript is generally understandable and uses academic English. Minor grammatical improvements and sentence simplication are recommended for better readability </w:t>
            </w:r>
          </w:p>
        </w:tc>
        <w:tc>
          <w:tcPr>
            <w:tcW w:w="1367" w:type="pct"/>
          </w:tcPr>
          <w:p w14:paraId="0ABE4217" w14:textId="03E55A7E" w:rsidR="00647E05" w:rsidRDefault="00A16361" w:rsidP="00783B5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16361">
              <w:rPr>
                <w:rFonts w:ascii="Times New Roman" w:hAnsi="Times New Roman"/>
                <w:b w:val="0"/>
                <w:lang w:val="en-GB" w:eastAsia="en-US"/>
              </w:rPr>
              <w:t>The manuscript has undergone comprehensive proofreading using Grammarly Premium and professional academic editing. Complex sentences have been simplified, grammatical accuracy standardized, and academic conventions consistently applied throughout.</w:t>
            </w:r>
          </w:p>
        </w:tc>
      </w:tr>
    </w:tbl>
    <w:p w14:paraId="7903074A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43BA23D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ECBB77A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84AC1CC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6F9A054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4B5BBB5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887B9B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BFA888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5557F9D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C0D68C0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7868DC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F52C1A3" w14:textId="77777777">
        <w:trPr>
          <w:trHeight w:val="20"/>
          <w:jc w:val="center"/>
        </w:trPr>
        <w:tc>
          <w:tcPr>
            <w:tcW w:w="1672" w:type="pct"/>
            <w:noWrap/>
          </w:tcPr>
          <w:p w14:paraId="192E6594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3FB8D00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045CEF41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9C56DB1" w14:textId="77777777" w:rsidR="00647E05" w:rsidRDefault="00E86417" w:rsidP="00E864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7C533134" w14:textId="0A0DF8C7" w:rsidR="00E86417" w:rsidRDefault="00E86417" w:rsidP="00E864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is clear, specific and reflects the main variables and context of the study. It appropriately highlights the mediating role of digital capability in SME internalization</w:t>
            </w:r>
          </w:p>
        </w:tc>
        <w:tc>
          <w:tcPr>
            <w:tcW w:w="1543" w:type="pct"/>
          </w:tcPr>
          <w:p w14:paraId="1E93989F" w14:textId="550DAEC7" w:rsidR="00647E05" w:rsidRDefault="00647E05" w:rsidP="00E864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4F952A0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DB54B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D4CF945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7D03A647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A6502CE" w14:textId="77777777" w:rsidR="00647E05" w:rsidRDefault="00E86417" w:rsidP="00E864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 (with minor improvements suggested)</w:t>
            </w:r>
          </w:p>
          <w:p w14:paraId="100EE64F" w14:textId="3538CA48" w:rsidR="00E86417" w:rsidRDefault="00E86417" w:rsidP="00E8641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abstract is generally comprehensive, covering the aim, methodology, results and conclusions. However, it would benefit from a clearer statement of the research gap and theoretical contribution to strengthen its academic value. Additionally, simplifying some sentences could improve readability</w:t>
            </w:r>
          </w:p>
        </w:tc>
        <w:tc>
          <w:tcPr>
            <w:tcW w:w="1543" w:type="pct"/>
          </w:tcPr>
          <w:p w14:paraId="26A6298F" w14:textId="5EB4FC41" w:rsidR="00647E05" w:rsidRDefault="00647E05" w:rsidP="00E864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5BDF18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79B7D7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08E8B85" w14:textId="77777777"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77108D5" w14:textId="77777777" w:rsidR="00647E05" w:rsidRDefault="00E8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(with the minor revisions required)</w:t>
            </w:r>
          </w:p>
          <w:p w14:paraId="7D0B1C85" w14:textId="77777777" w:rsidR="00E86417" w:rsidRDefault="00E8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The manuscript is scientifically sound in terms of theoretical framework, methodology (PLS-SEM), amd empirical analysis. However, several improvements are recommended. </w:t>
            </w:r>
          </w:p>
          <w:p w14:paraId="578B540B" w14:textId="49975EF4" w:rsidR="00E86417" w:rsidRDefault="00E8641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Add a clearer explanation of the research gap in the introduction</w:t>
            </w:r>
            <w:r w:rsidR="0049122E">
              <w:rPr>
                <w:bCs/>
                <w:sz w:val="20"/>
                <w:szCs w:val="20"/>
                <w:lang w:val="en-GB"/>
              </w:rPr>
              <w:t>. Include a limitations section to acknowledge methodological and contextual constraints. Improve clarity and consistency in writing, especially in some extended paragraphs.</w:t>
            </w:r>
          </w:p>
        </w:tc>
        <w:tc>
          <w:tcPr>
            <w:tcW w:w="1543" w:type="pct"/>
          </w:tcPr>
          <w:p w14:paraId="172404F6" w14:textId="4F229174" w:rsidR="00647E05" w:rsidRDefault="00647E05" w:rsidP="00E8641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BC5350E" w14:textId="77777777">
        <w:trPr>
          <w:trHeight w:val="20"/>
          <w:jc w:val="center"/>
        </w:trPr>
        <w:tc>
          <w:tcPr>
            <w:tcW w:w="1672" w:type="pct"/>
            <w:noWrap/>
          </w:tcPr>
          <w:p w14:paraId="18BAC243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FBB31D2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B7328F1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6BF695B7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E8D13F3" w14:textId="77777777" w:rsidR="00647E05" w:rsidRDefault="004912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6DDA8A75" w14:textId="1191B1D4" w:rsidR="0049122E" w:rsidRDefault="004912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Although the references are generally relevant, the manuscript lakcs sufficient representation of recent high impact international journal articles</w:t>
            </w:r>
          </w:p>
        </w:tc>
        <w:tc>
          <w:tcPr>
            <w:tcW w:w="1543" w:type="pct"/>
          </w:tcPr>
          <w:p w14:paraId="73FEA9CE" w14:textId="1D5FBF46" w:rsidR="00647E05" w:rsidRDefault="00647E05" w:rsidP="004912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6679241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7911F3F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5688078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5152123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66A4EF43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07BDC57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42267A7" w14:textId="77777777" w:rsidR="00647E05" w:rsidRDefault="004912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0AC0F13E" w14:textId="0020080A" w:rsidR="0049122E" w:rsidRDefault="0049122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 explicit ethical issues are identified. However, the manuscript does not include a formal ethical statement.</w:t>
            </w:r>
          </w:p>
        </w:tc>
        <w:tc>
          <w:tcPr>
            <w:tcW w:w="1543" w:type="pct"/>
          </w:tcPr>
          <w:p w14:paraId="26F37FC3" w14:textId="67E10501" w:rsidR="00647E05" w:rsidRDefault="00647E05" w:rsidP="0049122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069A446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FCFF42E" w14:textId="77777777" w:rsidR="00647E05" w:rsidRDefault="00647E05">
      <w:pPr>
        <w:rPr>
          <w:highlight w:val="yellow"/>
          <w:lang w:val="en-GB"/>
        </w:rPr>
      </w:pPr>
    </w:p>
    <w:p w14:paraId="67D79859" w14:textId="77777777" w:rsidR="00647E05" w:rsidRDefault="00647E05">
      <w:pPr>
        <w:rPr>
          <w:highlight w:val="yellow"/>
          <w:lang w:val="en-GB"/>
        </w:rPr>
      </w:pPr>
    </w:p>
    <w:sectPr w:rsidR="00647E0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5BC18" w14:textId="77777777" w:rsidR="00E84BC2" w:rsidRDefault="00E84BC2">
      <w:r>
        <w:separator/>
      </w:r>
    </w:p>
  </w:endnote>
  <w:endnote w:type="continuationSeparator" w:id="0">
    <w:p w14:paraId="0029786F" w14:textId="77777777" w:rsidR="00E84BC2" w:rsidRDefault="00E84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8AE4F" w14:textId="77777777" w:rsidR="00647E05" w:rsidRDefault="00647E05">
    <w:pPr>
      <w:pStyle w:val="Footer"/>
      <w:jc w:val="right"/>
    </w:pPr>
  </w:p>
  <w:p w14:paraId="4C73FD9E" w14:textId="77777777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18D5660D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DB8B76B" w14:textId="77777777" w:rsidR="00647E05" w:rsidRDefault="00647E05">
    <w:pPr>
      <w:pStyle w:val="Footer"/>
      <w:jc w:val="right"/>
    </w:pPr>
  </w:p>
  <w:p w14:paraId="426174A3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4158" w14:textId="77777777" w:rsidR="00E84BC2" w:rsidRDefault="00E84BC2">
      <w:r>
        <w:separator/>
      </w:r>
    </w:p>
  </w:footnote>
  <w:footnote w:type="continuationSeparator" w:id="0">
    <w:p w14:paraId="3317F52B" w14:textId="77777777" w:rsidR="00E84BC2" w:rsidRDefault="00E84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22597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A8FA4F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82524579">
    <w:abstractNumId w:val="4"/>
  </w:num>
  <w:num w:numId="2" w16cid:durableId="1595824660">
    <w:abstractNumId w:val="8"/>
  </w:num>
  <w:num w:numId="3" w16cid:durableId="1389383138">
    <w:abstractNumId w:val="7"/>
  </w:num>
  <w:num w:numId="4" w16cid:durableId="312683241">
    <w:abstractNumId w:val="9"/>
  </w:num>
  <w:num w:numId="5" w16cid:durableId="1151560670">
    <w:abstractNumId w:val="6"/>
  </w:num>
  <w:num w:numId="6" w16cid:durableId="1288051700">
    <w:abstractNumId w:val="0"/>
  </w:num>
  <w:num w:numId="7" w16cid:durableId="619605337">
    <w:abstractNumId w:val="3"/>
  </w:num>
  <w:num w:numId="8" w16cid:durableId="900290699">
    <w:abstractNumId w:val="11"/>
  </w:num>
  <w:num w:numId="9" w16cid:durableId="375007106">
    <w:abstractNumId w:val="10"/>
  </w:num>
  <w:num w:numId="10" w16cid:durableId="2028290023">
    <w:abstractNumId w:val="2"/>
  </w:num>
  <w:num w:numId="11" w16cid:durableId="1274946411">
    <w:abstractNumId w:val="1"/>
  </w:num>
  <w:num w:numId="12" w16cid:durableId="527812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E05"/>
    <w:rsid w:val="000A6C2C"/>
    <w:rsid w:val="00112268"/>
    <w:rsid w:val="00170747"/>
    <w:rsid w:val="002A0006"/>
    <w:rsid w:val="003104B3"/>
    <w:rsid w:val="003170D7"/>
    <w:rsid w:val="00331D06"/>
    <w:rsid w:val="0034317E"/>
    <w:rsid w:val="00367E3C"/>
    <w:rsid w:val="0040479D"/>
    <w:rsid w:val="00422C33"/>
    <w:rsid w:val="004869E2"/>
    <w:rsid w:val="0049122E"/>
    <w:rsid w:val="00554458"/>
    <w:rsid w:val="00647E05"/>
    <w:rsid w:val="006865FE"/>
    <w:rsid w:val="006E1459"/>
    <w:rsid w:val="00783B5E"/>
    <w:rsid w:val="0090384D"/>
    <w:rsid w:val="009A49D2"/>
    <w:rsid w:val="00A16361"/>
    <w:rsid w:val="00AE3096"/>
    <w:rsid w:val="00B96574"/>
    <w:rsid w:val="00BF22A8"/>
    <w:rsid w:val="00C579CA"/>
    <w:rsid w:val="00CB015D"/>
    <w:rsid w:val="00CC106B"/>
    <w:rsid w:val="00DB0EB0"/>
    <w:rsid w:val="00DE6EB6"/>
    <w:rsid w:val="00E64C52"/>
    <w:rsid w:val="00E84BC2"/>
    <w:rsid w:val="00E86417"/>
    <w:rsid w:val="00EB18B1"/>
    <w:rsid w:val="00F92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87793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eb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1617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Ryan Basith Fasih Khan</cp:lastModifiedBy>
  <cp:revision>24</cp:revision>
  <dcterms:created xsi:type="dcterms:W3CDTF">2026-03-24T06:15:00Z</dcterms:created>
  <dcterms:modified xsi:type="dcterms:W3CDTF">2026-04-15T18:12:00Z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