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647E05">
        <w:trPr>
          <w:trHeight w:val="20"/>
          <w:jc w:val="center"/>
        </w:trPr>
        <w:tc>
          <w:tcPr>
            <w:tcW w:w="1186" w:type="pct"/>
          </w:tcPr>
          <w:p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647E05" w:rsidRDefault="0011226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647E05">
        <w:trPr>
          <w:trHeight w:val="20"/>
          <w:jc w:val="center"/>
        </w:trPr>
        <w:tc>
          <w:tcPr>
            <w:tcW w:w="1186" w:type="pct"/>
          </w:tcPr>
          <w:p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647E05" w:rsidRDefault="00B80C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80C9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Ms_AJEBA_156102</w:t>
            </w:r>
          </w:p>
        </w:tc>
      </w:tr>
      <w:tr w:rsidR="00647E05">
        <w:trPr>
          <w:trHeight w:val="20"/>
          <w:jc w:val="center"/>
        </w:trPr>
        <w:tc>
          <w:tcPr>
            <w:tcW w:w="1186" w:type="pct"/>
          </w:tcPr>
          <w:p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647E05" w:rsidRDefault="00B80C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80C9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Factors Influencing Brand Trust in Local Kirana Stores: Evidence from Gumla, a Tribal District of Jharkhand</w:t>
            </w:r>
          </w:p>
        </w:tc>
      </w:tr>
      <w:tr w:rsidR="00647E05">
        <w:trPr>
          <w:trHeight w:val="20"/>
          <w:jc w:val="center"/>
        </w:trPr>
        <w:tc>
          <w:tcPr>
            <w:tcW w:w="1186" w:type="pct"/>
          </w:tcPr>
          <w:p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47E05" w:rsidRDefault="001122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647E05" w:rsidRDefault="00647E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647E05">
        <w:trPr>
          <w:trHeight w:val="20"/>
          <w:jc w:val="center"/>
        </w:trPr>
        <w:tc>
          <w:tcPr>
            <w:tcW w:w="1789" w:type="pct"/>
            <w:noWrap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89" w:type="pct"/>
            <w:noWrap/>
          </w:tcPr>
          <w:p w:rsidR="00647E05" w:rsidRDefault="001122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647E05" w:rsidRDefault="00395C0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 article highlights the importance of retail stores which are backbone of any region.  The researcher has showcased that exploratory research can be done like this.  </w:t>
            </w:r>
          </w:p>
        </w:tc>
        <w:tc>
          <w:tcPr>
            <w:tcW w:w="1367" w:type="pct"/>
          </w:tcPr>
          <w:p w:rsidR="00964805" w:rsidRPr="00964805" w:rsidRDefault="00964805" w:rsidP="00964805">
            <w:pPr>
              <w:spacing w:before="100" w:beforeAutospacing="1" w:after="100" w:afterAutospacing="1"/>
            </w:pPr>
            <w:r w:rsidRPr="00964805">
              <w:rPr>
                <w:sz w:val="20"/>
              </w:rPr>
              <w:t>This article highlights the importance of local retail stores as the backbone of tribal regions. It demonstrates that high-quality exploratory qualitative research can be effectively conducted in sensitive and remote areas like Gumla district</w:t>
            </w:r>
            <w:r w:rsidRPr="00964805">
              <w:t>.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647E05" w:rsidRDefault="00647E05">
      <w:pPr>
        <w:rPr>
          <w:sz w:val="22"/>
          <w:szCs w:val="20"/>
          <w:lang w:val="en-GB"/>
        </w:rPr>
      </w:pPr>
    </w:p>
    <w:p w:rsidR="00647E05" w:rsidRDefault="00647E05">
      <w:pPr>
        <w:rPr>
          <w:sz w:val="22"/>
          <w:szCs w:val="20"/>
          <w:lang w:val="en-GB"/>
        </w:rPr>
      </w:pPr>
    </w:p>
    <w:p w:rsidR="00647E05" w:rsidRDefault="00647E05">
      <w:pPr>
        <w:rPr>
          <w:sz w:val="22"/>
          <w:szCs w:val="20"/>
          <w:lang w:val="en-GB"/>
        </w:rPr>
      </w:pPr>
    </w:p>
    <w:p w:rsidR="00647E05" w:rsidRDefault="00112268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647E05" w:rsidRDefault="00647E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647E05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647E05" w:rsidRDefault="001122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9762F">
        <w:trPr>
          <w:trHeight w:val="20"/>
          <w:jc w:val="center"/>
        </w:trPr>
        <w:tc>
          <w:tcPr>
            <w:tcW w:w="1790" w:type="pct"/>
            <w:noWrap/>
          </w:tcPr>
          <w:p w:rsidR="00A9762F" w:rsidRDefault="00A976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762F" w:rsidRDefault="00A9762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9762F" w:rsidRDefault="00A976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A9762F" w:rsidRPr="00635F9D" w:rsidRDefault="00A9762F" w:rsidP="00A9762F">
            <w:pPr>
              <w:spacing w:before="100" w:beforeAutospacing="1" w:after="100" w:afterAutospacing="1"/>
              <w:rPr>
                <w:sz w:val="20"/>
              </w:rPr>
            </w:pPr>
            <w:r w:rsidRPr="00635F9D">
              <w:rPr>
                <w:sz w:val="20"/>
              </w:rPr>
              <w:t xml:space="preserve"> The title is clear and appropriate for the study. I have retained the original title.</w:t>
            </w:r>
          </w:p>
          <w:p w:rsidR="00A9762F" w:rsidRPr="00635F9D" w:rsidRDefault="00A9762F" w:rsidP="00C15465">
            <w:pPr>
              <w:spacing w:before="100" w:beforeAutospacing="1" w:after="100" w:afterAutospacing="1"/>
            </w:pPr>
          </w:p>
          <w:p w:rsidR="00A9762F" w:rsidRDefault="00A9762F" w:rsidP="00C15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9762F">
        <w:trPr>
          <w:trHeight w:val="20"/>
          <w:jc w:val="center"/>
        </w:trPr>
        <w:tc>
          <w:tcPr>
            <w:tcW w:w="1790" w:type="pct"/>
            <w:noWrap/>
          </w:tcPr>
          <w:p w:rsidR="00A9762F" w:rsidRDefault="00A976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762F" w:rsidRDefault="00A976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9762F" w:rsidRDefault="00A976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A9762F" w:rsidRPr="00A9762F" w:rsidRDefault="00A9762F" w:rsidP="00C15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9762F">
              <w:rPr>
                <w:rFonts w:ascii="Times New Roman" w:hAnsi="Times New Roman"/>
                <w:b w:val="0"/>
              </w:rPr>
              <w:t>I have included one specific quantitative finding (34 out of 39 respondents cited personal relationships as the primary trust driver) in the abstract</w:t>
            </w:r>
          </w:p>
        </w:tc>
      </w:tr>
      <w:tr w:rsidR="00A9762F">
        <w:trPr>
          <w:trHeight w:val="20"/>
          <w:jc w:val="center"/>
        </w:trPr>
        <w:tc>
          <w:tcPr>
            <w:tcW w:w="1790" w:type="pct"/>
            <w:noWrap/>
          </w:tcPr>
          <w:p w:rsidR="00A9762F" w:rsidRDefault="00A976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762F" w:rsidRDefault="00A976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9762F" w:rsidRDefault="00A976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A9762F" w:rsidRDefault="00A9762F" w:rsidP="00C15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 change needed</w:t>
            </w:r>
          </w:p>
        </w:tc>
      </w:tr>
      <w:tr w:rsidR="00A9762F">
        <w:trPr>
          <w:trHeight w:val="20"/>
          <w:jc w:val="center"/>
        </w:trPr>
        <w:tc>
          <w:tcPr>
            <w:tcW w:w="1790" w:type="pct"/>
            <w:noWrap/>
          </w:tcPr>
          <w:p w:rsidR="00A9762F" w:rsidRDefault="00A976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762F" w:rsidRDefault="00A976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9762F" w:rsidRDefault="00A976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A9762F" w:rsidRPr="00BA72F2" w:rsidRDefault="00A9762F" w:rsidP="00A9762F">
            <w:pPr>
              <w:spacing w:before="100" w:beforeAutospacing="1" w:after="100" w:afterAutospacing="1"/>
              <w:rPr>
                <w:sz w:val="20"/>
              </w:rPr>
            </w:pPr>
            <w:r w:rsidRPr="00BA72F2">
              <w:rPr>
                <w:sz w:val="20"/>
              </w:rPr>
              <w:t>A dedicated paragraph with three clear research questions has been added at the end of the Introduction section. Iqbal et al. (2021) and other suggested references have also been incorporated</w:t>
            </w:r>
          </w:p>
          <w:p w:rsidR="00A9762F" w:rsidRDefault="00A9762F" w:rsidP="00A9762F">
            <w:pPr>
              <w:spacing w:before="100" w:beforeAutospacing="1" w:after="100" w:afterAutospacing="1"/>
              <w:rPr>
                <w:b/>
                <w:lang w:val="en-GB"/>
              </w:rPr>
            </w:pPr>
          </w:p>
        </w:tc>
      </w:tr>
      <w:tr w:rsidR="00A9762F">
        <w:trPr>
          <w:trHeight w:val="20"/>
          <w:jc w:val="center"/>
        </w:trPr>
        <w:tc>
          <w:tcPr>
            <w:tcW w:w="1790" w:type="pct"/>
            <w:noWrap/>
          </w:tcPr>
          <w:p w:rsidR="00A9762F" w:rsidRDefault="00A976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762F" w:rsidRDefault="00A976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9762F" w:rsidRDefault="00A976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A9762F" w:rsidRPr="00964805" w:rsidRDefault="00A976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64805">
              <w:rPr>
                <w:rFonts w:ascii="Times New Roman" w:hAnsi="Times New Roman"/>
                <w:b w:val="0"/>
              </w:rPr>
              <w:t>Research questions (a, b, and c) have been added</w:t>
            </w:r>
          </w:p>
        </w:tc>
      </w:tr>
      <w:tr w:rsidR="00A9762F">
        <w:trPr>
          <w:trHeight w:val="20"/>
          <w:jc w:val="center"/>
        </w:trPr>
        <w:tc>
          <w:tcPr>
            <w:tcW w:w="1790" w:type="pct"/>
            <w:noWrap/>
          </w:tcPr>
          <w:p w:rsidR="00A9762F" w:rsidRDefault="00A976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762F" w:rsidRDefault="00A976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9762F" w:rsidRDefault="00A976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A9762F" w:rsidRPr="00BA72F2" w:rsidRDefault="00A9762F" w:rsidP="00A9762F">
            <w:pPr>
              <w:spacing w:before="100" w:beforeAutospacing="1" w:after="100" w:afterAutospacing="1"/>
              <w:rPr>
                <w:sz w:val="20"/>
              </w:rPr>
            </w:pPr>
            <w:r w:rsidRPr="00BA72F2">
              <w:rPr>
                <w:sz w:val="20"/>
              </w:rPr>
              <w:t>The literature review has been strengthened by including Iqbal et al. (2021), Lau &amp; Lee (1999), and Villagra et al. (2021).</w:t>
            </w:r>
          </w:p>
          <w:p w:rsidR="00A9762F" w:rsidRDefault="00A976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9762F">
        <w:trPr>
          <w:trHeight w:val="20"/>
          <w:jc w:val="center"/>
        </w:trPr>
        <w:tc>
          <w:tcPr>
            <w:tcW w:w="1790" w:type="pct"/>
            <w:noWrap/>
          </w:tcPr>
          <w:p w:rsidR="00A9762F" w:rsidRDefault="00A976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762F" w:rsidRDefault="00A976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9762F" w:rsidRDefault="00A976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A9762F" w:rsidRPr="00964805" w:rsidRDefault="00A976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64805">
              <w:rPr>
                <w:rFonts w:ascii="Times New Roman" w:hAnsi="Times New Roman"/>
                <w:b w:val="0"/>
              </w:rPr>
              <w:t>A brief mention of the manual thematic analysis framework and researcher positionality has been added in the Methodology section</w:t>
            </w:r>
          </w:p>
        </w:tc>
      </w:tr>
      <w:tr w:rsidR="00A9762F">
        <w:trPr>
          <w:trHeight w:val="20"/>
          <w:jc w:val="center"/>
        </w:trPr>
        <w:tc>
          <w:tcPr>
            <w:tcW w:w="1790" w:type="pct"/>
            <w:noWrap/>
          </w:tcPr>
          <w:p w:rsidR="00A9762F" w:rsidRDefault="00A976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762F" w:rsidRDefault="00A976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9762F" w:rsidRDefault="00A976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A9762F" w:rsidRDefault="00A976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9762F">
        <w:trPr>
          <w:trHeight w:val="20"/>
          <w:jc w:val="center"/>
        </w:trPr>
        <w:tc>
          <w:tcPr>
            <w:tcW w:w="1790" w:type="pct"/>
            <w:noWrap/>
          </w:tcPr>
          <w:p w:rsidR="00A9762F" w:rsidRDefault="00A976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762F" w:rsidRDefault="00A976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9762F" w:rsidRDefault="00A976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A9762F" w:rsidRPr="00BA72F2" w:rsidRDefault="00A9762F" w:rsidP="00A9762F">
            <w:pPr>
              <w:spacing w:before="100" w:beforeAutospacing="1" w:after="100" w:afterAutospacing="1"/>
              <w:rPr>
                <w:sz w:val="20"/>
              </w:rPr>
            </w:pPr>
            <w:r w:rsidRPr="00BA72F2">
              <w:rPr>
                <w:sz w:val="20"/>
              </w:rPr>
              <w:t>Figure 1 (bar chart showing frequency distribution) has been inserted in the Results section.</w:t>
            </w:r>
          </w:p>
          <w:p w:rsidR="00A9762F" w:rsidRDefault="00A976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9762F">
        <w:trPr>
          <w:trHeight w:val="20"/>
          <w:jc w:val="center"/>
        </w:trPr>
        <w:tc>
          <w:tcPr>
            <w:tcW w:w="1790" w:type="pct"/>
            <w:noWrap/>
          </w:tcPr>
          <w:p w:rsidR="00A9762F" w:rsidRDefault="00A976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762F" w:rsidRDefault="00A976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9762F" w:rsidRDefault="00A976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A9762F" w:rsidRPr="00964805" w:rsidRDefault="00A976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64805">
              <w:rPr>
                <w:rFonts w:ascii="Times New Roman" w:hAnsi="Times New Roman"/>
                <w:b w:val="0"/>
              </w:rPr>
              <w:t>Figure 1 has been inserted in the Results section</w:t>
            </w:r>
          </w:p>
        </w:tc>
      </w:tr>
      <w:tr w:rsidR="00A9762F">
        <w:trPr>
          <w:trHeight w:val="20"/>
          <w:jc w:val="center"/>
        </w:trPr>
        <w:tc>
          <w:tcPr>
            <w:tcW w:w="1790" w:type="pct"/>
            <w:noWrap/>
          </w:tcPr>
          <w:p w:rsidR="00A9762F" w:rsidRDefault="00A976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762F" w:rsidRDefault="00A976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:rsidR="00A9762F" w:rsidRDefault="00A976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:rsidR="00A9762F" w:rsidRPr="00BA72F2" w:rsidRDefault="00A9762F" w:rsidP="00A9762F">
            <w:pPr>
              <w:spacing w:before="100" w:beforeAutospacing="1" w:after="100" w:afterAutospacing="1"/>
              <w:rPr>
                <w:sz w:val="20"/>
              </w:rPr>
            </w:pPr>
            <w:r w:rsidRPr="00BA72F2">
              <w:rPr>
                <w:sz w:val="20"/>
              </w:rPr>
              <w:t xml:space="preserve">The discussion section has been enhanced by linking findings with Iqbal et al. (2021), Villagra et al. (2021), and other relevant </w:t>
            </w:r>
            <w:r w:rsidRPr="00BA72F2">
              <w:rPr>
                <w:sz w:val="20"/>
              </w:rPr>
              <w:lastRenderedPageBreak/>
              <w:t>studies.</w:t>
            </w:r>
          </w:p>
          <w:p w:rsidR="00A9762F" w:rsidRDefault="00A976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9762F">
        <w:trPr>
          <w:trHeight w:val="20"/>
          <w:jc w:val="center"/>
        </w:trPr>
        <w:tc>
          <w:tcPr>
            <w:tcW w:w="1790" w:type="pct"/>
            <w:noWrap/>
          </w:tcPr>
          <w:p w:rsidR="00A9762F" w:rsidRDefault="00A976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762F" w:rsidRDefault="00A976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9762F" w:rsidRDefault="00A976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A9762F" w:rsidRPr="00BA72F2" w:rsidRDefault="00A9762F" w:rsidP="00C15465">
            <w:pPr>
              <w:spacing w:before="100" w:beforeAutospacing="1" w:after="100" w:afterAutospacing="1"/>
              <w:rPr>
                <w:sz w:val="20"/>
              </w:rPr>
            </w:pPr>
            <w:r w:rsidRPr="00BA72F2">
              <w:rPr>
                <w:sz w:val="20"/>
              </w:rPr>
              <w:t>A sentence acknowledging the limited generalisability of single-district qualitative study has been added in the Conclusion.</w:t>
            </w:r>
          </w:p>
          <w:p w:rsidR="00A9762F" w:rsidRDefault="00A9762F" w:rsidP="00C15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9762F">
        <w:trPr>
          <w:trHeight w:val="20"/>
          <w:jc w:val="center"/>
        </w:trPr>
        <w:tc>
          <w:tcPr>
            <w:tcW w:w="1790" w:type="pct"/>
            <w:noWrap/>
          </w:tcPr>
          <w:p w:rsidR="00A9762F" w:rsidRDefault="00A976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762F" w:rsidRDefault="00A976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9762F" w:rsidRDefault="00A976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A9762F" w:rsidRPr="00964805" w:rsidRDefault="00A976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64805">
              <w:rPr>
                <w:rFonts w:ascii="Times New Roman" w:hAnsi="Times New Roman"/>
                <w:b w:val="0"/>
              </w:rPr>
              <w:t>Limitations section has been added as a separate heading.</w:t>
            </w:r>
          </w:p>
        </w:tc>
      </w:tr>
      <w:tr w:rsidR="00A9762F">
        <w:trPr>
          <w:trHeight w:val="20"/>
          <w:jc w:val="center"/>
        </w:trPr>
        <w:tc>
          <w:tcPr>
            <w:tcW w:w="1790" w:type="pct"/>
            <w:noWrap/>
          </w:tcPr>
          <w:p w:rsidR="00A9762F" w:rsidRDefault="00A976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9762F" w:rsidRDefault="00A976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A9762F" w:rsidRDefault="00A976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A9762F" w:rsidRPr="00964805" w:rsidRDefault="00A976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64805">
              <w:rPr>
                <w:rFonts w:ascii="Times New Roman" w:hAnsi="Times New Roman"/>
                <w:b w:val="0"/>
              </w:rPr>
              <w:t>Additional recent references (Lau &amp; Lee, 1999 and Villagra et al., 2021) have been incorporated in the literature review and discussion</w:t>
            </w:r>
          </w:p>
        </w:tc>
      </w:tr>
      <w:tr w:rsidR="00A9762F">
        <w:trPr>
          <w:trHeight w:val="20"/>
          <w:jc w:val="center"/>
        </w:trPr>
        <w:tc>
          <w:tcPr>
            <w:tcW w:w="1790" w:type="pct"/>
            <w:noWrap/>
          </w:tcPr>
          <w:p w:rsidR="00A9762F" w:rsidRDefault="00A976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762F" w:rsidRDefault="00A976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9762F" w:rsidRDefault="00A976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A9762F" w:rsidRDefault="00A976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A9762F" w:rsidRPr="00BA72F2" w:rsidRDefault="00A9762F" w:rsidP="00A9762F">
            <w:pPr>
              <w:spacing w:before="100" w:beforeAutospacing="1" w:after="100" w:afterAutospacing="1"/>
              <w:rPr>
                <w:sz w:val="20"/>
              </w:rPr>
            </w:pPr>
            <w:r w:rsidRPr="00BA72F2">
              <w:rPr>
                <w:sz w:val="20"/>
              </w:rPr>
              <w:t>Consistent capitalization of “Kirana” has been applied throughout the manuscript. Spacing issues and long sentences have been corrected for better readability</w:t>
            </w:r>
          </w:p>
          <w:p w:rsidR="00A9762F" w:rsidRDefault="00A976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7E05" w:rsidRDefault="00112268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647E05">
        <w:trPr>
          <w:trHeight w:val="20"/>
          <w:jc w:val="center"/>
        </w:trPr>
        <w:tc>
          <w:tcPr>
            <w:tcW w:w="1672" w:type="pct"/>
            <w:noWrap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647E05" w:rsidRDefault="00647E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672" w:type="pct"/>
            <w:noWrap/>
          </w:tcPr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:rsidR="00647E05" w:rsidRDefault="001122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647E05" w:rsidRDefault="00395C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647E05" w:rsidRDefault="0076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647E05">
        <w:trPr>
          <w:trHeight w:val="20"/>
          <w:jc w:val="center"/>
        </w:trPr>
        <w:tc>
          <w:tcPr>
            <w:tcW w:w="1672" w:type="pct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:rsidR="00647E05" w:rsidRDefault="0011226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647E05" w:rsidRDefault="00395C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647E05" w:rsidRDefault="0076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647E05">
        <w:trPr>
          <w:trHeight w:val="20"/>
          <w:jc w:val="center"/>
        </w:trPr>
        <w:tc>
          <w:tcPr>
            <w:tcW w:w="1672" w:type="pct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647E05" w:rsidRDefault="0011226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647E05" w:rsidRDefault="00395C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647E05" w:rsidRDefault="0076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647E05">
        <w:trPr>
          <w:trHeight w:val="20"/>
          <w:jc w:val="center"/>
        </w:trPr>
        <w:tc>
          <w:tcPr>
            <w:tcW w:w="1672" w:type="pct"/>
            <w:noWrap/>
          </w:tcPr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647E05" w:rsidRDefault="00395C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647E05" w:rsidRDefault="0076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647E05">
        <w:trPr>
          <w:trHeight w:val="896"/>
          <w:jc w:val="center"/>
        </w:trPr>
        <w:tc>
          <w:tcPr>
            <w:tcW w:w="1672" w:type="pct"/>
            <w:noWrap/>
          </w:tcPr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647E05" w:rsidRDefault="00395C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:rsidR="00647E05" w:rsidRDefault="0076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</w:t>
            </w:r>
          </w:p>
        </w:tc>
      </w:tr>
    </w:tbl>
    <w:p w:rsidR="00647E05" w:rsidRDefault="00647E05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647E05" w:rsidRDefault="00647E05">
      <w:pPr>
        <w:rPr>
          <w:highlight w:val="yellow"/>
          <w:lang w:val="en-GB"/>
        </w:rPr>
      </w:pPr>
    </w:p>
    <w:p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5"/>
        <w:gridCol w:w="6157"/>
      </w:tblGrid>
      <w:tr w:rsidR="00647E05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2784" w:type="pct"/>
            <w:noWrap/>
          </w:tcPr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47E05">
        <w:trPr>
          <w:trHeight w:val="20"/>
          <w:jc w:val="center"/>
        </w:trPr>
        <w:tc>
          <w:tcPr>
            <w:tcW w:w="2784" w:type="pct"/>
            <w:noWrap/>
          </w:tcPr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47E05" w:rsidRDefault="003B386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B386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Limitations of the study has not been discussed</w:t>
            </w: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76495E" w:rsidRPr="0076495E" w:rsidRDefault="0076495E" w:rsidP="0076495E">
            <w:pPr>
              <w:spacing w:before="100" w:beforeAutospacing="1" w:after="100" w:afterAutospacing="1"/>
            </w:pPr>
            <w:r w:rsidRPr="0076495E">
              <w:rPr>
                <w:sz w:val="20"/>
              </w:rPr>
              <w:t>Limitations of the study have now been discussed in a dedicated section. Suggested references have been added. I thank the reviewer for the valuable suggestions</w:t>
            </w:r>
            <w:r w:rsidRPr="0076495E">
              <w:t>.</w:t>
            </w: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13349"/>
        <w:gridCol w:w="826"/>
      </w:tblGrid>
      <w:tr w:rsidR="00475A55" w:rsidRPr="00475A55" w:rsidTr="00817008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A55" w:rsidRPr="00475A55" w:rsidRDefault="00475A55" w:rsidP="00475A55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475A55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475A55" w:rsidRPr="00475A55" w:rsidRDefault="00475A55" w:rsidP="00475A55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75A55" w:rsidRPr="00475A55" w:rsidTr="00817008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A55" w:rsidRPr="00475A55" w:rsidRDefault="00475A55" w:rsidP="00475A5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A55" w:rsidRPr="00475A55" w:rsidRDefault="00475A55" w:rsidP="00475A5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75A55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475A55" w:rsidRPr="00475A55" w:rsidTr="00817008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A55" w:rsidRPr="00475A55" w:rsidRDefault="00475A55" w:rsidP="00475A55">
            <w:pPr>
              <w:rPr>
                <w:sz w:val="20"/>
                <w:szCs w:val="20"/>
                <w:lang w:val="en-GB"/>
              </w:rPr>
            </w:pPr>
          </w:p>
          <w:p w:rsidR="00475A55" w:rsidRPr="00475A55" w:rsidRDefault="00475A55" w:rsidP="00475A55">
            <w:pPr>
              <w:rPr>
                <w:sz w:val="20"/>
                <w:szCs w:val="20"/>
                <w:lang w:val="en-GB"/>
              </w:rPr>
            </w:pPr>
            <w:r w:rsidRPr="00475A55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:rsidR="00475A55" w:rsidRPr="00475A55" w:rsidRDefault="00475A55" w:rsidP="00475A55">
            <w:pPr>
              <w:rPr>
                <w:sz w:val="20"/>
                <w:szCs w:val="20"/>
                <w:lang w:val="en-GB"/>
              </w:rPr>
            </w:pPr>
          </w:p>
          <w:p w:rsidR="00475A55" w:rsidRPr="00475A55" w:rsidRDefault="00475A55" w:rsidP="00475A55">
            <w:pPr>
              <w:rPr>
                <w:sz w:val="20"/>
                <w:szCs w:val="20"/>
                <w:lang w:val="en-GB"/>
              </w:rPr>
            </w:pPr>
            <w:r w:rsidRPr="00475A55">
              <w:rPr>
                <w:sz w:val="20"/>
                <w:szCs w:val="20"/>
                <w:lang w:val="en-GB"/>
              </w:rPr>
              <w:t>Lau, G. T., &amp; Lee, S. H. (1999). Consumers' trust in a brand and the link to brand loyalty. Journal of market-focused management, 4(4), 341-370.</w:t>
            </w:r>
          </w:p>
          <w:p w:rsidR="00475A55" w:rsidRPr="00475A55" w:rsidRDefault="00475A55" w:rsidP="00475A55">
            <w:pPr>
              <w:rPr>
                <w:sz w:val="20"/>
                <w:szCs w:val="20"/>
                <w:lang w:val="en-GB"/>
              </w:rPr>
            </w:pPr>
          </w:p>
          <w:p w:rsidR="00475A55" w:rsidRPr="00475A55" w:rsidRDefault="00475A55" w:rsidP="00475A55">
            <w:pPr>
              <w:rPr>
                <w:sz w:val="20"/>
                <w:szCs w:val="20"/>
                <w:lang w:val="en-GB"/>
              </w:rPr>
            </w:pPr>
            <w:r w:rsidRPr="00475A55">
              <w:rPr>
                <w:sz w:val="20"/>
                <w:szCs w:val="20"/>
                <w:lang w:val="en-GB"/>
              </w:rPr>
              <w:t>Villagra, N., Monfort, A., &amp; Sanchez Herrera, J. (2021). The mediating role of brand trust in the relationship between brand personality and brand loyalty. Journal of Consumer Behaviour, 20(5), 1153-1163.</w:t>
            </w:r>
          </w:p>
          <w:p w:rsidR="00475A55" w:rsidRPr="00475A55" w:rsidRDefault="00475A55" w:rsidP="00475A55">
            <w:pPr>
              <w:rPr>
                <w:sz w:val="20"/>
                <w:szCs w:val="20"/>
                <w:lang w:val="en-GB"/>
              </w:rPr>
            </w:pPr>
          </w:p>
          <w:p w:rsidR="00475A55" w:rsidRPr="00475A55" w:rsidRDefault="00475A55" w:rsidP="00475A5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A55" w:rsidRPr="00475A55" w:rsidRDefault="00A9762F" w:rsidP="00475A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Aded</w:t>
            </w:r>
          </w:p>
        </w:tc>
      </w:tr>
      <w:bookmarkEnd w:id="0"/>
    </w:tbl>
    <w:p w:rsidR="00475A55" w:rsidRPr="00475A55" w:rsidRDefault="00475A55" w:rsidP="00475A55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579"/>
        <w:gridCol w:w="4802"/>
        <w:gridCol w:w="4794"/>
      </w:tblGrid>
      <w:tr w:rsidR="00A01CBA" w:rsidRPr="00A01CBA" w:rsidTr="0081700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CBA" w:rsidRPr="00A01CBA" w:rsidRDefault="00A01CBA" w:rsidP="00A01CB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A01CB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A01CB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01CBA" w:rsidRPr="00A01CBA" w:rsidRDefault="00A01CBA" w:rsidP="00A01CB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01CBA" w:rsidRPr="00A01CBA" w:rsidTr="00817008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CBA" w:rsidRPr="00A01CBA" w:rsidRDefault="00A01CBA" w:rsidP="00A01CB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CBA" w:rsidRPr="00A01CBA" w:rsidRDefault="00A01CBA" w:rsidP="00A01CB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1C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A01CBA" w:rsidRPr="00A01CBA" w:rsidRDefault="00A01CBA" w:rsidP="00A01CB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01CB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01CB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01CBA" w:rsidRPr="00A01CBA" w:rsidRDefault="00A01CBA" w:rsidP="00A01C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01CBA" w:rsidRPr="00A01CBA" w:rsidTr="00817008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CBA" w:rsidRPr="00A01CBA" w:rsidRDefault="00A01CBA" w:rsidP="00A01CB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01CB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01CBA" w:rsidRPr="00A01CBA" w:rsidRDefault="00A01CBA" w:rsidP="00A01CB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CBA" w:rsidRPr="00A01CBA" w:rsidRDefault="00A01CBA" w:rsidP="00A01CB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01CB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A01CBA" w:rsidRPr="00A01CBA" w:rsidRDefault="00A01CBA" w:rsidP="00A01CB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A01CBA" w:rsidRPr="00A01CBA" w:rsidRDefault="00A01CBA" w:rsidP="00A01CB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01CBA" w:rsidRPr="00A01CBA" w:rsidRDefault="00A01CBA" w:rsidP="00A01CB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01CBA" w:rsidRPr="00A01CBA" w:rsidRDefault="00A01CBA" w:rsidP="00A01CB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A01CBA" w:rsidRPr="00A01CBA" w:rsidRDefault="00A01CBA" w:rsidP="00A01CBA"/>
    <w:p w:rsidR="00A01CBA" w:rsidRPr="00A01CBA" w:rsidRDefault="00A01CBA" w:rsidP="00A01CBA"/>
    <w:p w:rsidR="00A01CBA" w:rsidRPr="00A01CBA" w:rsidRDefault="00A01CBA" w:rsidP="00A01CBA">
      <w:pPr>
        <w:rPr>
          <w:bCs/>
          <w:u w:val="single"/>
          <w:lang w:val="en-GB"/>
        </w:rPr>
      </w:pPr>
    </w:p>
    <w:bookmarkEnd w:id="2"/>
    <w:p w:rsidR="00A01CBA" w:rsidRPr="00A01CBA" w:rsidRDefault="00A01CBA" w:rsidP="00A01CBA"/>
    <w:p w:rsidR="00475A55" w:rsidRPr="00475A55" w:rsidRDefault="00475A55" w:rsidP="00475A55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  <w:bookmarkStart w:id="3" w:name="_GoBack"/>
      <w:bookmarkEnd w:id="3"/>
    </w:p>
    <w:p w:rsidR="00475A55" w:rsidRPr="00475A55" w:rsidRDefault="00475A55" w:rsidP="00475A55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p w:rsidR="00475A55" w:rsidRPr="00475A55" w:rsidRDefault="00475A55" w:rsidP="00475A55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p w:rsidR="00475A55" w:rsidRPr="00475A55" w:rsidRDefault="00475A55" w:rsidP="00475A55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p w:rsidR="00475A55" w:rsidRPr="00475A55" w:rsidRDefault="00475A55" w:rsidP="00475A55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p w:rsidR="00475A55" w:rsidRPr="00475A55" w:rsidRDefault="00475A55" w:rsidP="00475A55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p w:rsidR="00475A55" w:rsidRPr="00475A55" w:rsidRDefault="00475A55" w:rsidP="00475A55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p w:rsidR="00475A55" w:rsidRPr="00475A55" w:rsidRDefault="00475A55" w:rsidP="00475A55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  <w:r w:rsidRPr="00475A55"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  <w:tab/>
      </w:r>
    </w:p>
    <w:p w:rsidR="00475A55" w:rsidRPr="00475A55" w:rsidRDefault="00475A55" w:rsidP="00475A55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p w:rsidR="00647E05" w:rsidRDefault="00647E05" w:rsidP="00475A55"/>
    <w:sectPr w:rsidR="00647E05" w:rsidSect="00E10AD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A94" w:rsidRDefault="00893A94">
      <w:r>
        <w:separator/>
      </w:r>
    </w:p>
  </w:endnote>
  <w:endnote w:type="continuationSeparator" w:id="0">
    <w:p w:rsidR="00893A94" w:rsidRDefault="00893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E05" w:rsidRDefault="00647E05">
    <w:pPr>
      <w:pStyle w:val="Footer"/>
      <w:jc w:val="right"/>
    </w:pPr>
  </w:p>
  <w:p w:rsidR="00647E05" w:rsidRDefault="001122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F75A8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F75A8">
      <w:rPr>
        <w:b/>
        <w:sz w:val="20"/>
      </w:rPr>
      <w:fldChar w:fldCharType="separate"/>
    </w:r>
    <w:r w:rsidR="00A9762F">
      <w:rPr>
        <w:b/>
        <w:noProof/>
        <w:sz w:val="20"/>
      </w:rPr>
      <w:t>1</w:t>
    </w:r>
    <w:r w:rsidR="00AF75A8">
      <w:rPr>
        <w:b/>
        <w:sz w:val="20"/>
      </w:rPr>
      <w:fldChar w:fldCharType="end"/>
    </w:r>
    <w:r>
      <w:rPr>
        <w:sz w:val="20"/>
      </w:rPr>
      <w:t xml:space="preserve"> of </w:t>
    </w:r>
    <w:r w:rsidR="00AF75A8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F75A8">
      <w:rPr>
        <w:b/>
        <w:sz w:val="20"/>
      </w:rPr>
      <w:fldChar w:fldCharType="separate"/>
    </w:r>
    <w:r w:rsidR="00A9762F">
      <w:rPr>
        <w:b/>
        <w:noProof/>
        <w:sz w:val="20"/>
      </w:rPr>
      <w:t>3</w:t>
    </w:r>
    <w:r w:rsidR="00AF75A8">
      <w:rPr>
        <w:b/>
        <w:sz w:val="20"/>
      </w:rPr>
      <w:fldChar w:fldCharType="end"/>
    </w:r>
  </w:p>
  <w:p w:rsidR="00647E05" w:rsidRDefault="001122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47E05" w:rsidRDefault="00647E05">
    <w:pPr>
      <w:pStyle w:val="Footer"/>
      <w:jc w:val="right"/>
    </w:pPr>
  </w:p>
  <w:p w:rsidR="00647E05" w:rsidRDefault="00647E05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A94" w:rsidRDefault="00893A94">
      <w:r>
        <w:separator/>
      </w:r>
    </w:p>
  </w:footnote>
  <w:footnote w:type="continuationSeparator" w:id="0">
    <w:p w:rsidR="00893A94" w:rsidRDefault="00893A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E05" w:rsidRDefault="00647E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47E05" w:rsidRDefault="001122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47E05"/>
    <w:rsid w:val="000005C9"/>
    <w:rsid w:val="00112268"/>
    <w:rsid w:val="00310FEC"/>
    <w:rsid w:val="00367E3C"/>
    <w:rsid w:val="00395C0F"/>
    <w:rsid w:val="003B386D"/>
    <w:rsid w:val="00455184"/>
    <w:rsid w:val="00475A55"/>
    <w:rsid w:val="00506AFB"/>
    <w:rsid w:val="00647E05"/>
    <w:rsid w:val="006C57EC"/>
    <w:rsid w:val="00712A6D"/>
    <w:rsid w:val="0076495E"/>
    <w:rsid w:val="00893A94"/>
    <w:rsid w:val="00964805"/>
    <w:rsid w:val="00A01CBA"/>
    <w:rsid w:val="00A9762F"/>
    <w:rsid w:val="00AF75A8"/>
    <w:rsid w:val="00B80C91"/>
    <w:rsid w:val="00CB2728"/>
    <w:rsid w:val="00D90E3C"/>
    <w:rsid w:val="00E10ADF"/>
    <w:rsid w:val="00ED4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AD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0AD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E10AD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0AD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10AD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E10AD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10AD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E10ADF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10AD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10AD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0AD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10AD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10AD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0ADF"/>
    <w:pPr>
      <w:ind w:left="720"/>
      <w:contextualSpacing/>
    </w:pPr>
  </w:style>
  <w:style w:type="paragraph" w:styleId="Revision">
    <w:name w:val="Revision"/>
    <w:hidden/>
    <w:uiPriority w:val="99"/>
    <w:semiHidden/>
    <w:rsid w:val="00E10ADF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E10ADF"/>
    <w:rPr>
      <w:color w:val="800080"/>
      <w:u w:val="single"/>
    </w:rPr>
  </w:style>
  <w:style w:type="table" w:styleId="TableGrid">
    <w:name w:val="Table Grid"/>
    <w:basedOn w:val="TableNormal"/>
    <w:uiPriority w:val="59"/>
    <w:rsid w:val="00E10ADF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E10ADF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E10AD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1051</Words>
  <Characters>5997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Apple</cp:lastModifiedBy>
  <cp:revision>8</cp:revision>
  <dcterms:created xsi:type="dcterms:W3CDTF">2026-03-31T06:07:00Z</dcterms:created>
  <dcterms:modified xsi:type="dcterms:W3CDTF">2026-04-02T05:51:00Z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