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4B54" w14:paraId="3CFC481F" w14:textId="77777777">
        <w:trPr>
          <w:trHeight w:val="20"/>
          <w:jc w:val="center"/>
        </w:trPr>
        <w:tc>
          <w:tcPr>
            <w:tcW w:w="1186" w:type="pct"/>
          </w:tcPr>
          <w:p w14:paraId="1C04BE4A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04D214" w14:textId="77777777" w:rsidR="00974B54" w:rsidRDefault="007641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D726A" w:rsidRPr="004D726A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Dental Sciences</w:t>
              </w:r>
            </w:hyperlink>
          </w:p>
        </w:tc>
      </w:tr>
      <w:tr w:rsidR="00974B54" w14:paraId="01513130" w14:textId="77777777">
        <w:trPr>
          <w:trHeight w:val="20"/>
          <w:jc w:val="center"/>
        </w:trPr>
        <w:tc>
          <w:tcPr>
            <w:tcW w:w="1186" w:type="pct"/>
          </w:tcPr>
          <w:p w14:paraId="356794AB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BF41EE" w14:textId="77777777" w:rsidR="00974B54" w:rsidRDefault="00540F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40F8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Ms_AJDS_156883</w:t>
            </w:r>
          </w:p>
        </w:tc>
      </w:tr>
      <w:tr w:rsidR="00974B54" w14:paraId="08708099" w14:textId="77777777">
        <w:trPr>
          <w:trHeight w:val="20"/>
          <w:jc w:val="center"/>
        </w:trPr>
        <w:tc>
          <w:tcPr>
            <w:tcW w:w="1186" w:type="pct"/>
          </w:tcPr>
          <w:p w14:paraId="22D8BD3B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E03C26" w14:textId="77777777" w:rsidR="00974B54" w:rsidRDefault="00540F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40F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Comparative Assessment of Triclosan-Coated, Chlorhexidine-Coated, and Un-Coated Resorbable Sutures: An In-Vitro Observational Study</w:t>
            </w:r>
          </w:p>
        </w:tc>
      </w:tr>
      <w:tr w:rsidR="00974B54" w14:paraId="5E712ABC" w14:textId="77777777">
        <w:trPr>
          <w:trHeight w:val="20"/>
          <w:jc w:val="center"/>
        </w:trPr>
        <w:tc>
          <w:tcPr>
            <w:tcW w:w="1186" w:type="pct"/>
          </w:tcPr>
          <w:p w14:paraId="5F020FF9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D2BAB9B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F634595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68164AF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00671E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3809FB3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7CDA529" w14:textId="77777777"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745F069" w14:textId="77777777"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124AFCF" w14:textId="77777777" w:rsidR="00974B54" w:rsidRDefault="00B17EF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7794C80" w14:textId="77777777" w:rsidR="00974B54" w:rsidRDefault="00974B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74B54" w14:paraId="1534F02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789C1A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093D82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895036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D6F2FF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2AE7C96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ED3DD7" w14:textId="77777777" w:rsidR="00974B54" w:rsidRDefault="00B17E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A6A33C0" w14:textId="454CE152" w:rsidR="00974B54" w:rsidRDefault="0066141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61414">
              <w:rPr>
                <w:b/>
                <w:bCs/>
                <w:sz w:val="20"/>
                <w:szCs w:val="20"/>
                <w:lang w:val="en-GB"/>
              </w:rPr>
              <w:t>This manuscript evaluates the antimicrobial efficacy of triclosan- and chlorhexidine-coated resorbable sutures compared to uncoated ones in an in-vitro model simulating oral surgical conditions, addressing a critical need in preventing surgical site infections (SSIs) in dentistry. Its standardization of suture length (5 cm) and time points (up to 7 days) fills gaps in prior low-quality studies, many industry-sponsored, providing objective data on dose-dependent effects against key oral pathogens like S. aureus and P. aeruginosa. This contributes valuable preliminary evidence for clinical guidelines, potentially reducing SSI rates (higher in India at 23-38%) and antibiotic reliance in oral/maxillofacial surgery. For the scientific community in periodontology and oral surgery, it supports WHO recommendations on antimicrobial sutures while highlighting differential efficacy (triclosan better for Gram-positive, chlorhexidine for Gram-negative), paving the way for in-vivo validation.</w:t>
            </w:r>
          </w:p>
        </w:tc>
        <w:tc>
          <w:tcPr>
            <w:tcW w:w="1367" w:type="pct"/>
          </w:tcPr>
          <w:p w14:paraId="07503401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9255EDD" w14:textId="77777777" w:rsidR="00974B54" w:rsidRDefault="00974B54">
      <w:pPr>
        <w:rPr>
          <w:sz w:val="22"/>
          <w:szCs w:val="20"/>
          <w:lang w:val="en-GB"/>
        </w:rPr>
      </w:pPr>
    </w:p>
    <w:p w14:paraId="49B508D8" w14:textId="77777777" w:rsidR="00974B54" w:rsidRDefault="00974B54">
      <w:pPr>
        <w:rPr>
          <w:sz w:val="22"/>
          <w:szCs w:val="20"/>
          <w:lang w:val="en-GB"/>
        </w:rPr>
      </w:pPr>
    </w:p>
    <w:p w14:paraId="41212807" w14:textId="77777777" w:rsidR="00974B54" w:rsidRDefault="00974B54">
      <w:pPr>
        <w:rPr>
          <w:sz w:val="22"/>
          <w:szCs w:val="20"/>
          <w:lang w:val="en-GB"/>
        </w:rPr>
      </w:pPr>
    </w:p>
    <w:p w14:paraId="30095B0D" w14:textId="77777777" w:rsidR="00974B54" w:rsidRDefault="00B17EF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1F6D8A3" w14:textId="77777777" w:rsidR="00974B54" w:rsidRDefault="00974B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74B54" w14:paraId="22FA19C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5E1DA08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4761F46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29AAD61" w14:textId="77777777" w:rsidR="00974B54" w:rsidRDefault="00B17EF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5732A" w14:paraId="4BEA19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BB182B" w14:textId="77777777" w:rsidR="00D5732A" w:rsidRDefault="00D5732A" w:rsidP="00D573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9B0AA6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48B34" w14:textId="77777777" w:rsidR="00D5732A" w:rsidRDefault="00D5732A" w:rsidP="00D5732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8CF7F8" w14:textId="487954B0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61414">
              <w:rPr>
                <w:b/>
                <w:bCs/>
                <w:sz w:val="20"/>
                <w:szCs w:val="20"/>
                <w:lang w:val="en-GB"/>
              </w:rPr>
              <w:t>5</w:t>
            </w:r>
            <w:r w:rsidRPr="00661414">
              <w:rPr>
                <w:b/>
                <w:bCs/>
                <w:sz w:val="20"/>
                <w:szCs w:val="20"/>
                <w:lang w:val="en-GB"/>
              </w:rPr>
              <w:tab/>
              <w:t>Clearly describes the comparative in-vitro assessment of coated vs. uncoated sutures.</w:t>
            </w:r>
          </w:p>
        </w:tc>
        <w:tc>
          <w:tcPr>
            <w:tcW w:w="1367" w:type="pct"/>
          </w:tcPr>
          <w:p w14:paraId="5411DA21" w14:textId="462F0AC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4EC705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E8CF93" w14:textId="7777777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4703BA7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D5C3F" w14:textId="77777777" w:rsidR="00D5732A" w:rsidRDefault="00D5732A" w:rsidP="00D573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B8A9FC" w14:textId="666E4A1E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61414">
              <w:rPr>
                <w:b/>
                <w:bCs/>
                <w:sz w:val="20"/>
                <w:szCs w:val="20"/>
                <w:lang w:val="en-GB"/>
              </w:rPr>
              <w:t>4</w:t>
            </w:r>
            <w:r w:rsidRPr="00661414">
              <w:rPr>
                <w:b/>
                <w:bCs/>
                <w:sz w:val="20"/>
                <w:szCs w:val="20"/>
                <w:lang w:val="en-GB"/>
              </w:rPr>
              <w:tab/>
              <w:t>Covers purpose, methods, results (e.g., Day 7 CFU means), and conclusions effectively, though minor inconsistencies in days listed.</w:t>
            </w:r>
          </w:p>
        </w:tc>
        <w:tc>
          <w:tcPr>
            <w:tcW w:w="1367" w:type="pct"/>
          </w:tcPr>
          <w:p w14:paraId="785E2539" w14:textId="33890C48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68C248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2ADAD6" w14:textId="7777777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B1A2DB1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7B2FE" w14:textId="77777777" w:rsidR="00D5732A" w:rsidRDefault="00D5732A" w:rsidP="00D573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7AB65B" w14:textId="3E76B6F8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61414">
              <w:rPr>
                <w:b/>
                <w:bCs/>
                <w:sz w:val="20"/>
                <w:szCs w:val="20"/>
                <w:lang w:val="en-GB"/>
              </w:rPr>
              <w:t>5</w:t>
            </w:r>
            <w:r w:rsidRPr="00661414">
              <w:rPr>
                <w:b/>
                <w:bCs/>
                <w:sz w:val="20"/>
                <w:szCs w:val="20"/>
                <w:lang w:val="en-GB"/>
              </w:rPr>
              <w:tab/>
              <w:t>Relevant terms like "surgical-site infections," "triclosan-coated sutures" directly match study focus</w:t>
            </w:r>
          </w:p>
        </w:tc>
        <w:tc>
          <w:tcPr>
            <w:tcW w:w="1367" w:type="pct"/>
          </w:tcPr>
          <w:p w14:paraId="07B2931C" w14:textId="2BA8ED31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033F8A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6AF4D6" w14:textId="7777777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23F5D02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FD018" w14:textId="77777777" w:rsidR="00D5732A" w:rsidRDefault="00D5732A" w:rsidP="00D573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3F212A" w14:textId="5DDF9EFD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61414">
              <w:rPr>
                <w:b/>
                <w:bCs/>
                <w:sz w:val="20"/>
                <w:szCs w:val="20"/>
                <w:lang w:val="en-GB"/>
              </w:rPr>
              <w:t>4</w:t>
            </w:r>
            <w:r w:rsidRPr="00661414">
              <w:rPr>
                <w:b/>
                <w:bCs/>
                <w:sz w:val="20"/>
                <w:szCs w:val="20"/>
                <w:lang w:val="en-GB"/>
              </w:rPr>
              <w:tab/>
              <w:t>Well-cites SSI epidemiology, WHO guidelines, and literature gaps; logical flow but some repetition.</w:t>
            </w:r>
          </w:p>
        </w:tc>
        <w:tc>
          <w:tcPr>
            <w:tcW w:w="1367" w:type="pct"/>
          </w:tcPr>
          <w:p w14:paraId="4CE834D4" w14:textId="0AA02BC6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15E87D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B1100A" w14:textId="7777777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EC12AAD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EED8F" w14:textId="77777777" w:rsidR="00D5732A" w:rsidRDefault="00D5732A" w:rsidP="00D573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3C886D" w14:textId="69EE0A80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61414">
              <w:rPr>
                <w:b/>
                <w:bCs/>
                <w:sz w:val="20"/>
                <w:szCs w:val="20"/>
                <w:lang w:val="en-GB"/>
              </w:rPr>
              <w:t>5</w:t>
            </w:r>
            <w:r w:rsidRPr="00661414">
              <w:rPr>
                <w:b/>
                <w:bCs/>
                <w:sz w:val="20"/>
                <w:szCs w:val="20"/>
                <w:lang w:val="en-GB"/>
              </w:rPr>
              <w:tab/>
              <w:t>Primary/secondary aims and hypothesis on coating efficacy over time explicitly stated.</w:t>
            </w:r>
          </w:p>
        </w:tc>
        <w:tc>
          <w:tcPr>
            <w:tcW w:w="1367" w:type="pct"/>
          </w:tcPr>
          <w:p w14:paraId="264A92A5" w14:textId="3DBBFC88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66DEEE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28AAD0" w14:textId="7777777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A2DA3D0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F22985" w14:textId="77777777" w:rsidR="00D5732A" w:rsidRDefault="00D5732A" w:rsidP="00D573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2FADAE" w14:textId="294053F3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61414">
              <w:rPr>
                <w:b/>
                <w:bCs/>
                <w:sz w:val="20"/>
                <w:szCs w:val="20"/>
                <w:lang w:val="en-GB"/>
              </w:rPr>
              <w:t>4</w:t>
            </w:r>
            <w:r w:rsidRPr="00661414">
              <w:rPr>
                <w:b/>
                <w:bCs/>
                <w:sz w:val="20"/>
                <w:szCs w:val="20"/>
                <w:lang w:val="en-GB"/>
              </w:rPr>
              <w:tab/>
              <w:t>Covers key studies (e.g., 2024 reviews) up to 2024; relevant to oral SSIs but some older refs (2008).</w:t>
            </w:r>
          </w:p>
        </w:tc>
        <w:tc>
          <w:tcPr>
            <w:tcW w:w="1367" w:type="pct"/>
          </w:tcPr>
          <w:p w14:paraId="2C26C84D" w14:textId="6FD3D0AF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5792B3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710ECE" w14:textId="7777777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951A7F0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A47762" w14:textId="77777777" w:rsidR="00D5732A" w:rsidRDefault="00D5732A" w:rsidP="00D573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84B23C" w14:textId="0EA1B731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61414">
              <w:rPr>
                <w:b/>
                <w:bCs/>
                <w:sz w:val="20"/>
                <w:szCs w:val="20"/>
                <w:lang w:val="en-GB"/>
              </w:rPr>
              <w:t>4</w:t>
            </w:r>
            <w:r w:rsidRPr="00661414">
              <w:rPr>
                <w:b/>
                <w:bCs/>
                <w:sz w:val="20"/>
                <w:szCs w:val="20"/>
                <w:lang w:val="en-GB"/>
              </w:rPr>
              <w:tab/>
              <w:t>Suitable in-vitro design with CFU counts, ANOVA, sterile protocols; sample size (241) justified by funding, no blinding noted but mitigated by quantitative measures.</w:t>
            </w:r>
          </w:p>
        </w:tc>
        <w:tc>
          <w:tcPr>
            <w:tcW w:w="1367" w:type="pct"/>
          </w:tcPr>
          <w:p w14:paraId="29B67427" w14:textId="2BF9BD44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3D6486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F03889" w14:textId="7777777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7B5B749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54B5A" w14:textId="77777777" w:rsidR="00D5732A" w:rsidRDefault="00D5732A" w:rsidP="00D573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68A1C0" w14:textId="18C05889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61414">
              <w:rPr>
                <w:b/>
                <w:bCs/>
                <w:sz w:val="20"/>
                <w:szCs w:val="20"/>
                <w:lang w:val="en-GB"/>
              </w:rPr>
              <w:t>5</w:t>
            </w:r>
            <w:r w:rsidRPr="00661414">
              <w:rPr>
                <w:b/>
                <w:bCs/>
                <w:sz w:val="20"/>
                <w:szCs w:val="20"/>
                <w:lang w:val="en-GB"/>
              </w:rPr>
              <w:tab/>
              <w:t>Adheres to Helsinki, institutional approval obtained; no human/animal subjects, disclosures clear</w:t>
            </w:r>
          </w:p>
        </w:tc>
        <w:tc>
          <w:tcPr>
            <w:tcW w:w="1367" w:type="pct"/>
          </w:tcPr>
          <w:p w14:paraId="3B12055D" w14:textId="26DE9E90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5EC3B8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8D4053" w14:textId="77777777" w:rsidR="00D5732A" w:rsidRDefault="00D5732A" w:rsidP="00D573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9E9A3B1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99A97" w14:textId="77777777" w:rsidR="00D5732A" w:rsidRDefault="00D5732A" w:rsidP="00D573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EC4BCC" w14:textId="1078E4B3" w:rsidR="00D5732A" w:rsidRPr="00661414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61414">
              <w:rPr>
                <w:b/>
                <w:sz w:val="20"/>
                <w:szCs w:val="20"/>
                <w:lang w:val="en-GB"/>
              </w:rPr>
              <w:t>4</w:t>
            </w:r>
            <w:r w:rsidRPr="00661414">
              <w:rPr>
                <w:b/>
                <w:sz w:val="20"/>
                <w:szCs w:val="20"/>
                <w:lang w:val="en-GB"/>
              </w:rPr>
              <w:tab/>
              <w:t>Tables detail means/SD per strain/day with p&lt;0.001 significance; some table formatting issues in text.</w:t>
            </w:r>
          </w:p>
        </w:tc>
        <w:tc>
          <w:tcPr>
            <w:tcW w:w="1367" w:type="pct"/>
          </w:tcPr>
          <w:p w14:paraId="4B24D31C" w14:textId="4575D161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5D19FF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91C1F0" w14:textId="77777777" w:rsidR="00D5732A" w:rsidRDefault="00D5732A" w:rsidP="00D573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3C9C0EC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AE212" w14:textId="77777777" w:rsidR="00D5732A" w:rsidRDefault="00D5732A" w:rsidP="00D573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BF9930" w14:textId="4A3A0810" w:rsidR="00D5732A" w:rsidRPr="00661414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61414">
              <w:rPr>
                <w:b/>
                <w:sz w:val="20"/>
                <w:szCs w:val="20"/>
                <w:lang w:val="en-GB"/>
              </w:rPr>
              <w:lastRenderedPageBreak/>
              <w:t>4</w:t>
            </w:r>
            <w:r w:rsidRPr="00661414">
              <w:rPr>
                <w:b/>
                <w:sz w:val="20"/>
                <w:szCs w:val="20"/>
                <w:lang w:val="en-GB"/>
              </w:rPr>
              <w:tab/>
              <w:t>Table 1/2 show CFU data effectively; Fig 1-3 illustrate sutures/media; necessary but described imperfectly.</w:t>
            </w:r>
          </w:p>
        </w:tc>
        <w:tc>
          <w:tcPr>
            <w:tcW w:w="1367" w:type="pct"/>
          </w:tcPr>
          <w:p w14:paraId="3D64BFAC" w14:textId="53EE52A0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2A5C16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631FCF" w14:textId="77777777" w:rsidR="00D5732A" w:rsidRDefault="00D5732A" w:rsidP="00D573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C819F1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83945" w14:textId="77777777" w:rsidR="00D5732A" w:rsidRDefault="00D5732A" w:rsidP="00D573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D9FCB0" w14:textId="4712FCC7" w:rsidR="00D5732A" w:rsidRPr="00DB77C5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B77C5">
              <w:rPr>
                <w:b/>
                <w:sz w:val="20"/>
                <w:szCs w:val="20"/>
                <w:lang w:val="en-GB"/>
              </w:rPr>
              <w:t>5</w:t>
            </w:r>
            <w:r w:rsidRPr="00DB77C5">
              <w:rPr>
                <w:b/>
                <w:sz w:val="20"/>
                <w:szCs w:val="20"/>
                <w:lang w:val="en-GB"/>
              </w:rPr>
              <w:tab/>
              <w:t xml:space="preserve">Strong links to studies (e.g., </w:t>
            </w:r>
            <w:proofErr w:type="spellStart"/>
            <w:r w:rsidRPr="00DB77C5">
              <w:rPr>
                <w:b/>
                <w:sz w:val="20"/>
                <w:szCs w:val="20"/>
                <w:lang w:val="en-GB"/>
              </w:rPr>
              <w:t>Karde</w:t>
            </w:r>
            <w:proofErr w:type="spellEnd"/>
            <w:r w:rsidRPr="00DB77C5">
              <w:rPr>
                <w:b/>
                <w:sz w:val="20"/>
                <w:szCs w:val="20"/>
                <w:lang w:val="en-GB"/>
              </w:rPr>
              <w:t xml:space="preserve"> 2019, Wu 2016) explaining differential efficacy and resistance risks.</w:t>
            </w:r>
          </w:p>
        </w:tc>
        <w:tc>
          <w:tcPr>
            <w:tcW w:w="1367" w:type="pct"/>
          </w:tcPr>
          <w:p w14:paraId="38BF9FA4" w14:textId="78E49C8A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3408FD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E336C6" w14:textId="77777777" w:rsidR="00D5732A" w:rsidRDefault="00D5732A" w:rsidP="00D573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B91948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BA058" w14:textId="77777777" w:rsidR="00D5732A" w:rsidRDefault="00D5732A" w:rsidP="00D573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132ADB" w14:textId="0E44F605" w:rsidR="00D5732A" w:rsidRPr="00DB77C5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B77C5">
              <w:rPr>
                <w:b/>
                <w:sz w:val="20"/>
                <w:szCs w:val="20"/>
                <w:lang w:val="en-GB"/>
              </w:rPr>
              <w:t>5</w:t>
            </w:r>
            <w:r w:rsidRPr="00DB77C5">
              <w:rPr>
                <w:b/>
                <w:sz w:val="20"/>
                <w:szCs w:val="20"/>
                <w:lang w:val="en-GB"/>
              </w:rPr>
              <w:tab/>
              <w:t>Align with data (e.g., 5 cm suffices, triclosan vs. Gram+).</w:t>
            </w:r>
          </w:p>
        </w:tc>
        <w:tc>
          <w:tcPr>
            <w:tcW w:w="1367" w:type="pct"/>
          </w:tcPr>
          <w:p w14:paraId="235FFA10" w14:textId="755640DB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716A48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00277B" w14:textId="77777777" w:rsidR="00D5732A" w:rsidRDefault="00D5732A" w:rsidP="00D573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F780DD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75654" w14:textId="77777777" w:rsidR="00D5732A" w:rsidRDefault="00D5732A" w:rsidP="00D573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57CFA0" w14:textId="00CE7F2C" w:rsidR="00D5732A" w:rsidRPr="00DB77C5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B77C5">
              <w:rPr>
                <w:b/>
                <w:sz w:val="20"/>
                <w:szCs w:val="20"/>
                <w:lang w:val="en-GB"/>
              </w:rPr>
              <w:t>4</w:t>
            </w:r>
            <w:r w:rsidRPr="00DB77C5">
              <w:rPr>
                <w:b/>
                <w:sz w:val="20"/>
                <w:szCs w:val="20"/>
                <w:lang w:val="en-GB"/>
              </w:rPr>
              <w:tab/>
              <w:t>Acknowledges in-vitro limits (no saliva/mastication); calls for in-vivo Phase 2.</w:t>
            </w:r>
          </w:p>
        </w:tc>
        <w:tc>
          <w:tcPr>
            <w:tcW w:w="1367" w:type="pct"/>
          </w:tcPr>
          <w:p w14:paraId="6FC4F14F" w14:textId="090312F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0E4F25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76D57C" w14:textId="77777777" w:rsidR="00D5732A" w:rsidRDefault="00D5732A" w:rsidP="00D573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E8ABC6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128779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E3FDCE" w14:textId="77777777" w:rsidR="00D5732A" w:rsidRDefault="00D5732A" w:rsidP="00D573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71D9C4" w14:textId="77777777" w:rsidR="00D5732A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B77C5">
              <w:rPr>
                <w:b/>
                <w:sz w:val="20"/>
                <w:szCs w:val="20"/>
                <w:lang w:val="en-GB"/>
              </w:rPr>
              <w:t>4</w:t>
            </w:r>
            <w:r w:rsidRPr="00DB77C5">
              <w:rPr>
                <w:b/>
                <w:sz w:val="20"/>
                <w:szCs w:val="20"/>
                <w:lang w:val="en-GB"/>
              </w:rPr>
              <w:tab/>
              <w:t>31 refs, mostly pertinent/recent (2016-2024); sufficient</w:t>
            </w:r>
          </w:p>
          <w:p w14:paraId="067FBB32" w14:textId="77777777" w:rsidR="00D5732A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358CA14D" w14:textId="35BBF3AB" w:rsidR="00D5732A" w:rsidRPr="00DB77C5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B77C5">
              <w:rPr>
                <w:b/>
                <w:sz w:val="20"/>
                <w:szCs w:val="20"/>
                <w:lang w:val="en-GB"/>
              </w:rPr>
              <w:t xml:space="preserve"> number but some pre-2010.</w:t>
            </w:r>
          </w:p>
        </w:tc>
        <w:tc>
          <w:tcPr>
            <w:tcW w:w="1367" w:type="pct"/>
          </w:tcPr>
          <w:p w14:paraId="6F14DC2A" w14:textId="55FB3584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59ABFF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54FAF8" w14:textId="77777777" w:rsidR="00D5732A" w:rsidRDefault="00D5732A" w:rsidP="00D573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02CB318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F5FA3" w14:textId="77777777" w:rsidR="00D5732A" w:rsidRDefault="00D5732A" w:rsidP="00D573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64A15F" w14:textId="77777777" w:rsidR="00D5732A" w:rsidRDefault="00D5732A" w:rsidP="00D573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8F72FC" w14:textId="3CC7ABC7" w:rsidR="00D5732A" w:rsidRPr="00DB77C5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B77C5">
              <w:rPr>
                <w:b/>
                <w:sz w:val="20"/>
                <w:szCs w:val="20"/>
                <w:lang w:val="en-GB"/>
              </w:rPr>
              <w:t>3</w:t>
            </w:r>
            <w:r w:rsidRPr="00DB77C5">
              <w:rPr>
                <w:b/>
                <w:sz w:val="20"/>
                <w:szCs w:val="20"/>
                <w:lang w:val="en-GB"/>
              </w:rPr>
              <w:tab/>
              <w:t>Understandable but formatting errors (e.g., underlines, run-ons, date reversal 2024-2022), typos.</w:t>
            </w:r>
          </w:p>
        </w:tc>
        <w:tc>
          <w:tcPr>
            <w:tcW w:w="1367" w:type="pct"/>
          </w:tcPr>
          <w:p w14:paraId="723AED3C" w14:textId="2140F41A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68014D7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AC41A3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5EF9A1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9B9982" w14:textId="77777777" w:rsidR="00974B54" w:rsidRDefault="00B17EF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F5D1287" w14:textId="77777777" w:rsidR="00974B54" w:rsidRDefault="00974B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74B54" w14:paraId="6FACEA9F" w14:textId="77777777" w:rsidTr="00D5732A">
        <w:trPr>
          <w:trHeight w:val="20"/>
          <w:jc w:val="center"/>
        </w:trPr>
        <w:tc>
          <w:tcPr>
            <w:tcW w:w="1672" w:type="pct"/>
            <w:noWrap/>
          </w:tcPr>
          <w:p w14:paraId="709C9A15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2D01E0D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51DAD77" w14:textId="77777777" w:rsidR="00974B54" w:rsidRDefault="00974B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E9498C8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B5EF5F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5732A" w14:paraId="38128C08" w14:textId="77777777" w:rsidTr="00D5732A">
        <w:trPr>
          <w:trHeight w:val="20"/>
          <w:jc w:val="center"/>
        </w:trPr>
        <w:tc>
          <w:tcPr>
            <w:tcW w:w="1672" w:type="pct"/>
            <w:noWrap/>
          </w:tcPr>
          <w:p w14:paraId="57B1D12B" w14:textId="77777777" w:rsidR="00D5732A" w:rsidRDefault="00D5732A" w:rsidP="00D573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B23EC1" w14:textId="77777777" w:rsidR="00D5732A" w:rsidRDefault="00D5732A" w:rsidP="00D5732A">
            <w:pPr>
              <w:rPr>
                <w:bCs/>
                <w:sz w:val="20"/>
                <w:szCs w:val="20"/>
                <w:lang w:val="en-GB"/>
              </w:rPr>
            </w:pPr>
          </w:p>
          <w:p w14:paraId="601E4DAD" w14:textId="77777777" w:rsidR="00D5732A" w:rsidRDefault="00D5732A" w:rsidP="00D5732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96BE58" w14:textId="55A3EA54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310D6F1" w14:textId="523B5E53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541FF008" w14:textId="77777777" w:rsidTr="00D5732A">
        <w:trPr>
          <w:trHeight w:val="20"/>
          <w:jc w:val="center"/>
        </w:trPr>
        <w:tc>
          <w:tcPr>
            <w:tcW w:w="1672" w:type="pct"/>
            <w:noWrap/>
          </w:tcPr>
          <w:p w14:paraId="3A92D664" w14:textId="7777777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E378FBF" w14:textId="77777777" w:rsidR="00D5732A" w:rsidRDefault="00D5732A" w:rsidP="00D5732A">
            <w:pPr>
              <w:rPr>
                <w:bCs/>
                <w:sz w:val="20"/>
                <w:szCs w:val="20"/>
                <w:lang w:val="en-GB"/>
              </w:rPr>
            </w:pPr>
          </w:p>
          <w:p w14:paraId="24926EED" w14:textId="77777777" w:rsidR="00D5732A" w:rsidRDefault="00D5732A" w:rsidP="00D5732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B63A17" w14:textId="4560EBA6" w:rsidR="00D5732A" w:rsidRDefault="00D5732A" w:rsidP="00D57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9DF3C7B" w14:textId="4A9E81C0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0CAC15A0" w14:textId="77777777" w:rsidTr="00D5732A">
        <w:trPr>
          <w:trHeight w:val="20"/>
          <w:jc w:val="center"/>
        </w:trPr>
        <w:tc>
          <w:tcPr>
            <w:tcW w:w="1672" w:type="pct"/>
            <w:noWrap/>
          </w:tcPr>
          <w:p w14:paraId="68484955" w14:textId="77777777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8322755" w14:textId="77777777" w:rsidR="00D5732A" w:rsidRDefault="00D5732A" w:rsidP="00D5732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87980C" w14:textId="77777777" w:rsidR="00D5732A" w:rsidRPr="00D62269" w:rsidRDefault="00D5732A" w:rsidP="00D5732A">
            <w:pPr>
              <w:pStyle w:val="ListParagraph"/>
              <w:rPr>
                <w:b/>
                <w:sz w:val="20"/>
                <w:szCs w:val="20"/>
                <w:lang w:val="en-IN"/>
              </w:rPr>
            </w:pPr>
            <w:r w:rsidRPr="00D62269">
              <w:rPr>
                <w:b/>
                <w:sz w:val="20"/>
                <w:szCs w:val="20"/>
                <w:lang w:val="en-IN"/>
              </w:rPr>
              <w:t>YES. Methods align with standards (McFarland, CFU via plating/VITEK), stats appropriate (ANOVA/Bonferroni, p&lt;0.05), results consistent with literature (e.g., triclosan &gt; Gram+).</w:t>
            </w:r>
          </w:p>
          <w:p w14:paraId="771BBF78" w14:textId="77777777" w:rsidR="00D5732A" w:rsidRDefault="00D5732A" w:rsidP="00D573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E8D4564" w14:textId="3DE4764C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2DEBF56A" w14:textId="77777777" w:rsidTr="00D5732A">
        <w:trPr>
          <w:trHeight w:val="20"/>
          <w:jc w:val="center"/>
        </w:trPr>
        <w:tc>
          <w:tcPr>
            <w:tcW w:w="1672" w:type="pct"/>
            <w:noWrap/>
          </w:tcPr>
          <w:p w14:paraId="40C65E30" w14:textId="77777777" w:rsidR="00D5732A" w:rsidRDefault="00D5732A" w:rsidP="00D573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1820B8" w14:textId="77777777" w:rsidR="00D5732A" w:rsidRDefault="00D5732A" w:rsidP="00D573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ABFF0B" w14:textId="77777777" w:rsidR="00D5732A" w:rsidRDefault="00D5732A" w:rsidP="00D5732A">
            <w:pPr>
              <w:rPr>
                <w:bCs/>
                <w:sz w:val="20"/>
                <w:szCs w:val="20"/>
                <w:lang w:val="en-GB"/>
              </w:rPr>
            </w:pPr>
          </w:p>
          <w:p w14:paraId="36643EC9" w14:textId="77777777" w:rsidR="00D5732A" w:rsidRDefault="00D5732A" w:rsidP="00D573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7CE025B" w14:textId="77777777" w:rsidR="00D5732A" w:rsidRPr="00D62269" w:rsidRDefault="00D5732A" w:rsidP="00D5732A">
            <w:pPr>
              <w:rPr>
                <w:b/>
                <w:sz w:val="20"/>
                <w:szCs w:val="20"/>
                <w:lang w:val="en-GB"/>
              </w:rPr>
            </w:pPr>
            <w:r w:rsidRPr="00D62269">
              <w:rPr>
                <w:b/>
                <w:sz w:val="20"/>
                <w:szCs w:val="20"/>
                <w:lang w:val="en-GB"/>
              </w:rPr>
              <w:t>YES. Includes 2024 reviews/meta-analyses alongside classics; ~70% post-2016.</w:t>
            </w:r>
          </w:p>
          <w:p w14:paraId="3EC96D2D" w14:textId="77777777" w:rsidR="00D5732A" w:rsidRDefault="00D5732A" w:rsidP="00D573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06E2E1D" w14:textId="009B0965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5732A" w14:paraId="53FD199F" w14:textId="77777777" w:rsidTr="00D5732A">
        <w:trPr>
          <w:trHeight w:val="896"/>
          <w:jc w:val="center"/>
        </w:trPr>
        <w:tc>
          <w:tcPr>
            <w:tcW w:w="1672" w:type="pct"/>
            <w:noWrap/>
          </w:tcPr>
          <w:p w14:paraId="5032A60B" w14:textId="77777777" w:rsidR="00D5732A" w:rsidRDefault="00D5732A" w:rsidP="00D573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18D939" w14:textId="77777777" w:rsidR="00D5732A" w:rsidRDefault="00D5732A" w:rsidP="00D573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E5248C2" w14:textId="77777777" w:rsidR="00D5732A" w:rsidRDefault="00D5732A" w:rsidP="00D5732A">
            <w:pPr>
              <w:rPr>
                <w:bCs/>
                <w:sz w:val="20"/>
                <w:szCs w:val="20"/>
                <w:lang w:val="en-GB"/>
              </w:rPr>
            </w:pPr>
          </w:p>
          <w:p w14:paraId="45BE0747" w14:textId="77777777" w:rsidR="00D5732A" w:rsidRDefault="00D5732A" w:rsidP="00D573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2A0F9A" w14:textId="77777777" w:rsidR="00D5732A" w:rsidRDefault="00D5732A" w:rsidP="00D5732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6A5547F" w14:textId="2E8B0208" w:rsidR="00D5732A" w:rsidRPr="00D62269" w:rsidRDefault="00D5732A" w:rsidP="00D5732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2269">
              <w:rPr>
                <w:b/>
                <w:sz w:val="20"/>
                <w:szCs w:val="20"/>
                <w:lang w:val="en-GB"/>
              </w:rPr>
              <w:t>NO. Proper approvals, no subjects involved, no competing interests.</w:t>
            </w:r>
          </w:p>
        </w:tc>
        <w:tc>
          <w:tcPr>
            <w:tcW w:w="1542" w:type="pct"/>
          </w:tcPr>
          <w:p w14:paraId="7FA765E6" w14:textId="56C41B9E" w:rsidR="00D5732A" w:rsidRDefault="00D5732A" w:rsidP="00D573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FCCC659" w14:textId="77777777" w:rsidR="00974B54" w:rsidRDefault="00974B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DE21926" w14:textId="77777777" w:rsidR="00974B54" w:rsidRDefault="00974B54">
      <w:pPr>
        <w:rPr>
          <w:highlight w:val="yellow"/>
          <w:lang w:val="en-GB"/>
        </w:rPr>
      </w:pPr>
    </w:p>
    <w:p w14:paraId="45EBB852" w14:textId="77777777" w:rsidR="00974B54" w:rsidRDefault="00974B54">
      <w:pPr>
        <w:rPr>
          <w:highlight w:val="yellow"/>
          <w:lang w:val="en-GB"/>
        </w:rPr>
      </w:pPr>
    </w:p>
    <w:p w14:paraId="75B87499" w14:textId="2F1DC3F3" w:rsidR="00974B54" w:rsidRDefault="00B17EFE" w:rsidP="007E1A52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405DF683" w14:textId="77777777" w:rsidR="00974B54" w:rsidRDefault="00974B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74B54" w14:paraId="6857FCC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FC6CCD7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8AD385C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74B54" w14:paraId="1A60BFF7" w14:textId="77777777">
        <w:trPr>
          <w:trHeight w:val="20"/>
          <w:jc w:val="center"/>
        </w:trPr>
        <w:tc>
          <w:tcPr>
            <w:tcW w:w="2784" w:type="pct"/>
            <w:noWrap/>
          </w:tcPr>
          <w:p w14:paraId="1288886E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AE6914C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5732A" w14:paraId="5490C5E6" w14:textId="77777777">
        <w:trPr>
          <w:trHeight w:val="20"/>
          <w:jc w:val="center"/>
        </w:trPr>
        <w:tc>
          <w:tcPr>
            <w:tcW w:w="2784" w:type="pct"/>
            <w:noWrap/>
          </w:tcPr>
          <w:p w14:paraId="0CB138C8" w14:textId="77777777" w:rsidR="00D5732A" w:rsidRDefault="00D5732A" w:rsidP="00D573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0" w:name="_GoBack" w:colFirst="1" w:colLast="1"/>
          </w:p>
          <w:p w14:paraId="05DC002A" w14:textId="77777777" w:rsidR="00D5732A" w:rsidRDefault="00D5732A" w:rsidP="00D573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E24487" w14:textId="4B84832F" w:rsidR="00D5732A" w:rsidRDefault="00D5732A" w:rsidP="00D5732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C87568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Suggest proofreading for formatting (e.g., underlines, table alignment), date correction (March 2024-February 2022 illogical), and minor methodological clarifications (e.g., exact n per group/time). Strong potential for oral surgery field.</w:t>
            </w:r>
          </w:p>
          <w:p w14:paraId="35A98B80" w14:textId="445976C8" w:rsidR="00D5732A" w:rsidRPr="00C87568" w:rsidRDefault="00D5732A" w:rsidP="00D5732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C87568">
              <w:rPr>
                <w:b/>
                <w:bCs/>
                <w:sz w:val="20"/>
                <w:szCs w:val="20"/>
                <w:lang w:val="en-GB"/>
              </w:rPr>
              <w:t>Robust data addresses key gaps; revisions for polish/language/tables needed.</w:t>
            </w:r>
          </w:p>
          <w:p w14:paraId="63FF04E0" w14:textId="77777777" w:rsidR="00D5732A" w:rsidRDefault="00D5732A" w:rsidP="00D573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96AF95D" w14:textId="77777777" w:rsidR="00D5732A" w:rsidRDefault="00D5732A" w:rsidP="00D573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7ED4585" w14:textId="421B1025" w:rsidR="00D5732A" w:rsidRDefault="00D5732A" w:rsidP="00D573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OK</w:t>
            </w:r>
          </w:p>
        </w:tc>
      </w:tr>
      <w:bookmarkEnd w:id="0"/>
    </w:tbl>
    <w:p w14:paraId="5104E670" w14:textId="77777777" w:rsidR="00974B54" w:rsidRDefault="00974B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74B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E6AB2" w14:textId="77777777" w:rsidR="007641BA" w:rsidRDefault="007641BA">
      <w:r>
        <w:separator/>
      </w:r>
    </w:p>
  </w:endnote>
  <w:endnote w:type="continuationSeparator" w:id="0">
    <w:p w14:paraId="1D1ACC19" w14:textId="77777777" w:rsidR="007641BA" w:rsidRDefault="0076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91A57" w14:textId="77777777" w:rsidR="00974B54" w:rsidRDefault="00974B54">
    <w:pPr>
      <w:pStyle w:val="Footer"/>
      <w:jc w:val="right"/>
    </w:pPr>
  </w:p>
  <w:p w14:paraId="6C843F30" w14:textId="77777777" w:rsidR="00974B54" w:rsidRDefault="00B17E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8790E80" w14:textId="77777777" w:rsidR="00974B54" w:rsidRDefault="00B17EF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72DFF78" w14:textId="77777777" w:rsidR="00974B54" w:rsidRDefault="00974B54">
    <w:pPr>
      <w:pStyle w:val="Footer"/>
      <w:jc w:val="right"/>
    </w:pPr>
  </w:p>
  <w:p w14:paraId="4AAE768F" w14:textId="77777777" w:rsidR="00974B54" w:rsidRDefault="00974B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42681" w14:textId="77777777" w:rsidR="007641BA" w:rsidRDefault="007641BA">
      <w:r>
        <w:separator/>
      </w:r>
    </w:p>
  </w:footnote>
  <w:footnote w:type="continuationSeparator" w:id="0">
    <w:p w14:paraId="2473818A" w14:textId="77777777" w:rsidR="007641BA" w:rsidRDefault="00764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10F3" w14:textId="77777777" w:rsidR="00974B54" w:rsidRDefault="00974B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45E19A9" w14:textId="77777777" w:rsidR="00974B54" w:rsidRDefault="00B17EF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4B54"/>
    <w:rsid w:val="00030E5B"/>
    <w:rsid w:val="00144A32"/>
    <w:rsid w:val="0015224B"/>
    <w:rsid w:val="00221739"/>
    <w:rsid w:val="004D726A"/>
    <w:rsid w:val="00540F85"/>
    <w:rsid w:val="0054407B"/>
    <w:rsid w:val="00586975"/>
    <w:rsid w:val="005E2388"/>
    <w:rsid w:val="00661414"/>
    <w:rsid w:val="007641BA"/>
    <w:rsid w:val="007E1A52"/>
    <w:rsid w:val="00974B54"/>
    <w:rsid w:val="00A0417F"/>
    <w:rsid w:val="00B17EFE"/>
    <w:rsid w:val="00C81773"/>
    <w:rsid w:val="00C87568"/>
    <w:rsid w:val="00D5732A"/>
    <w:rsid w:val="00D62269"/>
    <w:rsid w:val="00DB77C5"/>
    <w:rsid w:val="00D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4421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1088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18</cp:revision>
  <dcterms:created xsi:type="dcterms:W3CDTF">2026-03-24T06:15:00Z</dcterms:created>
  <dcterms:modified xsi:type="dcterms:W3CDTF">2026-04-20T08:28:00Z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