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tcPr>
          <w:p>
            <w:pPr>
              <w:pStyle w:val="style0"/>
              <w:rPr>
                <w:b/>
                <w:bCs/>
                <w:color w:val="0000ff"/>
                <w:sz w:val="20"/>
                <w:szCs w:val="20"/>
                <w:lang w:val="en-GB"/>
              </w:rPr>
            </w:pPr>
            <w:r>
              <w:rPr/>
              <w:fldChar w:fldCharType="begin"/>
            </w:r>
            <w:r>
              <w:instrText xml:space="preserve"> HYPERLINK "https://journalajcrs.com/" </w:instrText>
            </w:r>
            <w:r>
              <w:rPr/>
              <w:fldChar w:fldCharType="separate"/>
            </w:r>
            <w:r>
              <w:rPr>
                <w:rFonts w:ascii="Tahoma" w:cs="Tahoma" w:hAnsi="Tahoma"/>
                <w:color w:val="0f4c82"/>
                <w:u w:val="single"/>
                <w:bdr w:val="none" w:sz="0" w:space="0" w:color="auto" w:frame="true"/>
              </w:rPr>
              <w:t>Asian Journal of Case Reports in Surgery</w:t>
            </w:r>
            <w:r>
              <w:rPr/>
              <w:fldChar w:fldCharType="end"/>
            </w:r>
            <w:r>
              <w:rPr>
                <w:rFonts w:ascii="Tahoma" w:cs="Tahoma" w:hAnsi="Tahoma"/>
                <w:color w:val="1a1a1a"/>
                <w:shd w:val="clear" w:color="auto" w:fill="ffffff"/>
              </w:rPr>
              <w:t> </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Ms_AJCRS_156967</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TRANSDUCTAL SIALOLITHOTOMY: MINIMALLY INVASIVE APPROACH FOR SUBMANDIBULAR DUCT SIALOLITH - A CASE REPORT</w:t>
            </w:r>
          </w:p>
        </w:tc>
      </w:tr>
      <w:tr>
        <w:tblPrEx/>
        <w:trPr>
          <w:trHeight w:val="20" w:hRule="atLeast"/>
          <w:jc w:val="center"/>
        </w:trPr>
        <w:tc>
          <w:tcPr>
            <w:tcW w:w="1186" w:type="pct"/>
            <w:tcBorders/>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p>
            <w:pPr>
              <w:pStyle w:val="style94"/>
              <w:spacing w:before="0" w:beforeAutospacing="false" w:after="0" w:afterAutospacing="false"/>
              <w:rPr>
                <w:rFonts w:ascii="Times New Roman" w:cs="Times New Roman" w:hAnsi="Times New Roman"/>
                <w:b/>
                <w:sz w:val="20"/>
                <w:szCs w:val="28"/>
                <w:lang w:val="en-GB"/>
              </w:rPr>
            </w:pPr>
          </w:p>
        </w:tc>
      </w:tr>
    </w:tbl>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i/>
          <w:sz w:val="20"/>
          <w:szCs w:val="20"/>
          <w:u w:val="single"/>
          <w:lang w:val="en-GB"/>
        </w:rPr>
      </w:pPr>
    </w:p>
    <w:p>
      <w:pPr>
        <w:pStyle w:val="style66"/>
        <w:rPr>
          <w:rFonts w:ascii="Times New Roman" w:hAnsi="Times New Roman"/>
          <w:sz w:val="22"/>
          <w:szCs w:val="20"/>
          <w:lang w:val="en-GB"/>
        </w:rPr>
      </w:pPr>
    </w:p>
    <w:p>
      <w:pPr>
        <w:pStyle w:val="style6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pPr>
        <w:pStyle w:val="style66"/>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trPr>
          <w:trHeight w:val="20" w:hRule="atLeast"/>
          <w:jc w:val="center"/>
        </w:trPr>
        <w:tc>
          <w:tcPr>
            <w:tcW w:w="1789" w:type="pct"/>
            <w:tcBorders/>
            <w:noWrap/>
          </w:tcPr>
          <w:p>
            <w:pPr>
              <w:pStyle w:val="style2"/>
              <w:jc w:val="left"/>
              <w:rPr>
                <w:rFonts w:ascii="Times New Roman" w:hAnsi="Times New Roman"/>
                <w:lang w:val="en-GB" w:eastAsia="en-US"/>
              </w:rPr>
            </w:pPr>
          </w:p>
        </w:tc>
        <w:tc>
          <w:tcPr>
            <w:tcW w:w="1844" w:type="pct"/>
            <w:tcBorders/>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20" w:hRule="atLeast"/>
          <w:jc w:val="center"/>
        </w:trPr>
        <w:tc>
          <w:tcPr>
            <w:tcW w:w="1789" w:type="pct"/>
            <w:tcBorders/>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tcPr>
          <w:p>
            <w:pPr>
              <w:pStyle w:val="style179"/>
              <w:ind w:left="0"/>
              <w:rPr>
                <w:b/>
                <w:bCs/>
                <w:sz w:val="20"/>
                <w:szCs w:val="20"/>
                <w:lang w:val="en-GB"/>
              </w:rPr>
            </w:pPr>
            <w:r>
              <w:rPr>
                <w:b/>
                <w:bCs/>
                <w:sz w:val="20"/>
                <w:szCs w:val="20"/>
                <w:lang w:val="en-GB"/>
              </w:rPr>
              <w:t>Development of Sialoendoscopy,</w:t>
            </w:r>
            <w:r>
              <w:rPr>
                <w:b/>
                <w:bCs/>
                <w:sz w:val="20"/>
                <w:szCs w:val="20"/>
                <w:lang w:val="en-GB"/>
              </w:rPr>
              <w:t xml:space="preserve"> </w:t>
            </w:r>
            <w:r>
              <w:rPr>
                <w:b/>
                <w:bCs/>
                <w:sz w:val="20"/>
                <w:szCs w:val="20"/>
                <w:lang w:val="en-GB"/>
              </w:rPr>
              <w:t>for the diagnosis and treatment of salivary gland disease has become an effective tool.</w:t>
            </w:r>
            <w:r>
              <w:rPr>
                <w:b/>
                <w:bCs/>
                <w:sz w:val="20"/>
                <w:szCs w:val="20"/>
                <w:lang w:val="en-GB"/>
              </w:rPr>
              <w:t xml:space="preserve"> Sialoliths are giant calcified organic materials which measure from 1.5cm to 3.5cm.</w:t>
            </w:r>
            <w:r>
              <w:rPr>
                <w:b/>
                <w:bCs/>
                <w:sz w:val="20"/>
                <w:szCs w:val="20"/>
                <w:lang w:val="en-GB"/>
              </w:rPr>
              <w:t xml:space="preserve"> </w:t>
            </w:r>
            <w:r>
              <w:rPr>
                <w:b/>
                <w:bCs/>
                <w:sz w:val="20"/>
                <w:szCs w:val="20"/>
                <w:lang w:val="en-GB"/>
              </w:rPr>
              <w:t>Larger sialolith’s</w:t>
            </w:r>
            <w:r>
              <w:rPr>
                <w:b/>
                <w:bCs/>
                <w:sz w:val="20"/>
                <w:szCs w:val="20"/>
                <w:lang w:val="en-GB"/>
              </w:rPr>
              <w:t>/calculi perforate floor of the mouth leading up to a skin fistula.</w:t>
            </w:r>
            <w:r>
              <w:rPr>
                <w:b/>
                <w:bCs/>
                <w:sz w:val="20"/>
                <w:szCs w:val="20"/>
                <w:lang w:val="en-GB"/>
              </w:rPr>
              <w:t xml:space="preserve"> Diode laser can also be used for removing the calculi.</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We are pleased that the reviewer found the title clear, methodology appropriate, results well presented, and the manuscript written in understandable language. We appreciate the recognition of the clinical importance of minimally invasive management of submandibular duct sialolithiasis.</w:t>
            </w:r>
          </w:p>
        </w:tc>
      </w:tr>
    </w:tbl>
    <w:p>
      <w:pPr>
        <w:pStyle w:val="style0"/>
        <w:rPr>
          <w:sz w:val="22"/>
          <w:szCs w:val="20"/>
          <w:lang w:val="en-GB"/>
        </w:rPr>
      </w:pPr>
    </w:p>
    <w:p>
      <w:pPr>
        <w:pStyle w:val="style0"/>
        <w:rPr>
          <w:sz w:val="22"/>
          <w:szCs w:val="20"/>
          <w:lang w:val="en-GB"/>
        </w:rPr>
      </w:pPr>
    </w:p>
    <w:p>
      <w:pPr>
        <w:pStyle w:val="style0"/>
        <w:rPr>
          <w:sz w:val="22"/>
          <w:szCs w:val="20"/>
          <w:lang w:val="en-GB"/>
        </w:rPr>
      </w:pPr>
    </w:p>
    <w:p>
      <w:pPr>
        <w:pStyle w:val="styl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pPr>
        <w:pStyle w:val="style0"/>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trPr>
          <w:trHeight w:val="20" w:hRule="atLeast"/>
          <w:tblHeader/>
          <w:jc w:val="center"/>
        </w:trPr>
        <w:tc>
          <w:tcPr>
            <w:tcW w:w="1790" w:type="pct"/>
            <w:tcBorders/>
            <w:noWrap/>
          </w:tcPr>
          <w:p>
            <w:pPr>
              <w:pStyle w:val="style2"/>
              <w:jc w:val="left"/>
              <w:rPr>
                <w:rFonts w:ascii="Times New Roman" w:hAnsi="Times New Roman"/>
                <w:lang w:val="en-GB" w:eastAsia="en-US"/>
              </w:rPr>
            </w:pPr>
          </w:p>
        </w:tc>
        <w:tc>
          <w:tcPr>
            <w:tcW w:w="1843" w:type="pct"/>
            <w:tcBorders/>
          </w:tcPr>
          <w:p>
            <w:pPr>
              <w:pStyle w:val="style2"/>
              <w:jc w:val="left"/>
              <w:rPr>
                <w:rFonts w:ascii="Times New Roman" w:hAnsi="Times New Roman"/>
                <w:lang w:val="en-GB" w:eastAsia="en-US"/>
              </w:rPr>
            </w:pPr>
            <w:r>
              <w:rPr>
                <w:rFonts w:ascii="Times New Roman" w:hAnsi="Times New Roman"/>
                <w:lang w:val="en-GB" w:eastAsia="en-US"/>
              </w:rPr>
              <w:t>Rating of the Reviewers</w:t>
            </w:r>
          </w:p>
        </w:tc>
        <w:tc>
          <w:tcPr>
            <w:tcW w:w="1367" w:type="pct"/>
            <w:tcBorders/>
          </w:tcPr>
          <w:p>
            <w:pPr>
              <w:pStyle w:val="style0"/>
              <w:spacing w:after="160" w:lineRule="auto" w:line="259"/>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20" w:hRule="atLeast"/>
          <w:jc w:val="center"/>
        </w:trPr>
        <w:tc>
          <w:tcPr>
            <w:tcW w:w="1790" w:type="pct"/>
            <w:tcBorders/>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rPr>
                <w:sz w:val="20"/>
                <w:szCs w:val="20"/>
                <w:lang w:val="en-GB"/>
              </w:rPr>
            </w:pPr>
            <w:r>
              <w:rPr>
                <w:b/>
                <w:bCs/>
                <w:sz w:val="20"/>
                <w:szCs w:val="20"/>
                <w:lang w:val="en-GB"/>
              </w:rPr>
              <w:t xml:space="preserve">       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b/>
                <w:bCs/>
                <w:sz w:val="20"/>
                <w:szCs w:val="20"/>
                <w:lang w:val="en-GB"/>
              </w:rPr>
              <w:t>No ethical issues</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We acknowledge the reviewer’s observation regarding ethical considerations. We will update the manuscript to clearly mention informed patient consent for publication and institutional ethical approval/waiver, wherever applicable, in accordance with journal guidelines.</w:t>
            </w: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
                <w:sz w:val="20"/>
                <w:szCs w:val="20"/>
                <w:lang w:val="en-GB"/>
              </w:rPr>
            </w:pPr>
            <w:r>
              <w:rPr>
                <w:b/>
                <w:sz w:val="20"/>
                <w:szCs w:val="20"/>
                <w:lang w:val="en-GB"/>
              </w:rPr>
              <w:t>Yes</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
                <w:sz w:val="20"/>
                <w:szCs w:val="20"/>
                <w:lang w:val="en-GB"/>
              </w:rPr>
            </w:pPr>
            <w:r>
              <w:rPr>
                <w:b/>
                <w:sz w:val="20"/>
                <w:szCs w:val="20"/>
                <w:lang w:val="en-GB"/>
              </w:rPr>
              <w:t>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
                <w:sz w:val="20"/>
                <w:szCs w:val="20"/>
                <w:lang w:val="en-GB"/>
              </w:rPr>
            </w:pPr>
            <w:r>
              <w:rPr>
                <w:b/>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
                <w:sz w:val="20"/>
                <w:szCs w:val="20"/>
                <w:lang w:val="en-GB"/>
              </w:rPr>
            </w:pPr>
            <w:r>
              <w:rPr>
                <w:b/>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
                <w:sz w:val="20"/>
                <w:szCs w:val="20"/>
                <w:lang w:val="en-GB"/>
              </w:rPr>
            </w:pPr>
            <w:r>
              <w:rPr>
                <w:b/>
                <w:sz w:val="20"/>
                <w:szCs w:val="20"/>
                <w:lang w:val="en-GB"/>
              </w:rPr>
              <w:t>4</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
                <w:sz w:val="20"/>
                <w:szCs w:val="20"/>
                <w:lang w:val="en-GB"/>
              </w:rPr>
            </w:pPr>
            <w:r>
              <w:rPr>
                <w:b/>
                <w:sz w:val="20"/>
                <w:szCs w:val="20"/>
                <w:lang w:val="en-GB"/>
              </w:rPr>
              <w:t>5</w:t>
            </w:r>
          </w:p>
        </w:tc>
        <w:tc>
          <w:tcPr>
            <w:tcW w:w="1367" w:type="pct"/>
            <w:tcBorders/>
          </w:tcPr>
          <w:p>
            <w:pPr>
              <w:pStyle w:val="style2"/>
              <w:jc w:val="left"/>
              <w:rPr>
                <w:rFonts w:ascii="Times New Roman" w:hAnsi="Times New Roman"/>
                <w:b w:val="false"/>
                <w:lang w:val="en-GB" w:eastAsia="en-US"/>
              </w:rPr>
            </w:pPr>
          </w:p>
        </w:tc>
      </w:tr>
      <w:tr>
        <w:tblPrEx/>
        <w:trPr>
          <w:trHeight w:val="20" w:hRule="atLeast"/>
          <w:jc w:val="center"/>
        </w:trPr>
        <w:tc>
          <w:tcPr>
            <w:tcW w:w="1790" w:type="pct"/>
            <w:tcBorders/>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
                <w:sz w:val="20"/>
                <w:szCs w:val="20"/>
                <w:lang w:val="en-GB"/>
              </w:rPr>
            </w:pPr>
            <w:r>
              <w:rPr>
                <w:b/>
                <w:sz w:val="20"/>
                <w:szCs w:val="20"/>
                <w:lang w:val="en-GB"/>
              </w:rPr>
              <w:t>5</w:t>
            </w:r>
          </w:p>
        </w:tc>
        <w:tc>
          <w:tcPr>
            <w:tcW w:w="1367" w:type="pct"/>
            <w:tcBorders/>
          </w:tcPr>
          <w:p>
            <w:pPr>
              <w:pStyle w:val="style2"/>
              <w:jc w:val="left"/>
              <w:rPr>
                <w:rFonts w:ascii="Times New Roman" w:hAnsi="Times New Roman"/>
                <w:b w:val="false"/>
                <w:lang w:val="en-GB" w:eastAsia="en-US"/>
              </w:rPr>
            </w:pP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pPr>
        <w:pStyle w:val="style0"/>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trPr>
          <w:trHeight w:val="20" w:hRule="atLeast"/>
          <w:jc w:val="center"/>
        </w:trPr>
        <w:tc>
          <w:tcPr>
            <w:tcW w:w="1672" w:type="pct"/>
            <w:tcBorders/>
            <w:noWrap/>
          </w:tcPr>
          <w:p>
            <w:pPr>
              <w:pStyle w:val="style2"/>
              <w:jc w:val="left"/>
              <w:rPr>
                <w:rFonts w:ascii="Times New Roman" w:hAnsi="Times New Roman"/>
                <w:lang w:val="en-GB" w:eastAsia="en-US"/>
              </w:rPr>
            </w:pPr>
          </w:p>
        </w:tc>
        <w:tc>
          <w:tcPr>
            <w:tcW w:w="1786" w:type="pct"/>
            <w:tcBorders/>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sz w:val="22"/>
                <w:szCs w:val="22"/>
                <w:lang w:val="en-GB"/>
              </w:rPr>
            </w:pPr>
          </w:p>
        </w:tc>
        <w:tc>
          <w:tcPr>
            <w:tcW w:w="1543" w:type="pct"/>
            <w:tcBorders/>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20" w:hRule="atLeast"/>
          <w:jc w:val="center"/>
        </w:trPr>
        <w:tc>
          <w:tcPr>
            <w:tcW w:w="1672" w:type="pct"/>
            <w:tcBorders/>
            <w:noWrap/>
          </w:tcPr>
          <w:p>
            <w:pPr>
              <w:pStyle w:val="style0"/>
              <w:rPr>
                <w:b/>
                <w:bCs/>
                <w:sz w:val="20"/>
                <w:szCs w:val="20"/>
                <w:lang w:val="en-GB"/>
              </w:rPr>
            </w:pPr>
            <w:r>
              <w:rPr>
                <w:b/>
                <w:bCs/>
                <w:sz w:val="20"/>
                <w:szCs w:val="20"/>
                <w:lang w:val="en-GB"/>
              </w:rPr>
              <w:t>Is the title of the article suitable?</w:t>
            </w:r>
          </w:p>
          <w:p>
            <w:pPr>
              <w:pStyle w:val="style0"/>
              <w:rPr>
                <w:bCs/>
                <w:sz w:val="20"/>
                <w:szCs w:val="20"/>
                <w:lang w:val="en-GB"/>
              </w:rPr>
            </w:pPr>
          </w:p>
          <w:p>
            <w:pPr>
              <w:pStyle w:val="style0"/>
              <w:rPr>
                <w:sz w:val="22"/>
                <w:szCs w:val="22"/>
                <w:u w:val="single"/>
                <w:lang w:val="en-GB"/>
              </w:rPr>
            </w:pPr>
            <w:r>
              <w:rPr>
                <w:bCs/>
                <w:sz w:val="20"/>
                <w:szCs w:val="20"/>
                <w:lang w:val="en-GB"/>
              </w:rPr>
              <w:t>If your answer is NO, please provide a brief, clear suggestion for improvement.</w:t>
            </w:r>
          </w:p>
        </w:tc>
        <w:tc>
          <w:tcPr>
            <w:tcW w:w="1786" w:type="pct"/>
            <w:tcBorders/>
          </w:tcPr>
          <w:p>
            <w:pPr>
              <w:pStyle w:val="style0"/>
              <w:ind w:left="360"/>
              <w:rPr>
                <w:b/>
                <w:bCs/>
                <w:sz w:val="20"/>
                <w:szCs w:val="20"/>
                <w:lang w:val="en-GB"/>
              </w:rPr>
            </w:pPr>
            <w:r>
              <w:rPr>
                <w:b/>
                <w:bCs/>
                <w:sz w:val="20"/>
                <w:szCs w:val="20"/>
                <w:lang w:val="en-GB"/>
              </w:rPr>
              <w:t>Yes suitable.</w:t>
            </w:r>
          </w:p>
        </w:tc>
        <w:tc>
          <w:tcPr>
            <w:tcW w:w="1543" w:type="pct"/>
            <w:tcBorders/>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rPr>
                <w:bCs/>
                <w:sz w:val="20"/>
                <w:szCs w:val="20"/>
                <w:lang w:val="en-GB"/>
              </w:rPr>
            </w:pPr>
          </w:p>
          <w:p>
            <w:pPr>
              <w:pStyle w:val="style0"/>
              <w:rPr>
                <w:sz w:val="22"/>
                <w:szCs w:val="22"/>
                <w:lang w:val="en-GB"/>
              </w:rPr>
            </w:pPr>
            <w:r>
              <w:rPr>
                <w:bCs/>
                <w:sz w:val="20"/>
                <w:szCs w:val="20"/>
                <w:lang w:val="en-GB"/>
              </w:rPr>
              <w:t>If your answer is NO, please provide a brief, clear suggestion for improvement.</w:t>
            </w:r>
          </w:p>
        </w:tc>
        <w:tc>
          <w:tcPr>
            <w:tcW w:w="1786" w:type="pct"/>
            <w:tcBorders/>
          </w:tcPr>
          <w:p>
            <w:pPr>
              <w:pStyle w:val="style0"/>
              <w:ind w:left="360"/>
              <w:rPr>
                <w:b/>
                <w:bCs/>
                <w:sz w:val="20"/>
                <w:szCs w:val="20"/>
                <w:lang w:val="en-GB"/>
              </w:rPr>
            </w:pPr>
            <w:r>
              <w:rPr>
                <w:b/>
                <w:bCs/>
                <w:sz w:val="20"/>
                <w:szCs w:val="20"/>
                <w:lang w:val="en-GB"/>
              </w:rPr>
              <w:t xml:space="preserve">Yes </w:t>
            </w:r>
          </w:p>
        </w:tc>
        <w:tc>
          <w:tcPr>
            <w:tcW w:w="1543" w:type="pct"/>
            <w:tcBorders/>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noWrap/>
          </w:tcPr>
          <w:p>
            <w:pPr>
              <w:pStyle w:val="style2"/>
              <w:jc w:val="left"/>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rPr>
                <w:b/>
                <w:sz w:val="22"/>
                <w:szCs w:val="22"/>
                <w:lang w:val="en-GB"/>
              </w:rPr>
            </w:pPr>
            <w:r>
              <w:rPr>
                <w:bCs/>
                <w:sz w:val="20"/>
                <w:szCs w:val="20"/>
                <w:lang w:val="en-GB"/>
              </w:rPr>
              <w:t>If your answer is NO, please provide a brief, clear suggestion for improvement.</w:t>
            </w:r>
          </w:p>
        </w:tc>
        <w:tc>
          <w:tcPr>
            <w:tcW w:w="1786" w:type="pct"/>
            <w:tcBorders/>
          </w:tcPr>
          <w:p>
            <w:pPr>
              <w:pStyle w:val="style179"/>
              <w:ind w:left="0"/>
              <w:rPr>
                <w:b/>
                <w:sz w:val="20"/>
                <w:szCs w:val="20"/>
                <w:lang w:val="en-GB"/>
              </w:rPr>
            </w:pPr>
            <w:r>
              <w:rPr>
                <w:bCs/>
                <w:sz w:val="20"/>
                <w:szCs w:val="20"/>
                <w:lang w:val="en-GB"/>
              </w:rPr>
              <w:t xml:space="preserve">       </w:t>
            </w:r>
            <w:r>
              <w:rPr>
                <w:b/>
                <w:sz w:val="20"/>
                <w:szCs w:val="20"/>
                <w:lang w:val="en-GB"/>
              </w:rPr>
              <w:t xml:space="preserve"> Yes </w:t>
            </w:r>
          </w:p>
        </w:tc>
        <w:tc>
          <w:tcPr>
            <w:tcW w:w="1543" w:type="pct"/>
            <w:tcBorders/>
          </w:tcPr>
          <w:p>
            <w:pPr>
              <w:pStyle w:val="style2"/>
              <w:jc w:val="left"/>
              <w:rPr>
                <w:rFonts w:ascii="Times New Roman" w:hAnsi="Times New Roman"/>
                <w:b w:val="false"/>
                <w:lang w:val="en-GB" w:eastAsia="en-US"/>
              </w:rPr>
            </w:pPr>
          </w:p>
        </w:tc>
      </w:tr>
      <w:tr>
        <w:tblPrEx/>
        <w:trPr>
          <w:trHeight w:val="20" w:hRule="atLeast"/>
          <w:jc w:val="center"/>
        </w:trPr>
        <w:tc>
          <w:tcPr>
            <w:tcW w:w="1672" w:type="pct"/>
            <w:tcBorders/>
            <w:noWrap/>
          </w:tcPr>
          <w:p>
            <w:pPr>
              <w:pStyle w:val="style0"/>
              <w:rPr>
                <w:b/>
                <w:bCs/>
                <w:sz w:val="20"/>
                <w:szCs w:val="20"/>
                <w:lang w:val="en-GB"/>
              </w:rPr>
            </w:pPr>
            <w:r>
              <w:rPr>
                <w:b/>
                <w:bCs/>
                <w:sz w:val="20"/>
                <w:szCs w:val="20"/>
                <w:lang w:val="en-GB"/>
              </w:rPr>
              <w:t xml:space="preserve">Are the references sufficient and recent? </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
                <w:bCs/>
                <w:sz w:val="20"/>
                <w:szCs w:val="20"/>
                <w:lang w:val="en-GB"/>
              </w:rPr>
            </w:pPr>
            <w:r>
              <w:rPr>
                <w:bCs/>
                <w:sz w:val="20"/>
                <w:szCs w:val="20"/>
                <w:lang w:val="en-GB"/>
              </w:rPr>
              <w:t>If your answer is NO, please provide clear suggestion for improvement.</w:t>
            </w:r>
          </w:p>
        </w:tc>
        <w:tc>
          <w:tcPr>
            <w:tcW w:w="1786" w:type="pct"/>
            <w:tcBorders/>
          </w:tcPr>
          <w:p>
            <w:pPr>
              <w:pStyle w:val="style179"/>
              <w:ind w:left="0"/>
              <w:rPr>
                <w:bCs/>
                <w:sz w:val="20"/>
                <w:szCs w:val="20"/>
                <w:lang w:val="en-GB"/>
              </w:rPr>
            </w:pPr>
            <w:r>
              <w:rPr>
                <w:bCs/>
                <w:sz w:val="20"/>
                <w:szCs w:val="20"/>
                <w:lang w:val="en-GB"/>
              </w:rPr>
              <w:t xml:space="preserve">    </w:t>
            </w:r>
            <w:r>
              <w:rPr>
                <w:b/>
                <w:sz w:val="20"/>
                <w:szCs w:val="20"/>
                <w:lang w:val="en-GB"/>
              </w:rPr>
              <w:t>No, reference no.is not sufficient, also while increasing the no.  more recent references can be included</w:t>
            </w:r>
            <w:r>
              <w:rPr>
                <w:bCs/>
                <w:sz w:val="20"/>
                <w:szCs w:val="20"/>
                <w:lang w:val="en-GB"/>
              </w:rPr>
              <w:t>.</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Accordingly, we have revised the manuscript by adding updated literature and strengthening the discussion with current evidence.</w:t>
            </w:r>
          </w:p>
        </w:tc>
      </w:tr>
      <w:tr>
        <w:tblPrEx/>
        <w:trPr>
          <w:trHeight w:val="896" w:hRule="atLeast"/>
          <w:jc w:val="center"/>
        </w:trPr>
        <w:tc>
          <w:tcPr>
            <w:tcW w:w="1672" w:type="pct"/>
            <w:tcBorders/>
            <w:noWrap/>
          </w:tcPr>
          <w:p>
            <w:pPr>
              <w:pStyle w:val="style0"/>
              <w:rPr>
                <w:b/>
                <w:bCs/>
                <w:sz w:val="20"/>
                <w:szCs w:val="20"/>
                <w:lang w:val="en-GB"/>
              </w:rPr>
            </w:pPr>
            <w:r>
              <w:rPr>
                <w:b/>
                <w:bCs/>
                <w:sz w:val="20"/>
                <w:szCs w:val="20"/>
                <w:lang w:val="en-GB"/>
              </w:rPr>
              <w:t>Are there ethical issues in this manuscript?</w:t>
            </w:r>
          </w:p>
          <w:p>
            <w:pPr>
              <w:pStyle w:val="style0"/>
              <w:rPr>
                <w:bCs/>
                <w:sz w:val="20"/>
                <w:szCs w:val="20"/>
                <w:lang w:val="en-GB"/>
              </w:rPr>
            </w:pPr>
            <w:r>
              <w:rPr>
                <w:bCs/>
                <w:sz w:val="20"/>
                <w:szCs w:val="20"/>
                <w:lang w:val="en-GB"/>
              </w:rPr>
              <w:t>(YES or NO)</w:t>
            </w:r>
          </w:p>
          <w:p>
            <w:pPr>
              <w:pStyle w:val="style0"/>
              <w:rPr>
                <w:bCs/>
                <w:sz w:val="20"/>
                <w:szCs w:val="20"/>
                <w:lang w:val="en-GB"/>
              </w:rPr>
            </w:pPr>
          </w:p>
          <w:p>
            <w:pPr>
              <w:pStyle w:val="style0"/>
              <w:rPr>
                <w:bCs/>
                <w:sz w:val="20"/>
                <w:szCs w:val="20"/>
                <w:lang w:val="en-GB"/>
              </w:rPr>
            </w:pPr>
            <w:r>
              <w:rPr>
                <w:bCs/>
                <w:sz w:val="20"/>
                <w:szCs w:val="20"/>
                <w:lang w:val="en-GB"/>
              </w:rPr>
              <w:t>(If yes, kindly please write down the ethical issues here in details)</w:t>
            </w:r>
          </w:p>
          <w:p>
            <w:pPr>
              <w:pStyle w:val="style0"/>
              <w:rPr>
                <w:bCs/>
                <w:sz w:val="20"/>
                <w:szCs w:val="20"/>
                <w:lang w:val="en-GB"/>
              </w:rPr>
            </w:pPr>
          </w:p>
        </w:tc>
        <w:tc>
          <w:tcPr>
            <w:tcW w:w="1786" w:type="pct"/>
            <w:tcBorders/>
          </w:tcPr>
          <w:p>
            <w:pPr>
              <w:pStyle w:val="style179"/>
              <w:ind w:left="0"/>
              <w:rPr>
                <w:b/>
                <w:sz w:val="20"/>
                <w:szCs w:val="20"/>
                <w:lang w:val="en-GB"/>
              </w:rPr>
            </w:pPr>
            <w:r>
              <w:rPr>
                <w:b/>
                <w:sz w:val="20"/>
                <w:szCs w:val="20"/>
                <w:lang w:val="en-GB"/>
              </w:rPr>
              <w:t>None</w:t>
            </w:r>
          </w:p>
        </w:tc>
        <w:tc>
          <w:tcPr>
            <w:tcW w:w="1543"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Informed patient consent was obtained. Patient confidentiality was maintained. The author declares no conflict of interest, and the manuscript is original and not under consideration elsewhere.</w:t>
            </w:r>
          </w:p>
        </w:tc>
      </w:tr>
    </w:tbl>
    <w:p>
      <w:pPr>
        <w:pStyle w:val="style2"/>
        <w:jc w:val="left"/>
        <w:rPr>
          <w:rFonts w:ascii="Times New Roman" w:hAnsi="Times New Roman"/>
          <w:highlight w:val="yellow"/>
          <w:lang w:val="en-GB" w:eastAsia="en-US"/>
        </w:rPr>
      </w:pPr>
    </w:p>
    <w:p>
      <w:pPr>
        <w:pStyle w:val="style0"/>
        <w:rPr>
          <w:highlight w:val="yellow"/>
          <w:lang w:val="en-GB"/>
        </w:rPr>
      </w:pPr>
    </w:p>
    <w:bookmarkStart w:id="0" w:name="_GoBack"/>
    <w:bookmarkEnd w:id="0"/>
    <w:p>
      <w:pPr>
        <w:pStyle w:val="style0"/>
        <w:rPr>
          <w:highlight w:val="yellow"/>
          <w:lang w:val="en-GB"/>
        </w:rPr>
      </w:pPr>
    </w:p>
    <w:sectPr>
      <w:headerReference w:type="default" r:id="rId2"/>
      <w:footerReference w:type="default" r:id="rId3"/>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E0002EFF" w:usb1="C000785B" w:usb2="00000009" w:usb3="00000000" w:csb0="000001FF" w:csb1="00000000"/>
  </w:font>
  <w:font w:name="Arial">
    <w:altName w:val="Arial"/>
    <w:panose1 w:val="020b0604020002020204"/>
    <w:charset w:val="00"/>
    <w:family w:val="swiss"/>
    <w:pitch w:val="variable"/>
    <w:sig w:usb0="E0002EFF" w:usb1="C000785B" w:usb2="00000009" w:usb3="00000000" w:csb0="000001FF" w:csb1="00000000"/>
  </w:font>
  <w:font w:name="Symbol">
    <w:altName w:val="Symbol"/>
    <w:panose1 w:val="05050102010007020507"/>
    <w:charset w:val="02"/>
    <w:family w:val="roman"/>
    <w:pitch w:val="variable"/>
    <w:sig w:usb0="00000000" w:usb1="10000000" w:usb2="00000000" w:usb3="00000000" w:csb0="80000000" w:csb1="00000000"/>
  </w:font>
  <w:font w:name="Courier New">
    <w:altName w:val="Courier New"/>
    <w:panose1 w:val="02070309020002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00"/>
    <w:family w:val="swiss"/>
    <w:pitch w:val="variable"/>
    <w:sig w:usb0="E4002EFF" w:usb1="C200247B" w:usb2="00000009" w:usb3="00000000" w:csb0="000001FF" w:csb1="00000000"/>
  </w:font>
  <w:font w:name="Helvetica">
    <w:altName w:val="Helvetica"/>
    <w:panose1 w:val="020b0604020002020204"/>
    <w:charset w:val="00"/>
    <w:family w:val="swiss"/>
    <w:pitch w:val="variable"/>
    <w:sig w:usb0="E0002EFF" w:usb1="C000785B" w:usb2="00000009" w:usb3="00000000" w:csb0="000001FF" w:csb1="00000000"/>
  </w:font>
  <w:font w:name="MS Mincho">
    <w:altName w:val="ＭＳ 明朝"/>
    <w:panose1 w:val="02020609040002080304"/>
    <w:charset w:val="80"/>
    <w:family w:val="modern"/>
    <w:pitch w:val="fixed"/>
    <w:sig w:usb0="E00002FF" w:usb1="6AC7FDFB" w:usb2="08000012" w:usb3="00000000" w:csb0="0002009F" w:csb1="00000000"/>
  </w:font>
  <w:font w:name="Arial Unicode MS">
    <w:altName w:val="Yu Gothic"/>
    <w:panose1 w:val="020b0604020002020204"/>
    <w:charset w:val="80"/>
    <w:family w:val="swiss"/>
    <w:pitch w:val="variable"/>
    <w:sig w:usb0="F7FFAFFF" w:usb1="E9DFFFFF" w:usb2="0000003F" w:usb3="00000000" w:csb0="003F01FF" w:csb1="00000000"/>
  </w:font>
  <w:font w:name="Tahoma">
    <w:altName w:val="Tahoma"/>
    <w:panose1 w:val="020b0604030005040204"/>
    <w:charset w:val="00"/>
    <w:family w:val="swiss"/>
    <w:pitch w:val="variable"/>
    <w:sig w:usb0="E1002EFF" w:usb1="C000605B" w:usb2="00000029" w:usb3="00000000" w:csb0="000101FF" w:csb1="00000000"/>
  </w:font>
  <w:font w:name="Calibri Light">
    <w:altName w:val="Calibri Light"/>
    <w:panose1 w:val="020f0302020002030204"/>
    <w:charset w:val="00"/>
    <w:family w:val="swiss"/>
    <w:pitch w:val="variable"/>
    <w:sig w:usb0="E4002EFF" w:usb1="C200247B" w:usb2="00000009" w:usb3="00000000" w:csb0="000001FF"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0000004"/>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000005"/>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614eefe2-e391-4cea-a995-260b722971ba"/>
    <w:next w:val="style4097"/>
    <w:link w:val="style2"/>
    <w:rPr>
      <w:rFonts w:ascii="Helvetica" w:cs="Helvetica" w:eastAsia="MS Mincho" w:hAnsi="Helvetica"/>
      <w:b/>
      <w:bCs/>
      <w:sz w:val="20"/>
      <w:szCs w:val="20"/>
      <w:lang w:val="fr-FR"/>
    </w:rPr>
  </w:style>
  <w:style w:type="character" w:customStyle="1" w:styleId="style4098">
    <w:name w:val="Heading 4 Char_ee667bf7-6679-45f6-b40a-a1e10b64d533"/>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483372b2-d0cd-4c34-8bfb-42c8e85c1555"/>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27385934-4c7c-4c4f-b942-d3381018df18"/>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
    <w:next w:val="style4103"/>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Words>872</Words>
  <Pages>2</Pages>
  <Characters>4329</Characters>
  <Application>WPS Office</Application>
  <DocSecurity>0</DocSecurity>
  <Paragraphs>184</Paragraphs>
  <ScaleCrop>false</ScaleCrop>
  <LinksUpToDate>false</LinksUpToDate>
  <CharactersWithSpaces>5147</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2026-04-12T18:50:00Z</dcterms:created>
  <dc:creator>Surojit Bera</dc:creator>
  <lastModifiedBy>I2301</lastModifiedBy>
  <dcterms:modified xsi:type="dcterms:W3CDTF">2026-04-17T09:34:13Z</dcterms:modified>
  <revision>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c0bad59d4d3444929245cea2b7d72a26</vt:lpwstr>
  </property>
</Properties>
</file>