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>
        <w:trPr>
          <w:trHeight w:val="20" w:hRule="atLeast"/>
          <w:jc w:val="center"/>
        </w:trPr>
        <w:tc>
          <w:tcPr>
            <w:tcW w:w="1186" w:type="pct"/>
            <w:tcBorders/>
          </w:tcPr>
          <w:p>
            <w:pPr>
              <w:pStyle w:val="style6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Borders/>
          </w:tcPr>
          <w:p>
            <w:pPr>
              <w:pStyle w:val="style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/>
              <w:fldChar w:fldCharType="begin"/>
            </w:r>
            <w:r>
              <w:instrText xml:space="preserve"> HYPERLINK "https://journalajcrs.com/" </w:instrText>
            </w:r>
            <w:r>
              <w:rPr/>
              <w:fldChar w:fldCharType="separate"/>
            </w:r>
            <w:r>
              <w:rPr>
                <w:rFonts w:ascii="Tahoma" w:cs="Tahoma" w:hAnsi="Tahoma"/>
                <w:color w:val="0f4c82"/>
                <w:u w:val="single"/>
                <w:bdr w:val="none" w:sz="0" w:space="0" w:color="auto" w:frame="true"/>
              </w:rPr>
              <w:t>Asian Journal of Case Reports in Surgery</w:t>
            </w:r>
            <w:r>
              <w:rPr/>
              <w:fldChar w:fldCharType="end"/>
            </w:r>
            <w:r>
              <w:rPr>
                <w:rFonts w:ascii="Tahoma" w:cs="Tahoma" w:hAnsi="Tahoma"/>
                <w:color w:val="1a1a1a"/>
                <w:shd w:val="clear" w:color="auto" w:fill="ffffff"/>
              </w:rPr>
              <w:t> 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186" w:type="pct"/>
            <w:tcBorders/>
          </w:tcPr>
          <w:p>
            <w:pPr>
              <w:pStyle w:val="style6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Borders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8"/>
                <w:lang w:val="en-GB"/>
              </w:rPr>
              <w:t>Ms_AJCRS_156967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186" w:type="pct"/>
            <w:tcBorders/>
          </w:tcPr>
          <w:p>
            <w:pPr>
              <w:pStyle w:val="style6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Borders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  <w:t>TRANSDUCTAL SIALOLITHOTOMY: MINIMALLY INVASIVE APPROACH FOR SUBMANDIBULAR DUCT SIALOLITH - A CASE REPORT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186" w:type="pct"/>
            <w:tcBorders/>
          </w:tcPr>
          <w:p>
            <w:pPr>
              <w:pStyle w:val="style6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Borders/>
          </w:tcPr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  <w:t>Research Article</w:t>
            </w:r>
          </w:p>
          <w:p>
            <w:pPr>
              <w:pStyle w:val="style94"/>
              <w:spacing w:before="0" w:beforeAutospacing="false" w:after="0" w:afterAutospacing="false"/>
              <w:rPr>
                <w:rFonts w:ascii="Times New Roman" w:cs="Times New Roman" w:hAnsi="Times New Roman"/>
                <w:b/>
                <w:sz w:val="20"/>
                <w:szCs w:val="28"/>
                <w:lang w:val="en-GB"/>
              </w:rPr>
            </w:pPr>
          </w:p>
        </w:tc>
      </w:tr>
    </w:tbl>
    <w:p>
      <w:pPr>
        <w:pStyle w:val="style6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sz w:val="22"/>
          <w:szCs w:val="20"/>
          <w:lang w:val="en-GB"/>
        </w:rPr>
      </w:pPr>
    </w:p>
    <w:p>
      <w:pPr>
        <w:pStyle w:val="style66"/>
        <w:rPr>
          <w:rFonts w:ascii="Times New Roman" w:hAnsi="Times New Roman"/>
          <w:sz w:val="22"/>
          <w:szCs w:val="20"/>
          <w:lang w:val="en-GB"/>
        </w:rPr>
      </w:pPr>
    </w:p>
    <w:p>
      <w:pPr>
        <w:pStyle w:val="style66"/>
        <w:rPr>
          <w:rFonts w:ascii="Times New Roman" w:hAnsi="Times New Roman"/>
          <w:sz w:val="22"/>
          <w:szCs w:val="20"/>
          <w:lang w:val="en-GB"/>
        </w:rPr>
      </w:pPr>
    </w:p>
    <w:p>
      <w:pPr>
        <w:pStyle w:val="style6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>
      <w:pPr>
        <w:pStyle w:val="style66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>
        <w:trPr>
          <w:trHeight w:val="20" w:hRule="atLeast"/>
          <w:jc w:val="center"/>
        </w:trPr>
        <w:tc>
          <w:tcPr>
            <w:tcW w:w="1789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tcBorders/>
          </w:tcPr>
          <w:p>
            <w:pPr>
              <w:pStyle w:val="style0"/>
              <w:spacing w:after="160" w:lineRule="auto" w:line="259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89" w:type="pct"/>
            <w:tcBorders/>
            <w:noWrap/>
          </w:tcPr>
          <w:p>
            <w:pPr>
              <w:pStyle w:val="style0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tcBorders/>
          </w:tcPr>
          <w:p>
            <w:pPr>
              <w:pStyle w:val="style179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describes the conservative surgical management of submandibular </w:t>
            </w:r>
            <w:r>
              <w:rPr>
                <w:b/>
                <w:bCs/>
                <w:sz w:val="20"/>
                <w:szCs w:val="20"/>
                <w:lang w:val="en-GB"/>
              </w:rPr>
              <w:t>sialolith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using transductal </w:t>
            </w:r>
            <w:r>
              <w:rPr>
                <w:b/>
                <w:bCs/>
                <w:sz w:val="20"/>
                <w:szCs w:val="20"/>
                <w:lang w:val="en-GB"/>
              </w:rPr>
              <w:t>sialolithotomy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  <w:r>
              <w:rPr>
                <w:rFonts w:ascii="Times New Roman" w:hAnsi="Times New Roman"/>
                <w:b w:val="false"/>
                <w:lang w:val="en-GB" w:eastAsia="en-US"/>
              </w:rPr>
              <w:t>We sincerely thank the reviewer for the valuable comments, positive evaluation, and constructive suggestions regarding our manuscript entitled “Transductal Sialolithotomy: Minimally Invasive Approach for Submandibular Duct Sialolith - A Case Report.” We appreciate the time and effort taken to review our work.</w:t>
            </w:r>
          </w:p>
        </w:tc>
      </w:tr>
    </w:tbl>
    <w:p>
      <w:pPr>
        <w:pStyle w:val="style0"/>
        <w:rPr>
          <w:sz w:val="22"/>
          <w:szCs w:val="20"/>
          <w:lang w:val="en-GB"/>
        </w:rPr>
      </w:pPr>
    </w:p>
    <w:p>
      <w:pPr>
        <w:pStyle w:val="style0"/>
        <w:rPr>
          <w:sz w:val="22"/>
          <w:szCs w:val="20"/>
          <w:lang w:val="en-GB"/>
        </w:rPr>
      </w:pPr>
    </w:p>
    <w:p>
      <w:pPr>
        <w:pStyle w:val="style0"/>
        <w:rPr>
          <w:sz w:val="22"/>
          <w:szCs w:val="20"/>
          <w:lang w:val="en-GB"/>
        </w:rPr>
      </w:pPr>
    </w:p>
    <w:p>
      <w:pPr>
        <w:pStyle w:val="styl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>
      <w:pPr>
        <w:pStyle w:val="style0"/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>
        <w:trPr>
          <w:trHeight w:val="20" w:hRule="atLeast"/>
          <w:tblHeader/>
          <w:jc w:val="center"/>
        </w:trPr>
        <w:tc>
          <w:tcPr>
            <w:tcW w:w="1790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tcBorders/>
          </w:tcPr>
          <w:p>
            <w:pPr>
              <w:pStyle w:val="style0"/>
              <w:spacing w:after="160" w:lineRule="auto" w:line="259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[2]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  <w:r>
              <w:rPr>
                <w:rFonts w:ascii="Times New Roman" w:hAnsi="Times New Roman"/>
                <w:b w:val="false"/>
                <w:lang w:val="en-GB" w:eastAsia="en-US"/>
              </w:rPr>
              <w:t>We acknowledge the reviewer’s observation regarding ethical considerations. We will update the manuscript to clearly mention informed patient consent for publication and institutional ethical approval/waiver, wherever applicable, in accordance with journal guidelines.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[5]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[2]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  <w:r>
              <w:rPr>
                <w:rFonts w:ascii="Times New Roman" w:hAnsi="Times New Roman"/>
                <w:b w:val="false"/>
                <w:lang w:val="en-GB" w:eastAsia="en-US"/>
              </w:rPr>
              <w:t>We appreciate the suggestion to improve the discussion by adding more similar published cases and comparing postoperative outcomes, complications, follow-up, and limitations. Accordingly, we will revise the discussion section by incorporating additional relevant literature and comparative analysis to strengthen the scientific value of the manuscript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[2]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  <w:r>
              <w:rPr>
                <w:rFonts w:ascii="Times New Roman" w:hAnsi="Times New Roman"/>
                <w:b w:val="false"/>
                <w:lang w:val="en-GB" w:eastAsia="en-US"/>
              </w:rPr>
              <w:t>separate paragraph discussing limitations of a single-case report, lack of long-term follow-up, and inability to generalize findings has now been included.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[3]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  <w:r>
              <w:rPr>
                <w:rFonts w:ascii="Times New Roman" w:hAnsi="Times New Roman"/>
                <w:b w:val="false"/>
                <w:lang w:val="en-GB" w:eastAsia="en-US"/>
              </w:rPr>
              <w:t>We thank the reviewer for recommending more recent references. We will revise the reference list by including updated and relevant recent studies on minimally invasive management of salivary gland stones.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1790" w:type="pct"/>
            <w:tcBorders/>
            <w:noWrap/>
          </w:tcPr>
          <w:p>
            <w:pPr>
              <w:pStyle w:val="style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>
            <w:pPr>
              <w:pStyle w:val="style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>
            <w:pPr>
              <w:pStyle w:val="style0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[4]</w:t>
            </w:r>
          </w:p>
        </w:tc>
        <w:tc>
          <w:tcPr>
            <w:tcW w:w="1367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</w:tbl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6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>
      <w:pPr>
        <w:pStyle w:val="styl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>
      <w:pPr>
        <w:pStyle w:val="style0"/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>
        <w:trPr>
          <w:trHeight w:val="20" w:hRule="atLeast"/>
          <w:jc w:val="center"/>
        </w:trPr>
        <w:tc>
          <w:tcPr>
            <w:tcW w:w="1672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>
            <w:pPr>
              <w:pStyle w:val="style0"/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tcBorders/>
          </w:tcPr>
          <w:p>
            <w:pPr>
              <w:pStyle w:val="style0"/>
              <w:spacing w:after="160" w:lineRule="auto" w:line="259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672" w:type="pct"/>
            <w:tcBorders/>
            <w:noWrap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672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/>
          </w:tcPr>
          <w:p>
            <w:pPr>
              <w:pStyle w:val="style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672" w:type="pct"/>
            <w:tcBorders/>
            <w:noWrap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>
            <w:pPr>
              <w:pStyle w:val="style0"/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presenting the significance of minimally invasive surgical technique with minimal </w:t>
            </w:r>
            <w:r>
              <w:rPr>
                <w:bCs/>
                <w:sz w:val="20"/>
                <w:szCs w:val="20"/>
                <w:lang w:val="en-GB"/>
              </w:rPr>
              <w:t>post operative</w:t>
            </w:r>
            <w:r>
              <w:rPr>
                <w:bCs/>
                <w:sz w:val="20"/>
                <w:szCs w:val="20"/>
                <w:lang w:val="en-GB"/>
              </w:rPr>
              <w:t xml:space="preserve"> complications.</w:t>
            </w:r>
          </w:p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Suggestions: Discussion part can be improved by adding few more cases following the same treatment plan addressing </w:t>
            </w:r>
            <w:r>
              <w:rPr>
                <w:bCs/>
                <w:sz w:val="20"/>
                <w:szCs w:val="20"/>
                <w:lang w:val="en-GB"/>
              </w:rPr>
              <w:t>and comp</w:t>
            </w:r>
            <w:r>
              <w:rPr>
                <w:bCs/>
                <w:sz w:val="20"/>
                <w:szCs w:val="20"/>
                <w:lang w:val="en-GB"/>
              </w:rPr>
              <w:t>a</w:t>
            </w:r>
            <w:r>
              <w:rPr>
                <w:bCs/>
                <w:sz w:val="20"/>
                <w:szCs w:val="20"/>
                <w:lang w:val="en-GB"/>
              </w:rPr>
              <w:t xml:space="preserve">ring </w:t>
            </w:r>
            <w:r>
              <w:rPr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Cs/>
                <w:sz w:val="20"/>
                <w:szCs w:val="20"/>
                <w:lang w:val="en-GB"/>
              </w:rPr>
              <w:t>post operative</w:t>
            </w:r>
            <w:r>
              <w:rPr>
                <w:bCs/>
                <w:sz w:val="20"/>
                <w:szCs w:val="20"/>
                <w:lang w:val="en-GB"/>
              </w:rPr>
              <w:t xml:space="preserve"> complications/</w:t>
            </w:r>
            <w:r>
              <w:rPr>
                <w:bCs/>
                <w:sz w:val="20"/>
                <w:szCs w:val="20"/>
                <w:lang w:val="en-GB"/>
              </w:rPr>
              <w:t>post operative</w:t>
            </w:r>
            <w:r>
              <w:rPr>
                <w:bCs/>
                <w:sz w:val="20"/>
                <w:szCs w:val="20"/>
                <w:lang w:val="en-GB"/>
              </w:rPr>
              <w:t xml:space="preserve"> follow up</w:t>
            </w:r>
            <w:r>
              <w:rPr>
                <w:bCs/>
                <w:sz w:val="20"/>
                <w:szCs w:val="20"/>
                <w:lang w:val="en-GB"/>
              </w:rPr>
              <w:t xml:space="preserve"> of the cases</w:t>
            </w:r>
            <w:r>
              <w:rPr>
                <w:bCs/>
                <w:sz w:val="20"/>
                <w:szCs w:val="20"/>
                <w:lang w:val="en-GB"/>
              </w:rPr>
              <w:t xml:space="preserve"> and </w:t>
            </w:r>
            <w:r>
              <w:rPr>
                <w:bCs/>
                <w:sz w:val="20"/>
                <w:szCs w:val="20"/>
                <w:lang w:val="en-GB"/>
              </w:rPr>
              <w:t xml:space="preserve">possible </w:t>
            </w:r>
            <w:r>
              <w:rPr>
                <w:bCs/>
                <w:sz w:val="20"/>
                <w:szCs w:val="20"/>
                <w:lang w:val="en-GB"/>
              </w:rPr>
              <w:t>limitations of the procedure.</w:t>
            </w:r>
          </w:p>
        </w:tc>
        <w:tc>
          <w:tcPr>
            <w:tcW w:w="154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20" w:hRule="atLeast"/>
          <w:jc w:val="center"/>
        </w:trPr>
        <w:tc>
          <w:tcPr>
            <w:tcW w:w="1672" w:type="pct"/>
            <w:tcBorders/>
            <w:noWrap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 or</w:t>
            </w:r>
            <w:r>
              <w:rPr>
                <w:bCs/>
                <w:sz w:val="20"/>
                <w:szCs w:val="20"/>
                <w:lang w:val="en-GB"/>
              </w:rPr>
              <w:t xml:space="preserve"> NO)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can be improved by incorporating recent research.</w:t>
            </w:r>
          </w:p>
        </w:tc>
        <w:tc>
          <w:tcPr>
            <w:tcW w:w="154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</w:p>
        </w:tc>
      </w:tr>
      <w:tr>
        <w:tblPrEx/>
        <w:trPr>
          <w:trHeight w:val="896" w:hRule="atLeast"/>
          <w:jc w:val="center"/>
        </w:trPr>
        <w:tc>
          <w:tcPr>
            <w:tcW w:w="1672" w:type="pct"/>
            <w:tcBorders/>
            <w:noWrap/>
          </w:tcPr>
          <w:p>
            <w:pPr>
              <w:pStyle w:val="style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 or</w:t>
            </w:r>
            <w:r>
              <w:rPr>
                <w:bCs/>
                <w:sz w:val="20"/>
                <w:szCs w:val="20"/>
                <w:lang w:val="en-GB"/>
              </w:rPr>
              <w:t xml:space="preserve"> NO)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</w:t>
            </w:r>
            <w:r>
              <w:rPr>
                <w:bCs/>
                <w:sz w:val="20"/>
                <w:szCs w:val="20"/>
                <w:lang w:val="en-GB"/>
              </w:rPr>
              <w:t>If ,</w:t>
            </w:r>
            <w:r>
              <w:rPr>
                <w:bCs/>
                <w:sz w:val="20"/>
                <w:szCs w:val="20"/>
                <w:lang w:val="en-GB"/>
              </w:rPr>
              <w:t xml:space="preserve"> kindly please write down the ethical issues here in details)</w:t>
            </w:r>
          </w:p>
          <w:p>
            <w:pPr>
              <w:pStyle w:val="style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tcBorders/>
          </w:tcPr>
          <w:p>
            <w:pPr>
              <w:pStyle w:val="style179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Ethical issues not discussed in the manuscript</w:t>
            </w:r>
          </w:p>
        </w:tc>
        <w:tc>
          <w:tcPr>
            <w:tcW w:w="1543" w:type="pct"/>
            <w:tcBorders/>
          </w:tcPr>
          <w:p>
            <w:pPr>
              <w:pStyle w:val="style2"/>
              <w:jc w:val="left"/>
              <w:rPr>
                <w:rFonts w:ascii="Times New Roman" w:hAnsi="Times New Roman"/>
                <w:b w:val="false"/>
                <w:lang w:val="en-GB" w:eastAsia="en-US"/>
              </w:rPr>
            </w:pPr>
            <w:r>
              <w:rPr>
                <w:rFonts w:ascii="Times New Roman" w:hAnsi="Times New Roman"/>
                <w:b w:val="false"/>
                <w:lang w:val="en-GB" w:eastAsia="en-US"/>
              </w:rPr>
              <w:t>We acknowledge the reviewer’s observation regarding ethical considerations. We will update the manuscript to clearly mention informed patient consent for publication and institutional ethical approval/waiver, wherever applicable, in accordance with journal guidelines.</w:t>
            </w:r>
          </w:p>
        </w:tc>
      </w:tr>
    </w:tbl>
    <w:p>
      <w:pPr>
        <w:pStyle w:val="style2"/>
        <w:jc w:val="left"/>
        <w:rPr>
          <w:rFonts w:ascii="Times New Roman" w:hAnsi="Times New Roman"/>
          <w:highlight w:val="yellow"/>
          <w:lang w:val="en-GB" w:eastAsia="en-US"/>
        </w:rPr>
      </w:pPr>
    </w:p>
    <w:p>
      <w:pPr>
        <w:pStyle w:val="style0"/>
        <w:rPr>
          <w:highlight w:val="yellow"/>
          <w:lang w:val="en-GB"/>
        </w:rPr>
      </w:pPr>
    </w:p>
    <w:bookmarkStart w:id="0" w:name="_GoBack"/>
    <w:bookmarkEnd w:id="0"/>
    <w:p>
      <w:pPr>
        <w:pStyle w:val="style0"/>
        <w:rPr>
          <w:highlight w:val="yellow"/>
          <w:lang w:val="en-GB"/>
        </w:rPr>
      </w:pPr>
    </w:p>
    <w:sectPr>
      <w:headerReference w:type="default" r:id="rId2"/>
      <w:footerReference w:type="default" r:id="rId3"/>
      <w:pgSz w:w="16839" w:h="23814" w:orient="portrait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4002EFF" w:usb1="C200247B" w:usb2="00000009" w:usb3="00000000" w:csb0="000001FF" w:csb1="00000000"/>
  </w:font>
  <w:font w:name="Helvetica">
    <w:altName w:val="Helvetica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002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0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200247B" w:usb2="00000009" w:usb3="00000000" w:csb0="000001F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jc w:val="right"/>
      <w:rPr/>
    </w:pPr>
  </w:p>
  <w:p>
    <w:pPr>
      <w:pStyle w:val="style32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>
    <w:pPr>
      <w:pStyle w:val="style32"/>
      <w:jc w:val="right"/>
      <w:rPr>
        <w:b/>
        <w:sz w:val="20"/>
      </w:rPr>
    </w:pPr>
    <w:r>
      <w:rPr>
        <w:b/>
        <w:sz w:val="20"/>
      </w:rPr>
      <w:t>V240326</w:t>
    </w:r>
  </w:p>
  <w:p>
    <w:pPr>
      <w:pStyle w:val="style32"/>
      <w:jc w:val="right"/>
      <w:rPr/>
    </w:pPr>
  </w:p>
  <w:p>
    <w:pPr>
      <w:pStyle w:val="style32"/>
      <w:rPr>
        <w:sz w:val="16"/>
      </w:rPr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spacing w:before="100" w:beforeAutospacing="true" w:after="100" w:afterAutospacing="true"/>
      <w:jc w:val="center"/>
      <w:rPr>
        <w:rFonts w:ascii="Arial" w:cs="Arial" w:hAnsi="Arial"/>
        <w:b/>
        <w:bCs/>
        <w:color w:val="003399"/>
        <w:szCs w:val="20"/>
        <w:u w:val="single"/>
        <w:lang w:val="en-GB"/>
      </w:rPr>
    </w:pPr>
  </w:p>
  <w:p>
    <w:pPr>
      <w:pStyle w:val="style0"/>
      <w:spacing w:before="100" w:beforeAutospacing="true" w:after="100" w:afterAutospacing="true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cs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Calibri" w:hAnsi="Calibri"/>
        <w:lang w:val="en-IN" w:bidi="ar-SA" w:eastAsia="en-IN"/>
      </w:rPr>
    </w:rPrDefault>
    <w:pPrDefault>
      <w:pPr/>
    </w:pPrDefault>
  </w:docDefaults>
  <w:style w:type="paragraph" w:default="1" w:styleId="style0">
    <w:name w:val="Normal"/>
    <w:next w:val="style0"/>
    <w:qFormat/>
    <w:pPr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yle2">
    <w:name w:val="heading 2"/>
    <w:basedOn w:val="style0"/>
    <w:next w:val="style0"/>
    <w:link w:val="style4097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style4">
    <w:name w:val="heading 4"/>
    <w:basedOn w:val="style0"/>
    <w:next w:val="style4"/>
    <w:link w:val="style4098"/>
    <w:qFormat/>
    <w:pPr>
      <w:spacing w:before="100" w:beforeAutospacing="true" w:after="100" w:afterAutospacing="true"/>
      <w:outlineLvl w:val="3"/>
    </w:pPr>
    <w:rPr>
      <w:rFonts w:ascii="Arial Unicode MS" w:eastAsia="Arial Unicode MS" w:hAnsi="Arial Unicode MS"/>
      <w:b/>
      <w:bCs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Heading 2 Char_082664b4-eb8a-4fbd-a1a9-cdb783fec1cb"/>
    <w:next w:val="style4097"/>
    <w:link w:val="style2"/>
    <w:rPr>
      <w:rFonts w:ascii="Helvetica" w:cs="Helvetica" w:eastAsia="MS Mincho" w:hAnsi="Helvetica"/>
      <w:b/>
      <w:bCs/>
      <w:sz w:val="20"/>
      <w:szCs w:val="20"/>
      <w:lang w:val="fr-FR"/>
    </w:rPr>
  </w:style>
  <w:style w:type="character" w:customStyle="1" w:styleId="style4098">
    <w:name w:val="Heading 4 Char_3e710915-4ae8-4d8f-8c32-60de173a846d"/>
    <w:next w:val="style4098"/>
    <w:link w:val="style4"/>
    <w:rPr>
      <w:rFonts w:ascii="Arial Unicode MS" w:cs="Arial Unicode MS" w:eastAsia="Arial Unicode MS" w:hAnsi="Arial Unicode MS"/>
      <w:b/>
      <w:bCs/>
      <w:sz w:val="24"/>
      <w:szCs w:val="24"/>
      <w:lang w:val="en-US"/>
    </w:rPr>
  </w:style>
  <w:style w:type="paragraph" w:styleId="style94">
    <w:name w:val="Normal (Web)"/>
    <w:basedOn w:val="style0"/>
    <w:next w:val="style94"/>
    <w:pPr>
      <w:spacing w:before="100" w:beforeAutospacing="true" w:after="100" w:afterAutospacing="true"/>
    </w:pPr>
    <w:rPr>
      <w:rFonts w:ascii="Arial Unicode MS" w:cs="Arial Unicode MS" w:eastAsia="Arial Unicode MS" w:hAnsi="Arial Unicode MS"/>
    </w:rPr>
  </w:style>
  <w:style w:type="paragraph" w:styleId="style66">
    <w:name w:val="Body Text"/>
    <w:basedOn w:val="style0"/>
    <w:next w:val="style66"/>
    <w:link w:val="style4099"/>
    <w:pPr>
      <w:jc w:val="both"/>
    </w:pPr>
    <w:rPr>
      <w:rFonts w:ascii="Helvetica" w:eastAsia="MS Mincho" w:hAnsi="Helvetica"/>
      <w:lang w:val="fr-FR"/>
    </w:rPr>
  </w:style>
  <w:style w:type="character" w:customStyle="1" w:styleId="style4099">
    <w:name w:val="Body Text Char"/>
    <w:next w:val="style4099"/>
    <w:link w:val="style66"/>
    <w:rPr>
      <w:rFonts w:ascii="Helvetica" w:cs="Helvetica" w:eastAsia="MS Mincho" w:hAnsi="Helvetica"/>
      <w:sz w:val="24"/>
      <w:szCs w:val="24"/>
      <w:lang w:val="fr-FR"/>
    </w:rPr>
  </w:style>
  <w:style w:type="paragraph" w:styleId="style31">
    <w:name w:val="header"/>
    <w:basedOn w:val="style0"/>
    <w:next w:val="style31"/>
    <w:link w:val="style4100"/>
    <w:uiPriority w:val="99"/>
    <w:pPr>
      <w:tabs>
        <w:tab w:val="center" w:leader="none" w:pos="4680"/>
        <w:tab w:val="right" w:leader="none" w:pos="9360"/>
      </w:tabs>
    </w:pPr>
    <w:rPr/>
  </w:style>
  <w:style w:type="character" w:customStyle="1" w:styleId="style4100">
    <w:name w:val="Header Char_c35e004f-844c-4248-a7c6-f987cedbc87d"/>
    <w:next w:val="style4100"/>
    <w:link w:val="style31"/>
    <w:uiPriority w:val="99"/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tyle32">
    <w:name w:val="footer"/>
    <w:basedOn w:val="style0"/>
    <w:next w:val="style32"/>
    <w:link w:val="style4101"/>
    <w:uiPriority w:val="99"/>
    <w:pPr>
      <w:tabs>
        <w:tab w:val="center" w:leader="none" w:pos="4513"/>
        <w:tab w:val="right" w:leader="none" w:pos="9026"/>
      </w:tabs>
    </w:pPr>
    <w:rPr/>
  </w:style>
  <w:style w:type="character" w:customStyle="1" w:styleId="style4101">
    <w:name w:val="Footer Char_ed869dd8-7102-4888-9570-32ebe77a8ea8"/>
    <w:next w:val="style4101"/>
    <w:link w:val="style32"/>
    <w:uiPriority w:val="99"/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style85">
    <w:name w:val="Hyperlink"/>
    <w:next w:val="style85"/>
    <w:uiPriority w:val="99"/>
    <w:rPr>
      <w:color w:val="0000ff"/>
      <w:u w:val="single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178">
    <w:name w:val="Revision"/>
    <w:next w:val="style178"/>
    <w:uiPriority w:val="99"/>
    <w:pPr/>
    <w:rPr>
      <w:sz w:val="22"/>
      <w:szCs w:val="22"/>
      <w:lang w:val="en-US" w:eastAsia="en-US"/>
    </w:rPr>
  </w:style>
  <w:style w:type="character" w:styleId="style86">
    <w:name w:val="FollowedHyperlink"/>
    <w:next w:val="style86"/>
    <w:uiPriority w:val="99"/>
    <w:rPr>
      <w:color w:val="800080"/>
      <w:u w:val="single"/>
    </w:rPr>
  </w:style>
  <w:style w:type="table" w:styleId="style154">
    <w:name w:val="Table Grid"/>
    <w:basedOn w:val="style105"/>
    <w:next w:val="style154"/>
    <w:uiPriority w:val="59"/>
    <w:pPr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Borders/>
    </w:tcPr>
  </w:style>
  <w:style w:type="character" w:customStyle="1" w:styleId="style4102">
    <w:name w:val="Nicht aufgelöste Erwähnung"/>
    <w:next w:val="style4102"/>
    <w:uiPriority w:val="99"/>
    <w:rPr>
      <w:color w:val="605e5c"/>
      <w:shd w:val="clear" w:color="auto" w:fill="e1dfdd"/>
    </w:rPr>
  </w:style>
  <w:style w:type="character" w:customStyle="1" w:styleId="style4103">
    <w:name w:val="Unresolved Mention"/>
    <w:next w:val="style4103"/>
    <w:uiPriority w:val="99"/>
    <w:rPr>
      <w:color w:val="605e5c"/>
      <w:shd w:val="clear" w:color="auto" w:fill="e1dfdd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Words>965</Words>
  <Pages>2</Pages>
  <Characters>5042</Characters>
  <Application>WPS Office</Application>
  <DocSecurity>0</DocSecurity>
  <Paragraphs>187</Paragraphs>
  <ScaleCrop>false</ScaleCrop>
  <LinksUpToDate>false</LinksUpToDate>
  <CharactersWithSpaces>5929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2026-03-24T06:15:00Z</dcterms:created>
  <dc:creator>Surojit Bera</dc:creator>
  <lastModifiedBy>I2301</lastModifiedBy>
  <dcterms:modified xsi:type="dcterms:W3CDTF">2026-04-17T09:25:43Z</dcterms:modified>
  <revision>30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dc1d551fd81c4ba6b25629349e1178a0</vt:lpwstr>
  </property>
</Properties>
</file>