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shd w:val="clear" w:color="auto" w:fill="auto"/>
          </w:tcPr>
          <w:p>
            <w:pPr>
              <w:pStyle w:val="style0"/>
              <w:rPr>
                <w:b/>
                <w:bCs/>
                <w:color w:val="0000ff"/>
                <w:sz w:val="20"/>
                <w:szCs w:val="20"/>
                <w:lang w:val="en-GB"/>
              </w:rPr>
            </w:pPr>
            <w:r>
              <w:rPr/>
              <w:fldChar w:fldCharType="begin"/>
            </w:r>
            <w:r>
              <w:instrText xml:space="preserve"> HYPERLINK "https://journalajcrs.com/" </w:instrText>
            </w:r>
            <w:r>
              <w:rPr/>
              <w:fldChar w:fldCharType="separate"/>
            </w:r>
            <w:r>
              <w:rPr>
                <w:rFonts w:ascii="Tahoma" w:cs="Tahoma" w:hAnsi="Tahoma"/>
                <w:color w:val="0f4c82"/>
                <w:u w:val="single"/>
                <w:bdr w:val="none" w:sz="0" w:space="0" w:color="auto" w:frame="true"/>
              </w:rPr>
              <w:t>Asian Journal of Case Reports in Surgery</w:t>
            </w:r>
            <w:r>
              <w:rPr/>
              <w:fldChar w:fldCharType="end"/>
            </w:r>
            <w:r>
              <w:rPr>
                <w:rFonts w:ascii="Tahoma" w:cs="Tahoma" w:hAnsi="Tahoma"/>
                <w:color w:val="1a1a1a"/>
                <w:shd w:val="clear" w:color="auto" w:fill="ffffff"/>
              </w:rPr>
              <w:t> </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shd w:val="clear" w:color="auto" w:fill="auto"/>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Ms_AJCRS_156967</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TRANSDUCTAL SIALOLITHOTOMY: MINIMALLY INVASIVE APPROACH FOR SUBMANDIBULAR DUCT SIALOLITH - A CASE REPORT</w:t>
            </w:r>
          </w:p>
        </w:tc>
      </w:tr>
      <w:tr>
        <w:tblPrEx/>
        <w:trPr>
          <w:trHeight w:val="20" w:hRule="atLeast"/>
          <w:jc w:val="center"/>
        </w:trPr>
        <w:tc>
          <w:tcPr>
            <w:tcW w:w="1186" w:type="pct"/>
            <w:tcBorders/>
            <w:shd w:val="clear" w:color="auto" w:fill="auto"/>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shd w:val="clear" w:color="auto" w:fill="auto"/>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style94"/>
              <w:spacing w:before="0" w:beforeAutospacing="false" w:after="0" w:afterAutospacing="false"/>
              <w:rPr>
                <w:rFonts w:ascii="Times New Roman" w:cs="Times New Roman" w:hAnsi="Times New Roman"/>
                <w:b/>
                <w:sz w:val="20"/>
                <w:szCs w:val="28"/>
                <w:lang w:val="en-GB"/>
              </w:rPr>
            </w:pPr>
          </w:p>
        </w:tc>
      </w:tr>
    </w:tbl>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sz w:val="22"/>
          <w:szCs w:val="20"/>
          <w:lang w:val="en-GB"/>
        </w:rPr>
      </w:pPr>
    </w:p>
    <w:p>
      <w:pPr>
        <w:pStyle w:val="style66"/>
        <w:rPr>
          <w:rFonts w:ascii="Times New Roman" w:hAnsi="Times New Roman"/>
          <w:sz w:val="22"/>
          <w:szCs w:val="20"/>
          <w:lang w:val="en-GB"/>
        </w:rPr>
      </w:pPr>
    </w:p>
    <w:p>
      <w:pPr>
        <w:pStyle w:val="style6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style66"/>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trPr>
          <w:trHeight w:val="20" w:hRule="atLeast"/>
          <w:jc w:val="center"/>
        </w:trPr>
        <w:tc>
          <w:tcPr>
            <w:tcW w:w="1789" w:type="pct"/>
            <w:tcBorders/>
            <w:shd w:val="clear" w:color="auto" w:fill="auto"/>
            <w:noWrap/>
          </w:tcPr>
          <w:p>
            <w:pPr>
              <w:pStyle w:val="style2"/>
              <w:jc w:val="left"/>
              <w:rPr>
                <w:rFonts w:ascii="Times New Roman" w:hAnsi="Times New Roman"/>
                <w:lang w:val="en-GB" w:eastAsia="en-US"/>
              </w:rPr>
            </w:pPr>
          </w:p>
        </w:tc>
        <w:tc>
          <w:tcPr>
            <w:tcW w:w="1844"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shd w:val="clear" w:color="auto" w:fill="auto"/>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20" w:hRule="atLeast"/>
          <w:jc w:val="center"/>
        </w:trPr>
        <w:tc>
          <w:tcPr>
            <w:tcW w:w="1789" w:type="pct"/>
            <w:tcBorders/>
            <w:shd w:val="clear" w:color="auto" w:fill="auto"/>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shd w:val="clear" w:color="auto" w:fill="auto"/>
          </w:tcPr>
          <w:p>
            <w:pPr>
              <w:pStyle w:val="style179"/>
              <w:ind w:left="0"/>
              <w:rPr>
                <w:b/>
                <w:bCs/>
                <w:sz w:val="20"/>
                <w:szCs w:val="20"/>
                <w:lang w:val="en-GB"/>
              </w:rPr>
            </w:pPr>
            <w:r>
              <w:rPr>
                <w:b/>
                <w:bCs/>
                <w:sz w:val="20"/>
                <w:szCs w:val="20"/>
                <w:lang w:val="en-GB"/>
              </w:rPr>
              <w:t xml:space="preserve">Despite literature is full of articles describing the efficacy of minimally invasive approach for submandibular duct sialolith with high sample sizes, however the current case </w:t>
            </w:r>
            <w:r>
              <w:rPr>
                <w:b/>
                <w:bCs/>
                <w:sz w:val="20"/>
                <w:szCs w:val="20"/>
                <w:lang w:val="en-GB"/>
              </w:rPr>
              <w:t>report  is</w:t>
            </w:r>
            <w:r>
              <w:rPr>
                <w:b/>
                <w:bCs/>
                <w:sz w:val="20"/>
                <w:szCs w:val="20"/>
                <w:lang w:val="en-GB"/>
              </w:rPr>
              <w:t xml:space="preserve"> well presented. </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We acknowledge the reviewer’s comment that literature already contains several studies on minimally invasive management of submandibular duct sialolithiasis. However, our intention in presenting this case report is to highlight the successful use of transductal sialolithotomy in a practical clinical setting, emphasizing patient selection, surgical steps, and favorable postoperative outcome. We believe this report adds educational value, especially for clinicians in institutions with limited access to advanced sialendoscopy facilities.</w:t>
            </w:r>
          </w:p>
        </w:tc>
      </w:tr>
    </w:tbl>
    <w:p>
      <w:pPr>
        <w:pStyle w:val="style0"/>
        <w:rPr>
          <w:sz w:val="22"/>
          <w:szCs w:val="20"/>
          <w:lang w:val="en-GB"/>
        </w:rPr>
      </w:pPr>
    </w:p>
    <w:p>
      <w:pPr>
        <w:pStyle w:val="style0"/>
        <w:rPr>
          <w:sz w:val="22"/>
          <w:szCs w:val="20"/>
          <w:lang w:val="en-GB"/>
        </w:rPr>
      </w:pPr>
    </w:p>
    <w:p>
      <w:pPr>
        <w:pStyle w:val="style0"/>
        <w:rPr>
          <w:sz w:val="22"/>
          <w:szCs w:val="20"/>
          <w:lang w:val="en-GB"/>
        </w:rPr>
      </w:pPr>
    </w:p>
    <w:p>
      <w:pPr>
        <w:pStyle w:val="styl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pPr>
        <w:pStyle w:val="style0"/>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trPr>
          <w:trHeight w:val="20" w:hRule="atLeast"/>
          <w:tblHeader/>
          <w:jc w:val="center"/>
        </w:trPr>
        <w:tc>
          <w:tcPr>
            <w:tcW w:w="1790" w:type="pct"/>
            <w:tcBorders/>
            <w:shd w:val="clear" w:color="auto" w:fill="auto"/>
            <w:noWrap/>
          </w:tcPr>
          <w:p>
            <w:pPr>
              <w:pStyle w:val="style2"/>
              <w:jc w:val="left"/>
              <w:rPr>
                <w:rFonts w:ascii="Times New Roman" w:hAnsi="Times New Roman"/>
                <w:lang w:val="en-GB" w:eastAsia="en-US"/>
              </w:rPr>
            </w:pPr>
          </w:p>
        </w:tc>
        <w:tc>
          <w:tcPr>
            <w:tcW w:w="1843"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Rating of the Reviewers</w:t>
            </w:r>
          </w:p>
        </w:tc>
        <w:tc>
          <w:tcPr>
            <w:tcW w:w="1367" w:type="pct"/>
            <w:tcBorders/>
            <w:shd w:val="clear" w:color="auto" w:fill="auto"/>
          </w:tcPr>
          <w:p>
            <w:pPr>
              <w:pStyle w:val="style0"/>
              <w:spacing w:after="160" w:lineRule="auto" w:line="259"/>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790" w:type="pct"/>
            <w:tcBorders/>
            <w:shd w:val="clear" w:color="auto" w:fill="auto"/>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Satisfactory </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Thank you for finding the title suitable. We have retained the title with minor grammatical refinement for clarity.</w:t>
            </w: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Excellent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Satisfactory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Satisfactory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0"/>
              <w:ind w:left="360"/>
              <w:rPr>
                <w:b/>
                <w:bCs/>
                <w:sz w:val="20"/>
                <w:szCs w:val="20"/>
                <w:lang w:val="en-GB"/>
              </w:rPr>
            </w:pPr>
            <w:r>
              <w:rPr>
                <w:b/>
                <w:bCs/>
                <w:sz w:val="20"/>
                <w:szCs w:val="20"/>
                <w:lang w:val="en-GB"/>
              </w:rPr>
              <w:t xml:space="preserve">Poor </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Thank you for raising this important point. We have now clearly mentioned that informed patient consent was obtained for treatment and publication of clinical details/images. Ethical considerations have been added in the revised manuscript.</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Excellent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Excellent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Poor </w:t>
            </w:r>
          </w:p>
        </w:tc>
        <w:tc>
          <w:tcPr>
            <w:tcW w:w="1367"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We agree with the reviewer. A separate paragraph discussing limitations of a single-case report, lack of long-term follow-up, and inability to generalize findings has now been included.</w:t>
            </w: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Good </w:t>
            </w:r>
          </w:p>
        </w:tc>
        <w:tc>
          <w:tcPr>
            <w:tcW w:w="1367"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shd w:val="clear" w:color="auto" w:fill="auto"/>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shd w:val="clear" w:color="auto" w:fill="auto"/>
          </w:tcPr>
          <w:p>
            <w:pPr>
              <w:pStyle w:val="style179"/>
              <w:ind w:left="0"/>
              <w:rPr>
                <w:bCs/>
                <w:sz w:val="20"/>
                <w:szCs w:val="20"/>
                <w:lang w:val="en-GB"/>
              </w:rPr>
            </w:pPr>
            <w:r>
              <w:rPr>
                <w:bCs/>
                <w:sz w:val="20"/>
                <w:szCs w:val="20"/>
                <w:lang w:val="en-GB"/>
              </w:rPr>
              <w:t xml:space="preserve">Excellent </w:t>
            </w:r>
          </w:p>
        </w:tc>
        <w:tc>
          <w:tcPr>
            <w:tcW w:w="1367" w:type="pct"/>
            <w:tcBorders/>
            <w:shd w:val="clear" w:color="auto" w:fill="auto"/>
          </w:tcPr>
          <w:p>
            <w:pPr>
              <w:pStyle w:val="style2"/>
              <w:jc w:val="left"/>
              <w:rPr>
                <w:rFonts w:ascii="Times New Roman" w:hAnsi="Times New Roman"/>
                <w:b w:val="false"/>
                <w:lang w:val="en-GB" w:eastAsia="en-US"/>
              </w:rPr>
            </w:pP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p>
        </w:tc>
        <w:tc>
          <w:tcPr>
            <w:tcW w:w="1786" w:type="pct"/>
            <w:tcBorders/>
            <w:shd w:val="clear" w:color="auto" w:fill="auto"/>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sz w:val="22"/>
                <w:szCs w:val="22"/>
                <w:lang w:val="en-GB"/>
              </w:rPr>
            </w:pPr>
          </w:p>
        </w:tc>
        <w:tc>
          <w:tcPr>
            <w:tcW w:w="1543" w:type="pct"/>
            <w:tcBorders/>
            <w:shd w:val="clear" w:color="auto" w:fill="auto"/>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sz w:val="22"/>
                <w:szCs w:val="22"/>
                <w:u w:val="single"/>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ind w:left="360"/>
              <w:rPr>
                <w:b/>
                <w:bCs/>
                <w:sz w:val="20"/>
                <w:szCs w:val="20"/>
                <w:lang w:val="en-GB"/>
              </w:rPr>
            </w:pPr>
            <w:r>
              <w:rPr>
                <w:b/>
                <w:bCs/>
                <w:sz w:val="20"/>
                <w:szCs w:val="20"/>
                <w:lang w:val="en-GB"/>
              </w:rPr>
              <w:t xml:space="preserve">Yes </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rPr>
                <w:bCs/>
                <w:sz w:val="20"/>
                <w:szCs w:val="20"/>
                <w:lang w:val="en-GB"/>
              </w:rPr>
            </w:pPr>
          </w:p>
          <w:p>
            <w:pPr>
              <w:pStyle w:val="style0"/>
              <w:rPr>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0"/>
              <w:ind w:left="360"/>
              <w:rPr>
                <w:b/>
                <w:bCs/>
                <w:sz w:val="20"/>
                <w:szCs w:val="20"/>
                <w:lang w:val="en-GB"/>
              </w:rPr>
            </w:pPr>
            <w:r>
              <w:rPr>
                <w:b/>
                <w:bCs/>
                <w:sz w:val="20"/>
                <w:szCs w:val="20"/>
                <w:lang w:val="en-GB"/>
              </w:rPr>
              <w:t xml:space="preserve">Yes </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2"/>
              <w:jc w:val="left"/>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rPr>
                <w:b/>
                <w:sz w:val="22"/>
                <w:szCs w:val="22"/>
                <w:lang w:val="en-GB"/>
              </w:rPr>
            </w:pPr>
            <w:r>
              <w:rPr>
                <w:bCs/>
                <w:sz w:val="20"/>
                <w:szCs w:val="20"/>
                <w:lang w:val="en-GB"/>
              </w:rPr>
              <w:t>If your answer is NO, please provide a brief, clear suggestion for improvement.</w:t>
            </w:r>
          </w:p>
        </w:tc>
        <w:tc>
          <w:tcPr>
            <w:tcW w:w="1786" w:type="pct"/>
            <w:tcBorders/>
            <w:shd w:val="clear" w:color="auto" w:fill="auto"/>
          </w:tcPr>
          <w:p>
            <w:pPr>
              <w:pStyle w:val="style179"/>
              <w:ind w:left="0"/>
              <w:rPr>
                <w:bCs/>
                <w:sz w:val="20"/>
                <w:szCs w:val="20"/>
                <w:lang w:val="en-GB"/>
              </w:rPr>
            </w:pPr>
            <w:r>
              <w:rPr>
                <w:bCs/>
                <w:sz w:val="20"/>
                <w:szCs w:val="20"/>
                <w:lang w:val="en-GB"/>
              </w:rPr>
              <w:t xml:space="preserve">No </w:t>
            </w:r>
          </w:p>
          <w:p>
            <w:pPr>
              <w:pStyle w:val="style179"/>
              <w:ind w:left="0"/>
              <w:rPr>
                <w:bCs/>
                <w:sz w:val="20"/>
                <w:szCs w:val="20"/>
                <w:lang w:val="en-GB"/>
              </w:rPr>
            </w:pPr>
            <w:r>
              <w:rPr>
                <w:bCs/>
                <w:sz w:val="20"/>
                <w:szCs w:val="20"/>
                <w:lang w:val="en-GB"/>
              </w:rPr>
              <w:t xml:space="preserve">Because literature is full of studies with huge sample size. Unless this procedure is new in the institution where the author is practicing, </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shd w:val="clear" w:color="auto" w:fill="auto"/>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
                <w:bCs/>
                <w:sz w:val="20"/>
                <w:szCs w:val="20"/>
                <w:lang w:val="en-GB"/>
              </w:rPr>
            </w:pPr>
            <w:r>
              <w:rPr>
                <w:bCs/>
                <w:sz w:val="20"/>
                <w:szCs w:val="20"/>
                <w:lang w:val="en-GB"/>
              </w:rPr>
              <w:t>If your answer is NO, please provide clear suggestion for improvement.</w:t>
            </w:r>
          </w:p>
        </w:tc>
        <w:tc>
          <w:tcPr>
            <w:tcW w:w="1786" w:type="pct"/>
            <w:tcBorders/>
            <w:shd w:val="clear" w:color="auto" w:fill="auto"/>
          </w:tcPr>
          <w:p>
            <w:pPr>
              <w:pStyle w:val="style179"/>
              <w:ind w:left="0"/>
              <w:rPr>
                <w:bCs/>
                <w:sz w:val="20"/>
                <w:szCs w:val="20"/>
                <w:lang w:val="en-GB"/>
              </w:rPr>
            </w:pPr>
            <w:r>
              <w:rPr>
                <w:bCs/>
                <w:sz w:val="20"/>
                <w:szCs w:val="20"/>
                <w:lang w:val="en-GB"/>
              </w:rPr>
              <w:t xml:space="preserve">Yes </w:t>
            </w:r>
          </w:p>
        </w:tc>
        <w:tc>
          <w:tcPr>
            <w:tcW w:w="1543" w:type="pct"/>
            <w:tcBorders/>
            <w:shd w:val="clear" w:color="auto" w:fill="auto"/>
          </w:tcPr>
          <w:p>
            <w:pPr>
              <w:pStyle w:val="style2"/>
              <w:jc w:val="left"/>
              <w:rPr>
                <w:rFonts w:ascii="Times New Roman" w:hAnsi="Times New Roman"/>
                <w:b w:val="false"/>
                <w:lang w:val="en-GB" w:eastAsia="en-US"/>
              </w:rPr>
            </w:pPr>
          </w:p>
        </w:tc>
      </w:tr>
      <w:tr>
        <w:tblPrEx/>
        <w:trPr>
          <w:trHeight w:val="896" w:hRule="atLeast"/>
          <w:jc w:val="center"/>
        </w:trPr>
        <w:tc>
          <w:tcPr>
            <w:tcW w:w="1672" w:type="pct"/>
            <w:tcBorders/>
            <w:shd w:val="clear" w:color="auto" w:fill="auto"/>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786" w:type="pct"/>
            <w:tcBorders/>
            <w:shd w:val="clear" w:color="auto" w:fill="auto"/>
          </w:tcPr>
          <w:p>
            <w:pPr>
              <w:pStyle w:val="style179"/>
              <w:ind w:left="0"/>
              <w:rPr>
                <w:bCs/>
                <w:sz w:val="20"/>
                <w:szCs w:val="20"/>
                <w:lang w:val="en-GB"/>
              </w:rPr>
            </w:pPr>
            <w:r>
              <w:rPr>
                <w:bCs/>
                <w:sz w:val="20"/>
                <w:szCs w:val="20"/>
                <w:lang w:val="en-GB"/>
              </w:rPr>
              <w:t>No</w:t>
            </w:r>
          </w:p>
        </w:tc>
        <w:tc>
          <w:tcPr>
            <w:tcW w:w="1543" w:type="pct"/>
            <w:tcBorders/>
            <w:shd w:val="clear" w:color="auto" w:fill="auto"/>
          </w:tcPr>
          <w:p>
            <w:pPr>
              <w:pStyle w:val="style2"/>
              <w:jc w:val="left"/>
              <w:rPr>
                <w:rFonts w:ascii="Times New Roman" w:hAnsi="Times New Roman"/>
                <w:b w:val="false"/>
                <w:lang w:val="en-GB" w:eastAsia="en-US"/>
              </w:rPr>
            </w:pPr>
            <w:r>
              <w:rPr>
                <w:rFonts w:ascii="Times New Roman" w:hAnsi="Times New Roman"/>
                <w:b w:val="false"/>
                <w:lang w:val="en-GB" w:eastAsia="en-US"/>
              </w:rPr>
              <w:t>Informed patient consent was obtained. Patient confidentiality was maintained. The author declares no conflict of interest, and the manuscript is original and not under consideration elsewhere.</w:t>
            </w:r>
          </w:p>
        </w:tc>
      </w:tr>
    </w:tbl>
    <w:p>
      <w:pPr>
        <w:pStyle w:val="style2"/>
        <w:jc w:val="left"/>
        <w:rPr>
          <w:rFonts w:ascii="Times New Roman" w:hAnsi="Times New Roman"/>
          <w:highlight w:val="yellow"/>
          <w:lang w:val="en-GB" w:eastAsia="en-US"/>
        </w:rPr>
      </w:pPr>
    </w:p>
    <w:p>
      <w:pPr>
        <w:pStyle w:val="style0"/>
        <w:rPr>
          <w:highlight w:val="yellow"/>
          <w:lang w:val="en-GB"/>
        </w:rPr>
      </w:pPr>
    </w:p>
    <w:p>
      <w:pPr>
        <w:pStyle w:val="style0"/>
        <w:rPr>
          <w:highlight w:val="yellow"/>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p>
    <w:p>
      <w:pPr>
        <w:pStyle w:val="style94"/>
        <w:spacing w:before="0" w:beforeAutospacing="false" w:after="0" w:afterAutospacing="false"/>
        <w:rPr>
          <w:rFonts w:ascii="Times New Roman" w:cs="Times New Roman" w:hAnsi="Times New Roman"/>
          <w:b/>
          <w:bCs/>
          <w:sz w:val="20"/>
          <w:szCs w:val="20"/>
          <w:highlight w:val="yellow"/>
          <w:u w:val="single"/>
          <w:lang w:val="en-GB"/>
        </w:rPr>
      </w:pPr>
      <w:r>
        <w:rPr>
          <w:rFonts w:ascii="Times New Roman" w:cs="Times New Roman" w:hAnsi="Times New Roman"/>
          <w:b/>
          <w:bCs/>
          <w:sz w:val="20"/>
          <w:szCs w:val="20"/>
          <w:highlight w:val="yellow"/>
          <w:u w:val="single"/>
          <w:lang w:val="en-GB"/>
        </w:rPr>
        <w:t xml:space="preserve">PART </w:t>
      </w:r>
      <w:r>
        <w:rPr>
          <w:rFonts w:ascii="Times New Roman" w:cs="Times New Roman" w:hAnsi="Times New Roman"/>
          <w:b/>
          <w:bCs/>
          <w:sz w:val="20"/>
          <w:szCs w:val="20"/>
          <w:highlight w:val="yellow"/>
          <w:u w:val="single"/>
          <w:lang w:val="en-GB"/>
        </w:rPr>
        <w:t>3</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trPr>
          <w:trHeight w:val="20" w:hRule="atLeast"/>
          <w:jc w:val="center"/>
        </w:trPr>
        <w:tc>
          <w:tcPr>
            <w:tcW w:w="5000" w:type="pct"/>
            <w:gridSpan w:val="2"/>
            <w:tcBorders/>
            <w:shd w:val="clear" w:color="auto" w:fill="auto"/>
            <w:noWrap/>
          </w:tcPr>
          <w:p>
            <w:pPr>
              <w:pStyle w:val="style94"/>
              <w:spacing w:before="0" w:beforeAutospacing="false" w:after="0" w:afterAutospacing="false"/>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style94"/>
              <w:spacing w:before="0" w:beforeAutospacing="false" w:after="0" w:afterAutospacing="false"/>
              <w:rPr>
                <w:rFonts w:ascii="Times New Roman" w:cs="Times New Roman" w:hAnsi="Times New Roman"/>
                <w:b/>
                <w:bCs/>
                <w:sz w:val="20"/>
                <w:szCs w:val="20"/>
                <w:u w:val="single"/>
                <w:lang w:val="en-GB"/>
              </w:rPr>
            </w:pPr>
          </w:p>
        </w:tc>
      </w:tr>
      <w:tr>
        <w:tblPrEx/>
        <w:trPr>
          <w:trHeight w:val="20" w:hRule="atLeast"/>
          <w:jc w:val="center"/>
        </w:trPr>
        <w:tc>
          <w:tcPr>
            <w:tcW w:w="2784" w:type="pct"/>
            <w:tcBorders/>
            <w:shd w:val="clear" w:color="auto" w:fill="auto"/>
            <w:noWrap/>
          </w:tcPr>
          <w:p>
            <w:pPr>
              <w:pStyle w:val="style94"/>
              <w:spacing w:before="0" w:beforeAutospacing="false" w:after="0" w:afterAutospacing="false"/>
              <w:rPr>
                <w:rFonts w:ascii="Times New Roman" w:cs="Times New Roman" w:hAnsi="Times New Roman"/>
                <w:sz w:val="20"/>
                <w:szCs w:val="20"/>
                <w:lang w:val="en-GB"/>
              </w:rPr>
            </w:pPr>
          </w:p>
        </w:tc>
        <w:tc>
          <w:tcPr>
            <w:tcW w:w="2216" w:type="pct"/>
            <w:tcBorders/>
            <w:shd w:val="clear" w:color="auto" w:fill="auto"/>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blPrEx/>
        <w:trPr>
          <w:trHeight w:val="20" w:hRule="atLeast"/>
          <w:jc w:val="center"/>
        </w:trPr>
        <w:tc>
          <w:tcPr>
            <w:tcW w:w="2784" w:type="pct"/>
            <w:tcBorders/>
            <w:shd w:val="clear" w:color="auto" w:fill="auto"/>
            <w:noWrap/>
          </w:tcPr>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p>
          <w:p>
            <w:pPr>
              <w:pStyle w:val="style94"/>
              <w:spacing w:before="0" w:beforeAutospacing="false" w:after="0" w:afterAutospacing="false"/>
              <w:rPr>
                <w:rFonts w:ascii="Times New Roman" w:cs="Times New Roman" w:hAnsi="Times New Roman"/>
                <w:sz w:val="20"/>
                <w:szCs w:val="20"/>
                <w:lang w:val="en-GB"/>
              </w:rPr>
            </w:pPr>
            <w:r>
              <w:rPr>
                <w:rFonts w:ascii="Times New Roman" w:cs="Times New Roman" w:hAnsi="Times New Roman"/>
                <w:sz w:val="20"/>
                <w:szCs w:val="20"/>
                <w:lang w:val="en-GB"/>
              </w:rPr>
              <w:t>This case report will add little value to the existing literature</w:t>
            </w:r>
          </w:p>
          <w:p>
            <w:pPr>
              <w:pStyle w:val="style94"/>
              <w:spacing w:before="0" w:beforeAutospacing="false" w:after="0" w:afterAutospacing="false"/>
              <w:rPr>
                <w:rFonts w:ascii="Times New Roman" w:cs="Times New Roman" w:hAnsi="Times New Roman"/>
                <w:sz w:val="20"/>
                <w:szCs w:val="20"/>
                <w:lang w:val="en-GB"/>
              </w:rPr>
            </w:pPr>
          </w:p>
        </w:tc>
        <w:tc>
          <w:tcPr>
            <w:tcW w:w="2216" w:type="pct"/>
            <w:tcBorders/>
            <w:shd w:val="clear" w:color="auto" w:fill="auto"/>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US"/>
              </w:rPr>
              <w:t>This case report will add little value to the existing literature”</w:t>
            </w:r>
          </w:p>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US"/>
              </w:rPr>
              <w:t>We respectfully acknowledge this opinion. However, we believe the manuscript contributes practical value by demonstrating a minimally invasive, cost-effective approach in routine clinical practice where advanced technologies may not be available. It may encourage clinicians to consider conservative surgical management in selected cases.</w:t>
            </w:r>
          </w:p>
        </w:tc>
      </w:tr>
    </w:tbl>
    <w:p>
      <w:pPr>
        <w:pStyle w:val="style0"/>
        <w:rPr>
          <w:rFonts w:eastAsia="Arial Unicode MS"/>
          <w:b/>
          <w:bCs/>
          <w:sz w:val="20"/>
          <w:szCs w:val="20"/>
          <w:u w:val="single"/>
          <w:lang w:val="en-GB"/>
        </w:rPr>
      </w:pPr>
    </w:p>
    <w:p>
      <w:pPr>
        <w:pStyle w:val="style0"/>
        <w:rPr>
          <w:rFonts w:eastAsia="Arial Unicode MS"/>
          <w:b/>
          <w:bCs/>
          <w:sz w:val="20"/>
          <w:szCs w:val="20"/>
          <w:u w:val="single"/>
          <w:lang w:val="en-GB"/>
        </w:rPr>
      </w:pPr>
    </w:p>
    <w:bookmarkStart w:id="0" w:name="_GoBack"/>
    <w:bookmarkEnd w:id="0"/>
    <w:p>
      <w:pPr>
        <w:pStyle w:val="style0"/>
        <w:rPr>
          <w:rFonts w:eastAsia="Arial Unicode MS"/>
          <w:b/>
          <w:bCs/>
          <w:sz w:val="20"/>
          <w:szCs w:val="20"/>
          <w:u w:val="single"/>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0030204"/>
    <w:charset w:val="00"/>
    <w:family w:val="swiss"/>
    <w:pitch w:val="variable"/>
    <w:sig w:usb0="E4002EFF" w:usb1="C2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Yu Gothic"/>
    <w:panose1 w:val="020b0604020000020204"/>
    <w:charset w:val="80"/>
    <w:family w:val="swiss"/>
    <w:pitch w:val="variable"/>
    <w:sig w:usb0="F7FFAFFF" w:usb1="E9DFFFFF" w:usb2="0000003F" w:usb3="00000000" w:csb0="003F01FF" w:csb1="00000000"/>
  </w:font>
  <w:font w:name="Tahoma">
    <w:altName w:val="Tahoma"/>
    <w:panose1 w:val="020b0604030000040204"/>
    <w:charset w:val="00"/>
    <w:family w:val="swiss"/>
    <w:pitch w:val="variable"/>
    <w:sig w:usb0="E1002EFF" w:usb1="C000605B" w:usb2="00000029" w:usb3="00000000" w:csb0="000101FF" w:csb1="00000000"/>
  </w:font>
  <w:font w:name="Calibri Light">
    <w:altName w:val="Calibri Light"/>
    <w:panose1 w:val="020f0302020000030204"/>
    <w:charset w:val="00"/>
    <w:family w:val="swiss"/>
    <w:pitch w:val="variable"/>
    <w:sig w:usb0="E4002EFF" w:usb1="C200247B"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IN" w:bidi="ar-SA" w:eastAsia="en-IN"/>
      </w:rPr>
    </w:rPrDefault>
    <w:pPrDefault>
      <w:pPr/>
    </w:pPrDefault>
  </w:docDefaults>
  <w:style w:type="paragraph" w:default="1" w:styleId="style0">
    <w:name w:val="Normal"/>
    <w:next w:val="style0"/>
    <w:qFormat/>
    <w:pPr/>
    <w:rPr>
      <w:rFonts w:ascii="Times New Roman" w:eastAsia="Times New Roman" w:hAnsi="Times New Roman"/>
      <w:sz w:val="24"/>
      <w:szCs w:val="24"/>
      <w:lang w:val="en-US" w:eastAsia="en-US"/>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2d5c7e5e-e93c-465e-9061-7306aa17f685"/>
    <w:next w:val="style4097"/>
    <w:link w:val="style2"/>
    <w:rPr>
      <w:rFonts w:ascii="Helvetica" w:cs="Helvetica" w:eastAsia="MS Mincho" w:hAnsi="Helvetica"/>
      <w:b/>
      <w:bCs/>
      <w:sz w:val="20"/>
      <w:szCs w:val="20"/>
      <w:lang w:val="fr-FR"/>
    </w:rPr>
  </w:style>
  <w:style w:type="character" w:customStyle="1" w:styleId="style4098">
    <w:name w:val="Heading 4 Char_04f4341b-82cc-4964-b053-02784ff99892"/>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4f3c3693-a5cc-4385-ae82-cce1c1f1f5f1"/>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590cc11c-4aa8-49ac-9099-b5c57a800b7f"/>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lang w:val="en-US" w:eastAsia="en-US"/>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Words>999</Words>
  <Pages>2</Pages>
  <Characters>5158</Characters>
  <Application>WPS Office</Application>
  <DocSecurity>0</DocSecurity>
  <Paragraphs>206</Paragraphs>
  <ScaleCrop>false</ScaleCrop>
  <LinksUpToDate>false</LinksUpToDate>
  <CharactersWithSpaces>6095</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2026-03-24T06:15:00Z</dcterms:created>
  <dc:creator>Surojit Bera</dc:creator>
  <lastModifiedBy>I2301</lastModifiedBy>
  <dcterms:modified xsi:type="dcterms:W3CDTF">2026-04-17T09:36:23Z</dcterms:modified>
  <revision>18</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b5463068e1124a0ab22f3d3f0573030e</vt:lpwstr>
  </property>
</Properties>
</file>