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264895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4CD999E6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2F1EE1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Advanced Research and Reports</w:t>
            </w:r>
          </w:p>
        </w:tc>
      </w:tr>
      <w:tr w14:paraId="4D5AB1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498A9DEA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5D8E875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Ms_AJARR_156066</w:t>
            </w:r>
          </w:p>
        </w:tc>
      </w:tr>
      <w:tr w14:paraId="60AFD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2B4B57E0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476E806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Digital and Intelligent Empowerment for Precision Teaching: Paradigm Reconstruction of a "Process-oriented" Evaluation Model for Higher Mathematics Blended Teaching</w:t>
            </w:r>
          </w:p>
        </w:tc>
      </w:tr>
      <w:tr w14:paraId="1F83C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540F571F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B8E10F5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42D78E5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D67D55F">
      <w:pPr>
        <w:pStyle w:val="4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05547E">
      <w:pPr>
        <w:pStyle w:val="4"/>
        <w:rPr>
          <w:rFonts w:hint="eastAsia" w:ascii="Times New Roman" w:hAnsi="Times New Roman" w:eastAsia="等线"/>
          <w:sz w:val="22"/>
          <w:szCs w:val="20"/>
          <w:lang w:val="en-GB" w:eastAsia="zh-CN"/>
        </w:rPr>
      </w:pPr>
    </w:p>
    <w:p w14:paraId="418721F1">
      <w:pPr>
        <w:pStyle w:val="4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82DEEEB">
      <w:pPr>
        <w:pStyle w:val="4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3D7BE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15339B72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7DF1171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3AD229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416104A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44781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548B321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B0E0920">
            <w:pPr>
              <w:pStyle w:val="18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research work advocates for blended approach of teaching Higher Mathematics.</w:t>
            </w:r>
          </w:p>
          <w:p w14:paraId="6481103A">
            <w:pPr>
              <w:pStyle w:val="18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also emphasises digital literacy in teaching and learning of higher mathematics.</w:t>
            </w:r>
          </w:p>
          <w:p w14:paraId="465867CC">
            <w:pPr>
              <w:pStyle w:val="18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also reveals the need for progressive assessment in teaching and learning of higher mathematics.</w:t>
            </w:r>
          </w:p>
        </w:tc>
        <w:tc>
          <w:tcPr>
            <w:tcW w:w="1367" w:type="pct"/>
          </w:tcPr>
          <w:p w14:paraId="4892D812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your review. </w:t>
            </w:r>
            <w:r>
              <w:rPr>
                <w:rFonts w:hint="eastAsia" w:ascii="Times New Roman" w:hAnsi="Times New Roman" w:eastAsia="宋体"/>
                <w:b w:val="0"/>
                <w:lang w:val="en-US" w:eastAsia="zh-CN"/>
              </w:rPr>
              <w:t>I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have made the revisions as your suggestions and highlighted them in red.</w:t>
            </w:r>
          </w:p>
        </w:tc>
      </w:tr>
    </w:tbl>
    <w:p w14:paraId="4E3DED07">
      <w:pPr>
        <w:rPr>
          <w:sz w:val="22"/>
          <w:szCs w:val="20"/>
          <w:lang w:val="en-GB"/>
        </w:rPr>
      </w:pPr>
    </w:p>
    <w:p w14:paraId="77FE2E9E">
      <w:pPr>
        <w:rPr>
          <w:rFonts w:hint="eastAsia" w:eastAsia="等线"/>
          <w:sz w:val="22"/>
          <w:szCs w:val="20"/>
          <w:lang w:val="en-GB" w:eastAsia="zh-CN"/>
        </w:rPr>
      </w:pPr>
    </w:p>
    <w:p w14:paraId="6D4F5390">
      <w:pPr>
        <w:pStyle w:val="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745B85F">
      <w:pPr>
        <w:rPr>
          <w:sz w:val="28"/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2E1D7C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  <w:jc w:val="center"/>
        </w:trPr>
        <w:tc>
          <w:tcPr>
            <w:tcW w:w="1790" w:type="pct"/>
            <w:noWrap/>
          </w:tcPr>
          <w:p w14:paraId="68BECE21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AF6BBF9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696468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7C1F72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3C343B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AD6B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54FCD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73E3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E0E0D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517B59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D72A808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2A523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589B3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4693F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A783E2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2F9283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422B31F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23E5D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A0EAB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5880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379D18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00299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22C3014D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E15BD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2A24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B85E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0C47C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157E6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6E40437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48296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D5E4D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B96C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C7C3EB5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0E1F0D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2D6284E3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790D3E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1D294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C5F1D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DADB61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762FE3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8476C40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710B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00AF3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4DB1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951ABE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76890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26490E4A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BB5F0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C89FEF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AC7E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70480E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511428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231866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0FEA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978A0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97C3A0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38C617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1E02F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D65E0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57F3D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31CE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DC3BCD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 (Formula , on CR missing).</w:t>
            </w:r>
          </w:p>
        </w:tc>
        <w:tc>
          <w:tcPr>
            <w:tcW w:w="1367" w:type="pct"/>
          </w:tcPr>
          <w:p w14:paraId="11EF2249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eastAsia" w:ascii="Times New Roman" w:hAnsi="Times New Roman" w:eastAsia="宋体"/>
                <w:b w:val="0"/>
                <w:lang w:val="en-US" w:eastAsia="zh-CN"/>
              </w:rPr>
              <w:t>I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have supplemented the missing formulas in the </w:t>
            </w:r>
            <w:r>
              <w:rPr>
                <w:rFonts w:ascii="Times New Roman" w:hAnsi="Times New Roman" w:eastAsia="等线"/>
                <w:b w:val="0"/>
                <w:lang w:val="en-GB" w:eastAsia="zh-CN"/>
              </w:rPr>
              <w:t>manuscript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14:paraId="17C0D7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73E830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D9AB86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A24A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1F30F8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A65968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2F3152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C0F99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D764F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D44D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A24863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BFD3E8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101C1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22C91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2CF18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DBA0B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B06F95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4B5737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55E88C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2013734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3A1B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EF2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C36F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9704AA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9AB396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6479C7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56DC84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A8E3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259B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DDA1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99242F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0E164A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EF9E3BE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6C7462">
      <w:pPr>
        <w:pStyle w:val="4"/>
        <w:rPr>
          <w:rFonts w:hint="eastAsia" w:ascii="Times New Roman" w:hAnsi="Times New Roman" w:eastAsia="等线"/>
          <w:b/>
          <w:bCs/>
          <w:sz w:val="20"/>
          <w:szCs w:val="20"/>
          <w:u w:val="single"/>
          <w:lang w:val="en-GB" w:eastAsia="zh-CN"/>
        </w:rPr>
      </w:pPr>
    </w:p>
    <w:p w14:paraId="5FB9B0F6">
      <w:pPr>
        <w:pStyle w:val="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1C6B3A4">
      <w:pPr>
        <w:rPr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6"/>
        <w:gridCol w:w="4962"/>
        <w:gridCol w:w="4284"/>
      </w:tblGrid>
      <w:tr w14:paraId="1D5E56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noWrap/>
          </w:tcPr>
          <w:p w14:paraId="6EE69875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F73A057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1DAE95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3637AB1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AB796F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6EB6B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noWrap/>
          </w:tcPr>
          <w:p w14:paraId="472038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1EEA1A">
            <w:pPr>
              <w:rPr>
                <w:bCs/>
                <w:sz w:val="20"/>
                <w:szCs w:val="20"/>
                <w:lang w:val="en-GB"/>
              </w:rPr>
            </w:pPr>
          </w:p>
          <w:p w14:paraId="4F07C8A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8A892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609BD79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6D1A7E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noWrap/>
          </w:tcPr>
          <w:p w14:paraId="73A2CC66">
            <w:pPr>
              <w:pStyle w:val="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7886841">
            <w:pPr>
              <w:rPr>
                <w:bCs/>
                <w:sz w:val="20"/>
                <w:szCs w:val="20"/>
                <w:lang w:val="en-GB"/>
              </w:rPr>
            </w:pPr>
          </w:p>
          <w:p w14:paraId="5714618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3EF333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may not need headings.</w:t>
            </w:r>
          </w:p>
        </w:tc>
        <w:tc>
          <w:tcPr>
            <w:tcW w:w="1542" w:type="pct"/>
          </w:tcPr>
          <w:p w14:paraId="4A8BB7E4">
            <w:pPr>
              <w:pStyle w:val="2"/>
              <w:jc w:val="left"/>
              <w:rPr>
                <w:rFonts w:hint="eastAsia" w:ascii="Times New Roman" w:hAnsi="Times New Roman" w:eastAsia="等线"/>
                <w:b w:val="0"/>
                <w:lang w:val="en-GB" w:eastAsia="zh-CN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According to the requirements of the journal template, the abstract should be structured in a sub-section format such as aims, study design.</w:t>
            </w:r>
            <w:r>
              <w:rPr>
                <w:rFonts w:hint="eastAsia" w:ascii="Times New Roman" w:hAnsi="Times New Roman" w:eastAsia="等线"/>
                <w:b w:val="0"/>
                <w:lang w:val="en-GB" w:eastAsia="zh-CN"/>
              </w:rPr>
              <w:t xml:space="preserve"> </w:t>
            </w:r>
            <w:r>
              <w:rPr>
                <w:rFonts w:ascii="Times New Roman" w:hAnsi="Times New Roman" w:eastAsia="等线"/>
                <w:b w:val="0"/>
                <w:lang w:val="en-GB" w:eastAsia="zh-CN"/>
              </w:rPr>
              <w:t>The template requires it to be</w:t>
            </w:r>
            <w:r>
              <w:rPr>
                <w:rFonts w:hint="eastAsia" w:ascii="Times New Roman" w:hAnsi="Times New Roman" w:eastAsia="等线"/>
                <w:b w:val="0"/>
                <w:lang w:val="en-GB" w:eastAsia="zh-CN"/>
              </w:rPr>
              <w:t xml:space="preserve"> </w:t>
            </w:r>
            <w:r>
              <w:rPr>
                <w:rFonts w:ascii="Times New Roman" w:hAnsi="Times New Roman" w:eastAsia="等线"/>
                <w:b w:val="0"/>
                <w:lang w:val="en-GB" w:eastAsia="zh-CN"/>
              </w:rPr>
              <w:t>“Different sub-sections, as given below, should be used.”</w:t>
            </w:r>
          </w:p>
        </w:tc>
      </w:tr>
      <w:tr w14:paraId="4B2E1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noWrap/>
          </w:tcPr>
          <w:p w14:paraId="2C7576BC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 w:type="textWrapping"/>
            </w:r>
          </w:p>
          <w:p w14:paraId="3158D4D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7EA7EC5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A0E21A9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378328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72" w:type="pct"/>
            <w:noWrap/>
          </w:tcPr>
          <w:p w14:paraId="436504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57D8C7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83A028">
            <w:pPr>
              <w:rPr>
                <w:bCs/>
                <w:sz w:val="20"/>
                <w:szCs w:val="20"/>
                <w:lang w:val="en-GB"/>
              </w:rPr>
            </w:pPr>
          </w:p>
          <w:p w14:paraId="30A3E4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A93A7AE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D9490C9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183C7F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672" w:type="pct"/>
            <w:noWrap/>
          </w:tcPr>
          <w:p w14:paraId="3DC668B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FAAF82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D001184">
            <w:pPr>
              <w:rPr>
                <w:bCs/>
                <w:sz w:val="20"/>
                <w:szCs w:val="20"/>
                <w:lang w:val="en-GB"/>
              </w:rPr>
            </w:pPr>
          </w:p>
          <w:p w14:paraId="66ACEB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CA624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928F7B6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Taken care of</w:t>
            </w:r>
          </w:p>
        </w:tc>
        <w:tc>
          <w:tcPr>
            <w:tcW w:w="1542" w:type="pct"/>
          </w:tcPr>
          <w:p w14:paraId="33B3EA9E">
            <w:pPr>
              <w:pStyle w:val="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3F9CB62">
      <w:pPr>
        <w:pStyle w:val="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0FC64C5">
      <w:pPr>
        <w:rPr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5"/>
        <w:gridCol w:w="6157"/>
      </w:tblGrid>
      <w:tr w14:paraId="53846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2"/>
            <w:noWrap/>
          </w:tcPr>
          <w:p w14:paraId="6DB277D6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2AC3544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18259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4" w:type="pct"/>
            <w:noWrap/>
          </w:tcPr>
          <w:p w14:paraId="194C7777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58FC92E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14:paraId="611EE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84" w:type="pct"/>
            <w:noWrap/>
          </w:tcPr>
          <w:p w14:paraId="76510901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D354F1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F6E527A">
            <w:pPr>
              <w:pStyle w:val="7"/>
              <w:spacing w:before="0" w:beforeAutospacing="0" w:after="0" w:afterAutospacing="0"/>
              <w:rPr>
                <w:rFonts w:hint="eastAsia"/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 recommend the article for publication subject to those minor corrections.</w:t>
            </w:r>
          </w:p>
          <w:p w14:paraId="565F039C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61A6A17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0E64B5D9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2A3CD97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zh-CN"/>
              </w:rPr>
            </w:pPr>
          </w:p>
          <w:p w14:paraId="48A0EFDE">
            <w:pPr>
              <w:pStyle w:val="7"/>
              <w:spacing w:before="0" w:beforeAutospacing="0" w:after="0" w:afterAutospacing="0"/>
              <w:rPr>
                <w:rFonts w:hint="eastAsia" w:ascii="Times New Roman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Thank you for your review.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zh-CN"/>
              </w:rPr>
              <w:t xml:space="preserve"> have made the revisions as your suggestions and highlighted them in red.</w:t>
            </w:r>
          </w:p>
        </w:tc>
      </w:tr>
    </w:tbl>
    <w:p w14:paraId="14A55899">
      <w:pPr>
        <w:rPr>
          <w:rFonts w:eastAsia="Arial Unicode MS"/>
          <w:b/>
          <w:bCs/>
          <w:sz w:val="20"/>
          <w:szCs w:val="20"/>
          <w:u w:val="single"/>
          <w:lang w:val="en-GB" w:eastAsia="zh-CN"/>
        </w:rPr>
      </w:pPr>
    </w:p>
    <w:p w14:paraId="6E271E17">
      <w:pPr>
        <w:rPr>
          <w:rFonts w:hint="eastAsia" w:eastAsia="Arial Unicode MS"/>
          <w:b/>
          <w:bCs/>
          <w:sz w:val="20"/>
          <w:szCs w:val="20"/>
          <w:u w:val="single"/>
          <w:lang w:val="en-GB" w:eastAsia="zh-CN"/>
        </w:rPr>
      </w:pPr>
    </w:p>
    <w:p w14:paraId="2644A0DA">
      <w:pPr>
        <w:rPr>
          <w:rFonts w:ascii="Arial" w:hAnsi="Arial" w:eastAsia="Arial Unicode MS" w:cs="Arial"/>
          <w:b/>
          <w:sz w:val="20"/>
          <w:szCs w:val="20"/>
          <w:u w:val="single"/>
          <w:lang w:val="en-GB"/>
        </w:rPr>
      </w:pPr>
      <w:r>
        <w:rPr>
          <w:rFonts w:ascii="Arial" w:hAnsi="Arial" w:eastAsia="Arial Unicode MS" w:cs="Arial"/>
          <w:b/>
          <w:sz w:val="20"/>
          <w:szCs w:val="20"/>
          <w:highlight w:val="yellow"/>
          <w:u w:val="single"/>
          <w:lang w:val="en-GB"/>
        </w:rPr>
        <w:t>PART  3:</w:t>
      </w:r>
    </w:p>
    <w:p w14:paraId="31DB98A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7"/>
        <w:gridCol w:w="4428"/>
      </w:tblGrid>
      <w:tr w14:paraId="3AA1C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CD148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F7585FB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15AA9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38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1DA2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62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B3A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14:paraId="156D4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38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AE9B4">
            <w:pPr>
              <w:rPr>
                <w:sz w:val="20"/>
                <w:szCs w:val="20"/>
                <w:lang w:val="en-GB"/>
              </w:rPr>
            </w:pPr>
          </w:p>
          <w:p w14:paraId="4DF4745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361FC7D5">
            <w:pPr>
              <w:rPr>
                <w:sz w:val="20"/>
                <w:szCs w:val="20"/>
                <w:lang w:val="en-GB"/>
              </w:rPr>
            </w:pPr>
          </w:p>
          <w:p w14:paraId="7C41FFE1">
            <w:pPr>
              <w:rPr>
                <w:sz w:val="20"/>
                <w:szCs w:val="20"/>
                <w:lang w:val="en-GB"/>
              </w:rPr>
            </w:pPr>
          </w:p>
          <w:p w14:paraId="0B026236">
            <w:pPr>
              <w:rPr>
                <w:sz w:val="20"/>
                <w:szCs w:val="20"/>
                <w:lang w:val="en-GB"/>
              </w:rPr>
            </w:pPr>
          </w:p>
          <w:p w14:paraId="757E74A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Tytler, R., Anderson, J., &amp; Williams, G. (2023). Exploring a framework for integrated STEM: Challenges and benefits for promoting engagement in learning mathematics. ZDM–mathematics education, 55(7), 1299-1313.</w:t>
            </w:r>
          </w:p>
          <w:p w14:paraId="0F4F007E">
            <w:pPr>
              <w:rPr>
                <w:sz w:val="20"/>
                <w:szCs w:val="20"/>
                <w:lang w:val="en-GB"/>
              </w:rPr>
            </w:pPr>
          </w:p>
          <w:p w14:paraId="64D2AE2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62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EDEF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According to your suggestion,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I</w:t>
            </w:r>
            <w:r>
              <w:rPr>
                <w:sz w:val="20"/>
                <w:szCs w:val="20"/>
                <w:lang w:val="en-GB"/>
              </w:rPr>
              <w:t xml:space="preserve"> have included this literature in the references.</w:t>
            </w:r>
          </w:p>
        </w:tc>
      </w:tr>
      <w:bookmarkEnd w:id="0"/>
    </w:tbl>
    <w:p w14:paraId="61296023">
      <w:pPr>
        <w:rPr>
          <w:rFonts w:eastAsia="等线"/>
          <w:lang w:eastAsia="zh-CN"/>
        </w:rPr>
      </w:pPr>
    </w:p>
    <w:p w14:paraId="1C0D4F5D">
      <w:pPr>
        <w:rPr>
          <w:rFonts w:hint="eastAsia" w:eastAsia="等线"/>
          <w:lang w:eastAsia="zh-CN"/>
        </w:rPr>
      </w:pP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79"/>
        <w:gridCol w:w="4802"/>
        <w:gridCol w:w="4794"/>
      </w:tblGrid>
      <w:tr w14:paraId="5D7C2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A0DB0">
            <w:pPr>
              <w:rPr>
                <w:rFonts w:ascii="Arial" w:hAnsi="Arial" w:eastAsia="Arial Unicode MS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>
              <w:rPr>
                <w:rFonts w:ascii="Arial" w:hAnsi="Arial" w:eastAsia="Arial Unicode MS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4:</w:t>
            </w:r>
            <w:r>
              <w:rPr>
                <w:rFonts w:ascii="Arial" w:hAnsi="Arial" w:eastAsia="Arial Unicode MS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8CBCCCA">
            <w:pPr>
              <w:rPr>
                <w:rFonts w:ascii="Arial" w:hAnsi="Arial" w:eastAsia="Arial Unicode MS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14:paraId="42710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85F8F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69AB0">
            <w:pPr>
              <w:keepNext/>
              <w:outlineLvl w:val="1"/>
              <w:rPr>
                <w:rFonts w:ascii="Arial" w:hAnsi="Arial" w:eastAsia="MS Mincho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eastAsia="MS Mincho" w:cs="Arial"/>
                <w:b/>
                <w:bCs/>
                <w:sz w:val="20"/>
                <w:szCs w:val="20"/>
                <w:lang w:val="en-GB"/>
              </w:rPr>
              <w:t>Revie</w:t>
            </w:r>
            <w:bookmarkStart w:id="2" w:name="_GoBack"/>
            <w:bookmarkEnd w:id="2"/>
            <w:r>
              <w:rPr>
                <w:rFonts w:ascii="Arial" w:hAnsi="Arial" w:eastAsia="MS Mincho" w:cs="Arial"/>
                <w:b/>
                <w:bCs/>
                <w:sz w:val="20"/>
                <w:szCs w:val="20"/>
                <w:lang w:val="en-GB"/>
              </w:rPr>
              <w:t>wer’s comment</w:t>
            </w:r>
          </w:p>
        </w:tc>
        <w:tc>
          <w:tcPr>
            <w:tcW w:w="1691" w:type="pct"/>
            <w:shd w:val="clear" w:color="auto" w:fill="EBFFFF"/>
          </w:tcPr>
          <w:p w14:paraId="31590C16">
            <w:pPr>
              <w:spacing w:after="160" w:line="252" w:lineRule="auto"/>
              <w:rPr>
                <w:rFonts w:ascii="Arial" w:hAnsi="Arial" w:eastAsia="Calibri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hAnsi="Arial" w:eastAsia="Calibri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hAnsi="Arial" w:eastAsia="Calibri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31680A">
            <w:pPr>
              <w:keepNext/>
              <w:outlineLvl w:val="1"/>
              <w:rPr>
                <w:rFonts w:ascii="Arial" w:hAnsi="Arial" w:eastAsia="MS Mincho" w:cs="Arial"/>
                <w:bCs/>
                <w:sz w:val="20"/>
                <w:szCs w:val="20"/>
                <w:lang w:val="en-GB"/>
              </w:rPr>
            </w:pPr>
          </w:p>
        </w:tc>
      </w:tr>
      <w:tr w14:paraId="7A0DB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99139">
            <w:pPr>
              <w:rPr>
                <w:rFonts w:ascii="Arial" w:hAnsi="Arial" w:eastAsia="Arial Unicode MS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eastAsia="Arial Unicode MS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F54ED6E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577DF">
            <w:pPr>
              <w:rPr>
                <w:rFonts w:ascii="Arial" w:hAnsi="Arial" w:eastAsia="Arial Unicode MS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eastAsia="Arial Unicode MS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0745080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EBFFFF"/>
            <w:vAlign w:val="center"/>
          </w:tcPr>
          <w:p w14:paraId="2940F19A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  <w:p w14:paraId="3B817624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  <w:p w14:paraId="709E0AB5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81F22DD">
      <w:pPr>
        <w:rPr>
          <w:rFonts w:hint="eastAsia" w:eastAsia="等线"/>
          <w:lang w:eastAsia="zh-CN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KSOFB4AB0A6B">
    <w:panose1 w:val="020B07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DAF08">
    <w:pPr>
      <w:pStyle w:val="5"/>
      <w:jc w:val="right"/>
    </w:pPr>
  </w:p>
  <w:p w14:paraId="78E0909B">
    <w:pPr>
      <w:pStyle w:val="5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5A188E2E">
    <w:pPr>
      <w:pStyle w:val="5"/>
      <w:jc w:val="right"/>
      <w:rPr>
        <w:b/>
        <w:sz w:val="20"/>
      </w:rPr>
    </w:pPr>
    <w:r>
      <w:rPr>
        <w:b/>
        <w:sz w:val="20"/>
      </w:rPr>
      <w:t>V240326</w:t>
    </w:r>
  </w:p>
  <w:p w14:paraId="7B136EEC">
    <w:pPr>
      <w:pStyle w:val="5"/>
      <w:jc w:val="right"/>
    </w:pPr>
  </w:p>
  <w:p w14:paraId="3393495F">
    <w:pPr>
      <w:pStyle w:val="5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6B9D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437EB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NotTrackMoves/>
  <w:documentProtection w:enforcement="0"/>
  <w:defaultTabStop w:val="720"/>
  <w:hyphenationZone w:val="425"/>
  <w:drawingGridHorizontalSpacing w:val="120"/>
  <w:displayHorizontalDrawingGridEvery w:val="2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6549"/>
    <w:rsid w:val="0003138D"/>
    <w:rsid w:val="00062797"/>
    <w:rsid w:val="000D4811"/>
    <w:rsid w:val="00117DA1"/>
    <w:rsid w:val="0016280D"/>
    <w:rsid w:val="00180AD8"/>
    <w:rsid w:val="002A3C9D"/>
    <w:rsid w:val="002C29D3"/>
    <w:rsid w:val="003963A5"/>
    <w:rsid w:val="00482AC8"/>
    <w:rsid w:val="004B7035"/>
    <w:rsid w:val="005453A6"/>
    <w:rsid w:val="005D7FFA"/>
    <w:rsid w:val="00621D17"/>
    <w:rsid w:val="006A14CE"/>
    <w:rsid w:val="0076610E"/>
    <w:rsid w:val="00957DCA"/>
    <w:rsid w:val="00A56AA6"/>
    <w:rsid w:val="00AA1785"/>
    <w:rsid w:val="00AE0351"/>
    <w:rsid w:val="00AE2220"/>
    <w:rsid w:val="00AE745E"/>
    <w:rsid w:val="00F12D8B"/>
    <w:rsid w:val="00F80011"/>
    <w:rsid w:val="00FF6549"/>
    <w:rsid w:val="7908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5"/>
    <w:uiPriority w:val="0"/>
    <w:pPr>
      <w:jc w:val="both"/>
    </w:pPr>
    <w:rPr>
      <w:rFonts w:ascii="Helvetica" w:hAnsi="Helvetica" w:eastAsia="MS Mincho"/>
      <w:lang w:val="fr-FR" w:eastAsia="zh-CN"/>
    </w:rPr>
  </w:style>
  <w:style w:type="paragraph" w:styleId="5">
    <w:name w:val="footer"/>
    <w:basedOn w:val="1"/>
    <w:link w:val="17"/>
    <w:unhideWhenUsed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6">
    <w:name w:val="header"/>
    <w:basedOn w:val="1"/>
    <w:link w:val="16"/>
    <w:uiPriority w:val="99"/>
    <w:pPr>
      <w:tabs>
        <w:tab w:val="center" w:pos="4680"/>
        <w:tab w:val="right" w:pos="9360"/>
      </w:tabs>
    </w:pPr>
    <w:rPr>
      <w:lang w:eastAsia="zh-CN"/>
    </w:rPr>
  </w:style>
  <w:style w:type="paragraph" w:styleId="7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9">
    <w:name w:val="Table Grid"/>
    <w:basedOn w:val="8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FollowedHyperlink"/>
    <w:semiHidden/>
    <w:unhideWhenUsed/>
    <w:uiPriority w:val="99"/>
    <w:rPr>
      <w:color w:val="800080"/>
      <w:u w:val="single"/>
    </w:rPr>
  </w:style>
  <w:style w:type="character" w:styleId="12">
    <w:name w:val="Hyperlink"/>
    <w:unhideWhenUsed/>
    <w:uiPriority w:val="99"/>
    <w:rPr>
      <w:color w:val="0000FF"/>
      <w:u w:val="single"/>
    </w:rPr>
  </w:style>
  <w:style w:type="character" w:customStyle="1" w:styleId="13">
    <w:name w:val="标题 2 字符"/>
    <w:link w:val="2"/>
    <w:qFormat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标题 4 字符"/>
    <w:link w:val="3"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正文文本 字符"/>
    <w:link w:val="4"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页眉 字符"/>
    <w:link w:val="6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页脚 字符"/>
    <w:link w:val="5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uiPriority w:val="99"/>
    <w:rPr>
      <w:rFonts w:ascii="Calibri" w:hAnsi="Calibri" w:eastAsia="等线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未处理的提及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634</Words>
  <Characters>2917</Characters>
  <Lines>146</Lines>
  <Paragraphs>65</Paragraphs>
  <TotalTime>51</TotalTime>
  <ScaleCrop>false</ScaleCrop>
  <LinksUpToDate>false</LinksUpToDate>
  <CharactersWithSpaces>3493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2026-03-24T06:15:00Z</dcterms:created>
  <dc:creator>Surojit Bera</dc:creator>
  <cp:lastModifiedBy>wn</cp:lastModifiedBy>
  <dcterms:modified xsi:type="dcterms:W3CDTF">2026-03-31T12:04:02Z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eyJoZGlkIjoiZGM0OTllNDM3Yzk0MDg0NzhiZDJkY2JiYjBhZDAyNDMiLCJ1c2VySWQiOiIyNDYyMDE0MjMifQ==</vt:lpwstr>
  </property>
  <property fmtid="{D5CDD505-2E9C-101B-9397-08002B2CF9AE}" pid="4" name="KSOProductBuildVer">
    <vt:lpwstr>2052-12.1.0.25225</vt:lpwstr>
  </property>
  <property fmtid="{D5CDD505-2E9C-101B-9397-08002B2CF9AE}" pid="5" name="ICV">
    <vt:lpwstr>A25857AFEB324844A2E1CCB914AAE771_12</vt:lpwstr>
  </property>
</Properties>
</file>