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685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118A78D9"/>
        </w:tc>
      </w:tr>
      <w:tr w14:paraId="54E1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14DFE747">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46845D84">
            <w:pPr>
              <w:rPr>
                <w:b/>
                <w:bCs/>
                <w:color w:val="0000FF"/>
                <w:sz w:val="20"/>
                <w:szCs w:val="20"/>
              </w:rPr>
            </w:pPr>
            <w:r>
              <w:fldChar w:fldCharType="begin"/>
            </w:r>
            <w:r>
              <w:instrText xml:space="preserve"> HYPERLINK "https://journalair.com" \t "_parent" </w:instrText>
            </w:r>
            <w:r>
              <w:fldChar w:fldCharType="separate"/>
            </w:r>
            <w:r>
              <w:rPr>
                <w:b/>
                <w:bCs/>
                <w:color w:val="0000FF"/>
                <w:sz w:val="20"/>
                <w:szCs w:val="20"/>
              </w:rPr>
              <w:t xml:space="preserve">Advances in Research </w:t>
            </w:r>
            <w:r>
              <w:rPr>
                <w:b/>
                <w:bCs/>
                <w:color w:val="0000FF"/>
                <w:sz w:val="20"/>
                <w:szCs w:val="20"/>
              </w:rPr>
              <w:fldChar w:fldCharType="end"/>
            </w:r>
          </w:p>
        </w:tc>
      </w:tr>
      <w:tr w14:paraId="65F3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0D923D8D">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712A6B82">
            <w:pPr>
              <w:pStyle w:val="8"/>
              <w:spacing w:before="0" w:beforeAutospacing="0" w:after="0" w:afterAutospacing="0"/>
              <w:rPr>
                <w:rFonts w:ascii="Times New Roman" w:hAnsi="Times New Roman" w:cs="Times New Roman"/>
                <w:b/>
                <w:bCs/>
                <w:sz w:val="20"/>
                <w:szCs w:val="28"/>
                <w:lang w:eastAsia="en-US"/>
              </w:rPr>
            </w:pPr>
            <w:r>
              <w:rPr>
                <w:rFonts w:ascii="Times New Roman" w:hAnsi="Times New Roman" w:cs="Times New Roman"/>
                <w:b/>
                <w:bCs/>
                <w:sz w:val="20"/>
                <w:szCs w:val="28"/>
                <w:lang w:eastAsia="en-US"/>
              </w:rPr>
              <w:t>Ms_AIR_155778</w:t>
            </w:r>
          </w:p>
        </w:tc>
      </w:tr>
      <w:tr w14:paraId="782B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186" w:type="pct"/>
            <w:shd w:val="clear" w:color="auto" w:fill="EBFFFF"/>
          </w:tcPr>
          <w:p w14:paraId="793C7F26">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0CBB8580">
            <w:pPr>
              <w:pStyle w:val="8"/>
              <w:spacing w:before="0" w:beforeAutospacing="0" w:after="0" w:afterAutospacing="0"/>
              <w:rPr>
                <w:rFonts w:ascii="Times New Roman" w:hAnsi="Times New Roman" w:cs="Times New Roman"/>
                <w:b/>
                <w:sz w:val="20"/>
                <w:szCs w:val="28"/>
                <w:lang w:eastAsia="en-US"/>
              </w:rPr>
            </w:pPr>
            <w:r>
              <w:rPr>
                <w:rFonts w:ascii="Times New Roman" w:hAnsi="Times New Roman" w:cs="Times New Roman"/>
                <w:b/>
                <w:sz w:val="20"/>
                <w:szCs w:val="28"/>
                <w:lang w:eastAsia="en-US"/>
              </w:rPr>
              <w:t>Research on the Application of Intelligent Robots in Rail Transit</w:t>
            </w:r>
          </w:p>
        </w:tc>
      </w:tr>
      <w:tr w14:paraId="6578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6E4980BB">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CE61045">
            <w:pPr>
              <w:pStyle w:val="8"/>
              <w:spacing w:before="0" w:beforeAutospacing="0" w:after="0" w:afterAutospacing="0"/>
              <w:rPr>
                <w:rFonts w:ascii="Times New Roman" w:hAnsi="Times New Roman" w:cs="Times New Roman"/>
                <w:b/>
                <w:sz w:val="20"/>
                <w:szCs w:val="28"/>
                <w:lang w:eastAsia="en-US"/>
              </w:rPr>
            </w:pPr>
            <w:r>
              <w:rPr>
                <w:rFonts w:ascii="Times New Roman" w:hAnsi="Times New Roman" w:cs="Times New Roman"/>
                <w:b/>
                <w:sz w:val="20"/>
                <w:szCs w:val="28"/>
                <w:lang w:eastAsia="en-US"/>
              </w:rPr>
              <w:t>REVIEW ARTICLE</w:t>
            </w:r>
          </w:p>
        </w:tc>
      </w:tr>
    </w:tbl>
    <w:p w14:paraId="1F72C293">
      <w:pPr>
        <w:pStyle w:val="5"/>
        <w:rPr>
          <w:rFonts w:ascii="Times New Roman" w:hAnsi="Times New Roman"/>
          <w:b/>
          <w:bCs/>
          <w:sz w:val="20"/>
          <w:szCs w:val="20"/>
          <w:u w:val="single"/>
          <w:lang w:val="en-GB"/>
        </w:rPr>
      </w:pPr>
    </w:p>
    <w:p w14:paraId="589162E4">
      <w:pPr>
        <w:pStyle w:val="5"/>
        <w:rPr>
          <w:rFonts w:ascii="Times New Roman" w:hAnsi="Times New Roman"/>
          <w:b/>
          <w:bCs/>
          <w:sz w:val="20"/>
          <w:szCs w:val="20"/>
          <w:u w:val="single"/>
          <w:lang w:val="en-GB"/>
        </w:rPr>
      </w:pPr>
    </w:p>
    <w:p w14:paraId="02AA7865">
      <w:pPr>
        <w:pStyle w:val="5"/>
        <w:rPr>
          <w:rFonts w:ascii="Times New Roman" w:hAnsi="Times New Roman"/>
          <w:b/>
          <w:sz w:val="20"/>
          <w:szCs w:val="20"/>
          <w:u w:val="single"/>
          <w:lang w:val="en-GB"/>
        </w:rPr>
      </w:pPr>
      <w:r>
        <w:rPr>
          <w:rFonts w:ascii="Times New Roman" w:hAnsi="Times New Roman"/>
          <w:b/>
          <w:sz w:val="20"/>
          <w:szCs w:val="20"/>
          <w:highlight w:val="yellow"/>
          <w:lang w:val="en-GB"/>
        </w:rPr>
        <w:t>PART 1 (Importance of the manuscript)</w:t>
      </w:r>
    </w:p>
    <w:p w14:paraId="2430344D">
      <w:pPr>
        <w:pStyle w:val="5"/>
        <w:ind w:left="1440"/>
        <w:rPr>
          <w:rFonts w:ascii="Times New Roman" w:hAnsi="Times New Roman"/>
          <w:bCs/>
          <w:sz w:val="20"/>
          <w:szCs w:val="20"/>
          <w:lang w:val="en-GB"/>
        </w:rPr>
      </w:pPr>
    </w:p>
    <w:p w14:paraId="655A9B68">
      <w:pPr>
        <w:pStyle w:val="5"/>
        <w:ind w:left="1440"/>
        <w:rPr>
          <w:rFonts w:ascii="Times New Roman" w:hAnsi="Times New Roman"/>
          <w:bCs/>
          <w:sz w:val="20"/>
          <w:szCs w:val="20"/>
          <w:lang w:val="en-GB"/>
        </w:rPr>
      </w:pPr>
    </w:p>
    <w:tbl>
      <w:tblPr>
        <w:tblStyle w:val="9"/>
        <w:tblW w:w="4746"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5171"/>
        <w:gridCol w:w="6281"/>
      </w:tblGrid>
      <w:tr w14:paraId="69A3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pct"/>
            <w:noWrap/>
          </w:tcPr>
          <w:p w14:paraId="2675C8F5">
            <w:pPr>
              <w:pStyle w:val="2"/>
              <w:jc w:val="left"/>
              <w:rPr>
                <w:rFonts w:ascii="Times New Roman" w:hAnsi="Times New Roman"/>
                <w:lang w:val="en-GB" w:eastAsia="en-US"/>
              </w:rPr>
            </w:pPr>
          </w:p>
        </w:tc>
        <w:tc>
          <w:tcPr>
            <w:tcW w:w="1921" w:type="pct"/>
          </w:tcPr>
          <w:p w14:paraId="71BAB71A">
            <w:pPr>
              <w:pStyle w:val="2"/>
              <w:spacing w:line="600" w:lineRule="auto"/>
              <w:jc w:val="center"/>
              <w:rPr>
                <w:rFonts w:ascii="Times New Roman" w:hAnsi="Times New Roman"/>
                <w:lang w:val="en-GB" w:eastAsia="en-US"/>
              </w:rPr>
            </w:pPr>
            <w:r>
              <w:rPr>
                <w:rFonts w:ascii="Times New Roman" w:hAnsi="Times New Roman"/>
                <w:lang w:val="en-GB" w:eastAsia="en-US"/>
              </w:rPr>
              <w:t>Comments of the Reviewers</w:t>
            </w:r>
          </w:p>
        </w:tc>
        <w:tc>
          <w:tcPr>
            <w:tcW w:w="2334" w:type="pct"/>
          </w:tcPr>
          <w:p w14:paraId="79180497">
            <w:pPr>
              <w:spacing w:after="160" w:line="259" w:lineRule="auto"/>
              <w:jc w:val="center"/>
              <w:rPr>
                <w:rFonts w:eastAsia="Calibri"/>
                <w:kern w:val="2"/>
                <w:sz w:val="20"/>
                <w:szCs w:val="20"/>
              </w:rPr>
            </w:pPr>
            <w:r>
              <w:rPr>
                <w:rFonts w:eastAsia="Calibri"/>
                <w:b/>
                <w:kern w:val="2"/>
                <w:sz w:val="20"/>
                <w:szCs w:val="20"/>
              </w:rPr>
              <w:t>Author’s Feedback</w:t>
            </w:r>
          </w:p>
          <w:p w14:paraId="5195845E">
            <w:pPr>
              <w:pStyle w:val="2"/>
              <w:jc w:val="left"/>
              <w:rPr>
                <w:rFonts w:ascii="Times New Roman" w:hAnsi="Times New Roman"/>
                <w:b w:val="0"/>
                <w:lang w:val="en-GB" w:eastAsia="en-US"/>
              </w:rPr>
            </w:pPr>
          </w:p>
        </w:tc>
      </w:tr>
      <w:tr w14:paraId="0A76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744" w:type="pct"/>
            <w:noWrap/>
          </w:tcPr>
          <w:p w14:paraId="7E46A238">
            <w:pPr>
              <w:rPr>
                <w:rFonts w:eastAsia="MS Mincho"/>
                <w:bCs/>
                <w:sz w:val="20"/>
                <w:szCs w:val="20"/>
              </w:rPr>
            </w:pPr>
            <w:r>
              <w:rPr>
                <w:b/>
                <w:bCs/>
                <w:sz w:val="20"/>
                <w:szCs w:val="20"/>
              </w:rPr>
              <w:t>Please write a few sentences regarding the importance of this manuscript for the scientific community.</w:t>
            </w:r>
            <w:r>
              <w:rPr>
                <w:bCs/>
                <w:sz w:val="20"/>
                <w:szCs w:val="20"/>
              </w:rPr>
              <w:t xml:space="preserve"> A minimum of 3-4 sentences may be required for this part.</w:t>
            </w:r>
          </w:p>
        </w:tc>
        <w:tc>
          <w:tcPr>
            <w:tcW w:w="1921" w:type="pct"/>
          </w:tcPr>
          <w:p w14:paraId="435566DD">
            <w:pPr>
              <w:pStyle w:val="8"/>
              <w:spacing w:before="0" w:beforeAutospacing="0" w:after="0" w:afterAutospacing="0"/>
              <w:jc w:val="both"/>
              <w:rPr>
                <w:rFonts w:ascii="Times New Roman" w:hAnsi="Times New Roman" w:cs="Times New Roman"/>
                <w:sz w:val="18"/>
                <w:szCs w:val="18"/>
                <w:lang w:val="en-US" w:eastAsia="en-US"/>
              </w:rPr>
            </w:pPr>
            <w:r>
              <w:rPr>
                <w:rFonts w:ascii="Times New Roman" w:hAnsi="Times New Roman" w:cs="Times New Roman"/>
                <w:sz w:val="18"/>
                <w:szCs w:val="18"/>
                <w:lang w:val="en-US" w:eastAsia="en-US"/>
              </w:rPr>
              <w:t>By automating train maintenance ecosystems using systems engineering principles, this article tackles a significant change in infrastructure management. The paper presents robotics as integrated solutions to operational bottlenecks in high-speed transit networks rather than as separate hardware. By assessing the crucial trade-offs between mechanical stability and navigational agility, it makes a substantial contribution to the taxonomy of industrial robots. This investigation provides researchers with a solid framework for establishing design parameters in the upcoming generation of autonomous inspection systems.</w:t>
            </w:r>
          </w:p>
        </w:tc>
        <w:tc>
          <w:tcPr>
            <w:tcW w:w="2334" w:type="pct"/>
          </w:tcPr>
          <w:p w14:paraId="3F7B9924">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sincerely thank the reviewer for the high recognition of the scientific value of this manuscript. Your assessment accurately captures the core contribution of this research—introducing systems engineering principles into the automation of train maintenance ecosystems, which indeed represents a significant paradigm shift in the field of infrastructure management. I fully agree with your insight that robotics should be positioned as integrated solutions rather than isolated hardware, which is precisely what distinguishes our work from traditional research. Regarding the crucial trade-offs between mechanical stability and navigational agility that you mentioned, I have conducted quantitative analysis and discussion in the paper, establishing an actionable evaluation index system. The taxonomic contribution and the value of the design framework you pointed out are exactly the theoretical support and practical guidance we aim to provide for researchers developing the next generation of autonomous inspection systems. I will carefully consider your suggestions and further improve the manuscript, hoping to contribute more valuable academic achievements to the intelligent operation and maintenance of high-speed railway networks.</w:t>
            </w:r>
          </w:p>
        </w:tc>
      </w:tr>
    </w:tbl>
    <w:p w14:paraId="10CDBA5D">
      <w:pPr>
        <w:rPr>
          <w:sz w:val="20"/>
          <w:szCs w:val="20"/>
        </w:rPr>
      </w:pPr>
    </w:p>
    <w:p w14:paraId="7853D4FD">
      <w:pPr>
        <w:rPr>
          <w:sz w:val="20"/>
          <w:szCs w:val="20"/>
        </w:rPr>
      </w:pPr>
    </w:p>
    <w:p w14:paraId="49175C61">
      <w:pPr>
        <w:pStyle w:val="2"/>
        <w:jc w:val="left"/>
        <w:rPr>
          <w:rFonts w:ascii="Times New Roman" w:hAnsi="Times New Roman"/>
          <w:lang w:val="en-GB" w:eastAsia="en-US"/>
        </w:rPr>
      </w:pPr>
      <w:r>
        <w:rPr>
          <w:rFonts w:ascii="Times New Roman" w:hAnsi="Times New Roman"/>
          <w:highlight w:val="yellow"/>
          <w:lang w:val="en-GB" w:eastAsia="en-US"/>
        </w:rPr>
        <w:t>PART  2.1 (Objective Publication)</w:t>
      </w:r>
    </w:p>
    <w:p w14:paraId="6DF08339">
      <w:pPr>
        <w:rPr>
          <w:sz w:val="20"/>
          <w:szCs w:val="20"/>
        </w:rPr>
      </w:pPr>
    </w:p>
    <w:tbl>
      <w:tblPr>
        <w:tblStyle w:val="9"/>
        <w:tblpPr w:leftFromText="180" w:rightFromText="180" w:vertAnchor="text" w:tblpX="455" w:tblpY="1"/>
        <w:tblOverlap w:val="never"/>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2"/>
        <w:gridCol w:w="3756"/>
        <w:gridCol w:w="4879"/>
      </w:tblGrid>
      <w:tr w14:paraId="2B0B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vAlign w:val="top"/>
          </w:tcPr>
          <w:p w14:paraId="52BD367B"/>
          <w:p w14:paraId="4B29A522">
            <w:pPr>
              <w:rPr>
                <w:sz w:val="20"/>
                <w:szCs w:val="20"/>
              </w:rPr>
            </w:pPr>
          </w:p>
        </w:tc>
      </w:tr>
      <w:tr w14:paraId="2603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pct"/>
            <w:noWrap/>
            <w:vAlign w:val="top"/>
          </w:tcPr>
          <w:p w14:paraId="4FDF399B">
            <w:pPr>
              <w:pStyle w:val="2"/>
              <w:jc w:val="left"/>
              <w:rPr>
                <w:rFonts w:ascii="Times New Roman" w:hAnsi="Times New Roman"/>
                <w:lang w:val="en-GB" w:eastAsia="en-US"/>
              </w:rPr>
            </w:pPr>
          </w:p>
        </w:tc>
        <w:tc>
          <w:tcPr>
            <w:tcW w:w="1363" w:type="pct"/>
            <w:vAlign w:val="top"/>
          </w:tcPr>
          <w:p w14:paraId="5EE69923">
            <w:pPr>
              <w:pStyle w:val="2"/>
              <w:jc w:val="left"/>
              <w:rPr>
                <w:rFonts w:ascii="Times New Roman" w:hAnsi="Times New Roman"/>
                <w:lang w:val="en-GB" w:eastAsia="en-US"/>
              </w:rPr>
            </w:pPr>
            <w:r>
              <w:rPr>
                <w:rFonts w:ascii="Times New Roman" w:hAnsi="Times New Roman"/>
                <w:lang w:val="en-GB" w:eastAsia="en-US"/>
              </w:rPr>
              <w:t>Rating of the Reviewers</w:t>
            </w:r>
          </w:p>
        </w:tc>
        <w:tc>
          <w:tcPr>
            <w:tcW w:w="1770" w:type="pct"/>
            <w:vAlign w:val="top"/>
          </w:tcPr>
          <w:p w14:paraId="7D7DACB3">
            <w:pPr>
              <w:spacing w:after="160" w:line="259" w:lineRule="auto"/>
              <w:rPr>
                <w:b/>
              </w:rPr>
            </w:pPr>
            <w:r>
              <w:rPr>
                <w:rFonts w:eastAsia="Calibri"/>
                <w:b/>
                <w:kern w:val="2"/>
                <w:sz w:val="20"/>
                <w:szCs w:val="20"/>
              </w:rPr>
              <w:t>Author’s Feedback</w:t>
            </w:r>
            <w:r>
              <w:rPr>
                <w:rFonts w:eastAsia="Calibri"/>
                <w:kern w:val="2"/>
                <w:sz w:val="20"/>
                <w:szCs w:val="20"/>
              </w:rPr>
              <w:t xml:space="preserve"> </w:t>
            </w:r>
          </w:p>
        </w:tc>
      </w:tr>
      <w:tr w14:paraId="11158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866" w:type="pct"/>
            <w:noWrap/>
            <w:vAlign w:val="top"/>
          </w:tcPr>
          <w:p w14:paraId="1A400F5D">
            <w:pPr>
              <w:rPr>
                <w:b/>
                <w:bCs/>
                <w:sz w:val="20"/>
                <w:szCs w:val="20"/>
              </w:rPr>
            </w:pPr>
            <w:r>
              <w:rPr>
                <w:b/>
                <w:bCs/>
                <w:sz w:val="20"/>
                <w:szCs w:val="20"/>
              </w:rPr>
              <w:t xml:space="preserve">1. Is the title clear and appropriate for the paper? </w:t>
            </w:r>
          </w:p>
          <w:p w14:paraId="032B9BD2">
            <w:pPr>
              <w:rPr>
                <w:color w:val="404040"/>
                <w:sz w:val="20"/>
                <w:szCs w:val="20"/>
                <w:shd w:val="clear" w:color="auto" w:fill="FFFFFF"/>
              </w:rPr>
            </w:pPr>
            <w:r>
              <w:rPr>
                <w:color w:val="404040"/>
                <w:sz w:val="20"/>
                <w:szCs w:val="20"/>
                <w:shd w:val="clear" w:color="auto" w:fill="FFFFFF"/>
              </w:rPr>
              <w:t xml:space="preserve">Rating Scale: </w:t>
            </w:r>
          </w:p>
          <w:p w14:paraId="723312EF">
            <w:pPr>
              <w:rPr>
                <w:sz w:val="20"/>
                <w:szCs w:val="20"/>
                <w:u w:val="single"/>
              </w:rPr>
            </w:pPr>
            <w:r>
              <w:rPr>
                <w:color w:val="404040"/>
                <w:sz w:val="20"/>
                <w:szCs w:val="20"/>
                <w:shd w:val="clear" w:color="auto" w:fill="FFFFFF"/>
              </w:rPr>
              <w:t>5 = Excellent 4 = Good 3 = Satisfactory 2 = Needs Improvement 1 = Poor N/A = Not Applicable</w:t>
            </w:r>
          </w:p>
        </w:tc>
        <w:tc>
          <w:tcPr>
            <w:tcW w:w="1363" w:type="pct"/>
            <w:vAlign w:val="top"/>
          </w:tcPr>
          <w:p w14:paraId="71CEA032">
            <w:pPr>
              <w:ind w:left="360"/>
              <w:rPr>
                <w:b/>
                <w:bCs/>
                <w:sz w:val="20"/>
                <w:szCs w:val="20"/>
              </w:rPr>
            </w:pPr>
            <w:r>
              <w:rPr>
                <w:b/>
                <w:bCs/>
                <w:sz w:val="20"/>
                <w:szCs w:val="20"/>
              </w:rPr>
              <w:t>4</w:t>
            </w:r>
          </w:p>
        </w:tc>
        <w:tc>
          <w:tcPr>
            <w:tcW w:w="1770" w:type="pct"/>
            <w:vAlign w:val="top"/>
          </w:tcPr>
          <w:p w14:paraId="51A5498C">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appreciate the reviewer's positive assessment of the title clarity. I have ensured that the title accurately reflects the core focus on systems engineering integration for train maintenance automation, avoiding overly technical jargon while maintaining academic precision.</w:t>
            </w:r>
          </w:p>
        </w:tc>
      </w:tr>
      <w:tr w14:paraId="61F0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5E0BF729">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502B19">
            <w:pPr>
              <w:rPr>
                <w:color w:val="404040"/>
                <w:sz w:val="20"/>
                <w:szCs w:val="20"/>
                <w:shd w:val="clear" w:color="auto" w:fill="FFFFFF"/>
              </w:rPr>
            </w:pPr>
            <w:r>
              <w:rPr>
                <w:color w:val="404040"/>
                <w:sz w:val="20"/>
                <w:szCs w:val="20"/>
                <w:shd w:val="clear" w:color="auto" w:fill="FFFFFF"/>
              </w:rPr>
              <w:t xml:space="preserve">Rating Scale: </w:t>
            </w:r>
          </w:p>
          <w:p w14:paraId="76F5E644">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6D652490">
            <w:pPr>
              <w:ind w:left="360"/>
              <w:rPr>
                <w:rFonts w:hint="eastAsia" w:eastAsia="宋体"/>
                <w:b/>
                <w:bCs/>
                <w:sz w:val="20"/>
                <w:szCs w:val="20"/>
                <w:lang w:val="en-US" w:eastAsia="zh-CN"/>
              </w:rPr>
            </w:pPr>
            <w:r>
              <w:rPr>
                <w:rFonts w:hint="eastAsia" w:eastAsia="宋体"/>
                <w:b/>
                <w:bCs/>
                <w:sz w:val="20"/>
                <w:szCs w:val="20"/>
                <w:lang w:val="en-US" w:eastAsia="zh-CN"/>
              </w:rPr>
              <w:t>4</w:t>
            </w:r>
          </w:p>
        </w:tc>
        <w:tc>
          <w:tcPr>
            <w:tcW w:w="1770" w:type="pct"/>
            <w:vAlign w:val="top"/>
          </w:tcPr>
          <w:p w14:paraId="1471D6EF">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w:t>
            </w:r>
            <w:r>
              <w:rPr>
                <w:rFonts w:hint="eastAsia" w:ascii="Times New Roman" w:hAnsi="Times New Roman" w:eastAsia="Arial Unicode MS" w:cs="Times New Roman"/>
                <w:b w:val="0"/>
                <w:bCs w:val="0"/>
                <w:sz w:val="18"/>
                <w:szCs w:val="18"/>
                <w:lang w:val="en-US" w:eastAsia="en-US" w:bidi="ar-SA"/>
              </w:rPr>
              <w:t xml:space="preserve"> am grateful for the recognition of the abstract's comprehensi</w:t>
            </w:r>
            <w:r>
              <w:rPr>
                <w:rFonts w:ascii="Times New Roman" w:hAnsi="Times New Roman" w:eastAsia="Arial Unicode MS" w:cs="Times New Roman"/>
                <w:b w:val="0"/>
                <w:bCs w:val="0"/>
                <w:sz w:val="18"/>
                <w:szCs w:val="18"/>
                <w:lang w:val="en-US" w:eastAsia="en-US" w:bidi="ar-SA"/>
              </w:rPr>
              <w:t>veness. The abstract has been structured to cover the research background, methodology, key findings regarding stability-agility trade-offs, and practical implications for autonomous inspection systems.</w:t>
            </w:r>
          </w:p>
        </w:tc>
      </w:tr>
      <w:tr w14:paraId="61AE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34128BF0">
            <w:pPr>
              <w:pStyle w:val="2"/>
              <w:jc w:val="left"/>
              <w:rPr>
                <w:rFonts w:ascii="Times New Roman" w:hAnsi="Times New Roman"/>
                <w:lang w:val="en-GB"/>
              </w:rPr>
            </w:pPr>
            <w:r>
              <w:rPr>
                <w:rFonts w:ascii="Times New Roman" w:hAnsi="Times New Roman"/>
                <w:lang w:val="en-GB"/>
              </w:rPr>
              <w:t>3. Are the keywords appropriate and useful?</w:t>
            </w:r>
          </w:p>
          <w:p w14:paraId="2F4D51CC">
            <w:pPr>
              <w:rPr>
                <w:color w:val="404040"/>
                <w:sz w:val="20"/>
                <w:szCs w:val="20"/>
                <w:shd w:val="clear" w:color="auto" w:fill="FFFFFF"/>
              </w:rPr>
            </w:pPr>
            <w:r>
              <w:rPr>
                <w:color w:val="404040"/>
                <w:sz w:val="20"/>
                <w:szCs w:val="20"/>
                <w:shd w:val="clear" w:color="auto" w:fill="FFFFFF"/>
              </w:rPr>
              <w:t xml:space="preserve">Rating Scale: </w:t>
            </w:r>
          </w:p>
          <w:p w14:paraId="343BA14E">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6F43F56D">
            <w:pPr>
              <w:ind w:left="360"/>
              <w:rPr>
                <w:rFonts w:hint="eastAsia" w:eastAsia="宋体"/>
                <w:b/>
                <w:bCs/>
                <w:sz w:val="20"/>
                <w:szCs w:val="20"/>
                <w:lang w:val="en-US" w:eastAsia="zh-CN"/>
              </w:rPr>
            </w:pPr>
            <w:r>
              <w:rPr>
                <w:rFonts w:hint="eastAsia" w:eastAsia="宋体"/>
                <w:b/>
                <w:bCs/>
                <w:sz w:val="20"/>
                <w:szCs w:val="20"/>
                <w:lang w:val="en-US" w:eastAsia="zh-CN"/>
              </w:rPr>
              <w:t>3</w:t>
            </w:r>
          </w:p>
        </w:tc>
        <w:tc>
          <w:tcPr>
            <w:tcW w:w="1770" w:type="pct"/>
            <w:vAlign w:val="top"/>
          </w:tcPr>
          <w:p w14:paraId="0D236579">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en-US" w:bidi="ar-SA"/>
              </w:rPr>
              <w:t>I acknowledge that the keywords could be enhanced. I will revise the keyword list to include more specific and searchable terms, such as "railway maintenance robotics," "high-speed rail inspection," and "autonomous navigation trade-offs," to improve discoverability and relevance.</w:t>
            </w:r>
          </w:p>
        </w:tc>
      </w:tr>
      <w:tr w14:paraId="50E5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1AC9FE7D">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725337D">
            <w:pPr>
              <w:rPr>
                <w:color w:val="404040"/>
                <w:sz w:val="20"/>
                <w:szCs w:val="20"/>
                <w:shd w:val="clear" w:color="auto" w:fill="FFFFFF"/>
              </w:rPr>
            </w:pPr>
            <w:r>
              <w:rPr>
                <w:color w:val="404040"/>
                <w:sz w:val="20"/>
                <w:szCs w:val="20"/>
                <w:shd w:val="clear" w:color="auto" w:fill="FFFFFF"/>
              </w:rPr>
              <w:t xml:space="preserve">Rating Scale: </w:t>
            </w:r>
          </w:p>
          <w:p w14:paraId="7570E7B4">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7186E7FE">
            <w:pPr>
              <w:ind w:left="360"/>
              <w:rPr>
                <w:rFonts w:hint="eastAsia" w:eastAsia="宋体"/>
                <w:b/>
                <w:bCs/>
                <w:sz w:val="20"/>
                <w:szCs w:val="20"/>
                <w:lang w:val="en-US" w:eastAsia="zh-CN"/>
              </w:rPr>
            </w:pPr>
            <w:r>
              <w:rPr>
                <w:rFonts w:hint="eastAsia" w:eastAsia="宋体"/>
                <w:b/>
                <w:bCs/>
                <w:sz w:val="20"/>
                <w:szCs w:val="20"/>
                <w:lang w:val="en-US" w:eastAsia="zh-CN"/>
              </w:rPr>
              <w:t>4</w:t>
            </w:r>
          </w:p>
        </w:tc>
        <w:tc>
          <w:tcPr>
            <w:tcW w:w="1770" w:type="pct"/>
            <w:vAlign w:val="top"/>
          </w:tcPr>
          <w:p w14:paraId="0CD1AFBD">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en-US" w:bidi="ar-SA"/>
              </w:rPr>
              <w:t>I thank the reviewer for the positive feedback on the background section. The organization follows a logical progression from infrastructure management challenges to robotics integration needs, establishing a clear rationale for the research objectives.</w:t>
            </w:r>
          </w:p>
        </w:tc>
      </w:tr>
      <w:tr w14:paraId="3452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0B1F6DCF">
            <w:pPr>
              <w:pStyle w:val="2"/>
              <w:jc w:val="left"/>
              <w:rPr>
                <w:rFonts w:ascii="Times New Roman" w:hAnsi="Times New Roman"/>
                <w:lang w:val="en-GB"/>
              </w:rPr>
            </w:pPr>
            <w:r>
              <w:rPr>
                <w:rFonts w:ascii="Times New Roman" w:hAnsi="Times New Roman"/>
                <w:lang w:val="en-GB"/>
              </w:rPr>
              <w:t>5. Are the objectives clearly stated?</w:t>
            </w:r>
          </w:p>
          <w:p w14:paraId="559A331C">
            <w:pPr>
              <w:rPr>
                <w:color w:val="404040"/>
                <w:sz w:val="20"/>
                <w:szCs w:val="20"/>
                <w:shd w:val="clear" w:color="auto" w:fill="FFFFFF"/>
              </w:rPr>
            </w:pPr>
            <w:r>
              <w:rPr>
                <w:color w:val="404040"/>
                <w:sz w:val="20"/>
                <w:szCs w:val="20"/>
                <w:shd w:val="clear" w:color="auto" w:fill="FFFFFF"/>
              </w:rPr>
              <w:t xml:space="preserve">Rating Scale: </w:t>
            </w:r>
          </w:p>
          <w:p w14:paraId="21EB66A9">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40E5FFCE">
            <w:pPr>
              <w:ind w:left="360"/>
              <w:rPr>
                <w:rFonts w:hint="eastAsia" w:eastAsia="宋体"/>
                <w:b/>
                <w:bCs/>
                <w:sz w:val="20"/>
                <w:szCs w:val="20"/>
                <w:lang w:val="en-US" w:eastAsia="zh-CN"/>
              </w:rPr>
            </w:pPr>
            <w:r>
              <w:rPr>
                <w:rFonts w:hint="eastAsia" w:eastAsia="宋体"/>
                <w:b/>
                <w:bCs/>
                <w:sz w:val="20"/>
                <w:szCs w:val="20"/>
                <w:lang w:val="en-US" w:eastAsia="zh-CN"/>
              </w:rPr>
              <w:t>3</w:t>
            </w:r>
          </w:p>
        </w:tc>
        <w:tc>
          <w:tcPr>
            <w:tcW w:w="1770" w:type="pct"/>
            <w:vAlign w:val="top"/>
          </w:tcPr>
          <w:p w14:paraId="791ECA91">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en-US" w:bidi="ar-SA"/>
              </w:rPr>
              <w:t>I recognize that the research objectives could be articulated more explicitly. I will revise the objectives section to present three clearly defined, measurable goals: (1) to construct a technical classification framework for intelligent inspection robots based on locomotion modes; (2) to quantitatively evaluate the actual effectiveness of intelligent inspection robots; and (3) to propose a development pathway for an integrated intelligent system covering the complete "inspection-diagnosis-maintenance" workflow.</w:t>
            </w:r>
          </w:p>
        </w:tc>
      </w:tr>
      <w:tr w14:paraId="234D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22437BB9">
            <w:pPr>
              <w:pStyle w:val="2"/>
              <w:jc w:val="left"/>
              <w:rPr>
                <w:rFonts w:ascii="Times New Roman" w:hAnsi="Times New Roman"/>
                <w:lang w:val="en-GB"/>
              </w:rPr>
            </w:pPr>
            <w:r>
              <w:rPr>
                <w:rFonts w:ascii="Times New Roman" w:hAnsi="Times New Roman"/>
                <w:lang w:val="en-GB"/>
              </w:rPr>
              <w:t>6. Is the literature review relevant?</w:t>
            </w:r>
          </w:p>
          <w:p w14:paraId="3E4F3F9F">
            <w:pPr>
              <w:rPr>
                <w:color w:val="404040"/>
                <w:sz w:val="20"/>
                <w:szCs w:val="20"/>
                <w:shd w:val="clear" w:color="auto" w:fill="FFFFFF"/>
              </w:rPr>
            </w:pPr>
            <w:r>
              <w:rPr>
                <w:color w:val="404040"/>
                <w:sz w:val="20"/>
                <w:szCs w:val="20"/>
                <w:shd w:val="clear" w:color="auto" w:fill="FFFFFF"/>
              </w:rPr>
              <w:t xml:space="preserve">Rating Scale: </w:t>
            </w:r>
          </w:p>
          <w:p w14:paraId="64DAF4AA">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25A071E7">
            <w:pPr>
              <w:ind w:left="360"/>
              <w:rPr>
                <w:rFonts w:hint="eastAsia" w:eastAsia="宋体"/>
                <w:b/>
                <w:bCs/>
                <w:sz w:val="20"/>
                <w:szCs w:val="20"/>
                <w:lang w:val="en-US" w:eastAsia="zh-CN"/>
              </w:rPr>
            </w:pPr>
            <w:r>
              <w:rPr>
                <w:rFonts w:hint="eastAsia" w:eastAsia="宋体"/>
                <w:b/>
                <w:bCs/>
                <w:sz w:val="20"/>
                <w:szCs w:val="20"/>
                <w:lang w:val="en-US" w:eastAsia="zh-CN"/>
              </w:rPr>
              <w:t>4</w:t>
            </w:r>
          </w:p>
        </w:tc>
        <w:tc>
          <w:tcPr>
            <w:tcW w:w="1770" w:type="pct"/>
            <w:vAlign w:val="top"/>
          </w:tcPr>
          <w:p w14:paraId="7D1E88D2">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en-US" w:bidi="ar-SA"/>
              </w:rPr>
              <w:t>I appreciate the acknowledgment of the literature review's relevance. The review focuses specifically on railway maintenance automation, industrial robotics taxonomy, and systems engineering applications in infrastructure management.</w:t>
            </w:r>
          </w:p>
        </w:tc>
      </w:tr>
      <w:tr w14:paraId="28B3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18B15990">
            <w:pPr>
              <w:pStyle w:val="2"/>
              <w:jc w:val="left"/>
              <w:rPr>
                <w:rFonts w:ascii="Times New Roman" w:hAnsi="Times New Roman"/>
                <w:lang w:val="en-GB"/>
              </w:rPr>
            </w:pPr>
            <w:r>
              <w:rPr>
                <w:rFonts w:ascii="Times New Roman" w:hAnsi="Times New Roman"/>
                <w:lang w:val="en-GB"/>
              </w:rPr>
              <w:t>7. Is the literature review recent?</w:t>
            </w:r>
          </w:p>
          <w:p w14:paraId="25874E35">
            <w:pPr>
              <w:rPr>
                <w:color w:val="404040"/>
                <w:sz w:val="20"/>
                <w:szCs w:val="20"/>
                <w:shd w:val="clear" w:color="auto" w:fill="FFFFFF"/>
              </w:rPr>
            </w:pPr>
            <w:r>
              <w:rPr>
                <w:color w:val="404040"/>
                <w:sz w:val="20"/>
                <w:szCs w:val="20"/>
                <w:shd w:val="clear" w:color="auto" w:fill="FFFFFF"/>
              </w:rPr>
              <w:t xml:space="preserve">Rating Scale: </w:t>
            </w:r>
          </w:p>
          <w:p w14:paraId="66404997">
            <w:pPr>
              <w:rPr>
                <w:color w:val="404040"/>
                <w:sz w:val="20"/>
                <w:szCs w:val="20"/>
                <w:shd w:val="clear" w:color="auto" w:fill="FFFFFF"/>
              </w:rPr>
            </w:pPr>
            <w:r>
              <w:rPr>
                <w:color w:val="404040"/>
                <w:sz w:val="20"/>
                <w:szCs w:val="20"/>
                <w:shd w:val="clear" w:color="auto" w:fill="FFFFFF"/>
                <w:lang w:val="en-GB"/>
              </w:rPr>
              <w:t>5 = Excellent 4 = Good 3 = Satisfactory 2 = Needs Improvement 1 = Poor N/A = Not Applicable</w:t>
            </w:r>
          </w:p>
        </w:tc>
        <w:tc>
          <w:tcPr>
            <w:tcW w:w="1363" w:type="pct"/>
            <w:vAlign w:val="top"/>
          </w:tcPr>
          <w:p w14:paraId="4D8438D6">
            <w:pPr>
              <w:ind w:left="360"/>
              <w:rPr>
                <w:rFonts w:hint="eastAsia" w:eastAsia="宋体"/>
                <w:b/>
                <w:bCs/>
                <w:sz w:val="20"/>
                <w:szCs w:val="20"/>
                <w:lang w:val="en-US" w:eastAsia="zh-CN"/>
              </w:rPr>
            </w:pPr>
            <w:r>
              <w:rPr>
                <w:rFonts w:hint="eastAsia" w:eastAsia="宋体"/>
                <w:b/>
                <w:bCs/>
                <w:sz w:val="20"/>
                <w:szCs w:val="20"/>
                <w:lang w:val="en-US" w:eastAsia="zh-CN"/>
              </w:rPr>
              <w:t>3</w:t>
            </w:r>
          </w:p>
        </w:tc>
        <w:tc>
          <w:tcPr>
            <w:tcW w:w="1770" w:type="pct"/>
            <w:vAlign w:val="top"/>
          </w:tcPr>
          <w:p w14:paraId="0D5044C8">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en-US" w:bidi="ar-SA"/>
              </w:rPr>
              <w:t>I accept that the literature currency needs improvement. I will update the references to include publications from the last 3-5 years, particularly recent advances in autonomous railway inspection, AI-driven maintenance systems, and emerging standards in rail infrastructure robotics.</w:t>
            </w:r>
          </w:p>
        </w:tc>
      </w:tr>
      <w:tr w14:paraId="3FCD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7AFF4D73">
            <w:pPr>
              <w:pStyle w:val="2"/>
              <w:jc w:val="left"/>
              <w:rPr>
                <w:rFonts w:ascii="Times New Roman" w:hAnsi="Times New Roman"/>
                <w:lang w:val="en-GB"/>
              </w:rPr>
            </w:pPr>
            <w:r>
              <w:rPr>
                <w:rFonts w:ascii="Times New Roman" w:hAnsi="Times New Roman"/>
                <w:lang w:val="en-GB"/>
              </w:rPr>
              <w:t xml:space="preserve">8. Is the literature search methodology explained properly? </w:t>
            </w:r>
          </w:p>
          <w:p w14:paraId="5F59A52F">
            <w:pPr>
              <w:rPr>
                <w:color w:val="404040"/>
                <w:sz w:val="20"/>
                <w:szCs w:val="20"/>
                <w:shd w:val="clear" w:color="auto" w:fill="FFFFFF"/>
              </w:rPr>
            </w:pPr>
            <w:r>
              <w:rPr>
                <w:color w:val="404040"/>
                <w:sz w:val="20"/>
                <w:szCs w:val="20"/>
                <w:shd w:val="clear" w:color="auto" w:fill="FFFFFF"/>
              </w:rPr>
              <w:t xml:space="preserve">Rating Scale: </w:t>
            </w:r>
          </w:p>
          <w:p w14:paraId="2885837D">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tc>
        <w:tc>
          <w:tcPr>
            <w:tcW w:w="1363" w:type="pct"/>
            <w:vAlign w:val="top"/>
          </w:tcPr>
          <w:p w14:paraId="38947624">
            <w:pPr>
              <w:ind w:left="360"/>
              <w:rPr>
                <w:rFonts w:hint="eastAsia" w:eastAsia="宋体"/>
                <w:b/>
                <w:bCs/>
                <w:sz w:val="20"/>
                <w:szCs w:val="20"/>
                <w:lang w:val="en-US" w:eastAsia="zh-CN"/>
              </w:rPr>
            </w:pPr>
            <w:r>
              <w:rPr>
                <w:rFonts w:hint="eastAsia" w:eastAsia="宋体"/>
                <w:b/>
                <w:bCs/>
                <w:sz w:val="20"/>
                <w:szCs w:val="20"/>
                <w:lang w:val="en-US" w:eastAsia="zh-CN"/>
              </w:rPr>
              <w:t>2</w:t>
            </w:r>
          </w:p>
        </w:tc>
        <w:tc>
          <w:tcPr>
            <w:tcW w:w="1770" w:type="pct"/>
            <w:vAlign w:val="top"/>
          </w:tcPr>
          <w:p w14:paraId="54EBD61A">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en-US" w:bidi="ar-SA"/>
              </w:rPr>
              <w:t>I sincerely acknowledge this critical deficiency. The original manuscript lacked transparency in literature selection, which undermined the review's reproducibility. I will specify the databases searched in the Introduction section, describe the literature search methods, clearly define the inclusion and exclusion criteria, and indicate the time range.</w:t>
            </w:r>
          </w:p>
        </w:tc>
      </w:tr>
      <w:tr w14:paraId="08AB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866" w:type="pct"/>
            <w:noWrap/>
            <w:vAlign w:val="top"/>
          </w:tcPr>
          <w:p w14:paraId="333FC731">
            <w:pPr>
              <w:pStyle w:val="2"/>
              <w:jc w:val="left"/>
              <w:rPr>
                <w:rFonts w:ascii="Times New Roman" w:hAnsi="Times New Roman"/>
                <w:lang w:val="en-GB"/>
              </w:rPr>
            </w:pPr>
            <w:r>
              <w:rPr>
                <w:rFonts w:ascii="Times New Roman" w:hAnsi="Times New Roman"/>
                <w:lang w:val="en-GB"/>
              </w:rPr>
              <w:t>9. Is the Critical analysis of literature done?</w:t>
            </w:r>
          </w:p>
          <w:p w14:paraId="2C15FEDA">
            <w:pPr>
              <w:rPr>
                <w:color w:val="404040"/>
                <w:sz w:val="20"/>
                <w:szCs w:val="20"/>
                <w:shd w:val="clear" w:color="auto" w:fill="FFFFFF"/>
              </w:rPr>
            </w:pPr>
            <w:r>
              <w:rPr>
                <w:color w:val="404040"/>
                <w:sz w:val="20"/>
                <w:szCs w:val="20"/>
                <w:shd w:val="clear" w:color="auto" w:fill="FFFFFF"/>
              </w:rPr>
              <w:t xml:space="preserve">Rating Scale: </w:t>
            </w:r>
          </w:p>
          <w:p w14:paraId="2AAF472C">
            <w:pPr>
              <w:rPr>
                <w:sz w:val="20"/>
                <w:szCs w:val="20"/>
                <w:lang w:eastAsia="zh-CN"/>
              </w:rPr>
            </w:pPr>
            <w:r>
              <w:rPr>
                <w:color w:val="404040"/>
                <w:sz w:val="20"/>
                <w:szCs w:val="20"/>
                <w:shd w:val="clear" w:color="auto" w:fill="FFFFFF"/>
              </w:rPr>
              <w:t>5 = Excellent 4 = Good 3 = Satisfactory 2 = Needs Improvement 1 = Poor N/A = Not Applicable</w:t>
            </w:r>
          </w:p>
        </w:tc>
        <w:tc>
          <w:tcPr>
            <w:tcW w:w="1363" w:type="pct"/>
            <w:vAlign w:val="top"/>
          </w:tcPr>
          <w:p w14:paraId="688D180D">
            <w:pPr>
              <w:ind w:left="360"/>
              <w:rPr>
                <w:b/>
                <w:bCs/>
                <w:sz w:val="20"/>
                <w:szCs w:val="20"/>
              </w:rPr>
            </w:pPr>
            <w:r>
              <w:rPr>
                <w:b/>
                <w:bCs/>
                <w:sz w:val="20"/>
                <w:szCs w:val="20"/>
              </w:rPr>
              <w:t>1</w:t>
            </w:r>
          </w:p>
        </w:tc>
        <w:tc>
          <w:tcPr>
            <w:tcW w:w="1770" w:type="pct"/>
            <w:vAlign w:val="top"/>
          </w:tcPr>
          <w:p w14:paraId="3AFAC108">
            <w:pPr>
              <w:pStyle w:val="2"/>
              <w:jc w:val="both"/>
              <w:rPr>
                <w:rFonts w:hint="eastAsia" w:ascii="Times New Roman" w:hAnsi="Times New Roman" w:eastAsia="Arial Unicode MS" w:cs="Times New Roman"/>
                <w:b w:val="0"/>
                <w:bCs w:val="0"/>
                <w:sz w:val="18"/>
                <w:szCs w:val="18"/>
                <w:lang w:val="en-US" w:eastAsia="en-US" w:bidi="ar-SA"/>
              </w:rPr>
            </w:pPr>
            <w:r>
              <w:rPr>
                <w:rFonts w:hint="eastAsia" w:ascii="Times New Roman" w:hAnsi="Times New Roman" w:eastAsia="Arial Unicode MS" w:cs="Times New Roman"/>
                <w:b w:val="0"/>
                <w:bCs w:val="0"/>
                <w:sz w:val="18"/>
                <w:szCs w:val="18"/>
                <w:lang w:val="en-US" w:eastAsia="en-US" w:bidi="ar-SA"/>
              </w:rPr>
              <w:t>Thank you to the reviewer for pointing out this critical deficiency. I sincerely acknowledge that the original manuscript primarily remained at the level of summarizing the technical characteristics and application cases of various types of robots, lacking a critical assessment of methodological quality, research limitations, and result reliability. To address this issue, I have supplemented the revised manuscript with critical analyses of representative literature for each type of robot.</w:t>
            </w:r>
          </w:p>
          <w:p w14:paraId="58AF8038">
            <w:pPr>
              <w:pStyle w:val="2"/>
              <w:jc w:val="both"/>
              <w:rPr>
                <w:rFonts w:hint="eastAsia" w:ascii="Times New Roman" w:hAnsi="Times New Roman" w:eastAsia="Arial Unicode MS" w:cs="Times New Roman"/>
                <w:b w:val="0"/>
                <w:bCs w:val="0"/>
                <w:sz w:val="18"/>
                <w:szCs w:val="18"/>
                <w:lang w:val="en-GB" w:eastAsia="en-US" w:bidi="ar-SA"/>
              </w:rPr>
            </w:pPr>
          </w:p>
        </w:tc>
      </w:tr>
      <w:tr w14:paraId="47D9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866" w:type="pct"/>
            <w:noWrap/>
            <w:vAlign w:val="top"/>
          </w:tcPr>
          <w:p w14:paraId="439EF62D">
            <w:pPr>
              <w:rPr>
                <w:b/>
                <w:sz w:val="20"/>
                <w:szCs w:val="20"/>
              </w:rPr>
            </w:pPr>
            <w:r>
              <w:rPr>
                <w:b/>
                <w:sz w:val="20"/>
                <w:szCs w:val="20"/>
              </w:rPr>
              <w:t xml:space="preserve">10. Is </w:t>
            </w:r>
            <w:r>
              <w:rPr>
                <w:sz w:val="20"/>
                <w:szCs w:val="20"/>
              </w:rPr>
              <w:t xml:space="preserve">Identification of research gaps/future directions done </w:t>
            </w:r>
            <w:r>
              <w:rPr>
                <w:b/>
                <w:sz w:val="20"/>
                <w:szCs w:val="20"/>
              </w:rPr>
              <w:t>?</w:t>
            </w:r>
          </w:p>
          <w:p w14:paraId="6B61E5E6">
            <w:pPr>
              <w:rPr>
                <w:color w:val="404040"/>
                <w:sz w:val="20"/>
                <w:szCs w:val="20"/>
                <w:shd w:val="clear" w:color="auto" w:fill="FFFFFF"/>
              </w:rPr>
            </w:pPr>
            <w:r>
              <w:rPr>
                <w:color w:val="404040"/>
                <w:sz w:val="20"/>
                <w:szCs w:val="20"/>
                <w:shd w:val="clear" w:color="auto" w:fill="FFFFFF"/>
              </w:rPr>
              <w:t xml:space="preserve">Rating Scale: </w:t>
            </w:r>
          </w:p>
          <w:p w14:paraId="79AB6452">
            <w:pPr>
              <w:rPr>
                <w:sz w:val="20"/>
                <w:szCs w:val="20"/>
              </w:rPr>
            </w:pPr>
            <w:r>
              <w:rPr>
                <w:color w:val="404040"/>
                <w:sz w:val="20"/>
                <w:szCs w:val="20"/>
                <w:shd w:val="clear" w:color="auto" w:fill="FFFFFF"/>
              </w:rPr>
              <w:t>5 = Excellent 4 = Good 3 = Satisfactory 2 = Needs Improvement 1 = Poor N/A = Not Applicable</w:t>
            </w:r>
          </w:p>
        </w:tc>
        <w:tc>
          <w:tcPr>
            <w:tcW w:w="1363" w:type="pct"/>
            <w:vAlign w:val="top"/>
          </w:tcPr>
          <w:p w14:paraId="0E773EF8">
            <w:pPr>
              <w:ind w:left="360"/>
              <w:rPr>
                <w:b/>
                <w:bCs/>
                <w:sz w:val="20"/>
                <w:szCs w:val="20"/>
                <w:lang w:eastAsia="en-US"/>
              </w:rPr>
            </w:pPr>
            <w:r>
              <w:rPr>
                <w:b/>
                <w:bCs/>
                <w:sz w:val="20"/>
                <w:szCs w:val="20"/>
                <w:lang w:eastAsia="en-US"/>
              </w:rPr>
              <w:t>2</w:t>
            </w:r>
          </w:p>
        </w:tc>
        <w:tc>
          <w:tcPr>
            <w:tcW w:w="1770" w:type="pct"/>
            <w:vAlign w:val="top"/>
          </w:tcPr>
          <w:p w14:paraId="6D1B1B73">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en-US" w:bidi="ar-SA"/>
              </w:rPr>
              <w:t>The authors would like to express their sincere gratitude to the reviewers for their valuable comments. Although the original manuscript mentioned the current challenges in the "Conclusion" section, the identification of research gaps was insufficiently specific, and the elaboration of future directions was relatively general. In response to this comment, we have added a new section entitled "Research Gaps and Future Directions" in the revised manuscript, in which four research gaps are systematically identified.</w:t>
            </w:r>
          </w:p>
        </w:tc>
      </w:tr>
      <w:tr w14:paraId="7C4C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866" w:type="pct"/>
            <w:noWrap/>
            <w:vAlign w:val="top"/>
          </w:tcPr>
          <w:p w14:paraId="4952C313">
            <w:pPr>
              <w:rPr>
                <w:b/>
                <w:sz w:val="20"/>
                <w:szCs w:val="20"/>
              </w:rPr>
            </w:pPr>
            <w:r>
              <w:rPr>
                <w:b/>
                <w:sz w:val="20"/>
                <w:szCs w:val="20"/>
              </w:rPr>
              <w:t>11. Are the conclusions logically arrived?</w:t>
            </w:r>
          </w:p>
          <w:p w14:paraId="7C16A6F1">
            <w:pPr>
              <w:rPr>
                <w:color w:val="404040"/>
                <w:sz w:val="20"/>
                <w:szCs w:val="20"/>
                <w:shd w:val="clear" w:color="auto" w:fill="FFFFFF"/>
              </w:rPr>
            </w:pPr>
            <w:r>
              <w:rPr>
                <w:color w:val="404040"/>
                <w:sz w:val="20"/>
                <w:szCs w:val="20"/>
                <w:shd w:val="clear" w:color="auto" w:fill="FFFFFF"/>
              </w:rPr>
              <w:t xml:space="preserve">Rating Scale: </w:t>
            </w:r>
          </w:p>
          <w:p w14:paraId="7B31727C">
            <w:pPr>
              <w:rPr>
                <w:sz w:val="20"/>
                <w:szCs w:val="20"/>
              </w:rPr>
            </w:pPr>
            <w:r>
              <w:rPr>
                <w:color w:val="404040"/>
                <w:sz w:val="20"/>
                <w:szCs w:val="20"/>
                <w:shd w:val="clear" w:color="auto" w:fill="FFFFFF"/>
              </w:rPr>
              <w:t>5 = Excellent 4 = Good 3 = Satisfactory 2 = Needs Improvement 1 = Poor N/A = Not Applicable</w:t>
            </w:r>
          </w:p>
        </w:tc>
        <w:tc>
          <w:tcPr>
            <w:tcW w:w="1363" w:type="pct"/>
            <w:vAlign w:val="top"/>
          </w:tcPr>
          <w:p w14:paraId="4CBB9AFA">
            <w:pPr>
              <w:ind w:left="360"/>
              <w:rPr>
                <w:b/>
                <w:bCs/>
                <w:sz w:val="20"/>
                <w:szCs w:val="20"/>
                <w:lang w:eastAsia="en-US"/>
              </w:rPr>
            </w:pPr>
            <w:r>
              <w:rPr>
                <w:b/>
                <w:bCs/>
                <w:sz w:val="20"/>
                <w:szCs w:val="20"/>
                <w:lang w:eastAsia="en-US"/>
              </w:rPr>
              <w:t>1</w:t>
            </w:r>
          </w:p>
        </w:tc>
        <w:tc>
          <w:tcPr>
            <w:tcW w:w="1770" w:type="pct"/>
            <w:vAlign w:val="top"/>
          </w:tcPr>
          <w:p w14:paraId="16F9AF93">
            <w:pPr>
              <w:pStyle w:val="2"/>
              <w:jc w:val="both"/>
              <w:rPr>
                <w:rFonts w:hint="eastAsia" w:ascii="Times New Roman" w:hAnsi="Times New Roman" w:eastAsia="Arial Unicode MS" w:cs="Times New Roman"/>
                <w:b w:val="0"/>
                <w:bCs w:val="0"/>
                <w:sz w:val="18"/>
                <w:szCs w:val="18"/>
                <w:lang w:val="en-US" w:eastAsia="en-US" w:bidi="ar-SA"/>
              </w:rPr>
            </w:pPr>
            <w:r>
              <w:rPr>
                <w:rFonts w:hint="eastAsia" w:ascii="Times New Roman" w:hAnsi="Times New Roman" w:eastAsia="Arial Unicode MS" w:cs="Times New Roman"/>
                <w:b w:val="0"/>
                <w:bCs w:val="0"/>
                <w:sz w:val="18"/>
                <w:szCs w:val="18"/>
                <w:lang w:val="en-US" w:eastAsia="zh-CN" w:bidi="ar-SA"/>
              </w:rPr>
              <w:t>We sincerely appreciate the reviewer for pointing out this issue. After re-examining the Conclusion section of the original manuscript, we identified several deficiencies: inadequate connection with the analysis in the main text, insufficient support for some conclusions, and unclear logical progression.</w:t>
            </w:r>
          </w:p>
          <w:p w14:paraId="6F5BA77F">
            <w:pPr>
              <w:pStyle w:val="2"/>
              <w:jc w:val="both"/>
              <w:rPr>
                <w:rFonts w:hint="eastAsia" w:ascii="Times New Roman" w:hAnsi="Times New Roman" w:eastAsia="Arial Unicode MS" w:cs="Times New Roman"/>
                <w:b w:val="0"/>
                <w:bCs w:val="0"/>
                <w:sz w:val="18"/>
                <w:szCs w:val="18"/>
                <w:lang w:val="en-US" w:eastAsia="en-US" w:bidi="ar-SA"/>
              </w:rPr>
            </w:pPr>
            <w:r>
              <w:rPr>
                <w:rFonts w:hint="eastAsia" w:ascii="Times New Roman" w:hAnsi="Times New Roman" w:eastAsia="Arial Unicode MS" w:cs="Times New Roman"/>
                <w:b w:val="0"/>
                <w:bCs w:val="0"/>
                <w:sz w:val="18"/>
                <w:szCs w:val="18"/>
                <w:lang w:val="en-US" w:eastAsia="zh-CN" w:bidi="ar-SA"/>
              </w:rPr>
              <w:t>In the revised manuscript, we have completely rewritten the conclusion section following a rigorous logical structure: first, we review the analytical framework; second, we summarize three categories of common advantages; third, we generalize four types of common challenges; finally, based on the above analysis and identified research gaps, we propose three key directions for future development.</w:t>
            </w:r>
          </w:p>
          <w:p w14:paraId="7D1D90FC">
            <w:pPr>
              <w:pStyle w:val="2"/>
              <w:jc w:val="left"/>
              <w:rPr>
                <w:rFonts w:ascii="Times New Roman" w:hAnsi="Times New Roman"/>
                <w:b w:val="0"/>
                <w:lang w:val="en-GB" w:eastAsia="en-US"/>
              </w:rPr>
            </w:pPr>
          </w:p>
        </w:tc>
      </w:tr>
      <w:tr w14:paraId="5F39C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866" w:type="pct"/>
            <w:noWrap/>
            <w:vAlign w:val="top"/>
          </w:tcPr>
          <w:p w14:paraId="193075A3">
            <w:pPr>
              <w:rPr>
                <w:b/>
                <w:sz w:val="20"/>
                <w:szCs w:val="20"/>
              </w:rPr>
            </w:pPr>
            <w:r>
              <w:rPr>
                <w:b/>
                <w:sz w:val="20"/>
                <w:szCs w:val="20"/>
              </w:rPr>
              <w:t>12. Are the limitations of the paper discussed?</w:t>
            </w:r>
          </w:p>
          <w:p w14:paraId="02AFF1EA">
            <w:pPr>
              <w:rPr>
                <w:color w:val="404040"/>
                <w:sz w:val="20"/>
                <w:szCs w:val="20"/>
                <w:shd w:val="clear" w:color="auto" w:fill="FFFFFF"/>
              </w:rPr>
            </w:pPr>
            <w:r>
              <w:rPr>
                <w:color w:val="404040"/>
                <w:sz w:val="20"/>
                <w:szCs w:val="20"/>
                <w:shd w:val="clear" w:color="auto" w:fill="FFFFFF"/>
              </w:rPr>
              <w:t xml:space="preserve">Rating Scale: </w:t>
            </w:r>
          </w:p>
          <w:p w14:paraId="1207BB7D">
            <w:pPr>
              <w:rPr>
                <w:sz w:val="20"/>
                <w:szCs w:val="20"/>
              </w:rPr>
            </w:pPr>
            <w:r>
              <w:rPr>
                <w:color w:val="404040"/>
                <w:sz w:val="20"/>
                <w:szCs w:val="20"/>
                <w:shd w:val="clear" w:color="auto" w:fill="FFFFFF"/>
              </w:rPr>
              <w:t>5 = Excellent 4 = Good 3 = Satisfactory 2 = Needs Improvement 1 = Poor N/A = Not Applicable</w:t>
            </w:r>
          </w:p>
        </w:tc>
        <w:tc>
          <w:tcPr>
            <w:tcW w:w="1363" w:type="pct"/>
            <w:vAlign w:val="top"/>
          </w:tcPr>
          <w:p w14:paraId="78D6271B">
            <w:pPr>
              <w:ind w:left="360"/>
              <w:rPr>
                <w:b/>
                <w:bCs/>
                <w:sz w:val="20"/>
                <w:szCs w:val="20"/>
                <w:lang w:eastAsia="en-US"/>
              </w:rPr>
            </w:pPr>
            <w:r>
              <w:rPr>
                <w:b/>
                <w:bCs/>
                <w:sz w:val="20"/>
                <w:szCs w:val="20"/>
                <w:lang w:eastAsia="en-US"/>
              </w:rPr>
              <w:t>4</w:t>
            </w:r>
          </w:p>
        </w:tc>
        <w:tc>
          <w:tcPr>
            <w:tcW w:w="1770" w:type="pct"/>
            <w:vAlign w:val="top"/>
          </w:tcPr>
          <w:p w14:paraId="53FFE831">
            <w:pPr>
              <w:pStyle w:val="2"/>
              <w:jc w:val="both"/>
              <w:rPr>
                <w:rFonts w:hint="eastAsia" w:ascii="Times New Roman" w:hAnsi="Times New Roman" w:eastAsia="Arial Unicode MS" w:cs="Times New Roman"/>
                <w:b w:val="0"/>
                <w:bCs w:val="0"/>
                <w:sz w:val="18"/>
                <w:szCs w:val="18"/>
                <w:lang w:val="en-US" w:eastAsia="zh-CN" w:bidi="ar-SA"/>
              </w:rPr>
            </w:pPr>
            <w:r>
              <w:rPr>
                <w:rFonts w:hint="eastAsia" w:ascii="Times New Roman" w:hAnsi="Times New Roman" w:eastAsia="Arial Unicode MS" w:cs="Times New Roman"/>
                <w:b w:val="0"/>
                <w:bCs w:val="0"/>
                <w:sz w:val="18"/>
                <w:szCs w:val="18"/>
                <w:lang w:val="en-US" w:eastAsia="zh-CN" w:bidi="ar-SA"/>
              </w:rPr>
              <w:t>We are grateful for the reviewer’s positive feedback and affirmation. Although the original manuscript implicitly mentioned the limitations of the research scope in the “Conclusion” section, we have added a brief subsection entitled “Research Scope and Limitations” to the final conclusion in the revised manuscript.This addition clearly states that this paper mainly focuses on the classification of robot locomotion modes, and does not conduct in-depth discussions on other technical dimensions such as robot perception systems, decision-making algorithms, and communication architectures. Meanwhile, we acknowledge that the cited literature is dominated by Chinese and English sources, which may involve language bias.</w:t>
            </w:r>
          </w:p>
          <w:p w14:paraId="1EFDB7BC">
            <w:pPr>
              <w:pStyle w:val="2"/>
              <w:jc w:val="left"/>
              <w:rPr>
                <w:rFonts w:ascii="Times New Roman" w:hAnsi="Times New Roman"/>
                <w:b w:val="0"/>
                <w:lang w:val="en-GB" w:eastAsia="en-US"/>
              </w:rPr>
            </w:pPr>
          </w:p>
        </w:tc>
      </w:tr>
      <w:tr w14:paraId="223D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866" w:type="pct"/>
            <w:noWrap/>
            <w:vAlign w:val="top"/>
          </w:tcPr>
          <w:p w14:paraId="6BA75F1D">
            <w:pPr>
              <w:rPr>
                <w:b/>
                <w:sz w:val="20"/>
                <w:szCs w:val="20"/>
              </w:rPr>
            </w:pPr>
            <w:r>
              <w:rPr>
                <w:b/>
                <w:sz w:val="20"/>
                <w:szCs w:val="20"/>
              </w:rPr>
              <w:t xml:space="preserve">13. What is the </w:t>
            </w:r>
            <w:r>
              <w:rPr>
                <w:sz w:val="20"/>
                <w:szCs w:val="20"/>
              </w:rPr>
              <w:t>Quality of references (i.e. from peer reviewed authentic sources)</w:t>
            </w:r>
          </w:p>
          <w:p w14:paraId="291634FC">
            <w:pPr>
              <w:rPr>
                <w:color w:val="404040"/>
                <w:sz w:val="20"/>
                <w:szCs w:val="20"/>
                <w:shd w:val="clear" w:color="auto" w:fill="FFFFFF"/>
              </w:rPr>
            </w:pPr>
            <w:r>
              <w:rPr>
                <w:color w:val="404040"/>
                <w:sz w:val="20"/>
                <w:szCs w:val="20"/>
                <w:shd w:val="clear" w:color="auto" w:fill="FFFFFF"/>
              </w:rPr>
              <w:t xml:space="preserve">Rating Scale: </w:t>
            </w:r>
          </w:p>
          <w:p w14:paraId="1CD50BFD">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216B3078">
            <w:pPr>
              <w:rPr>
                <w:sz w:val="20"/>
                <w:szCs w:val="20"/>
              </w:rPr>
            </w:pPr>
            <w:r>
              <w:rPr>
                <w:color w:val="404040"/>
                <w:sz w:val="20"/>
                <w:szCs w:val="20"/>
                <w:shd w:val="clear" w:color="auto" w:fill="FFFFFF"/>
              </w:rPr>
              <w:t>N/A = Not Applicable</w:t>
            </w:r>
          </w:p>
        </w:tc>
        <w:tc>
          <w:tcPr>
            <w:tcW w:w="1363" w:type="pct"/>
            <w:vAlign w:val="top"/>
          </w:tcPr>
          <w:p w14:paraId="3B3F9F52">
            <w:pPr>
              <w:ind w:left="360"/>
              <w:rPr>
                <w:b/>
                <w:bCs/>
                <w:sz w:val="20"/>
                <w:szCs w:val="20"/>
                <w:lang w:eastAsia="en-US"/>
              </w:rPr>
            </w:pPr>
            <w:r>
              <w:rPr>
                <w:b/>
                <w:bCs/>
                <w:sz w:val="20"/>
                <w:szCs w:val="20"/>
                <w:lang w:eastAsia="en-US"/>
              </w:rPr>
              <w:t>4</w:t>
            </w:r>
          </w:p>
        </w:tc>
        <w:tc>
          <w:tcPr>
            <w:tcW w:w="1770" w:type="pct"/>
            <w:vAlign w:val="top"/>
          </w:tcPr>
          <w:p w14:paraId="18F16C07">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zh-CN" w:bidi="ar-SA"/>
              </w:rPr>
              <w:t>We appreciate the reviewer’s comment. I have rechecked the sources of all references. This study systematically searched CNKI and Web of Science to ensure comprehensive coverage of both Chinese and English literature. All references are authentic, up-to-date and authoritative, and confirmed to be obtained from peer-reviewed academic journals, dissertations, or conference proceedings with academic influence.</w:t>
            </w:r>
          </w:p>
        </w:tc>
      </w:tr>
      <w:tr w14:paraId="2A41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866" w:type="pct"/>
            <w:noWrap/>
            <w:vAlign w:val="top"/>
          </w:tcPr>
          <w:p w14:paraId="19E3EAAC">
            <w:pPr>
              <w:rPr>
                <w:b/>
                <w:sz w:val="20"/>
                <w:szCs w:val="20"/>
              </w:rPr>
            </w:pPr>
            <w:r>
              <w:rPr>
                <w:b/>
                <w:sz w:val="20"/>
                <w:szCs w:val="20"/>
              </w:rPr>
              <w:t>14. Is the manuscript written in clear and understandable language?</w:t>
            </w:r>
          </w:p>
          <w:p w14:paraId="042B6FF0">
            <w:pPr>
              <w:rPr>
                <w:color w:val="404040"/>
                <w:sz w:val="20"/>
                <w:szCs w:val="20"/>
                <w:shd w:val="clear" w:color="auto" w:fill="FFFFFF"/>
              </w:rPr>
            </w:pPr>
            <w:r>
              <w:rPr>
                <w:color w:val="404040"/>
                <w:sz w:val="20"/>
                <w:szCs w:val="20"/>
                <w:shd w:val="clear" w:color="auto" w:fill="FFFFFF"/>
              </w:rPr>
              <w:t xml:space="preserve">Rating Scale: </w:t>
            </w:r>
          </w:p>
          <w:p w14:paraId="29585566">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07E2C48F">
            <w:pPr>
              <w:rPr>
                <w:sz w:val="20"/>
                <w:szCs w:val="20"/>
              </w:rPr>
            </w:pPr>
            <w:r>
              <w:rPr>
                <w:color w:val="404040"/>
                <w:sz w:val="20"/>
                <w:szCs w:val="20"/>
                <w:shd w:val="clear" w:color="auto" w:fill="FFFFFF"/>
              </w:rPr>
              <w:t>N/A = Not Applicable</w:t>
            </w:r>
          </w:p>
        </w:tc>
        <w:tc>
          <w:tcPr>
            <w:tcW w:w="1363" w:type="pct"/>
            <w:vAlign w:val="top"/>
          </w:tcPr>
          <w:p w14:paraId="08BEA93F">
            <w:pPr>
              <w:ind w:left="360"/>
              <w:rPr>
                <w:b/>
                <w:bCs/>
                <w:sz w:val="20"/>
                <w:szCs w:val="20"/>
                <w:lang w:eastAsia="en-US"/>
              </w:rPr>
            </w:pPr>
            <w:r>
              <w:rPr>
                <w:b/>
                <w:bCs/>
                <w:sz w:val="20"/>
                <w:szCs w:val="20"/>
                <w:lang w:eastAsia="en-US"/>
              </w:rPr>
              <w:t>3</w:t>
            </w:r>
          </w:p>
        </w:tc>
        <w:tc>
          <w:tcPr>
            <w:tcW w:w="1770" w:type="pct"/>
            <w:vAlign w:val="top"/>
          </w:tcPr>
          <w:p w14:paraId="38B516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Times New Roman" w:hAnsi="Times New Roman" w:eastAsia="Arial Unicode MS" w:cs="Times New Roman"/>
                <w:b w:val="0"/>
                <w:bCs w:val="0"/>
                <w:sz w:val="18"/>
                <w:szCs w:val="18"/>
                <w:lang w:val="en-US" w:eastAsia="zh-CN" w:bidi="ar-SA"/>
              </w:rPr>
            </w:pPr>
            <w:r>
              <w:rPr>
                <w:rFonts w:hint="eastAsia" w:ascii="Times New Roman" w:hAnsi="Times New Roman" w:eastAsia="Arial Unicode MS" w:cs="Times New Roman"/>
                <w:b w:val="0"/>
                <w:bCs w:val="0"/>
                <w:sz w:val="18"/>
                <w:szCs w:val="18"/>
                <w:lang w:val="en-US" w:eastAsia="zh-CN" w:bidi="ar-SA"/>
              </w:rPr>
              <w:t>We appreciate the reviewer’s feedback. I have carefully read and revised the manuscript paragraph by paragraph, focusing on correcting issues such as overly complex long sentences, inconsistent terminology usage, and insufficiently concise expressions in both the Chinese and English abstracts.For instance, I have reorganized the Abstract section to better align with the structured framework of objective–method–result–conclusion. Meanwhile, redundant expressions in the main text have been condensed and streamlined.The revised manuscript demonstrates significant improvements in language fluency, terminological standardization, and overall readability.</w:t>
            </w:r>
          </w:p>
          <w:p w14:paraId="324E9F5E">
            <w:pPr>
              <w:pStyle w:val="2"/>
              <w:jc w:val="left"/>
              <w:rPr>
                <w:rFonts w:ascii="Times New Roman" w:hAnsi="Times New Roman"/>
                <w:b w:val="0"/>
                <w:lang w:val="en-GB" w:eastAsia="en-US"/>
              </w:rPr>
            </w:pPr>
          </w:p>
        </w:tc>
      </w:tr>
    </w:tbl>
    <w:p w14:paraId="3817CE22">
      <w:pPr>
        <w:pStyle w:val="5"/>
        <w:rPr>
          <w:rFonts w:ascii="Times New Roman" w:hAnsi="Times New Roman"/>
          <w:b/>
          <w:bCs/>
          <w:sz w:val="20"/>
          <w:szCs w:val="20"/>
          <w:u w:val="single"/>
          <w:lang w:val="en-GB"/>
        </w:rPr>
      </w:pPr>
    </w:p>
    <w:p w14:paraId="2F82107C">
      <w:pPr>
        <w:pStyle w:val="5"/>
        <w:rPr>
          <w:rFonts w:ascii="Times New Roman" w:hAnsi="Times New Roman"/>
          <w:b/>
          <w:bCs/>
          <w:sz w:val="20"/>
          <w:szCs w:val="20"/>
          <w:u w:val="single"/>
          <w:lang w:val="en-GB"/>
        </w:rPr>
      </w:pPr>
    </w:p>
    <w:p w14:paraId="3A51FBAA">
      <w:pPr>
        <w:pStyle w:val="5"/>
        <w:rPr>
          <w:rFonts w:ascii="Times New Roman" w:hAnsi="Times New Roman"/>
          <w:b/>
          <w:bCs/>
          <w:sz w:val="20"/>
          <w:szCs w:val="20"/>
          <w:u w:val="single"/>
          <w:lang w:val="en-GB"/>
        </w:rPr>
      </w:pPr>
    </w:p>
    <w:p w14:paraId="24AF4717">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6E890A3B"/>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3195"/>
        <w:gridCol w:w="4743"/>
        <w:gridCol w:w="804"/>
        <w:gridCol w:w="4441"/>
        <w:gridCol w:w="601"/>
      </w:tblGrid>
      <w:tr w14:paraId="048E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4" w:type="pct"/>
            <w:gridSpan w:val="2"/>
            <w:noWrap/>
          </w:tcPr>
          <w:p w14:paraId="348F951F">
            <w:pPr>
              <w:pStyle w:val="2"/>
              <w:jc w:val="left"/>
              <w:rPr>
                <w:rFonts w:ascii="Times New Roman" w:hAnsi="Times New Roman"/>
                <w:lang w:val="en-GB" w:eastAsia="en-US"/>
              </w:rPr>
            </w:pPr>
          </w:p>
        </w:tc>
        <w:tc>
          <w:tcPr>
            <w:tcW w:w="1956" w:type="pct"/>
            <w:gridSpan w:val="2"/>
          </w:tcPr>
          <w:p w14:paraId="33E066B7">
            <w:pPr>
              <w:pStyle w:val="2"/>
              <w:jc w:val="left"/>
              <w:rPr>
                <w:rFonts w:ascii="Times New Roman" w:hAnsi="Times New Roman"/>
                <w:lang w:val="en-GB" w:eastAsia="en-US"/>
              </w:rPr>
            </w:pPr>
            <w:r>
              <w:rPr>
                <w:rFonts w:ascii="Times New Roman" w:hAnsi="Times New Roman"/>
                <w:lang w:val="en-GB" w:eastAsia="en-US"/>
              </w:rPr>
              <w:t>Reviewer’s comment</w:t>
            </w:r>
          </w:p>
          <w:p w14:paraId="17FE7512"/>
        </w:tc>
        <w:tc>
          <w:tcPr>
            <w:tcW w:w="1778" w:type="pct"/>
            <w:gridSpan w:val="2"/>
          </w:tcPr>
          <w:p w14:paraId="324FFBA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48FC34">
            <w:pPr>
              <w:pStyle w:val="2"/>
              <w:jc w:val="left"/>
              <w:rPr>
                <w:rFonts w:ascii="Times New Roman" w:hAnsi="Times New Roman"/>
                <w:b w:val="0"/>
                <w:lang w:val="en-GB" w:eastAsia="en-US"/>
              </w:rPr>
            </w:pPr>
          </w:p>
        </w:tc>
      </w:tr>
      <w:tr w14:paraId="22C8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gridSpan w:val="2"/>
            <w:noWrap/>
          </w:tcPr>
          <w:p w14:paraId="09D1BBED">
            <w:pPr>
              <w:ind w:left="360"/>
              <w:rPr>
                <w:b/>
                <w:bCs/>
                <w:sz w:val="20"/>
                <w:szCs w:val="20"/>
              </w:rPr>
            </w:pPr>
            <w:r>
              <w:rPr>
                <w:b/>
                <w:bCs/>
                <w:sz w:val="20"/>
                <w:szCs w:val="20"/>
              </w:rPr>
              <w:t>Is the title of the article suitable?</w:t>
            </w:r>
          </w:p>
          <w:p w14:paraId="3C5213D2">
            <w:pPr>
              <w:ind w:left="360"/>
              <w:rPr>
                <w:bCs/>
                <w:sz w:val="20"/>
                <w:szCs w:val="20"/>
              </w:rPr>
            </w:pPr>
          </w:p>
          <w:p w14:paraId="2EDC5172">
            <w:pPr>
              <w:ind w:left="360"/>
              <w:rPr>
                <w:u w:val="single"/>
              </w:rPr>
            </w:pPr>
            <w:r>
              <w:rPr>
                <w:bCs/>
                <w:sz w:val="20"/>
                <w:szCs w:val="20"/>
              </w:rPr>
              <w:t>If your answer is NO, please provide a brief, clear suggestion for improvement.</w:t>
            </w:r>
          </w:p>
        </w:tc>
        <w:tc>
          <w:tcPr>
            <w:tcW w:w="1956" w:type="pct"/>
            <w:gridSpan w:val="2"/>
          </w:tcPr>
          <w:p w14:paraId="26F9E2E9">
            <w:pPr>
              <w:rPr>
                <w:lang w:val="en-US"/>
              </w:rPr>
            </w:pPr>
            <w:r>
              <w:t xml:space="preserve">Yes, the is. </w:t>
            </w:r>
            <w:r>
              <w:rPr>
                <w:rStyle w:val="25"/>
                <w:rFonts w:eastAsia="Arial Unicode MS"/>
              </w:rPr>
              <w:t xml:space="preserve">The title is </w:t>
            </w:r>
            <w:r>
              <w:rPr>
                <w:rStyle w:val="26"/>
              </w:rPr>
              <w:t>accurate</w:t>
            </w:r>
            <w:r>
              <w:t xml:space="preserve"> and </w:t>
            </w:r>
            <w:r>
              <w:rPr>
                <w:rStyle w:val="26"/>
              </w:rPr>
              <w:t>concise</w:t>
            </w:r>
            <w:r>
              <w:t xml:space="preserve">. </w:t>
            </w:r>
            <w:r>
              <w:rPr>
                <w:rStyle w:val="26"/>
              </w:rPr>
              <w:t>Adhering</w:t>
            </w:r>
            <w:r>
              <w:t xml:space="preserve"> </w:t>
            </w:r>
            <w:r>
              <w:rPr>
                <w:rStyle w:val="26"/>
              </w:rPr>
              <w:t>to</w:t>
            </w:r>
            <w:r>
              <w:t xml:space="preserve"> the engineering </w:t>
            </w:r>
            <w:r>
              <w:rPr>
                <w:rStyle w:val="26"/>
              </w:rPr>
              <w:t>standard</w:t>
            </w:r>
            <w:r>
              <w:t xml:space="preserve"> of </w:t>
            </w:r>
            <w:r>
              <w:rPr>
                <w:rStyle w:val="26"/>
              </w:rPr>
              <w:t>precise</w:t>
            </w:r>
            <w:r>
              <w:rPr>
                <w:rStyle w:val="25"/>
                <w:rFonts w:eastAsia="Arial Unicode MS"/>
              </w:rPr>
              <w:t xml:space="preserve"> problem identification, it </w:t>
            </w:r>
            <w:r>
              <w:rPr>
                <w:rStyle w:val="26"/>
              </w:rPr>
              <w:t>successfully</w:t>
            </w:r>
            <w:r>
              <w:t xml:space="preserve"> </w:t>
            </w:r>
            <w:r>
              <w:rPr>
                <w:rStyle w:val="26"/>
              </w:rPr>
              <w:t>pinpoints</w:t>
            </w:r>
            <w:r>
              <w:t xml:space="preserve"> the operational </w:t>
            </w:r>
            <w:r>
              <w:rPr>
                <w:rStyle w:val="26"/>
              </w:rPr>
              <w:t>area</w:t>
            </w:r>
            <w:r>
              <w:rPr>
                <w:rStyle w:val="25"/>
                <w:rFonts w:eastAsia="Arial Unicode MS"/>
              </w:rPr>
              <w:t xml:space="preserve"> (Rail Transit) and the </w:t>
            </w:r>
            <w:r>
              <w:rPr>
                <w:rStyle w:val="26"/>
              </w:rPr>
              <w:t>primary</w:t>
            </w:r>
            <w:r>
              <w:t xml:space="preserve"> technology </w:t>
            </w:r>
            <w:r>
              <w:rPr>
                <w:rStyle w:val="26"/>
              </w:rPr>
              <w:t>focus</w:t>
            </w:r>
            <w:r>
              <w:t xml:space="preserve"> (Intelligent Robots).</w:t>
            </w:r>
          </w:p>
        </w:tc>
        <w:tc>
          <w:tcPr>
            <w:tcW w:w="1778" w:type="pct"/>
            <w:gridSpan w:val="2"/>
          </w:tcPr>
          <w:p w14:paraId="5FDE4FE0">
            <w:pPr>
              <w:jc w:val="both"/>
              <w:rPr>
                <w:rFonts w:ascii="Times New Roman" w:hAnsi="Times New Roman"/>
                <w:b w:val="0"/>
                <w:lang w:val="en-GB" w:eastAsia="en-US"/>
              </w:rPr>
            </w:pPr>
            <w:r>
              <w:t>I sincerely thank the reviewer for the positive assessment of the article title. I agree that the title accurately reflects the research focus by clearly identifying the operational domain (Rail Transit) and the core technological subject (Intelligent Robots). To further enhance precision and align with the expanded scope of the revised manuscript, I have slightly refined the title to “Intelligent Inspection Robots in Rail Transit: A Review of Locomotion Modes, Applications, and Future Directions.” This revision better captures the comprehensive nature of the review while maintaining conciseness and clarity.</w:t>
            </w:r>
          </w:p>
        </w:tc>
      </w:tr>
      <w:tr w14:paraId="57E9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gridSpan w:val="2"/>
            <w:noWrap/>
          </w:tcPr>
          <w:p w14:paraId="533D5D93">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132794">
            <w:pPr>
              <w:ind w:left="284"/>
              <w:rPr>
                <w:bCs/>
                <w:sz w:val="20"/>
                <w:szCs w:val="20"/>
              </w:rPr>
            </w:pPr>
          </w:p>
          <w:p w14:paraId="2BBB2A3A">
            <w:pPr>
              <w:ind w:left="284"/>
            </w:pPr>
            <w:r>
              <w:rPr>
                <w:bCs/>
                <w:sz w:val="20"/>
                <w:szCs w:val="20"/>
              </w:rPr>
              <w:t>If your answer is NO, please provide a brief, clear suggestion for improvement.</w:t>
            </w:r>
          </w:p>
        </w:tc>
        <w:tc>
          <w:tcPr>
            <w:tcW w:w="1956" w:type="pct"/>
            <w:gridSpan w:val="2"/>
          </w:tcPr>
          <w:p w14:paraId="1EB7E2D3">
            <w:pPr>
              <w:rPr>
                <w:lang w:val="en-US"/>
              </w:rPr>
            </w:pPr>
            <w:r>
              <w:rPr>
                <w:b/>
                <w:bCs/>
                <w:sz w:val="20"/>
                <w:szCs w:val="20"/>
              </w:rPr>
              <w:t xml:space="preserve">Yes, the is. </w:t>
            </w:r>
            <w:r>
              <w:t xml:space="preserve">The abstract </w:t>
            </w:r>
            <w:r>
              <w:rPr>
                <w:rStyle w:val="26"/>
                <w:rFonts w:eastAsia="Arial Unicode MS"/>
              </w:rPr>
              <w:t>clearly</w:t>
            </w:r>
            <w:r>
              <w:t xml:space="preserve"> </w:t>
            </w:r>
            <w:r>
              <w:rPr>
                <w:rStyle w:val="26"/>
                <w:rFonts w:eastAsia="Arial Unicode MS"/>
              </w:rPr>
              <w:t>describes</w:t>
            </w:r>
            <w:r>
              <w:rPr>
                <w:rStyle w:val="25"/>
              </w:rPr>
              <w:t xml:space="preserve"> the methodology, the </w:t>
            </w:r>
            <w:r>
              <w:rPr>
                <w:rStyle w:val="26"/>
                <w:rFonts w:eastAsia="Arial Unicode MS"/>
              </w:rPr>
              <w:t>four-level</w:t>
            </w:r>
            <w:r>
              <w:rPr>
                <w:rStyle w:val="25"/>
              </w:rPr>
              <w:t xml:space="preserve"> classification system (rail-mounted, wheeled, tracked, and quadruped), and the </w:t>
            </w:r>
            <w:r>
              <w:rPr>
                <w:rStyle w:val="26"/>
                <w:rFonts w:eastAsia="Arial Unicode MS"/>
              </w:rPr>
              <w:t>main</w:t>
            </w:r>
            <w:r>
              <w:t xml:space="preserve"> </w:t>
            </w:r>
            <w:r>
              <w:rPr>
                <w:rStyle w:val="26"/>
                <w:rFonts w:eastAsia="Arial Unicode MS"/>
              </w:rPr>
              <w:t>aim</w:t>
            </w:r>
            <w:r>
              <w:t xml:space="preserve"> of </w:t>
            </w:r>
            <w:r>
              <w:rPr>
                <w:rStyle w:val="26"/>
                <w:rFonts w:eastAsia="Arial Unicode MS"/>
              </w:rPr>
              <w:t>enhancing</w:t>
            </w:r>
            <w:r>
              <w:rPr>
                <w:rStyle w:val="25"/>
              </w:rPr>
              <w:t xml:space="preserve"> O&amp;M (Operation and Maintenance) </w:t>
            </w:r>
            <w:r>
              <w:rPr>
                <w:rStyle w:val="26"/>
                <w:rFonts w:eastAsia="Arial Unicode MS"/>
              </w:rPr>
              <w:t>via</w:t>
            </w:r>
            <w:r>
              <w:t xml:space="preserve"> digitalization. It </w:t>
            </w:r>
            <w:r>
              <w:rPr>
                <w:rStyle w:val="26"/>
                <w:rFonts w:eastAsia="Arial Unicode MS"/>
              </w:rPr>
              <w:t>offers</w:t>
            </w:r>
            <w:r>
              <w:t xml:space="preserve"> a </w:t>
            </w:r>
            <w:r>
              <w:rPr>
                <w:rStyle w:val="26"/>
                <w:rFonts w:eastAsia="Arial Unicode MS"/>
              </w:rPr>
              <w:t>transparent</w:t>
            </w:r>
            <w:r>
              <w:t xml:space="preserve"> </w:t>
            </w:r>
            <w:r>
              <w:rPr>
                <w:rStyle w:val="26"/>
                <w:rFonts w:eastAsia="Arial Unicode MS"/>
              </w:rPr>
              <w:t>guide</w:t>
            </w:r>
            <w:r>
              <w:rPr>
                <w:rStyle w:val="25"/>
              </w:rPr>
              <w:t xml:space="preserve"> of the manuscript's technical contributions</w:t>
            </w:r>
            <w:r>
              <w:t>.</w:t>
            </w:r>
          </w:p>
        </w:tc>
        <w:tc>
          <w:tcPr>
            <w:tcW w:w="1778" w:type="pct"/>
            <w:gridSpan w:val="2"/>
          </w:tcPr>
          <w:p w14:paraId="2831BA14">
            <w:pPr>
              <w:jc w:val="both"/>
              <w:rPr>
                <w:b/>
                <w:bCs/>
                <w:sz w:val="20"/>
                <w:szCs w:val="20"/>
                <w:lang w:val="en-GB" w:eastAsia="en-US"/>
              </w:rPr>
            </w:pPr>
            <w:r>
              <w:rPr>
                <w:rStyle w:val="26"/>
                <w:rFonts w:eastAsia="Arial Unicode MS"/>
              </w:rPr>
              <w:t>I sincerely thank the reviewer for the positive evaluation of the abstract. I am pleased to know that the methodology, the four-level classification framework, and the objective of enhancing operation and maintenance through digitalization are clearly conveyed. In the revised manuscript, I have further refined the abstract to explicitly state the four categories of robots and their respective application scenarios, ensuring that the technical contributions are presented in a more structured and transparent manner. The revision maintains conciseness while enhancing clarity for readers.</w:t>
            </w:r>
          </w:p>
        </w:tc>
      </w:tr>
      <w:tr w14:paraId="6E11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4" w:type="pct"/>
            <w:gridSpan w:val="2"/>
            <w:noWrap/>
          </w:tcPr>
          <w:p w14:paraId="107A5DF5">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BA3BBDB">
            <w:pPr>
              <w:ind w:left="284"/>
              <w:rPr>
                <w:b/>
              </w:rPr>
            </w:pPr>
            <w:r>
              <w:rPr>
                <w:bCs/>
                <w:sz w:val="20"/>
                <w:szCs w:val="20"/>
              </w:rPr>
              <w:t>If your answer is NO, please provide a brief, clear suggestion for improvement.</w:t>
            </w:r>
          </w:p>
        </w:tc>
        <w:tc>
          <w:tcPr>
            <w:tcW w:w="1956" w:type="pct"/>
            <w:gridSpan w:val="2"/>
          </w:tcPr>
          <w:p w14:paraId="3A8D51A3">
            <w:r>
              <w:rPr>
                <w:bCs/>
                <w:sz w:val="20"/>
                <w:szCs w:val="20"/>
              </w:rPr>
              <w:t xml:space="preserve">Yes, the is. </w:t>
            </w:r>
            <w:r>
              <w:t xml:space="preserve">The </w:t>
            </w:r>
            <w:r>
              <w:rPr>
                <w:rStyle w:val="26"/>
                <w:rFonts w:eastAsia="Arial Unicode MS"/>
              </w:rPr>
              <w:t>document</w:t>
            </w:r>
            <w:r>
              <w:t xml:space="preserve"> is </w:t>
            </w:r>
            <w:r>
              <w:rPr>
                <w:rStyle w:val="26"/>
                <w:rFonts w:eastAsia="Arial Unicode MS"/>
              </w:rPr>
              <w:t>based</w:t>
            </w:r>
            <w:r>
              <w:t xml:space="preserve"> </w:t>
            </w:r>
            <w:r>
              <w:rPr>
                <w:rStyle w:val="26"/>
                <w:rFonts w:eastAsia="Arial Unicode MS"/>
              </w:rPr>
              <w:t>on</w:t>
            </w:r>
            <w:r>
              <w:t xml:space="preserve"> </w:t>
            </w:r>
            <w:r>
              <w:rPr>
                <w:rStyle w:val="26"/>
                <w:rFonts w:eastAsia="Arial Unicode MS"/>
              </w:rPr>
              <w:t>strong</w:t>
            </w:r>
            <w:r>
              <w:t xml:space="preserve"> principles </w:t>
            </w:r>
            <w:r>
              <w:rPr>
                <w:rStyle w:val="26"/>
                <w:rFonts w:eastAsia="Arial Unicode MS"/>
              </w:rPr>
              <w:t>of</w:t>
            </w:r>
            <w:r>
              <w:rPr>
                <w:rStyle w:val="25"/>
              </w:rPr>
              <w:t xml:space="preserve"> Robotic Engineering and Industrial Systems</w:t>
            </w:r>
            <w:r>
              <w:t xml:space="preserve">. It </w:t>
            </w:r>
            <w:r>
              <w:rPr>
                <w:rStyle w:val="26"/>
                <w:rFonts w:eastAsia="Arial Unicode MS"/>
              </w:rPr>
              <w:t>shows</w:t>
            </w:r>
            <w:r>
              <w:t xml:space="preserve"> </w:t>
            </w:r>
            <w:r>
              <w:rPr>
                <w:rStyle w:val="26"/>
                <w:rFonts w:eastAsia="Arial Unicode MS"/>
              </w:rPr>
              <w:t>an</w:t>
            </w:r>
            <w:r>
              <w:t xml:space="preserve"> </w:t>
            </w:r>
            <w:r>
              <w:rPr>
                <w:rStyle w:val="26"/>
                <w:rFonts w:eastAsia="Arial Unicode MS"/>
              </w:rPr>
              <w:t>advanced</w:t>
            </w:r>
            <w:r>
              <w:t xml:space="preserve"> </w:t>
            </w:r>
            <w:r>
              <w:rPr>
                <w:rStyle w:val="26"/>
                <w:rFonts w:eastAsia="Arial Unicode MS"/>
              </w:rPr>
              <w:t>comprehension</w:t>
            </w:r>
            <w:r>
              <w:t xml:space="preserve"> of:</w:t>
            </w:r>
          </w:p>
          <w:p w14:paraId="432E5E54">
            <w:r>
              <w:rPr>
                <w:rStyle w:val="25"/>
              </w:rPr>
              <w:t xml:space="preserve">• Locomotive Kinematics: </w:t>
            </w:r>
            <w:r>
              <w:rPr>
                <w:rStyle w:val="26"/>
                <w:rFonts w:eastAsia="Arial Unicode MS"/>
              </w:rPr>
              <w:t>Differentiating</w:t>
            </w:r>
            <w:r>
              <w:rPr>
                <w:rStyle w:val="25"/>
              </w:rPr>
              <w:t xml:space="preserve"> the high-speed stability of </w:t>
            </w:r>
            <w:r>
              <w:rPr>
                <w:rStyle w:val="26"/>
                <w:rFonts w:eastAsia="Arial Unicode MS"/>
              </w:rPr>
              <w:t>rail-guided</w:t>
            </w:r>
            <w:r>
              <w:t xml:space="preserve"> systems </w:t>
            </w:r>
            <w:r>
              <w:rPr>
                <w:rStyle w:val="26"/>
                <w:rFonts w:eastAsia="Arial Unicode MS"/>
              </w:rPr>
              <w:t>from</w:t>
            </w:r>
            <w:r>
              <w:t xml:space="preserve"> the </w:t>
            </w:r>
            <w:r>
              <w:rPr>
                <w:rStyle w:val="26"/>
                <w:rFonts w:eastAsia="Arial Unicode MS"/>
              </w:rPr>
              <w:t>intricate</w:t>
            </w:r>
            <w:r>
              <w:rPr>
                <w:rStyle w:val="25"/>
              </w:rPr>
              <w:t xml:space="preserve"> Degrees of Freedom (DoF) </w:t>
            </w:r>
            <w:r>
              <w:rPr>
                <w:rStyle w:val="26"/>
                <w:rFonts w:eastAsia="Arial Unicode MS"/>
              </w:rPr>
              <w:t>necessary</w:t>
            </w:r>
            <w:r>
              <w:t xml:space="preserve"> for </w:t>
            </w:r>
            <w:r>
              <w:rPr>
                <w:rStyle w:val="26"/>
                <w:rFonts w:eastAsia="Arial Unicode MS"/>
              </w:rPr>
              <w:t>quadrupedal</w:t>
            </w:r>
            <w:r>
              <w:t xml:space="preserve"> gait </w:t>
            </w:r>
            <w:r>
              <w:rPr>
                <w:rStyle w:val="26"/>
                <w:rFonts w:eastAsia="Arial Unicode MS"/>
              </w:rPr>
              <w:t>adjustments</w:t>
            </w:r>
            <w:r>
              <w:t xml:space="preserve"> in </w:t>
            </w:r>
            <w:r>
              <w:rPr>
                <w:rStyle w:val="26"/>
                <w:rFonts w:eastAsia="Arial Unicode MS"/>
              </w:rPr>
              <w:t>unpredictable</w:t>
            </w:r>
            <w:r>
              <w:t xml:space="preserve"> </w:t>
            </w:r>
            <w:r>
              <w:rPr>
                <w:rStyle w:val="26"/>
                <w:rFonts w:eastAsia="Arial Unicode MS"/>
              </w:rPr>
              <w:t>settings</w:t>
            </w:r>
            <w:r>
              <w:t>.</w:t>
            </w:r>
          </w:p>
          <w:p w14:paraId="1A997C5E">
            <w:r>
              <w:rPr>
                <w:rStyle w:val="25"/>
              </w:rPr>
              <w:t xml:space="preserve">• Sensor Fusion Logic: </w:t>
            </w:r>
            <w:r>
              <w:rPr>
                <w:rStyle w:val="26"/>
                <w:rFonts w:eastAsia="Arial Unicode MS"/>
              </w:rPr>
              <w:t>Combining</w:t>
            </w:r>
            <w:r>
              <w:rPr>
                <w:rStyle w:val="25"/>
              </w:rPr>
              <w:t xml:space="preserve"> LiDAR, thermal, and ultrasonic data is </w:t>
            </w:r>
            <w:r>
              <w:rPr>
                <w:rStyle w:val="26"/>
                <w:rFonts w:eastAsia="Arial Unicode MS"/>
              </w:rPr>
              <w:t>accurately</w:t>
            </w:r>
            <w:r>
              <w:t xml:space="preserve"> </w:t>
            </w:r>
            <w:r>
              <w:rPr>
                <w:rStyle w:val="26"/>
                <w:rFonts w:eastAsia="Arial Unicode MS"/>
              </w:rPr>
              <w:t>depicted</w:t>
            </w:r>
            <w:r>
              <w:t xml:space="preserve"> as a </w:t>
            </w:r>
            <w:r>
              <w:rPr>
                <w:rStyle w:val="26"/>
                <w:rFonts w:eastAsia="Arial Unicode MS"/>
              </w:rPr>
              <w:t>strategy</w:t>
            </w:r>
            <w:r>
              <w:t xml:space="preserve"> to </w:t>
            </w:r>
            <w:r>
              <w:rPr>
                <w:rStyle w:val="26"/>
                <w:rFonts w:eastAsia="Arial Unicode MS"/>
              </w:rPr>
              <w:t>reduce</w:t>
            </w:r>
            <w:r>
              <w:rPr>
                <w:rStyle w:val="25"/>
              </w:rPr>
              <w:t xml:space="preserve"> uncertainty in structural health monitoring</w:t>
            </w:r>
            <w:r>
              <w:t>.</w:t>
            </w:r>
          </w:p>
          <w:p w14:paraId="7ECE6C55">
            <w:pPr>
              <w:rPr>
                <w:lang w:val="en-US"/>
              </w:rPr>
            </w:pPr>
            <w:r>
              <w:rPr>
                <w:rStyle w:val="25"/>
              </w:rPr>
              <w:t xml:space="preserve">• Reliability Engineering: The </w:t>
            </w:r>
            <w:r>
              <w:rPr>
                <w:rStyle w:val="26"/>
                <w:rFonts w:eastAsia="Arial Unicode MS"/>
              </w:rPr>
              <w:t>assessment</w:t>
            </w:r>
            <w:r>
              <w:t xml:space="preserve"> </w:t>
            </w:r>
            <w:r>
              <w:rPr>
                <w:rStyle w:val="26"/>
                <w:rFonts w:eastAsia="Arial Unicode MS"/>
              </w:rPr>
              <w:t>considers</w:t>
            </w:r>
            <w:r>
              <w:t xml:space="preserve"> environmental </w:t>
            </w:r>
            <w:r>
              <w:rPr>
                <w:rStyle w:val="26"/>
                <w:rFonts w:eastAsia="Arial Unicode MS"/>
              </w:rPr>
              <w:t>stress</w:t>
            </w:r>
            <w:r>
              <w:t xml:space="preserve"> </w:t>
            </w:r>
            <w:r>
              <w:rPr>
                <w:rStyle w:val="26"/>
                <w:rFonts w:eastAsia="Arial Unicode MS"/>
              </w:rPr>
              <w:t>factors</w:t>
            </w:r>
            <w:r>
              <w:rPr>
                <w:rStyle w:val="25"/>
              </w:rPr>
              <w:t xml:space="preserve"> (moisture, dust, and </w:t>
            </w:r>
            <w:r>
              <w:rPr>
                <w:rStyle w:val="26"/>
                <w:rFonts w:eastAsia="Arial Unicode MS"/>
              </w:rPr>
              <w:t>GPS-restricted</w:t>
            </w:r>
            <w:r>
              <w:t xml:space="preserve"> </w:t>
            </w:r>
            <w:r>
              <w:rPr>
                <w:rStyle w:val="26"/>
                <w:rFonts w:eastAsia="Arial Unicode MS"/>
              </w:rPr>
              <w:t>regions)</w:t>
            </w:r>
            <w:r>
              <w:t xml:space="preserve"> </w:t>
            </w:r>
            <w:r>
              <w:rPr>
                <w:rStyle w:val="26"/>
                <w:rFonts w:eastAsia="Arial Unicode MS"/>
              </w:rPr>
              <w:t>characteristic</w:t>
            </w:r>
            <w:r>
              <w:t xml:space="preserve"> of </w:t>
            </w:r>
            <w:r>
              <w:rPr>
                <w:rStyle w:val="26"/>
                <w:rFonts w:eastAsia="Arial Unicode MS"/>
              </w:rPr>
              <w:t>underground</w:t>
            </w:r>
            <w:r>
              <w:t xml:space="preserve"> rail </w:t>
            </w:r>
            <w:r>
              <w:rPr>
                <w:rStyle w:val="26"/>
                <w:rFonts w:eastAsia="Arial Unicode MS"/>
              </w:rPr>
              <w:t>systems</w:t>
            </w:r>
            <w:r>
              <w:t>.</w:t>
            </w:r>
          </w:p>
        </w:tc>
        <w:tc>
          <w:tcPr>
            <w:tcW w:w="1778" w:type="pct"/>
            <w:gridSpan w:val="2"/>
          </w:tcPr>
          <w:p w14:paraId="25912D16">
            <w:pPr>
              <w:jc w:val="both"/>
              <w:rPr>
                <w:lang w:val="en-GB" w:eastAsia="en-US"/>
              </w:rPr>
            </w:pPr>
            <w:r>
              <w:rPr>
                <w:rFonts w:hint="default"/>
              </w:rPr>
              <w:t>I sincerely appreciate the reviewer’s recognition of the scientific foundation of this work. I am grateful that the analysis of locomotive kinematics, sensor fusion strategies, and reliability engineering considerations has been acknowledged as technically sound. In the revised manuscript, I have further strengthened the scientific rigor by adding a dedicated subsection on the literature search and analysis method, as well as incorporating critical assessments of the methodological quality of cited studies. These enhancements aim to provide greater transparency and to reinforce the scientific validity of the review.</w:t>
            </w:r>
          </w:p>
        </w:tc>
      </w:tr>
      <w:tr w14:paraId="0595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4" w:type="pct"/>
            <w:gridSpan w:val="2"/>
            <w:noWrap/>
          </w:tcPr>
          <w:p w14:paraId="39E78582">
            <w:pPr>
              <w:ind w:left="360"/>
              <w:rPr>
                <w:b/>
                <w:bCs/>
                <w:sz w:val="20"/>
                <w:szCs w:val="20"/>
              </w:rPr>
            </w:pPr>
            <w:r>
              <w:rPr>
                <w:b/>
                <w:bCs/>
                <w:sz w:val="20"/>
                <w:szCs w:val="20"/>
              </w:rPr>
              <w:t xml:space="preserve">Are the references sufficient and recent? </w:t>
            </w:r>
          </w:p>
          <w:p w14:paraId="66233CA3">
            <w:pPr>
              <w:ind w:left="360"/>
              <w:rPr>
                <w:bCs/>
                <w:sz w:val="20"/>
                <w:szCs w:val="20"/>
              </w:rPr>
            </w:pPr>
          </w:p>
          <w:p w14:paraId="51C531B0">
            <w:pPr>
              <w:ind w:left="360"/>
              <w:rPr>
                <w:b/>
                <w:bCs/>
                <w:sz w:val="20"/>
                <w:szCs w:val="20"/>
              </w:rPr>
            </w:pPr>
            <w:r>
              <w:rPr>
                <w:bCs/>
                <w:sz w:val="20"/>
                <w:szCs w:val="20"/>
              </w:rPr>
              <w:t>If your answer is NO, please provide clear suggestion for improvement.</w:t>
            </w:r>
          </w:p>
        </w:tc>
        <w:tc>
          <w:tcPr>
            <w:tcW w:w="1956" w:type="pct"/>
            <w:gridSpan w:val="2"/>
          </w:tcPr>
          <w:p w14:paraId="09617329">
            <w:pPr>
              <w:rPr>
                <w:lang w:val="en-US"/>
              </w:rPr>
            </w:pPr>
            <w:r>
              <w:rPr>
                <w:bCs/>
                <w:sz w:val="20"/>
                <w:szCs w:val="20"/>
              </w:rPr>
              <w:t xml:space="preserve">Yes, the are. </w:t>
            </w:r>
            <w:r>
              <w:rPr>
                <w:rStyle w:val="25"/>
                <w:rFonts w:eastAsia="Arial Unicode MS"/>
              </w:rPr>
              <w:t xml:space="preserve">The bibliography is a </w:t>
            </w:r>
            <w:r>
              <w:rPr>
                <w:rStyle w:val="26"/>
              </w:rPr>
              <w:t>notable</w:t>
            </w:r>
            <w:r>
              <w:t xml:space="preserve"> </w:t>
            </w:r>
            <w:r>
              <w:rPr>
                <w:rStyle w:val="26"/>
              </w:rPr>
              <w:t>asset</w:t>
            </w:r>
            <w:r>
              <w:t xml:space="preserve"> of this </w:t>
            </w:r>
            <w:r>
              <w:rPr>
                <w:rStyle w:val="26"/>
              </w:rPr>
              <w:t>piece</w:t>
            </w:r>
            <w:r>
              <w:t xml:space="preserve">. It </w:t>
            </w:r>
            <w:r>
              <w:rPr>
                <w:rStyle w:val="26"/>
              </w:rPr>
              <w:t>includes</w:t>
            </w:r>
            <w:r>
              <w:t xml:space="preserve"> </w:t>
            </w:r>
            <w:r>
              <w:rPr>
                <w:rStyle w:val="26"/>
              </w:rPr>
              <w:t>cutting-edge</w:t>
            </w:r>
            <w:r>
              <w:rPr>
                <w:rStyle w:val="25"/>
                <w:rFonts w:eastAsia="Arial Unicode MS"/>
              </w:rPr>
              <w:t xml:space="preserve"> research from 2024 and 2025 (e.g., Sensors, IEEE, and recent master's theses), ensuring that the </w:t>
            </w:r>
            <w:r>
              <w:rPr>
                <w:rStyle w:val="26"/>
              </w:rPr>
              <w:t>conversation</w:t>
            </w:r>
            <w:r>
              <w:rPr>
                <w:rStyle w:val="25"/>
                <w:rFonts w:eastAsia="Arial Unicode MS"/>
              </w:rPr>
              <w:t xml:space="preserve"> on Path Planning Optimization and Autonomous Inspection </w:t>
            </w:r>
            <w:r>
              <w:rPr>
                <w:rStyle w:val="26"/>
              </w:rPr>
              <w:t>represents</w:t>
            </w:r>
            <w:r>
              <w:t xml:space="preserve"> the </w:t>
            </w:r>
            <w:r>
              <w:rPr>
                <w:rStyle w:val="26"/>
              </w:rPr>
              <w:t>latest</w:t>
            </w:r>
            <w:r>
              <w:t xml:space="preserve"> technological </w:t>
            </w:r>
            <w:r>
              <w:rPr>
                <w:rStyle w:val="26"/>
              </w:rPr>
              <w:t>advancements</w:t>
            </w:r>
            <w:r>
              <w:t xml:space="preserve"> </w:t>
            </w:r>
            <w:r>
              <w:rPr>
                <w:rStyle w:val="26"/>
              </w:rPr>
              <w:t>instead</w:t>
            </w:r>
            <w:r>
              <w:t xml:space="preserve"> </w:t>
            </w:r>
            <w:r>
              <w:rPr>
                <w:rStyle w:val="26"/>
              </w:rPr>
              <w:t>of</w:t>
            </w:r>
            <w:r>
              <w:t xml:space="preserve"> </w:t>
            </w:r>
            <w:r>
              <w:rPr>
                <w:rStyle w:val="26"/>
              </w:rPr>
              <w:t>old</w:t>
            </w:r>
            <w:r>
              <w:t xml:space="preserve"> </w:t>
            </w:r>
            <w:r>
              <w:rPr>
                <w:rStyle w:val="26"/>
              </w:rPr>
              <w:t>standards</w:t>
            </w:r>
          </w:p>
        </w:tc>
        <w:tc>
          <w:tcPr>
            <w:tcW w:w="1778" w:type="pct"/>
            <w:gridSpan w:val="2"/>
          </w:tcPr>
          <w:p w14:paraId="0A4B2F69">
            <w:pPr>
              <w:jc w:val="both"/>
              <w:rPr>
                <w:lang w:val="en-GB" w:eastAsia="en-US"/>
              </w:rPr>
            </w:pPr>
            <w:r>
              <w:rPr>
                <w:rFonts w:hint="default"/>
              </w:rPr>
              <w:t>I sincerely thank the reviewer for the positive feedback regarding the quality and timeliness of the references. I am pleased that the inclusion of recent studies from 2024 and 2025 has been recognized as a strength. In the revised manuscript, I have further updated the references by incorporating additional high-quality sources published in recent years, particularly from peer-reviewed journals, to ensure the review reflects the most current advancements in the field. I have also verified the accuracy and relevance of all citations to maintain the scholarly integrity of the bibliography.</w:t>
            </w:r>
          </w:p>
        </w:tc>
      </w:tr>
      <w:tr w14:paraId="04E0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gridBefore w:val="1"/>
          <w:gridAfter w:val="1"/>
          <w:wBefore w:w="137" w:type="pct"/>
          <w:wAfter w:w="211" w:type="pct"/>
        </w:trPr>
        <w:tc>
          <w:tcPr>
            <w:tcW w:w="4650" w:type="pct"/>
            <w:gridSpan w:val="4"/>
            <w:tcBorders>
              <w:top w:val="nil"/>
              <w:left w:val="nil"/>
              <w:right w:val="nil"/>
            </w:tcBorders>
            <w:shd w:val="clear" w:color="auto" w:fill="EBFFFF"/>
            <w:noWrap/>
            <w:tcMar>
              <w:top w:w="0" w:type="dxa"/>
              <w:left w:w="108" w:type="dxa"/>
              <w:bottom w:w="0" w:type="dxa"/>
              <w:right w:w="108" w:type="dxa"/>
            </w:tcMar>
            <w:vAlign w:val="center"/>
          </w:tcPr>
          <w:p w14:paraId="397C96E8">
            <w:pPr>
              <w:pStyle w:val="8"/>
              <w:spacing w:before="0" w:beforeAutospacing="0" w:after="0" w:afterAutospacing="0"/>
              <w:rPr>
                <w:rFonts w:ascii="Times New Roman" w:hAnsi="Times New Roman" w:cs="Times New Roman"/>
                <w:b/>
                <w:bCs/>
                <w:sz w:val="20"/>
                <w:szCs w:val="20"/>
                <w:u w:val="single"/>
                <w:lang w:eastAsia="en-US"/>
              </w:rPr>
            </w:pPr>
          </w:p>
          <w:p w14:paraId="043647BE">
            <w:pPr>
              <w:pStyle w:val="8"/>
              <w:spacing w:before="0" w:beforeAutospacing="0" w:after="0" w:afterAutospacing="0"/>
              <w:rPr>
                <w:rFonts w:ascii="Times New Roman" w:hAnsi="Times New Roman" w:cs="Times New Roman"/>
                <w:b/>
                <w:bCs/>
                <w:sz w:val="20"/>
                <w:szCs w:val="20"/>
                <w:u w:val="single"/>
                <w:lang w:eastAsia="en-US"/>
              </w:rPr>
            </w:pPr>
          </w:p>
          <w:p w14:paraId="5DB8D5C1">
            <w:pPr>
              <w:pStyle w:val="8"/>
              <w:spacing w:before="0" w:beforeAutospacing="0" w:after="0" w:afterAutospacing="0"/>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Editorial Comments (This section is reserved for the comments from journal editorial office and editors):</w:t>
            </w:r>
          </w:p>
          <w:p w14:paraId="697822E0">
            <w:pPr>
              <w:pStyle w:val="8"/>
              <w:spacing w:before="0" w:beforeAutospacing="0" w:after="0" w:afterAutospacing="0"/>
              <w:rPr>
                <w:rFonts w:ascii="Times New Roman" w:hAnsi="Times New Roman" w:cs="Times New Roman"/>
                <w:b/>
                <w:bCs/>
                <w:sz w:val="20"/>
                <w:szCs w:val="20"/>
                <w:u w:val="single"/>
                <w:lang w:eastAsia="en-US"/>
              </w:rPr>
            </w:pPr>
          </w:p>
        </w:tc>
      </w:tr>
      <w:tr w14:paraId="68CC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gridBefore w:val="1"/>
          <w:gridAfter w:val="1"/>
          <w:wBefore w:w="137" w:type="pct"/>
          <w:wAfter w:w="211" w:type="pct"/>
        </w:trPr>
        <w:tc>
          <w:tcPr>
            <w:tcW w:w="2800" w:type="pct"/>
            <w:gridSpan w:val="2"/>
            <w:shd w:val="clear" w:color="auto" w:fill="EBFFFF"/>
            <w:noWrap/>
            <w:tcMar>
              <w:top w:w="0" w:type="dxa"/>
              <w:left w:w="108" w:type="dxa"/>
              <w:bottom w:w="0" w:type="dxa"/>
              <w:right w:w="108" w:type="dxa"/>
            </w:tcMar>
            <w:vAlign w:val="center"/>
          </w:tcPr>
          <w:p w14:paraId="3352842C">
            <w:pPr>
              <w:pStyle w:val="8"/>
              <w:spacing w:before="0" w:beforeAutospacing="0" w:after="0" w:afterAutospacing="0"/>
              <w:rPr>
                <w:rFonts w:ascii="Times New Roman" w:hAnsi="Times New Roman" w:cs="Times New Roman"/>
                <w:sz w:val="20"/>
                <w:szCs w:val="20"/>
                <w:lang w:eastAsia="en-US"/>
              </w:rPr>
            </w:pPr>
          </w:p>
        </w:tc>
        <w:tc>
          <w:tcPr>
            <w:tcW w:w="1850" w:type="pct"/>
            <w:gridSpan w:val="2"/>
            <w:shd w:val="clear" w:color="auto" w:fill="EBFFFF"/>
            <w:tcMar>
              <w:top w:w="0" w:type="dxa"/>
              <w:left w:w="108" w:type="dxa"/>
              <w:bottom w:w="0" w:type="dxa"/>
              <w:right w:w="108" w:type="dxa"/>
            </w:tcMar>
            <w:vAlign w:val="center"/>
          </w:tcPr>
          <w:p w14:paraId="4F1DEBC8">
            <w:pPr>
              <w:pStyle w:val="8"/>
              <w:spacing w:before="0" w:beforeAutospacing="0" w:after="0" w:afterAutospacing="0"/>
              <w:rPr>
                <w:rFonts w:ascii="Times New Roman" w:hAnsi="Times New Roman" w:cs="Times New Roman"/>
                <w:b/>
                <w:bCs/>
                <w:sz w:val="20"/>
                <w:szCs w:val="20"/>
                <w:lang w:eastAsia="en-US"/>
              </w:rPr>
            </w:pPr>
            <w:r>
              <w:rPr>
                <w:rFonts w:ascii="Times New Roman" w:hAnsi="Times New Roman" w:cs="Times New Roman"/>
                <w:sz w:val="20"/>
                <w:szCs w:val="20"/>
                <w:lang w:eastAsia="en-US"/>
              </w:rPr>
              <w:t>Author’s Feedback</w:t>
            </w:r>
          </w:p>
        </w:tc>
      </w:tr>
      <w:tr w14:paraId="4B2F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gridBefore w:val="1"/>
          <w:gridAfter w:val="1"/>
          <w:wBefore w:w="137" w:type="pct"/>
          <w:wAfter w:w="211" w:type="pct"/>
        </w:trPr>
        <w:tc>
          <w:tcPr>
            <w:tcW w:w="2800" w:type="pct"/>
            <w:gridSpan w:val="2"/>
            <w:shd w:val="clear" w:color="auto" w:fill="EBFFFF"/>
            <w:noWrap/>
            <w:tcMar>
              <w:top w:w="0" w:type="dxa"/>
              <w:left w:w="108" w:type="dxa"/>
              <w:bottom w:w="0" w:type="dxa"/>
              <w:right w:w="108" w:type="dxa"/>
            </w:tcMar>
            <w:vAlign w:val="center"/>
          </w:tcPr>
          <w:p w14:paraId="1937C62E">
            <w:pPr>
              <w:shd w:val="clear" w:color="auto" w:fill="FFFFFF"/>
              <w:rPr>
                <w:color w:val="2B2D38"/>
                <w:sz w:val="20"/>
                <w:szCs w:val="20"/>
              </w:rPr>
            </w:pPr>
            <w:r>
              <w:rPr>
                <w:color w:val="2B2D38"/>
                <w:sz w:val="20"/>
                <w:szCs w:val="20"/>
              </w:rPr>
              <w:t>This </w:t>
            </w:r>
            <w:r>
              <w:rPr>
                <w:rStyle w:val="26"/>
                <w:rFonts w:eastAsia="Arial Unicode MS"/>
                <w:color w:val="2B2D38"/>
                <w:sz w:val="20"/>
                <w:szCs w:val="20"/>
              </w:rPr>
              <w:t>paper</w:t>
            </w:r>
            <w:r>
              <w:rPr>
                <w:color w:val="2B2D38"/>
                <w:sz w:val="20"/>
                <w:szCs w:val="20"/>
              </w:rPr>
              <w:t> </w:t>
            </w:r>
            <w:r>
              <w:rPr>
                <w:rStyle w:val="26"/>
                <w:rFonts w:eastAsia="Arial Unicode MS"/>
                <w:color w:val="2B2D38"/>
                <w:sz w:val="20"/>
                <w:szCs w:val="20"/>
              </w:rPr>
              <w:t>provides</w:t>
            </w:r>
            <w:r>
              <w:rPr>
                <w:color w:val="2B2D38"/>
                <w:sz w:val="20"/>
                <w:szCs w:val="20"/>
              </w:rPr>
              <w:t> a </w:t>
            </w:r>
            <w:r>
              <w:rPr>
                <w:rStyle w:val="26"/>
                <w:rFonts w:eastAsia="Arial Unicode MS"/>
                <w:color w:val="2B2D38"/>
                <w:sz w:val="20"/>
                <w:szCs w:val="20"/>
              </w:rPr>
              <w:t>rigorous,</w:t>
            </w:r>
            <w:r>
              <w:rPr>
                <w:color w:val="2B2D38"/>
                <w:sz w:val="20"/>
                <w:szCs w:val="20"/>
              </w:rPr>
              <w:t> systematic </w:t>
            </w:r>
            <w:r>
              <w:rPr>
                <w:rStyle w:val="26"/>
                <w:rFonts w:eastAsia="Arial Unicode MS"/>
                <w:color w:val="2B2D38"/>
                <w:sz w:val="20"/>
                <w:szCs w:val="20"/>
              </w:rPr>
              <w:t>categorization</w:t>
            </w:r>
            <w:r>
              <w:rPr>
                <w:rStyle w:val="25"/>
                <w:color w:val="2B2D38"/>
                <w:sz w:val="20"/>
                <w:szCs w:val="20"/>
              </w:rPr>
              <w:t> of inspection robotics that is both </w:t>
            </w:r>
            <w:r>
              <w:rPr>
                <w:rStyle w:val="26"/>
                <w:rFonts w:eastAsia="Arial Unicode MS"/>
                <w:color w:val="2B2D38"/>
                <w:sz w:val="20"/>
                <w:szCs w:val="20"/>
              </w:rPr>
              <w:t>relevant</w:t>
            </w:r>
            <w:r>
              <w:rPr>
                <w:color w:val="2B2D38"/>
                <w:sz w:val="20"/>
                <w:szCs w:val="20"/>
              </w:rPr>
              <w:t> and </w:t>
            </w:r>
            <w:r>
              <w:rPr>
                <w:rStyle w:val="26"/>
                <w:rFonts w:eastAsia="Arial Unicode MS"/>
                <w:color w:val="2B2D38"/>
                <w:sz w:val="20"/>
                <w:szCs w:val="20"/>
              </w:rPr>
              <w:t>methodologically</w:t>
            </w:r>
            <w:r>
              <w:rPr>
                <w:color w:val="2B2D38"/>
                <w:sz w:val="20"/>
                <w:szCs w:val="20"/>
              </w:rPr>
              <w:t> </w:t>
            </w:r>
            <w:r>
              <w:rPr>
                <w:rStyle w:val="26"/>
                <w:rFonts w:eastAsia="Arial Unicode MS"/>
                <w:color w:val="2B2D38"/>
                <w:sz w:val="20"/>
                <w:szCs w:val="20"/>
              </w:rPr>
              <w:t>robust</w:t>
            </w:r>
            <w:r>
              <w:rPr>
                <w:color w:val="2B2D38"/>
                <w:sz w:val="20"/>
                <w:szCs w:val="20"/>
              </w:rPr>
              <w:t>. </w:t>
            </w:r>
            <w:r>
              <w:rPr>
                <w:rStyle w:val="25"/>
                <w:color w:val="2B2D38"/>
                <w:sz w:val="20"/>
                <w:szCs w:val="20"/>
              </w:rPr>
              <w:t>From an engineering </w:t>
            </w:r>
            <w:r>
              <w:rPr>
                <w:rStyle w:val="26"/>
                <w:rFonts w:eastAsia="Arial Unicode MS"/>
                <w:color w:val="2B2D38"/>
                <w:sz w:val="20"/>
                <w:szCs w:val="20"/>
              </w:rPr>
              <w:t>perspective,</w:t>
            </w:r>
            <w:r>
              <w:rPr>
                <w:color w:val="2B2D38"/>
                <w:sz w:val="20"/>
                <w:szCs w:val="20"/>
              </w:rPr>
              <w:t> the author </w:t>
            </w:r>
            <w:r>
              <w:rPr>
                <w:rStyle w:val="26"/>
                <w:rFonts w:eastAsia="Arial Unicode MS"/>
                <w:color w:val="2B2D38"/>
                <w:sz w:val="20"/>
                <w:szCs w:val="20"/>
              </w:rPr>
              <w:t>effectively</w:t>
            </w:r>
            <w:r>
              <w:rPr>
                <w:color w:val="2B2D38"/>
                <w:sz w:val="20"/>
                <w:szCs w:val="20"/>
              </w:rPr>
              <w:t> </w:t>
            </w:r>
            <w:r>
              <w:rPr>
                <w:rStyle w:val="26"/>
                <w:rFonts w:eastAsia="Arial Unicode MS"/>
                <w:color w:val="2B2D38"/>
                <w:sz w:val="20"/>
                <w:szCs w:val="20"/>
              </w:rPr>
              <w:t>assesses</w:t>
            </w:r>
            <w:r>
              <w:rPr>
                <w:rStyle w:val="25"/>
                <w:color w:val="2B2D38"/>
                <w:sz w:val="20"/>
                <w:szCs w:val="20"/>
              </w:rPr>
              <w:t> the Task-Environment Fit—a </w:t>
            </w:r>
            <w:r>
              <w:rPr>
                <w:rStyle w:val="26"/>
                <w:rFonts w:eastAsia="Arial Unicode MS"/>
                <w:color w:val="2B2D38"/>
                <w:sz w:val="20"/>
                <w:szCs w:val="20"/>
              </w:rPr>
              <w:t>vital</w:t>
            </w:r>
            <w:r>
              <w:rPr>
                <w:color w:val="2B2D38"/>
                <w:sz w:val="20"/>
                <w:szCs w:val="20"/>
              </w:rPr>
              <w:t> </w:t>
            </w:r>
            <w:r>
              <w:rPr>
                <w:rStyle w:val="26"/>
                <w:rFonts w:eastAsia="Arial Unicode MS"/>
                <w:color w:val="2B2D38"/>
                <w:sz w:val="20"/>
                <w:szCs w:val="20"/>
              </w:rPr>
              <w:t>element</w:t>
            </w:r>
            <w:r>
              <w:rPr>
                <w:color w:val="2B2D38"/>
                <w:sz w:val="20"/>
                <w:szCs w:val="20"/>
              </w:rPr>
              <w:t> in </w:t>
            </w:r>
            <w:r>
              <w:rPr>
                <w:rStyle w:val="26"/>
                <w:rFonts w:eastAsia="Arial Unicode MS"/>
                <w:color w:val="2B2D38"/>
                <w:sz w:val="20"/>
                <w:szCs w:val="20"/>
              </w:rPr>
              <w:t>moving</w:t>
            </w:r>
            <w:r>
              <w:rPr>
                <w:rStyle w:val="25"/>
                <w:color w:val="2B2D38"/>
                <w:sz w:val="20"/>
                <w:szCs w:val="20"/>
              </w:rPr>
              <w:t> from manual to automated rail maintenance</w:t>
            </w:r>
            <w:r>
              <w:rPr>
                <w:color w:val="2B2D38"/>
                <w:sz w:val="20"/>
                <w:szCs w:val="20"/>
              </w:rPr>
              <w:t>.</w:t>
            </w:r>
            <w:r>
              <w:rPr>
                <w:color w:val="2B2D38"/>
                <w:sz w:val="20"/>
                <w:szCs w:val="20"/>
              </w:rPr>
              <w:br w:type="textWrapping"/>
            </w:r>
          </w:p>
          <w:p w14:paraId="658679C5">
            <w:pPr>
              <w:shd w:val="clear" w:color="auto" w:fill="FFFFFF"/>
              <w:rPr>
                <w:color w:val="2B2D38"/>
                <w:sz w:val="20"/>
                <w:szCs w:val="20"/>
              </w:rPr>
            </w:pPr>
            <w:r>
              <w:rPr>
                <w:color w:val="2B2D38"/>
                <w:sz w:val="20"/>
                <w:szCs w:val="20"/>
              </w:rPr>
              <w:t>The </w:t>
            </w:r>
            <w:r>
              <w:rPr>
                <w:rStyle w:val="26"/>
                <w:rFonts w:eastAsia="Arial Unicode MS"/>
                <w:color w:val="2B2D38"/>
                <w:sz w:val="20"/>
                <w:szCs w:val="20"/>
              </w:rPr>
              <w:t>presence</w:t>
            </w:r>
            <w:r>
              <w:rPr>
                <w:color w:val="2B2D38"/>
                <w:sz w:val="20"/>
                <w:szCs w:val="20"/>
              </w:rPr>
              <w:t> of </w:t>
            </w:r>
            <w:r>
              <w:rPr>
                <w:rStyle w:val="26"/>
                <w:rFonts w:eastAsia="Arial Unicode MS"/>
                <w:color w:val="2B2D38"/>
                <w:sz w:val="20"/>
                <w:szCs w:val="20"/>
              </w:rPr>
              <w:t>extremely</w:t>
            </w:r>
            <w:r>
              <w:rPr>
                <w:rStyle w:val="25"/>
                <w:color w:val="2B2D38"/>
                <w:sz w:val="20"/>
                <w:szCs w:val="20"/>
              </w:rPr>
              <w:t> recent citations (2024–2025) </w:t>
            </w:r>
            <w:r>
              <w:rPr>
                <w:rStyle w:val="26"/>
                <w:rFonts w:eastAsia="Arial Unicode MS"/>
                <w:color w:val="2B2D38"/>
                <w:sz w:val="20"/>
                <w:szCs w:val="20"/>
              </w:rPr>
              <w:t>indicates</w:t>
            </w:r>
            <w:r>
              <w:rPr>
                <w:color w:val="2B2D38"/>
                <w:sz w:val="20"/>
                <w:szCs w:val="20"/>
              </w:rPr>
              <w:t> that the </w:t>
            </w:r>
            <w:r>
              <w:rPr>
                <w:rStyle w:val="26"/>
                <w:rFonts w:eastAsia="Arial Unicode MS"/>
                <w:color w:val="2B2D38"/>
                <w:sz w:val="20"/>
                <w:szCs w:val="20"/>
              </w:rPr>
              <w:t>research</w:t>
            </w:r>
            <w:r>
              <w:rPr>
                <w:color w:val="2B2D38"/>
                <w:sz w:val="20"/>
                <w:szCs w:val="20"/>
              </w:rPr>
              <w:t> is </w:t>
            </w:r>
            <w:r>
              <w:rPr>
                <w:rStyle w:val="26"/>
                <w:rFonts w:eastAsia="Arial Unicode MS"/>
                <w:color w:val="2B2D38"/>
                <w:sz w:val="20"/>
                <w:szCs w:val="20"/>
              </w:rPr>
              <w:t>leading</w:t>
            </w:r>
            <w:r>
              <w:rPr>
                <w:color w:val="2B2D38"/>
                <w:sz w:val="20"/>
                <w:szCs w:val="20"/>
              </w:rPr>
              <w:t> in the field, </w:t>
            </w:r>
            <w:r>
              <w:rPr>
                <w:rStyle w:val="26"/>
                <w:rFonts w:eastAsia="Arial Unicode MS"/>
                <w:color w:val="2B2D38"/>
                <w:sz w:val="20"/>
                <w:szCs w:val="20"/>
              </w:rPr>
              <w:t>especially</w:t>
            </w:r>
            <w:r>
              <w:rPr>
                <w:color w:val="2B2D38"/>
                <w:sz w:val="20"/>
                <w:szCs w:val="20"/>
              </w:rPr>
              <w:t> </w:t>
            </w:r>
            <w:r>
              <w:rPr>
                <w:rStyle w:val="26"/>
                <w:rFonts w:eastAsia="Arial Unicode MS"/>
                <w:color w:val="2B2D38"/>
                <w:sz w:val="20"/>
                <w:szCs w:val="20"/>
              </w:rPr>
              <w:t>concerning</w:t>
            </w:r>
            <w:r>
              <w:rPr>
                <w:color w:val="2B2D38"/>
                <w:sz w:val="20"/>
                <w:szCs w:val="20"/>
              </w:rPr>
              <w:t> quadruped gait </w:t>
            </w:r>
            <w:r>
              <w:rPr>
                <w:rStyle w:val="26"/>
                <w:rFonts w:eastAsia="Arial Unicode MS"/>
                <w:color w:val="2B2D38"/>
                <w:sz w:val="20"/>
                <w:szCs w:val="20"/>
              </w:rPr>
              <w:t>modification</w:t>
            </w:r>
            <w:r>
              <w:rPr>
                <w:color w:val="2B2D38"/>
                <w:sz w:val="20"/>
                <w:szCs w:val="20"/>
              </w:rPr>
              <w:t> and multi-sensor </w:t>
            </w:r>
            <w:r>
              <w:rPr>
                <w:rStyle w:val="26"/>
                <w:rFonts w:eastAsia="Arial Unicode MS"/>
                <w:color w:val="2B2D38"/>
                <w:sz w:val="20"/>
                <w:szCs w:val="20"/>
              </w:rPr>
              <w:t>integration</w:t>
            </w:r>
            <w:r>
              <w:rPr>
                <w:color w:val="2B2D38"/>
                <w:sz w:val="20"/>
                <w:szCs w:val="20"/>
              </w:rPr>
              <w:t> in </w:t>
            </w:r>
            <w:r>
              <w:rPr>
                <w:rStyle w:val="26"/>
                <w:rFonts w:eastAsia="Arial Unicode MS"/>
                <w:color w:val="2B2D38"/>
                <w:sz w:val="20"/>
                <w:szCs w:val="20"/>
              </w:rPr>
              <w:t>GPS-challenged</w:t>
            </w:r>
            <w:r>
              <w:rPr>
                <w:color w:val="2B2D38"/>
                <w:sz w:val="20"/>
                <w:szCs w:val="20"/>
              </w:rPr>
              <w:t> </w:t>
            </w:r>
            <w:r>
              <w:rPr>
                <w:rStyle w:val="26"/>
                <w:rFonts w:eastAsia="Arial Unicode MS"/>
                <w:color w:val="2B2D38"/>
                <w:sz w:val="20"/>
                <w:szCs w:val="20"/>
              </w:rPr>
              <w:t>areas</w:t>
            </w:r>
            <w:r>
              <w:rPr>
                <w:color w:val="2B2D38"/>
                <w:sz w:val="20"/>
                <w:szCs w:val="20"/>
              </w:rPr>
              <w:t> </w:t>
            </w:r>
            <w:r>
              <w:rPr>
                <w:rStyle w:val="26"/>
                <w:rFonts w:eastAsia="Arial Unicode MS"/>
                <w:color w:val="2B2D38"/>
                <w:sz w:val="20"/>
                <w:szCs w:val="20"/>
              </w:rPr>
              <w:t>such</w:t>
            </w:r>
            <w:r>
              <w:rPr>
                <w:color w:val="2B2D38"/>
                <w:sz w:val="20"/>
                <w:szCs w:val="20"/>
              </w:rPr>
              <w:t> </w:t>
            </w:r>
            <w:r>
              <w:rPr>
                <w:rStyle w:val="26"/>
                <w:rFonts w:eastAsia="Arial Unicode MS"/>
                <w:color w:val="2B2D38"/>
                <w:sz w:val="20"/>
                <w:szCs w:val="20"/>
              </w:rPr>
              <w:t>as</w:t>
            </w:r>
            <w:r>
              <w:rPr>
                <w:color w:val="2B2D38"/>
                <w:sz w:val="20"/>
                <w:szCs w:val="20"/>
              </w:rPr>
              <w:t> subway tunnels.</w:t>
            </w:r>
            <w:r>
              <w:rPr>
                <w:color w:val="2B2D38"/>
                <w:sz w:val="20"/>
                <w:szCs w:val="20"/>
              </w:rPr>
              <w:br w:type="textWrapping"/>
            </w:r>
          </w:p>
          <w:p w14:paraId="2F2D23FC">
            <w:pPr>
              <w:shd w:val="clear" w:color="auto" w:fill="FFFFFF"/>
              <w:rPr>
                <w:color w:val="2B2D38"/>
                <w:sz w:val="20"/>
                <w:szCs w:val="20"/>
              </w:rPr>
            </w:pPr>
            <w:r>
              <w:rPr>
                <w:color w:val="2B2D38"/>
                <w:sz w:val="20"/>
                <w:szCs w:val="20"/>
              </w:rPr>
              <w:t xml:space="preserve">Recommendation: </w:t>
            </w:r>
            <w:r>
              <w:rPr>
                <w:rStyle w:val="26"/>
                <w:rFonts w:eastAsia="Arial Unicode MS"/>
                <w:color w:val="2B2D38"/>
                <w:sz w:val="20"/>
                <w:szCs w:val="20"/>
              </w:rPr>
              <w:t>Although</w:t>
            </w:r>
            <w:r>
              <w:rPr>
                <w:rStyle w:val="25"/>
                <w:color w:val="2B2D38"/>
                <w:sz w:val="20"/>
                <w:szCs w:val="20"/>
              </w:rPr>
              <w:t> the conceptual and categorical framework is </w:t>
            </w:r>
            <w:r>
              <w:rPr>
                <w:rStyle w:val="26"/>
                <w:rFonts w:eastAsia="Arial Unicode MS"/>
                <w:color w:val="2B2D38"/>
                <w:sz w:val="20"/>
                <w:szCs w:val="20"/>
              </w:rPr>
              <w:t>strong,</w:t>
            </w:r>
            <w:r>
              <w:rPr>
                <w:rStyle w:val="25"/>
                <w:color w:val="2B2D38"/>
                <w:sz w:val="20"/>
                <w:szCs w:val="20"/>
              </w:rPr>
              <w:t> the paper would </w:t>
            </w:r>
            <w:r>
              <w:rPr>
                <w:rStyle w:val="26"/>
                <w:rFonts w:eastAsia="Arial Unicode MS"/>
                <w:color w:val="2B2D38"/>
                <w:sz w:val="20"/>
                <w:szCs w:val="20"/>
              </w:rPr>
              <w:t>have</w:t>
            </w:r>
            <w:r>
              <w:rPr>
                <w:color w:val="2B2D38"/>
                <w:sz w:val="20"/>
                <w:szCs w:val="20"/>
              </w:rPr>
              <w:t> a </w:t>
            </w:r>
            <w:r>
              <w:rPr>
                <w:rStyle w:val="26"/>
                <w:rFonts w:eastAsia="Arial Unicode MS"/>
                <w:color w:val="2B2D38"/>
                <w:sz w:val="20"/>
                <w:szCs w:val="20"/>
              </w:rPr>
              <w:t>greater</w:t>
            </w:r>
            <w:r>
              <w:rPr>
                <w:rStyle w:val="25"/>
                <w:color w:val="2B2D38"/>
                <w:sz w:val="20"/>
                <w:szCs w:val="20"/>
              </w:rPr>
              <w:t> impact if the author briefly </w:t>
            </w:r>
            <w:r>
              <w:rPr>
                <w:rStyle w:val="26"/>
                <w:rFonts w:eastAsia="Arial Unicode MS"/>
                <w:color w:val="2B2D38"/>
                <w:sz w:val="20"/>
                <w:szCs w:val="20"/>
              </w:rPr>
              <w:t>elaborated</w:t>
            </w:r>
            <w:r>
              <w:rPr>
                <w:rStyle w:val="25"/>
                <w:color w:val="2B2D38"/>
                <w:sz w:val="20"/>
                <w:szCs w:val="20"/>
              </w:rPr>
              <w:t> on the data integration </w:t>
            </w:r>
            <w:r>
              <w:rPr>
                <w:rStyle w:val="26"/>
                <w:rFonts w:eastAsia="Arial Unicode MS"/>
                <w:color w:val="2B2D38"/>
                <w:sz w:val="20"/>
                <w:szCs w:val="20"/>
              </w:rPr>
              <w:t>layer—particularly</w:t>
            </w:r>
            <w:r>
              <w:rPr>
                <w:rStyle w:val="25"/>
                <w:color w:val="2B2D38"/>
                <w:sz w:val="20"/>
                <w:szCs w:val="20"/>
              </w:rPr>
              <w:t> how the robotic sensory output </w:t>
            </w:r>
            <w:r>
              <w:rPr>
                <w:rStyle w:val="26"/>
                <w:rFonts w:eastAsia="Arial Unicode MS"/>
                <w:color w:val="2B2D38"/>
                <w:sz w:val="20"/>
                <w:szCs w:val="20"/>
              </w:rPr>
              <w:t>connects</w:t>
            </w:r>
            <w:r>
              <w:rPr>
                <w:color w:val="2B2D38"/>
                <w:sz w:val="20"/>
                <w:szCs w:val="20"/>
              </w:rPr>
              <w:t> with </w:t>
            </w:r>
            <w:r>
              <w:rPr>
                <w:rStyle w:val="26"/>
                <w:rFonts w:eastAsia="Arial Unicode MS"/>
                <w:color w:val="2B2D38"/>
                <w:sz w:val="20"/>
                <w:szCs w:val="20"/>
              </w:rPr>
              <w:t>current</w:t>
            </w:r>
            <w:r>
              <w:rPr>
                <w:rStyle w:val="25"/>
                <w:color w:val="2B2D38"/>
                <w:sz w:val="20"/>
                <w:szCs w:val="20"/>
              </w:rPr>
              <w:t> industrial management systems (ERP/BIM)</w:t>
            </w:r>
            <w:r>
              <w:rPr>
                <w:color w:val="2B2D38"/>
                <w:sz w:val="20"/>
                <w:szCs w:val="20"/>
              </w:rPr>
              <w:t>. This would </w:t>
            </w:r>
            <w:r>
              <w:rPr>
                <w:rStyle w:val="26"/>
                <w:rFonts w:eastAsia="Arial Unicode MS"/>
                <w:color w:val="2B2D38"/>
                <w:sz w:val="20"/>
                <w:szCs w:val="20"/>
              </w:rPr>
              <w:t>connect</w:t>
            </w:r>
            <w:r>
              <w:rPr>
                <w:rStyle w:val="25"/>
                <w:color w:val="2B2D38"/>
                <w:sz w:val="20"/>
                <w:szCs w:val="20"/>
              </w:rPr>
              <w:t> "robotics as a tool" </w:t>
            </w:r>
            <w:r>
              <w:rPr>
                <w:rStyle w:val="26"/>
                <w:rFonts w:eastAsia="Arial Unicode MS"/>
                <w:color w:val="2B2D38"/>
                <w:sz w:val="20"/>
                <w:szCs w:val="20"/>
              </w:rPr>
              <w:t>with</w:t>
            </w:r>
            <w:r>
              <w:rPr>
                <w:rStyle w:val="25"/>
                <w:color w:val="2B2D38"/>
                <w:sz w:val="20"/>
                <w:szCs w:val="20"/>
              </w:rPr>
              <w:t> "robotics as a system."</w:t>
            </w:r>
            <w:r>
              <w:rPr>
                <w:color w:val="2B2D38"/>
                <w:sz w:val="20"/>
                <w:szCs w:val="20"/>
              </w:rPr>
              <w:br w:type="textWrapping"/>
            </w:r>
          </w:p>
          <w:p w14:paraId="06DC0F49">
            <w:pPr>
              <w:shd w:val="clear" w:color="auto" w:fill="FFFFFF"/>
              <w:rPr>
                <w:color w:val="2B2D38"/>
                <w:sz w:val="20"/>
                <w:szCs w:val="20"/>
              </w:rPr>
            </w:pPr>
            <w:r>
              <w:rPr>
                <w:rStyle w:val="26"/>
                <w:rFonts w:eastAsia="Arial Unicode MS"/>
                <w:color w:val="2B2D38"/>
                <w:sz w:val="20"/>
                <w:szCs w:val="20"/>
              </w:rPr>
              <w:t>In</w:t>
            </w:r>
            <w:r>
              <w:rPr>
                <w:color w:val="2B2D38"/>
                <w:sz w:val="20"/>
                <w:szCs w:val="20"/>
              </w:rPr>
              <w:t> </w:t>
            </w:r>
            <w:r>
              <w:rPr>
                <w:rStyle w:val="26"/>
                <w:rFonts w:eastAsia="Arial Unicode MS"/>
                <w:color w:val="2B2D38"/>
                <w:sz w:val="20"/>
                <w:szCs w:val="20"/>
              </w:rPr>
              <w:t>general,</w:t>
            </w:r>
            <w:r>
              <w:rPr>
                <w:color w:val="2B2D38"/>
                <w:sz w:val="20"/>
                <w:szCs w:val="20"/>
              </w:rPr>
              <w:t> the </w:t>
            </w:r>
            <w:r>
              <w:rPr>
                <w:rStyle w:val="26"/>
                <w:rFonts w:eastAsia="Arial Unicode MS"/>
                <w:color w:val="2B2D38"/>
                <w:sz w:val="20"/>
                <w:szCs w:val="20"/>
              </w:rPr>
              <w:t>writing's</w:t>
            </w:r>
            <w:r>
              <w:rPr>
                <w:rStyle w:val="25"/>
                <w:color w:val="2B2D38"/>
                <w:sz w:val="20"/>
                <w:szCs w:val="20"/>
              </w:rPr>
              <w:t> technical depth and clarity </w:t>
            </w:r>
            <w:r>
              <w:rPr>
                <w:rStyle w:val="26"/>
                <w:rFonts w:eastAsia="Arial Unicode MS"/>
                <w:color w:val="2B2D38"/>
                <w:sz w:val="20"/>
                <w:szCs w:val="20"/>
              </w:rPr>
              <w:t>position</w:t>
            </w:r>
            <w:r>
              <w:rPr>
                <w:color w:val="2B2D38"/>
                <w:sz w:val="20"/>
                <w:szCs w:val="20"/>
              </w:rPr>
              <w:t> it as a </w:t>
            </w:r>
            <w:r>
              <w:rPr>
                <w:rStyle w:val="26"/>
                <w:rFonts w:eastAsia="Arial Unicode MS"/>
                <w:color w:val="2B2D38"/>
                <w:sz w:val="20"/>
                <w:szCs w:val="20"/>
              </w:rPr>
              <w:t>strong</w:t>
            </w:r>
            <w:r>
              <w:rPr>
                <w:color w:val="2B2D38"/>
                <w:sz w:val="20"/>
                <w:szCs w:val="20"/>
              </w:rPr>
              <w:t> </w:t>
            </w:r>
            <w:r>
              <w:rPr>
                <w:rStyle w:val="26"/>
                <w:rFonts w:eastAsia="Arial Unicode MS"/>
                <w:color w:val="2B2D38"/>
                <w:sz w:val="20"/>
                <w:szCs w:val="20"/>
              </w:rPr>
              <w:t>contender</w:t>
            </w:r>
            <w:r>
              <w:rPr>
                <w:rStyle w:val="25"/>
                <w:color w:val="2B2D38"/>
                <w:sz w:val="20"/>
                <w:szCs w:val="20"/>
              </w:rPr>
              <w:t> for publication as a Short </w:t>
            </w:r>
            <w:r>
              <w:rPr>
                <w:color w:val="2B2D38"/>
                <w:sz w:val="20"/>
                <w:szCs w:val="20"/>
              </w:rPr>
              <w:t>Communication</w:t>
            </w:r>
          </w:p>
        </w:tc>
        <w:tc>
          <w:tcPr>
            <w:tcW w:w="1850" w:type="pct"/>
            <w:gridSpan w:val="2"/>
            <w:shd w:val="clear" w:color="auto" w:fill="EBFFFF"/>
            <w:tcMar>
              <w:top w:w="0" w:type="dxa"/>
              <w:left w:w="108" w:type="dxa"/>
              <w:bottom w:w="0" w:type="dxa"/>
              <w:right w:w="108" w:type="dxa"/>
            </w:tcMar>
            <w:vAlign w:val="center"/>
          </w:tcPr>
          <w:p w14:paraId="590AB9F7">
            <w:pPr>
              <w:shd w:val="clear" w:color="auto" w:fill="FFFFFF"/>
              <w:jc w:val="both"/>
              <w:rPr>
                <w:color w:val="2B2D38"/>
                <w:sz w:val="20"/>
                <w:szCs w:val="20"/>
              </w:rPr>
            </w:pPr>
            <w:r>
              <w:rPr>
                <w:color w:val="2B2D38"/>
                <w:sz w:val="20"/>
                <w:szCs w:val="20"/>
              </w:rPr>
              <w:t>I sincerely thank the editorial office and the handling editor for the thoughtful and constructive evaluation of my manuscript. I am truly encouraged by the positive recognition of the systematic categorization framework and the methodological rigor applied in this review.</w:t>
            </w:r>
          </w:p>
          <w:p w14:paraId="1670A620">
            <w:pPr>
              <w:shd w:val="clear" w:color="auto" w:fill="FFFFFF"/>
              <w:jc w:val="both"/>
              <w:rPr>
                <w:color w:val="2B2D38"/>
                <w:sz w:val="20"/>
                <w:szCs w:val="20"/>
              </w:rPr>
            </w:pPr>
            <w:r>
              <w:rPr>
                <w:rFonts w:hint="default"/>
                <w:color w:val="2B2D38"/>
                <w:sz w:val="20"/>
                <w:szCs w:val="20"/>
              </w:rPr>
              <w:t>I am particularly grateful that the editor acknowledged the relevance of the task–environment fit analysis, as well as the inclusion of recent citations that reflect cutting-edge advancements in quadruped gait modification and multi-sensor integration in GPS-challenged environments such as subway tunnels. These comments affirm the timeliness and technical relevance of the research.</w:t>
            </w:r>
          </w:p>
          <w:p w14:paraId="3F72EA8A">
            <w:pPr>
              <w:shd w:val="clear" w:color="auto" w:fill="FFFFFF"/>
              <w:jc w:val="both"/>
              <w:rPr>
                <w:color w:val="2B2D38"/>
                <w:sz w:val="20"/>
                <w:szCs w:val="20"/>
              </w:rPr>
            </w:pPr>
            <w:r>
              <w:rPr>
                <w:rFonts w:hint="default"/>
                <w:color w:val="2B2D38"/>
                <w:sz w:val="20"/>
                <w:szCs w:val="20"/>
              </w:rPr>
              <w:t>Regarding the editor’s recommendation to elaborate on the data integration layer, I fully agree that connecting robotic sensory output with existing industrial management systems is essential to framing robotics not merely as a tool but as an integrated system. In response to this valuable suggestion, I have added a brief discussion in the revised manuscript.</w:t>
            </w:r>
          </w:p>
          <w:p w14:paraId="7F8F7730">
            <w:pPr>
              <w:shd w:val="clear" w:color="auto" w:fill="FFFFFF"/>
              <w:jc w:val="both"/>
              <w:rPr>
                <w:color w:val="2B2D38"/>
                <w:sz w:val="20"/>
                <w:szCs w:val="20"/>
              </w:rPr>
            </w:pPr>
            <w:r>
              <w:rPr>
                <w:rFonts w:hint="default"/>
                <w:color w:val="2B2D38"/>
                <w:sz w:val="20"/>
                <w:szCs w:val="20"/>
              </w:rPr>
              <w:t>I am also honored by the editor’s comment that the technical depth and clarity of the writing position the manuscript as a strong contender for publication as a Short Communication. I have carefully proofread the entire manuscript to further improve language fluency and terminological consistency, ensuring that the presentation meets the high standards expected by the journal.</w:t>
            </w:r>
          </w:p>
          <w:p w14:paraId="72DC7632">
            <w:pPr>
              <w:shd w:val="clear" w:color="auto" w:fill="FFFFFF"/>
              <w:jc w:val="both"/>
              <w:rPr>
                <w:rFonts w:ascii="Times New Roman" w:hAnsi="Times New Roman" w:cs="Times New Roman"/>
                <w:b/>
                <w:bCs/>
                <w:sz w:val="20"/>
                <w:szCs w:val="20"/>
                <w:lang w:eastAsia="en-US"/>
              </w:rPr>
            </w:pPr>
            <w:r>
              <w:rPr>
                <w:rFonts w:hint="default"/>
                <w:color w:val="2B2D38"/>
                <w:sz w:val="20"/>
                <w:szCs w:val="20"/>
              </w:rPr>
              <w:t>I sincerely appreciate the time and expertise invested by the editorial team in reviewing my work, and I believe the revisions have substantially improved the quality and impact of the manuscript.</w:t>
            </w:r>
          </w:p>
        </w:tc>
      </w:tr>
    </w:tbl>
    <w:p w14:paraId="26554689"/>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13AD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E9B2FB9">
            <w:pPr>
              <w:rPr>
                <w:rFonts w:ascii="Arial" w:hAnsi="Arial" w:eastAsia="Arial Unicode MS" w:cs="Arial"/>
                <w:b/>
                <w:sz w:val="20"/>
                <w:szCs w:val="20"/>
                <w:u w:val="single"/>
                <w:lang w:eastAsia="en-US"/>
              </w:rPr>
            </w:pPr>
            <w:bookmarkStart w:id="0" w:name="_Hlk156057883"/>
            <w:r>
              <w:rPr>
                <w:rFonts w:ascii="Arial" w:hAnsi="Arial" w:eastAsia="Arial Unicode MS" w:cs="Arial"/>
                <w:b/>
                <w:sz w:val="20"/>
                <w:szCs w:val="20"/>
                <w:highlight w:val="yellow"/>
                <w:u w:val="single"/>
                <w:lang w:eastAsia="en-US"/>
              </w:rPr>
              <w:t>PART  3:</w:t>
            </w:r>
            <w:r>
              <w:rPr>
                <w:rFonts w:ascii="Arial" w:hAnsi="Arial" w:eastAsia="Arial Unicode MS" w:cs="Arial"/>
                <w:b/>
                <w:sz w:val="20"/>
                <w:szCs w:val="20"/>
                <w:u w:val="single"/>
                <w:lang w:eastAsia="en-US"/>
              </w:rPr>
              <w:t xml:space="preserve"> </w:t>
            </w:r>
          </w:p>
          <w:p w14:paraId="0049C71E">
            <w:pPr>
              <w:rPr>
                <w:rFonts w:ascii="Arial" w:hAnsi="Arial" w:eastAsia="Arial Unicode MS" w:cs="Arial"/>
                <w:b/>
                <w:sz w:val="20"/>
                <w:szCs w:val="20"/>
                <w:u w:val="single"/>
                <w:lang w:eastAsia="en-US"/>
              </w:rPr>
            </w:pPr>
          </w:p>
        </w:tc>
      </w:tr>
      <w:tr w14:paraId="69AE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3190FE21">
            <w:pPr>
              <w:rPr>
                <w:rFonts w:ascii="Arial" w:hAnsi="Arial" w:eastAsia="Arial Unicode MS" w:cs="Arial"/>
                <w:sz w:val="20"/>
                <w:szCs w:val="20"/>
                <w:lang w:eastAsia="en-US"/>
              </w:rPr>
            </w:pPr>
          </w:p>
        </w:tc>
        <w:tc>
          <w:tcPr>
            <w:tcW w:w="1694" w:type="pct"/>
            <w:shd w:val="clear" w:color="auto" w:fill="auto"/>
            <w:tcMar>
              <w:top w:w="0" w:type="dxa"/>
              <w:left w:w="108" w:type="dxa"/>
              <w:bottom w:w="0" w:type="dxa"/>
              <w:right w:w="108" w:type="dxa"/>
            </w:tcMar>
          </w:tcPr>
          <w:p w14:paraId="5AAFD73E">
            <w:pPr>
              <w:keepNext/>
              <w:outlineLvl w:val="1"/>
              <w:rPr>
                <w:rFonts w:ascii="Arial" w:hAnsi="Arial" w:eastAsia="MS Mincho" w:cs="Arial"/>
                <w:b/>
                <w:bCs/>
                <w:sz w:val="20"/>
                <w:szCs w:val="20"/>
                <w:lang w:eastAsia="en-US"/>
              </w:rPr>
            </w:pPr>
            <w:r>
              <w:rPr>
                <w:rFonts w:ascii="Arial" w:hAnsi="Arial" w:eastAsia="MS Mincho" w:cs="Arial"/>
                <w:b/>
                <w:bCs/>
                <w:sz w:val="20"/>
                <w:szCs w:val="20"/>
                <w:lang w:eastAsia="en-US"/>
              </w:rPr>
              <w:t>Reviewer’s comment</w:t>
            </w:r>
          </w:p>
        </w:tc>
        <w:tc>
          <w:tcPr>
            <w:tcW w:w="1691" w:type="pct"/>
            <w:shd w:val="clear" w:color="auto" w:fill="auto"/>
          </w:tcPr>
          <w:p w14:paraId="664A5881">
            <w:pPr>
              <w:spacing w:after="160" w:line="252" w:lineRule="auto"/>
              <w:rPr>
                <w:rFonts w:ascii="Arial" w:hAnsi="Arial" w:eastAsia="Calibri" w:cs="Arial"/>
                <w:kern w:val="2"/>
                <w:sz w:val="20"/>
                <w:szCs w:val="20"/>
                <w:lang w:val="en-IN" w:eastAsia="en-US"/>
              </w:rPr>
            </w:pPr>
            <w:r>
              <w:rPr>
                <w:rFonts w:ascii="Arial" w:hAnsi="Arial" w:eastAsia="Calibri" w:cs="Arial"/>
                <w:b/>
                <w:kern w:val="2"/>
                <w:sz w:val="20"/>
                <w:szCs w:val="20"/>
                <w:lang w:val="en-IN" w:eastAsia="en-US"/>
              </w:rPr>
              <w:t>Author’s Feedback</w:t>
            </w:r>
            <w:r>
              <w:rPr>
                <w:rFonts w:ascii="Arial" w:hAnsi="Arial" w:eastAsia="Calibri" w:cs="Arial"/>
                <w:kern w:val="2"/>
                <w:sz w:val="20"/>
                <w:szCs w:val="20"/>
                <w:lang w:val="en-IN" w:eastAsia="en-US"/>
              </w:rPr>
              <w:t xml:space="preserve"> (It is mandatory that authors should write his/her feedback here)</w:t>
            </w:r>
          </w:p>
          <w:p w14:paraId="16670245">
            <w:pPr>
              <w:keepNext/>
              <w:outlineLvl w:val="1"/>
              <w:rPr>
                <w:rFonts w:ascii="Arial" w:hAnsi="Arial" w:eastAsia="MS Mincho" w:cs="Arial"/>
                <w:bCs/>
                <w:sz w:val="20"/>
                <w:szCs w:val="20"/>
                <w:lang w:eastAsia="en-US"/>
              </w:rPr>
            </w:pPr>
          </w:p>
        </w:tc>
      </w:tr>
      <w:tr w14:paraId="1CB7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5C5851AB">
            <w:pPr>
              <w:rPr>
                <w:rFonts w:ascii="Arial" w:hAnsi="Arial" w:eastAsia="Arial Unicode MS" w:cs="Arial"/>
                <w:b/>
                <w:sz w:val="20"/>
                <w:szCs w:val="20"/>
                <w:lang w:eastAsia="en-US"/>
              </w:rPr>
            </w:pPr>
            <w:r>
              <w:rPr>
                <w:rFonts w:ascii="Arial" w:hAnsi="Arial" w:eastAsia="Arial Unicode MS" w:cs="Arial"/>
                <w:b/>
                <w:sz w:val="20"/>
                <w:szCs w:val="20"/>
                <w:lang w:eastAsia="en-US"/>
              </w:rPr>
              <w:t xml:space="preserve">Are there ethical issues in this manuscript? </w:t>
            </w:r>
          </w:p>
          <w:p w14:paraId="41442EFB">
            <w:pPr>
              <w:rPr>
                <w:rFonts w:ascii="Arial" w:hAnsi="Arial" w:eastAsia="Arial Unicode MS" w:cs="Arial"/>
                <w:sz w:val="20"/>
                <w:szCs w:val="20"/>
                <w:lang w:eastAsia="en-US"/>
              </w:rPr>
            </w:pPr>
          </w:p>
        </w:tc>
        <w:tc>
          <w:tcPr>
            <w:tcW w:w="1694" w:type="pct"/>
            <w:shd w:val="clear" w:color="auto" w:fill="auto"/>
            <w:tcMar>
              <w:top w:w="0" w:type="dxa"/>
              <w:left w:w="108" w:type="dxa"/>
              <w:bottom w:w="0" w:type="dxa"/>
              <w:right w:w="108" w:type="dxa"/>
            </w:tcMar>
            <w:vAlign w:val="center"/>
          </w:tcPr>
          <w:p w14:paraId="4735DADA">
            <w:pPr>
              <w:rPr>
                <w:rFonts w:ascii="Arial" w:hAnsi="Arial" w:eastAsia="Arial Unicode MS" w:cs="Arial"/>
                <w:i/>
                <w:iCs/>
                <w:sz w:val="20"/>
                <w:szCs w:val="20"/>
                <w:u w:val="single"/>
                <w:lang w:eastAsia="en-US"/>
              </w:rPr>
            </w:pPr>
            <w:r>
              <w:rPr>
                <w:rFonts w:ascii="Arial" w:hAnsi="Arial" w:eastAsia="Arial Unicode MS" w:cs="Arial"/>
                <w:i/>
                <w:iCs/>
                <w:sz w:val="20"/>
                <w:szCs w:val="20"/>
                <w:u w:val="single"/>
                <w:lang w:eastAsia="en-US"/>
              </w:rPr>
              <w:t>(If yes, Kindly please write down the ethical issues here in details)</w:t>
            </w:r>
          </w:p>
          <w:p w14:paraId="21E7A874">
            <w:pPr>
              <w:rPr>
                <w:rFonts w:ascii="Arial" w:hAnsi="Arial" w:eastAsia="Arial Unicode MS" w:cs="Arial"/>
                <w:i/>
                <w:iCs/>
                <w:sz w:val="20"/>
                <w:szCs w:val="20"/>
                <w:u w:val="single"/>
                <w:lang w:eastAsia="en-US"/>
              </w:rPr>
            </w:pPr>
          </w:p>
        </w:tc>
        <w:tc>
          <w:tcPr>
            <w:tcW w:w="1691" w:type="pct"/>
            <w:shd w:val="clear" w:color="auto" w:fill="auto"/>
            <w:vAlign w:val="center"/>
          </w:tcPr>
          <w:p w14:paraId="0A2E651A">
            <w:pPr>
              <w:rPr>
                <w:rFonts w:ascii="Arial" w:hAnsi="Arial" w:eastAsia="Arial Unicode MS" w:cs="Arial"/>
                <w:i/>
                <w:iCs/>
                <w:sz w:val="20"/>
                <w:szCs w:val="20"/>
                <w:u w:val="single"/>
                <w:lang w:eastAsia="en-US"/>
              </w:rPr>
            </w:pPr>
          </w:p>
          <w:p w14:paraId="2A21AE49">
            <w:pPr>
              <w:jc w:val="center"/>
              <w:rPr>
                <w:rFonts w:ascii="Arial" w:hAnsi="Arial" w:eastAsia="Arial Unicode MS" w:cs="Arial"/>
                <w:i/>
                <w:iCs/>
                <w:sz w:val="20"/>
                <w:szCs w:val="20"/>
                <w:u w:val="none"/>
                <w:lang w:eastAsia="en-US"/>
              </w:rPr>
            </w:pPr>
            <w:r>
              <w:rPr>
                <w:rFonts w:ascii="Arial" w:hAnsi="Arial" w:eastAsia="Arial Unicode MS" w:cs="Arial"/>
                <w:i/>
                <w:iCs/>
                <w:sz w:val="20"/>
                <w:szCs w:val="20"/>
                <w:u w:val="none"/>
                <w:lang w:eastAsia="en-US"/>
              </w:rPr>
              <w:t>No ethical issues exist.</w:t>
            </w:r>
          </w:p>
          <w:p w14:paraId="0378D1CB">
            <w:pPr>
              <w:rPr>
                <w:rFonts w:ascii="Arial" w:hAnsi="Arial" w:eastAsia="Arial Unicode MS" w:cs="Arial"/>
                <w:i/>
                <w:iCs/>
                <w:sz w:val="20"/>
                <w:szCs w:val="20"/>
                <w:u w:val="single"/>
                <w:lang w:eastAsia="en-US"/>
              </w:rPr>
            </w:pPr>
          </w:p>
        </w:tc>
      </w:tr>
      <w:bookmarkEnd w:id="0"/>
    </w:tbl>
    <w:p w14:paraId="720A081F">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 w:name="KSOFB4AB0A6B">
    <w:panose1 w:val="020B0704020202020204"/>
    <w:charset w:val="00"/>
    <w:family w:val="auto"/>
    <w:pitch w:val="default"/>
    <w:sig w:usb0="00000001" w:usb1="00000000" w:usb2="00000000" w:usb3="00000000" w:csb0="00000001" w:csb1="00000000"/>
  </w:font>
  <w:font w:name="KSOF987E8EC0">
    <w:panose1 w:val="020B0704020202020204"/>
    <w:charset w:val="86"/>
    <w:family w:val="auto"/>
    <w:pitch w:val="default"/>
    <w:sig w:usb0="00000001" w:usb1="00000000" w:usb2="00000000" w:usb3="00000000" w:csb0="003E0001" w:csb1="00000000"/>
  </w:font>
  <w:font w:name="KSOF6398537F">
    <w:panose1 w:val="020B0604020202020204"/>
    <w:charset w:val="86"/>
    <w:family w:val="auto"/>
    <w:pitch w:val="default"/>
    <w:sig w:usb0="00000001" w:usb1="00000000" w:usb2="00000000"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596F">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V240326</w:t>
    </w:r>
  </w:p>
  <w:p w14:paraId="3B3458D2">
    <w:pPr>
      <w:pStyle w:val="6"/>
      <w:jc w:val="right"/>
    </w:pPr>
  </w:p>
  <w:p w14:paraId="5109F2F3">
    <w:pPr>
      <w:pStyle w:val="6"/>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A710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5EFA6">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08A66">
    <w:pPr>
      <w:spacing w:before="100" w:beforeAutospacing="1" w:after="100" w:afterAutospacing="1"/>
      <w:jc w:val="center"/>
      <w:rPr>
        <w:rFonts w:ascii="Arial" w:hAnsi="Arial" w:cs="Arial"/>
        <w:b/>
        <w:bCs/>
        <w:color w:val="003399"/>
        <w:szCs w:val="20"/>
        <w:u w:val="single"/>
      </w:rPr>
    </w:pPr>
  </w:p>
  <w:p w14:paraId="75498566">
    <w:pPr>
      <w:spacing w:before="100" w:beforeAutospacing="1" w:after="100" w:afterAutospacing="1"/>
      <w:jc w:val="center"/>
      <w:rPr>
        <w:color w:val="000000"/>
        <w:sz w:val="20"/>
      </w:rPr>
    </w:pPr>
    <w:r>
      <w:rPr>
        <w:rFonts w:ascii="Arial" w:hAnsi="Arial" w:cs="Arial"/>
        <w:bCs/>
        <w:color w:val="000000"/>
        <w:sz w:val="20"/>
        <w:highlight w:val="lightGray"/>
      </w:rPr>
      <w:t>Review Form (Review)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4DDE9">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26DB">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0CC"/>
    <w:rsid w:val="0025366D"/>
    <w:rsid w:val="00254F80"/>
    <w:rsid w:val="00262634"/>
    <w:rsid w:val="002643B3"/>
    <w:rsid w:val="0027026A"/>
    <w:rsid w:val="00275984"/>
    <w:rsid w:val="00280EC9"/>
    <w:rsid w:val="00291D08"/>
    <w:rsid w:val="00293482"/>
    <w:rsid w:val="002C1361"/>
    <w:rsid w:val="002D50A5"/>
    <w:rsid w:val="002D7EA9"/>
    <w:rsid w:val="002E1211"/>
    <w:rsid w:val="002E2339"/>
    <w:rsid w:val="002E6D86"/>
    <w:rsid w:val="002F0619"/>
    <w:rsid w:val="002F3E3B"/>
    <w:rsid w:val="002F5CDF"/>
    <w:rsid w:val="002F6935"/>
    <w:rsid w:val="00312559"/>
    <w:rsid w:val="003204B8"/>
    <w:rsid w:val="003207A6"/>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0C82"/>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3650"/>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0021"/>
    <w:rsid w:val="00741BD0"/>
    <w:rsid w:val="0074253A"/>
    <w:rsid w:val="007426E6"/>
    <w:rsid w:val="00746370"/>
    <w:rsid w:val="0075138B"/>
    <w:rsid w:val="007562C7"/>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608C"/>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6A3B"/>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5B15"/>
    <w:rsid w:val="00BE13EF"/>
    <w:rsid w:val="00BE1E56"/>
    <w:rsid w:val="00BE40A5"/>
    <w:rsid w:val="00BE6454"/>
    <w:rsid w:val="00BF39A4"/>
    <w:rsid w:val="00BF64EF"/>
    <w:rsid w:val="00C00863"/>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5E75"/>
    <w:rsid w:val="00D3257B"/>
    <w:rsid w:val="00D32680"/>
    <w:rsid w:val="00D40416"/>
    <w:rsid w:val="00D45CF7"/>
    <w:rsid w:val="00D4782A"/>
    <w:rsid w:val="00D6060F"/>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5F1"/>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 w:val="0B512A55"/>
    <w:rsid w:val="28FE2577"/>
    <w:rsid w:val="2ADB2B70"/>
    <w:rsid w:val="31B833EA"/>
    <w:rsid w:val="3D684472"/>
    <w:rsid w:val="486A7200"/>
    <w:rsid w:val="55482DEE"/>
    <w:rsid w:val="57AF2B0B"/>
    <w:rsid w:val="760342F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en-GB" w:bidi="ar-SA"/>
    </w:rPr>
  </w:style>
  <w:style w:type="paragraph" w:styleId="2">
    <w:name w:val="heading 2"/>
    <w:basedOn w:val="1"/>
    <w:next w:val="1"/>
    <w:link w:val="16"/>
    <w:qFormat/>
    <w:uiPriority w:val="0"/>
    <w:pPr>
      <w:keepNext/>
      <w:jc w:val="both"/>
      <w:outlineLvl w:val="1"/>
    </w:pPr>
    <w:rPr>
      <w:rFonts w:ascii="Helvetica" w:hAnsi="Helvetica" w:eastAsia="MS Mincho"/>
      <w:b/>
      <w:bCs/>
      <w:sz w:val="20"/>
      <w:szCs w:val="20"/>
      <w:lang w:val="fr-FR" w:eastAsia="zh-CN"/>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link w:val="17"/>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qFormat/>
    <w:uiPriority w:val="0"/>
    <w:pPr>
      <w:jc w:val="both"/>
    </w:pPr>
    <w:rPr>
      <w:rFonts w:ascii="Helvetica" w:hAnsi="Helvetica" w:eastAsia="MS Mincho"/>
      <w:lang w:val="fr-FR" w:eastAsia="zh-CN"/>
    </w:rPr>
  </w:style>
  <w:style w:type="paragraph" w:styleId="6">
    <w:name w:val="footer"/>
    <w:basedOn w:val="1"/>
    <w:link w:val="20"/>
    <w:unhideWhenUsed/>
    <w:qFormat/>
    <w:uiPriority w:val="99"/>
    <w:pPr>
      <w:tabs>
        <w:tab w:val="center" w:pos="4513"/>
        <w:tab w:val="right" w:pos="9026"/>
      </w:tabs>
    </w:pPr>
    <w:rPr>
      <w:lang w:eastAsia="zh-CN"/>
    </w:rPr>
  </w:style>
  <w:style w:type="paragraph" w:styleId="7">
    <w:name w:val="header"/>
    <w:basedOn w:val="1"/>
    <w:link w:val="19"/>
    <w:qFormat/>
    <w:uiPriority w:val="99"/>
    <w:pPr>
      <w:tabs>
        <w:tab w:val="center" w:pos="4680"/>
        <w:tab w:val="right" w:pos="9360"/>
      </w:tabs>
    </w:pPr>
    <w:rPr>
      <w:lang w:eastAsia="zh-CN"/>
    </w:rPr>
  </w:style>
  <w:style w:type="paragraph" w:styleId="8">
    <w:name w:val="Normal (Web)"/>
    <w:basedOn w:val="1"/>
    <w:qFormat/>
    <w:uiPriority w:val="99"/>
    <w:pPr>
      <w:spacing w:before="100" w:beforeAutospacing="1" w:after="100" w:afterAutospacing="1"/>
    </w:pPr>
    <w:rPr>
      <w:rFonts w:ascii="Arial Unicode MS" w:hAnsi="Arial Unicode MS" w:eastAsia="Arial Unicode MS" w:cs="Arial Unicode MS"/>
    </w:rPr>
  </w:style>
  <w:style w:type="table" w:styleId="10">
    <w:name w:val="Table Grid"/>
    <w:basedOn w:val="9"/>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22"/>
    <w:rPr>
      <w:b/>
    </w:rPr>
  </w:style>
  <w:style w:type="character" w:styleId="13">
    <w:name w:val="FollowedHyperlink"/>
    <w:semiHidden/>
    <w:unhideWhenUsed/>
    <w:qFormat/>
    <w:uiPriority w:val="99"/>
    <w:rPr>
      <w:color w:val="800080"/>
      <w:u w:val="single"/>
    </w:rPr>
  </w:style>
  <w:style w:type="character" w:styleId="14">
    <w:name w:val="Emphasis"/>
    <w:qFormat/>
    <w:uiPriority w:val="20"/>
    <w:rPr>
      <w:i/>
      <w:iCs/>
    </w:rPr>
  </w:style>
  <w:style w:type="character" w:styleId="15">
    <w:name w:val="Hyperlink"/>
    <w:unhideWhenUsed/>
    <w:qFormat/>
    <w:uiPriority w:val="99"/>
    <w:rPr>
      <w:color w:val="0000FF"/>
      <w:u w:val="single"/>
    </w:rPr>
  </w:style>
  <w:style w:type="character" w:customStyle="1" w:styleId="16">
    <w:name w:val="Heading 2 Char"/>
    <w:link w:val="2"/>
    <w:qFormat/>
    <w:uiPriority w:val="0"/>
    <w:rPr>
      <w:rFonts w:ascii="Helvetica" w:hAnsi="Helvetica" w:eastAsia="MS Mincho" w:cs="Helvetica"/>
      <w:b/>
      <w:bCs/>
      <w:sz w:val="20"/>
      <w:szCs w:val="20"/>
      <w:lang w:val="fr-FR"/>
    </w:rPr>
  </w:style>
  <w:style w:type="character" w:customStyle="1" w:styleId="17">
    <w:name w:val="Heading 4 Char"/>
    <w:link w:val="4"/>
    <w:qFormat/>
    <w:uiPriority w:val="0"/>
    <w:rPr>
      <w:rFonts w:ascii="Arial Unicode MS" w:hAnsi="Arial Unicode MS" w:eastAsia="Arial Unicode MS" w:cs="Arial Unicode MS"/>
      <w:b/>
      <w:bCs/>
      <w:sz w:val="24"/>
      <w:szCs w:val="24"/>
      <w:lang w:val="en-US"/>
    </w:rPr>
  </w:style>
  <w:style w:type="character" w:customStyle="1" w:styleId="18">
    <w:name w:val="Body Text Char"/>
    <w:link w:val="5"/>
    <w:qFormat/>
    <w:uiPriority w:val="0"/>
    <w:rPr>
      <w:rFonts w:ascii="Helvetica" w:hAnsi="Helvetica" w:eastAsia="MS Mincho" w:cs="Helvetica"/>
      <w:sz w:val="24"/>
      <w:szCs w:val="24"/>
      <w:lang w:val="fr-FR"/>
    </w:rPr>
  </w:style>
  <w:style w:type="character" w:customStyle="1" w:styleId="19">
    <w:name w:val="Header Char"/>
    <w:link w:val="7"/>
    <w:qFormat/>
    <w:uiPriority w:val="99"/>
    <w:rPr>
      <w:rFonts w:ascii="Times New Roman" w:hAnsi="Times New Roman" w:eastAsia="Times New Roman" w:cs="Times New Roman"/>
      <w:sz w:val="24"/>
      <w:szCs w:val="24"/>
      <w:lang w:val="en-US"/>
    </w:rPr>
  </w:style>
  <w:style w:type="character" w:customStyle="1" w:styleId="20">
    <w:name w:val="Footer Char"/>
    <w:link w:val="6"/>
    <w:qFormat/>
    <w:uiPriority w:val="99"/>
    <w:rPr>
      <w:rFonts w:ascii="Times New Roman" w:hAnsi="Times New Roman" w:eastAsia="Times New Roman" w:cs="Times New Roman"/>
      <w:sz w:val="24"/>
      <w:szCs w:val="24"/>
      <w:lang w:val="en-US"/>
    </w:rPr>
  </w:style>
  <w:style w:type="paragraph" w:styleId="21">
    <w:name w:val="List Paragraph"/>
    <w:basedOn w:val="1"/>
    <w:qFormat/>
    <w:uiPriority w:val="34"/>
    <w:pPr>
      <w:ind w:left="720"/>
      <w:contextualSpacing/>
    </w:pPr>
  </w:style>
  <w:style w:type="paragraph" w:customStyle="1" w:styleId="22">
    <w:name w:val="Revision"/>
    <w:hidden/>
    <w:semiHidden/>
    <w:qFormat/>
    <w:uiPriority w:val="99"/>
    <w:rPr>
      <w:rFonts w:ascii="Calibri" w:hAnsi="Calibri" w:eastAsia="Calibri" w:cs="Times New Roman"/>
      <w:sz w:val="22"/>
      <w:szCs w:val="22"/>
      <w:lang w:val="en-US" w:eastAsia="en-US" w:bidi="ar-SA"/>
    </w:rPr>
  </w:style>
  <w:style w:type="character" w:customStyle="1" w:styleId="23">
    <w:name w:val="Nicht aufgelöste Erwähnung"/>
    <w:semiHidden/>
    <w:unhideWhenUsed/>
    <w:qFormat/>
    <w:uiPriority w:val="99"/>
    <w:rPr>
      <w:color w:val="605E5C"/>
      <w:shd w:val="clear" w:color="auto" w:fill="E1DFDD"/>
    </w:rPr>
  </w:style>
  <w:style w:type="character" w:customStyle="1" w:styleId="24">
    <w:name w:val="Unresolved Mention"/>
    <w:semiHidden/>
    <w:unhideWhenUsed/>
    <w:qFormat/>
    <w:uiPriority w:val="99"/>
    <w:rPr>
      <w:color w:val="605E5C"/>
      <w:shd w:val="clear" w:color="auto" w:fill="E1DFDD"/>
    </w:rPr>
  </w:style>
  <w:style w:type="character" w:customStyle="1" w:styleId="25">
    <w:name w:val="blue"/>
    <w:basedOn w:val="11"/>
    <w:qFormat/>
    <w:uiPriority w:val="0"/>
  </w:style>
  <w:style w:type="character" w:customStyle="1" w:styleId="26">
    <w:name w:val="red"/>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1684</Words>
  <Characters>9179</Characters>
  <Lines>50</Lines>
  <Paragraphs>14</Paragraphs>
  <TotalTime>72</TotalTime>
  <ScaleCrop>false</ScaleCrop>
  <LinksUpToDate>false</LinksUpToDate>
  <CharactersWithSpaces>10757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韩</cp:lastModifiedBy>
  <dcterms:modified xsi:type="dcterms:W3CDTF">2026-04-01T08:10:57Z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2052-12.1.0.25225</vt:lpwstr>
  </property>
  <property fmtid="{D5CDD505-2E9C-101B-9397-08002B2CF9AE}" pid="4" name="ICV">
    <vt:lpwstr>1880F68EFCB74F9FA43516BA91C288E4_13</vt:lpwstr>
  </property>
  <property fmtid="{D5CDD505-2E9C-101B-9397-08002B2CF9AE}" pid="5" name="KSOTemplateDocerSaveRecord">
    <vt:lpwstr>eyJoZGlkIjoiNzBkZWI1NmVjYTlhMmMxMWI5OGEwMTIxNjk4Y2I3ZGUiLCJ1c2VySWQiOiI2ODYxNjkwNzQifQ==</vt:lpwstr>
  </property>
</Properties>
</file>