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12A08" w14:paraId="66FD067A" w14:textId="77777777">
        <w:trPr>
          <w:trHeight w:val="20"/>
          <w:jc w:val="center"/>
        </w:trPr>
        <w:tc>
          <w:tcPr>
            <w:tcW w:w="1186" w:type="pct"/>
          </w:tcPr>
          <w:p w14:paraId="166CDA57" w14:textId="77777777" w:rsidR="00412A08" w:rsidRDefault="00982647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0103D6" w14:textId="77777777" w:rsidR="00412A08" w:rsidRDefault="0098264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412A08" w14:paraId="4B71FB0E" w14:textId="77777777">
        <w:trPr>
          <w:trHeight w:val="20"/>
          <w:jc w:val="center"/>
        </w:trPr>
        <w:tc>
          <w:tcPr>
            <w:tcW w:w="1186" w:type="pct"/>
          </w:tcPr>
          <w:p w14:paraId="13EE5914" w14:textId="77777777" w:rsidR="00412A08" w:rsidRDefault="00982647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C172D" w14:textId="77777777" w:rsidR="00412A08" w:rsidRDefault="00B0521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0521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Ms_ACRI_156322</w:t>
            </w:r>
          </w:p>
        </w:tc>
      </w:tr>
      <w:tr w:rsidR="00412A08" w14:paraId="604160FA" w14:textId="77777777">
        <w:trPr>
          <w:trHeight w:val="20"/>
          <w:jc w:val="center"/>
        </w:trPr>
        <w:tc>
          <w:tcPr>
            <w:tcW w:w="1186" w:type="pct"/>
          </w:tcPr>
          <w:p w14:paraId="6EB91C87" w14:textId="77777777" w:rsidR="00412A08" w:rsidRDefault="00982647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885C15" w14:textId="77777777" w:rsidR="00412A08" w:rsidRDefault="00B0521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0521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Model Predictive Control: A Comprehensive Review of Theoretical Foundations and Modern Applications</w:t>
            </w:r>
          </w:p>
        </w:tc>
      </w:tr>
      <w:tr w:rsidR="00412A08" w14:paraId="53048C02" w14:textId="77777777">
        <w:trPr>
          <w:trHeight w:val="20"/>
          <w:jc w:val="center"/>
        </w:trPr>
        <w:tc>
          <w:tcPr>
            <w:tcW w:w="1186" w:type="pct"/>
          </w:tcPr>
          <w:p w14:paraId="47323E5F" w14:textId="77777777" w:rsidR="00412A08" w:rsidRDefault="00982647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D8F9D66" w14:textId="77777777" w:rsidR="00412A08" w:rsidRDefault="00982647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996388F" w14:textId="77777777" w:rsidR="00412A08" w:rsidRDefault="00412A08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07BFC32" w14:textId="77777777" w:rsidR="00412A08" w:rsidRDefault="00412A08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86F157" w14:textId="77777777" w:rsidR="00412A08" w:rsidRDefault="00412A08">
      <w:pPr>
        <w:pStyle w:val="a4"/>
        <w:rPr>
          <w:rFonts w:ascii="Times New Roman" w:hAnsi="Times New Roman"/>
          <w:sz w:val="20"/>
          <w:szCs w:val="20"/>
          <w:lang w:val="en-GB"/>
        </w:rPr>
      </w:pPr>
    </w:p>
    <w:p w14:paraId="56E57517" w14:textId="77777777" w:rsidR="00412A08" w:rsidRDefault="00982647">
      <w:pPr>
        <w:pStyle w:val="a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BC9CF11" w14:textId="77777777" w:rsidR="00412A08" w:rsidRDefault="00412A08">
      <w:pPr>
        <w:pStyle w:val="a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819A59A" w14:textId="77777777" w:rsidR="00412A08" w:rsidRDefault="00412A08">
      <w:pPr>
        <w:pStyle w:val="a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12A08" w14:paraId="714175F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F2EA67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41722A5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698FABE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D82CF5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52FFD2F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585395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28B71E5" w14:textId="77777777" w:rsidR="00412A08" w:rsidRDefault="00412A0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A9D0DED" w14:textId="77777777" w:rsidR="00DC0823" w:rsidRDefault="00DC0823" w:rsidP="00DC0823">
            <w:r w:rsidRPr="0056767C">
              <w:t xml:space="preserve">The manuscript is of great </w:t>
            </w:r>
            <w:r>
              <w:rPr>
                <w:b/>
                <w:bCs/>
                <w:sz w:val="20"/>
                <w:szCs w:val="20"/>
                <w:lang w:val="en-GB"/>
              </w:rPr>
              <w:t>importance</w:t>
            </w:r>
            <w:r w:rsidRPr="0056767C">
              <w:t xml:space="preserve"> to the scientific community as it presents a consolidated and current overview of the Model Predictive Control (MPC) developments across theory, calculation, and implementations between 2014 </w:t>
            </w:r>
            <w:r w:rsidR="007724A4">
              <w:t>to</w:t>
            </w:r>
            <w:r w:rsidRPr="0056767C">
              <w:t xml:space="preserve"> 2026. </w:t>
            </w:r>
          </w:p>
          <w:p w14:paraId="462BE542" w14:textId="77777777" w:rsidR="00DC0823" w:rsidRDefault="00DC0823" w:rsidP="00DC0823">
            <w:r w:rsidRPr="0056767C">
              <w:t xml:space="preserve">It connects the traditionally different fields of research, including robust control, optimization, and machine learning, thus, allowing researchers to comprehend more thoroughly the new interdisciplinary trends and define the unresolved issues. </w:t>
            </w:r>
          </w:p>
          <w:p w14:paraId="1D06FC9B" w14:textId="77777777" w:rsidR="00DC0823" w:rsidRDefault="00DC0823" w:rsidP="00DC0823">
            <w:r w:rsidRPr="0056767C">
              <w:t xml:space="preserve">The review, through its systematic grouping of MPC innovations and identification of the practical implementation challenges, can be viewed as a source of knowledge to other researchers and as the strategic roadmap to be followed by those experts who want to develop real-world, safety-critical applications. </w:t>
            </w:r>
          </w:p>
          <w:p w14:paraId="301581CE" w14:textId="77777777" w:rsidR="00412A08" w:rsidRPr="00DC0823" w:rsidRDefault="00DC0823" w:rsidP="00DC0823">
            <w:pPr>
              <w:spacing w:after="160" w:line="278" w:lineRule="auto"/>
            </w:pPr>
            <w:r w:rsidRPr="0056767C">
              <w:t>Finally, it is useful in establishing the future research directions on how to combine data-driven intelligence with the rigorous assurances that characterize MPC.</w:t>
            </w:r>
          </w:p>
        </w:tc>
        <w:tc>
          <w:tcPr>
            <w:tcW w:w="1367" w:type="pct"/>
          </w:tcPr>
          <w:p w14:paraId="442177DB" w14:textId="73B12801" w:rsidR="00412A08" w:rsidRPr="000069F5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</w:tbl>
    <w:p w14:paraId="3B4E2A39" w14:textId="77777777" w:rsidR="00412A08" w:rsidRDefault="00412A08">
      <w:pPr>
        <w:rPr>
          <w:sz w:val="20"/>
          <w:szCs w:val="20"/>
          <w:lang w:val="en-GB"/>
        </w:rPr>
      </w:pPr>
    </w:p>
    <w:p w14:paraId="40B69F47" w14:textId="77777777" w:rsidR="00412A08" w:rsidRDefault="00412A08">
      <w:pPr>
        <w:rPr>
          <w:sz w:val="20"/>
          <w:szCs w:val="20"/>
          <w:lang w:val="en-GB"/>
        </w:rPr>
      </w:pPr>
    </w:p>
    <w:p w14:paraId="39094714" w14:textId="77777777" w:rsidR="00412A08" w:rsidRDefault="00412A08">
      <w:pPr>
        <w:rPr>
          <w:sz w:val="20"/>
          <w:szCs w:val="20"/>
          <w:lang w:val="en-GB"/>
        </w:rPr>
      </w:pPr>
    </w:p>
    <w:p w14:paraId="33F88D67" w14:textId="77777777" w:rsidR="00412A08" w:rsidRDefault="00982647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15578AA" w14:textId="77777777" w:rsidR="00412A08" w:rsidRDefault="00412A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12A08" w14:paraId="58DA3CE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7030034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  <w:p w14:paraId="392B9AB1" w14:textId="77777777" w:rsidR="00412A08" w:rsidRDefault="00412A08">
            <w:pPr>
              <w:rPr>
                <w:sz w:val="20"/>
                <w:szCs w:val="20"/>
                <w:lang w:val="en-GB"/>
              </w:rPr>
            </w:pPr>
          </w:p>
        </w:tc>
      </w:tr>
      <w:tr w:rsidR="00412A08" w14:paraId="644FC4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608559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CE89015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0EC4CEB" w14:textId="77777777" w:rsidR="00412A08" w:rsidRDefault="0098264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2A08" w14:paraId="35C3C2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3879CF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8A5E20E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DDD1F" w14:textId="77777777" w:rsidR="00412A08" w:rsidRDefault="0098264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78C449" w14:textId="77777777" w:rsidR="00412A08" w:rsidRPr="000843BB" w:rsidRDefault="000843BB" w:rsidP="000843B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340EC5B7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6C004E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178545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B60764B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A6E6FF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F8B6F9" w14:textId="77777777" w:rsidR="00412A08" w:rsidRPr="000843BB" w:rsidRDefault="000843BB" w:rsidP="000843B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5</w:t>
            </w:r>
          </w:p>
        </w:tc>
        <w:tc>
          <w:tcPr>
            <w:tcW w:w="1367" w:type="pct"/>
          </w:tcPr>
          <w:p w14:paraId="279075B4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1B4887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E2F628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80A49DA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00A8E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61EC09" w14:textId="77777777" w:rsidR="00412A08" w:rsidRPr="000843BB" w:rsidRDefault="000843BB" w:rsidP="000843B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5</w:t>
            </w:r>
          </w:p>
        </w:tc>
        <w:tc>
          <w:tcPr>
            <w:tcW w:w="1367" w:type="pct"/>
          </w:tcPr>
          <w:p w14:paraId="06A8F841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570DD7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726C85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8B9FFE2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9A6B93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1DC483" w14:textId="77777777" w:rsidR="00412A08" w:rsidRPr="000843BB" w:rsidRDefault="000843BB" w:rsidP="000843B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5</w:t>
            </w:r>
          </w:p>
        </w:tc>
        <w:tc>
          <w:tcPr>
            <w:tcW w:w="1367" w:type="pct"/>
          </w:tcPr>
          <w:p w14:paraId="4608B4D3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383225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0A485E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A872759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D5C13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C1F71B" w14:textId="77777777" w:rsidR="00412A08" w:rsidRPr="000843BB" w:rsidRDefault="000843BB" w:rsidP="000843B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7B31951B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0DC02F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E48A0B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890CF9E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B18C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9D16D6" w14:textId="77777777" w:rsidR="00412A08" w:rsidRPr="000843BB" w:rsidRDefault="000843BB" w:rsidP="000843B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1681D474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41E8D5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E24EB3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4F1DA55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1B648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CAEC54" w14:textId="77777777" w:rsidR="00412A08" w:rsidRPr="000843BB" w:rsidRDefault="000843BB" w:rsidP="000843B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6DD93C3D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0E671C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F2017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28EE621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F364F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7368FD" w14:textId="77777777" w:rsidR="00412A08" w:rsidRPr="000843BB" w:rsidRDefault="000843BB" w:rsidP="000843B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5</w:t>
            </w:r>
          </w:p>
        </w:tc>
        <w:tc>
          <w:tcPr>
            <w:tcW w:w="1367" w:type="pct"/>
          </w:tcPr>
          <w:p w14:paraId="258F8828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47E677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C22BE0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819EC9E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744BD" w14:textId="77777777" w:rsidR="00412A08" w:rsidRDefault="0098264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3734CA3F" w14:textId="77777777" w:rsidR="00412A08" w:rsidRPr="000843BB" w:rsidRDefault="000843BB" w:rsidP="000843B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7F3FA694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1309FB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9091E0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8393A9C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A2C71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D7C69D" w14:textId="77777777" w:rsidR="00412A08" w:rsidRPr="000843BB" w:rsidRDefault="000843BB">
            <w:pPr>
              <w:pStyle w:val="ab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5</w:t>
            </w:r>
          </w:p>
        </w:tc>
        <w:tc>
          <w:tcPr>
            <w:tcW w:w="1367" w:type="pct"/>
          </w:tcPr>
          <w:p w14:paraId="39EB4D87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5FB48B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FD68B9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4A72254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DCAEEE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2FD191" w14:textId="77777777" w:rsidR="00412A08" w:rsidRPr="000843BB" w:rsidRDefault="000843BB">
            <w:pPr>
              <w:pStyle w:val="ab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58877586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6A3975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518303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E1BC2BC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A8C6D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9FB2E" w14:textId="77777777" w:rsidR="00412A08" w:rsidRPr="000843BB" w:rsidRDefault="000843BB">
            <w:pPr>
              <w:pStyle w:val="ab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76E5D56C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3942F7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5EF8CA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B7B2611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7014FF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E244AA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711949" w14:textId="77777777" w:rsidR="00412A08" w:rsidRPr="000843BB" w:rsidRDefault="000843BB">
            <w:pPr>
              <w:pStyle w:val="ab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00E3ABD0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4686AF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0D4355" w14:textId="77777777" w:rsidR="00412A08" w:rsidRDefault="009826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CDCF85B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0AB26" w14:textId="77777777" w:rsidR="00412A08" w:rsidRDefault="009826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22C6D2" w14:textId="77777777" w:rsidR="00412A08" w:rsidRDefault="009826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321D0F" w14:textId="77777777" w:rsidR="00412A08" w:rsidRPr="000843BB" w:rsidRDefault="000843BB">
            <w:pPr>
              <w:pStyle w:val="ab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6491C02F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7F86518" w14:textId="77777777" w:rsidR="00412A08" w:rsidRDefault="00412A08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4B0BBB" w14:textId="77777777" w:rsidR="00412A08" w:rsidRDefault="00412A08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0DDFC0" w14:textId="77777777" w:rsidR="00412A08" w:rsidRDefault="00412A08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4D81EB" w14:textId="77777777" w:rsidR="00412A08" w:rsidRDefault="00982647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07E04EB" w14:textId="77777777" w:rsidR="00412A08" w:rsidRDefault="00412A0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12A08" w14:paraId="6B774EF9" w14:textId="77777777">
        <w:trPr>
          <w:trHeight w:val="20"/>
          <w:jc w:val="center"/>
        </w:trPr>
        <w:tc>
          <w:tcPr>
            <w:tcW w:w="1265" w:type="pct"/>
            <w:noWrap/>
          </w:tcPr>
          <w:p w14:paraId="7D8F581A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F33C824" w14:textId="77777777" w:rsidR="00412A08" w:rsidRDefault="00982647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0920BA3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DD517BF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FCE8AE" w14:textId="77777777" w:rsidR="00412A08" w:rsidRDefault="00412A0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069F5" w14:paraId="1A65963C" w14:textId="77777777" w:rsidTr="00E72764">
        <w:trPr>
          <w:trHeight w:val="1557"/>
          <w:jc w:val="center"/>
        </w:trPr>
        <w:tc>
          <w:tcPr>
            <w:tcW w:w="1265" w:type="pct"/>
            <w:noWrap/>
          </w:tcPr>
          <w:p w14:paraId="5B1D98B9" w14:textId="77777777" w:rsidR="000069F5" w:rsidRDefault="000069F5" w:rsidP="000069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78CB33" w14:textId="77777777" w:rsidR="000069F5" w:rsidRDefault="000069F5" w:rsidP="000069F5">
            <w:pPr>
              <w:rPr>
                <w:bCs/>
                <w:sz w:val="20"/>
                <w:szCs w:val="20"/>
                <w:lang w:val="en-GB"/>
              </w:rPr>
            </w:pPr>
          </w:p>
          <w:p w14:paraId="4A181CC6" w14:textId="77777777" w:rsidR="000069F5" w:rsidRDefault="000069F5" w:rsidP="000069F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A14A914" w14:textId="77777777" w:rsidR="000069F5" w:rsidRPr="00F305D4" w:rsidRDefault="000069F5" w:rsidP="000069F5">
            <w:r w:rsidRPr="00F305D4">
              <w:t>Yes, the title is generally fitting and it is in alignment with what the manuscript is all about. This makes it clear that the paper is a thorough review and that it brings out both the theoretical basis and recent uses of Model Predictive Control (MPC), which exactly reflects the scope of your work.</w:t>
            </w:r>
          </w:p>
        </w:tc>
        <w:tc>
          <w:tcPr>
            <w:tcW w:w="1523" w:type="pct"/>
          </w:tcPr>
          <w:p w14:paraId="25A7333E" w14:textId="24497A09" w:rsidR="000069F5" w:rsidRDefault="000069F5" w:rsidP="000069F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069F5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Yes, the title is appropriate and clearly reflects the content and scope of this review article on Model Predictive Control.</w:t>
            </w:r>
          </w:p>
        </w:tc>
      </w:tr>
      <w:tr w:rsidR="000069F5" w14:paraId="6971A8C5" w14:textId="77777777">
        <w:trPr>
          <w:trHeight w:val="20"/>
          <w:jc w:val="center"/>
        </w:trPr>
        <w:tc>
          <w:tcPr>
            <w:tcW w:w="1265" w:type="pct"/>
            <w:noWrap/>
          </w:tcPr>
          <w:p w14:paraId="464144ED" w14:textId="77777777" w:rsidR="000069F5" w:rsidRDefault="000069F5" w:rsidP="000069F5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0FE1CBA" w14:textId="77777777" w:rsidR="000069F5" w:rsidRDefault="000069F5" w:rsidP="000069F5">
            <w:pPr>
              <w:rPr>
                <w:bCs/>
                <w:sz w:val="20"/>
                <w:szCs w:val="20"/>
                <w:lang w:val="en-GB"/>
              </w:rPr>
            </w:pPr>
          </w:p>
          <w:p w14:paraId="3FA0E33D" w14:textId="77777777" w:rsidR="000069F5" w:rsidRDefault="000069F5" w:rsidP="000069F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A3A6292" w14:textId="77777777" w:rsidR="000069F5" w:rsidRPr="00F305D4" w:rsidRDefault="000069F5" w:rsidP="000069F5">
            <w:pPr>
              <w:rPr>
                <w:lang w:val="en-GB"/>
              </w:rPr>
            </w:pPr>
            <w:r w:rsidRPr="00F305D4">
              <w:rPr>
                <w:lang w:val="en-GB"/>
              </w:rPr>
              <w:t xml:space="preserve">Yes, the abstract is extensive, well-constructed and befitting a review article. It explicitly describes the key aspects that a good scientific abstract should </w:t>
            </w:r>
            <w:r>
              <w:rPr>
                <w:lang w:val="en-GB"/>
              </w:rPr>
              <w:t>covered</w:t>
            </w:r>
            <w:r w:rsidRPr="00F305D4">
              <w:rPr>
                <w:lang w:val="en-GB"/>
              </w:rPr>
              <w:t>: the purpose, the methodology, the scope, the key thematic issues, the key findings, and a general conclusion.</w:t>
            </w:r>
          </w:p>
        </w:tc>
        <w:tc>
          <w:tcPr>
            <w:tcW w:w="1523" w:type="pct"/>
          </w:tcPr>
          <w:p w14:paraId="4CE4327C" w14:textId="655447FE" w:rsidR="000069F5" w:rsidRPr="000069F5" w:rsidRDefault="000069F5" w:rsidP="000069F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0069F5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Yes, the abstract is comprehensive and well-structured. It covers the aims, methodology, key results, and conclusions of the review.</w:t>
            </w:r>
          </w:p>
        </w:tc>
      </w:tr>
      <w:tr w:rsidR="000069F5" w14:paraId="69C69B52" w14:textId="77777777">
        <w:trPr>
          <w:trHeight w:val="20"/>
          <w:jc w:val="center"/>
        </w:trPr>
        <w:tc>
          <w:tcPr>
            <w:tcW w:w="1265" w:type="pct"/>
            <w:noWrap/>
          </w:tcPr>
          <w:p w14:paraId="486472B8" w14:textId="77777777" w:rsidR="000069F5" w:rsidRDefault="000069F5" w:rsidP="000069F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091DEED" w14:textId="77777777" w:rsidR="000069F5" w:rsidRDefault="000069F5" w:rsidP="000069F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721FB06" w14:textId="77777777" w:rsidR="000069F5" w:rsidRPr="000642D5" w:rsidRDefault="000069F5" w:rsidP="000069F5">
            <w:r w:rsidRPr="003D729F">
              <w:t>In general, the article is scientifically right and correct to a great extent. It demonstrates a solid grasp of the Model Predictive Control (MPC) theory and fits the existing literature about control systems, optimization, and learning-based control. Formulations, classifications (classical, robust/stochastic, nonlinear/economic, and data-driven MPC), and stability, feasibility, and constraint manipulation discussions can be discussed as adhering to the accepted scientific concepts.</w:t>
            </w:r>
          </w:p>
        </w:tc>
        <w:tc>
          <w:tcPr>
            <w:tcW w:w="1523" w:type="pct"/>
          </w:tcPr>
          <w:p w14:paraId="3DA7CF40" w14:textId="15020619" w:rsidR="000069F5" w:rsidRPr="000069F5" w:rsidRDefault="000069F5" w:rsidP="000069F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0069F5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The manuscript is scientifically consistent and correct. It follows the standard theories and classifications of MPC, including robust, stochastic, nonlinear, economic, and data-driven branches, with rigorous discussions on stability, feasibility, and safety.</w:t>
            </w:r>
          </w:p>
        </w:tc>
      </w:tr>
      <w:tr w:rsidR="000069F5" w14:paraId="3AF4F0E1" w14:textId="77777777">
        <w:trPr>
          <w:trHeight w:val="20"/>
          <w:jc w:val="center"/>
        </w:trPr>
        <w:tc>
          <w:tcPr>
            <w:tcW w:w="1265" w:type="pct"/>
            <w:noWrap/>
          </w:tcPr>
          <w:p w14:paraId="0341872A" w14:textId="77777777" w:rsidR="000069F5" w:rsidRDefault="000069F5" w:rsidP="000069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EAF8BB" w14:textId="77777777" w:rsidR="000069F5" w:rsidRDefault="000069F5" w:rsidP="000069F5">
            <w:pPr>
              <w:rPr>
                <w:bCs/>
                <w:sz w:val="20"/>
                <w:szCs w:val="20"/>
                <w:lang w:val="en-GB"/>
              </w:rPr>
            </w:pPr>
          </w:p>
          <w:p w14:paraId="6854C053" w14:textId="77777777" w:rsidR="000069F5" w:rsidRDefault="000069F5" w:rsidP="000069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6632F4D" w14:textId="77777777" w:rsidR="000069F5" w:rsidRPr="00F41B15" w:rsidRDefault="000069F5" w:rsidP="000069F5">
            <w:r w:rsidRPr="00F41B15">
              <w:t xml:space="preserve">There are enough and appropriate references in the manuscript which not only covers the literature of MPC fundamentals but also recent publications (2014-2026) that are consistent with the current research trends, especially those that are based on data and learning. </w:t>
            </w:r>
          </w:p>
          <w:p w14:paraId="761A4A87" w14:textId="77777777" w:rsidR="000069F5" w:rsidRPr="008C2EF1" w:rsidRDefault="000069F5" w:rsidP="000069F5">
            <w:r w:rsidRPr="00F41B15">
              <w:t>Nevertheless, the intensity of current reference (2023-2026) is less than the existing standards, and recent publications focus on the necessity to have more data-driven MPC, AI combination, and sophisticated applications in different fields. The best review articles have 30-50 percent of references in the past 3-5 years, and the manuscript is yet to accomplish that.</w:t>
            </w:r>
          </w:p>
        </w:tc>
        <w:tc>
          <w:tcPr>
            <w:tcW w:w="1523" w:type="pct"/>
          </w:tcPr>
          <w:p w14:paraId="69AA07AA" w14:textId="511A2A3D" w:rsidR="000069F5" w:rsidRPr="000069F5" w:rsidRDefault="000069F5" w:rsidP="000069F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0069F5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The references are sufficient and cover both classic and recent works from 2014 to 2026. We will further increase the proportion of high-quality publications from 2023–2026 to better meet the standards of review articles.</w:t>
            </w:r>
          </w:p>
        </w:tc>
      </w:tr>
      <w:tr w:rsidR="000069F5" w14:paraId="409AC130" w14:textId="77777777">
        <w:trPr>
          <w:trHeight w:val="20"/>
          <w:jc w:val="center"/>
        </w:trPr>
        <w:tc>
          <w:tcPr>
            <w:tcW w:w="1265" w:type="pct"/>
            <w:noWrap/>
          </w:tcPr>
          <w:p w14:paraId="61C9C5B2" w14:textId="77777777" w:rsidR="000069F5" w:rsidRDefault="000069F5" w:rsidP="000069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4B23554" w14:textId="77777777" w:rsidR="000069F5" w:rsidRDefault="000069F5" w:rsidP="000069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B48E11" w14:textId="77777777" w:rsidR="000069F5" w:rsidRDefault="000069F5" w:rsidP="000069F5">
            <w:pPr>
              <w:rPr>
                <w:bCs/>
                <w:sz w:val="20"/>
                <w:szCs w:val="20"/>
                <w:lang w:val="en-GB"/>
              </w:rPr>
            </w:pPr>
          </w:p>
          <w:p w14:paraId="10BADEA5" w14:textId="77777777" w:rsidR="000069F5" w:rsidRDefault="000069F5" w:rsidP="000069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BFC29D1" w14:textId="77777777" w:rsidR="000069F5" w:rsidRDefault="000069F5" w:rsidP="000069F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DD3AE0" w14:textId="77777777" w:rsidR="000069F5" w:rsidRPr="008C2EF1" w:rsidRDefault="000069F5" w:rsidP="000069F5">
            <w:pPr>
              <w:pStyle w:val="ab"/>
              <w:ind w:left="0"/>
              <w:rPr>
                <w:bCs/>
                <w:lang w:val="en-GB"/>
              </w:rPr>
            </w:pPr>
            <w:r w:rsidRPr="008C2EF1">
              <w:rPr>
                <w:bCs/>
                <w:lang w:val="en-GB"/>
              </w:rPr>
              <w:t>NO</w:t>
            </w:r>
          </w:p>
        </w:tc>
        <w:tc>
          <w:tcPr>
            <w:tcW w:w="1523" w:type="pct"/>
          </w:tcPr>
          <w:p w14:paraId="19287845" w14:textId="088D85B9" w:rsidR="000069F5" w:rsidRDefault="000069F5" w:rsidP="000069F5">
            <w:pPr>
              <w:pStyle w:val="2"/>
              <w:keepNext w:val="0"/>
              <w:jc w:val="left"/>
              <w:rPr>
                <w:rFonts w:ascii="Times New Roman" w:eastAsia="等线" w:hAnsi="Times New Roman"/>
                <w:b w:val="0"/>
                <w:sz w:val="24"/>
                <w:szCs w:val="24"/>
                <w:lang w:val="en-GB" w:eastAsia="zh-CN"/>
              </w:rPr>
            </w:pPr>
            <w:r>
              <w:rPr>
                <w:rFonts w:ascii="Times New Roman" w:eastAsia="等线" w:hAnsi="Times New Roman" w:hint="eastAsia"/>
                <w:b w:val="0"/>
                <w:sz w:val="24"/>
                <w:szCs w:val="24"/>
                <w:lang w:val="en-GB" w:eastAsia="zh-CN"/>
              </w:rPr>
              <w:t>NO</w:t>
            </w:r>
          </w:p>
        </w:tc>
      </w:tr>
    </w:tbl>
    <w:p w14:paraId="0BF22B47" w14:textId="77777777" w:rsidR="00412A08" w:rsidRDefault="00412A08">
      <w:pPr>
        <w:rPr>
          <w:lang w:val="en-GB"/>
        </w:rPr>
      </w:pPr>
    </w:p>
    <w:p w14:paraId="6472F84A" w14:textId="77777777" w:rsidR="00412A08" w:rsidRDefault="00412A08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AC2340" w14:textId="77777777" w:rsidR="00412A08" w:rsidRDefault="00412A08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D10519" w14:textId="77777777" w:rsidR="00412A08" w:rsidRDefault="00412A08"/>
    <w:sectPr w:rsidR="00412A0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0D2F4" w14:textId="77777777" w:rsidR="009B09B8" w:rsidRDefault="009B09B8">
      <w:r>
        <w:separator/>
      </w:r>
    </w:p>
  </w:endnote>
  <w:endnote w:type="continuationSeparator" w:id="0">
    <w:p w14:paraId="23F0DF80" w14:textId="77777777" w:rsidR="009B09B8" w:rsidRDefault="009B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3CEAA" w14:textId="77777777" w:rsidR="00412A08" w:rsidRDefault="00982647">
    <w:pPr>
      <w:pStyle w:val="a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22B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22B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D7C2399" w14:textId="77777777" w:rsidR="00412A08" w:rsidRDefault="00412A08">
    <w:pPr>
      <w:pStyle w:val="a8"/>
      <w:jc w:val="right"/>
    </w:pPr>
  </w:p>
  <w:p w14:paraId="1E6EAE9A" w14:textId="77777777" w:rsidR="00412A08" w:rsidRDefault="00412A08">
    <w:pPr>
      <w:pStyle w:val="a8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B0B1A" w14:textId="77777777" w:rsidR="009B09B8" w:rsidRDefault="009B09B8">
      <w:r>
        <w:separator/>
      </w:r>
    </w:p>
  </w:footnote>
  <w:footnote w:type="continuationSeparator" w:id="0">
    <w:p w14:paraId="15EAB2AD" w14:textId="77777777" w:rsidR="009B09B8" w:rsidRDefault="009B0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E353" w14:textId="77777777" w:rsidR="00412A08" w:rsidRDefault="00412A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8AC21E" w14:textId="77777777" w:rsidR="00412A08" w:rsidRDefault="0098264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99975415">
    <w:abstractNumId w:val="4"/>
  </w:num>
  <w:num w:numId="2" w16cid:durableId="2003510198">
    <w:abstractNumId w:val="8"/>
  </w:num>
  <w:num w:numId="3" w16cid:durableId="404379536">
    <w:abstractNumId w:val="7"/>
  </w:num>
  <w:num w:numId="4" w16cid:durableId="919212968">
    <w:abstractNumId w:val="9"/>
  </w:num>
  <w:num w:numId="5" w16cid:durableId="736054676">
    <w:abstractNumId w:val="6"/>
  </w:num>
  <w:num w:numId="6" w16cid:durableId="327098260">
    <w:abstractNumId w:val="0"/>
  </w:num>
  <w:num w:numId="7" w16cid:durableId="1879854906">
    <w:abstractNumId w:val="3"/>
  </w:num>
  <w:num w:numId="8" w16cid:durableId="791947464">
    <w:abstractNumId w:val="11"/>
  </w:num>
  <w:num w:numId="9" w16cid:durableId="2783001">
    <w:abstractNumId w:val="10"/>
  </w:num>
  <w:num w:numId="10" w16cid:durableId="766659374">
    <w:abstractNumId w:val="2"/>
  </w:num>
  <w:num w:numId="11" w16cid:durableId="1258445209">
    <w:abstractNumId w:val="1"/>
  </w:num>
  <w:num w:numId="12" w16cid:durableId="1916236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A08"/>
    <w:rsid w:val="000069F5"/>
    <w:rsid w:val="000642D5"/>
    <w:rsid w:val="000843BB"/>
    <w:rsid w:val="000B38CE"/>
    <w:rsid w:val="00105161"/>
    <w:rsid w:val="001F3ECC"/>
    <w:rsid w:val="00412A08"/>
    <w:rsid w:val="004A0A5B"/>
    <w:rsid w:val="004E2543"/>
    <w:rsid w:val="00622614"/>
    <w:rsid w:val="0066010E"/>
    <w:rsid w:val="006A0D22"/>
    <w:rsid w:val="0071733D"/>
    <w:rsid w:val="007724A4"/>
    <w:rsid w:val="00873C30"/>
    <w:rsid w:val="008B69C3"/>
    <w:rsid w:val="008C2EF1"/>
    <w:rsid w:val="00982647"/>
    <w:rsid w:val="009B09B8"/>
    <w:rsid w:val="00B0521C"/>
    <w:rsid w:val="00B94D61"/>
    <w:rsid w:val="00CE22B4"/>
    <w:rsid w:val="00CE36FB"/>
    <w:rsid w:val="00DC0823"/>
    <w:rsid w:val="00E63262"/>
    <w:rsid w:val="00E72764"/>
    <w:rsid w:val="00E83863"/>
    <w:rsid w:val="00F07062"/>
    <w:rsid w:val="00F305D4"/>
    <w:rsid w:val="00F9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5C49E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0">
    <w:name w:val="标题 4 字符"/>
    <w:link w:val="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a5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a5">
    <w:name w:val="正文文本 字符"/>
    <w:link w:val="a4"/>
    <w:rPr>
      <w:rFonts w:ascii="Helvetica" w:eastAsia="MS Mincho" w:hAnsi="Helvetica" w:cs="Helvetica"/>
      <w:sz w:val="24"/>
      <w:szCs w:val="24"/>
      <w:lang w:val="fr-FR"/>
    </w:rPr>
  </w:style>
  <w:style w:type="paragraph" w:styleId="a6">
    <w:name w:val="header"/>
    <w:basedOn w:val="a"/>
    <w:link w:val="a7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7">
    <w:name w:val="页眉 字符"/>
    <w:link w:val="a6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a9">
    <w:name w:val="页脚 字符"/>
    <w:link w:val="a8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Revision"/>
    <w:hidden/>
    <w:uiPriority w:val="99"/>
    <w:semiHidden/>
    <w:rPr>
      <w:sz w:val="22"/>
      <w:szCs w:val="22"/>
      <w:lang w:eastAsia="en-US"/>
    </w:rPr>
  </w:style>
  <w:style w:type="character" w:styleId="ad">
    <w:name w:val="FollowedHyperlink"/>
    <w:uiPriority w:val="99"/>
    <w:semiHidden/>
    <w:unhideWhenUsed/>
    <w:rPr>
      <w:color w:val="800080"/>
      <w:u w:val="single"/>
    </w:rPr>
  </w:style>
  <w:style w:type="table" w:styleId="ae">
    <w:name w:val="Table Grid"/>
    <w:basedOn w:val="a1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1144</Words>
  <Characters>5942</Characters>
  <Application>Microsoft Office Word</Application>
  <DocSecurity>0</DocSecurity>
  <Lines>247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书含 刘</cp:lastModifiedBy>
  <cp:revision>31</cp:revision>
  <dcterms:created xsi:type="dcterms:W3CDTF">2026-03-24T06:32:00Z</dcterms:created>
  <dcterms:modified xsi:type="dcterms:W3CDTF">2026-04-08T11:56:00Z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