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616B" w:rsidRDefault="009A616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bookmarkStart w:id="0" w:name="_GoBack"/>
      <w:bookmarkEnd w:id="0"/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9A616B">
        <w:trPr>
          <w:trHeight w:val="20"/>
          <w:jc w:val="center"/>
        </w:trPr>
        <w:tc>
          <w:tcPr>
            <w:tcW w:w="3295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9A616B" w:rsidRDefault="00ED0D3E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Archives of Current Research International</w:t>
            </w:r>
          </w:p>
        </w:tc>
      </w:tr>
      <w:tr w:rsidR="009A616B">
        <w:trPr>
          <w:trHeight w:val="20"/>
          <w:jc w:val="center"/>
        </w:trPr>
        <w:tc>
          <w:tcPr>
            <w:tcW w:w="3295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Ms_ACRI_156031</w:t>
            </w:r>
          </w:p>
        </w:tc>
      </w:tr>
      <w:tr w:rsidR="009A616B">
        <w:trPr>
          <w:trHeight w:val="20"/>
          <w:jc w:val="center"/>
        </w:trPr>
        <w:tc>
          <w:tcPr>
            <w:tcW w:w="3295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Investor Decision-Making and Its Behavioral Determinants: Evidence from Multivariate Stepwise Regression</w:t>
            </w:r>
          </w:p>
        </w:tc>
      </w:tr>
      <w:tr w:rsidR="009A616B">
        <w:trPr>
          <w:trHeight w:val="20"/>
          <w:jc w:val="center"/>
        </w:trPr>
        <w:tc>
          <w:tcPr>
            <w:tcW w:w="3295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9A616B" w:rsidRDefault="00ED0D3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9A616B">
        <w:trPr>
          <w:trHeight w:val="20"/>
          <w:jc w:val="center"/>
        </w:trPr>
        <w:tc>
          <w:tcPr>
            <w:tcW w:w="4971" w:type="dxa"/>
          </w:tcPr>
          <w:p w:rsidR="009A616B" w:rsidRDefault="009A616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:rsidR="009A616B" w:rsidRDefault="00ED0D3E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9A616B" w:rsidRDefault="009A616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A616B">
        <w:trPr>
          <w:trHeight w:val="20"/>
          <w:jc w:val="center"/>
        </w:trPr>
        <w:tc>
          <w:tcPr>
            <w:tcW w:w="4971" w:type="dxa"/>
          </w:tcPr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This manuscript addresses an important and topical theme in behavioral finance by examining the collective influence of thirteen behavioral biases on individual investor decision-making. The topic </w:t>
            </w:r>
            <w:r>
              <w:rPr>
                <w:color w:val="000000"/>
                <w:sz w:val="20"/>
                <w:szCs w:val="20"/>
              </w:rPr>
              <w:t xml:space="preserve">is of considerable relevance to the scientific community, as most prior studies have focused on single biases in isolation rather than their combined explanatory power. The use of stepwise multiple </w:t>
            </w:r>
            <w:proofErr w:type="gramStart"/>
            <w:r>
              <w:rPr>
                <w:color w:val="000000"/>
                <w:sz w:val="20"/>
                <w:szCs w:val="20"/>
              </w:rPr>
              <w:t>regression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to progressively quantify the incremental contr</w:t>
            </w:r>
            <w:r>
              <w:rPr>
                <w:color w:val="000000"/>
                <w:sz w:val="20"/>
                <w:szCs w:val="20"/>
              </w:rPr>
              <w:t>ibution of each bias is methodologically sound and provides a useful empirical framework. The findings have practical implications for investors, financial advisors, regulators, and those designing investor education programs, making this work valuable for</w:t>
            </w:r>
            <w:r>
              <w:rPr>
                <w:color w:val="000000"/>
                <w:sz w:val="20"/>
                <w:szCs w:val="20"/>
              </w:rPr>
              <w:t xml:space="preserve"> both academic and professional audiences.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</w:tbl>
    <w:p w:rsidR="009A616B" w:rsidRDefault="009A616B">
      <w:pPr>
        <w:rPr>
          <w:sz w:val="22"/>
          <w:szCs w:val="22"/>
        </w:rPr>
      </w:pPr>
    </w:p>
    <w:p w:rsidR="009A616B" w:rsidRDefault="009A616B">
      <w:pPr>
        <w:rPr>
          <w:sz w:val="22"/>
          <w:szCs w:val="22"/>
        </w:rPr>
      </w:pPr>
    </w:p>
    <w:p w:rsidR="009A616B" w:rsidRDefault="009A616B">
      <w:pPr>
        <w:rPr>
          <w:sz w:val="22"/>
          <w:szCs w:val="22"/>
        </w:rPr>
      </w:pPr>
    </w:p>
    <w:p w:rsidR="009A616B" w:rsidRDefault="00ED0D3E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:rsidR="009A616B" w:rsidRDefault="009A616B">
      <w:pPr>
        <w:rPr>
          <w:sz w:val="28"/>
          <w:szCs w:val="28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9A616B">
        <w:trPr>
          <w:trHeight w:val="20"/>
          <w:tblHeader/>
          <w:jc w:val="center"/>
        </w:trPr>
        <w:tc>
          <w:tcPr>
            <w:tcW w:w="4973" w:type="dxa"/>
          </w:tcPr>
          <w:p w:rsidR="009A616B" w:rsidRDefault="009A616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:rsidR="009A616B" w:rsidRDefault="00ED0D3E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hytapk30pmil" w:colFirst="0" w:colLast="0"/>
            <w:bookmarkEnd w:id="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l25tdj5qw98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bmseb0msc9fs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</w:t>
            </w:r>
            <w:r>
              <w:rPr>
                <w:color w:val="404040"/>
                <w:sz w:val="20"/>
                <w:szCs w:val="20"/>
                <w:highlight w:val="white"/>
              </w:rPr>
              <w:t>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w5zqe1epmuph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4thgtbcbbpy4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3 – Satisfactory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6" w:name="_ea9sp0ey7mtl" w:colFirst="0" w:colLast="0"/>
            <w:bookmarkEnd w:id="6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I'll consider it. I have updated this paper 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</w:t>
            </w:r>
            <w:r>
              <w:rPr>
                <w:rFonts w:ascii="Times New Roman" w:eastAsia="Times New Roman" w:hAnsi="Times New Roman" w:cs="Times New Roman"/>
              </w:rPr>
              <w:t>rch methodology appropriate for the study?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7" w:name="_r9se761d9zeq" w:colFirst="0" w:colLast="0"/>
            <w:bookmarkEnd w:id="7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3798" w:type="dxa"/>
          </w:tcPr>
          <w:p w:rsidR="009A616B" w:rsidRDefault="009A616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8" w:name="_4f8nckhxbfp" w:colFirst="0" w:colLast="0"/>
            <w:bookmarkEnd w:id="8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9" w:name="_6xzvskldwlng" w:colFirst="0" w:colLast="0"/>
            <w:bookmarkEnd w:id="9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0" w:name="_h9s1upl5rrmv" w:colFirst="0" w:colLast="0"/>
            <w:bookmarkEnd w:id="10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1" w:name="_uxuelss7wxwp" w:colFirst="0" w:colLast="0"/>
            <w:bookmarkEnd w:id="1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13. Are the limitations of the study discussed?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</w:t>
            </w:r>
            <w:r>
              <w:rPr>
                <w:color w:val="404040"/>
                <w:sz w:val="20"/>
                <w:szCs w:val="20"/>
                <w:highlight w:val="white"/>
              </w:rPr>
              <w:t>nt 1 = Poor N/A = Not Applicable</w:t>
            </w:r>
          </w:p>
        </w:tc>
        <w:tc>
          <w:tcPr>
            <w:tcW w:w="5121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2" w:name="_ngz98xowd0bd" w:colFirst="0" w:colLast="0"/>
            <w:bookmarkEnd w:id="1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– Satisfactory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3" w:name="_4f49uv7su2qu" w:colFirst="0" w:colLast="0"/>
            <w:bookmarkEnd w:id="1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I'll consider it. I have added reference </w:t>
            </w:r>
          </w:p>
        </w:tc>
      </w:tr>
      <w:tr w:rsidR="009A616B">
        <w:trPr>
          <w:trHeight w:val="20"/>
          <w:jc w:val="center"/>
        </w:trPr>
        <w:tc>
          <w:tcPr>
            <w:tcW w:w="4973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A616B" w:rsidRDefault="00ED0D3E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– Good</w:t>
            </w:r>
          </w:p>
        </w:tc>
        <w:tc>
          <w:tcPr>
            <w:tcW w:w="3798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  <w:p w:rsidR="009A616B" w:rsidRDefault="009A616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9A616B" w:rsidRDefault="009A616B"/>
        </w:tc>
      </w:tr>
    </w:tbl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A616B" w:rsidRDefault="00ED0D3E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9A616B" w:rsidRDefault="009A616B"/>
    <w:tbl>
      <w:tblPr>
        <w:tblStyle w:val="a2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9A616B">
        <w:trPr>
          <w:trHeight w:val="20"/>
          <w:jc w:val="center"/>
        </w:trPr>
        <w:tc>
          <w:tcPr>
            <w:tcW w:w="4646" w:type="dxa"/>
          </w:tcPr>
          <w:p w:rsidR="009A616B" w:rsidRDefault="009A616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9A616B" w:rsidRDefault="009A616B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:rsidR="009A616B" w:rsidRDefault="00ED0D3E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9A616B" w:rsidRDefault="009A616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A616B">
        <w:trPr>
          <w:trHeight w:val="20"/>
          <w:jc w:val="center"/>
        </w:trPr>
        <w:tc>
          <w:tcPr>
            <w:tcW w:w="4646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9A616B" w:rsidRDefault="009A616B">
            <w:pPr>
              <w:rPr>
                <w:sz w:val="20"/>
                <w:szCs w:val="20"/>
              </w:rPr>
            </w:pPr>
          </w:p>
          <w:p w:rsidR="009A616B" w:rsidRDefault="00ED0D3E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YES. The title clearly reflects the study’s scope and methodology. No changes recommended.</w:t>
            </w:r>
          </w:p>
        </w:tc>
        <w:tc>
          <w:tcPr>
            <w:tcW w:w="4284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4" w:name="_wdrve9per3x0" w:colFirst="0" w:colLast="0"/>
            <w:bookmarkEnd w:id="1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646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9A616B" w:rsidRDefault="009A616B">
            <w:pPr>
              <w:rPr>
                <w:sz w:val="20"/>
                <w:szCs w:val="20"/>
              </w:rPr>
            </w:pPr>
          </w:p>
          <w:p w:rsidR="009A616B" w:rsidRDefault="00ED0D3E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</w:t>
            </w:r>
            <w:r>
              <w:rPr>
                <w:sz w:val="20"/>
                <w:szCs w:val="20"/>
              </w:rPr>
              <w:t>O, please provide a brief, clear suggestion for improvement.</w:t>
            </w:r>
          </w:p>
        </w:tc>
        <w:tc>
          <w:tcPr>
            <w:tcW w:w="4962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ES. The abstract is comprehensive. However, it would benefit from explicitly stating the R-squared progression across models and the final explained variance figure.</w:t>
            </w:r>
          </w:p>
        </w:tc>
        <w:tc>
          <w:tcPr>
            <w:tcW w:w="4284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5" w:name="_e4nuqdqhiou8" w:colFirst="0" w:colLast="0"/>
            <w:bookmarkEnd w:id="1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646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>Is the manu</w:t>
            </w:r>
            <w:r>
              <w:rPr>
                <w:rFonts w:ascii="Times New Roman" w:eastAsia="Times New Roman" w:hAnsi="Times New Roman" w:cs="Times New Roman"/>
              </w:rPr>
              <w:t xml:space="preserve">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9A616B" w:rsidRDefault="00ED0D3E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PARTIALLY. The study is broadly sound, but Model 13 shows near-perfect fit (residual SS ≈ 0), indicating severe multicollinearity or over-fitting with n=100 and 13 predictors. VIF values, R-squared, and adjusted R-squared must be reported. Sample size just</w:t>
            </w:r>
            <w:r>
              <w:rPr>
                <w:color w:val="000000"/>
                <w:sz w:val="20"/>
                <w:szCs w:val="20"/>
              </w:rPr>
              <w:t>ification via power analysis is recommended.</w:t>
            </w:r>
          </w:p>
        </w:tc>
        <w:tc>
          <w:tcPr>
            <w:tcW w:w="4284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6" w:name="_lvtnwgnpzrr3" w:colFirst="0" w:colLast="0"/>
            <w:bookmarkEnd w:id="16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20"/>
          <w:jc w:val="center"/>
        </w:trPr>
        <w:tc>
          <w:tcPr>
            <w:tcW w:w="4646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9A616B" w:rsidRDefault="009A616B">
            <w:pPr>
              <w:rPr>
                <w:sz w:val="20"/>
                <w:szCs w:val="20"/>
              </w:rPr>
            </w:pPr>
          </w:p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– Good</w:t>
            </w:r>
          </w:p>
        </w:tc>
        <w:tc>
          <w:tcPr>
            <w:tcW w:w="4284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7" w:name="_cn8f9jvgef5c" w:colFirst="0" w:colLast="0"/>
            <w:bookmarkEnd w:id="17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896"/>
          <w:jc w:val="center"/>
        </w:trPr>
        <w:tc>
          <w:tcPr>
            <w:tcW w:w="4646" w:type="dxa"/>
          </w:tcPr>
          <w:p w:rsidR="009A616B" w:rsidRDefault="00ED0D3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9A616B" w:rsidRDefault="009A616B">
            <w:pPr>
              <w:rPr>
                <w:sz w:val="20"/>
                <w:szCs w:val="20"/>
              </w:rPr>
            </w:pPr>
          </w:p>
          <w:p w:rsidR="009A616B" w:rsidRDefault="00ED0D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9A616B" w:rsidRDefault="009A616B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– Good</w:t>
            </w:r>
          </w:p>
        </w:tc>
        <w:tc>
          <w:tcPr>
            <w:tcW w:w="4284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8" w:name="_pkddx61l9g6d" w:colFirst="0" w:colLast="0"/>
            <w:bookmarkEnd w:id="18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  <w:tr w:rsidR="009A616B">
        <w:trPr>
          <w:trHeight w:val="896"/>
          <w:jc w:val="center"/>
        </w:trPr>
        <w:tc>
          <w:tcPr>
            <w:tcW w:w="4646" w:type="dxa"/>
          </w:tcPr>
          <w:p w:rsidR="009A616B" w:rsidRDefault="009A616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962" w:type="dxa"/>
          </w:tcPr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4284" w:type="dxa"/>
          </w:tcPr>
          <w:p w:rsidR="009A616B" w:rsidRDefault="00ED0D3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9" w:name="_13h8q36waj3c" w:colFirst="0" w:colLast="0"/>
            <w:bookmarkEnd w:id="19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I'll consider it</w:t>
            </w:r>
          </w:p>
        </w:tc>
      </w:tr>
    </w:tbl>
    <w:p w:rsidR="009A616B" w:rsidRDefault="009A616B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9A616B" w:rsidRDefault="009A616B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  <w:bookmarkStart w:id="20" w:name="_qktr6sm96d5w" w:colFirst="0" w:colLast="0"/>
      <w:bookmarkEnd w:id="20"/>
    </w:p>
    <w:p w:rsidR="009A616B" w:rsidRDefault="009A616B"/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9A616B">
        <w:trPr>
          <w:trHeight w:val="20"/>
          <w:jc w:val="center"/>
        </w:trPr>
        <w:tc>
          <w:tcPr>
            <w:tcW w:w="13892" w:type="dxa"/>
            <w:gridSpan w:val="2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9A616B">
        <w:trPr>
          <w:trHeight w:val="20"/>
          <w:jc w:val="center"/>
        </w:trPr>
        <w:tc>
          <w:tcPr>
            <w:tcW w:w="7735" w:type="dxa"/>
          </w:tcPr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9A616B">
        <w:trPr>
          <w:trHeight w:val="20"/>
          <w:jc w:val="center"/>
        </w:trPr>
        <w:tc>
          <w:tcPr>
            <w:tcW w:w="7735" w:type="dxa"/>
          </w:tcPr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9A616B" w:rsidRDefault="00ED0D3E">
            <w:pPr>
              <w:pStyle w:val="Heading2"/>
              <w:rPr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manuscript makes a solid empirical contribution; however, three issues require attention before acceptance: (1) Model 13 produces a near-zero residual sum of squares, indicating perfect multicollinearity or extreme over-fitting with n=100 and 13 predic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tors — VIF diagnostics and adjusted R-squared are essential; (2) the sample size of 100 for 13 predictors is borderline and needs power analysis justification; (3) the reference list needs updating with post-2015 behavioral finance literature.</w:t>
            </w:r>
          </w:p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1. Model 1</w:t>
            </w:r>
            <w:r>
              <w:rPr>
                <w:b/>
                <w:bCs/>
                <w:sz w:val="20"/>
                <w:szCs w:val="20"/>
              </w:rPr>
              <w:t xml:space="preserve">3 and Multicollinearity/Overfitting  </w:t>
            </w:r>
          </w:p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We acknowledge the reviewer’s concern regarding Model 13, which produced a near-zero residual sum of squares. This outcome indeed suggests potential multicollinearity or overfitting given the sample size and number of </w:t>
            </w:r>
            <w:r>
              <w:rPr>
                <w:b/>
                <w:bCs/>
                <w:sz w:val="20"/>
                <w:szCs w:val="20"/>
              </w:rPr>
              <w:t>predictors. To address this, we will conduct Variance Inflation Factor (VIF) diagnostics to assess multicollinearity among the predictors. Additionally, we will report adjusted R-squared values for each model to provide a more reliable measure of explanato</w:t>
            </w:r>
            <w:r>
              <w:rPr>
                <w:b/>
                <w:bCs/>
                <w:sz w:val="20"/>
                <w:szCs w:val="20"/>
              </w:rPr>
              <w:t>ry power that accounts for the number of predictors included. These steps will ensure the robustness and validity of the regression results.</w:t>
            </w:r>
          </w:p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2. Sample Size and Power Analysis  </w:t>
            </w:r>
          </w:p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We agree that a sample size of 100 for 13 predictors is </w:t>
            </w:r>
            <w:proofErr w:type="gramStart"/>
            <w:r>
              <w:rPr>
                <w:b/>
                <w:bCs/>
                <w:sz w:val="20"/>
                <w:szCs w:val="20"/>
              </w:rPr>
              <w:t>borderline</w:t>
            </w:r>
            <w:proofErr w:type="gramEnd"/>
            <w:r>
              <w:rPr>
                <w:b/>
                <w:bCs/>
                <w:sz w:val="20"/>
                <w:szCs w:val="20"/>
              </w:rPr>
              <w:t>. While step</w:t>
            </w:r>
            <w:r>
              <w:rPr>
                <w:b/>
                <w:bCs/>
                <w:sz w:val="20"/>
                <w:szCs w:val="20"/>
              </w:rPr>
              <w:t>wise regression can handle multiple predictors, statistical power must be justified. We will perform a post-hoc power analysis using G*Power to demonstrate whether the sample size provides sufficient power to detect medium-to-large effect sizes at the chos</w:t>
            </w:r>
            <w:r>
              <w:rPr>
                <w:b/>
                <w:bCs/>
                <w:sz w:val="20"/>
                <w:szCs w:val="20"/>
              </w:rPr>
              <w:t>en significance level. This will strengthen the methodological rigor and provide justification for the adequacy of the sample size.</w:t>
            </w:r>
          </w:p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3. Updating the Reference List  </w:t>
            </w:r>
          </w:p>
          <w:p w:rsidR="009A616B" w:rsidRDefault="00ED0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We appreciate the suggestion to update the reference list. The current manuscript primaril</w:t>
            </w:r>
            <w:r>
              <w:rPr>
                <w:b/>
                <w:bCs/>
                <w:sz w:val="20"/>
                <w:szCs w:val="20"/>
              </w:rPr>
              <w:t xml:space="preserve">y cites foundational works in behavioral finance (e.g., </w:t>
            </w:r>
            <w:proofErr w:type="spellStart"/>
            <w:r>
              <w:rPr>
                <w:b/>
                <w:bCs/>
                <w:sz w:val="20"/>
                <w:szCs w:val="20"/>
              </w:rPr>
              <w:t>Kahneman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&amp; </w:t>
            </w:r>
            <w:proofErr w:type="spellStart"/>
            <w:r>
              <w:rPr>
                <w:b/>
                <w:bCs/>
                <w:sz w:val="20"/>
                <w:szCs w:val="20"/>
              </w:rPr>
              <w:t>Tversky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b/>
                <w:bCs/>
                <w:sz w:val="20"/>
                <w:szCs w:val="20"/>
              </w:rPr>
              <w:t>Thaler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, </w:t>
            </w:r>
            <w:proofErr w:type="spellStart"/>
            <w:proofErr w:type="gramStart"/>
            <w:r>
              <w:rPr>
                <w:b/>
                <w:bCs/>
                <w:sz w:val="20"/>
                <w:szCs w:val="20"/>
              </w:rPr>
              <w:t>Barberis</w:t>
            </w:r>
            <w:proofErr w:type="spellEnd"/>
            <w:proofErr w:type="gramEnd"/>
            <w:r>
              <w:rPr>
                <w:b/>
                <w:bCs/>
                <w:sz w:val="20"/>
                <w:szCs w:val="20"/>
              </w:rPr>
              <w:t xml:space="preserve"> et al.). To enhance relevance and currency, we will incorporate recent studies published after 2015 that examine behavioral biases in investment decision-making. T</w:t>
            </w:r>
            <w:r>
              <w:rPr>
                <w:b/>
                <w:bCs/>
                <w:sz w:val="20"/>
                <w:szCs w:val="20"/>
              </w:rPr>
              <w:t>his will ensure that the manuscript reflects the latest developments in behavioral finance literature and situates our findings within contemporary scholarly discourse.</w:t>
            </w:r>
          </w:p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  <w:p w:rsidR="009A616B" w:rsidRDefault="009A6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</w:tc>
      </w:tr>
    </w:tbl>
    <w:p w:rsidR="009A616B" w:rsidRDefault="009A616B">
      <w:pPr>
        <w:rPr>
          <w:b/>
          <w:bCs/>
          <w:sz w:val="20"/>
          <w:szCs w:val="20"/>
          <w:u w:val="single"/>
        </w:rPr>
      </w:pPr>
    </w:p>
    <w:tbl>
      <w:tblPr>
        <w:tblStyle w:val="a4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79"/>
        <w:gridCol w:w="4802"/>
        <w:gridCol w:w="4794"/>
      </w:tblGrid>
      <w:tr w:rsidR="009A616B">
        <w:tc>
          <w:tcPr>
            <w:tcW w:w="14175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A616B" w:rsidRDefault="00ED0D3E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bookmarkStart w:id="21" w:name="_c0xgmyfke26u" w:colFirst="0" w:colLast="0"/>
            <w:bookmarkEnd w:id="21"/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3: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9A616B" w:rsidRDefault="009A616B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9A616B">
        <w:tc>
          <w:tcPr>
            <w:tcW w:w="457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A616B" w:rsidRDefault="009A616B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A616B" w:rsidRDefault="00ED0D3E">
            <w:pPr>
              <w:keepNext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794" w:type="dxa"/>
            <w:shd w:val="clear" w:color="auto" w:fill="auto"/>
          </w:tcPr>
          <w:p w:rsidR="009A616B" w:rsidRDefault="00ED0D3E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9A616B" w:rsidRDefault="009A616B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A616B">
        <w:trPr>
          <w:trHeight w:val="890"/>
        </w:trPr>
        <w:tc>
          <w:tcPr>
            <w:tcW w:w="457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A616B" w:rsidRDefault="00ED0D3E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9A616B" w:rsidRDefault="009A616B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A616B" w:rsidRDefault="00ED0D3E">
            <w:pP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9A616B" w:rsidRDefault="009A616B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94" w:type="dxa"/>
            <w:shd w:val="clear" w:color="auto" w:fill="auto"/>
            <w:vAlign w:val="center"/>
          </w:tcPr>
          <w:p w:rsidR="009A616B" w:rsidRDefault="009A616B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9A616B" w:rsidRDefault="00ED0D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No ethical issues </w:t>
            </w:r>
          </w:p>
          <w:p w:rsidR="009A616B" w:rsidRDefault="009A616B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9A616B" w:rsidRDefault="009A616B"/>
    <w:p w:rsidR="009A616B" w:rsidRDefault="009A616B"/>
    <w:p w:rsidR="009A616B" w:rsidRDefault="009A616B">
      <w:pPr>
        <w:rPr>
          <w:u w:val="single"/>
        </w:rPr>
      </w:pPr>
    </w:p>
    <w:p w:rsidR="009A616B" w:rsidRDefault="009A616B"/>
    <w:p w:rsidR="009A616B" w:rsidRDefault="009A616B"/>
    <w:sectPr w:rsidR="009A616B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0D3E" w:rsidRDefault="00ED0D3E">
      <w:r>
        <w:separator/>
      </w:r>
    </w:p>
  </w:endnote>
  <w:endnote w:type="continuationSeparator" w:id="0">
    <w:p w:rsidR="00ED0D3E" w:rsidRDefault="00ED0D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E5A8742-A6DC-407A-9AA3-CEDE21DE5A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8BDDCF7-1E0A-4643-8CDB-92A93272A3A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6EB74B7-9175-4C98-BE98-4A3F1B972A6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616B" w:rsidRDefault="009A616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9A616B" w:rsidRDefault="00ED0D3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C014C6">
      <w:rPr>
        <w:b/>
        <w:bCs/>
        <w:color w:val="000000"/>
        <w:sz w:val="20"/>
        <w:szCs w:val="20"/>
      </w:rPr>
      <w:fldChar w:fldCharType="separate"/>
    </w:r>
    <w:r w:rsidR="00C014C6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C014C6">
      <w:rPr>
        <w:b/>
        <w:bCs/>
        <w:color w:val="000000"/>
        <w:sz w:val="20"/>
        <w:szCs w:val="20"/>
      </w:rPr>
      <w:fldChar w:fldCharType="separate"/>
    </w:r>
    <w:r w:rsidR="00C014C6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</w:p>
  <w:p w:rsidR="009A616B" w:rsidRDefault="00ED0D3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9A616B" w:rsidRDefault="009A616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9A616B" w:rsidRDefault="009A616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0D3E" w:rsidRDefault="00ED0D3E">
      <w:r>
        <w:separator/>
      </w:r>
    </w:p>
  </w:footnote>
  <w:footnote w:type="continuationSeparator" w:id="0">
    <w:p w:rsidR="00ED0D3E" w:rsidRDefault="00ED0D3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616B" w:rsidRDefault="009A616B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9A616B" w:rsidRDefault="00ED0D3E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9A616B"/>
    <w:rsid w:val="009A616B"/>
    <w:rsid w:val="00C014C6"/>
    <w:rsid w:val="00ED0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1245</Words>
  <Characters>7097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COMMERCE DEPT</dc:creator>
  <cp:lastModifiedBy>COMMERCE DEPT</cp:lastModifiedBy>
  <cp:revision>2</cp:revision>
  <dcterms:created xsi:type="dcterms:W3CDTF">2026-04-01T05:35:00Z</dcterms:created>
  <dcterms:modified xsi:type="dcterms:W3CDTF">2026-04-01T05:35:00Z</dcterms:modified>
</cp:coreProperties>
</file>