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bCs/>
          <w:sz w:val="28"/>
          <w:szCs w:val="28"/>
        </w:rPr>
      </w:pPr>
      <w:r>
        <w:rPr>
          <w:rFonts w:ascii="Times New Roman" w:hAnsi="Times New Roman" w:cs="Times New Roman"/>
          <w:b/>
          <w:bCs/>
          <w:sz w:val="28"/>
          <w:szCs w:val="28"/>
        </w:rPr>
        <w:t xml:space="preserve">Growing Greens in Cities for Healthy Lives and Spaces: </w:t>
      </w:r>
    </w:p>
    <w:p>
      <w:pPr>
        <w:jc w:val="center"/>
        <w:rPr>
          <w:rFonts w:ascii="Times New Roman" w:hAnsi="Times New Roman" w:cs="Times New Roman"/>
          <w:b/>
          <w:bCs/>
          <w:sz w:val="28"/>
          <w:szCs w:val="28"/>
        </w:rPr>
      </w:pPr>
      <w:r>
        <w:rPr>
          <w:rFonts w:ascii="Times New Roman" w:hAnsi="Times New Roman" w:cs="Times New Roman"/>
          <w:b/>
          <w:bCs/>
          <w:sz w:val="28"/>
          <w:szCs w:val="28"/>
        </w:rPr>
        <w:t xml:space="preserve">The Case of Community Gardens in Chicago, Illinois </w:t>
      </w:r>
      <w:bookmarkStart w:id="2" w:name="_GoBack"/>
      <w:bookmarkEnd w:id="2"/>
    </w:p>
    <w:p>
      <w:pPr>
        <w:jc w:val="center"/>
        <w:rPr>
          <w:rFonts w:ascii="Times New Roman" w:hAnsi="Times New Roman" w:cs="Times New Roman"/>
          <w:b/>
          <w:bCs/>
          <w:sz w:val="28"/>
          <w:szCs w:val="28"/>
        </w:rPr>
      </w:pPr>
      <w:r>
        <w:rPr>
          <w:rFonts w:ascii="Times New Roman" w:hAnsi="Times New Roman" w:cs="Times New Roman"/>
          <w:b/>
          <w:bCs/>
          <w:sz w:val="28"/>
          <w:szCs w:val="28"/>
        </w:rPr>
        <w:t>Imparted to Philippine Situation</w:t>
      </w:r>
    </w:p>
    <w:p>
      <w:pPr>
        <w:jc w:val="center"/>
        <w:rPr>
          <w:rFonts w:ascii="Times New Roman" w:hAnsi="Times New Roman" w:cs="Times New Roman"/>
          <w:b/>
          <w:bCs/>
          <w:sz w:val="28"/>
          <w:szCs w:val="28"/>
        </w:rPr>
      </w:pPr>
    </w:p>
    <w:p>
      <w:pPr>
        <w:rPr>
          <w:rFonts w:ascii="Times New Roman" w:hAnsi="Times New Roman" w:cs="Times New Roman"/>
          <w:sz w:val="20"/>
          <w:szCs w:val="20"/>
        </w:rPr>
      </w:pPr>
    </w:p>
    <w:p>
      <w:pPr>
        <w:rPr>
          <w:sz w:val="20"/>
          <w:szCs w:val="20"/>
        </w:rPr>
      </w:pPr>
    </w:p>
    <w:p/>
    <w:p/>
    <w:p>
      <w:pPr>
        <w:jc w:val="center"/>
        <w:rPr>
          <w:rFonts w:ascii="Times New Roman" w:hAnsi="Times New Roman" w:cs="Times New Roman"/>
          <w:b/>
          <w:bCs/>
        </w:rPr>
      </w:pPr>
      <w:r>
        <w:rPr>
          <w:rFonts w:ascii="Times New Roman" w:hAnsi="Times New Roman" w:cs="Times New Roman"/>
          <w:b/>
          <w:bCs/>
        </w:rPr>
        <w:t>ABSTRACT</w:t>
      </w:r>
      <w:r>
        <w:rPr>
          <w:rFonts w:ascii="Times New Roman" w:hAnsi="Times New Roman" w:cs="Times New Roman"/>
          <w:b/>
          <w:bCs/>
        </w:rPr>
        <w:br w:type="textWrapping"/>
      </w:r>
    </w:p>
    <w:p>
      <w:pPr>
        <w:jc w:val="both"/>
        <w:rPr>
          <w:rFonts w:ascii="Times New Roman" w:hAnsi="Times New Roman" w:cs="Times New Roman"/>
        </w:rPr>
      </w:pPr>
      <w:r>
        <w:rPr>
          <w:rFonts w:ascii="Times New Roman" w:hAnsi="Times New Roman" w:cs="Times New Roman"/>
        </w:rPr>
        <w:t xml:space="preserve">Community gardening is a movement founded in the cultivation of crops reminiscent of home as food and those with healing properties alongside with the preservation of the environment to ensure health and socio-economic development. The movement allows accessibility of food directly to urban and peri-urban communities to pull off a healthy lifestyle that starts with pesticide-free vegetables and supply of affordable crops of their preference amidst an imbalance situation of race, ethnicity, economic resources, and of disruptive situations like the covid pandemic. The shared work and access to harvest among its members and volunteers also result in an enhanced solidarity that leads to participation and fairer decision-making akin to food sovereignty. </w:t>
      </w:r>
      <w:r>
        <w:rPr>
          <w:rFonts w:ascii="Times New Roman" w:hAnsi="Times New Roman" w:cs="Times New Roman"/>
          <w:color w:val="000000" w:themeColor="text1"/>
          <w14:textFill>
            <w14:solidFill>
              <w14:schemeClr w14:val="tx1"/>
            </w14:solidFill>
          </w14:textFill>
        </w:rPr>
        <w:t>The 15 community gardens visited, documented and described, and their leaders interviewed</w:t>
      </w:r>
      <w:r>
        <w:rPr>
          <w:rFonts w:hint="default"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C00000"/>
        </w:rPr>
        <w:t>The study</w:t>
      </w:r>
      <w:r>
        <w:rPr>
          <w:rFonts w:ascii="Times New Roman" w:hAnsi="Times New Roman" w:cs="Times New Roman"/>
          <w:color w:val="C00000"/>
        </w:rPr>
        <w:t xml:space="preserve"> </w:t>
      </w:r>
      <w:r>
        <w:rPr>
          <w:rFonts w:ascii="Times New Roman" w:hAnsi="Times New Roman" w:cs="Times New Roman"/>
          <w:color w:val="000000" w:themeColor="text1"/>
          <w14:textFill>
            <w14:solidFill>
              <w14:schemeClr w14:val="tx1"/>
            </w14:solidFill>
          </w14:textFill>
        </w:rPr>
        <w:t xml:space="preserve">show the utmost importance of ‘saving own seeds’ because of the dominance and practice of growing traditional crops (heirlooms) which are inbred lines or open pollinated varieties (OPVs). Their conservation is of prime concern for ensuring diversity, mitigating the adverse effects of climate change, and ensuring health and nutrition as these are grown organically which results to better tasting vegetables (and of meat, in few gardens). Other relevant insights </w:t>
      </w:r>
      <w:r>
        <w:rPr>
          <w:rFonts w:ascii="Times New Roman" w:hAnsi="Times New Roman" w:cs="Times New Roman"/>
          <w:strike/>
          <w:dstrike w:val="0"/>
          <w:color w:val="C00000"/>
        </w:rPr>
        <w:t>as gleaned from the case interviews</w:t>
      </w:r>
      <w:r>
        <w:rPr>
          <w:rFonts w:ascii="Times New Roman" w:hAnsi="Times New Roman" w:cs="Times New Roman"/>
          <w:color w:val="000000" w:themeColor="text1"/>
          <w14:textFill>
            <w14:solidFill>
              <w14:schemeClr w14:val="tx1"/>
            </w14:solidFill>
          </w14:textFill>
        </w:rPr>
        <w:t xml:space="preserve"> are reorienting mindset specifically commitment, walking the talk, and users’ perspective like the youth; crafting a manual outlining the minimum requirements of gardens (i.e. clean water and soil analysis); heeding to clustering and consolidation of the entire value chain; and educating health workers on promoting a community of practice in their service facilities and area coverages. </w:t>
      </w:r>
    </w:p>
    <w:p>
      <w:pPr>
        <w:rPr>
          <w:rFonts w:ascii="Times New Roman" w:hAnsi="Times New Roman" w:cs="Times New Roman"/>
        </w:rPr>
      </w:pPr>
    </w:p>
    <w:p>
      <w:pPr>
        <w:ind w:left="1440" w:hanging="1440"/>
        <w:rPr>
          <w:rFonts w:ascii="Times New Roman" w:hAnsi="Times New Roman" w:cs="Times New Roman"/>
        </w:rPr>
      </w:pPr>
      <w:r>
        <w:rPr>
          <w:rFonts w:ascii="Times New Roman" w:hAnsi="Times New Roman" w:cs="Times New Roman"/>
        </w:rPr>
        <w:t xml:space="preserve">Key words:   </w:t>
      </w:r>
      <w:r>
        <w:rPr>
          <w:rFonts w:ascii="Times New Roman" w:hAnsi="Times New Roman" w:cs="Times New Roman"/>
        </w:rPr>
        <w:tab/>
      </w:r>
      <w:r>
        <w:rPr>
          <w:rFonts w:ascii="Times New Roman" w:hAnsi="Times New Roman" w:cs="Times New Roman"/>
        </w:rPr>
        <w:t>Community Gardens, Conservation, Food Sovereignty, Growing Green, Healthy    Lives, Traditional Crops,  Urban and Peri-urban</w:t>
      </w:r>
    </w:p>
    <w:p>
      <w:pPr>
        <w:ind w:firstLine="720"/>
        <w:rPr>
          <w:rFonts w:ascii="Times New Roman" w:hAnsi="Times New Roman" w:cs="Times New Roman"/>
        </w:rPr>
      </w:pPr>
      <w:r>
        <w:rPr>
          <w:rFonts w:ascii="Times New Roman" w:hAnsi="Times New Roman" w:cs="Times New Roman"/>
        </w:rPr>
        <w:t xml:space="preserve">          </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r>
        <w:rPr>
          <w:sz w:val="22"/>
          <w:szCs w:val="22"/>
        </w:rPr>
        <w:t>_________________</w:t>
      </w:r>
    </w:p>
    <w:p>
      <w:pPr>
        <w:rPr>
          <w:sz w:val="22"/>
          <w:szCs w:val="22"/>
        </w:rPr>
      </w:pPr>
    </w:p>
    <w:p>
      <w:pPr>
        <w:rPr>
          <w:sz w:val="22"/>
          <w:szCs w:val="22"/>
        </w:rPr>
      </w:pPr>
    </w:p>
    <w:p>
      <w:pPr>
        <w:rPr>
          <w:sz w:val="20"/>
          <w:szCs w:val="20"/>
        </w:rPr>
      </w:pPr>
    </w:p>
    <w:p>
      <w:pPr>
        <w:jc w:val="center"/>
        <w:rPr>
          <w:rFonts w:ascii="Times New Roman" w:hAnsi="Times New Roman" w:cs="Times New Roman"/>
        </w:rPr>
      </w:pPr>
      <w:r>
        <w:rPr>
          <w:rFonts w:ascii="Times New Roman" w:hAnsi="Times New Roman" w:cs="Times New Roman"/>
          <w:b/>
          <w:bCs/>
        </w:rPr>
        <w:t>INTRODUCTION</w:t>
      </w:r>
    </w:p>
    <w:p>
      <w:pPr>
        <w:jc w:val="both"/>
        <w:rPr>
          <w:sz w:val="22"/>
          <w:szCs w:val="22"/>
        </w:rPr>
      </w:pPr>
    </w:p>
    <w:p>
      <w:pPr>
        <w:jc w:val="both"/>
        <w:rPr>
          <w:rFonts w:ascii="Times New Roman" w:hAnsi="Times New Roman" w:cs="Times New Roman"/>
        </w:rPr>
      </w:pPr>
      <w:r>
        <w:rPr>
          <w:rFonts w:ascii="Times New Roman" w:hAnsi="Times New Roman" w:cs="Times New Roman"/>
        </w:rPr>
        <w:t>Food remains to be a major concern of most urban centers (including peri-urban areas) due to the disruptive forces of infrastructure development, population pressure, pollution (water and air), and economic versatility. The competition for spaces caused the displacement of household gardens in favor of housing, road networks, and copious economic activities. With displacement means the loss of invaluable supply and even of food of households’ preference and comfort.  These, together with their second-generation problems, have affected the availability and access to nutritious food that are naturally nutrient-rich which are available in vegetables and fruits, and livestock.</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 xml:space="preserve">The unfolding of this situation necessitates a coping strategy that ensures not only of food security but most importantly, the continuity of peoples’ cultural knowledge for healthy living. Community gardens (CGs) are key to which relationships are nurtured which served as a source of social capital across diverse populations (Zinaic et. al., 2025) who are recognized for their role in cultivating social ties among various groups, like women (Charles-Rodriguez et. al., 2023), refugee/immigrant (Charles-Rodriguez et. al., 2023), disability (Triguero-Mas et. al., 2020), and older adults (Machida, 2019). The relationship within this context enables exchange/sharing of gardening skills and production. This has been a neglected dimension on the lack of participation in most urban/peri-urban/community gardens established in the Philippines. </w:t>
      </w:r>
    </w:p>
    <w:p>
      <w:pPr>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 xml:space="preserve">As outlined by Rosing et. al. (2022), the choice for the city of Chicago for this study is for the following reasons: (1) its significant success in achieving a resilient, socially cohesive communities in spite of its challenging past marked by racial segregation and social exclusion; (2) dubbed as </w:t>
      </w:r>
      <w:r>
        <w:rPr>
          <w:rFonts w:ascii="Times New Roman" w:hAnsi="Times New Roman" w:cs="Times New Roman"/>
          <w:i/>
          <w:iCs/>
        </w:rPr>
        <w:t>Urbs in Horto</w:t>
      </w:r>
      <w:r>
        <w:rPr>
          <w:rFonts w:ascii="Times New Roman" w:hAnsi="Times New Roman" w:cs="Times New Roman"/>
        </w:rPr>
        <w:t xml:space="preserve">, meaning ‘city in a garden’ which encapsulates the city’s solid past in horticultural practices among the communities and social classes; and (3) establishment of CGs in Chicago is demand-driven. Communities have to work against all odds such as the absence of legal land-use code for urban agriculture which led to communities establishing their gardens out of the zoning laws. This is exacerbated by past local government not supporting the local initiative. In effect, the lack of proximity to fresh food sources like small shops and full-service supermarkets provided the motivation for the communities’ engagement in gardening. To date, aside from household gardens, there are about 600 CGs in the entire city of Chicago and in the South side where I did this brief research, more than 20 CGs have been recently established. </w:t>
      </w:r>
    </w:p>
    <w:p>
      <w:pPr>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Cities in the Philippines like in Metro Manila alone has a total estimated population of 15M people, which constitute almost 13% of the total population of the country (approx. 117,885,721) according to PSA (2023). As in many cities, ethnic diversity dominates certain parts of the city. More often than not, they bring with them their cultural baggage that expresses their cultural identity. In the Philippines, a case in point are the indigenous peoples of the Cordillera where sweet potato (and even black pigs) is important in their festivity and rituals. An interesting subject that reveals such is in their gastronomy practices. Even with the rapid changing consumption arrangements, there is always the deliberate effort to prepare their local recipes with ingredients of their familiarity. As Crowther (2013) puts it, such desire is evocative of their home, family, and tradition. This kind of connectedness with their local food as vividly described by Crowther functions not only as a way for satisfying their desire but also as a means of coping with their new environment.</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The aforementioned brings to light the importance of establishing food production system in whatever spaces no matter how limited it would be, like in cities and micro niches of homes. Limited it may seem but the food derived definitely contributes to food security, climate change, and most importantly to secure the essential of peoples’ well-being, and resilience of metropolitan areas.</w:t>
      </w:r>
    </w:p>
    <w:p>
      <w:pPr>
        <w:rPr>
          <w:sz w:val="22"/>
          <w:szCs w:val="22"/>
        </w:rPr>
      </w:pPr>
    </w:p>
    <w:p>
      <w:pPr>
        <w:rPr>
          <w:rFonts w:ascii="Times New Roman" w:hAnsi="Times New Roman" w:cs="Times New Roman"/>
          <w:b/>
          <w:bCs/>
          <w:i/>
          <w:iCs/>
        </w:rPr>
      </w:pPr>
      <w:r>
        <w:rPr>
          <w:rFonts w:ascii="Times New Roman" w:hAnsi="Times New Roman" w:cs="Times New Roman"/>
          <w:b/>
          <w:bCs/>
          <w:i/>
          <w:iCs/>
        </w:rPr>
        <w:t xml:space="preserve">Challenges in Sustaining Local-Based Food Systems </w:t>
      </w:r>
    </w:p>
    <w:p>
      <w:pPr>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 xml:space="preserve">A recent study participated in by Agricultural Training Institute (ATI) of the Department of Agriculture (DA) Philippines with the International Potato Centre (CIP) found that urbanization made a heavy toll on the resource-base of urban areas like Metro Manila (Bravo, 2017). The competing demand for business establishments, housing, and the influx of people with land that has limited carrying capacity presents an array of interlocking challenges; one of which is food. A priority concern for food; its availability and accessibility demand an innovative approach to it. And whether urban and peri-urban agriculture (UPA) as an innovation can achieve this remains to be seen. As presented by Feola et. al. (2020), peri urban agriculture (PUA) in Sogamoso, Columbia is regarded by their local authorities as low-tech and economically poorly performing activity. However, PUA’s persistence especially among resource-poor households emphasizes not only for the provision of food but also its role in building social relationships and even beyond. It  serves as a playing field for better understanding of peoples’ eating culture. </w:t>
      </w:r>
    </w:p>
    <w:p>
      <w:pPr>
        <w:jc w:val="both"/>
        <w:rPr>
          <w:rFonts w:ascii="Times New Roman" w:hAnsi="Times New Roman" w:cs="Times New Roman"/>
        </w:rPr>
      </w:pPr>
    </w:p>
    <w:p>
      <w:pPr>
        <w:jc w:val="both"/>
        <w:rPr>
          <w:rFonts w:hint="default" w:ascii="Times New Roman" w:hAnsi="Times New Roman" w:cs="Times New Roman"/>
          <w:color w:val="C00000"/>
          <w:highlight w:val="yellow"/>
        </w:rPr>
      </w:pPr>
      <w:r>
        <w:rPr>
          <w:rFonts w:ascii="Times New Roman" w:hAnsi="Times New Roman" w:cs="Times New Roman"/>
          <w:color w:val="C00000"/>
        </w:rPr>
        <w:t xml:space="preserve">This research endeavored to describe the dynamics and identify the essential resources of CGs in Chicago, Illinois for their successful delivery of objectives. One of the key aspects that was looked into is on the health benefits considering that CGs is towards abating inferiority (at times even toxicity) of mass-produced store-bought food and medicine. </w:t>
      </w:r>
      <w:r>
        <w:rPr>
          <w:rFonts w:hint="default" w:ascii="Times New Roman" w:hAnsi="Times New Roman" w:cs="Times New Roman"/>
          <w:color w:val="C00000"/>
        </w:rPr>
        <w:t xml:space="preserve"> </w:t>
      </w:r>
      <w:r>
        <w:rPr>
          <w:rFonts w:ascii="Times New Roman" w:hAnsi="Times New Roman" w:cs="Times New Roman"/>
          <w:color w:val="C00000"/>
        </w:rPr>
        <w:t xml:space="preserve">The focus of this brief paper is on the importance of the cultural dimension of gardens as it relates to food and nutrition. Insights to develop talking points for improving the current program in the Philippines are obtained from the field visits conducted in Chicago, Illinois from September to November 2023.  </w:t>
      </w:r>
      <w:r>
        <w:rPr>
          <w:rFonts w:hint="default" w:ascii="Times New Roman" w:hAnsi="Times New Roman" w:cs="Times New Roman"/>
          <w:color w:val="C00000"/>
        </w:rPr>
        <w:t>(</w:t>
      </w:r>
      <w:r>
        <w:rPr>
          <w:rFonts w:hint="default" w:ascii="Times New Roman" w:hAnsi="Times New Roman" w:cs="Times New Roman"/>
          <w:color w:val="C00000"/>
          <w:highlight w:val="yellow"/>
        </w:rPr>
        <w:t xml:space="preserve">This is seen as the objective of the study and it has to be placed in the Introduction following Justification of the study, not in the Methodology). </w:t>
      </w:r>
      <w:r>
        <w:rPr>
          <w:rFonts w:hint="default" w:ascii="Times New Roman" w:hAnsi="Times New Roman" w:cs="Times New Roman"/>
          <w:color w:val="C00000"/>
          <w:highlight w:val="yellow"/>
        </w:rPr>
        <w:t xml:space="preserve"> </w:t>
      </w:r>
    </w:p>
    <w:p>
      <w:pPr>
        <w:jc w:val="both"/>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rPr>
      </w:pPr>
    </w:p>
    <w:p>
      <w:pPr>
        <w:rPr>
          <w:rFonts w:ascii="Times New Roman" w:hAnsi="Times New Roman" w:cs="Times New Roman"/>
        </w:rPr>
      </w:pPr>
    </w:p>
    <w:p>
      <w:pPr>
        <w:jc w:val="center"/>
        <w:rPr>
          <w:rFonts w:ascii="Times New Roman" w:hAnsi="Times New Roman" w:cs="Times New Roman"/>
          <w:b/>
          <w:bCs/>
        </w:rPr>
      </w:pPr>
      <w:r>
        <w:rPr>
          <w:rFonts w:ascii="Times New Roman" w:hAnsi="Times New Roman" w:cs="Times New Roman"/>
          <w:b/>
          <w:bCs/>
        </w:rPr>
        <w:t>METHODOLOGY</w:t>
      </w:r>
    </w:p>
    <w:p>
      <w:pPr>
        <w:jc w:val="both"/>
        <w:rPr>
          <w:sz w:val="22"/>
          <w:szCs w:val="22"/>
        </w:rPr>
      </w:pP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 xml:space="preserve">An integrated research method that addresses the objectives was employed by combining data records, surveys through semi-structured interviews and focus group discussions. A total of 15 CGs were visited among the 20 CGs that have been recently established, at the South side of Chicago, were analyzed through case studies. The use of case study by McCombes (2019) was an appropriate design research to gain concrete, contextual, in-depth knowledge about specific real-world subject. Key questions that led to an understanding and crafting of a strategic program on UPA gardens are stated below. </w:t>
      </w:r>
    </w:p>
    <w:p>
      <w:pPr>
        <w:jc w:val="both"/>
        <w:rPr>
          <w:rFonts w:ascii="Times New Roman" w:hAnsi="Times New Roman" w:cs="Times New Roman"/>
        </w:rPr>
        <w:sectPr>
          <w:headerReference r:id="rId5" w:type="first"/>
          <w:footerReference r:id="rId8" w:type="first"/>
          <w:headerReference r:id="rId3" w:type="default"/>
          <w:footerReference r:id="rId6" w:type="default"/>
          <w:headerReference r:id="rId4" w:type="even"/>
          <w:footerReference r:id="rId7" w:type="even"/>
          <w:pgSz w:w="12240" w:h="15840"/>
          <w:pgMar w:top="1440" w:right="1440" w:bottom="1440" w:left="1582" w:header="709" w:footer="709" w:gutter="0"/>
          <w:cols w:space="708" w:num="1"/>
          <w:titlePg/>
          <w:docGrid w:linePitch="360" w:charSpace="0"/>
        </w:sectPr>
      </w:pPr>
    </w:p>
    <w:p>
      <w:pPr>
        <w:jc w:val="both"/>
        <w:rPr>
          <w:rFonts w:ascii="Times New Roman" w:hAnsi="Times New Roman" w:cs="Times New Roman"/>
          <w:lang w:val="en-US"/>
        </w:rPr>
      </w:pPr>
    </w:p>
    <w:p>
      <w:pPr>
        <w:pStyle w:val="20"/>
        <w:numPr>
          <w:ilvl w:val="0"/>
          <w:numId w:val="1"/>
        </w:numPr>
        <w:jc w:val="both"/>
        <w:rPr>
          <w:rFonts w:ascii="Times New Roman" w:hAnsi="Times New Roman" w:cs="Times New Roman"/>
          <w:lang w:val="en-US"/>
        </w:rPr>
      </w:pPr>
      <w:r>
        <w:rPr>
          <w:rFonts w:ascii="Times New Roman" w:hAnsi="Times New Roman" w:cs="Times New Roman"/>
          <w:lang w:val="en-US"/>
        </w:rPr>
        <w:t>What is the story behind the establishment of CGs?</w:t>
      </w:r>
    </w:p>
    <w:p>
      <w:pPr>
        <w:pStyle w:val="20"/>
        <w:jc w:val="both"/>
        <w:rPr>
          <w:rFonts w:ascii="Times New Roman" w:hAnsi="Times New Roman" w:cs="Times New Roman"/>
          <w:lang w:val="en-US"/>
        </w:rPr>
      </w:pPr>
    </w:p>
    <w:p>
      <w:pPr>
        <w:pStyle w:val="20"/>
        <w:numPr>
          <w:ilvl w:val="0"/>
          <w:numId w:val="2"/>
        </w:numPr>
        <w:jc w:val="both"/>
        <w:rPr>
          <w:rFonts w:ascii="Times New Roman" w:hAnsi="Times New Roman" w:cs="Times New Roman"/>
          <w:lang w:val="en-US"/>
        </w:rPr>
      </w:pPr>
      <w:r>
        <w:rPr>
          <w:rFonts w:ascii="Times New Roman" w:hAnsi="Times New Roman" w:cs="Times New Roman"/>
          <w:lang w:val="en-US"/>
        </w:rPr>
        <w:t xml:space="preserve">What are the driving forces in engaging in this type/kind of program? </w:t>
      </w:r>
    </w:p>
    <w:p>
      <w:pPr>
        <w:pStyle w:val="20"/>
        <w:numPr>
          <w:ilvl w:val="0"/>
          <w:numId w:val="2"/>
        </w:numPr>
        <w:jc w:val="both"/>
        <w:rPr>
          <w:rFonts w:ascii="Times New Roman" w:hAnsi="Times New Roman" w:cs="Times New Roman"/>
          <w:lang w:val="en-US"/>
        </w:rPr>
      </w:pPr>
      <w:r>
        <w:rPr>
          <w:rFonts w:ascii="Times New Roman" w:hAnsi="Times New Roman" w:cs="Times New Roman"/>
          <w:lang w:val="en-US"/>
        </w:rPr>
        <w:t xml:space="preserve">What types of support are obtained from outside (partners or government, if there are any)? </w:t>
      </w:r>
    </w:p>
    <w:p>
      <w:pPr>
        <w:pStyle w:val="20"/>
        <w:numPr>
          <w:ilvl w:val="0"/>
          <w:numId w:val="2"/>
        </w:numPr>
        <w:jc w:val="both"/>
        <w:rPr>
          <w:rFonts w:ascii="Times New Roman" w:hAnsi="Times New Roman" w:cs="Times New Roman"/>
          <w:lang w:val="en-US"/>
        </w:rPr>
      </w:pPr>
      <w:r>
        <w:rPr>
          <w:rFonts w:ascii="Times New Roman" w:hAnsi="Times New Roman" w:cs="Times New Roman"/>
          <w:lang w:val="en-US"/>
        </w:rPr>
        <w:t>What are the foci and specific components of the different CG?</w:t>
      </w:r>
    </w:p>
    <w:p>
      <w:pPr>
        <w:pStyle w:val="20"/>
        <w:numPr>
          <w:ilvl w:val="0"/>
          <w:numId w:val="2"/>
        </w:numPr>
        <w:jc w:val="both"/>
        <w:rPr>
          <w:rFonts w:ascii="Times New Roman" w:hAnsi="Times New Roman" w:cs="Times New Roman"/>
          <w:lang w:val="en-US"/>
        </w:rPr>
      </w:pPr>
      <w:r>
        <w:rPr>
          <w:rFonts w:ascii="Times New Roman" w:hAnsi="Times New Roman" w:cs="Times New Roman"/>
          <w:lang w:val="en-US"/>
        </w:rPr>
        <w:t>What are the key issues/concerns/gaps of CGs like on local policies (ordinances) and what do these addressed (food production and security, environmental change, climate change, waste management, nutrition, health and social welfare like arresting psychological disorder, livelihood generation, education, health, etc.)?</w:t>
      </w:r>
    </w:p>
    <w:p>
      <w:pPr>
        <w:pStyle w:val="20"/>
        <w:ind w:left="1080"/>
        <w:jc w:val="both"/>
        <w:rPr>
          <w:rFonts w:ascii="Times New Roman" w:hAnsi="Times New Roman" w:cs="Times New Roman"/>
          <w:lang w:val="en-US"/>
        </w:rPr>
      </w:pPr>
    </w:p>
    <w:p>
      <w:pPr>
        <w:pStyle w:val="20"/>
        <w:numPr>
          <w:ilvl w:val="0"/>
          <w:numId w:val="1"/>
        </w:numPr>
        <w:jc w:val="both"/>
        <w:rPr>
          <w:rFonts w:ascii="Times New Roman" w:hAnsi="Times New Roman" w:cs="Times New Roman"/>
          <w:lang w:val="en-US"/>
        </w:rPr>
      </w:pPr>
      <w:r>
        <w:rPr>
          <w:rFonts w:ascii="Times New Roman" w:hAnsi="Times New Roman" w:cs="Times New Roman"/>
          <w:lang w:val="en-US"/>
        </w:rPr>
        <w:t xml:space="preserve">Are there sufficient evidences of UPA’s contributions in order to sustain and provide the program with more support? What are these – their outcomes and success factors? </w:t>
      </w:r>
    </w:p>
    <w:p>
      <w:pPr>
        <w:pStyle w:val="20"/>
        <w:jc w:val="both"/>
        <w:rPr>
          <w:rFonts w:ascii="Times New Roman" w:hAnsi="Times New Roman" w:cs="Times New Roman"/>
          <w:lang w:val="en-US"/>
        </w:rPr>
      </w:pPr>
    </w:p>
    <w:p>
      <w:pPr>
        <w:pStyle w:val="20"/>
        <w:numPr>
          <w:ilvl w:val="0"/>
          <w:numId w:val="1"/>
        </w:numPr>
        <w:jc w:val="both"/>
        <w:rPr>
          <w:rFonts w:ascii="Times New Roman" w:hAnsi="Times New Roman" w:cs="Times New Roman"/>
          <w:lang w:val="en-US"/>
        </w:rPr>
      </w:pPr>
      <w:r>
        <w:rPr>
          <w:rFonts w:ascii="Times New Roman" w:hAnsi="Times New Roman" w:cs="Times New Roman"/>
          <w:lang w:val="en-US"/>
        </w:rPr>
        <w:t xml:space="preserve">What improvements (to include policies or legislations) and resources needed for CGs to deliver their objectives?  </w:t>
      </w:r>
    </w:p>
    <w:p>
      <w:pPr>
        <w:jc w:val="both"/>
        <w:rPr>
          <w:rFonts w:ascii="Times New Roman" w:hAnsi="Times New Roman" w:cs="Times New Roman"/>
          <w:lang w:val="en-US"/>
        </w:rPr>
      </w:pPr>
    </w:p>
    <w:p>
      <w:pPr>
        <w:pStyle w:val="20"/>
        <w:numPr>
          <w:ilvl w:val="0"/>
          <w:numId w:val="2"/>
        </w:numPr>
        <w:jc w:val="both"/>
        <w:rPr>
          <w:rFonts w:ascii="Times New Roman" w:hAnsi="Times New Roman" w:cs="Times New Roman"/>
          <w:lang w:val="en-US"/>
        </w:rPr>
      </w:pPr>
      <w:r>
        <w:rPr>
          <w:rFonts w:ascii="Times New Roman" w:hAnsi="Times New Roman" w:cs="Times New Roman"/>
          <w:lang w:val="en-US"/>
        </w:rPr>
        <w:t>Are there available and sufficient resources like biophysical to include land and clean water and socio-economic resources like Technology, Market, Social relations?</w:t>
      </w:r>
    </w:p>
    <w:p>
      <w:pPr>
        <w:pStyle w:val="20"/>
        <w:numPr>
          <w:ilvl w:val="0"/>
          <w:numId w:val="2"/>
        </w:numPr>
        <w:jc w:val="both"/>
        <w:rPr>
          <w:rFonts w:ascii="Times New Roman" w:hAnsi="Times New Roman" w:cs="Times New Roman"/>
          <w:lang w:val="en-US"/>
        </w:rPr>
      </w:pPr>
      <w:r>
        <w:rPr>
          <w:rFonts w:ascii="Times New Roman" w:hAnsi="Times New Roman" w:cs="Times New Roman"/>
          <w:lang w:val="en-US"/>
        </w:rPr>
        <w:t>What needs to be done (options) with respect to technology and policy recommendations?</w:t>
      </w:r>
    </w:p>
    <w:p>
      <w:pPr>
        <w:pStyle w:val="20"/>
        <w:ind w:left="1080"/>
        <w:jc w:val="both"/>
        <w:rPr>
          <w:rFonts w:ascii="Times New Roman" w:hAnsi="Times New Roman" w:cs="Times New Roman"/>
          <w:lang w:val="en-US"/>
        </w:rPr>
      </w:pPr>
    </w:p>
    <w:p>
      <w:pPr>
        <w:pStyle w:val="20"/>
        <w:numPr>
          <w:ilvl w:val="0"/>
          <w:numId w:val="3"/>
        </w:numPr>
        <w:ind w:hanging="382"/>
        <w:jc w:val="both"/>
        <w:rPr>
          <w:rFonts w:ascii="Times New Roman" w:hAnsi="Times New Roman" w:cs="Times New Roman"/>
          <w:lang w:val="en-US"/>
        </w:rPr>
      </w:pPr>
      <w:r>
        <w:rPr>
          <w:rFonts w:ascii="Times New Roman" w:hAnsi="Times New Roman" w:cs="Times New Roman"/>
          <w:lang w:val="en-US"/>
        </w:rPr>
        <w:t>Policy direction and support (e.g. scope and, capacity development, incentive, etc.)</w:t>
      </w:r>
    </w:p>
    <w:p>
      <w:pPr>
        <w:pStyle w:val="20"/>
        <w:numPr>
          <w:ilvl w:val="0"/>
          <w:numId w:val="3"/>
        </w:numPr>
        <w:ind w:hanging="382"/>
        <w:jc w:val="both"/>
        <w:rPr>
          <w:rFonts w:ascii="Times New Roman" w:hAnsi="Times New Roman" w:cs="Times New Roman"/>
          <w:lang w:val="en-US"/>
        </w:rPr>
      </w:pPr>
      <w:r>
        <w:rPr>
          <w:rFonts w:ascii="Times New Roman" w:hAnsi="Times New Roman" w:cs="Times New Roman"/>
          <w:lang w:val="en-US"/>
        </w:rPr>
        <w:t xml:space="preserve">Institutional arrangements (modalities) according to types of UPA </w:t>
      </w:r>
    </w:p>
    <w:p>
      <w:pPr>
        <w:pStyle w:val="20"/>
        <w:numPr>
          <w:ilvl w:val="0"/>
          <w:numId w:val="3"/>
        </w:numPr>
        <w:ind w:hanging="382"/>
        <w:jc w:val="both"/>
        <w:rPr>
          <w:rFonts w:ascii="Times New Roman" w:hAnsi="Times New Roman" w:cs="Times New Roman"/>
          <w:lang w:val="en-US"/>
        </w:rPr>
      </w:pPr>
      <w:r>
        <w:rPr>
          <w:rFonts w:ascii="Times New Roman" w:hAnsi="Times New Roman" w:cs="Times New Roman"/>
          <w:lang w:val="en-US"/>
        </w:rPr>
        <w:t>Household dynamics: inter- and intra-households</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 xml:space="preserve">The hype on establishing gardens in the cities requires a full grasp of the situation. The answers to the aforementioned questions are vital to determine adjustments and reforms especially on investments made by the government (agencies). Studies have shown the adaptiveness of UPA initiatives in many milieus, however, a key factor to sustain the program is governance (Feola et. al., 2020). Moreover, the mindset that conjures commitment to bring not only quality and affordable food but most importantly, food of peoples’ choice is critical. </w:t>
      </w:r>
    </w:p>
    <w:p>
      <w:pPr>
        <w:jc w:val="both"/>
        <w:rPr>
          <w:rFonts w:ascii="Times New Roman" w:hAnsi="Times New Roman" w:cs="Times New Roman"/>
        </w:rPr>
      </w:pPr>
    </w:p>
    <w:p>
      <w:pPr>
        <w:jc w:val="both"/>
        <w:rPr>
          <w:rFonts w:ascii="Times New Roman" w:hAnsi="Times New Roman" w:cs="Times New Roman"/>
          <w:b/>
          <w:bCs/>
          <w:i/>
          <w:iCs/>
        </w:rPr>
      </w:pPr>
      <w:r>
        <w:rPr>
          <w:rFonts w:ascii="Times New Roman" w:hAnsi="Times New Roman" w:cs="Times New Roman"/>
          <w:b/>
          <w:bCs/>
          <w:i/>
          <w:iCs/>
        </w:rPr>
        <w:t>The Gardening Culture</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 xml:space="preserve">The seven CG owners/operators/implementers are of the view that CGs make possible: </w:t>
      </w:r>
    </w:p>
    <w:p>
      <w:pPr>
        <w:jc w:val="both"/>
        <w:rPr>
          <w:rFonts w:ascii="Times New Roman" w:hAnsi="Times New Roman" w:cs="Times New Roman"/>
        </w:rPr>
      </w:pPr>
    </w:p>
    <w:p>
      <w:pPr>
        <w:pStyle w:val="20"/>
        <w:numPr>
          <w:ilvl w:val="0"/>
          <w:numId w:val="4"/>
        </w:num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accessibility to clean and nutritious food;</w:t>
      </w:r>
    </w:p>
    <w:p>
      <w:pPr>
        <w:pStyle w:val="20"/>
        <w:numPr>
          <w:ilvl w:val="0"/>
          <w:numId w:val="4"/>
        </w:num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 xml:space="preserve">production of vegetables and to a few garden owners, poultry at affordable price(s) </w:t>
      </w:r>
    </w:p>
    <w:p>
      <w:pPr>
        <w:pStyle w:val="20"/>
        <w:numPr>
          <w:ilvl w:val="0"/>
          <w:numId w:val="4"/>
        </w:num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cultivation of vegetables desired by the community;</w:t>
      </w:r>
    </w:p>
    <w:p>
      <w:pPr>
        <w:pStyle w:val="20"/>
        <w:numPr>
          <w:ilvl w:val="0"/>
          <w:numId w:val="4"/>
        </w:num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 xml:space="preserve">resumption of traditional crops reminiscent of home as food and those with healing properties; </w:t>
      </w:r>
    </w:p>
    <w:p>
      <w:pPr>
        <w:pStyle w:val="20"/>
        <w:numPr>
          <w:ilvl w:val="0"/>
          <w:numId w:val="4"/>
        </w:num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production of seeds with the intention to conserve and produce planting materials for next season cropping and some for sharing to community members; and</w:t>
      </w:r>
    </w:p>
    <w:p>
      <w:pPr>
        <w:pStyle w:val="20"/>
        <w:numPr>
          <w:ilvl w:val="0"/>
          <w:numId w:val="4"/>
        </w:num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 xml:space="preserve">preservation of cultural practices especially those that relate to food and their gastronomy. </w:t>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center"/>
        <w:rPr>
          <w:rFonts w:ascii="Times New Roman" w:hAnsi="Times New Roman" w:cs="Times New Roman"/>
          <w:b/>
          <w:bCs/>
        </w:rPr>
      </w:pPr>
      <w:r>
        <w:rPr>
          <w:rFonts w:ascii="Times New Roman" w:hAnsi="Times New Roman" w:cs="Times New Roman"/>
          <w:b/>
          <w:bCs/>
        </w:rPr>
        <w:t>RESULTS AND DISCUSSIONS</w:t>
      </w:r>
    </w:p>
    <w:p>
      <w:pPr>
        <w:jc w:val="both"/>
        <w:rPr>
          <w:b/>
          <w:bCs/>
          <w:sz w:val="22"/>
          <w:szCs w:val="22"/>
        </w:rPr>
      </w:pPr>
    </w:p>
    <w:p>
      <w:pPr>
        <w:jc w:val="both"/>
        <w:rPr>
          <w:rFonts w:ascii="Times New Roman" w:hAnsi="Times New Roman" w:cs="Times New Roman"/>
          <w:b/>
          <w:bCs/>
          <w:i/>
          <w:iCs/>
        </w:rPr>
      </w:pPr>
      <w:r>
        <w:rPr>
          <w:rFonts w:ascii="Times New Roman" w:hAnsi="Times New Roman" w:cs="Times New Roman"/>
          <w:b/>
          <w:bCs/>
          <w:i/>
          <w:iCs/>
        </w:rPr>
        <w:t>Remission of the Past; A Movement for Good Food</w:t>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cstheme="minorHAnsi"/>
          <w:b w:val="0"/>
          <w:bCs w:val="0"/>
          <w:color w:val="000000" w:themeColor="text1"/>
          <w:sz w:val="22"/>
          <w:szCs w:val="22"/>
          <w14:textFill>
            <w14:solidFill>
              <w14:schemeClr w14:val="tx1"/>
            </w14:solidFill>
          </w14:textFill>
        </w:rPr>
      </w:pPr>
      <w:r>
        <w:rPr>
          <w:sz w:val="22"/>
          <w:szCs w:val="22"/>
        </w:rPr>
        <mc:AlternateContent>
          <mc:Choice Requires="wps">
            <w:drawing>
              <wp:anchor distT="0" distB="0" distL="114300" distR="114300" simplePos="0" relativeHeight="251663360" behindDoc="1" locked="0" layoutInCell="1" allowOverlap="1">
                <wp:simplePos x="0" y="0"/>
                <wp:positionH relativeFrom="column">
                  <wp:posOffset>-77470</wp:posOffset>
                </wp:positionH>
                <wp:positionV relativeFrom="paragraph">
                  <wp:posOffset>1159510</wp:posOffset>
                </wp:positionV>
                <wp:extent cx="6042025" cy="6050280"/>
                <wp:effectExtent l="0" t="0" r="15875" b="7620"/>
                <wp:wrapTight wrapText="bothSides">
                  <wp:wrapPolygon>
                    <wp:start x="0" y="0"/>
                    <wp:lineTo x="0" y="21582"/>
                    <wp:lineTo x="21611" y="21582"/>
                    <wp:lineTo x="21611" y="0"/>
                    <wp:lineTo x="0" y="0"/>
                  </wp:wrapPolygon>
                </wp:wrapTight>
                <wp:docPr id="1210347449" name="Text Box 1"/>
                <wp:cNvGraphicFramePr/>
                <a:graphic xmlns:a="http://schemas.openxmlformats.org/drawingml/2006/main">
                  <a:graphicData uri="http://schemas.microsoft.com/office/word/2010/wordprocessingShape">
                    <wps:wsp>
                      <wps:cNvSpPr txBox="1"/>
                      <wps:spPr>
                        <a:xfrm>
                          <a:off x="0" y="0"/>
                          <a:ext cx="6042025" cy="6050280"/>
                        </a:xfrm>
                        <a:prstGeom prst="rect">
                          <a:avLst/>
                        </a:prstGeom>
                        <a:solidFill>
                          <a:schemeClr val="lt1"/>
                        </a:solidFill>
                        <a:ln w="6350">
                          <a:solidFill>
                            <a:prstClr val="black"/>
                          </a:solidFill>
                        </a:ln>
                      </wps:spPr>
                      <wps:txbx>
                        <w:txbxContent>
                          <w:p>
                            <w:pPr>
                              <w:rPr>
                                <w:rFonts w:ascii="Times New Roman" w:hAnsi="Times New Roman" w:cs="Times New Roman"/>
                                <w:b/>
                                <w:bCs/>
                                <w:sz w:val="20"/>
                                <w:szCs w:val="20"/>
                                <w:lang w:val="en-US"/>
                              </w:rPr>
                            </w:pPr>
                            <w:r>
                              <w:rPr>
                                <w:rFonts w:ascii="Times New Roman" w:hAnsi="Times New Roman" w:cs="Times New Roman"/>
                                <w:sz w:val="20"/>
                                <w:szCs w:val="20"/>
                                <w:lang w:val="en-US"/>
                              </w:rPr>
                              <w:t xml:space="preserve">Figure 1. </w:t>
                            </w:r>
                            <w:r>
                              <w:rPr>
                                <w:rFonts w:ascii="Times New Roman" w:hAnsi="Times New Roman" w:cs="Times New Roman"/>
                                <w:b/>
                                <w:bCs/>
                                <w:sz w:val="20"/>
                                <w:szCs w:val="20"/>
                                <w:lang w:val="en-US"/>
                              </w:rPr>
                              <w:t>Remission</w:t>
                            </w:r>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of the Past; A Movement for Good Food</w:t>
                            </w:r>
                          </w:p>
                          <w:p>
                            <w:pPr>
                              <w:rPr>
                                <w:rFonts w:ascii="Times New Roman" w:hAnsi="Times New Roman" w:cs="Times New Roman"/>
                                <w:b/>
                                <w:bCs/>
                                <w:sz w:val="20"/>
                                <w:szCs w:val="20"/>
                                <w:lang w:val="en-US"/>
                              </w:rPr>
                            </w:pPr>
                          </w:p>
                          <w:p>
                            <w:pPr>
                              <w:jc w:val="both"/>
                              <w:rPr>
                                <w:rFonts w:ascii="Times New Roman" w:hAnsi="Times New Roman" w:cs="Times New Roman"/>
                                <w:b/>
                                <w:bCs/>
                                <w:sz w:val="20"/>
                                <w:szCs w:val="20"/>
                                <w:lang w:val="en-US"/>
                              </w:rPr>
                            </w:pPr>
                            <w:r>
                              <w:drawing>
                                <wp:inline distT="0" distB="0" distL="0" distR="0">
                                  <wp:extent cx="2713990" cy="19558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stretch>
                                            <a:fillRect/>
                                          </a:stretch>
                                        </pic:blipFill>
                                        <pic:spPr>
                                          <a:xfrm>
                                            <a:off x="0" y="0"/>
                                            <a:ext cx="2751157" cy="1982950"/>
                                          </a:xfrm>
                                          <a:prstGeom prst="rect">
                                            <a:avLst/>
                                          </a:prstGeom>
                                        </pic:spPr>
                                      </pic:pic>
                                    </a:graphicData>
                                  </a:graphic>
                                </wp:inline>
                              </w:drawing>
                            </w:r>
                            <w:r>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drawing>
                                <wp:inline distT="0" distB="0" distL="0" distR="0">
                                  <wp:extent cx="2920365" cy="1866265"/>
                                  <wp:effectExtent l="0" t="0" r="635" b="635"/>
                                  <wp:docPr id="855155672" name="Picture 85515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55672" name="Picture 85515567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43241" cy="1880824"/>
                                          </a:xfrm>
                                          <a:prstGeom prst="rect">
                                            <a:avLst/>
                                          </a:prstGeom>
                                        </pic:spPr>
                                      </pic:pic>
                                    </a:graphicData>
                                  </a:graphic>
                                </wp:inline>
                              </w:drawing>
                            </w:r>
                          </w:p>
                          <w:p>
                            <w:pPr>
                              <w:rPr>
                                <w:rFonts w:ascii="Times New Roman" w:hAnsi="Times New Roman" w:cs="Times New Roman"/>
                                <w:b/>
                                <w:bCs/>
                                <w:sz w:val="20"/>
                                <w:szCs w:val="20"/>
                                <w:lang w:val="en-US"/>
                              </w:rPr>
                            </w:pPr>
                          </w:p>
                          <w:p>
                            <w:pPr>
                              <w:jc w:val="both"/>
                              <w:rPr>
                                <w:rFonts w:ascii="Times New Roman" w:hAnsi="Times New Roman" w:cs="Times New Roman"/>
                                <w:b/>
                                <w:bCs/>
                                <w:sz w:val="20"/>
                                <w:szCs w:val="20"/>
                                <w:lang w:val="en-US"/>
                              </w:rPr>
                            </w:pPr>
                            <w:r>
                              <w:rPr>
                                <w:rFonts w:ascii="Times New Roman" w:hAnsi="Times New Roman" w:cs="Times New Roman"/>
                                <w:color w:val="000000" w:themeColor="text1"/>
                                <w:sz w:val="20"/>
                                <w:szCs w:val="20"/>
                                <w:lang w:val="en-US"/>
                                <w14:textFill>
                                  <w14:solidFill>
                                    <w14:schemeClr w14:val="tx1"/>
                                  </w14:solidFill>
                                </w14:textFill>
                              </w:rPr>
                              <w:t>The two female owner-operators stressed the need for good food (of quality and not laden with pesticides) as their primary motivation for joining the gardening, bandwagon. In an interview with one of the co-founders of the two-year old 0.5 acre (0.20 ha) garden, she claimed that the grocery provides inferior food (laden with pesticides and inorganic fertilizers) which explains it all. They want to grow fresh quality food for the intergenerational African communities. Likewise, they are of the view that gardening is a way of reclaiming their cultural rights as owners of the land and spiritual resilience believing in the guidance of their ancestors. On another note, they put diminutive margin to their produce primarily not for competition but more of affordability by the communities and other interest groups.</w:t>
                            </w:r>
                          </w:p>
                          <w:p>
                            <w:pPr>
                              <w:jc w:val="both"/>
                              <w:rPr>
                                <w:rFonts w:ascii="Times New Roman" w:hAnsi="Times New Roman" w:cs="Times New Roman"/>
                                <w:color w:val="000000" w:themeColor="text1"/>
                                <w:sz w:val="20"/>
                                <w:szCs w:val="20"/>
                                <w:lang w:val="en-US"/>
                                <w14:textFill>
                                  <w14:solidFill>
                                    <w14:schemeClr w14:val="tx1"/>
                                  </w14:solidFill>
                                </w14:textFill>
                              </w:rPr>
                            </w:pPr>
                          </w:p>
                          <w:p>
                            <w:pPr>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The CG was established in 2022 immediately after covid with support from the Urban Growers Collective (UGC).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The reclamation of the area was tedious requiring a good mulch of the original ground with an added layer of wood chips and compost of almost a meter high and fenced (part of the City guidelines) prior to planting. </w:t>
                            </w:r>
                          </w:p>
                          <w:p>
                            <w:pPr>
                              <w:jc w:val="both"/>
                              <w:rPr>
                                <w:rFonts w:ascii="Times New Roman" w:hAnsi="Times New Roman" w:cs="Times New Roman"/>
                                <w:color w:val="000000" w:themeColor="text1"/>
                                <w:sz w:val="20"/>
                                <w:szCs w:val="20"/>
                                <w:lang w:val="en-US"/>
                                <w14:textFill>
                                  <w14:solidFill>
                                    <w14:schemeClr w14:val="tx1"/>
                                  </w14:solidFill>
                                </w14:textFill>
                              </w:rPr>
                            </w:pPr>
                          </w:p>
                          <w:p>
                            <w:pPr>
                              <w:jc w:val="both"/>
                              <w:rPr>
                                <w:rFonts w:ascii="Times New Roman" w:hAnsi="Times New Roman" w:cs="Times New Roman"/>
                                <w:color w:val="FF0000"/>
                                <w:sz w:val="20"/>
                                <w:szCs w:val="20"/>
                                <w:lang w:val="en-US"/>
                              </w:rPr>
                            </w:pPr>
                            <w:r>
                              <w:rPr>
                                <w:rFonts w:ascii="Times New Roman" w:hAnsi="Times New Roman" w:cs="Times New Roman"/>
                                <w:color w:val="000000" w:themeColor="text1"/>
                                <w:sz w:val="20"/>
                                <w:szCs w:val="20"/>
                                <w:lang w:val="en-US"/>
                                <w14:textFill>
                                  <w14:solidFill>
                                    <w14:schemeClr w14:val="tx1"/>
                                  </w14:solidFill>
                                </w14:textFill>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the co-founder words, ‘gardening is a form of healing for us and we work out for bridging generational gap.’ Founded with the spirit of sisterhood, the concern for women; young and old alike is key.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 o:spid="_x0000_s1026" o:spt="202" type="#_x0000_t202" style="position:absolute;left:0pt;margin-left:-6.1pt;margin-top:91.3pt;height:476.4pt;width:475.75pt;mso-wrap-distance-left:9pt;mso-wrap-distance-right:9pt;z-index:-251653120;mso-width-relative:page;mso-height-relative:page;" fillcolor="#FFFFFF [3201]" filled="t" stroked="t" coordsize="21600,21600" wrapcoords="0 0 0 21582 21611 21582 21611 0 0 0" o:gfxdata="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HecTzbYAAAADAEAAA8AAAAAAAAAAQAgAAAAOAAAAGRycy9kb3ducmV2LnhtbFBL&#10;AQIUABQAAAAIAIdO4kCADRXCUgIAAMAEAAAOAAAAAAAAAAEAIAAAAD0BAABkcnMvZTJvRG9jLnht&#10;bFBLBQYAAAAABgAGAFkBAAABBgAAAAA=&#10;">
                <v:fill on="t" focussize="0,0"/>
                <v:stroke weight="0.5pt" color="#000000" joinstyle="round"/>
                <v:imagedata o:title=""/>
                <o:lock v:ext="edit" aspectratio="f"/>
                <v:textbox>
                  <w:txbxContent>
                    <w:p>
                      <w:pPr>
                        <w:rPr>
                          <w:rFonts w:ascii="Times New Roman" w:hAnsi="Times New Roman" w:cs="Times New Roman"/>
                          <w:b/>
                          <w:bCs/>
                          <w:sz w:val="20"/>
                          <w:szCs w:val="20"/>
                          <w:lang w:val="en-US"/>
                        </w:rPr>
                      </w:pPr>
                      <w:r>
                        <w:rPr>
                          <w:rFonts w:ascii="Times New Roman" w:hAnsi="Times New Roman" w:cs="Times New Roman"/>
                          <w:sz w:val="20"/>
                          <w:szCs w:val="20"/>
                          <w:lang w:val="en-US"/>
                        </w:rPr>
                        <w:t xml:space="preserve">Figure 1. </w:t>
                      </w:r>
                      <w:r>
                        <w:rPr>
                          <w:rFonts w:ascii="Times New Roman" w:hAnsi="Times New Roman" w:cs="Times New Roman"/>
                          <w:b/>
                          <w:bCs/>
                          <w:sz w:val="20"/>
                          <w:szCs w:val="20"/>
                          <w:lang w:val="en-US"/>
                        </w:rPr>
                        <w:t>Remission</w:t>
                      </w:r>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of the Past; A Movement for Good Food</w:t>
                      </w:r>
                    </w:p>
                    <w:p>
                      <w:pPr>
                        <w:rPr>
                          <w:rFonts w:ascii="Times New Roman" w:hAnsi="Times New Roman" w:cs="Times New Roman"/>
                          <w:b/>
                          <w:bCs/>
                          <w:sz w:val="20"/>
                          <w:szCs w:val="20"/>
                          <w:lang w:val="en-US"/>
                        </w:rPr>
                      </w:pPr>
                    </w:p>
                    <w:p>
                      <w:pPr>
                        <w:jc w:val="both"/>
                        <w:rPr>
                          <w:rFonts w:ascii="Times New Roman" w:hAnsi="Times New Roman" w:cs="Times New Roman"/>
                          <w:b/>
                          <w:bCs/>
                          <w:sz w:val="20"/>
                          <w:szCs w:val="20"/>
                          <w:lang w:val="en-US"/>
                        </w:rPr>
                      </w:pPr>
                      <w:r>
                        <w:drawing>
                          <wp:inline distT="0" distB="0" distL="0" distR="0">
                            <wp:extent cx="2713990" cy="19558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stretch>
                                      <a:fillRect/>
                                    </a:stretch>
                                  </pic:blipFill>
                                  <pic:spPr>
                                    <a:xfrm>
                                      <a:off x="0" y="0"/>
                                      <a:ext cx="2751157" cy="1982950"/>
                                    </a:xfrm>
                                    <a:prstGeom prst="rect">
                                      <a:avLst/>
                                    </a:prstGeom>
                                  </pic:spPr>
                                </pic:pic>
                              </a:graphicData>
                            </a:graphic>
                          </wp:inline>
                        </w:drawing>
                      </w:r>
                      <w:r>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drawing>
                          <wp:inline distT="0" distB="0" distL="0" distR="0">
                            <wp:extent cx="2920365" cy="1866265"/>
                            <wp:effectExtent l="0" t="0" r="635" b="635"/>
                            <wp:docPr id="855155672" name="Picture 85515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55672" name="Picture 85515567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43241" cy="1880824"/>
                                    </a:xfrm>
                                    <a:prstGeom prst="rect">
                                      <a:avLst/>
                                    </a:prstGeom>
                                  </pic:spPr>
                                </pic:pic>
                              </a:graphicData>
                            </a:graphic>
                          </wp:inline>
                        </w:drawing>
                      </w:r>
                    </w:p>
                    <w:p>
                      <w:pPr>
                        <w:rPr>
                          <w:rFonts w:ascii="Times New Roman" w:hAnsi="Times New Roman" w:cs="Times New Roman"/>
                          <w:b/>
                          <w:bCs/>
                          <w:sz w:val="20"/>
                          <w:szCs w:val="20"/>
                          <w:lang w:val="en-US"/>
                        </w:rPr>
                      </w:pPr>
                    </w:p>
                    <w:p>
                      <w:pPr>
                        <w:jc w:val="both"/>
                        <w:rPr>
                          <w:rFonts w:ascii="Times New Roman" w:hAnsi="Times New Roman" w:cs="Times New Roman"/>
                          <w:b/>
                          <w:bCs/>
                          <w:sz w:val="20"/>
                          <w:szCs w:val="20"/>
                          <w:lang w:val="en-US"/>
                        </w:rPr>
                      </w:pPr>
                      <w:r>
                        <w:rPr>
                          <w:rFonts w:ascii="Times New Roman" w:hAnsi="Times New Roman" w:cs="Times New Roman"/>
                          <w:color w:val="000000" w:themeColor="text1"/>
                          <w:sz w:val="20"/>
                          <w:szCs w:val="20"/>
                          <w:lang w:val="en-US"/>
                          <w14:textFill>
                            <w14:solidFill>
                              <w14:schemeClr w14:val="tx1"/>
                            </w14:solidFill>
                          </w14:textFill>
                        </w:rPr>
                        <w:t>The two female owner-operators stressed the need for good food (of quality and not laden with pesticides) as their primary motivation for joining the gardening, bandwagon. In an interview with one of the co-founders of the two-year old 0.5 acre (0.20 ha) garden, she claimed that the grocery provides inferior food (laden with pesticides and inorganic fertilizers) which explains it all. They want to grow fresh quality food for the intergenerational African communities. Likewise, they are of the view that gardening is a way of reclaiming their cultural rights as owners of the land and spiritual resilience believing in the guidance of their ancestors. On another note, they put diminutive margin to their produce primarily not for competition but more of affordability by the communities and other interest groups.</w:t>
                      </w:r>
                    </w:p>
                    <w:p>
                      <w:pPr>
                        <w:jc w:val="both"/>
                        <w:rPr>
                          <w:rFonts w:ascii="Times New Roman" w:hAnsi="Times New Roman" w:cs="Times New Roman"/>
                          <w:color w:val="000000" w:themeColor="text1"/>
                          <w:sz w:val="20"/>
                          <w:szCs w:val="20"/>
                          <w:lang w:val="en-US"/>
                          <w14:textFill>
                            <w14:solidFill>
                              <w14:schemeClr w14:val="tx1"/>
                            </w14:solidFill>
                          </w14:textFill>
                        </w:rPr>
                      </w:pPr>
                    </w:p>
                    <w:p>
                      <w:pPr>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The CG was established in 2022 immediately after covid with support from the Urban Growers Collective (UGC).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The reclamation of the area was tedious requiring a good mulch of the original ground with an added layer of wood chips and compost of almost a meter high and fenced (part of the City guidelines) prior to planting. </w:t>
                      </w:r>
                    </w:p>
                    <w:p>
                      <w:pPr>
                        <w:jc w:val="both"/>
                        <w:rPr>
                          <w:rFonts w:ascii="Times New Roman" w:hAnsi="Times New Roman" w:cs="Times New Roman"/>
                          <w:color w:val="000000" w:themeColor="text1"/>
                          <w:sz w:val="20"/>
                          <w:szCs w:val="20"/>
                          <w:lang w:val="en-US"/>
                          <w14:textFill>
                            <w14:solidFill>
                              <w14:schemeClr w14:val="tx1"/>
                            </w14:solidFill>
                          </w14:textFill>
                        </w:rPr>
                      </w:pPr>
                    </w:p>
                    <w:p>
                      <w:pPr>
                        <w:jc w:val="both"/>
                        <w:rPr>
                          <w:rFonts w:ascii="Times New Roman" w:hAnsi="Times New Roman" w:cs="Times New Roman"/>
                          <w:color w:val="FF0000"/>
                          <w:sz w:val="20"/>
                          <w:szCs w:val="20"/>
                          <w:lang w:val="en-US"/>
                        </w:rPr>
                      </w:pPr>
                      <w:r>
                        <w:rPr>
                          <w:rFonts w:ascii="Times New Roman" w:hAnsi="Times New Roman" w:cs="Times New Roman"/>
                          <w:color w:val="000000" w:themeColor="text1"/>
                          <w:sz w:val="20"/>
                          <w:szCs w:val="20"/>
                          <w:lang w:val="en-US"/>
                          <w14:textFill>
                            <w14:solidFill>
                              <w14:schemeClr w14:val="tx1"/>
                            </w14:solidFill>
                          </w14:textFill>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the co-founder words, ‘gardening is a form of healing for us and we work out for bridging generational gap.’ Founded with the spirit of sisterhood, the concern for women; young and old alike is key. </w:t>
                      </w:r>
                    </w:p>
                  </w:txbxContent>
                </v:textbox>
                <w10:wrap type="tight"/>
              </v:shape>
            </w:pict>
          </mc:Fallback>
        </mc:AlternateContent>
      </w:r>
      <w:r>
        <w:rPr>
          <w:rFonts w:ascii="Times New Roman" w:hAnsi="Times New Roman" w:cs="Times New Roman"/>
        </w:rPr>
        <w:t>The South and West Side of Chicago are neighborhoods with several gardens. This was a major coping strategy of many Black and Latinx communities in their situation of limited access to  business activities like retail shops. This was prevalent even in the late 90’s and even to this writing, where the northern part have better economic opportunities. It goes without saying that the major impetus for their urban gardening movement has its historical underpinnings where these served as expression of their racial and economic marginalization (Box 1).</w:t>
      </w:r>
    </w:p>
    <w:p>
      <w:pPr>
        <w:jc w:val="both"/>
        <w:rPr>
          <w:rStyle w:val="15"/>
          <w:rFonts w:ascii="Times New Roman" w:hAnsi="Times New Roman" w:cs="Times New Roman"/>
          <w:i/>
          <w:iCs/>
          <w:color w:val="000000" w:themeColor="text1"/>
          <w14:textFill>
            <w14:solidFill>
              <w14:schemeClr w14:val="tx1"/>
            </w14:solidFill>
          </w14:textFill>
        </w:rPr>
      </w:pPr>
      <w:r>
        <w:rPr>
          <w:rStyle w:val="15"/>
          <w:rFonts w:ascii="Times New Roman" w:hAnsi="Times New Roman" w:cs="Times New Roman"/>
          <w:i/>
          <w:iCs/>
          <w:color w:val="000000" w:themeColor="text1"/>
          <w14:textFill>
            <w14:solidFill>
              <w14:schemeClr w14:val="tx1"/>
            </w14:solidFill>
          </w14:textFill>
        </w:rPr>
        <w:t>Urban Growers Collective´s (UGC) Success</w:t>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The CGs success owes much to the availability of resources. Cooperation and collective action are key strategies for sustaining the life of the CGs. Many of these gardens enjoin community’s participation of youth, retirees and elderly group on top of a few hired staff.  Hands-on training are also provided for the said interest groups to ensure their active engagement and satisfaction. A major lifeline of fledgling gardens is networking (Box 2).</w:t>
      </w:r>
    </w:p>
    <w:p>
      <w:pPr>
        <w:jc w:val="both"/>
        <w:rPr>
          <w:rStyle w:val="15"/>
          <w:rFonts w:cstheme="minorHAnsi"/>
          <w:b w:val="0"/>
          <w:bCs w:val="0"/>
          <w:color w:val="212529"/>
        </w:rPr>
      </w:pPr>
      <w:r>
        <w:rPr>
          <w:rFonts w:cstheme="minorHAnsi"/>
          <w:color w:val="212529"/>
        </w:rPr>
        <mc:AlternateContent>
          <mc:Choice Requires="wps">
            <w:drawing>
              <wp:anchor distT="0" distB="0" distL="114300" distR="114300" simplePos="0" relativeHeight="251660288" behindDoc="0" locked="0" layoutInCell="1" allowOverlap="1">
                <wp:simplePos x="0" y="0"/>
                <wp:positionH relativeFrom="column">
                  <wp:posOffset>-57785</wp:posOffset>
                </wp:positionH>
                <wp:positionV relativeFrom="paragraph">
                  <wp:posOffset>151765</wp:posOffset>
                </wp:positionV>
                <wp:extent cx="5995670" cy="7882255"/>
                <wp:effectExtent l="4445" t="4445" r="10160" b="9525"/>
                <wp:wrapNone/>
                <wp:docPr id="9334238" name="Text Box 1"/>
                <wp:cNvGraphicFramePr/>
                <a:graphic xmlns:a="http://schemas.openxmlformats.org/drawingml/2006/main">
                  <a:graphicData uri="http://schemas.microsoft.com/office/word/2010/wordprocessingShape">
                    <wps:wsp>
                      <wps:cNvSpPr txBox="1"/>
                      <wps:spPr>
                        <a:xfrm>
                          <a:off x="0" y="0"/>
                          <a:ext cx="5995447" cy="7882255"/>
                        </a:xfrm>
                        <a:prstGeom prst="rect">
                          <a:avLst/>
                        </a:prstGeom>
                        <a:solidFill>
                          <a:schemeClr val="lt1"/>
                        </a:solidFill>
                        <a:ln w="6350">
                          <a:solidFill>
                            <a:prstClr val="black"/>
                          </a:solidFill>
                        </a:ln>
                      </wps:spPr>
                      <wps:txbx>
                        <w:txbxContent>
                          <w:p>
                            <w:pPr>
                              <w:rPr>
                                <w:rFonts w:ascii="Times New Roman" w:hAnsi="Times New Roman" w:cs="Times New Roman"/>
                                <w:b/>
                                <w:bCs/>
                                <w:sz w:val="20"/>
                                <w:szCs w:val="20"/>
                                <w:lang w:val="en-US"/>
                              </w:rPr>
                            </w:pPr>
                            <w:r>
                              <w:rPr>
                                <w:rFonts w:ascii="Times New Roman" w:hAnsi="Times New Roman" w:cs="Times New Roman"/>
                                <w:sz w:val="20"/>
                                <w:szCs w:val="20"/>
                                <w:lang w:val="en-US"/>
                              </w:rPr>
                              <w:t xml:space="preserve">Figure 2. </w:t>
                            </w:r>
                            <w:r>
                              <w:rPr>
                                <w:rFonts w:ascii="Times New Roman" w:hAnsi="Times New Roman" w:cs="Times New Roman"/>
                                <w:b/>
                                <w:bCs/>
                                <w:sz w:val="20"/>
                                <w:szCs w:val="20"/>
                                <w:lang w:val="en-US"/>
                              </w:rPr>
                              <w:t>Urban Growers Collective’s (UGC) Success</w:t>
                            </w:r>
                          </w:p>
                          <w:p>
                            <w:pPr>
                              <w:rPr>
                                <w:rFonts w:ascii="Times New Roman" w:hAnsi="Times New Roman" w:cs="Times New Roman"/>
                                <w:b/>
                                <w:bCs/>
                                <w:sz w:val="20"/>
                                <w:szCs w:val="20"/>
                                <w:lang w:val="en-US"/>
                              </w:rPr>
                            </w:pPr>
                          </w:p>
                          <w:p>
                            <w:pPr>
                              <w:rPr>
                                <w:rFonts w:ascii="Times New Roman" w:hAnsi="Times New Roman" w:cs="Times New Roman"/>
                                <w:b/>
                                <w:bCs/>
                                <w:sz w:val="20"/>
                                <w:szCs w:val="20"/>
                                <w:lang w:val="en-US"/>
                              </w:rPr>
                            </w:pPr>
                            <w:r>
                              <w:drawing>
                                <wp:inline distT="0" distB="0" distL="0" distR="0">
                                  <wp:extent cx="5805805" cy="228981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805805" cy="2289810"/>
                                          </a:xfrm>
                                          <a:prstGeom prst="rect">
                                            <a:avLst/>
                                          </a:prstGeom>
                                        </pic:spPr>
                                      </pic:pic>
                                    </a:graphicData>
                                  </a:graphic>
                                </wp:inline>
                              </w:drawing>
                            </w:r>
                            <w:r>
                              <w:rPr>
                                <w:rFonts w:ascii="Times New Roman" w:hAnsi="Times New Roman" w:cs="Times New Roman"/>
                                <w:b/>
                                <w:bCs/>
                                <w:sz w:val="20"/>
                                <w:szCs w:val="20"/>
                                <w:lang w:val="en-US"/>
                              </w:rPr>
                              <w:t xml:space="preserve">    </w:t>
                            </w:r>
                          </w:p>
                          <w:p>
                            <w:pPr>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UGC’s goal of community garden initiative is founded in the cultivation of food juxtaposed with the preservation of the environment to ensure health, socio-economic development, and creativity. Its credo is a straightforward attempt to address the inequities and structural racism in the food system and in communities of color (</w:t>
                            </w:r>
                            <w:r>
                              <w:fldChar w:fldCharType="begin"/>
                            </w:r>
                            <w:r>
                              <w:instrText xml:space="preserve"> HYPERLINK "https://www.urbangrowerscollective.org" </w:instrText>
                            </w:r>
                            <w:r>
                              <w:fldChar w:fldCharType="separate"/>
                            </w:r>
                            <w:r>
                              <w:rPr>
                                <w:rStyle w:val="13"/>
                                <w:rFonts w:ascii="Times New Roman" w:hAnsi="Times New Roman" w:cs="Times New Roman"/>
                                <w:color w:val="000000" w:themeColor="text1"/>
                                <w:sz w:val="20"/>
                                <w:szCs w:val="20"/>
                                <w:u w:val="none"/>
                                <w:lang w:val="en-US"/>
                                <w14:textFill>
                                  <w14:solidFill>
                                    <w14:schemeClr w14:val="tx1"/>
                                  </w14:solidFill>
                                </w14:textFill>
                              </w:rPr>
                              <w:t>https://www.urbangrowerscollective.org</w:t>
                            </w:r>
                            <w:r>
                              <w:rPr>
                                <w:rStyle w:val="13"/>
                                <w:rFonts w:ascii="Times New Roman" w:hAnsi="Times New Roman" w:cs="Times New Roman"/>
                                <w:color w:val="000000" w:themeColor="text1"/>
                                <w:sz w:val="20"/>
                                <w:szCs w:val="20"/>
                                <w:u w:val="none"/>
                                <w:lang w:val="en-US"/>
                                <w14:textFill>
                                  <w14:solidFill>
                                    <w14:schemeClr w14:val="tx1"/>
                                  </w14:solidFill>
                                </w14:textFill>
                              </w:rPr>
                              <w:fldChar w:fldCharType="end"/>
                            </w:r>
                            <w:r>
                              <w:rPr>
                                <w:rFonts w:ascii="Times New Roman" w:hAnsi="Times New Roman" w:cs="Times New Roman"/>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lang w:val="en-US"/>
                                <w14:textFill>
                                  <w14:solidFill>
                                    <w14:schemeClr w14:val="tx1"/>
                                  </w14:solidFill>
                                </w14:textFill>
                              </w:rPr>
                              <w:t xml:space="preserve"> </w:t>
                            </w:r>
                            <w:r>
                              <w:rPr>
                                <w:rFonts w:ascii="Times New Roman" w:hAnsi="Times New Roman" w:cs="Times New Roman"/>
                                <w:sz w:val="20"/>
                                <w:szCs w:val="20"/>
                                <w:lang w:val="en-US"/>
                              </w:rPr>
                              <w:t xml:space="preserve">October 10, 2023). In a very significant way, UGC has been successful in supplying year-round quality food to communities and even other interest groups. The success factor is its inclusive perspective that does not only focus on sustained production, but also influencing others through training and education of women, retirees and even the young cadre. A case in point is the Black-women led Sistas in the Village (SITV) community garden established by two women. The success of UGC in its revolutionary approach to food production since 2002 owes much to the dedication and commitment of its founder (Ms Erika Allen) and now, its team from the board of directors to the youth who operates and believes in the same spirit; building and/or strengthening their confidence as young gardeners/farmers. </w:t>
                            </w: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farm of almost 11 acres (4.45 ha) on usufruct arrangement with the City government, consists of an orchard, vegetable patch of diverse types including herbs, goats and chickens’ coop, medicinal plants, and greenhouses. Other salient features are the container stores (cold storage), farm implements, preparatory shed, and wash room.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The farm stall at its entrance showcases the different produce of the farm. Interestingly, all the vegetables sold are the traditional varieties consisting of tomatoes, peppers, okra, kale, herbs and other medicinal plants propagated through their own saved seeds. This is a dogma adhered to by almost all of the community-based food system leaders. Hence, it is to no surprise that the crops they cultivate addresses both food insecurity and the ‘lost connection’ with their past --- crops reminiscent of home as food and with healing properties.</w:t>
                            </w:r>
                          </w:p>
                          <w:p>
                            <w:pPr>
                              <w:jc w:val="both"/>
                              <w:rPr>
                                <w:rFonts w:ascii="Times New Roman" w:hAnsi="Times New Roman" w:cs="Times New Roman"/>
                                <w:sz w:val="20"/>
                                <w:szCs w:val="20"/>
                                <w:lang w:val="en-US"/>
                              </w:rPr>
                            </w:pPr>
                          </w:p>
                          <w:p>
                            <w:pPr>
                              <w:rPr>
                                <w:rFonts w:ascii="Times New Roman" w:hAnsi="Times New Roman" w:cs="Times New Roman"/>
                                <w:color w:val="FF0000"/>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 o:spid="_x0000_s1026" o:spt="202" type="#_x0000_t202" style="position:absolute;left:0pt;margin-left:-4.55pt;margin-top:11.95pt;height:620.65pt;width:472.1pt;z-index:251660288;mso-width-relative:page;mso-height-relative:page;" fillcolor="#FFFFFF [3201]" filled="t" stroked="t" coordsize="21600,21600" o:gfxdata="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DXBxQtYAAAAJAQAADwAAAAAAAAABACAAAAA4AAAAZHJzL2Rvd25yZXYueG1sUEsBAhQAFAAA&#10;AAgAh07iQJgBdnZNAgAAvQQAAA4AAAAAAAAAAQAgAAAAOwEAAGRycy9lMm9Eb2MueG1sUEsFBgAA&#10;AAAGAAYAWQEAAPoFAAAAAA==&#10;">
                <v:fill on="t" focussize="0,0"/>
                <v:stroke weight="0.5pt" color="#000000" joinstyle="round"/>
                <v:imagedata o:title=""/>
                <o:lock v:ext="edit" aspectratio="f"/>
                <v:textbox>
                  <w:txbxContent>
                    <w:p>
                      <w:pPr>
                        <w:rPr>
                          <w:rFonts w:ascii="Times New Roman" w:hAnsi="Times New Roman" w:cs="Times New Roman"/>
                          <w:b/>
                          <w:bCs/>
                          <w:sz w:val="20"/>
                          <w:szCs w:val="20"/>
                          <w:lang w:val="en-US"/>
                        </w:rPr>
                      </w:pPr>
                      <w:r>
                        <w:rPr>
                          <w:rFonts w:ascii="Times New Roman" w:hAnsi="Times New Roman" w:cs="Times New Roman"/>
                          <w:sz w:val="20"/>
                          <w:szCs w:val="20"/>
                          <w:lang w:val="en-US"/>
                        </w:rPr>
                        <w:t xml:space="preserve">Figure 2. </w:t>
                      </w:r>
                      <w:r>
                        <w:rPr>
                          <w:rFonts w:ascii="Times New Roman" w:hAnsi="Times New Roman" w:cs="Times New Roman"/>
                          <w:b/>
                          <w:bCs/>
                          <w:sz w:val="20"/>
                          <w:szCs w:val="20"/>
                          <w:lang w:val="en-US"/>
                        </w:rPr>
                        <w:t>Urban Growers Collective’s (UGC) Success</w:t>
                      </w:r>
                    </w:p>
                    <w:p>
                      <w:pPr>
                        <w:rPr>
                          <w:rFonts w:ascii="Times New Roman" w:hAnsi="Times New Roman" w:cs="Times New Roman"/>
                          <w:b/>
                          <w:bCs/>
                          <w:sz w:val="20"/>
                          <w:szCs w:val="20"/>
                          <w:lang w:val="en-US"/>
                        </w:rPr>
                      </w:pPr>
                    </w:p>
                    <w:p>
                      <w:pPr>
                        <w:rPr>
                          <w:rFonts w:ascii="Times New Roman" w:hAnsi="Times New Roman" w:cs="Times New Roman"/>
                          <w:b/>
                          <w:bCs/>
                          <w:sz w:val="20"/>
                          <w:szCs w:val="20"/>
                          <w:lang w:val="en-US"/>
                        </w:rPr>
                      </w:pPr>
                      <w:r>
                        <w:drawing>
                          <wp:inline distT="0" distB="0" distL="0" distR="0">
                            <wp:extent cx="5805805" cy="228981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805805" cy="2289810"/>
                                    </a:xfrm>
                                    <a:prstGeom prst="rect">
                                      <a:avLst/>
                                    </a:prstGeom>
                                  </pic:spPr>
                                </pic:pic>
                              </a:graphicData>
                            </a:graphic>
                          </wp:inline>
                        </w:drawing>
                      </w:r>
                      <w:r>
                        <w:rPr>
                          <w:rFonts w:ascii="Times New Roman" w:hAnsi="Times New Roman" w:cs="Times New Roman"/>
                          <w:b/>
                          <w:bCs/>
                          <w:sz w:val="20"/>
                          <w:szCs w:val="20"/>
                          <w:lang w:val="en-US"/>
                        </w:rPr>
                        <w:t xml:space="preserve">    </w:t>
                      </w:r>
                    </w:p>
                    <w:p>
                      <w:pPr>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UGC’s goal of community garden initiative is founded in the cultivation of food juxtaposed with the preservation of the environment to ensure health, socio-economic development, and creativity. Its credo is a straightforward attempt to address the inequities and structural racism in the food system and in communities of color (</w:t>
                      </w:r>
                      <w:r>
                        <w:fldChar w:fldCharType="begin"/>
                      </w:r>
                      <w:r>
                        <w:instrText xml:space="preserve"> HYPERLINK "https://www.urbangrowerscollective.org" </w:instrText>
                      </w:r>
                      <w:r>
                        <w:fldChar w:fldCharType="separate"/>
                      </w:r>
                      <w:r>
                        <w:rPr>
                          <w:rStyle w:val="13"/>
                          <w:rFonts w:ascii="Times New Roman" w:hAnsi="Times New Roman" w:cs="Times New Roman"/>
                          <w:color w:val="000000" w:themeColor="text1"/>
                          <w:sz w:val="20"/>
                          <w:szCs w:val="20"/>
                          <w:u w:val="none"/>
                          <w:lang w:val="en-US"/>
                          <w14:textFill>
                            <w14:solidFill>
                              <w14:schemeClr w14:val="tx1"/>
                            </w14:solidFill>
                          </w14:textFill>
                        </w:rPr>
                        <w:t>https://www.urbangrowerscollective.org</w:t>
                      </w:r>
                      <w:r>
                        <w:rPr>
                          <w:rStyle w:val="13"/>
                          <w:rFonts w:ascii="Times New Roman" w:hAnsi="Times New Roman" w:cs="Times New Roman"/>
                          <w:color w:val="000000" w:themeColor="text1"/>
                          <w:sz w:val="20"/>
                          <w:szCs w:val="20"/>
                          <w:u w:val="none"/>
                          <w:lang w:val="en-US"/>
                          <w14:textFill>
                            <w14:solidFill>
                              <w14:schemeClr w14:val="tx1"/>
                            </w14:solidFill>
                          </w14:textFill>
                        </w:rPr>
                        <w:fldChar w:fldCharType="end"/>
                      </w:r>
                      <w:r>
                        <w:rPr>
                          <w:rFonts w:ascii="Times New Roman" w:hAnsi="Times New Roman" w:cs="Times New Roman"/>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lang w:val="en-US"/>
                          <w14:textFill>
                            <w14:solidFill>
                              <w14:schemeClr w14:val="tx1"/>
                            </w14:solidFill>
                          </w14:textFill>
                        </w:rPr>
                        <w:t xml:space="preserve"> </w:t>
                      </w:r>
                      <w:r>
                        <w:rPr>
                          <w:rFonts w:ascii="Times New Roman" w:hAnsi="Times New Roman" w:cs="Times New Roman"/>
                          <w:sz w:val="20"/>
                          <w:szCs w:val="20"/>
                          <w:lang w:val="en-US"/>
                        </w:rPr>
                        <w:t xml:space="preserve">October 10, 2023). In a very significant way, UGC has been successful in supplying year-round quality food to communities and even other interest groups. The success factor is its inclusive perspective that does not only focus on sustained production, but also influencing others through training and education of women, retirees and even the young cadre. A case in point is the Black-women led Sistas in the Village (SITV) community garden established by two women. The success of UGC in its revolutionary approach to food production since 2002 owes much to the dedication and commitment of its founder (Ms Erika Allen) and now, its team from the board of directors to the youth who operates and believes in the same spirit; building and/or strengthening their confidence as young gardeners/farmers. </w:t>
                      </w: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farm of almost 11 acres (4.45 ha) on usufruct arrangement with the City government, consists of an orchard, vegetable patch of diverse types including herbs, goats and chickens’ coop, medicinal plants, and greenhouses. Other salient features are the container stores (cold storage), farm implements, preparatory shed, and wash room.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The farm stall at its entrance showcases the different produce of the farm. Interestingly, all the vegetables sold are the traditional varieties consisting of tomatoes, peppers, okra, kale, herbs and other medicinal plants propagated through their own saved seeds. This is a dogma adhered to by almost all of the community-based food system leaders. Hence, it is to no surprise that the crops they cultivate addresses both food insecurity and the ‘lost connection’ with their past --- crops reminiscent of home as food and with healing properties.</w:t>
                      </w:r>
                    </w:p>
                    <w:p>
                      <w:pPr>
                        <w:jc w:val="both"/>
                        <w:rPr>
                          <w:rFonts w:ascii="Times New Roman" w:hAnsi="Times New Roman" w:cs="Times New Roman"/>
                          <w:sz w:val="20"/>
                          <w:szCs w:val="20"/>
                          <w:lang w:val="en-US"/>
                        </w:rPr>
                      </w:pPr>
                    </w:p>
                    <w:p>
                      <w:pPr>
                        <w:rPr>
                          <w:rFonts w:ascii="Times New Roman" w:hAnsi="Times New Roman" w:cs="Times New Roman"/>
                          <w:color w:val="FF0000"/>
                          <w:sz w:val="20"/>
                          <w:szCs w:val="20"/>
                          <w:lang w:val="en-US"/>
                        </w:rPr>
                      </w:pPr>
                    </w:p>
                  </w:txbxContent>
                </v:textbox>
              </v:shape>
            </w:pict>
          </mc:Fallback>
        </mc:AlternateContent>
      </w: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ind w:firstLine="720"/>
        <w:jc w:val="both"/>
        <w:rPr>
          <w:rStyle w:val="15"/>
          <w:rFonts w:cstheme="minorHAnsi"/>
          <w:b w:val="0"/>
          <w:bCs w:val="0"/>
          <w:color w:val="212529"/>
        </w:rPr>
      </w:pPr>
    </w:p>
    <w:p>
      <w:pPr>
        <w:ind w:firstLine="720"/>
        <w:jc w:val="both"/>
        <w:rPr>
          <w:rStyle w:val="15"/>
          <w:rFonts w:cstheme="minorHAnsi"/>
          <w:b w:val="0"/>
          <w:bCs w:val="0"/>
          <w:color w:val="212529"/>
        </w:rPr>
      </w:pPr>
    </w:p>
    <w:p>
      <w:pPr>
        <w:ind w:firstLine="720"/>
        <w:jc w:val="both"/>
        <w:rPr>
          <w:rStyle w:val="15"/>
          <w:rFonts w:cstheme="minorHAnsi"/>
          <w:b w:val="0"/>
          <w:bCs w:val="0"/>
          <w:color w:val="212529"/>
        </w:rPr>
      </w:pPr>
    </w:p>
    <w:p>
      <w:pPr>
        <w:ind w:firstLine="720"/>
        <w:jc w:val="both"/>
        <w:rPr>
          <w:rStyle w:val="15"/>
          <w:rFonts w:cstheme="minorHAnsi"/>
          <w:b w:val="0"/>
          <w:bCs w:val="0"/>
          <w:color w:val="212529"/>
        </w:rPr>
      </w:pPr>
    </w:p>
    <w:p>
      <w:pPr>
        <w:jc w:val="both"/>
        <w:rPr>
          <w:rStyle w:val="15"/>
          <w:rFonts w:cstheme="minorHAnsi"/>
          <w:b w:val="0"/>
          <w:bCs w:val="0"/>
          <w:color w:val="000000" w:themeColor="text1"/>
          <w14:textFill>
            <w14:solidFill>
              <w14:schemeClr w14:val="tx1"/>
            </w14:solidFill>
          </w14:textFill>
        </w:rPr>
      </w:pPr>
    </w:p>
    <w:p>
      <w:pPr>
        <w:jc w:val="both"/>
        <w:rPr>
          <w:rStyle w:val="15"/>
          <w:rFonts w:cstheme="minorHAnsi"/>
          <w:b w:val="0"/>
          <w:bCs w:val="0"/>
          <w:color w:val="000000" w:themeColor="text1"/>
          <w14:textFill>
            <w14:solidFill>
              <w14:schemeClr w14:val="tx1"/>
            </w14:solidFill>
          </w14:textFill>
        </w:rPr>
      </w:pPr>
    </w:p>
    <w:p>
      <w:pPr>
        <w:jc w:val="both"/>
        <w:rPr>
          <w:rStyle w:val="15"/>
          <w:rFonts w:cstheme="minorHAnsi"/>
          <w:b w:val="0"/>
          <w:bCs w:val="0"/>
          <w:color w:val="000000" w:themeColor="text1"/>
          <w14:textFill>
            <w14:solidFill>
              <w14:schemeClr w14:val="tx1"/>
            </w14:solidFill>
          </w14:textFill>
        </w:rPr>
      </w:pPr>
    </w:p>
    <w:p>
      <w:pPr>
        <w:jc w:val="both"/>
        <w:rPr>
          <w:rStyle w:val="15"/>
          <w:rFonts w:cstheme="minorHAnsi"/>
          <w:b w:val="0"/>
          <w:bCs w:val="0"/>
          <w:color w:val="000000" w:themeColor="text1"/>
          <w14:textFill>
            <w14:solidFill>
              <w14:schemeClr w14:val="tx1"/>
            </w14:solidFill>
          </w14:textFill>
        </w:rPr>
      </w:pPr>
    </w:p>
    <w:p>
      <w:pPr>
        <w:jc w:val="both"/>
        <w:rPr>
          <w:rStyle w:val="15"/>
          <w:rFonts w:cstheme="minorHAnsi"/>
          <w:b w:val="0"/>
          <w:bCs w:val="0"/>
          <w:color w:val="000000" w:themeColor="text1"/>
          <w14:textFill>
            <w14:solidFill>
              <w14:schemeClr w14:val="tx1"/>
            </w14:solidFill>
          </w14:textFill>
        </w:rPr>
      </w:pPr>
    </w:p>
    <w:p>
      <w:pPr>
        <w:jc w:val="both"/>
        <w:rPr>
          <w:rStyle w:val="15"/>
          <w:rFonts w:cstheme="minorHAnsi"/>
          <w:b w:val="0"/>
          <w:bCs w:val="0"/>
          <w:color w:val="000000" w:themeColor="text1"/>
          <w14:textFill>
            <w14:solidFill>
              <w14:schemeClr w14:val="tx1"/>
            </w14:solidFill>
          </w14:textFill>
        </w:rPr>
      </w:pPr>
    </w:p>
    <w:p>
      <w:pPr>
        <w:jc w:val="both"/>
        <w:rPr>
          <w:rStyle w:val="15"/>
          <w:rFonts w:ascii="Times New Roman" w:hAnsi="Times New Roman" w:cs="Times New Roman"/>
          <w:i/>
          <w:iCs/>
          <w:color w:val="000000" w:themeColor="text1"/>
          <w14:textFill>
            <w14:solidFill>
              <w14:schemeClr w14:val="tx1"/>
            </w14:solidFill>
          </w14:textFill>
        </w:rPr>
      </w:pPr>
      <w:r>
        <w:rPr>
          <w:rStyle w:val="15"/>
          <w:rFonts w:ascii="Times New Roman" w:hAnsi="Times New Roman" w:cs="Times New Roman"/>
          <w:i/>
          <w:iCs/>
          <w:color w:val="000000" w:themeColor="text1"/>
          <w14:textFill>
            <w14:solidFill>
              <w14:schemeClr w14:val="tx1"/>
            </w14:solidFill>
          </w14:textFill>
        </w:rPr>
        <w:t>From Plot to Kitchen to Table</w:t>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 xml:space="preserve">Community gardens’ radical perspective in making food accessible directly to communities is helping them pull off a healthy lifestyle that starts with pesticide free vegetables and supply of affordable crops of their preference amidst an imbalance situation of race, ethnicity and economic resources. The shared work and access to harvest  among its members and volunteers result in an enhanced solidarity that leads to participation and fairer decision-making akin to food sovereignty. </w:t>
      </w:r>
    </w:p>
    <w:p>
      <w:pPr>
        <w:jc w:val="both"/>
        <w:rPr>
          <w:rStyle w:val="15"/>
          <w:rFonts w:cstheme="minorHAnsi"/>
          <w:b w:val="0"/>
          <w:bCs w:val="0"/>
          <w:color w:val="000000" w:themeColor="text1"/>
          <w:sz w:val="22"/>
          <w:szCs w:val="22"/>
          <w14:textFill>
            <w14:solidFill>
              <w14:schemeClr w14:val="tx1"/>
            </w14:solidFill>
          </w14:textFill>
        </w:rPr>
      </w:pPr>
      <w:r>
        <w:rPr>
          <w:rFonts w:ascii="Times New Roman" w:hAnsi="Times New Roman" w:cs="Times New Roman"/>
          <w:color w:val="212529"/>
        </w:rPr>
        <mc:AlternateContent>
          <mc:Choice Requires="wps">
            <w:drawing>
              <wp:anchor distT="0" distB="0" distL="114300" distR="114300" simplePos="0" relativeHeight="251665408" behindDoc="1" locked="0" layoutInCell="1" allowOverlap="1">
                <wp:simplePos x="0" y="0"/>
                <wp:positionH relativeFrom="column">
                  <wp:posOffset>-8890</wp:posOffset>
                </wp:positionH>
                <wp:positionV relativeFrom="paragraph">
                  <wp:posOffset>647065</wp:posOffset>
                </wp:positionV>
                <wp:extent cx="5967095" cy="7004050"/>
                <wp:effectExtent l="0" t="0" r="14605" b="6985"/>
                <wp:wrapTight wrapText="bothSides">
                  <wp:wrapPolygon>
                    <wp:start x="0" y="0"/>
                    <wp:lineTo x="0" y="21582"/>
                    <wp:lineTo x="21607" y="21582"/>
                    <wp:lineTo x="21607" y="0"/>
                    <wp:lineTo x="0" y="0"/>
                  </wp:wrapPolygon>
                </wp:wrapTight>
                <wp:docPr id="450713042" name="Text Box 1"/>
                <wp:cNvGraphicFramePr/>
                <a:graphic xmlns:a="http://schemas.openxmlformats.org/drawingml/2006/main">
                  <a:graphicData uri="http://schemas.microsoft.com/office/word/2010/wordprocessingShape">
                    <wps:wsp>
                      <wps:cNvSpPr txBox="1"/>
                      <wps:spPr>
                        <a:xfrm>
                          <a:off x="0" y="0"/>
                          <a:ext cx="5967095" cy="7003915"/>
                        </a:xfrm>
                        <a:prstGeom prst="rect">
                          <a:avLst/>
                        </a:prstGeom>
                        <a:solidFill>
                          <a:schemeClr val="lt1"/>
                        </a:solidFill>
                        <a:ln w="6350">
                          <a:solidFill>
                            <a:prstClr val="black"/>
                          </a:solidFill>
                        </a:ln>
                      </wps:spPr>
                      <wps:txbx>
                        <w:txbxContent>
                          <w:p>
                            <w:pPr>
                              <w:rPr>
                                <w:rFonts w:ascii="Times New Roman" w:hAnsi="Times New Roman" w:cs="Times New Roman"/>
                                <w:b/>
                                <w:bCs/>
                                <w:sz w:val="20"/>
                                <w:szCs w:val="20"/>
                                <w:lang w:val="en-US"/>
                              </w:rPr>
                            </w:pPr>
                            <w:r>
                              <w:rPr>
                                <w:rFonts w:ascii="Times New Roman" w:hAnsi="Times New Roman" w:cs="Times New Roman"/>
                                <w:sz w:val="20"/>
                                <w:szCs w:val="20"/>
                                <w:lang w:val="en-US"/>
                              </w:rPr>
                              <w:t xml:space="preserve">Figure 3. </w:t>
                            </w:r>
                            <w:r>
                              <w:rPr>
                                <w:rFonts w:ascii="Times New Roman" w:hAnsi="Times New Roman" w:cs="Times New Roman"/>
                                <w:b/>
                                <w:bCs/>
                                <w:sz w:val="20"/>
                                <w:szCs w:val="20"/>
                                <w:lang w:val="en-US"/>
                              </w:rPr>
                              <w:t>From</w:t>
                            </w:r>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Plot to Kitchen to Table; My Kind of Joy in Gardening as a Refugee</w:t>
                            </w:r>
                          </w:p>
                          <w:p>
                            <w:pPr>
                              <w:rPr>
                                <w:rFonts w:ascii="Times New Roman" w:hAnsi="Times New Roman" w:cs="Times New Roman"/>
                                <w:sz w:val="20"/>
                                <w:szCs w:val="20"/>
                                <w:lang w:val="en-US"/>
                              </w:rPr>
                            </w:pPr>
                            <w:r>
                              <w:rPr>
                                <w:rFonts w:ascii="Times New Roman" w:hAnsi="Times New Roman" w:cs="Times New Roman"/>
                                <w:b/>
                                <w:bCs/>
                                <w:sz w:val="20"/>
                                <w:szCs w:val="20"/>
                                <w:lang w:val="en-US"/>
                              </w:rPr>
                              <w:t xml:space="preserve">            </w:t>
                            </w:r>
                          </w:p>
                          <w:p>
                            <w:pPr>
                              <w:jc w:val="both"/>
                              <w:rPr>
                                <w:rFonts w:ascii="Times New Roman" w:hAnsi="Times New Roman" w:cs="Times New Roman"/>
                                <w:sz w:val="20"/>
                                <w:szCs w:val="20"/>
                                <w:lang w:val="en-US"/>
                              </w:rPr>
                            </w:pPr>
                            <w:r>
                              <w:drawing>
                                <wp:inline distT="0" distB="0" distL="0" distR="0">
                                  <wp:extent cx="5734050" cy="2619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tretch>
                                            <a:fillRect/>
                                          </a:stretch>
                                        </pic:blipFill>
                                        <pic:spPr>
                                          <a:xfrm>
                                            <a:off x="0" y="0"/>
                                            <a:ext cx="5734050" cy="2619375"/>
                                          </a:xfrm>
                                          <a:prstGeom prst="rect">
                                            <a:avLst/>
                                          </a:prstGeom>
                                        </pic:spPr>
                                      </pic:pic>
                                    </a:graphicData>
                                  </a:graphic>
                                </wp:inline>
                              </w:drawing>
                            </w:r>
                            <w:r>
                              <w:rPr>
                                <w:rFonts w:ascii="Times New Roman" w:hAnsi="Times New Roman" w:cs="Times New Roman"/>
                                <w:sz w:val="20"/>
                                <w:szCs w:val="20"/>
                                <w:lang w:val="en-US"/>
                              </w:rPr>
                              <w:t xml:space="preserve">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 vacant lot of about one acre (0.40 ha) transformed into a vibrant garden by locals and refugees together, is known as Global Garden Refugee Training Farm (GGRTF). Several hundreds of families mostly of Burmese descent are engaged in gardening in Albany, Chicago. Off late there were also influx of Cambodia, Nepal, and Bhutan families. </w:t>
                            </w:r>
                          </w:p>
                          <w:p>
                            <w:pPr>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It is not surprising to see marked differences in the kind of crops grown by the locals of Chicago and of migrants. What is interesting is the knowledge exchange that happens among members in the garden, which leads to learning opportunities especially of other cultures like in the form of cuisines and uses of crops. The Cambodian couple explained the different dishes that can be done with the bittermelon fruits and leaves. According to the woman, this is a crop raved by many of the locals now. Similarly, the couple learned to incorporate collards in their meals; sometimes even cooked and prepared the way they ate their leafy vegetables like sweetpotato or local water spinach.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A very important dimension of gardening, according to the couple, is the satisfaction and fulfillment one gets when reconnected with the soil --- with farming as they used to do in Cambodia. A similar feeling is shared by the American lady tending her plot as well as the Canadian migrant who both claimed finding joy in tending their plots and at the same time having access to diverse fresh vegetables. One plot of about 10 x 10 ft measurement carries 4-5 kinds of crops, which suggests the scale of production basically for securing household requirement. Half acre of the entire area is allocated for Individual plots to refugees and other locals.</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There are cases where individual operators enjoin themselves on a voluntary basis with the market-oriented operation depending on the requirement of restaurants with whom the organization partner with and also for the farmers’ market. Individual-operators are paid for their produce as part of their self-employment status. Similarly, those who provide part of their produce as donations are paid by grants obtained by the organization. For instance, the funding for the initial development of GGRTF including operations with important facilities like cold storage rope in, is taken care of by a federal grant. This was augmented by other cadre of donors like the state, private individuals and advocates who believed in gardening.</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 o:spid="_x0000_s1026" o:spt="202" type="#_x0000_t202" style="position:absolute;left:0pt;margin-left:-0.7pt;margin-top:50.95pt;height:551.5pt;width:469.85pt;mso-wrap-distance-left:9pt;mso-wrap-distance-right:9pt;z-index:-251651072;mso-width-relative:page;mso-height-relative:page;" fillcolor="#FFFFFF [3201]" filled="t" stroked="t" coordsize="21600,21600" wrapcoords="0 0 0 21582 21607 21582 21607 0 0 0" o:gfxdata="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xCnl59cAAAALAQAADwAAAAAAAAABACAAAAA4AAAAZHJzL2Rvd25yZXYueG1sUEsBAhQA&#10;FAAAAAgAh07iQL5nJLVPAgAAvwQAAA4AAAAAAAAAAQAgAAAAPAEAAGRycy9lMm9Eb2MueG1sUEsF&#10;BgAAAAAGAAYAWQEAAP0FAAAAAA==&#10;">
                <v:fill on="t" focussize="0,0"/>
                <v:stroke weight="0.5pt" color="#000000" joinstyle="round"/>
                <v:imagedata o:title=""/>
                <o:lock v:ext="edit" aspectratio="f"/>
                <v:textbox>
                  <w:txbxContent>
                    <w:p>
                      <w:pPr>
                        <w:rPr>
                          <w:rFonts w:ascii="Times New Roman" w:hAnsi="Times New Roman" w:cs="Times New Roman"/>
                          <w:b/>
                          <w:bCs/>
                          <w:sz w:val="20"/>
                          <w:szCs w:val="20"/>
                          <w:lang w:val="en-US"/>
                        </w:rPr>
                      </w:pPr>
                      <w:r>
                        <w:rPr>
                          <w:rFonts w:ascii="Times New Roman" w:hAnsi="Times New Roman" w:cs="Times New Roman"/>
                          <w:sz w:val="20"/>
                          <w:szCs w:val="20"/>
                          <w:lang w:val="en-US"/>
                        </w:rPr>
                        <w:t xml:space="preserve">Figure 3. </w:t>
                      </w:r>
                      <w:r>
                        <w:rPr>
                          <w:rFonts w:ascii="Times New Roman" w:hAnsi="Times New Roman" w:cs="Times New Roman"/>
                          <w:b/>
                          <w:bCs/>
                          <w:sz w:val="20"/>
                          <w:szCs w:val="20"/>
                          <w:lang w:val="en-US"/>
                        </w:rPr>
                        <w:t>From</w:t>
                      </w:r>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Plot to Kitchen to Table; My Kind of Joy in Gardening as a Refugee</w:t>
                      </w:r>
                    </w:p>
                    <w:p>
                      <w:pPr>
                        <w:rPr>
                          <w:rFonts w:ascii="Times New Roman" w:hAnsi="Times New Roman" w:cs="Times New Roman"/>
                          <w:sz w:val="20"/>
                          <w:szCs w:val="20"/>
                          <w:lang w:val="en-US"/>
                        </w:rPr>
                      </w:pPr>
                      <w:r>
                        <w:rPr>
                          <w:rFonts w:ascii="Times New Roman" w:hAnsi="Times New Roman" w:cs="Times New Roman"/>
                          <w:b/>
                          <w:bCs/>
                          <w:sz w:val="20"/>
                          <w:szCs w:val="20"/>
                          <w:lang w:val="en-US"/>
                        </w:rPr>
                        <w:t xml:space="preserve">            </w:t>
                      </w:r>
                    </w:p>
                    <w:p>
                      <w:pPr>
                        <w:jc w:val="both"/>
                        <w:rPr>
                          <w:rFonts w:ascii="Times New Roman" w:hAnsi="Times New Roman" w:cs="Times New Roman"/>
                          <w:sz w:val="20"/>
                          <w:szCs w:val="20"/>
                          <w:lang w:val="en-US"/>
                        </w:rPr>
                      </w:pPr>
                      <w:r>
                        <w:drawing>
                          <wp:inline distT="0" distB="0" distL="0" distR="0">
                            <wp:extent cx="5734050" cy="2619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tretch>
                                      <a:fillRect/>
                                    </a:stretch>
                                  </pic:blipFill>
                                  <pic:spPr>
                                    <a:xfrm>
                                      <a:off x="0" y="0"/>
                                      <a:ext cx="5734050" cy="2619375"/>
                                    </a:xfrm>
                                    <a:prstGeom prst="rect">
                                      <a:avLst/>
                                    </a:prstGeom>
                                  </pic:spPr>
                                </pic:pic>
                              </a:graphicData>
                            </a:graphic>
                          </wp:inline>
                        </w:drawing>
                      </w:r>
                      <w:r>
                        <w:rPr>
                          <w:rFonts w:ascii="Times New Roman" w:hAnsi="Times New Roman" w:cs="Times New Roman"/>
                          <w:sz w:val="20"/>
                          <w:szCs w:val="20"/>
                          <w:lang w:val="en-US"/>
                        </w:rPr>
                        <w:t xml:space="preserve">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 vacant lot of about one acre (0.40 ha) transformed into a vibrant garden by locals and refugees together, is known as Global Garden Refugee Training Farm (GGRTF). Several hundreds of families mostly of Burmese descent are engaged in gardening in Albany, Chicago. Off late there were also influx of Cambodia, Nepal, and Bhutan families. </w:t>
                      </w:r>
                    </w:p>
                    <w:p>
                      <w:pPr>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It is not surprising to see marked differences in the kind of crops grown by the locals of Chicago and of migrants. What is interesting is the knowledge exchange that happens among members in the garden, which leads to learning opportunities especially of other cultures like in the form of cuisines and uses of crops. The Cambodian couple explained the different dishes that can be done with the bittermelon fruits and leaves. According to the woman, this is a crop raved by many of the locals now. Similarly, the couple learned to incorporate collards in their meals; sometimes even cooked and prepared the way they ate their leafy vegetables like sweetpotato or local water spinach.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A very important dimension of gardening, according to the couple, is the satisfaction and fulfillment one gets when reconnected with the soil --- with farming as they used to do in Cambodia. A similar feeling is shared by the American lady tending her plot as well as the Canadian migrant who both claimed finding joy in tending their plots and at the same time having access to diverse fresh vegetables. One plot of about 10 x 10 ft measurement carries 4-5 kinds of crops, which suggests the scale of production basically for securing household requirement. Half acre of the entire area is allocated for Individual plots to refugees and other locals.</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There are cases where individual operators enjoin themselves on a voluntary basis with the market-oriented operation depending on the requirement of restaurants with whom the organization partner with and also for the farmers’ market. Individual-operators are paid for their produce as part of their self-employment status. Similarly, those who provide part of their produce as donations are paid by grants obtained by the organization. For instance, the funding for the initial development of GGRTF including operations with important facilities like cold storage rope in, is taken care of by a federal grant. This was augmented by other cadre of donors like the state, private individuals and advocates who believed in gardening.</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p>
                  </w:txbxContent>
                </v:textbox>
                <w10:wrap type="tight"/>
              </v:shape>
            </w:pict>
          </mc:Fallback>
        </mc:AlternateContent>
      </w:r>
      <w:r>
        <w:rPr>
          <w:rStyle w:val="15"/>
          <w:rFonts w:ascii="Times New Roman" w:hAnsi="Times New Roman" w:cs="Times New Roman"/>
          <w:b w:val="0"/>
          <w:bCs w:val="0"/>
          <w:color w:val="000000" w:themeColor="text1"/>
          <w14:textFill>
            <w14:solidFill>
              <w14:schemeClr w14:val="tx1"/>
            </w14:solidFill>
          </w14:textFill>
        </w:rPr>
        <w:t xml:space="preserve">Even among individual plot owners, quite common in CGs of Chicago, an array of personal selections like crop choice to plant in a given space, when and frequency of visit, harvest and other farm operations do happen. However, these should be in cognizance with the entire </w:t>
      </w:r>
      <w:r>
        <w:rPr>
          <w:rFonts w:cstheme="minorHAnsi"/>
          <w:color w:val="212529"/>
        </w:rPr>
        <mc:AlternateContent>
          <mc:Choice Requires="wps">
            <w:drawing>
              <wp:anchor distT="0" distB="0" distL="114300" distR="114300" simplePos="0" relativeHeight="251664384" behindDoc="1" locked="0" layoutInCell="1" allowOverlap="1">
                <wp:simplePos x="0" y="0"/>
                <wp:positionH relativeFrom="column">
                  <wp:posOffset>29210</wp:posOffset>
                </wp:positionH>
                <wp:positionV relativeFrom="paragraph">
                  <wp:posOffset>474345</wp:posOffset>
                </wp:positionV>
                <wp:extent cx="5975985" cy="7694295"/>
                <wp:effectExtent l="0" t="0" r="18415" b="14605"/>
                <wp:wrapTight wrapText="bothSides">
                  <wp:wrapPolygon>
                    <wp:start x="0" y="0"/>
                    <wp:lineTo x="0" y="21605"/>
                    <wp:lineTo x="21621" y="21605"/>
                    <wp:lineTo x="21621" y="0"/>
                    <wp:lineTo x="0" y="0"/>
                  </wp:wrapPolygon>
                </wp:wrapTight>
                <wp:docPr id="1318971577" name="Text Box 1"/>
                <wp:cNvGraphicFramePr/>
                <a:graphic xmlns:a="http://schemas.openxmlformats.org/drawingml/2006/main">
                  <a:graphicData uri="http://schemas.microsoft.com/office/word/2010/wordprocessingShape">
                    <wps:wsp>
                      <wps:cNvSpPr txBox="1"/>
                      <wps:spPr>
                        <a:xfrm>
                          <a:off x="0" y="0"/>
                          <a:ext cx="5975985" cy="7694579"/>
                        </a:xfrm>
                        <a:prstGeom prst="rect">
                          <a:avLst/>
                        </a:prstGeom>
                        <a:solidFill>
                          <a:schemeClr val="lt1"/>
                        </a:solidFill>
                        <a:ln w="6350">
                          <a:solidFill>
                            <a:prstClr val="black"/>
                          </a:solidFill>
                        </a:ln>
                      </wps:spPr>
                      <wps:txbx>
                        <w:txbxContent>
                          <w:p>
                            <w:pPr>
                              <w:rPr>
                                <w:rFonts w:ascii="Times New Roman" w:hAnsi="Times New Roman" w:cs="Times New Roman"/>
                                <w:b/>
                                <w:bCs/>
                                <w:sz w:val="20"/>
                                <w:szCs w:val="20"/>
                                <w:lang w:val="en-US"/>
                              </w:rPr>
                            </w:pPr>
                            <w:r>
                              <w:rPr>
                                <w:rFonts w:ascii="Times New Roman" w:hAnsi="Times New Roman" w:cs="Times New Roman"/>
                                <w:b/>
                                <w:bCs/>
                                <w:sz w:val="20"/>
                                <w:szCs w:val="20"/>
                                <w:lang w:val="en-US"/>
                              </w:rPr>
                              <w:t>From</w:t>
                            </w:r>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 xml:space="preserve">Plot to Kitchen to Table; My Kind of Joy in Gardening as a Refugee   </w:t>
                            </w:r>
                          </w:p>
                          <w:p>
                            <w:pPr>
                              <w:rPr>
                                <w:rFonts w:ascii="Times New Roman" w:hAnsi="Times New Roman" w:cs="Times New Roman"/>
                                <w:sz w:val="20"/>
                                <w:szCs w:val="20"/>
                                <w:lang w:val="en-US"/>
                              </w:rPr>
                            </w:pPr>
                            <w:r>
                              <w:rPr>
                                <w:rFonts w:ascii="Times New Roman" w:hAnsi="Times New Roman" w:cs="Times New Roman"/>
                                <w:b/>
                                <w:bCs/>
                                <w:sz w:val="20"/>
                                <w:szCs w:val="20"/>
                                <w:lang w:val="en-US"/>
                              </w:rPr>
                              <w:t xml:space="preserve">                       </w:t>
                            </w: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External support for garden initiatives extends beyond financial. The work on GGRTF’s soil media rejuvenation to commence this November 2023 is the courtesy of the Chicago Park District while its clean water supply has been provided by the City of Chicago for free with dues of only the permit amounting to $700 per year. This holds true with the other gardens where their respective Chicago Park Districts provide the irrigation and extend regulatory functions like the security (e.g. fencing is required), upkeep not only with cleanliness but also environmental (standard mulching to ensure safety of crops produced).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Technical support is not a key issue since most of the refugees, about 80% of them have been farmers in their country of origin. They are professional farmers growing their own crops in a new climate. Their resourcefulness in obtaining the seeds of their preference is commendable where most practice farmer to farmer exchange. And for the crops preferred by locals, these are ordered on-line from a catalogue. This is again to emphasize that crops grown in community gardens are inbred lines primarily because of seed saving for use in the next cropping. Such practice among growers or farmers is nature’s way of conserving and maintaining genetic diversity as also mentioned by Mula (2012).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There is also the Illinois Extension of the University of Illinois at Urbana-Champaign that offers technical support on an array of concerns like mixed cropping for community gardens. </w:t>
                            </w:r>
                          </w:p>
                          <w:p>
                            <w:pPr>
                              <w:jc w:val="both"/>
                              <w:rPr>
                                <w:rFonts w:ascii="Times New Roman" w:hAnsi="Times New Roman" w:cs="Times New Roman"/>
                                <w:b/>
                                <w:bCs/>
                                <w:i/>
                                <w:iCs/>
                                <w:sz w:val="20"/>
                                <w:szCs w:val="20"/>
                                <w:lang w:val="en-US"/>
                              </w:rPr>
                            </w:pPr>
                          </w:p>
                          <w:p>
                            <w:pPr>
                              <w:jc w:val="both"/>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t>Figure 4. An income stream for community gardens: Community Supported Agriculture (CSA)</w:t>
                            </w:r>
                          </w:p>
                          <w:p>
                            <w:pPr>
                              <w:jc w:val="both"/>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t xml:space="preserve">     </w:t>
                            </w:r>
                            <w:r>
                              <w:drawing>
                                <wp:inline distT="0" distB="0" distL="0" distR="0">
                                  <wp:extent cx="5786755" cy="2865755"/>
                                  <wp:effectExtent l="0" t="0" r="4445" b="4445"/>
                                  <wp:docPr id="389306163" name="Picture 38930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06163" name="Picture 389306163"/>
                                          <pic:cNvPicPr>
                                            <a:picLocks noChangeAspect="1"/>
                                          </pic:cNvPicPr>
                                        </pic:nvPicPr>
                                        <pic:blipFill>
                                          <a:blip r:embed="rId14"/>
                                          <a:stretch>
                                            <a:fillRect/>
                                          </a:stretch>
                                        </pic:blipFill>
                                        <pic:spPr>
                                          <a:xfrm>
                                            <a:off x="0" y="0"/>
                                            <a:ext cx="5786755" cy="2865755"/>
                                          </a:xfrm>
                                          <a:prstGeom prst="rect">
                                            <a:avLst/>
                                          </a:prstGeom>
                                        </pic:spPr>
                                      </pic:pic>
                                    </a:graphicData>
                                  </a:graphic>
                                </wp:inline>
                              </w:drawing>
                            </w: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remaining half acre is dedicated to Community Supported Agriculture (CSA) continuously implemented by the farm manager together with a couple of farmer-gardeners. Its inception in the mid 20’s and robustly done till this date suggests the merits of the program. CSA is an alternative form of food production and dynamic marketing cum distribution system gaining widespread adoption in the United States. It is believed that this kind of network can revolutionize the food system through links founded on personal relations (Stanford, 2006). Business relation based on trust and sincerity is of greater value to small farmer-producers. And when these producers are consolidated and clustered according to their local norms and conditions, this can result in a better economy of scale which in turn could mean a market niche for better income, More importantly, it means a better source of quality food to communities.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p>
                          <w:p>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 o:spid="_x0000_s1026" o:spt="202" type="#_x0000_t202" style="position:absolute;left:0pt;margin-left:2.3pt;margin-top:37.35pt;height:605.85pt;width:470.55pt;mso-wrap-distance-left:9pt;mso-wrap-distance-right:9pt;z-index:-251652096;mso-width-relative:page;mso-height-relative:page;" fillcolor="#FFFFFF [3201]" filled="t" stroked="t" coordsize="21600,21600" wrapcoords="0 0 0 21605 21621 21605 21621 0 0 0" o:gfxdata="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WYJxTNYAAAAJAQAADwAAAAAAAAABACAAAAA4AAAAZHJzL2Rvd25yZXYueG1sUEsBAhQA&#10;FAAAAAgAh07iQIxZe5tQAgAAwAQAAA4AAAAAAAAAAQAgAAAAOwEAAGRycy9lMm9Eb2MueG1sUEsF&#10;BgAAAAAGAAYAWQEAAP0FAAAAAA==&#10;">
                <v:fill on="t" focussize="0,0"/>
                <v:stroke weight="0.5pt" color="#000000" joinstyle="round"/>
                <v:imagedata o:title=""/>
                <o:lock v:ext="edit" aspectratio="f"/>
                <v:textbox>
                  <w:txbxContent>
                    <w:p>
                      <w:pPr>
                        <w:rPr>
                          <w:rFonts w:ascii="Times New Roman" w:hAnsi="Times New Roman" w:cs="Times New Roman"/>
                          <w:b/>
                          <w:bCs/>
                          <w:sz w:val="20"/>
                          <w:szCs w:val="20"/>
                          <w:lang w:val="en-US"/>
                        </w:rPr>
                      </w:pPr>
                      <w:r>
                        <w:rPr>
                          <w:rFonts w:ascii="Times New Roman" w:hAnsi="Times New Roman" w:cs="Times New Roman"/>
                          <w:b/>
                          <w:bCs/>
                          <w:sz w:val="20"/>
                          <w:szCs w:val="20"/>
                          <w:lang w:val="en-US"/>
                        </w:rPr>
                        <w:t>From</w:t>
                      </w:r>
                      <w:r>
                        <w:rPr>
                          <w:rFonts w:ascii="Times New Roman" w:hAnsi="Times New Roman" w:cs="Times New Roman"/>
                          <w:sz w:val="20"/>
                          <w:szCs w:val="20"/>
                          <w:lang w:val="en-US"/>
                        </w:rPr>
                        <w:t xml:space="preserve"> </w:t>
                      </w:r>
                      <w:r>
                        <w:rPr>
                          <w:rFonts w:ascii="Times New Roman" w:hAnsi="Times New Roman" w:cs="Times New Roman"/>
                          <w:b/>
                          <w:bCs/>
                          <w:sz w:val="20"/>
                          <w:szCs w:val="20"/>
                          <w:lang w:val="en-US"/>
                        </w:rPr>
                        <w:t xml:space="preserve">Plot to Kitchen to Table; My Kind of Joy in Gardening as a Refugee   </w:t>
                      </w:r>
                    </w:p>
                    <w:p>
                      <w:pPr>
                        <w:rPr>
                          <w:rFonts w:ascii="Times New Roman" w:hAnsi="Times New Roman" w:cs="Times New Roman"/>
                          <w:sz w:val="20"/>
                          <w:szCs w:val="20"/>
                          <w:lang w:val="en-US"/>
                        </w:rPr>
                      </w:pPr>
                      <w:r>
                        <w:rPr>
                          <w:rFonts w:ascii="Times New Roman" w:hAnsi="Times New Roman" w:cs="Times New Roman"/>
                          <w:b/>
                          <w:bCs/>
                          <w:sz w:val="20"/>
                          <w:szCs w:val="20"/>
                          <w:lang w:val="en-US"/>
                        </w:rPr>
                        <w:t xml:space="preserve">                       </w:t>
                      </w: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External support for garden initiatives extends beyond financial. The work on GGRTF’s soil media rejuvenation to commence this November 2023 is the courtesy of the Chicago Park District while its clean water supply has been provided by the City of Chicago for free with dues of only the permit amounting to $700 per year. This holds true with the other gardens where their respective Chicago Park Districts provide the irrigation and extend regulatory functions like the security (e.g. fencing is required), upkeep not only with cleanliness but also environmental (standard mulching to ensure safety of crops produced).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Technical support is not a key issue since most of the refugees, about 80% of them have been farmers in their country of origin. They are professional farmers growing their own crops in a new climate. Their resourcefulness in obtaining the seeds of their preference is commendable where most practice farmer to farmer exchange. And for the crops preferred by locals, these are ordered on-line from a catalogue. This is again to emphasize that crops grown in community gardens are inbred lines primarily because of seed saving for use in the next cropping. Such practice among growers or farmers is nature’s way of conserving and maintaining genetic diversity as also mentioned by Mula (2012).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There is also the Illinois Extension of the University of Illinois at Urbana-Champaign that offers technical support on an array of concerns like mixed cropping for community gardens. </w:t>
                      </w:r>
                    </w:p>
                    <w:p>
                      <w:pPr>
                        <w:jc w:val="both"/>
                        <w:rPr>
                          <w:rFonts w:ascii="Times New Roman" w:hAnsi="Times New Roman" w:cs="Times New Roman"/>
                          <w:b/>
                          <w:bCs/>
                          <w:i/>
                          <w:iCs/>
                          <w:sz w:val="20"/>
                          <w:szCs w:val="20"/>
                          <w:lang w:val="en-US"/>
                        </w:rPr>
                      </w:pPr>
                    </w:p>
                    <w:p>
                      <w:pPr>
                        <w:jc w:val="both"/>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t>Figure 4. An income stream for community gardens: Community Supported Agriculture (CSA)</w:t>
                      </w:r>
                    </w:p>
                    <w:p>
                      <w:pPr>
                        <w:jc w:val="both"/>
                        <w:rPr>
                          <w:rFonts w:ascii="Times New Roman" w:hAnsi="Times New Roman" w:cs="Times New Roman"/>
                          <w:b/>
                          <w:bCs/>
                          <w:i/>
                          <w:iCs/>
                          <w:sz w:val="20"/>
                          <w:szCs w:val="20"/>
                          <w:lang w:val="en-US"/>
                        </w:rPr>
                      </w:pPr>
                      <w:r>
                        <w:rPr>
                          <w:rFonts w:ascii="Times New Roman" w:hAnsi="Times New Roman" w:cs="Times New Roman"/>
                          <w:b/>
                          <w:bCs/>
                          <w:i/>
                          <w:iCs/>
                          <w:sz w:val="20"/>
                          <w:szCs w:val="20"/>
                          <w:lang w:val="en-US"/>
                        </w:rPr>
                        <w:t xml:space="preserve">     </w:t>
                      </w:r>
                      <w:r>
                        <w:drawing>
                          <wp:inline distT="0" distB="0" distL="0" distR="0">
                            <wp:extent cx="5786755" cy="2865755"/>
                            <wp:effectExtent l="0" t="0" r="4445" b="4445"/>
                            <wp:docPr id="389306163" name="Picture 38930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06163" name="Picture 389306163"/>
                                    <pic:cNvPicPr>
                                      <a:picLocks noChangeAspect="1"/>
                                    </pic:cNvPicPr>
                                  </pic:nvPicPr>
                                  <pic:blipFill>
                                    <a:blip r:embed="rId14"/>
                                    <a:stretch>
                                      <a:fillRect/>
                                    </a:stretch>
                                  </pic:blipFill>
                                  <pic:spPr>
                                    <a:xfrm>
                                      <a:off x="0" y="0"/>
                                      <a:ext cx="5786755" cy="2865755"/>
                                    </a:xfrm>
                                    <a:prstGeom prst="rect">
                                      <a:avLst/>
                                    </a:prstGeom>
                                  </pic:spPr>
                                </pic:pic>
                              </a:graphicData>
                            </a:graphic>
                          </wp:inline>
                        </w:drawing>
                      </w: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remaining half acre is dedicated to Community Supported Agriculture (CSA) continuously implemented by the farm manager together with a couple of farmer-gardeners. Its inception in the mid 20’s and robustly done till this date suggests the merits of the program. CSA is an alternative form of food production and dynamic marketing cum distribution system gaining widespread adoption in the United States. It is believed that this kind of network can revolutionize the food system through links founded on personal relations (Stanford, 2006). Business relation based on trust and sincerity is of greater value to small farmer-producers. And when these producers are consolidated and clustered according to their local norms and conditions, this can result in a better economy of scale which in turn could mean a market niche for better income, More importantly, it means a better source of quality food to communities.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p>
                    <w:p>
                      <w:pPr>
                        <w:rPr>
                          <w:rFonts w:ascii="Times New Roman" w:hAnsi="Times New Roman" w:cs="Times New Roman"/>
                          <w:sz w:val="20"/>
                          <w:szCs w:val="20"/>
                        </w:rPr>
                      </w:pPr>
                    </w:p>
                  </w:txbxContent>
                </v:textbox>
                <w10:wrap type="tight"/>
              </v:shape>
            </w:pict>
          </mc:Fallback>
        </mc:AlternateContent>
      </w:r>
      <w:r>
        <w:rPr>
          <w:rStyle w:val="15"/>
          <w:rFonts w:ascii="Times New Roman" w:hAnsi="Times New Roman" w:cs="Times New Roman"/>
          <w:b w:val="0"/>
          <w:bCs w:val="0"/>
          <w:color w:val="000000" w:themeColor="text1"/>
          <w14:textFill>
            <w14:solidFill>
              <w14:schemeClr w14:val="tx1"/>
            </w14:solidFill>
          </w14:textFill>
        </w:rPr>
        <w:t>community garden’s schedule and processes as in the case presented in Box 3.</w:t>
      </w:r>
    </w:p>
    <w:tbl>
      <w:tblPr>
        <w:tblStyle w:val="16"/>
        <w:tblW w:w="9214"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2" w:hRule="atLeast"/>
        </w:trPr>
        <w:tc>
          <w:tcPr>
            <w:tcW w:w="9214" w:type="dxa"/>
          </w:tcPr>
          <w:p>
            <w:pPr>
              <w:ind w:left="1169" w:hanging="1169"/>
              <w:jc w:val="both"/>
              <w:rPr>
                <w:rStyle w:val="15"/>
                <w:rFonts w:ascii="Times New Roman" w:hAnsi="Times New Roman" w:cs="Times New Roman"/>
                <w:b w:val="0"/>
                <w:bCs w:val="0"/>
                <w:color w:val="000000" w:themeColor="text1"/>
                <w:sz w:val="20"/>
                <w:szCs w:val="20"/>
                <w14:textFill>
                  <w14:solidFill>
                    <w14:schemeClr w14:val="tx1"/>
                  </w14:solidFill>
                </w14:textFill>
              </w:rPr>
            </w:pPr>
            <w:r>
              <w:rPr>
                <w:rFonts w:ascii="Times New Roman" w:hAnsi="Times New Roman" w:cs="Times New Roman"/>
                <w:b/>
                <w:bCs/>
                <w:i/>
                <w:iCs/>
                <w:sz w:val="20"/>
                <w:szCs w:val="20"/>
                <w:lang w:val="en-US"/>
              </w:rPr>
              <w:t>An income stream for community gardens: Community Supported Agriculture (CSA)</w:t>
            </w:r>
            <w:r>
              <w:rPr>
                <w:rFonts w:ascii="Times New Roman" w:hAnsi="Times New Roman" w:cs="Times New Roman"/>
                <w:b/>
                <w:bCs/>
                <w:sz w:val="20"/>
                <w:szCs w:val="20"/>
                <w:lang w:val="en-US"/>
              </w:rPr>
              <w:t xml:space="preserve">   </w:t>
            </w:r>
          </w:p>
          <w:p>
            <w:pPr>
              <w:jc w:val="both"/>
              <w:rPr>
                <w:rFonts w:ascii="Times New Roman" w:hAnsi="Times New Roman" w:cs="Times New Roman"/>
                <w:sz w:val="20"/>
                <w:szCs w:val="20"/>
                <w:lang w:val="en-US"/>
              </w:rPr>
            </w:pPr>
          </w:p>
          <w:p>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Any community garden, for that matter, has to be self-sustaining. It cannot depend on external support in its entire life as posited by the manager of GGRTF. The garden was steered by a woman and laid its foundation through her stock knowledge and solid experience in integrated pest management (IPM) as an agriculture graduate of Cornell University. </w:t>
            </w:r>
          </w:p>
          <w:p>
            <w:pPr>
              <w:jc w:val="both"/>
              <w:rPr>
                <w:rStyle w:val="15"/>
                <w:rFonts w:ascii="Times New Roman" w:hAnsi="Times New Roman" w:cs="Times New Roman"/>
                <w:color w:val="000000" w:themeColor="text1"/>
                <w:sz w:val="20"/>
                <w:szCs w:val="20"/>
                <w14:textFill>
                  <w14:solidFill>
                    <w14:schemeClr w14:val="tx1"/>
                  </w14:solidFill>
                </w14:textFill>
              </w:rPr>
            </w:pPr>
          </w:p>
          <w:p>
            <w:pPr>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For the 2023 production cycle, CSA membership totals 61 with most coming from within the nearby areas. A one-time payment of $26/week paid at the beginning of the growing season entitles a weekly bag (frequency of 8, 12, 18 times per week and for pick-up on Wednesdays and Saturdays) of fresh and diverse vegetables all grown in the farm. The said amount is meant to augment the costs of various farm operations and materials needed. </w:t>
            </w:r>
          </w:p>
          <w:p>
            <w:pPr>
              <w:jc w:val="both"/>
              <w:rPr>
                <w:rStyle w:val="15"/>
                <w:rFonts w:ascii="Times New Roman" w:hAnsi="Times New Roman" w:cs="Times New Roman"/>
                <w:color w:val="000000" w:themeColor="text1"/>
                <w:sz w:val="20"/>
                <w:szCs w:val="20"/>
                <w:lang w:val="en-US"/>
                <w14:textFill>
                  <w14:solidFill>
                    <w14:schemeClr w14:val="tx1"/>
                  </w14:solidFill>
                </w14:textFill>
              </w:rPr>
            </w:pPr>
          </w:p>
          <w:p>
            <w:pPr>
              <w:jc w:val="both"/>
              <w:rPr>
                <w:rStyle w:val="15"/>
                <w:rFonts w:ascii="Times New Roman" w:hAnsi="Times New Roman" w:cs="Times New Roman"/>
                <w:b w:val="0"/>
                <w:bCs w:val="0"/>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There is also the group of volunteers who are tapped as additional hands for the garden especially during the beginning of the season.  Charlie is a volunteer who spends some hours every Wednesday to ensure that the CSA recipients are handed out their brown bags of veggies. </w:t>
            </w:r>
          </w:p>
        </w:tc>
      </w:tr>
    </w:tbl>
    <w:p>
      <w:pPr>
        <w:jc w:val="both"/>
      </w:pPr>
    </w:p>
    <w:p>
      <w:pPr>
        <w:jc w:val="both"/>
        <w:rPr>
          <w:rFonts w:ascii="Times New Roman" w:hAnsi="Times New Roman" w:cs="Times New Roman"/>
        </w:rPr>
      </w:pPr>
      <w:r>
        <w:rPr>
          <w:rFonts w:ascii="Times New Roman" w:hAnsi="Times New Roman" w:cs="Times New Roman"/>
        </w:rPr>
        <w:t>Clearly, CGs have much to offer in obliging the needs of their own communities especially when the enabling environment supports the engagement. Many of the well-established gardens demonstrated edge of this purpose primarily because of the commitment by the founders which made others like the volunteers and the community accomplices to be meaningful part of the production enterprise. That sense of belongingness expressed either in their participation of the production chain or simply as consumers to quality produce is the greatest impetus for the sustained support to gardening. Ample evidences are gleaned from the visits to the different community gardens. The three cases presented in the earlier section of this paper summarize the gardens’ contributions to communities and also their success factors.</w:t>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A striking observation seen in all the gardens; big or small, recently or previously established, and private or public (in parks and frontage of offices and houses), the gardeners mimic the natural environment where they see fit. There is a deliberate set-up in terms of which crops should grow in an area. However, they allow `weeds’ to grow side by side the crops. Incidentally, some of the respondents surmised that there is no such thing as weeds because every plant that grows has a purpose. According to them, a plant can only be considered a weed when this has become invasive and detrimental to any of the cultivated crop. With this perspective, they allow several crops and weeds growing  naturally. Gardeners deliberately grow flowers too like marigold, hibiscus, asters, daisies, and many others because they want to attract insects like bees and other pollinators to successfully produce seeds from inbred lines.</w:t>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 xml:space="preserve">The revitalization of peoples’ culture is a defining feature of CG as revealed by the interviews. This explains their strong desire for traditional crops that they are used to. The characteristics of preferred crops are exhibited by varieties where the seeds can be saved for the next cropping. </w:t>
      </w:r>
      <w:r>
        <w:rPr>
          <w:rStyle w:val="15"/>
          <w:rFonts w:ascii="Times New Roman" w:hAnsi="Times New Roman" w:cs="Times New Roman"/>
          <w:b w:val="0"/>
          <w:bCs w:val="0"/>
          <w:strike/>
          <w:dstrike w:val="0"/>
          <w:color w:val="C00000"/>
        </w:rPr>
        <w:t>And</w:t>
      </w:r>
      <w:r>
        <w:rPr>
          <w:rStyle w:val="15"/>
          <w:rFonts w:ascii="Times New Roman" w:hAnsi="Times New Roman" w:cs="Times New Roman"/>
          <w:b w:val="0"/>
          <w:bCs w:val="0"/>
          <w:strike w:val="0"/>
          <w:dstrike w:val="0"/>
          <w:color w:val="000000" w:themeColor="text1"/>
          <w14:textFill>
            <w14:solidFill>
              <w14:schemeClr w14:val="tx1"/>
            </w14:solidFill>
          </w14:textFill>
        </w:rPr>
        <w:t xml:space="preserve"> </w:t>
      </w:r>
      <w:r>
        <w:rPr>
          <w:rStyle w:val="15"/>
          <w:rFonts w:hint="default" w:ascii="Times New Roman" w:hAnsi="Times New Roman" w:cs="Times New Roman"/>
          <w:b w:val="0"/>
          <w:bCs w:val="0"/>
          <w:strike/>
          <w:dstrike w:val="0"/>
          <w:color w:val="000000" w:themeColor="text1"/>
          <w14:textFill>
            <w14:solidFill>
              <w14:schemeClr w14:val="tx1"/>
            </w14:solidFill>
          </w14:textFill>
        </w:rPr>
        <w:t>A</w:t>
      </w:r>
      <w:r>
        <w:rPr>
          <w:rStyle w:val="15"/>
          <w:rFonts w:ascii="Times New Roman" w:hAnsi="Times New Roman" w:cs="Times New Roman"/>
          <w:b w:val="0"/>
          <w:bCs w:val="0"/>
          <w:color w:val="000000" w:themeColor="text1"/>
          <w14:textFill>
            <w14:solidFill>
              <w14:schemeClr w14:val="tx1"/>
            </w14:solidFill>
          </w14:textFill>
        </w:rPr>
        <w:t xml:space="preserve">s mentioned earlier, their conservation is of prime interest for ensuring diversity, mitigating the adverse effects of climate change, and ensuring health and nutrition as these are grown organically. Many also shared that these types of crops are tastier precisely because of no synthetic fertilizers and pesticides. </w:t>
      </w:r>
      <w:r>
        <w:rPr>
          <w:rStyle w:val="15"/>
          <w:rFonts w:ascii="Times New Roman" w:hAnsi="Times New Roman" w:cs="Times New Roman"/>
          <w:b w:val="0"/>
          <w:bCs w:val="0"/>
          <w:strike/>
          <w:dstrike w:val="0"/>
          <w:color w:val="C00000"/>
        </w:rPr>
        <w:t>Let me quote</w:t>
      </w:r>
      <w:r>
        <w:rPr>
          <w:rStyle w:val="15"/>
          <w:rFonts w:ascii="Times New Roman" w:hAnsi="Times New Roman" w:cs="Times New Roman"/>
          <w:b w:val="0"/>
          <w:bCs w:val="0"/>
          <w:color w:val="000000" w:themeColor="text1"/>
          <w14:textFill>
            <w14:solidFill>
              <w14:schemeClr w14:val="tx1"/>
            </w14:solidFill>
          </w14:textFill>
        </w:rPr>
        <w:t xml:space="preserve"> Dwivedi et. al. (2019) concluding in their research that `Older varieties often have shapes, colors, textures, flavors and particular productivity characteristics for which they are known and sought after by farmers and consumers´. They are known for their specific qualities that make the cuisines of many cultures unique, `Thus the richness of genetic variability encoded in the old varieties is one of the treasures of our global food system´.</w:t>
      </w:r>
    </w:p>
    <w:p>
      <w:pPr>
        <w:ind w:right="-40"/>
        <w:jc w:val="both"/>
        <w:rPr>
          <w:rStyle w:val="15"/>
          <w:rFonts w:cstheme="minorHAnsi"/>
          <w:b w:val="0"/>
          <w:bCs w:val="0"/>
          <w:color w:val="000000" w:themeColor="text1"/>
          <w:sz w:val="22"/>
          <w:szCs w:val="22"/>
          <w14:textFill>
            <w14:solidFill>
              <w14:schemeClr w14:val="tx1"/>
            </w14:solidFill>
          </w14:textFill>
        </w:rPr>
      </w:pPr>
    </w:p>
    <w:p>
      <w:pPr>
        <w:ind w:right="-40"/>
        <w:jc w:val="both"/>
        <w:rPr>
          <w:rStyle w:val="15"/>
          <w:rFonts w:ascii="Times New Roman" w:hAnsi="Times New Roman" w:cs="Times New Roman"/>
          <w:i/>
          <w:iCs/>
          <w:color w:val="000000" w:themeColor="text1"/>
          <w14:textFill>
            <w14:solidFill>
              <w14:schemeClr w14:val="tx1"/>
            </w14:solidFill>
          </w14:textFill>
        </w:rPr>
      </w:pPr>
      <w:r>
        <w:rPr>
          <w:rStyle w:val="15"/>
          <w:rFonts w:ascii="Times New Roman" w:hAnsi="Times New Roman" w:cs="Times New Roman"/>
          <w:i/>
          <w:iCs/>
          <w:color w:val="000000" w:themeColor="text1"/>
          <w14:textFill>
            <w14:solidFill>
              <w14:schemeClr w14:val="tx1"/>
            </w14:solidFill>
          </w14:textFill>
        </w:rPr>
        <w:t>Sustaining the Kaleidoscopic, Sweetest and Tastiest Veggies</w:t>
      </w:r>
    </w:p>
    <w:p>
      <w:pPr>
        <w:ind w:right="-40"/>
        <w:jc w:val="both"/>
        <w:rPr>
          <w:rStyle w:val="15"/>
          <w:rFonts w:ascii="Times New Roman" w:hAnsi="Times New Roman" w:cs="Times New Roman"/>
          <w:b w:val="0"/>
          <w:bCs w:val="0"/>
          <w:color w:val="000000" w:themeColor="text1"/>
          <w14:textFill>
            <w14:solidFill>
              <w14:schemeClr w14:val="tx1"/>
            </w14:solidFill>
          </w14:textFill>
        </w:rPr>
      </w:pPr>
    </w:p>
    <w:p>
      <w:pPr>
        <w:tabs>
          <w:tab w:val="left" w:pos="2410"/>
        </w:tabs>
        <w:ind w:right="-40"/>
        <w:jc w:val="both"/>
        <w:rPr>
          <w:rFonts w:ascii="Times New Roman" w:hAnsi="Times New Roman" w:cs="Times New Roman"/>
          <w:lang w:val="en-US"/>
        </w:rPr>
      </w:pPr>
      <w:r>
        <w:rPr>
          <w:rFonts w:ascii="Times New Roman" w:hAnsi="Times New Roman" w:cs="Times New Roman"/>
        </w:rPr>
        <w:t>The works of the Seed Savers Exchange based in Iowa (Box 4) is highlighted in this report because of the importance of their advocacy in gardening with emphasis on educating and connecting people through the collection, regeneration, and sharing of heirloom seeds, plants and stories (</w:t>
      </w:r>
      <w:r>
        <w:fldChar w:fldCharType="begin"/>
      </w:r>
      <w:r>
        <w:instrText xml:space="preserve"> HYPERLINK "https://seedsavers.org" </w:instrText>
      </w:r>
      <w:r>
        <w:fldChar w:fldCharType="separate"/>
      </w:r>
      <w:r>
        <w:rPr>
          <w:rStyle w:val="13"/>
          <w:rFonts w:ascii="Times New Roman" w:hAnsi="Times New Roman" w:cs="Times New Roman"/>
          <w:color w:val="auto"/>
          <w:u w:val="none"/>
        </w:rPr>
        <w:t>https://seedsavers.org</w:t>
      </w:r>
      <w:r>
        <w:rPr>
          <w:rStyle w:val="13"/>
          <w:rFonts w:ascii="Times New Roman" w:hAnsi="Times New Roman" w:cs="Times New Roman"/>
          <w:color w:val="auto"/>
          <w:u w:val="none"/>
        </w:rPr>
        <w:fldChar w:fldCharType="end"/>
      </w:r>
      <w:r>
        <w:rPr>
          <w:rFonts w:ascii="Times New Roman" w:hAnsi="Times New Roman" w:cs="Times New Roman"/>
        </w:rPr>
        <w:t xml:space="preserve">; October 20, 2023). </w:t>
      </w:r>
      <w:r>
        <w:rPr>
          <w:rFonts w:ascii="Times New Roman" w:hAnsi="Times New Roman" w:cs="Times New Roman"/>
          <w:strike/>
          <w:dstrike w:val="0"/>
          <w:color w:val="C00000"/>
        </w:rPr>
        <w:t>Yes</w:t>
      </w:r>
      <w:r>
        <w:rPr>
          <w:rFonts w:ascii="Times New Roman" w:hAnsi="Times New Roman" w:cs="Times New Roman"/>
          <w:strike/>
          <w:dstrike w:val="0"/>
        </w:rPr>
        <w:t>,</w:t>
      </w:r>
      <w:r>
        <w:rPr>
          <w:rFonts w:ascii="Times New Roman" w:hAnsi="Times New Roman" w:cs="Times New Roman"/>
        </w:rPr>
        <w:t xml:space="preserve"> </w:t>
      </w:r>
      <w:r>
        <w:rPr>
          <w:rFonts w:hint="default" w:ascii="Times New Roman" w:hAnsi="Times New Roman" w:cs="Times New Roman"/>
        </w:rPr>
        <w:t>T</w:t>
      </w:r>
      <w:r>
        <w:rPr>
          <w:rFonts w:ascii="Times New Roman" w:hAnsi="Times New Roman" w:cs="Times New Roman"/>
        </w:rPr>
        <w:t>he stories that go with the heirloom seeds from people all over America is the most powerful way of safeguarding the material and its knowledge</w:t>
      </w:r>
      <w:r>
        <w:rPr>
          <w:rStyle w:val="15"/>
          <w:rFonts w:ascii="Times New Roman" w:hAnsi="Times New Roman" w:cs="Times New Roman"/>
          <w:b w:val="0"/>
          <w:bCs w:val="0"/>
        </w:rPr>
        <w:t xml:space="preserve"> </w:t>
      </w:r>
      <w:r>
        <w:rPr>
          <w:rFonts w:ascii="Times New Roman" w:hAnsi="Times New Roman" w:cs="Times New Roman"/>
        </w:rPr>
        <w:t xml:space="preserve">(culture). </w:t>
      </w:r>
      <w:r>
        <w:rPr>
          <w:rFonts w:ascii="Times New Roman" w:hAnsi="Times New Roman" w:cs="Times New Roman"/>
          <w:strike/>
          <w:dstrike w:val="0"/>
          <w:color w:val="C00000"/>
        </w:rPr>
        <w:t xml:space="preserve">With </w:t>
      </w:r>
      <w:r>
        <w:rPr>
          <w:rFonts w:ascii="Times New Roman" w:hAnsi="Times New Roman" w:cs="Times New Roman"/>
        </w:rPr>
        <w:t>seeds regarded</w:t>
      </w:r>
      <w:r>
        <w:rPr>
          <w:rFonts w:ascii="Times New Roman" w:hAnsi="Times New Roman" w:cs="Times New Roman"/>
          <w:lang w:val="en-US"/>
        </w:rPr>
        <w:t xml:space="preserve"> as the life-blood of agriculture and the foundation of a successful farming for smallholder farmers (Mula, 2012), preserving their vigor is of prime importance. </w:t>
      </w:r>
    </w:p>
    <w:p>
      <w:pPr>
        <w:ind w:right="-40"/>
        <w:jc w:val="both"/>
        <w:rPr>
          <w:rStyle w:val="15"/>
          <w:rFonts w:cstheme="minorHAnsi"/>
          <w:b w:val="0"/>
          <w:bCs w:val="0"/>
          <w:color w:val="212529"/>
        </w:rPr>
      </w:pPr>
      <w:r>
        <w:rPr>
          <w:rFonts w:cstheme="minorHAnsi"/>
          <w:color w:val="212529"/>
        </w:rPr>
        <mc:AlternateContent>
          <mc:Choice Requires="wps">
            <w:drawing>
              <wp:anchor distT="0" distB="0" distL="114300" distR="114300" simplePos="0" relativeHeight="251662336" behindDoc="0" locked="0" layoutInCell="1" allowOverlap="1">
                <wp:simplePos x="0" y="0"/>
                <wp:positionH relativeFrom="column">
                  <wp:posOffset>-86360</wp:posOffset>
                </wp:positionH>
                <wp:positionV relativeFrom="paragraph">
                  <wp:posOffset>97790</wp:posOffset>
                </wp:positionV>
                <wp:extent cx="6080125" cy="5904865"/>
                <wp:effectExtent l="0" t="0" r="15875" b="13970"/>
                <wp:wrapNone/>
                <wp:docPr id="739620574" name="Text Box 5"/>
                <wp:cNvGraphicFramePr/>
                <a:graphic xmlns:a="http://schemas.openxmlformats.org/drawingml/2006/main">
                  <a:graphicData uri="http://schemas.microsoft.com/office/word/2010/wordprocessingShape">
                    <wps:wsp>
                      <wps:cNvSpPr txBox="1"/>
                      <wps:spPr>
                        <a:xfrm>
                          <a:off x="0" y="0"/>
                          <a:ext cx="6080288" cy="5904690"/>
                        </a:xfrm>
                        <a:prstGeom prst="rect">
                          <a:avLst/>
                        </a:prstGeom>
                        <a:solidFill>
                          <a:schemeClr val="lt1"/>
                        </a:solidFill>
                        <a:ln w="6350">
                          <a:solidFill>
                            <a:prstClr val="black"/>
                          </a:solidFill>
                        </a:ln>
                      </wps:spPr>
                      <wps:txbx>
                        <w:txbxContent>
                          <w:p>
                            <w:pPr>
                              <w:ind w:right="-40"/>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Figure 5. </w:t>
                            </w:r>
                            <w:r>
                              <w:rPr>
                                <w:rFonts w:ascii="Times New Roman" w:hAnsi="Times New Roman" w:cs="Times New Roman"/>
                                <w:b/>
                                <w:bCs/>
                                <w:color w:val="000000" w:themeColor="text1"/>
                                <w:sz w:val="20"/>
                                <w:szCs w:val="20"/>
                                <w:lang w:val="en-US"/>
                                <w14:textFill>
                                  <w14:solidFill>
                                    <w14:schemeClr w14:val="tx1"/>
                                  </w14:solidFill>
                                </w14:textFill>
                              </w:rPr>
                              <w:t>Sustaining the Kaleidoscopic, Sweetest and Tastiest Veggies</w:t>
                            </w:r>
                          </w:p>
                          <w:p>
                            <w:pPr>
                              <w:ind w:right="-40"/>
                              <w:rPr>
                                <w:rFonts w:ascii="Times New Roman" w:hAnsi="Times New Roman" w:cs="Times New Roman"/>
                                <w:b/>
                                <w:bCs/>
                                <w:color w:val="000000" w:themeColor="text1"/>
                                <w:sz w:val="20"/>
                                <w:szCs w:val="20"/>
                                <w:lang w:val="en-US"/>
                                <w14:textFill>
                                  <w14:solidFill>
                                    <w14:schemeClr w14:val="tx1"/>
                                  </w14:solidFill>
                                </w14:textFill>
                              </w:rPr>
                            </w:pPr>
                          </w:p>
                          <w:p>
                            <w:pPr>
                              <w:ind w:right="-40"/>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b/>
                                <w:bCs/>
                                <w:color w:val="000000" w:themeColor="text1"/>
                                <w:sz w:val="20"/>
                                <w:szCs w:val="20"/>
                                <w:lang w:val="en-US"/>
                                <w14:textFill>
                                  <w14:solidFill>
                                    <w14:schemeClr w14:val="tx1"/>
                                  </w14:solidFill>
                                </w14:textFill>
                              </w:rPr>
                              <w:t xml:space="preserve">  </w:t>
                            </w:r>
                            <w:r>
                              <w:drawing>
                                <wp:inline distT="0" distB="0" distL="0" distR="0">
                                  <wp:extent cx="5876925" cy="2438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
                                          <a:stretch>
                                            <a:fillRect/>
                                          </a:stretch>
                                        </pic:blipFill>
                                        <pic:spPr>
                                          <a:xfrm>
                                            <a:off x="0" y="0"/>
                                            <a:ext cx="5876925" cy="2438400"/>
                                          </a:xfrm>
                                          <a:prstGeom prst="rect">
                                            <a:avLst/>
                                          </a:prstGeom>
                                        </pic:spPr>
                                      </pic:pic>
                                    </a:graphicData>
                                  </a:graphic>
                                </wp:inline>
                              </w:drawing>
                            </w:r>
                            <w:r>
                              <w:rPr>
                                <w:rFonts w:ascii="Times New Roman" w:hAnsi="Times New Roman" w:cs="Times New Roman"/>
                                <w:b/>
                                <w:bCs/>
                                <w:color w:val="000000" w:themeColor="text1"/>
                                <w:sz w:val="20"/>
                                <w:szCs w:val="20"/>
                                <w:lang w:val="en-US"/>
                                <w14:textFill>
                                  <w14:solidFill>
                                    <w14:schemeClr w14:val="tx1"/>
                                  </w14:solidFill>
                                </w14:textFill>
                              </w:rPr>
                              <w:t xml:space="preserve">           </w:t>
                            </w:r>
                          </w:p>
                          <w:p>
                            <w:pPr>
                              <w:ind w:right="-40"/>
                              <w:rPr>
                                <w:rFonts w:ascii="Times New Roman" w:hAnsi="Times New Roman" w:cs="Times New Roman"/>
                                <w:b/>
                                <w:bCs/>
                                <w:color w:val="000000" w:themeColor="text1"/>
                                <w:sz w:val="20"/>
                                <w:szCs w:val="20"/>
                                <w:lang w:val="en-US"/>
                                <w14:textFill>
                                  <w14:solidFill>
                                    <w14:schemeClr w14:val="tx1"/>
                                  </w14:solidFill>
                                </w14:textFill>
                              </w:rPr>
                            </w:pPr>
                          </w:p>
                          <w:p>
                            <w:pPr>
                              <w:ind w:right="-4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We grow having favorites like a fruit, veggie, dish etc. And since these are our favorites, we long for them and more often than not, we have memories that go with these favorites that accentuates our passions. This is the journey of the Seed Savers Exchange where its founders’ desire to preserve two very important heirloom seeds led to what the organization is today. To date, they have a collection of about 20,000 heirloom and open pollinated varieties of seeds such as tomato, eggplant, pepper, potato, lentils, a number of collards, etc. and even of fruit trees like apples and grapes. Collards, which is one of their biggest collections, consist of 71 varieties. Its seeds are the most requested in the entire country. Beans which date 40 years back are also their oldest collection.</w:t>
                            </w:r>
                          </w:p>
                          <w:p>
                            <w:pPr>
                              <w:ind w:right="-40"/>
                              <w:jc w:val="both"/>
                              <w:rPr>
                                <w:rFonts w:ascii="Times New Roman" w:hAnsi="Times New Roman" w:cs="Times New Roman"/>
                                <w:color w:val="000000" w:themeColor="text1"/>
                                <w:sz w:val="20"/>
                                <w:szCs w:val="20"/>
                                <w:lang w:val="en-US"/>
                                <w14:textFill>
                                  <w14:solidFill>
                                    <w14:schemeClr w14:val="tx1"/>
                                  </w14:solidFill>
                                </w14:textFill>
                              </w:rPr>
                            </w:pPr>
                          </w:p>
                          <w:p>
                            <w:pPr>
                              <w:ind w:right="-4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With the focus on the preservation of the seeds; its vigor and viability are maintained through genebanks and field evaluations. On the other hand, the stories from farmers of their seed donations for safekeeping are in a database. This implies the premium people put on local knowledge and even the cultural memory for the conservation of biodiversity (Nazarea, 2006). </w:t>
                            </w:r>
                          </w:p>
                          <w:p>
                            <w:pPr>
                              <w:ind w:right="-40"/>
                              <w:jc w:val="both"/>
                              <w:rPr>
                                <w:rFonts w:ascii="Times New Roman" w:hAnsi="Times New Roman" w:cs="Times New Roman"/>
                                <w:color w:val="000000" w:themeColor="text1"/>
                                <w:sz w:val="20"/>
                                <w:szCs w:val="20"/>
                                <w:lang w:val="en-US"/>
                                <w14:textFill>
                                  <w14:solidFill>
                                    <w14:schemeClr w14:val="tx1"/>
                                  </w14:solidFill>
                                </w14:textFill>
                              </w:rPr>
                            </w:pPr>
                          </w:p>
                          <w:p>
                            <w:pPr>
                              <w:ind w:right="-4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Gardeners and other enthusiasts are welcome to access seeds from Seed Savers. This is the kind of connection the movement builds with people in its novel approach towards the protection of endangered varieties and heritage plants. Seed Savers is of the view that gardening is a win-win situation for the doer and mother earth. Its success in building a network of gardeners of almost 8,000 members, advocating for open-pollinated varieties is anticipated to impact the effects of this uncertain time. Everyone feels the peril of climate change especially on food security. This needs to be abated through a stable source of climate-ready and resilient seeds which Seed Savers is committed to do so.</w:t>
                            </w:r>
                          </w:p>
                          <w:p>
                            <w:pPr>
                              <w:ind w:right="-40"/>
                              <w:jc w:val="both"/>
                              <w:rPr>
                                <w:rFonts w:ascii="Times New Roman" w:hAnsi="Times New Roman" w:cs="Times New Roman"/>
                                <w:color w:val="000000" w:themeColor="text1"/>
                                <w:sz w:val="20"/>
                                <w:szCs w:val="20"/>
                                <w:lang w:val="en-US"/>
                                <w14:textFill>
                                  <w14:solidFill>
                                    <w14:schemeClr w14:val="tx1"/>
                                  </w14:solidFill>
                                </w14:textFill>
                              </w:rPr>
                            </w:pPr>
                          </w:p>
                          <w:p>
                            <w:pPr>
                              <w:ind w:right="-40"/>
                              <w:jc w:val="both"/>
                              <w:rPr>
                                <w:rFonts w:ascii="Times New Roman" w:hAnsi="Times New Roman" w:cs="Times New Roman"/>
                                <w:b/>
                                <w:bCs/>
                                <w:color w:val="000000" w:themeColor="text1"/>
                                <w:sz w:val="20"/>
                                <w:szCs w:val="20"/>
                                <w:lang w:val="en-US"/>
                                <w14:textFill>
                                  <w14:solidFill>
                                    <w14:schemeClr w14:val="tx1"/>
                                  </w14:solidFill>
                                </w14:textFill>
                              </w:rPr>
                            </w:pPr>
                          </w:p>
                          <w:p>
                            <w:pPr>
                              <w:ind w:right="-40"/>
                              <w:jc w:val="both"/>
                              <w:rPr>
                                <w:rFonts w:ascii="Times New Roman" w:hAnsi="Times New Roman" w:cs="Times New Roman"/>
                                <w:b/>
                                <w:bCs/>
                                <w:color w:val="000000" w:themeColor="text1"/>
                                <w:sz w:val="20"/>
                                <w:szCs w:val="20"/>
                                <w:lang w:val="en-US"/>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 o:spid="_x0000_s1026" o:spt="202" type="#_x0000_t202" style="position:absolute;left:0pt;margin-left:-6.8pt;margin-top:7.7pt;height:464.95pt;width:478.75pt;z-index:251662336;mso-width-relative:page;mso-height-relative:page;" fillcolor="#FFFFFF [3201]" filled="t" stroked="t" coordsize="21600,21600" o:gfxdata="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2FuhztcAAAAKAQAADwAAAAAAAAABACAAAAA4AAAAZHJzL2Rvd25yZXYueG1sUEsB&#10;AhQAFAAAAAgAh07iQDzEhDtSAgAAvwQAAA4AAAAAAAAAAQAgAAAAPAEAAGRycy9lMm9Eb2MueG1s&#10;UEsFBgAAAAAGAAYAWQEAAAAGAAAAAA==&#10;">
                <v:fill on="t" focussize="0,0"/>
                <v:stroke weight="0.5pt" color="#000000" joinstyle="round"/>
                <v:imagedata o:title=""/>
                <o:lock v:ext="edit" aspectratio="f"/>
                <v:textbox>
                  <w:txbxContent>
                    <w:p>
                      <w:pPr>
                        <w:ind w:right="-40"/>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Figure 5. </w:t>
                      </w:r>
                      <w:r>
                        <w:rPr>
                          <w:rFonts w:ascii="Times New Roman" w:hAnsi="Times New Roman" w:cs="Times New Roman"/>
                          <w:b/>
                          <w:bCs/>
                          <w:color w:val="000000" w:themeColor="text1"/>
                          <w:sz w:val="20"/>
                          <w:szCs w:val="20"/>
                          <w:lang w:val="en-US"/>
                          <w14:textFill>
                            <w14:solidFill>
                              <w14:schemeClr w14:val="tx1"/>
                            </w14:solidFill>
                          </w14:textFill>
                        </w:rPr>
                        <w:t>Sustaining the Kaleidoscopic, Sweetest and Tastiest Veggies</w:t>
                      </w:r>
                    </w:p>
                    <w:p>
                      <w:pPr>
                        <w:ind w:right="-40"/>
                        <w:rPr>
                          <w:rFonts w:ascii="Times New Roman" w:hAnsi="Times New Roman" w:cs="Times New Roman"/>
                          <w:b/>
                          <w:bCs/>
                          <w:color w:val="000000" w:themeColor="text1"/>
                          <w:sz w:val="20"/>
                          <w:szCs w:val="20"/>
                          <w:lang w:val="en-US"/>
                          <w14:textFill>
                            <w14:solidFill>
                              <w14:schemeClr w14:val="tx1"/>
                            </w14:solidFill>
                          </w14:textFill>
                        </w:rPr>
                      </w:pPr>
                    </w:p>
                    <w:p>
                      <w:pPr>
                        <w:ind w:right="-40"/>
                        <w:rPr>
                          <w:rFonts w:ascii="Times New Roman" w:hAnsi="Times New Roman" w:cs="Times New Roman"/>
                          <w:b/>
                          <w:bCs/>
                          <w:color w:val="000000" w:themeColor="text1"/>
                          <w:sz w:val="20"/>
                          <w:szCs w:val="20"/>
                          <w:lang w:val="en-US"/>
                          <w14:textFill>
                            <w14:solidFill>
                              <w14:schemeClr w14:val="tx1"/>
                            </w14:solidFill>
                          </w14:textFill>
                        </w:rPr>
                      </w:pPr>
                      <w:r>
                        <w:rPr>
                          <w:rFonts w:ascii="Times New Roman" w:hAnsi="Times New Roman" w:cs="Times New Roman"/>
                          <w:b/>
                          <w:bCs/>
                          <w:color w:val="000000" w:themeColor="text1"/>
                          <w:sz w:val="20"/>
                          <w:szCs w:val="20"/>
                          <w:lang w:val="en-US"/>
                          <w14:textFill>
                            <w14:solidFill>
                              <w14:schemeClr w14:val="tx1"/>
                            </w14:solidFill>
                          </w14:textFill>
                        </w:rPr>
                        <w:t xml:space="preserve">  </w:t>
                      </w:r>
                      <w:r>
                        <w:drawing>
                          <wp:inline distT="0" distB="0" distL="0" distR="0">
                            <wp:extent cx="5876925" cy="2438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
                                    <a:stretch>
                                      <a:fillRect/>
                                    </a:stretch>
                                  </pic:blipFill>
                                  <pic:spPr>
                                    <a:xfrm>
                                      <a:off x="0" y="0"/>
                                      <a:ext cx="5876925" cy="2438400"/>
                                    </a:xfrm>
                                    <a:prstGeom prst="rect">
                                      <a:avLst/>
                                    </a:prstGeom>
                                  </pic:spPr>
                                </pic:pic>
                              </a:graphicData>
                            </a:graphic>
                          </wp:inline>
                        </w:drawing>
                      </w:r>
                      <w:r>
                        <w:rPr>
                          <w:rFonts w:ascii="Times New Roman" w:hAnsi="Times New Roman" w:cs="Times New Roman"/>
                          <w:b/>
                          <w:bCs/>
                          <w:color w:val="000000" w:themeColor="text1"/>
                          <w:sz w:val="20"/>
                          <w:szCs w:val="20"/>
                          <w:lang w:val="en-US"/>
                          <w14:textFill>
                            <w14:solidFill>
                              <w14:schemeClr w14:val="tx1"/>
                            </w14:solidFill>
                          </w14:textFill>
                        </w:rPr>
                        <w:t xml:space="preserve">           </w:t>
                      </w:r>
                    </w:p>
                    <w:p>
                      <w:pPr>
                        <w:ind w:right="-40"/>
                        <w:rPr>
                          <w:rFonts w:ascii="Times New Roman" w:hAnsi="Times New Roman" w:cs="Times New Roman"/>
                          <w:b/>
                          <w:bCs/>
                          <w:color w:val="000000" w:themeColor="text1"/>
                          <w:sz w:val="20"/>
                          <w:szCs w:val="20"/>
                          <w:lang w:val="en-US"/>
                          <w14:textFill>
                            <w14:solidFill>
                              <w14:schemeClr w14:val="tx1"/>
                            </w14:solidFill>
                          </w14:textFill>
                        </w:rPr>
                      </w:pPr>
                    </w:p>
                    <w:p>
                      <w:pPr>
                        <w:ind w:right="-4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We grow having favorites like a fruit, veggie, dish etc. And since these are our favorites, we long for them and more often than not, we have memories that go with these favorites that accentuates our passions. This is the journey of the Seed Savers Exchange where its founders’ desire to preserve two very important heirloom seeds led to what the organization is today. To date, they have a collection of about 20,000 heirloom and open pollinated varieties of seeds such as tomato, eggplant, pepper, potato, lentils, a number of collards, etc. and even of fruit trees like apples and grapes. Collards, which is one of their biggest collections, consist of 71 varieties. Its seeds are the most requested in the entire country. Beans which date 40 years back are also their oldest collection.</w:t>
                      </w:r>
                    </w:p>
                    <w:p>
                      <w:pPr>
                        <w:ind w:right="-40"/>
                        <w:jc w:val="both"/>
                        <w:rPr>
                          <w:rFonts w:ascii="Times New Roman" w:hAnsi="Times New Roman" w:cs="Times New Roman"/>
                          <w:color w:val="000000" w:themeColor="text1"/>
                          <w:sz w:val="20"/>
                          <w:szCs w:val="20"/>
                          <w:lang w:val="en-US"/>
                          <w14:textFill>
                            <w14:solidFill>
                              <w14:schemeClr w14:val="tx1"/>
                            </w14:solidFill>
                          </w14:textFill>
                        </w:rPr>
                      </w:pPr>
                    </w:p>
                    <w:p>
                      <w:pPr>
                        <w:ind w:right="-4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 xml:space="preserve">With the focus on the preservation of the seeds; its vigor and viability are maintained through genebanks and field evaluations. On the other hand, the stories from farmers of their seed donations for safekeeping are in a database. This implies the premium people put on local knowledge and even the cultural memory for the conservation of biodiversity (Nazarea, 2006). </w:t>
                      </w:r>
                    </w:p>
                    <w:p>
                      <w:pPr>
                        <w:ind w:right="-40"/>
                        <w:jc w:val="both"/>
                        <w:rPr>
                          <w:rFonts w:ascii="Times New Roman" w:hAnsi="Times New Roman" w:cs="Times New Roman"/>
                          <w:color w:val="000000" w:themeColor="text1"/>
                          <w:sz w:val="20"/>
                          <w:szCs w:val="20"/>
                          <w:lang w:val="en-US"/>
                          <w14:textFill>
                            <w14:solidFill>
                              <w14:schemeClr w14:val="tx1"/>
                            </w14:solidFill>
                          </w14:textFill>
                        </w:rPr>
                      </w:pPr>
                    </w:p>
                    <w:p>
                      <w:pPr>
                        <w:ind w:right="-40"/>
                        <w:jc w:val="both"/>
                        <w:rPr>
                          <w:rFonts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color w:val="000000" w:themeColor="text1"/>
                          <w:sz w:val="20"/>
                          <w:szCs w:val="20"/>
                          <w:lang w:val="en-US"/>
                          <w14:textFill>
                            <w14:solidFill>
                              <w14:schemeClr w14:val="tx1"/>
                            </w14:solidFill>
                          </w14:textFill>
                        </w:rPr>
                        <w:t>Gardeners and other enthusiasts are welcome to access seeds from Seed Savers. This is the kind of connection the movement builds with people in its novel approach towards the protection of endangered varieties and heritage plants. Seed Savers is of the view that gardening is a win-win situation for the doer and mother earth. Its success in building a network of gardeners of almost 8,000 members, advocating for open-pollinated varieties is anticipated to impact the effects of this uncertain time. Everyone feels the peril of climate change especially on food security. This needs to be abated through a stable source of climate-ready and resilient seeds which Seed Savers is committed to do so.</w:t>
                      </w:r>
                    </w:p>
                    <w:p>
                      <w:pPr>
                        <w:ind w:right="-40"/>
                        <w:jc w:val="both"/>
                        <w:rPr>
                          <w:rFonts w:ascii="Times New Roman" w:hAnsi="Times New Roman" w:cs="Times New Roman"/>
                          <w:color w:val="000000" w:themeColor="text1"/>
                          <w:sz w:val="20"/>
                          <w:szCs w:val="20"/>
                          <w:lang w:val="en-US"/>
                          <w14:textFill>
                            <w14:solidFill>
                              <w14:schemeClr w14:val="tx1"/>
                            </w14:solidFill>
                          </w14:textFill>
                        </w:rPr>
                      </w:pPr>
                    </w:p>
                    <w:p>
                      <w:pPr>
                        <w:ind w:right="-40"/>
                        <w:jc w:val="both"/>
                        <w:rPr>
                          <w:rFonts w:ascii="Times New Roman" w:hAnsi="Times New Roman" w:cs="Times New Roman"/>
                          <w:b/>
                          <w:bCs/>
                          <w:color w:val="000000" w:themeColor="text1"/>
                          <w:sz w:val="20"/>
                          <w:szCs w:val="20"/>
                          <w:lang w:val="en-US"/>
                          <w14:textFill>
                            <w14:solidFill>
                              <w14:schemeClr w14:val="tx1"/>
                            </w14:solidFill>
                          </w14:textFill>
                        </w:rPr>
                      </w:pPr>
                    </w:p>
                    <w:p>
                      <w:pPr>
                        <w:ind w:right="-40"/>
                        <w:jc w:val="both"/>
                        <w:rPr>
                          <w:rFonts w:ascii="Times New Roman" w:hAnsi="Times New Roman" w:cs="Times New Roman"/>
                          <w:b/>
                          <w:bCs/>
                          <w:color w:val="000000" w:themeColor="text1"/>
                          <w:sz w:val="20"/>
                          <w:szCs w:val="20"/>
                          <w:lang w:val="en-US"/>
                          <w14:textFill>
                            <w14:solidFill>
                              <w14:schemeClr w14:val="tx1"/>
                            </w14:solidFill>
                          </w14:textFill>
                        </w:rPr>
                      </w:pPr>
                    </w:p>
                  </w:txbxContent>
                </v:textbox>
              </v:shape>
            </w:pict>
          </mc:Fallback>
        </mc:AlternateContent>
      </w:r>
    </w:p>
    <w:p>
      <w:pPr>
        <w:ind w:right="-40"/>
        <w:jc w:val="both"/>
        <w:rPr>
          <w:rStyle w:val="15"/>
          <w:rFonts w:cstheme="minorHAnsi"/>
          <w:b w:val="0"/>
          <w:bCs w:val="0"/>
          <w:color w:val="212529"/>
        </w:rPr>
      </w:pPr>
    </w:p>
    <w:p>
      <w:pPr>
        <w:ind w:right="-40"/>
        <w:jc w:val="both"/>
        <w:rPr>
          <w:rStyle w:val="15"/>
          <w:rFonts w:cstheme="minorHAnsi"/>
          <w:b w:val="0"/>
          <w:bCs w:val="0"/>
          <w:color w:val="212529"/>
        </w:rPr>
      </w:pPr>
    </w:p>
    <w:p>
      <w:pPr>
        <w:ind w:right="-40"/>
        <w:jc w:val="both"/>
        <w:rPr>
          <w:rStyle w:val="15"/>
          <w:rFonts w:cstheme="minorHAnsi"/>
          <w:b w:val="0"/>
          <w:bCs w:val="0"/>
          <w:color w:val="212529"/>
        </w:rPr>
      </w:pPr>
    </w:p>
    <w:p>
      <w:pPr>
        <w:ind w:right="-40"/>
        <w:jc w:val="both"/>
        <w:rPr>
          <w:rStyle w:val="15"/>
          <w:rFonts w:cstheme="minorHAnsi"/>
          <w:b w:val="0"/>
          <w:bCs w:val="0"/>
          <w:color w:val="212529"/>
        </w:rPr>
      </w:pPr>
    </w:p>
    <w:p>
      <w:pPr>
        <w:ind w:right="-40"/>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b w:val="0"/>
          <w:bCs w:val="0"/>
          <w:color w:val="212529"/>
        </w:rPr>
      </w:pPr>
    </w:p>
    <w:p>
      <w:pPr>
        <w:jc w:val="both"/>
        <w:rPr>
          <w:rStyle w:val="15"/>
          <w:rFonts w:cstheme="minorHAnsi"/>
          <w:color w:val="212529"/>
        </w:rPr>
      </w:pPr>
    </w:p>
    <w:tbl>
      <w:tblPr>
        <w:tblStyle w:val="16"/>
        <w:tblW w:w="93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8" w:hRule="atLeast"/>
        </w:trPr>
        <w:tc>
          <w:tcPr>
            <w:tcW w:w="9356" w:type="dxa"/>
          </w:tcPr>
          <w:p>
            <w:pPr>
              <w:ind w:left="1169" w:hanging="1169"/>
              <w:jc w:val="both"/>
              <w:rPr>
                <w:rStyle w:val="15"/>
                <w:rFonts w:ascii="Times New Roman" w:hAnsi="Times New Roman" w:cs="Times New Roman"/>
                <w:b w:val="0"/>
                <w:bCs w:val="0"/>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lang w:val="en-US"/>
                <w14:textFill>
                  <w14:solidFill>
                    <w14:schemeClr w14:val="tx1"/>
                  </w14:solidFill>
                </w14:textFill>
              </w:rPr>
              <w:t>Sustaining the Kaleidoscopic, Sweetest and Tastiest Veggies</w:t>
            </w:r>
            <w:r>
              <w:rPr>
                <w:rFonts w:ascii="Times New Roman" w:hAnsi="Times New Roman" w:cs="Times New Roman"/>
                <w:b/>
                <w:bCs/>
                <w:sz w:val="20"/>
                <w:szCs w:val="20"/>
                <w:lang w:val="en-US"/>
              </w:rPr>
              <w:t xml:space="preserve">   </w:t>
            </w:r>
          </w:p>
          <w:p>
            <w:pPr>
              <w:jc w:val="both"/>
              <w:rPr>
                <w:rStyle w:val="15"/>
                <w:rFonts w:ascii="Times New Roman" w:hAnsi="Times New Roman" w:cs="Times New Roman"/>
                <w:color w:val="212529"/>
                <w:sz w:val="20"/>
                <w:szCs w:val="20"/>
              </w:rPr>
            </w:pPr>
          </w:p>
          <w:p>
            <w:pPr>
              <w:ind w:right="-40"/>
              <w:jc w:val="both"/>
              <w:rPr>
                <w:rStyle w:val="15"/>
                <w:b w:val="0"/>
                <w:bCs w:val="0"/>
                <w:sz w:val="20"/>
                <w:szCs w:val="20"/>
                <w:lang w:val="en-US"/>
              </w:rPr>
            </w:pPr>
            <w:r>
              <w:rPr>
                <w:rFonts w:ascii="Times New Roman" w:hAnsi="Times New Roman" w:cs="Times New Roman"/>
                <w:color w:val="000000" w:themeColor="text1"/>
                <w:sz w:val="20"/>
                <w:szCs w:val="20"/>
                <w:lang w:val="en-US"/>
                <w14:textFill>
                  <w14:solidFill>
                    <w14:schemeClr w14:val="tx1"/>
                  </w14:solidFill>
                </w14:textFill>
              </w:rPr>
              <w:t>During t</w:t>
            </w:r>
            <w:r>
              <w:rPr>
                <w:sz w:val="20"/>
                <w:szCs w:val="20"/>
                <w:lang w:val="en-US"/>
              </w:rPr>
              <w:t xml:space="preserve">he </w:t>
            </w:r>
            <w:r>
              <w:rPr>
                <w:rFonts w:ascii="Times New Roman" w:hAnsi="Times New Roman" w:cs="Times New Roman"/>
                <w:color w:val="000000" w:themeColor="text1"/>
                <w:sz w:val="20"/>
                <w:szCs w:val="20"/>
                <w:lang w:val="en-US"/>
                <w14:textFill>
                  <w14:solidFill>
                    <w14:schemeClr w14:val="tx1"/>
                  </w14:solidFill>
                </w14:textFill>
              </w:rPr>
              <w:t>garden events I have attended, people where inquiring from each other seeds and or seedlings of crops, propagation techniques and cultural management, local/scientific names of crops, uses etc. It is quite certain that seed/sapling exchange between and among individuals does happen. The farmer-to-farmer or gardener-to-gardener is the most common form of informal material transfer; in a reciprocal or non-reciprocal that infers more of social and relational than economic or transactional because more often than not, these exchanges happen based on common interest or friendship. Such process as described by Davies et. al. (2022) is referred to as seed sharing where it involves collecting, saving, and exchanging seeds including generative material such as cutting, pseudo stems or tubers in a non-profit manner.</w:t>
            </w:r>
            <w:r>
              <w:rPr>
                <w:color w:val="000000" w:themeColor="text1"/>
                <w:sz w:val="22"/>
                <w:szCs w:val="22"/>
                <w:lang w:val="en-US"/>
                <w14:textFill>
                  <w14:solidFill>
                    <w14:schemeClr w14:val="tx1"/>
                  </w14:solidFill>
                </w14:textFill>
              </w:rPr>
              <w:t xml:space="preserve"> </w:t>
            </w:r>
          </w:p>
        </w:tc>
      </w:tr>
    </w:tbl>
    <w:p>
      <w:pPr>
        <w:jc w:val="both"/>
        <w:rPr>
          <w:rStyle w:val="15"/>
          <w:rFonts w:cstheme="minorHAnsi"/>
          <w:color w:val="212529"/>
        </w:rPr>
      </w:pPr>
    </w:p>
    <w:p>
      <w:pPr>
        <w:jc w:val="both"/>
        <w:rPr>
          <w:rStyle w:val="15"/>
          <w:rFonts w:cstheme="minorHAnsi"/>
          <w:color w:val="212529"/>
        </w:rPr>
      </w:pPr>
    </w:p>
    <w:p>
      <w:pPr>
        <w:jc w:val="left"/>
        <w:rPr>
          <w:rStyle w:val="15"/>
          <w:rFonts w:hint="default" w:ascii="Times New Roman" w:hAnsi="Times New Roman" w:cs="Times New Roman"/>
          <w:i/>
          <w:iCs/>
          <w:color w:val="C00000"/>
        </w:rPr>
      </w:pPr>
      <w:r>
        <w:rPr>
          <w:rStyle w:val="15"/>
          <w:rFonts w:hint="default" w:ascii="Times New Roman" w:hAnsi="Times New Roman" w:cs="Times New Roman"/>
          <w:i/>
          <w:iCs/>
          <w:color w:val="C00000"/>
        </w:rPr>
        <w:t>Implication of the study to Philipines situation</w:t>
      </w:r>
    </w:p>
    <w:p>
      <w:pPr>
        <w:jc w:val="center"/>
        <w:rPr>
          <w:rStyle w:val="15"/>
          <w:rFonts w:ascii="Times New Roman" w:hAnsi="Times New Roman" w:cs="Times New Roman"/>
          <w:color w:val="212529"/>
        </w:rPr>
      </w:pPr>
    </w:p>
    <w:p>
      <w:pPr>
        <w:jc w:val="both"/>
        <w:rPr>
          <w:rFonts w:ascii="Times New Roman" w:hAnsi="Times New Roman" w:cs="Times New Roman"/>
          <w:color w:val="C00000"/>
        </w:rPr>
      </w:pPr>
      <w:r>
        <w:rPr>
          <w:rFonts w:ascii="Times New Roman" w:hAnsi="Times New Roman" w:cs="Times New Roman"/>
          <w:strike w:val="0"/>
          <w:dstrike w:val="0"/>
          <w:color w:val="C00000"/>
          <w:u w:val="none"/>
        </w:rPr>
        <w:t>As perceived,</w:t>
      </w:r>
      <w:r>
        <w:rPr>
          <w:rFonts w:ascii="Times New Roman" w:hAnsi="Times New Roman" w:cs="Times New Roman"/>
          <w:color w:val="C00000"/>
        </w:rPr>
        <w:t xml:space="preserve"> the UPA program of the Philippine Department of Agriculture (DA), there are mentions of outcomes like benefits of food availability of better quality and some cash, however, there seems to be a disconnect in the program with the communities. This is shown in the non-continuity or in most cases decline of activities that have been started in schools, communities (barangays), and among individual households. There is also the hasty determination of impact like the contribution of the program to production of common vegetables at the household level to combat malnutrition (undernutrition and even micronutrient undernutrition which are the most prevalent). The DA does not have metrics to show the return of investment of the program in terms of economic and health benefits especially to vulnerable groups like children, women especially lactating mothers, and the elderly. Having a clear idea of the reason(s) for the said situation brings to light the nature and type of UPA investments required. </w:t>
      </w:r>
    </w:p>
    <w:p>
      <w:pPr>
        <w:jc w:val="both"/>
        <w:rPr>
          <w:rFonts w:ascii="Times New Roman" w:hAnsi="Times New Roman" w:cs="Times New Roman"/>
          <w:color w:val="C00000"/>
        </w:rPr>
      </w:pPr>
    </w:p>
    <w:p>
      <w:pPr>
        <w:jc w:val="both"/>
        <w:rPr>
          <w:rStyle w:val="15"/>
          <w:rFonts w:ascii="Times New Roman" w:hAnsi="Times New Roman" w:cs="Times New Roman"/>
          <w:b w:val="0"/>
          <w:bCs w:val="0"/>
          <w:color w:val="C00000"/>
        </w:rPr>
      </w:pPr>
      <w:r>
        <w:rPr>
          <w:rFonts w:ascii="Times New Roman" w:hAnsi="Times New Roman" w:cs="Times New Roman"/>
          <w:color w:val="C00000"/>
        </w:rPr>
        <mc:AlternateContent>
          <mc:Choice Requires="wps">
            <w:drawing>
              <wp:anchor distT="0" distB="0" distL="114300" distR="114300" simplePos="0" relativeHeight="251666432" behindDoc="0" locked="0" layoutInCell="1" allowOverlap="1">
                <wp:simplePos x="0" y="0"/>
                <wp:positionH relativeFrom="column">
                  <wp:posOffset>398780</wp:posOffset>
                </wp:positionH>
                <wp:positionV relativeFrom="paragraph">
                  <wp:posOffset>-59021980</wp:posOffset>
                </wp:positionV>
                <wp:extent cx="4755515" cy="7330440"/>
                <wp:effectExtent l="4445" t="4445" r="12065" b="8890"/>
                <wp:wrapNone/>
                <wp:docPr id="659432070" name="Text Box 1"/>
                <wp:cNvGraphicFramePr/>
                <a:graphic xmlns:a="http://schemas.openxmlformats.org/drawingml/2006/main">
                  <a:graphicData uri="http://schemas.microsoft.com/office/word/2010/wordprocessingShape">
                    <wps:wsp>
                      <wps:cNvSpPr txBox="1"/>
                      <wps:spPr>
                        <a:xfrm>
                          <a:off x="0" y="0"/>
                          <a:ext cx="4755515" cy="7330440"/>
                        </a:xfrm>
                        <a:prstGeom prst="rect">
                          <a:avLst/>
                        </a:prstGeom>
                        <a:solidFill>
                          <a:schemeClr val="lt1"/>
                        </a:solidFill>
                        <a:ln w="6350">
                          <a:solidFill>
                            <a:prstClr val="black"/>
                          </a:solidFill>
                        </a:ln>
                      </wps:spPr>
                      <wps:txbx>
                        <w:txbxContent>
                          <w:p>
                            <w:pPr>
                              <w:rPr>
                                <w:b/>
                                <w:bCs/>
                                <w:lang w:val="en-US"/>
                              </w:rPr>
                            </w:pPr>
                            <w:r>
                              <w:rPr>
                                <w:lang w:val="en-US"/>
                              </w:rPr>
                              <w:t xml:space="preserve">Box 1. </w:t>
                            </w:r>
                            <w:r>
                              <w:rPr>
                                <w:b/>
                                <w:bCs/>
                                <w:lang w:val="en-US"/>
                              </w:rPr>
                              <w:t>Remission</w:t>
                            </w:r>
                            <w:r>
                              <w:rPr>
                                <w:lang w:val="en-US"/>
                              </w:rPr>
                              <w:t xml:space="preserve"> </w:t>
                            </w:r>
                            <w:r>
                              <w:rPr>
                                <w:b/>
                                <w:bCs/>
                                <w:lang w:val="en-US"/>
                              </w:rPr>
                              <w:t>of the Past; A Movement for Good Food</w:t>
                            </w:r>
                          </w:p>
                          <w:p>
                            <w:pPr>
                              <w:rPr>
                                <w:lang w:val="en-US"/>
                              </w:rPr>
                            </w:pPr>
                          </w:p>
                          <w:p>
                            <w:pPr>
                              <w:jc w:val="both"/>
                              <w:rPr>
                                <w:color w:val="FF0000"/>
                                <w:lang w:val="en-US"/>
                              </w:rPr>
                            </w:pPr>
                            <w:r>
                              <w:rPr>
                                <w:lang w:val="en-US"/>
                              </w:rPr>
                              <w:t xml:space="preserve">The two female owner-operators stressed the need for </w:t>
                            </w:r>
                            <w:r>
                              <w:rPr>
                                <w:color w:val="FF0000"/>
                                <w:lang w:val="en-US"/>
                              </w:rPr>
                              <w:t xml:space="preserve">good </w:t>
                            </w:r>
                            <w:r>
                              <w:rPr>
                                <w:lang w:val="en-US"/>
                              </w:rPr>
                              <w:t xml:space="preserve">food (of quality and not laden with pesticides) as their primary motivation for joining the gardening, bandwagon. In an interview with Ms </w:t>
                            </w:r>
                            <w:r>
                              <w:rPr>
                                <w:color w:val="FF0000"/>
                                <w:lang w:val="en-US"/>
                              </w:rPr>
                              <w:t>Bweza</w:t>
                            </w:r>
                            <w:r>
                              <w:rPr>
                                <w:lang w:val="en-US"/>
                              </w:rPr>
                              <w:t xml:space="preserve">, one of the co-founders of the two-year old </w:t>
                            </w:r>
                            <w:r>
                              <w:rPr>
                                <w:color w:val="FF0000"/>
                                <w:lang w:val="en-US"/>
                              </w:rPr>
                              <w:t xml:space="preserve">0.5 acre (0.20 ha) </w:t>
                            </w:r>
                            <w:r>
                              <w:rPr>
                                <w:lang w:val="en-US"/>
                              </w:rPr>
                              <w:t xml:space="preserve">garden, she claimed that the grocery provides </w:t>
                            </w:r>
                            <w:r>
                              <w:rPr>
                                <w:color w:val="FF0000"/>
                                <w:lang w:val="en-US"/>
                              </w:rPr>
                              <w:t xml:space="preserve">terrible (not laden with pesticides and inorganic fertilizers) </w:t>
                            </w:r>
                            <w:r>
                              <w:rPr>
                                <w:lang w:val="en-US"/>
                              </w:rPr>
                              <w:t>food, which explains it all. They want to grow fresh quality food for the intergenerational African communities.</w:t>
                            </w:r>
                            <w:r>
                              <w:rPr>
                                <w:color w:val="FF0000"/>
                                <w:lang w:val="en-US"/>
                              </w:rPr>
                              <w:t xml:space="preserve"> Likewise, they are of the view that gardening is a way of reclaiming their cultural rights as owners of the land and spiritual resilience believing in the guidance of their ancestors.</w:t>
                            </w:r>
                            <w:r>
                              <w:rPr>
                                <w:lang w:val="en-US"/>
                              </w:rPr>
                              <w:t xml:space="preserve"> On another note, they put diminutive margin to their produce primarily not for competition but more of affordability by the communities and other interest groups.</w:t>
                            </w:r>
                          </w:p>
                          <w:p>
                            <w:pPr>
                              <w:jc w:val="both"/>
                              <w:rPr>
                                <w:lang w:val="en-US"/>
                              </w:rPr>
                            </w:pPr>
                          </w:p>
                          <w:p>
                            <w:pPr>
                              <w:jc w:val="both"/>
                              <w:rPr>
                                <w:color w:val="4472C4" w:themeColor="accent1"/>
                                <w:lang w:val="en-US"/>
                                <w14:textFill>
                                  <w14:solidFill>
                                    <w14:schemeClr w14:val="accent1"/>
                                  </w14:solidFill>
                                </w14:textFill>
                              </w:rPr>
                            </w:pPr>
                            <w:r>
                              <w:rPr>
                                <w:lang w:val="en-US"/>
                              </w:rPr>
                              <w:t>The CG was established in 2022 immediately after covid with support from the Urban Growers Collective (UGC)</w:t>
                            </w:r>
                            <w:r>
                              <w:rPr>
                                <w:color w:val="FF0000"/>
                                <w:lang w:val="en-US"/>
                              </w:rPr>
                              <w:t>*</w:t>
                            </w:r>
                            <w:r>
                              <w:rPr>
                                <w:color w:val="000000" w:themeColor="text1"/>
                                <w:lang w:val="en-US"/>
                                <w14:textFill>
                                  <w14:solidFill>
                                    <w14:schemeClr w14:val="tx1"/>
                                  </w14:solidFill>
                                </w14:textFill>
                              </w:rPr>
                              <w:t xml:space="preserve">.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w:t>
                            </w:r>
                            <w:r>
                              <w:rPr>
                                <w:color w:val="4472C4" w:themeColor="accent1"/>
                                <w:lang w:val="en-US"/>
                                <w14:textFill>
                                  <w14:solidFill>
                                    <w14:schemeClr w14:val="accent1"/>
                                  </w14:solidFill>
                                </w14:textFill>
                              </w:rPr>
                              <w:t xml:space="preserve">The reclamation of the area was tedious requiring a good mulch of the original ground with an added layer of wood chips and compost of more than a meter high and fenced (part of the guidelines by the City)* prior to planting. </w:t>
                            </w:r>
                          </w:p>
                          <w:p>
                            <w:pPr>
                              <w:jc w:val="both"/>
                              <w:rPr>
                                <w:color w:val="000000" w:themeColor="text1"/>
                                <w:lang w:val="en-US"/>
                                <w14:textFill>
                                  <w14:solidFill>
                                    <w14:schemeClr w14:val="tx1"/>
                                  </w14:solidFill>
                                </w14:textFill>
                              </w:rPr>
                            </w:pPr>
                          </w:p>
                          <w:p>
                            <w:pPr>
                              <w:jc w:val="both"/>
                              <w:rPr>
                                <w:color w:val="FF0000"/>
                                <w:lang w:val="en-US"/>
                              </w:rPr>
                            </w:pPr>
                            <w:r>
                              <w:rPr>
                                <w:color w:val="000000" w:themeColor="text1"/>
                                <w:lang w:val="en-US"/>
                                <w14:textFill>
                                  <w14:solidFill>
                                    <w14:schemeClr w14:val="tx1"/>
                                  </w14:solidFill>
                                </w14:textFill>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Bweza’s words ‘gardening is a form of healing for us and we work out for bridging generational gap.’ Founded with the spirit of sisterhood, the concern for women; young and old alike is key. </w:t>
                            </w:r>
                          </w:p>
                          <w:p>
                            <w:pPr>
                              <w:jc w:val="both"/>
                              <w:rPr>
                                <w:color w:val="FF0000"/>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 o:spid="_x0000_s1026" o:spt="202" type="#_x0000_t202" style="position:absolute;left:0pt;margin-left:31.4pt;margin-top:-4647.4pt;height:577.2pt;width:374.45pt;z-index:251666432;mso-width-relative:page;mso-height-relative:page;" fillcolor="#FFFFFF [3201]" filled="t" stroked="t" coordsize="21600,21600" o:gfxdata="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1vGfhdsAAAAOAQAADwAAAAAAAAABACAAAAA4AAAAZHJzL2Rvd25yZXYueG1s&#10;UEsBAhQAFAAAAAgAh07iQCHF/9JRAgAAvwQAAA4AAAAAAAAAAQAgAAAAQAEAAGRycy9lMm9Eb2Mu&#10;eG1sUEsFBgAAAAAGAAYAWQEAAAMGAAAAAA==&#10;">
                <v:fill on="t" focussize="0,0"/>
                <v:stroke weight="0.5pt" color="#000000" joinstyle="round"/>
                <v:imagedata o:title=""/>
                <o:lock v:ext="edit" aspectratio="f"/>
                <v:textbox>
                  <w:txbxContent>
                    <w:p>
                      <w:pPr>
                        <w:rPr>
                          <w:b/>
                          <w:bCs/>
                          <w:lang w:val="en-US"/>
                        </w:rPr>
                      </w:pPr>
                      <w:r>
                        <w:rPr>
                          <w:lang w:val="en-US"/>
                        </w:rPr>
                        <w:t xml:space="preserve">Box 1. </w:t>
                      </w:r>
                      <w:r>
                        <w:rPr>
                          <w:b/>
                          <w:bCs/>
                          <w:lang w:val="en-US"/>
                        </w:rPr>
                        <w:t>Remission</w:t>
                      </w:r>
                      <w:r>
                        <w:rPr>
                          <w:lang w:val="en-US"/>
                        </w:rPr>
                        <w:t xml:space="preserve"> </w:t>
                      </w:r>
                      <w:r>
                        <w:rPr>
                          <w:b/>
                          <w:bCs/>
                          <w:lang w:val="en-US"/>
                        </w:rPr>
                        <w:t>of the Past; A Movement for Good Food</w:t>
                      </w:r>
                    </w:p>
                    <w:p>
                      <w:pPr>
                        <w:rPr>
                          <w:lang w:val="en-US"/>
                        </w:rPr>
                      </w:pPr>
                    </w:p>
                    <w:p>
                      <w:pPr>
                        <w:jc w:val="both"/>
                        <w:rPr>
                          <w:color w:val="FF0000"/>
                          <w:lang w:val="en-US"/>
                        </w:rPr>
                      </w:pPr>
                      <w:r>
                        <w:rPr>
                          <w:lang w:val="en-US"/>
                        </w:rPr>
                        <w:t xml:space="preserve">The two female owner-operators stressed the need for </w:t>
                      </w:r>
                      <w:r>
                        <w:rPr>
                          <w:color w:val="FF0000"/>
                          <w:lang w:val="en-US"/>
                        </w:rPr>
                        <w:t xml:space="preserve">good </w:t>
                      </w:r>
                      <w:r>
                        <w:rPr>
                          <w:lang w:val="en-US"/>
                        </w:rPr>
                        <w:t xml:space="preserve">food (of quality and not laden with pesticides) as their primary motivation for joining the gardening, bandwagon. In an interview with Ms </w:t>
                      </w:r>
                      <w:r>
                        <w:rPr>
                          <w:color w:val="FF0000"/>
                          <w:lang w:val="en-US"/>
                        </w:rPr>
                        <w:t>Bweza</w:t>
                      </w:r>
                      <w:r>
                        <w:rPr>
                          <w:lang w:val="en-US"/>
                        </w:rPr>
                        <w:t xml:space="preserve">, one of the co-founders of the two-year old </w:t>
                      </w:r>
                      <w:r>
                        <w:rPr>
                          <w:color w:val="FF0000"/>
                          <w:lang w:val="en-US"/>
                        </w:rPr>
                        <w:t xml:space="preserve">0.5 acre (0.20 ha) </w:t>
                      </w:r>
                      <w:r>
                        <w:rPr>
                          <w:lang w:val="en-US"/>
                        </w:rPr>
                        <w:t xml:space="preserve">garden, she claimed that the grocery provides </w:t>
                      </w:r>
                      <w:r>
                        <w:rPr>
                          <w:color w:val="FF0000"/>
                          <w:lang w:val="en-US"/>
                        </w:rPr>
                        <w:t xml:space="preserve">terrible (not laden with pesticides and inorganic fertilizers) </w:t>
                      </w:r>
                      <w:r>
                        <w:rPr>
                          <w:lang w:val="en-US"/>
                        </w:rPr>
                        <w:t>food, which explains it all. They want to grow fresh quality food for the intergenerational African communities.</w:t>
                      </w:r>
                      <w:r>
                        <w:rPr>
                          <w:color w:val="FF0000"/>
                          <w:lang w:val="en-US"/>
                        </w:rPr>
                        <w:t xml:space="preserve"> Likewise, they are of the view that gardening is a way of reclaiming their cultural rights as owners of the land and spiritual resilience believing in the guidance of their ancestors.</w:t>
                      </w:r>
                      <w:r>
                        <w:rPr>
                          <w:lang w:val="en-US"/>
                        </w:rPr>
                        <w:t xml:space="preserve"> On another note, they put diminutive margin to their produce primarily not for competition but more of affordability by the communities and other interest groups.</w:t>
                      </w:r>
                    </w:p>
                    <w:p>
                      <w:pPr>
                        <w:jc w:val="both"/>
                        <w:rPr>
                          <w:lang w:val="en-US"/>
                        </w:rPr>
                      </w:pPr>
                    </w:p>
                    <w:p>
                      <w:pPr>
                        <w:jc w:val="both"/>
                        <w:rPr>
                          <w:color w:val="4472C4" w:themeColor="accent1"/>
                          <w:lang w:val="en-US"/>
                          <w14:textFill>
                            <w14:solidFill>
                              <w14:schemeClr w14:val="accent1"/>
                            </w14:solidFill>
                          </w14:textFill>
                        </w:rPr>
                      </w:pPr>
                      <w:r>
                        <w:rPr>
                          <w:lang w:val="en-US"/>
                        </w:rPr>
                        <w:t>The CG was established in 2022 immediately after covid with support from the Urban Growers Collective (UGC)</w:t>
                      </w:r>
                      <w:r>
                        <w:rPr>
                          <w:color w:val="FF0000"/>
                          <w:lang w:val="en-US"/>
                        </w:rPr>
                        <w:t>*</w:t>
                      </w:r>
                      <w:r>
                        <w:rPr>
                          <w:color w:val="000000" w:themeColor="text1"/>
                          <w:lang w:val="en-US"/>
                          <w14:textFill>
                            <w14:solidFill>
                              <w14:schemeClr w14:val="tx1"/>
                            </w14:solidFill>
                          </w14:textFill>
                        </w:rPr>
                        <w:t xml:space="preserve">. Due diligence was invested by the garden leaders and their volunteer team since the space mostly those along the railroad tracks are not suitable for food production because of high arsenic content used in the preservation of the wood. Arsenic is a metal that is toxic for both animals and plants including the environment. For animals and plants, this interferes completely with the different processes like photosynthesis and reproduction leading to stunted growth and even death. For the environment, though it occurs naturally in soil, its excessive application like in railroad tracks may contaminate the water through runoff and leaching. </w:t>
                      </w:r>
                      <w:r>
                        <w:rPr>
                          <w:color w:val="4472C4" w:themeColor="accent1"/>
                          <w:lang w:val="en-US"/>
                          <w14:textFill>
                            <w14:solidFill>
                              <w14:schemeClr w14:val="accent1"/>
                            </w14:solidFill>
                          </w14:textFill>
                        </w:rPr>
                        <w:t xml:space="preserve">The reclamation of the area was tedious requiring a good mulch of the original ground with an added layer of wood chips and compost of more than a meter high and fenced (part of the guidelines by the City)* prior to planting. </w:t>
                      </w:r>
                    </w:p>
                    <w:p>
                      <w:pPr>
                        <w:jc w:val="both"/>
                        <w:rPr>
                          <w:color w:val="000000" w:themeColor="text1"/>
                          <w:lang w:val="en-US"/>
                          <w14:textFill>
                            <w14:solidFill>
                              <w14:schemeClr w14:val="tx1"/>
                            </w14:solidFill>
                          </w14:textFill>
                        </w:rPr>
                      </w:pPr>
                    </w:p>
                    <w:p>
                      <w:pPr>
                        <w:jc w:val="both"/>
                        <w:rPr>
                          <w:color w:val="FF0000"/>
                          <w:lang w:val="en-US"/>
                        </w:rPr>
                      </w:pPr>
                      <w:r>
                        <w:rPr>
                          <w:color w:val="000000" w:themeColor="text1"/>
                          <w:lang w:val="en-US"/>
                          <w14:textFill>
                            <w14:solidFill>
                              <w14:schemeClr w14:val="tx1"/>
                            </w14:solidFill>
                          </w14:textFill>
                        </w:rPr>
                        <w:t xml:space="preserve">While the primary motivation is for food, equally important to them is being able to remiss the past. This explains putting up a special space at the center of the garden referred to as Ancestor Circle, which is like a sacred ground in reverence of their ancestors and as a manifestation of their self-esteem being part of an African slave lineage. To borrow Bweza’s words ‘gardening is a form of healing for us and we work out for bridging generational gap.’ Founded with the spirit of sisterhood, the concern for women; young and old alike is key. </w:t>
                      </w:r>
                    </w:p>
                    <w:p>
                      <w:pPr>
                        <w:jc w:val="both"/>
                        <w:rPr>
                          <w:color w:val="FF0000"/>
                          <w:lang w:val="en-US"/>
                        </w:rPr>
                      </w:pPr>
                    </w:p>
                  </w:txbxContent>
                </v:textbox>
              </v:shape>
            </w:pict>
          </mc:Fallback>
        </mc:AlternateContent>
      </w:r>
      <w:r>
        <w:rPr>
          <w:rStyle w:val="15"/>
          <w:rFonts w:ascii="Times New Roman" w:hAnsi="Times New Roman" w:cs="Times New Roman"/>
          <w:b w:val="0"/>
          <w:bCs w:val="0"/>
          <w:color w:val="C00000"/>
        </w:rPr>
        <w:t xml:space="preserve">Sufficient evidences from the rapid appraisal of CGs in Chicago brings to light invaluable insights worthy of consideration by any other country like the Philippines where the program is taken in a big way remarkably by the new leadership of the Department of Agriculture. As one of the prime movers of the UPA program in the Philippines, during Covid-19 pandemic, there are definitely insights that can be heeded from the gardening experiences of the ‘Windy City of America.’ </w:t>
      </w:r>
    </w:p>
    <w:p>
      <w:pPr>
        <w:jc w:val="center"/>
        <w:rPr>
          <w:rStyle w:val="15"/>
          <w:rFonts w:ascii="Times New Roman" w:hAnsi="Times New Roman" w:cs="Times New Roman"/>
          <w:color w:val="212529"/>
        </w:rPr>
      </w:pPr>
    </w:p>
    <w:p>
      <w:pPr>
        <w:jc w:val="center"/>
        <w:rPr>
          <w:rStyle w:val="15"/>
          <w:rFonts w:ascii="Times New Roman" w:hAnsi="Times New Roman" w:cs="Times New Roman"/>
          <w:color w:val="212529"/>
        </w:rPr>
      </w:pPr>
    </w:p>
    <w:p>
      <w:pPr>
        <w:jc w:val="center"/>
        <w:rPr>
          <w:rStyle w:val="15"/>
          <w:rFonts w:ascii="Times New Roman" w:hAnsi="Times New Roman" w:cs="Times New Roman"/>
          <w:color w:val="212529"/>
        </w:rPr>
      </w:pPr>
    </w:p>
    <w:p>
      <w:pPr>
        <w:jc w:val="center"/>
        <w:rPr>
          <w:rStyle w:val="15"/>
          <w:rFonts w:ascii="Times New Roman" w:hAnsi="Times New Roman" w:cs="Times New Roman"/>
          <w:color w:val="212529"/>
        </w:rPr>
      </w:pPr>
      <w:r>
        <w:rPr>
          <w:rStyle w:val="15"/>
          <w:rFonts w:ascii="Times New Roman" w:hAnsi="Times New Roman" w:cs="Times New Roman"/>
          <w:color w:val="212529"/>
        </w:rPr>
        <w:t>CONCLUSIONS</w:t>
      </w:r>
    </w:p>
    <w:p>
      <w:pPr>
        <w:jc w:val="both"/>
        <w:rPr>
          <w:rStyle w:val="15"/>
          <w:rFonts w:cstheme="minorHAnsi"/>
          <w:color w:val="212529"/>
          <w:sz w:val="22"/>
          <w:szCs w:val="22"/>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 xml:space="preserve">A great deal of ‘seeing first before believing’ is an understatement since gardening is one of the food systems strategies, without doubt, produces tangible food and satisfaction, and bequeaths the gardener the freedom of practicing art and science in a manageable space. The most tangible benefit is food where the level of production of the smallest area can already satisfy household needs. Some cash can also be eked from bigger areas although in most cases excess production is sold not for profit. Prices of produce from the CGs are comparable with those sold in shops and at times, even cheaper. In some cases, some freebies like seedlings are also provided by CGs to buyers. Three of the private garden owners fronting their residences even allow their neighbors and anyone interested to pick fruits or harvest greens. But sometimes the snag happens when the neighbors harvest even the flowers which is beyond the expectations of garden-owners. </w:t>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Fonts w:ascii="Times New Roman" w:hAnsi="Times New Roman" w:cs="Times New Roman"/>
        </w:rPr>
      </w:pPr>
      <w:r>
        <w:rPr>
          <w:rStyle w:val="15"/>
          <w:rFonts w:ascii="Times New Roman" w:hAnsi="Times New Roman" w:cs="Times New Roman"/>
          <w:b w:val="0"/>
          <w:bCs w:val="0"/>
          <w:color w:val="000000" w:themeColor="text1"/>
          <w14:textFill>
            <w14:solidFill>
              <w14:schemeClr w14:val="tx1"/>
            </w14:solidFill>
          </w14:textFill>
        </w:rPr>
        <w:t xml:space="preserve">Gardeners have a unified way of looking at the living materials they plant where they incorporate ornamental elements for aesthetic. And by training and experience, ornamentals especially the flowering ones are intentionally planted to attract natural pollinators like bees. The entire gamut of gardening revolves around scientific principles from planting to harvesting to producing seeds, the power and practice of growing traditional crops (heirlooms) including processing (value adding) and marketing if needed. </w:t>
      </w:r>
      <w:r>
        <w:rPr>
          <w:rFonts w:ascii="Times New Roman" w:hAnsi="Times New Roman" w:cs="Times New Roman"/>
        </w:rPr>
        <w:t>In the same vein that an appreciation of other communities’ experiences can provide facts and realities of everyday life. This kind of cross-cultural comparison allows a more pragmatic way of putting up with the UPA program, heeding at how best to implement it to achieve the objective not only for efficient food production but most importantly, its sustainability through saving own seeds to ensure healthy lives and spaces.</w:t>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cstheme="minorHAnsi"/>
          <w:color w:val="212529"/>
          <w:sz w:val="22"/>
          <w:szCs w:val="22"/>
        </w:rPr>
      </w:pPr>
    </w:p>
    <w:p>
      <w:pPr>
        <w:jc w:val="both"/>
        <w:rPr>
          <w:rStyle w:val="15"/>
          <w:rFonts w:cstheme="minorHAnsi"/>
          <w:color w:val="212529"/>
          <w:sz w:val="22"/>
          <w:szCs w:val="22"/>
        </w:rPr>
      </w:pPr>
    </w:p>
    <w:p>
      <w:pPr>
        <w:jc w:val="both"/>
        <w:rPr>
          <w:rStyle w:val="15"/>
          <w:rFonts w:cstheme="minorHAnsi"/>
          <w:color w:val="212529"/>
          <w:sz w:val="22"/>
          <w:szCs w:val="22"/>
        </w:rPr>
      </w:pPr>
    </w:p>
    <w:p>
      <w:pPr>
        <w:jc w:val="both"/>
        <w:rPr>
          <w:rStyle w:val="15"/>
          <w:rFonts w:cstheme="minorHAnsi"/>
          <w:color w:val="212529"/>
          <w:sz w:val="22"/>
          <w:szCs w:val="22"/>
        </w:rPr>
      </w:pPr>
    </w:p>
    <w:p>
      <w:pPr>
        <w:jc w:val="both"/>
        <w:rPr>
          <w:rStyle w:val="15"/>
          <w:rFonts w:cstheme="minorHAnsi"/>
          <w:color w:val="212529"/>
          <w:sz w:val="22"/>
          <w:szCs w:val="22"/>
        </w:rPr>
      </w:pPr>
    </w:p>
    <w:p>
      <w:pPr>
        <w:jc w:val="center"/>
        <w:rPr>
          <w:rStyle w:val="15"/>
          <w:rFonts w:ascii="Times New Roman" w:hAnsi="Times New Roman" w:cs="Times New Roman"/>
          <w:color w:val="212529"/>
        </w:rPr>
      </w:pPr>
      <w:r>
        <w:rPr>
          <w:rStyle w:val="15"/>
          <w:rFonts w:ascii="Times New Roman" w:hAnsi="Times New Roman" w:cs="Times New Roman"/>
          <w:color w:val="212529"/>
        </w:rPr>
        <w:t>RECOMMENDATIONS</w:t>
      </w:r>
    </w:p>
    <w:p>
      <w:pPr>
        <w:jc w:val="both"/>
        <w:rPr>
          <w:rStyle w:val="15"/>
          <w:rFonts w:cstheme="minorHAnsi"/>
          <w:i/>
          <w:iCs/>
          <w:color w:val="212529"/>
          <w:sz w:val="22"/>
          <w:szCs w:val="22"/>
        </w:rPr>
      </w:pPr>
    </w:p>
    <w:p>
      <w:pPr>
        <w:jc w:val="both"/>
        <w:rPr>
          <w:rFonts w:ascii="Times New Roman" w:hAnsi="Times New Roman" w:cs="Times New Roman"/>
          <w:lang w:val="en-US"/>
        </w:rPr>
      </w:pPr>
      <w:r>
        <w:rPr>
          <w:rFonts w:ascii="Times New Roman" w:hAnsi="Times New Roman" w:cs="Times New Roman"/>
          <w:lang w:val="en-US"/>
        </w:rPr>
        <w:t xml:space="preserve">The main impetus of garden clustering and consolidation is in consideration of the economies of scale especially of logistics. Several literatures in developed and developing countries have proven the merits of CGs specifically in achieving self-sufficiency and food security especially with sincere partnership of the government, farmers/gardeners, and the private sector. As such, this is regarded as a tool in community gardens/urban- and peri-urban agriculture (availability and access to quality food) which should all the more be given attention in planning (both in land use plan and regional plan) and a dedicated budget. In said literatures, similar enabling environments have also been identified and deconstructed with the end and view of ascertaining lessons for better and widespread implementation. Below are points for consideration in elevating the role of gardens especially in urban and peri-urban areas where at times there can be situations of food deserts. </w:t>
      </w:r>
    </w:p>
    <w:p>
      <w:pPr>
        <w:jc w:val="both"/>
        <w:rPr>
          <w:rStyle w:val="15"/>
          <w:rFonts w:ascii="Times New Roman" w:hAnsi="Times New Roman" w:cs="Times New Roman"/>
          <w:b w:val="0"/>
          <w:bCs w:val="0"/>
          <w:color w:val="212529"/>
        </w:rPr>
      </w:pPr>
    </w:p>
    <w:p>
      <w:pPr>
        <w:pStyle w:val="20"/>
        <w:numPr>
          <w:ilvl w:val="0"/>
          <w:numId w:val="5"/>
        </w:num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i/>
          <w:iCs/>
          <w:color w:val="212529"/>
        </w:rPr>
        <w:t>Policy and Regulations</w:t>
      </w:r>
      <w:r>
        <w:rPr>
          <w:rStyle w:val="15"/>
          <w:rFonts w:ascii="Times New Roman" w:hAnsi="Times New Roman" w:cs="Times New Roman"/>
          <w:color w:val="212529"/>
        </w:rPr>
        <w:t xml:space="preserve">. </w:t>
      </w:r>
      <w:r>
        <w:rPr>
          <w:rStyle w:val="15"/>
          <w:rFonts w:ascii="Times New Roman" w:hAnsi="Times New Roman" w:cs="Times New Roman"/>
          <w:b w:val="0"/>
          <w:bCs w:val="0"/>
          <w:color w:val="000000" w:themeColor="text1"/>
          <w14:textFill>
            <w14:solidFill>
              <w14:schemeClr w14:val="tx1"/>
            </w14:solidFill>
          </w14:textFill>
        </w:rPr>
        <w:t>The CG’s operation is embedded in the policies of institutions. This needs laws and guidelines anchored on a framework of the local community. Just like any initiative, some kind of a roadmap is essential for a seamless program that considers not only the available resources of the community but also legal issues and even indigenous laws that can impact gardening efforts.</w:t>
      </w:r>
    </w:p>
    <w:p>
      <w:pPr>
        <w:jc w:val="both"/>
        <w:rPr>
          <w:rStyle w:val="15"/>
          <w:rFonts w:ascii="Times New Roman" w:hAnsi="Times New Roman" w:cs="Times New Roman"/>
          <w:b w:val="0"/>
          <w:bCs w:val="0"/>
          <w:color w:val="000000" w:themeColor="text1"/>
          <w14:textFill>
            <w14:solidFill>
              <w14:schemeClr w14:val="tx1"/>
            </w14:solidFill>
          </w14:textFill>
        </w:rPr>
      </w:pPr>
    </w:p>
    <w:p>
      <w:pPr>
        <w:pStyle w:val="20"/>
        <w:numPr>
          <w:ilvl w:val="1"/>
          <w:numId w:val="6"/>
        </w:numPr>
        <w:ind w:left="993" w:hanging="284"/>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There is also the significant role of institutions especially at the local government --- from the identification of potential public spaces for CG initiatives to provision of logistics like top soil, mulch, clean water for irrigation and many others. In areas where it has some history of heavy metals like in railroad tracks, soil analysis is important because ‘soils are not only thirsty but are also hungry,’ meaning the need to know what is available. However, the supply of organic matter to satisfy soil requirements especially of micronutrients for crops.</w:t>
      </w:r>
    </w:p>
    <w:p>
      <w:pPr>
        <w:ind w:left="993" w:hanging="284"/>
        <w:jc w:val="both"/>
        <w:rPr>
          <w:rStyle w:val="15"/>
          <w:rFonts w:ascii="Times New Roman" w:hAnsi="Times New Roman" w:cs="Times New Roman"/>
          <w:b w:val="0"/>
          <w:bCs w:val="0"/>
          <w:color w:val="000000" w:themeColor="text1"/>
          <w14:textFill>
            <w14:solidFill>
              <w14:schemeClr w14:val="tx1"/>
            </w14:solidFill>
          </w14:textFill>
        </w:rPr>
      </w:pPr>
    </w:p>
    <w:p>
      <w:pPr>
        <w:pStyle w:val="20"/>
        <w:numPr>
          <w:ilvl w:val="1"/>
          <w:numId w:val="6"/>
        </w:numPr>
        <w:ind w:left="993" w:hanging="284"/>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The promotion and implementation of the CSA and other similar modalities is a ‘win-win’ situation for CG management and consumers. For the CG, this becomes a  stream for additional funding though not that much and for the latter, not only is there an assured and cheaper source of vegetables but most importantly a source  of clean and quality veggies. Likewise, CSA serves as a center for education cum training for consumers, volunteers, and youth.</w:t>
      </w:r>
    </w:p>
    <w:p>
      <w:pPr>
        <w:ind w:left="993" w:hanging="284"/>
        <w:jc w:val="both"/>
        <w:rPr>
          <w:rFonts w:ascii="Times New Roman" w:hAnsi="Times New Roman" w:cs="Times New Roman"/>
          <w:color w:val="000000" w:themeColor="text1"/>
          <w:shd w:val="clear" w:color="auto" w:fill="FFFFFF"/>
          <w14:textFill>
            <w14:solidFill>
              <w14:schemeClr w14:val="tx1"/>
            </w14:solidFill>
          </w14:textFill>
        </w:rPr>
      </w:pPr>
    </w:p>
    <w:p>
      <w:pPr>
        <w:pStyle w:val="20"/>
        <w:numPr>
          <w:ilvl w:val="1"/>
          <w:numId w:val="6"/>
        </w:numPr>
        <w:ind w:left="993" w:hanging="284"/>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212529"/>
        </w:rPr>
        <w:t xml:space="preserve">A </w:t>
      </w:r>
      <w:r>
        <w:rPr>
          <w:rStyle w:val="15"/>
          <w:rFonts w:ascii="Times New Roman" w:hAnsi="Times New Roman" w:cs="Times New Roman"/>
          <w:b w:val="0"/>
          <w:bCs w:val="0"/>
          <w:color w:val="000000" w:themeColor="text1"/>
          <w14:textFill>
            <w14:solidFill>
              <w14:schemeClr w14:val="tx1"/>
            </w14:solidFill>
          </w14:textFill>
        </w:rPr>
        <w:t>CG/UPA Parks Manual is too important to ignore. The City State of Chicago has this and even the Park Districts have certain provisions that need to be heeded by CGs implementers. This manual can be expanded not only for parks especially so that Park Districts also bequeath support to CGs as in the case of GGRTF.</w:t>
      </w:r>
    </w:p>
    <w:p>
      <w:pPr>
        <w:jc w:val="both"/>
        <w:rPr>
          <w:rStyle w:val="15"/>
          <w:rFonts w:ascii="Times New Roman" w:hAnsi="Times New Roman" w:cs="Times New Roman"/>
          <w:b w:val="0"/>
          <w:bCs w:val="0"/>
          <w:color w:val="000000" w:themeColor="text1"/>
          <w14:textFill>
            <w14:solidFill>
              <w14:schemeClr w14:val="tx1"/>
            </w14:solidFill>
          </w14:textFill>
        </w:rPr>
      </w:pPr>
    </w:p>
    <w:p>
      <w:pPr>
        <w:pStyle w:val="20"/>
        <w:numPr>
          <w:ilvl w:val="0"/>
          <w:numId w:val="5"/>
        </w:num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i/>
          <w:iCs/>
          <w:color w:val="000000" w:themeColor="text1"/>
          <w14:textFill>
            <w14:solidFill>
              <w14:schemeClr w14:val="tx1"/>
            </w14:solidFill>
          </w14:textFill>
        </w:rPr>
        <w:t>Technology and Other Related Resources</w:t>
      </w:r>
      <w:r>
        <w:rPr>
          <w:rStyle w:val="15"/>
          <w:rFonts w:ascii="Times New Roman" w:hAnsi="Times New Roman" w:cs="Times New Roman"/>
          <w:b w:val="0"/>
          <w:bCs w:val="0"/>
          <w:color w:val="000000" w:themeColor="text1"/>
          <w14:textFill>
            <w14:solidFill>
              <w14:schemeClr w14:val="tx1"/>
            </w14:solidFill>
          </w14:textFill>
        </w:rPr>
        <w:t>. It makes a lot of sense that technologies required for CGs must resonate with peoples’ experiences and spaces (Hunter et. al., 2018). This also implies the introduction of technologies that are easy to operate like monitors that can just be inserted in the soil to get moisture level and humidity and soil test kits that can provide quick response on the nutrient content of the soil.</w:t>
      </w:r>
    </w:p>
    <w:p>
      <w:pPr>
        <w:jc w:val="both"/>
        <w:rPr>
          <w:rStyle w:val="15"/>
          <w:rFonts w:ascii="Times New Roman" w:hAnsi="Times New Roman" w:cs="Times New Roman"/>
          <w:b w:val="0"/>
          <w:bCs w:val="0"/>
          <w:color w:val="000000" w:themeColor="text1"/>
          <w14:textFill>
            <w14:solidFill>
              <w14:schemeClr w14:val="tx1"/>
            </w14:solidFill>
          </w14:textFill>
        </w:rPr>
      </w:pPr>
    </w:p>
    <w:p>
      <w:pPr>
        <w:pStyle w:val="20"/>
        <w:numPr>
          <w:ilvl w:val="0"/>
          <w:numId w:val="7"/>
        </w:numPr>
        <w:ind w:left="993" w:hanging="284"/>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Related to the proposed manual, this should  include not only provisions of biophysical requisites but also technical suggestions like multi cropping, layering and even incorporation of ornamentals with food crops to allow the natural processes of pollination that results in diversity. This brings in a very vital practice of CG that needs to be adopted by Philippines and others who are into this CG program which is the use of open pollinated varieties. This allows seed saving that can sustain evolutionary process of change and continuity (Dahlberg, 1989).</w:t>
      </w:r>
    </w:p>
    <w:p>
      <w:pPr>
        <w:pStyle w:val="20"/>
        <w:ind w:left="993" w:hanging="284"/>
        <w:jc w:val="both"/>
        <w:rPr>
          <w:rStyle w:val="15"/>
          <w:rFonts w:ascii="Times New Roman" w:hAnsi="Times New Roman" w:cs="Times New Roman"/>
          <w:b w:val="0"/>
          <w:bCs w:val="0"/>
          <w:color w:val="000000" w:themeColor="text1"/>
          <w14:textFill>
            <w14:solidFill>
              <w14:schemeClr w14:val="tx1"/>
            </w14:solidFill>
          </w14:textFill>
        </w:rPr>
      </w:pPr>
    </w:p>
    <w:p>
      <w:pPr>
        <w:pStyle w:val="20"/>
        <w:numPr>
          <w:ilvl w:val="0"/>
          <w:numId w:val="7"/>
        </w:numPr>
        <w:ind w:left="993" w:hanging="284"/>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Cold storage can also be an essential equipment for a CG that has stable production and is linked to a restaurant or with CSA to ensure the freshness of vegetables.</w:t>
      </w:r>
    </w:p>
    <w:p>
      <w:pPr>
        <w:pStyle w:val="20"/>
        <w:ind w:left="993" w:hanging="284"/>
        <w:rPr>
          <w:rStyle w:val="15"/>
          <w:rFonts w:ascii="Times New Roman" w:hAnsi="Times New Roman" w:cs="Times New Roman"/>
          <w:b w:val="0"/>
          <w:bCs w:val="0"/>
          <w:color w:val="000000" w:themeColor="text1"/>
          <w14:textFill>
            <w14:solidFill>
              <w14:schemeClr w14:val="tx1"/>
            </w14:solidFill>
          </w14:textFill>
        </w:rPr>
      </w:pPr>
    </w:p>
    <w:p>
      <w:pPr>
        <w:pStyle w:val="20"/>
        <w:numPr>
          <w:ilvl w:val="0"/>
          <w:numId w:val="7"/>
        </w:numPr>
        <w:ind w:left="993" w:hanging="284"/>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As part of closing the gap on equities of healthy food and health, modest initiatives besides CGs, are also being implemented in Chicago. In an interview with Mr. Orinn Williams, who is the coordinator of the Chicago Partnership for Health Promotion Food System, their program which has a component of distributing grow bags with fertile soil medium plus other essentials among households in the city is raved by the communities. Comments like `harvesting few vegetables/herbs from grow bags is satisfying´, `watching the crops bear fruits in the bags is happiness´, and `gardening in this way is in keeping up with the lifestyle in the city´. Just imagine if every resident in the city also has success in gardening using grow bags alongside their ornamentals at their backyard, porch or driveway.</w:t>
      </w:r>
    </w:p>
    <w:p>
      <w:pPr>
        <w:pStyle w:val="20"/>
        <w:rPr>
          <w:rFonts w:ascii="Times New Roman" w:hAnsi="Times New Roman" w:cs="Times New Roman"/>
          <w:color w:val="000000" w:themeColor="text1"/>
          <w14:textFill>
            <w14:solidFill>
              <w14:schemeClr w14:val="tx1"/>
            </w14:solidFill>
          </w14:textFill>
        </w:rPr>
      </w:pPr>
    </w:p>
    <w:p>
      <w:pPr>
        <w:pStyle w:val="20"/>
        <w:numPr>
          <w:ilvl w:val="0"/>
          <w:numId w:val="7"/>
        </w:numPr>
        <w:ind w:left="993" w:hanging="284"/>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Grow bags are referred to as grow kits in the Philippines. These have been distributed by the Department of Agriculture especially during the Covid-19 pandemic. However, it did not succeed much obviously because of the nature of items provided in the package such as  the poor soil media and seeds that are not preferred by households. This specific program has to be given much thought because the concept is good based on the experience of Chicago and even vignettes of reports from the DA implementers. Maybe what is needed is a comprehensive planning focusing on what people like to grow in terms of their space and time. </w:t>
      </w:r>
    </w:p>
    <w:p>
      <w:pPr>
        <w:pStyle w:val="20"/>
        <w:ind w:left="993" w:hanging="284"/>
        <w:rPr>
          <w:rFonts w:ascii="Times New Roman" w:hAnsi="Times New Roman" w:cs="Times New Roman"/>
          <w:color w:val="000000" w:themeColor="text1"/>
          <w14:textFill>
            <w14:solidFill>
              <w14:schemeClr w14:val="tx1"/>
            </w14:solidFill>
          </w14:textFill>
        </w:rPr>
      </w:pPr>
    </w:p>
    <w:p>
      <w:pPr>
        <w:pStyle w:val="20"/>
        <w:numPr>
          <w:ilvl w:val="0"/>
          <w:numId w:val="7"/>
        </w:numPr>
        <w:ind w:left="993" w:hanging="284"/>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hd w:val="clear" w:color="auto" w:fill="FFFFFF"/>
          <w14:textFill>
            <w14:solidFill>
              <w14:schemeClr w14:val="tx1"/>
            </w14:solidFill>
          </w14:textFill>
        </w:rPr>
        <w:t>Creation of sustainable food systems based on evidence that a systems perspective is effective in solving complex problems.</w:t>
      </w:r>
    </w:p>
    <w:p>
      <w:pPr>
        <w:jc w:val="both"/>
        <w:rPr>
          <w:rFonts w:ascii="Times New Roman" w:hAnsi="Times New Roman" w:cs="Times New Roman"/>
          <w:color w:val="000000" w:themeColor="text1"/>
          <w:shd w:val="clear" w:color="auto" w:fill="FFFFFF"/>
          <w14:textFill>
            <w14:solidFill>
              <w14:schemeClr w14:val="tx1"/>
            </w14:solidFill>
          </w14:textFill>
        </w:rPr>
      </w:pPr>
    </w:p>
    <w:p>
      <w:pPr>
        <w:pStyle w:val="20"/>
        <w:numPr>
          <w:ilvl w:val="0"/>
          <w:numId w:val="5"/>
        </w:numPr>
        <w:jc w:val="both"/>
        <w:rPr>
          <w:rFonts w:ascii="Times New Roman" w:hAnsi="Times New Roman" w:cs="Times New Roman"/>
          <w:color w:val="000000" w:themeColor="text1"/>
          <w:shd w:val="clear" w:color="auto" w:fill="FFFFFF"/>
          <w14:textFill>
            <w14:solidFill>
              <w14:schemeClr w14:val="tx1"/>
            </w14:solidFill>
          </w14:textFill>
        </w:rPr>
      </w:pPr>
      <w:r>
        <w:rPr>
          <w:rFonts w:ascii="Times New Roman" w:hAnsi="Times New Roman" w:cs="Times New Roman"/>
          <w:b/>
          <w:bCs/>
          <w:i/>
          <w:iCs/>
          <w:color w:val="000000" w:themeColor="text1"/>
          <w:shd w:val="clear" w:color="auto" w:fill="FFFFFF"/>
          <w14:textFill>
            <w14:solidFill>
              <w14:schemeClr w14:val="tx1"/>
            </w14:solidFill>
          </w14:textFill>
        </w:rPr>
        <w:t>Promotion, Branding, and Marketing</w:t>
      </w:r>
      <w:r>
        <w:rPr>
          <w:rFonts w:ascii="Times New Roman" w:hAnsi="Times New Roman" w:cs="Times New Roman"/>
          <w:color w:val="000000" w:themeColor="text1"/>
          <w:shd w:val="clear" w:color="auto" w:fill="FFFFFF"/>
          <w14:textFill>
            <w14:solidFill>
              <w14:schemeClr w14:val="tx1"/>
            </w14:solidFill>
          </w14:textFill>
        </w:rPr>
        <w:t xml:space="preserve">. A farmer’s market will allow accessibility of other communities to quality food supply. Aggressive dissemination (to include branding) through virtual platforms, posters in petrol stations, and field tours help much. In Chicago, the field tours dovetailed with the attendance of fledgling restaurant owners showcasing their cuisines and menus, and with live band and dancing are powerful dissemination schemes and avenues for business networking. </w:t>
      </w:r>
    </w:p>
    <w:p>
      <w:pPr>
        <w:jc w:val="both"/>
        <w:rPr>
          <w:rFonts w:ascii="Times New Roman" w:hAnsi="Times New Roman" w:cs="Times New Roman"/>
          <w:color w:val="4D5156"/>
          <w:shd w:val="clear" w:color="auto" w:fill="FFFFFF"/>
        </w:rPr>
      </w:pPr>
    </w:p>
    <w:p>
      <w:p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i/>
          <w:iCs/>
          <w:color w:val="212529"/>
        </w:rPr>
        <w:t>CGs in Health Service Faci</w:t>
      </w:r>
      <w:r>
        <w:rPr>
          <w:rStyle w:val="15"/>
          <w:rFonts w:ascii="Times New Roman" w:hAnsi="Times New Roman" w:cs="Times New Roman"/>
          <w:i/>
          <w:iCs/>
          <w:color w:val="000000" w:themeColor="text1"/>
          <w14:textFill>
            <w14:solidFill>
              <w14:schemeClr w14:val="tx1"/>
            </w14:solidFill>
          </w14:textFill>
        </w:rPr>
        <w:t>lities and Health Workers</w:t>
      </w:r>
      <w:r>
        <w:rPr>
          <w:rStyle w:val="15"/>
          <w:rFonts w:ascii="Times New Roman" w:hAnsi="Times New Roman" w:cs="Times New Roman"/>
          <w:b w:val="0"/>
          <w:bCs w:val="0"/>
          <w:color w:val="000000" w:themeColor="text1"/>
          <w14:textFill>
            <w14:solidFill>
              <w14:schemeClr w14:val="tx1"/>
            </w14:solidFill>
          </w14:textFill>
        </w:rPr>
        <w:t>. A number of benefits from CGs has been mentioned in many literatures. However, there is also a need for concrete metrics to show their impact. An evidence-based articulation of impact that discloses the return of investment on economic and health benefits to households more so with vulnerable groups, for example, will surely pave for more interest on the program and funding.</w:t>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Fonts w:ascii="Times New Roman" w:hAnsi="Times New Roman" w:cs="Times New Roman"/>
          <w:color w:val="000000" w:themeColor="text1"/>
          <w:shd w:val="clear" w:color="auto" w:fill="FFFFFF"/>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 xml:space="preserve">Village health officers and staff can also include in their advocacy the importance and benefits of CGs. It is worth considering that even hospitals and other health facilities could set up their own community gardens, not just in parks or botanical gardens. Showcasing and utilization could  be a powerful advocacy on the promotion of public health. </w:t>
      </w:r>
    </w:p>
    <w:p>
      <w:pPr>
        <w:jc w:val="both"/>
        <w:rPr>
          <w:rFonts w:ascii="Times New Roman" w:hAnsi="Times New Roman" w:cs="Times New Roman"/>
          <w:color w:val="000000" w:themeColor="text1"/>
          <w:shd w:val="clear" w:color="auto" w:fill="FFFFFF"/>
          <w14:textFill>
            <w14:solidFill>
              <w14:schemeClr w14:val="tx1"/>
            </w14:solidFill>
          </w14:textFill>
        </w:rPr>
      </w:pPr>
    </w:p>
    <w:p>
      <w:pPr>
        <w:jc w:val="both"/>
        <w:rPr>
          <w:rFonts w:ascii="Times New Roman" w:hAnsi="Times New Roman" w:cs="Times New Roman"/>
          <w:color w:val="000000" w:themeColor="text1"/>
          <w:shd w:val="clear" w:color="auto" w:fill="FFFFFF"/>
          <w14:textFill>
            <w14:solidFill>
              <w14:schemeClr w14:val="tx1"/>
            </w14:solidFill>
          </w14:textFill>
        </w:rPr>
      </w:pPr>
      <w:r>
        <w:rPr>
          <w:rFonts w:ascii="Times New Roman" w:hAnsi="Times New Roman" w:cs="Times New Roman"/>
          <w:color w:val="000000" w:themeColor="text1"/>
          <w:shd w:val="clear" w:color="auto" w:fill="FFFFFF"/>
          <w14:textFill>
            <w14:solidFill>
              <w14:schemeClr w14:val="tx1"/>
            </w14:solidFill>
          </w14:textFill>
        </w:rPr>
        <w:t xml:space="preserve">CGs clearly demonstrates it as having a holistic approach. When every household either develops its garden or participates in a local CG initiative, this could elevate the community’s food security. From the earlier examples, CGs that have been established earlier have taken the responsibility of capacity building and training to make sure that new participants to gardening and even the youth gain the required knowledge on technologies and operations of the engagement. </w:t>
      </w:r>
    </w:p>
    <w:p>
      <w:pPr>
        <w:jc w:val="both"/>
        <w:rPr>
          <w:rFonts w:ascii="Times New Roman" w:hAnsi="Times New Roman" w:cs="Times New Roman"/>
          <w:color w:val="000000" w:themeColor="text1"/>
          <w:shd w:val="clear" w:color="auto" w:fill="FFFFFF"/>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This brief study implies that CGs can be the hope of households marginalized by socio-economic and political reasons. Gleaned in the earlier section of this report are the various benefits and ways forward of this food system for the Philippines, which are summarized in Table 1.</w:t>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i/>
          <w:iCs/>
          <w:color w:val="000000" w:themeColor="text1"/>
          <w14:textFill>
            <w14:solidFill>
              <w14:schemeClr w14:val="tx1"/>
            </w14:solidFill>
          </w14:textFill>
        </w:rPr>
        <w:t xml:space="preserve">Mindset Change. </w:t>
      </w:r>
      <w:r>
        <w:rPr>
          <w:rStyle w:val="15"/>
          <w:rFonts w:ascii="Times New Roman" w:hAnsi="Times New Roman" w:cs="Times New Roman"/>
          <w:b w:val="0"/>
          <w:bCs w:val="0"/>
          <w:color w:val="000000" w:themeColor="text1"/>
          <w14:textFill>
            <w14:solidFill>
              <w14:schemeClr w14:val="tx1"/>
            </w14:solidFill>
          </w14:textFill>
        </w:rPr>
        <w:t>For a garden to serve its purpose, an earnest ‘mindset change’ is critical with all the stakeholders especially key institutions and village officials. In the Philippines, there is the need to initiate cultural change such as the spirit of volunteerism and youth involvement from leaders or facilitators towards CGs. This underpins all the other dimensions mentioned in Table 1. The dedication of CG practitioners in whatever scale in Chicago is worthy of emulation. Three key points of this recommendation  are as follows:</w:t>
      </w:r>
    </w:p>
    <w:p>
      <w:pPr>
        <w:jc w:val="both"/>
        <w:rPr>
          <w:rStyle w:val="15"/>
          <w:rFonts w:ascii="Times New Roman" w:hAnsi="Times New Roman" w:cs="Times New Roman"/>
          <w:b w:val="0"/>
          <w:bCs w:val="0"/>
          <w:color w:val="000000" w:themeColor="text1"/>
          <w14:textFill>
            <w14:solidFill>
              <w14:schemeClr w14:val="tx1"/>
            </w14:solidFill>
          </w14:textFill>
        </w:rPr>
      </w:pPr>
    </w:p>
    <w:p>
      <w:pPr>
        <w:pStyle w:val="20"/>
        <w:numPr>
          <w:ilvl w:val="0"/>
          <w:numId w:val="6"/>
        </w:num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The different cases presented show their zeal to produce quality vegetables guaranteed as organic and clean at comparable prices in retail shops. Related to this, is the opportunity to cultivate crops (mostly for food and of medicinal value) of users’ preference.</w:t>
      </w:r>
    </w:p>
    <w:p>
      <w:pPr>
        <w:pStyle w:val="20"/>
        <w:rPr>
          <w:rStyle w:val="15"/>
          <w:rFonts w:ascii="Times New Roman" w:hAnsi="Times New Roman" w:cs="Times New Roman"/>
          <w:b w:val="0"/>
          <w:bCs w:val="0"/>
          <w:color w:val="212529"/>
        </w:rPr>
      </w:pPr>
    </w:p>
    <w:p>
      <w:pPr>
        <w:pStyle w:val="20"/>
        <w:numPr>
          <w:ilvl w:val="0"/>
          <w:numId w:val="6"/>
        </w:num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 xml:space="preserve">There are also family-managed garden owners who allow neighbors to partake some of their produce for free.        </w:t>
      </w:r>
    </w:p>
    <w:p>
      <w:pPr>
        <w:pStyle w:val="20"/>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 xml:space="preserve">                                                                                 </w:t>
      </w:r>
    </w:p>
    <w:p>
      <w:pPr>
        <w:pStyle w:val="20"/>
        <w:numPr>
          <w:ilvl w:val="0"/>
          <w:numId w:val="6"/>
        </w:numPr>
        <w:jc w:val="both"/>
        <w:rPr>
          <w:rStyle w:val="15"/>
          <w:rFonts w:ascii="Times New Roman" w:hAnsi="Times New Roman" w:cs="Times New Roman"/>
          <w:b w:val="0"/>
          <w:bCs w:val="0"/>
          <w:color w:val="000000" w:themeColor="text1"/>
          <w:kern w:val="2"/>
          <w14:textFill>
            <w14:solidFill>
              <w14:schemeClr w14:val="tx1"/>
            </w14:solidFill>
          </w14:textFill>
          <w14:ligatures w14:val="standardContextual"/>
        </w:rPr>
      </w:pPr>
      <w:r>
        <w:rPr>
          <w:rStyle w:val="15"/>
          <w:rFonts w:ascii="Times New Roman" w:hAnsi="Times New Roman" w:cs="Times New Roman"/>
          <w:b w:val="0"/>
          <w:bCs w:val="0"/>
          <w:color w:val="000000" w:themeColor="text1"/>
          <w14:textFill>
            <w14:solidFill>
              <w14:schemeClr w14:val="tx1"/>
            </w14:solidFill>
          </w14:textFill>
        </w:rPr>
        <w:t xml:space="preserve">Incentivizing youth involvement is one of the ways to inculcate value and appreciation of the production system. I was told of a minimal monetary incentive among the youth interns who are in learning and earning mode during summer. This is an excellent way to sensitize the youth to get into the discipline of agriculture. </w:t>
      </w:r>
    </w:p>
    <w:p>
      <w:pPr>
        <w:jc w:val="both"/>
        <w:rPr>
          <w:rStyle w:val="15"/>
          <w:rFonts w:cstheme="minorHAnsi"/>
          <w:b w:val="0"/>
          <w:bCs w:val="0"/>
          <w:color w:val="000000" w:themeColor="text1"/>
          <w:sz w:val="22"/>
          <w:szCs w:val="22"/>
          <w14:textFill>
            <w14:solidFill>
              <w14:schemeClr w14:val="tx1"/>
            </w14:solidFill>
          </w14:textFill>
        </w:rPr>
      </w:pPr>
    </w:p>
    <w:p>
      <w:pPr>
        <w:jc w:val="both"/>
        <w:rPr>
          <w:rStyle w:val="15"/>
          <w:rFonts w:ascii="Times New Roman" w:hAnsi="Times New Roman" w:cs="Times New Roman"/>
          <w:b w:val="0"/>
          <w:bCs w:val="0"/>
          <w:color w:val="000000" w:themeColor="text1"/>
          <w:sz w:val="20"/>
          <w:szCs w:val="20"/>
          <w14:textFill>
            <w14:solidFill>
              <w14:schemeClr w14:val="tx1"/>
            </w14:solidFill>
          </w14:textFill>
        </w:rPr>
      </w:pPr>
      <w:r>
        <w:rPr>
          <w:rStyle w:val="15"/>
          <w:rFonts w:ascii="Times New Roman" w:hAnsi="Times New Roman" w:cs="Times New Roman"/>
          <w:b w:val="0"/>
          <w:bCs w:val="0"/>
          <w:color w:val="000000" w:themeColor="text1"/>
          <w:sz w:val="20"/>
          <w:szCs w:val="20"/>
          <w14:textFill>
            <w14:solidFill>
              <w14:schemeClr w14:val="tx1"/>
            </w14:solidFill>
          </w14:textFill>
        </w:rPr>
        <w:t>Table 1. Talking points for UPA program in the Philippines</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3"/>
        <w:gridCol w:w="5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pPr>
              <w:jc w:val="center"/>
              <w:rPr>
                <w:rStyle w:val="15"/>
                <w:rFonts w:ascii="Times New Roman" w:hAnsi="Times New Roman" w:cs="Times New Roman"/>
                <w:color w:val="212529"/>
                <w:sz w:val="20"/>
                <w:szCs w:val="20"/>
              </w:rPr>
            </w:pPr>
            <w:r>
              <w:rPr>
                <w:rStyle w:val="15"/>
                <w:rFonts w:ascii="Times New Roman" w:hAnsi="Times New Roman" w:cs="Times New Roman"/>
                <w:color w:val="212529"/>
                <w:sz w:val="20"/>
                <w:szCs w:val="20"/>
              </w:rPr>
              <w:t>Particulars</w:t>
            </w:r>
          </w:p>
        </w:tc>
        <w:tc>
          <w:tcPr>
            <w:tcW w:w="5385" w:type="dxa"/>
          </w:tcPr>
          <w:p>
            <w:pPr>
              <w:jc w:val="center"/>
              <w:rPr>
                <w:rStyle w:val="15"/>
                <w:rFonts w:ascii="Times New Roman" w:hAnsi="Times New Roman" w:cs="Times New Roman"/>
                <w:color w:val="212529"/>
                <w:sz w:val="20"/>
                <w:szCs w:val="20"/>
              </w:rPr>
            </w:pPr>
            <w:r>
              <w:rPr>
                <w:rStyle w:val="15"/>
                <w:rFonts w:ascii="Times New Roman" w:hAnsi="Times New Roman" w:cs="Times New Roman"/>
                <w:color w:val="212529"/>
                <w:sz w:val="20"/>
                <w:szCs w:val="20"/>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restart"/>
          </w:tcPr>
          <w:p>
            <w:pPr>
              <w:jc w:val="both"/>
              <w:rPr>
                <w:rStyle w:val="15"/>
                <w:rFonts w:ascii="Times New Roman" w:hAnsi="Times New Roman" w:cs="Times New Roman"/>
                <w:b w:val="0"/>
                <w:bCs w:val="0"/>
                <w:color w:val="212529"/>
                <w:sz w:val="20"/>
                <w:szCs w:val="20"/>
              </w:rPr>
            </w:pPr>
            <w:r>
              <w:rPr>
                <w:rStyle w:val="15"/>
                <w:rFonts w:ascii="Times New Roman" w:hAnsi="Times New Roman" w:cs="Times New Roman"/>
                <w:color w:val="212529"/>
                <w:sz w:val="20"/>
                <w:szCs w:val="20"/>
              </w:rPr>
              <w:t>Stakeholders and Users</w:t>
            </w:r>
          </w:p>
          <w:p>
            <w:pPr>
              <w:jc w:val="both"/>
              <w:rPr>
                <w:rStyle w:val="15"/>
                <w:rFonts w:ascii="Times New Roman" w:hAnsi="Times New Roman" w:cs="Times New Roman"/>
                <w:color w:val="212529"/>
                <w:sz w:val="20"/>
                <w:szCs w:val="20"/>
              </w:rPr>
            </w:pPr>
            <w:r>
              <w:rPr>
                <w:rStyle w:val="15"/>
                <w:rFonts w:ascii="Times New Roman" w:hAnsi="Times New Roman" w:cs="Times New Roman"/>
                <w:color w:val="212529"/>
                <w:sz w:val="20"/>
                <w:szCs w:val="20"/>
              </w:rPr>
              <w:t>Mindset Change</w:t>
            </w:r>
          </w:p>
        </w:tc>
        <w:tc>
          <w:tcPr>
            <w:tcW w:w="5385" w:type="dxa"/>
          </w:tcPr>
          <w:p>
            <w:pPr>
              <w:rPr>
                <w:rStyle w:val="15"/>
                <w:rFonts w:ascii="Times New Roman" w:hAnsi="Times New Roman" w:cs="Times New Roman"/>
                <w:b w:val="0"/>
                <w:bCs w:val="0"/>
                <w:color w:val="212529"/>
                <w:sz w:val="20"/>
                <w:szCs w:val="20"/>
              </w:rPr>
            </w:pPr>
            <w:r>
              <w:rPr>
                <w:rStyle w:val="15"/>
                <w:rFonts w:ascii="Times New Roman" w:hAnsi="Times New Roman" w:cs="Times New Roman"/>
                <w:b w:val="0"/>
                <w:bCs w:val="0"/>
                <w:color w:val="212529"/>
                <w:sz w:val="20"/>
                <w:szCs w:val="20"/>
              </w:rPr>
              <w:t xml:space="preserve">Commitment in every </w:t>
            </w:r>
            <w:r>
              <w:rPr>
                <w:rStyle w:val="15"/>
                <w:rFonts w:ascii="Times New Roman" w:hAnsi="Times New Roman" w:cs="Times New Roman"/>
                <w:color w:val="212529"/>
                <w:sz w:val="20"/>
                <w:szCs w:val="20"/>
              </w:rPr>
              <w:t xml:space="preserve">mindset </w:t>
            </w:r>
            <w:r>
              <w:rPr>
                <w:rStyle w:val="15"/>
                <w:rFonts w:ascii="Times New Roman" w:hAnsi="Times New Roman" w:cs="Times New Roman"/>
                <w:b w:val="0"/>
                <w:bCs w:val="0"/>
                <w:color w:val="212529"/>
                <w:sz w:val="20"/>
                <w:szCs w:val="20"/>
              </w:rPr>
              <w:t>of those involved in gardening at whatever scale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jc w:val="both"/>
              <w:rPr>
                <w:rStyle w:val="15"/>
                <w:rFonts w:ascii="Times New Roman" w:hAnsi="Times New Roman" w:cs="Times New Roman"/>
                <w:color w:val="212529"/>
                <w:sz w:val="20"/>
                <w:szCs w:val="20"/>
              </w:rPr>
            </w:pPr>
          </w:p>
        </w:tc>
        <w:tc>
          <w:tcPr>
            <w:tcW w:w="5385" w:type="dxa"/>
          </w:tcPr>
          <w:p>
            <w:pPr>
              <w:rPr>
                <w:rStyle w:val="15"/>
                <w:rFonts w:ascii="Times New Roman" w:hAnsi="Times New Roman" w:cs="Times New Roman"/>
                <w:b w:val="0"/>
                <w:bCs w:val="0"/>
                <w:color w:val="212529"/>
                <w:sz w:val="20"/>
                <w:szCs w:val="20"/>
              </w:rPr>
            </w:pPr>
            <w:r>
              <w:rPr>
                <w:rStyle w:val="15"/>
                <w:rFonts w:ascii="Times New Roman" w:hAnsi="Times New Roman" w:cs="Times New Roman"/>
                <w:b w:val="0"/>
                <w:bCs w:val="0"/>
                <w:color w:val="212529"/>
                <w:sz w:val="20"/>
                <w:szCs w:val="20"/>
              </w:rPr>
              <w:t>‘Walk the talk’,</w:t>
            </w:r>
            <w:r>
              <w:rPr>
                <w:rStyle w:val="15"/>
                <w:rFonts w:ascii="Times New Roman" w:hAnsi="Times New Roman" w:cs="Times New Roman"/>
                <w:color w:val="212529"/>
                <w:sz w:val="20"/>
                <w:szCs w:val="20"/>
              </w:rPr>
              <w:t xml:space="preserve"> </w:t>
            </w:r>
            <w:r>
              <w:rPr>
                <w:rStyle w:val="15"/>
                <w:rFonts w:ascii="Times New Roman" w:hAnsi="Times New Roman" w:cs="Times New Roman"/>
                <w:b w:val="0"/>
                <w:bCs w:val="0"/>
                <w:color w:val="212529"/>
                <w:sz w:val="20"/>
                <w:szCs w:val="20"/>
              </w:rPr>
              <w:t>Incentives, Youth Involvement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jc w:val="both"/>
              <w:rPr>
                <w:rStyle w:val="15"/>
                <w:rFonts w:ascii="Times New Roman" w:hAnsi="Times New Roman" w:cs="Times New Roman"/>
                <w:color w:val="212529"/>
                <w:sz w:val="20"/>
                <w:szCs w:val="20"/>
              </w:rPr>
            </w:pPr>
          </w:p>
        </w:tc>
        <w:tc>
          <w:tcPr>
            <w:tcW w:w="5385" w:type="dxa"/>
          </w:tcPr>
          <w:p>
            <w:pPr>
              <w:rPr>
                <w:rStyle w:val="15"/>
                <w:rFonts w:ascii="Times New Roman" w:hAnsi="Times New Roman" w:cs="Times New Roman"/>
                <w:b w:val="0"/>
                <w:bCs w:val="0"/>
                <w:color w:val="212529"/>
                <w:sz w:val="20"/>
                <w:szCs w:val="20"/>
              </w:rPr>
            </w:pPr>
            <w:r>
              <w:rPr>
                <w:rStyle w:val="15"/>
                <w:rFonts w:ascii="Times New Roman" w:hAnsi="Times New Roman" w:cs="Times New Roman"/>
                <w:b w:val="0"/>
                <w:bCs w:val="0"/>
                <w:color w:val="212529"/>
                <w:sz w:val="20"/>
                <w:szCs w:val="20"/>
              </w:rPr>
              <w:t>Paying attention to user’s perspective (nutrition,</w:t>
            </w:r>
            <w:r>
              <w:rPr>
                <w:rStyle w:val="15"/>
                <w:rFonts w:ascii="Times New Roman" w:hAnsi="Times New Roman" w:cs="Times New Roman"/>
                <w:color w:val="212529"/>
                <w:sz w:val="20"/>
                <w:szCs w:val="20"/>
              </w:rPr>
              <w:t xml:space="preserve"> </w:t>
            </w:r>
            <w:r>
              <w:rPr>
                <w:rStyle w:val="15"/>
                <w:rFonts w:ascii="Times New Roman" w:hAnsi="Times New Roman" w:cs="Times New Roman"/>
                <w:b w:val="0"/>
                <w:bCs w:val="0"/>
                <w:color w:val="212529"/>
                <w:sz w:val="20"/>
                <w:szCs w:val="20"/>
              </w:rPr>
              <w:t>gastronomy and healing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jc w:val="both"/>
              <w:rPr>
                <w:rStyle w:val="15"/>
                <w:rFonts w:ascii="Times New Roman" w:hAnsi="Times New Roman" w:cs="Times New Roman"/>
                <w:color w:val="212529"/>
                <w:sz w:val="20"/>
                <w:szCs w:val="20"/>
              </w:rPr>
            </w:pPr>
          </w:p>
        </w:tc>
        <w:tc>
          <w:tcPr>
            <w:tcW w:w="5385" w:type="dxa"/>
          </w:tcPr>
          <w:p>
            <w:pPr>
              <w:rPr>
                <w:rStyle w:val="15"/>
                <w:rFonts w:ascii="Times New Roman" w:hAnsi="Times New Roman" w:cs="Times New Roman"/>
                <w:b w:val="0"/>
                <w:bCs w:val="0"/>
                <w:color w:val="212529"/>
                <w:sz w:val="20"/>
                <w:szCs w:val="20"/>
              </w:rPr>
            </w:pPr>
            <w:r>
              <w:rPr>
                <w:rStyle w:val="15"/>
                <w:rFonts w:ascii="Times New Roman" w:hAnsi="Times New Roman" w:cs="Times New Roman"/>
                <w:b w:val="0"/>
                <w:bCs w:val="0"/>
                <w:color w:val="212529"/>
                <w:sz w:val="20"/>
                <w:szCs w:val="20"/>
              </w:rPr>
              <w:t>Strengthen village officials to be involved and focus on CGs/UPAs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restart"/>
          </w:tcPr>
          <w:p>
            <w:pPr>
              <w:rPr>
                <w:rStyle w:val="15"/>
                <w:rFonts w:ascii="Times New Roman" w:hAnsi="Times New Roman" w:cs="Times New Roman"/>
                <w:color w:val="212529"/>
                <w:sz w:val="20"/>
                <w:szCs w:val="20"/>
              </w:rPr>
            </w:pPr>
            <w:r>
              <w:rPr>
                <w:rStyle w:val="15"/>
                <w:rFonts w:ascii="Times New Roman" w:hAnsi="Times New Roman" w:cs="Times New Roman"/>
                <w:color w:val="212529"/>
                <w:sz w:val="20"/>
                <w:szCs w:val="20"/>
              </w:rPr>
              <w:t>Clustering and Consolidation</w:t>
            </w:r>
          </w:p>
          <w:p>
            <w:pPr>
              <w:rPr>
                <w:rStyle w:val="15"/>
                <w:rFonts w:ascii="Times New Roman" w:hAnsi="Times New Roman" w:cs="Times New Roman"/>
                <w:i/>
                <w:iCs/>
                <w:color w:val="212529"/>
                <w:sz w:val="20"/>
                <w:szCs w:val="20"/>
              </w:rPr>
            </w:pPr>
            <w:r>
              <w:rPr>
                <w:rStyle w:val="15"/>
                <w:rFonts w:ascii="Times New Roman" w:hAnsi="Times New Roman" w:cs="Times New Roman"/>
                <w:i/>
                <w:iCs/>
                <w:color w:val="212529"/>
                <w:sz w:val="20"/>
                <w:szCs w:val="20"/>
              </w:rPr>
              <w:t>a. Policy and Regulations</w:t>
            </w:r>
          </w:p>
          <w:p>
            <w:pPr>
              <w:rPr>
                <w:rStyle w:val="15"/>
                <w:rFonts w:ascii="Times New Roman" w:hAnsi="Times New Roman" w:cs="Times New Roman"/>
                <w:b w:val="0"/>
                <w:bCs w:val="0"/>
                <w:color w:val="212529"/>
                <w:sz w:val="20"/>
                <w:szCs w:val="20"/>
              </w:rPr>
            </w:pPr>
            <w:r>
              <w:rPr>
                <w:rStyle w:val="15"/>
                <w:rFonts w:ascii="Times New Roman" w:hAnsi="Times New Roman" w:cs="Times New Roman"/>
                <w:b w:val="0"/>
                <w:bCs w:val="0"/>
                <w:color w:val="212529"/>
                <w:sz w:val="20"/>
                <w:szCs w:val="20"/>
              </w:rPr>
              <w:t xml:space="preserve">e.g. Department of Agriculture </w:t>
            </w:r>
          </w:p>
          <w:p>
            <w:pPr>
              <w:rPr>
                <w:rStyle w:val="15"/>
                <w:rFonts w:ascii="Times New Roman" w:hAnsi="Times New Roman" w:cs="Times New Roman"/>
                <w:b w:val="0"/>
                <w:bCs w:val="0"/>
                <w:color w:val="212529"/>
                <w:sz w:val="20"/>
                <w:szCs w:val="20"/>
              </w:rPr>
            </w:pPr>
            <w:r>
              <w:rPr>
                <w:rStyle w:val="15"/>
                <w:rFonts w:ascii="Times New Roman" w:hAnsi="Times New Roman" w:cs="Times New Roman"/>
                <w:b w:val="0"/>
                <w:bCs w:val="0"/>
                <w:color w:val="212529"/>
                <w:sz w:val="20"/>
                <w:szCs w:val="20"/>
              </w:rPr>
              <w:t xml:space="preserve">(For DA to spearhead the consolidation of initiatives on gardening implemented by key agencies) </w:t>
            </w:r>
          </w:p>
          <w:p>
            <w:pPr>
              <w:rPr>
                <w:rStyle w:val="15"/>
                <w:rFonts w:ascii="Times New Roman" w:hAnsi="Times New Roman" w:cs="Times New Roman"/>
                <w:b w:val="0"/>
                <w:bCs w:val="0"/>
                <w:color w:val="212529"/>
                <w:sz w:val="20"/>
                <w:szCs w:val="20"/>
              </w:rPr>
            </w:pPr>
          </w:p>
          <w:p>
            <w:pPr>
              <w:rPr>
                <w:rStyle w:val="15"/>
                <w:rFonts w:ascii="Times New Roman" w:hAnsi="Times New Roman" w:cs="Times New Roman"/>
                <w:b w:val="0"/>
                <w:bCs w:val="0"/>
                <w:color w:val="212529"/>
                <w:sz w:val="20"/>
                <w:szCs w:val="20"/>
              </w:rPr>
            </w:pPr>
          </w:p>
        </w:tc>
        <w:tc>
          <w:tcPr>
            <w:tcW w:w="5385" w:type="dxa"/>
          </w:tcPr>
          <w:p>
            <w:pPr>
              <w:rPr>
                <w:rStyle w:val="15"/>
                <w:rFonts w:ascii="Times New Roman" w:hAnsi="Times New Roman" w:cs="Times New Roman"/>
                <w:b w:val="0"/>
                <w:bCs w:val="0"/>
                <w:color w:val="212529"/>
                <w:sz w:val="20"/>
                <w:szCs w:val="20"/>
              </w:rPr>
            </w:pPr>
            <w:r>
              <w:rPr>
                <w:rStyle w:val="15"/>
                <w:rFonts w:ascii="Times New Roman" w:hAnsi="Times New Roman" w:cs="Times New Roman"/>
                <w:b w:val="0"/>
                <w:bCs w:val="0"/>
                <w:color w:val="212529"/>
                <w:sz w:val="20"/>
                <w:szCs w:val="20"/>
              </w:rPr>
              <w:t xml:space="preserve">Development of a CG/UPA Manual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rPr>
                <w:rStyle w:val="15"/>
                <w:rFonts w:ascii="Times New Roman" w:hAnsi="Times New Roman" w:cs="Times New Roman"/>
                <w:b w:val="0"/>
                <w:bCs w:val="0"/>
                <w:color w:val="212529"/>
                <w:sz w:val="20"/>
                <w:szCs w:val="20"/>
              </w:rPr>
            </w:pPr>
          </w:p>
        </w:tc>
        <w:tc>
          <w:tcPr>
            <w:tcW w:w="5385" w:type="dxa"/>
          </w:tcPr>
          <w:p>
            <w:pPr>
              <w:pStyle w:val="20"/>
              <w:numPr>
                <w:ilvl w:val="0"/>
                <w:numId w:val="4"/>
              </w:numPr>
              <w:ind w:left="247" w:hanging="142"/>
              <w:rPr>
                <w:rStyle w:val="15"/>
                <w:rFonts w:ascii="Times New Roman" w:hAnsi="Times New Roman" w:cs="Times New Roman"/>
                <w:b w:val="0"/>
                <w:bCs w:val="0"/>
                <w:color w:val="212529"/>
                <w:kern w:val="2"/>
                <w:sz w:val="20"/>
                <w:szCs w:val="20"/>
                <w14:ligatures w14:val="standardContextual"/>
              </w:rPr>
            </w:pPr>
            <w:r>
              <w:rPr>
                <w:rStyle w:val="15"/>
                <w:rFonts w:ascii="Times New Roman" w:hAnsi="Times New Roman" w:cs="Times New Roman"/>
                <w:b w:val="0"/>
                <w:bCs w:val="0"/>
                <w:color w:val="212529"/>
                <w:sz w:val="20"/>
                <w:szCs w:val="20"/>
              </w:rPr>
              <w:t>Strict implementation of the regulations like provision of clean water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rPr>
                <w:rStyle w:val="15"/>
                <w:rFonts w:ascii="Times New Roman" w:hAnsi="Times New Roman" w:cs="Times New Roman"/>
                <w:b w:val="0"/>
                <w:bCs w:val="0"/>
                <w:color w:val="212529"/>
                <w:sz w:val="20"/>
                <w:szCs w:val="20"/>
              </w:rPr>
            </w:pPr>
          </w:p>
        </w:tc>
        <w:tc>
          <w:tcPr>
            <w:tcW w:w="5385" w:type="dxa"/>
          </w:tcPr>
          <w:p>
            <w:pPr>
              <w:pStyle w:val="20"/>
              <w:numPr>
                <w:ilvl w:val="0"/>
                <w:numId w:val="8"/>
              </w:numPr>
              <w:ind w:left="247" w:hanging="142"/>
              <w:rPr>
                <w:rStyle w:val="15"/>
                <w:rFonts w:ascii="Times New Roman" w:hAnsi="Times New Roman" w:cs="Times New Roman"/>
                <w:b w:val="0"/>
                <w:bCs w:val="0"/>
                <w:color w:val="212529"/>
                <w:kern w:val="2"/>
                <w:sz w:val="20"/>
                <w:szCs w:val="20"/>
                <w14:ligatures w14:val="standardContextual"/>
              </w:rPr>
            </w:pPr>
            <w:r>
              <w:rPr>
                <w:rStyle w:val="15"/>
                <w:rFonts w:ascii="Times New Roman" w:hAnsi="Times New Roman" w:cs="Times New Roman"/>
                <w:b w:val="0"/>
                <w:bCs w:val="0"/>
                <w:color w:val="212529"/>
                <w:sz w:val="20"/>
                <w:szCs w:val="20"/>
              </w:rPr>
              <w:t>Soil analysis to determine mineral content and their levels required for each crop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rPr>
                <w:rStyle w:val="15"/>
                <w:rFonts w:ascii="Times New Roman" w:hAnsi="Times New Roman" w:cs="Times New Roman"/>
                <w:b w:val="0"/>
                <w:bCs w:val="0"/>
                <w:color w:val="212529"/>
                <w:sz w:val="20"/>
                <w:szCs w:val="20"/>
              </w:rPr>
            </w:pPr>
          </w:p>
        </w:tc>
        <w:tc>
          <w:tcPr>
            <w:tcW w:w="5385" w:type="dxa"/>
          </w:tcPr>
          <w:p>
            <w:pPr>
              <w:rPr>
                <w:rStyle w:val="15"/>
                <w:rFonts w:ascii="Times New Roman" w:hAnsi="Times New Roman" w:cs="Times New Roman"/>
                <w:b w:val="0"/>
                <w:bCs w:val="0"/>
                <w:color w:val="212529"/>
                <w:sz w:val="20"/>
                <w:szCs w:val="20"/>
              </w:rPr>
            </w:pPr>
            <w:r>
              <w:rPr>
                <w:rStyle w:val="15"/>
                <w:rFonts w:ascii="Times New Roman" w:hAnsi="Times New Roman" w:cs="Times New Roman"/>
                <w:b w:val="0"/>
                <w:bCs w:val="0"/>
                <w:color w:val="212529"/>
                <w:sz w:val="20"/>
                <w:szCs w:val="20"/>
              </w:rPr>
              <w:t>Integration of vegetables with ornamentals to ensure haven for pollinators in city parks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rPr>
                <w:rStyle w:val="15"/>
                <w:rFonts w:ascii="Times New Roman" w:hAnsi="Times New Roman" w:cs="Times New Roman"/>
                <w:b w:val="0"/>
                <w:bCs w:val="0"/>
                <w:color w:val="212529"/>
                <w:sz w:val="20"/>
                <w:szCs w:val="20"/>
              </w:rPr>
            </w:pPr>
          </w:p>
        </w:tc>
        <w:tc>
          <w:tcPr>
            <w:tcW w:w="5385" w:type="dxa"/>
          </w:tcPr>
          <w:p>
            <w:pPr>
              <w:rPr>
                <w:rStyle w:val="15"/>
                <w:rFonts w:ascii="Times New Roman" w:hAnsi="Times New Roman" w:cs="Times New Roman"/>
                <w:b w:val="0"/>
                <w:bCs w:val="0"/>
                <w:color w:val="212529"/>
                <w:sz w:val="20"/>
                <w:szCs w:val="20"/>
              </w:rPr>
            </w:pPr>
            <w:r>
              <w:rPr>
                <w:rStyle w:val="15"/>
                <w:rFonts w:ascii="Times New Roman" w:hAnsi="Times New Roman" w:cs="Times New Roman"/>
                <w:b w:val="0"/>
                <w:bCs w:val="0"/>
                <w:color w:val="212529"/>
                <w:sz w:val="20"/>
                <w:szCs w:val="20"/>
              </w:rPr>
              <w:t>Promotion and implementation of the Community Supported Agriculture (CSA) program and other similar modalities as center for education cum training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rPr>
                <w:rStyle w:val="15"/>
                <w:rFonts w:ascii="Times New Roman" w:hAnsi="Times New Roman" w:cs="Times New Roman"/>
                <w:b w:val="0"/>
                <w:bCs w:val="0"/>
                <w:color w:val="212529"/>
                <w:sz w:val="20"/>
                <w:szCs w:val="20"/>
              </w:rPr>
            </w:pPr>
          </w:p>
        </w:tc>
        <w:tc>
          <w:tcPr>
            <w:tcW w:w="5385" w:type="dxa"/>
          </w:tcPr>
          <w:p>
            <w:pPr>
              <w:rPr>
                <w:rStyle w:val="15"/>
                <w:rFonts w:ascii="Times New Roman" w:hAnsi="Times New Roman" w:cs="Times New Roman"/>
                <w:b w:val="0"/>
                <w:bCs w:val="0"/>
                <w:color w:val="212529"/>
                <w:sz w:val="20"/>
                <w:szCs w:val="20"/>
              </w:rPr>
            </w:pPr>
            <w:r>
              <w:rPr>
                <w:rStyle w:val="15"/>
                <w:rFonts w:ascii="Times New Roman" w:hAnsi="Times New Roman" w:cs="Times New Roman"/>
                <w:b w:val="0"/>
                <w:bCs w:val="0"/>
                <w:color w:val="212529"/>
                <w:sz w:val="20"/>
                <w:szCs w:val="20"/>
              </w:rPr>
              <w:t xml:space="preserve">Establish CGs including nurseries </w:t>
            </w:r>
            <w:r>
              <w:rPr>
                <w:rStyle w:val="15"/>
                <w:rFonts w:ascii="Times New Roman" w:hAnsi="Times New Roman" w:cs="Times New Roman"/>
                <w:color w:val="212529"/>
                <w:sz w:val="20"/>
                <w:szCs w:val="20"/>
              </w:rPr>
              <w:t xml:space="preserve">to ensure </w:t>
            </w:r>
            <w:r>
              <w:rPr>
                <w:rStyle w:val="15"/>
                <w:rFonts w:ascii="Times New Roman" w:hAnsi="Times New Roman" w:cs="Times New Roman"/>
                <w:b w:val="0"/>
                <w:bCs w:val="0"/>
                <w:color w:val="212529"/>
                <w:sz w:val="20"/>
                <w:szCs w:val="20"/>
              </w:rPr>
              <w:t>CG/UPA’s sustainability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rPr>
                <w:rStyle w:val="15"/>
                <w:rFonts w:ascii="Times New Roman" w:hAnsi="Times New Roman" w:cs="Times New Roman"/>
                <w:b w:val="0"/>
                <w:bCs w:val="0"/>
                <w:color w:val="212529"/>
                <w:sz w:val="20"/>
                <w:szCs w:val="20"/>
              </w:rPr>
            </w:pPr>
          </w:p>
        </w:tc>
        <w:tc>
          <w:tcPr>
            <w:tcW w:w="5385" w:type="dxa"/>
          </w:tcPr>
          <w:p>
            <w:pPr>
              <w:tabs>
                <w:tab w:val="left" w:pos="312"/>
              </w:tabs>
              <w:rPr>
                <w:rStyle w:val="15"/>
                <w:rFonts w:ascii="Times New Roman" w:hAnsi="Times New Roman" w:cs="Times New Roman"/>
                <w:b w:val="0"/>
                <w:bCs w:val="0"/>
                <w:color w:val="212529"/>
                <w:sz w:val="20"/>
                <w:szCs w:val="20"/>
              </w:rPr>
            </w:pPr>
            <w:r>
              <w:rPr>
                <w:rStyle w:val="15"/>
                <w:rFonts w:ascii="Times New Roman" w:hAnsi="Times New Roman" w:cs="Times New Roman"/>
                <w:b w:val="0"/>
                <w:bCs w:val="0"/>
                <w:color w:val="212529"/>
                <w:sz w:val="20"/>
                <w:szCs w:val="20"/>
              </w:rPr>
              <w:t>Inclusion of perennials (e.g. fruit trees)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rPr>
                <w:rStyle w:val="15"/>
                <w:rFonts w:ascii="Times New Roman" w:hAnsi="Times New Roman" w:cs="Times New Roman"/>
                <w:b w:val="0"/>
                <w:bCs w:val="0"/>
                <w:color w:val="212529"/>
                <w:sz w:val="20"/>
                <w:szCs w:val="20"/>
              </w:rPr>
            </w:pPr>
          </w:p>
        </w:tc>
        <w:tc>
          <w:tcPr>
            <w:tcW w:w="5385" w:type="dxa"/>
          </w:tcPr>
          <w:p>
            <w:pPr>
              <w:tabs>
                <w:tab w:val="left" w:pos="312"/>
              </w:tabs>
              <w:rPr>
                <w:rStyle w:val="15"/>
                <w:rFonts w:ascii="Times New Roman" w:hAnsi="Times New Roman" w:cs="Times New Roman"/>
                <w:b w:val="0"/>
                <w:bCs w:val="0"/>
                <w:color w:val="212529"/>
                <w:sz w:val="20"/>
                <w:szCs w:val="20"/>
              </w:rPr>
            </w:pPr>
            <w:r>
              <w:rPr>
                <w:rStyle w:val="15"/>
                <w:rFonts w:ascii="Times New Roman" w:hAnsi="Times New Roman" w:cs="Times New Roman"/>
                <w:b w:val="0"/>
                <w:bCs w:val="0"/>
                <w:color w:val="212529"/>
                <w:sz w:val="20"/>
                <w:szCs w:val="20"/>
              </w:rPr>
              <w:t>Robust impact evaluation to measure benefits of CG/UPA not only to people but also the environment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restart"/>
          </w:tcPr>
          <w:p>
            <w:pPr>
              <w:rPr>
                <w:rStyle w:val="15"/>
                <w:rFonts w:ascii="Times New Roman" w:hAnsi="Times New Roman" w:cs="Times New Roman"/>
                <w:i/>
                <w:iCs/>
                <w:color w:val="212529"/>
                <w:sz w:val="20"/>
                <w:szCs w:val="20"/>
              </w:rPr>
            </w:pPr>
            <w:r>
              <w:rPr>
                <w:rStyle w:val="15"/>
                <w:rFonts w:ascii="Times New Roman" w:hAnsi="Times New Roman" w:cs="Times New Roman"/>
                <w:i/>
                <w:iCs/>
                <w:color w:val="212529"/>
                <w:sz w:val="20"/>
                <w:szCs w:val="20"/>
              </w:rPr>
              <w:t xml:space="preserve">b. Technology and Other-related </w:t>
            </w:r>
          </w:p>
          <w:p>
            <w:pPr>
              <w:rPr>
                <w:rStyle w:val="15"/>
                <w:rFonts w:ascii="Times New Roman" w:hAnsi="Times New Roman" w:cs="Times New Roman"/>
                <w:i/>
                <w:iCs/>
                <w:color w:val="212529"/>
                <w:sz w:val="20"/>
                <w:szCs w:val="20"/>
              </w:rPr>
            </w:pPr>
            <w:r>
              <w:rPr>
                <w:rStyle w:val="15"/>
                <w:rFonts w:ascii="Times New Roman" w:hAnsi="Times New Roman" w:cs="Times New Roman"/>
                <w:i/>
                <w:iCs/>
                <w:color w:val="212529"/>
                <w:sz w:val="20"/>
                <w:szCs w:val="20"/>
              </w:rPr>
              <w:t xml:space="preserve">    Resources</w:t>
            </w:r>
          </w:p>
        </w:tc>
        <w:tc>
          <w:tcPr>
            <w:tcW w:w="5385" w:type="dxa"/>
          </w:tcPr>
          <w:p>
            <w:pPr>
              <w:rPr>
                <w:rStyle w:val="15"/>
                <w:rFonts w:ascii="Times New Roman" w:hAnsi="Times New Roman" w:cs="Times New Roman"/>
                <w:b w:val="0"/>
                <w:bCs w:val="0"/>
                <w:color w:val="212529"/>
                <w:sz w:val="20"/>
                <w:szCs w:val="20"/>
              </w:rPr>
            </w:pPr>
            <w:r>
              <w:rPr>
                <w:rStyle w:val="15"/>
                <w:rFonts w:ascii="Times New Roman" w:hAnsi="Times New Roman" w:cs="Times New Roman"/>
                <w:b w:val="0"/>
                <w:bCs w:val="0"/>
                <w:color w:val="212529"/>
                <w:sz w:val="20"/>
                <w:szCs w:val="20"/>
              </w:rPr>
              <w:t>Promotion and use of OPVs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rPr>
                <w:rStyle w:val="15"/>
                <w:rFonts w:ascii="Times New Roman" w:hAnsi="Times New Roman" w:cs="Times New Roman"/>
                <w:color w:val="212529"/>
                <w:sz w:val="20"/>
                <w:szCs w:val="20"/>
              </w:rPr>
            </w:pPr>
          </w:p>
        </w:tc>
        <w:tc>
          <w:tcPr>
            <w:tcW w:w="5385" w:type="dxa"/>
          </w:tcPr>
          <w:p>
            <w:pPr>
              <w:rPr>
                <w:rStyle w:val="15"/>
                <w:rFonts w:ascii="Times New Roman" w:hAnsi="Times New Roman" w:cs="Times New Roman"/>
                <w:b w:val="0"/>
                <w:bCs w:val="0"/>
                <w:color w:val="212529"/>
                <w:sz w:val="20"/>
                <w:szCs w:val="20"/>
              </w:rPr>
            </w:pPr>
            <w:r>
              <w:rPr>
                <w:rStyle w:val="15"/>
                <w:rFonts w:ascii="Times New Roman" w:hAnsi="Times New Roman" w:cs="Times New Roman"/>
                <w:b w:val="0"/>
                <w:bCs w:val="0"/>
                <w:color w:val="212529"/>
                <w:sz w:val="20"/>
                <w:szCs w:val="20"/>
              </w:rPr>
              <w:t>Cold storage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Merge w:val="continue"/>
          </w:tcPr>
          <w:p>
            <w:pPr>
              <w:rPr>
                <w:rStyle w:val="15"/>
                <w:rFonts w:ascii="Times New Roman" w:hAnsi="Times New Roman" w:cs="Times New Roman"/>
                <w:color w:val="212529"/>
                <w:sz w:val="20"/>
                <w:szCs w:val="20"/>
              </w:rPr>
            </w:pPr>
          </w:p>
        </w:tc>
        <w:tc>
          <w:tcPr>
            <w:tcW w:w="5385" w:type="dxa"/>
          </w:tcPr>
          <w:p>
            <w:pPr>
              <w:rPr>
                <w:rStyle w:val="15"/>
                <w:rFonts w:ascii="Times New Roman" w:hAnsi="Times New Roman" w:cs="Times New Roman"/>
                <w:b w:val="0"/>
                <w:bCs w:val="0"/>
                <w:color w:val="212529"/>
                <w:sz w:val="20"/>
                <w:szCs w:val="20"/>
              </w:rPr>
            </w:pPr>
            <w:r>
              <w:rPr>
                <w:rStyle w:val="15"/>
                <w:rFonts w:ascii="Times New Roman" w:hAnsi="Times New Roman" w:cs="Times New Roman"/>
                <w:b w:val="0"/>
                <w:bCs w:val="0"/>
                <w:color w:val="212529"/>
                <w:sz w:val="20"/>
                <w:szCs w:val="20"/>
              </w:rPr>
              <w:t>Grow bags with suitable soil medium and other essentials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pPr>
              <w:rPr>
                <w:rStyle w:val="15"/>
                <w:rFonts w:ascii="Times New Roman" w:hAnsi="Times New Roman" w:cs="Times New Roman"/>
                <w:i/>
                <w:iCs/>
                <w:color w:val="212529"/>
                <w:sz w:val="20"/>
                <w:szCs w:val="20"/>
              </w:rPr>
            </w:pPr>
            <w:r>
              <w:rPr>
                <w:rStyle w:val="15"/>
                <w:rFonts w:ascii="Times New Roman" w:hAnsi="Times New Roman" w:cs="Times New Roman"/>
                <w:i/>
                <w:iCs/>
                <w:color w:val="212529"/>
                <w:sz w:val="20"/>
                <w:szCs w:val="20"/>
              </w:rPr>
              <w:t>c. Branding and Promotion</w:t>
            </w:r>
          </w:p>
        </w:tc>
        <w:tc>
          <w:tcPr>
            <w:tcW w:w="5385" w:type="dxa"/>
          </w:tcPr>
          <w:p>
            <w:pPr>
              <w:rPr>
                <w:rStyle w:val="15"/>
                <w:rFonts w:ascii="Times New Roman" w:hAnsi="Times New Roman" w:cs="Times New Roman"/>
                <w:b w:val="0"/>
                <w:bCs w:val="0"/>
                <w:color w:val="212529"/>
                <w:sz w:val="20"/>
                <w:szCs w:val="20"/>
              </w:rPr>
            </w:pPr>
            <w:r>
              <w:rPr>
                <w:rStyle w:val="15"/>
                <w:rFonts w:ascii="Times New Roman" w:hAnsi="Times New Roman" w:cs="Times New Roman"/>
                <w:b w:val="0"/>
                <w:bCs w:val="0"/>
                <w:color w:val="212529"/>
                <w:sz w:val="20"/>
                <w:szCs w:val="20"/>
              </w:rPr>
              <w:t>Aggressive techniques for widespread promotion such as farmers’ market, field tours cum culinary and food enthusiasts meet up, and traditional campaign and plugs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3823" w:type="dxa"/>
          </w:tcPr>
          <w:p>
            <w:pPr>
              <w:rPr>
                <w:rStyle w:val="15"/>
                <w:rFonts w:ascii="Times New Roman" w:hAnsi="Times New Roman" w:cs="Times New Roman"/>
                <w:b w:val="0"/>
                <w:bCs w:val="0"/>
                <w:color w:val="212529"/>
                <w:sz w:val="20"/>
                <w:szCs w:val="20"/>
              </w:rPr>
            </w:pPr>
            <w:r>
              <w:rPr>
                <w:rStyle w:val="15"/>
                <w:rFonts w:ascii="Times New Roman" w:hAnsi="Times New Roman" w:cs="Times New Roman"/>
                <w:color w:val="212529"/>
                <w:sz w:val="20"/>
                <w:szCs w:val="20"/>
              </w:rPr>
              <w:t>CGs in Health Service Facilities &amp; Health Workers</w:t>
            </w:r>
          </w:p>
          <w:p>
            <w:pPr>
              <w:rPr>
                <w:rStyle w:val="15"/>
                <w:rFonts w:ascii="Times New Roman" w:hAnsi="Times New Roman" w:cs="Times New Roman"/>
                <w:i/>
                <w:iCs/>
                <w:color w:val="212529"/>
                <w:sz w:val="20"/>
                <w:szCs w:val="20"/>
              </w:rPr>
            </w:pPr>
          </w:p>
        </w:tc>
        <w:tc>
          <w:tcPr>
            <w:tcW w:w="5385" w:type="dxa"/>
          </w:tcPr>
          <w:p>
            <w:pPr>
              <w:rPr>
                <w:rStyle w:val="15"/>
                <w:rFonts w:ascii="Times New Roman" w:hAnsi="Times New Roman" w:cs="Times New Roman"/>
                <w:b w:val="0"/>
                <w:bCs w:val="0"/>
                <w:color w:val="212529"/>
                <w:sz w:val="20"/>
                <w:szCs w:val="20"/>
              </w:rPr>
            </w:pPr>
            <w:r>
              <w:rPr>
                <w:rStyle w:val="15"/>
                <w:rFonts w:ascii="Times New Roman" w:hAnsi="Times New Roman" w:cs="Times New Roman"/>
                <w:b w:val="0"/>
                <w:bCs w:val="0"/>
                <w:color w:val="212529"/>
                <w:sz w:val="20"/>
                <w:szCs w:val="20"/>
              </w:rPr>
              <w:t xml:space="preserve">Village health officers/workers to include in their advocacy the establishments of CG/UPA of plants with health benefits in their facilities </w:t>
            </w:r>
          </w:p>
        </w:tc>
      </w:tr>
    </w:tbl>
    <w:p>
      <w:pPr>
        <w:jc w:val="both"/>
        <w:rPr>
          <w:rFonts w:ascii="Times New Roman" w:hAnsi="Times New Roman" w:cs="Times New Roman"/>
          <w:color w:val="000000" w:themeColor="text1"/>
          <w:shd w:val="clear" w:color="auto" w:fill="FFFFFF"/>
          <w14:textFill>
            <w14:solidFill>
              <w14:schemeClr w14:val="tx1"/>
            </w14:solidFill>
          </w14:textFill>
        </w:rPr>
      </w:pPr>
    </w:p>
    <w:p>
      <w:pPr>
        <w:jc w:val="both"/>
        <w:rPr>
          <w:rFonts w:ascii="Times New Roman" w:hAnsi="Times New Roman" w:cs="Times New Roman"/>
          <w:color w:val="000000" w:themeColor="text1"/>
          <w:shd w:val="clear" w:color="auto" w:fill="FFFFFF"/>
          <w14:textFill>
            <w14:solidFill>
              <w14:schemeClr w14:val="tx1"/>
            </w14:solidFill>
          </w14:textFill>
        </w:rPr>
      </w:pPr>
      <w:r>
        <w:rPr>
          <w:rFonts w:ascii="Times New Roman" w:hAnsi="Times New Roman" w:cs="Times New Roman"/>
          <w:color w:val="000000" w:themeColor="text1"/>
          <w:shd w:val="clear" w:color="auto" w:fill="FFFFFF"/>
          <w14:textFill>
            <w14:solidFill>
              <w14:schemeClr w14:val="tx1"/>
            </w14:solidFill>
          </w14:textFill>
        </w:rPr>
        <w:t>Putting together these talking points in a systems thinking is an effective way of making the UPA program in the Philippines successful. In addition, as emphasized in the earlier section, a need to do a strategic analysis of impact (especially looking not only the strengths but also of weaknesses) of national programs will yield insightful or useful lessons for all those who have a stake on the food and health concern of the country.</w:t>
      </w:r>
    </w:p>
    <w:p>
      <w:pPr>
        <w:jc w:val="both"/>
        <w:rPr>
          <w:rFonts w:ascii="Times New Roman" w:hAnsi="Times New Roman" w:cs="Times New Roman"/>
          <w:color w:val="000000" w:themeColor="text1"/>
          <w:shd w:val="clear" w:color="auto" w:fill="FFFFFF"/>
          <w14:textFill>
            <w14:solidFill>
              <w14:schemeClr w14:val="tx1"/>
            </w14:solidFill>
          </w14:textFill>
        </w:rPr>
      </w:pPr>
    </w:p>
    <w:p>
      <w:pPr>
        <w:jc w:val="both"/>
        <w:rPr>
          <w:rFonts w:ascii="Times New Roman" w:hAnsi="Times New Roman" w:cs="Times New Roman"/>
          <w:color w:val="000000" w:themeColor="text1"/>
          <w:shd w:val="clear" w:color="auto" w:fill="FFFFFF"/>
          <w14:textFill>
            <w14:solidFill>
              <w14:schemeClr w14:val="tx1"/>
            </w14:solidFill>
          </w14:textFill>
        </w:rPr>
      </w:pPr>
    </w:p>
    <w:p>
      <w:pPr>
        <w:jc w:val="both"/>
        <w:rPr>
          <w:rFonts w:ascii="Times New Roman" w:hAnsi="Times New Roman" w:cs="Times New Roman"/>
          <w:color w:val="4D5156"/>
          <w:shd w:val="clear" w:color="auto" w:fill="FFFFFF"/>
        </w:rPr>
      </w:pPr>
      <w:r>
        <w:rPr>
          <w:rFonts w:ascii="Times New Roman" w:hAnsi="Times New Roman" w:cs="Times New Roman"/>
          <w:color w:val="4D5156"/>
          <w:shd w:val="clear" w:color="auto" w:fill="FFFFFF"/>
        </w:rPr>
        <w:t>COMPETING INTERESTS DISCLAIMER:</w:t>
      </w:r>
    </w:p>
    <w:p>
      <w:pPr>
        <w:jc w:val="both"/>
        <w:rPr>
          <w:rFonts w:ascii="Times New Roman" w:hAnsi="Times New Roman" w:cs="Times New Roman"/>
          <w:color w:val="4D5156"/>
          <w:shd w:val="clear" w:color="auto" w:fill="FFFFFF"/>
        </w:rPr>
      </w:pPr>
      <w:r>
        <w:rPr>
          <w:rFonts w:ascii="Times New Roman" w:hAnsi="Times New Roman" w:cs="Times New Roman"/>
          <w:color w:val="4D5156"/>
          <w:shd w:val="clear" w:color="auto" w:fill="FFFFFF"/>
        </w:rPr>
        <w:t>Authors have declared that they have no known competing financial interests OR non-financial interests OR personal relationships that could have appeared to influence the work reported in this paper.</w:t>
      </w:r>
    </w:p>
    <w:p>
      <w:pPr>
        <w:jc w:val="both"/>
        <w:rPr>
          <w:rFonts w:ascii="Times New Roman" w:hAnsi="Times New Roman" w:cs="Times New Roman"/>
          <w:color w:val="4D5156"/>
          <w:shd w:val="clear" w:color="auto" w:fill="FFFFFF"/>
        </w:rPr>
      </w:pPr>
    </w:p>
    <w:p>
      <w:pPr>
        <w:rPr>
          <w:rFonts w:ascii="Times New Roman" w:hAnsi="Times New Roman" w:eastAsia="Calibri" w:cs="Times New Roman"/>
          <w:sz w:val="22"/>
          <w:szCs w:val="22"/>
          <w:highlight w:val="none"/>
          <w:lang w:val="en-US"/>
          <w14:ligatures w14:val="none"/>
        </w:rPr>
      </w:pPr>
      <w:bookmarkStart w:id="0" w:name="_Hlk198031404"/>
      <w:bookmarkStart w:id="1" w:name="_Hlk219125673"/>
      <w:r>
        <w:rPr>
          <w:rFonts w:ascii="Times New Roman" w:hAnsi="Times New Roman" w:eastAsia="Calibri" w:cs="Times New Roman"/>
          <w:sz w:val="22"/>
          <w:szCs w:val="22"/>
          <w:highlight w:val="none"/>
          <w:lang w:val="en-US"/>
          <w14:ligatures w14:val="none"/>
        </w:rPr>
        <w:t>Disclaimer (Artificial intelligence)</w:t>
      </w:r>
    </w:p>
    <w:p>
      <w:pPr>
        <w:rPr>
          <w:rFonts w:ascii="Times New Roman" w:hAnsi="Times New Roman" w:eastAsia="Calibri" w:cs="Times New Roman"/>
          <w:sz w:val="22"/>
          <w:szCs w:val="22"/>
          <w:highlight w:val="none"/>
          <w:lang w:val="en-US"/>
          <w14:ligatures w14:val="none"/>
        </w:rPr>
      </w:pPr>
    </w:p>
    <w:p>
      <w:pPr>
        <w:rPr>
          <w:rFonts w:ascii="Times New Roman" w:hAnsi="Times New Roman" w:eastAsia="Calibri" w:cs="Times New Roman"/>
          <w:sz w:val="22"/>
          <w:szCs w:val="22"/>
          <w:highlight w:val="none"/>
          <w:lang w:val="en-US"/>
          <w14:ligatures w14:val="none"/>
        </w:rPr>
      </w:pPr>
      <w:r>
        <w:rPr>
          <w:rFonts w:ascii="Times New Roman" w:hAnsi="Times New Roman" w:eastAsia="Calibri" w:cs="Times New Roman"/>
          <w:sz w:val="22"/>
          <w:szCs w:val="22"/>
          <w:highlight w:val="none"/>
          <w:lang w:val="en-US"/>
          <w14:ligatures w14:val="none"/>
        </w:rPr>
        <w:t xml:space="preserve">Author(s) hereby declare that NO generative AI technologies such as Large Language Models (ChatGPT, COPILOT, etc.) and text-to-image generators have been used during the writing or editing of this manuscript. </w:t>
      </w:r>
    </w:p>
    <w:bookmarkEnd w:id="0"/>
    <w:p>
      <w:pPr>
        <w:spacing w:after="200" w:line="276" w:lineRule="auto"/>
        <w:rPr>
          <w:rFonts w:ascii="Calibri" w:hAnsi="Calibri" w:eastAsia="Calibri" w:cs="Times New Roman"/>
          <w:kern w:val="0"/>
          <w:sz w:val="28"/>
          <w:szCs w:val="22"/>
          <w:lang w:val="en-US"/>
          <w14:ligatures w14:val="none"/>
        </w:rPr>
      </w:pPr>
    </w:p>
    <w:bookmarkEnd w:id="1"/>
    <w:p>
      <w:pPr>
        <w:jc w:val="both"/>
        <w:rPr>
          <w:rFonts w:ascii="Times New Roman" w:hAnsi="Times New Roman" w:cs="Times New Roman"/>
          <w:color w:val="4D5156"/>
          <w:shd w:val="clear" w:color="auto" w:fill="FFFFFF"/>
          <w:lang w:val="en-US"/>
        </w:rPr>
      </w:pPr>
    </w:p>
    <w:p>
      <w:pPr>
        <w:jc w:val="both"/>
        <w:rPr>
          <w:rFonts w:cstheme="minorHAnsi"/>
          <w:b/>
          <w:bCs/>
          <w:color w:val="000000" w:themeColor="text1"/>
          <w:sz w:val="22"/>
          <w:szCs w:val="22"/>
          <w:shd w:val="clear" w:color="auto" w:fill="FFFFFF"/>
          <w14:textFill>
            <w14:solidFill>
              <w14:schemeClr w14:val="tx1"/>
            </w14:solidFill>
          </w14:textFill>
        </w:rPr>
      </w:pPr>
    </w:p>
    <w:p>
      <w:pPr>
        <w:jc w:val="both"/>
        <w:rPr>
          <w:rFonts w:cstheme="minorHAnsi"/>
          <w:b/>
          <w:bCs/>
          <w:color w:val="000000" w:themeColor="text1"/>
          <w:sz w:val="22"/>
          <w:szCs w:val="22"/>
          <w:shd w:val="clear" w:color="auto" w:fill="FFFFFF"/>
          <w14:textFill>
            <w14:solidFill>
              <w14:schemeClr w14:val="tx1"/>
            </w14:solidFill>
          </w14:textFill>
        </w:rPr>
      </w:pPr>
    </w:p>
    <w:p>
      <w:pPr>
        <w:jc w:val="both"/>
        <w:rPr>
          <w:rFonts w:cstheme="minorHAnsi"/>
          <w:b/>
          <w:bCs/>
          <w:color w:val="000000" w:themeColor="text1"/>
          <w:sz w:val="22"/>
          <w:szCs w:val="22"/>
          <w:shd w:val="clear" w:color="auto" w:fill="FFFFFF"/>
          <w14:textFill>
            <w14:solidFill>
              <w14:schemeClr w14:val="tx1"/>
            </w14:solidFill>
          </w14:textFill>
        </w:rPr>
      </w:pPr>
    </w:p>
    <w:p>
      <w:pPr>
        <w:jc w:val="both"/>
        <w:rPr>
          <w:rFonts w:cstheme="minorHAnsi"/>
          <w:b/>
          <w:bCs/>
          <w:color w:val="000000" w:themeColor="text1"/>
          <w:sz w:val="22"/>
          <w:szCs w:val="22"/>
          <w:shd w:val="clear" w:color="auto" w:fill="FFFFFF"/>
          <w14:textFill>
            <w14:solidFill>
              <w14:schemeClr w14:val="tx1"/>
            </w14:solidFill>
          </w14:textFill>
        </w:rPr>
      </w:pPr>
    </w:p>
    <w:p>
      <w:pPr>
        <w:jc w:val="both"/>
        <w:rPr>
          <w:rFonts w:cstheme="minorHAnsi"/>
          <w:b/>
          <w:bCs/>
          <w:color w:val="000000" w:themeColor="text1"/>
          <w:sz w:val="22"/>
          <w:szCs w:val="22"/>
          <w:shd w:val="clear" w:color="auto" w:fill="FFFFFF"/>
          <w14:textFill>
            <w14:solidFill>
              <w14:schemeClr w14:val="tx1"/>
            </w14:solidFill>
          </w14:textFill>
        </w:rPr>
      </w:pPr>
    </w:p>
    <w:p>
      <w:pPr>
        <w:jc w:val="both"/>
        <w:rPr>
          <w:rFonts w:cstheme="minorHAnsi"/>
          <w:b/>
          <w:bCs/>
          <w:color w:val="000000" w:themeColor="text1"/>
          <w:sz w:val="22"/>
          <w:szCs w:val="22"/>
          <w:shd w:val="clear" w:color="auto" w:fill="FFFFFF"/>
          <w14:textFill>
            <w14:solidFill>
              <w14:schemeClr w14:val="tx1"/>
            </w14:solidFill>
          </w14:textFill>
        </w:rPr>
      </w:pPr>
    </w:p>
    <w:p>
      <w:pPr>
        <w:jc w:val="both"/>
        <w:rPr>
          <w:rFonts w:cstheme="minorHAnsi"/>
          <w:b/>
          <w:bCs/>
          <w:color w:val="000000" w:themeColor="text1"/>
          <w:sz w:val="22"/>
          <w:szCs w:val="22"/>
          <w:shd w:val="clear" w:color="auto" w:fill="FFFFFF"/>
          <w14:textFill>
            <w14:solidFill>
              <w14:schemeClr w14:val="tx1"/>
            </w14:solidFill>
          </w14:textFill>
        </w:rPr>
      </w:pPr>
    </w:p>
    <w:p>
      <w:pPr>
        <w:jc w:val="center"/>
        <w:rPr>
          <w:rFonts w:ascii="Times New Roman" w:hAnsi="Times New Roman" w:cs="Times New Roman"/>
          <w:b/>
          <w:bCs/>
          <w:color w:val="000000" w:themeColor="text1"/>
          <w:shd w:val="clear" w:color="auto" w:fill="FFFFFF"/>
          <w14:textFill>
            <w14:solidFill>
              <w14:schemeClr w14:val="tx1"/>
            </w14:solidFill>
          </w14:textFill>
        </w:rPr>
      </w:pPr>
      <w:r>
        <w:rPr>
          <w:rFonts w:ascii="Times New Roman" w:hAnsi="Times New Roman" w:cs="Times New Roman"/>
          <w:b/>
          <w:bCs/>
          <w:color w:val="000000" w:themeColor="text1"/>
          <w:shd w:val="clear" w:color="auto" w:fill="FFFFFF"/>
          <w14:textFill>
            <w14:solidFill>
              <w14:schemeClr w14:val="tx1"/>
            </w14:solidFill>
          </w14:textFill>
        </w:rPr>
        <w:t>REFERENCES</w:t>
      </w:r>
    </w:p>
    <w:p>
      <w:pPr>
        <w:jc w:val="both"/>
        <w:rPr>
          <w:rFonts w:ascii="Times New Roman" w:hAnsi="Times New Roman" w:cs="Times New Roman"/>
          <w:lang w:val="en-US"/>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kern w:val="0"/>
          <w:lang w:val="en-US"/>
        </w:rPr>
      </w:pPr>
      <w:r>
        <w:rPr>
          <w:rFonts w:ascii="Times New Roman" w:hAnsi="Times New Roman" w:cs="Times New Roman"/>
          <w:color w:val="000000"/>
          <w:kern w:val="0"/>
          <w:lang w:val="en-US"/>
        </w:rPr>
        <w:t>Bravo M. 2017. Urbanization in the Philippines and Its Influence on Agriculture. UP-School of Urban and Regional Planning. Socioeconomic Research Portal for the Philippines. SURP-Book Chapter-2017-01</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kern w:val="0"/>
          <w:lang w:val="en-US"/>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kern w:val="0"/>
          <w:lang w:val="en-US"/>
        </w:rPr>
      </w:pPr>
      <w:r>
        <w:rPr>
          <w:rFonts w:ascii="Times New Roman" w:hAnsi="Times New Roman" w:cs="Times New Roman"/>
          <w:color w:val="000000"/>
          <w:kern w:val="0"/>
          <w:lang w:val="en-US"/>
        </w:rPr>
        <w:t xml:space="preserve">Charles-Rodriguez U, Aborawi A, Khatiwada K, Shahi A, Koso S, Prociw S and Larouche  R. 2023. Hands-on-ground in a new country: a community-based participatory evaluation with immigrant communities in Southern Alberta. Global Health Promotion 30 (4), 25–34. </w:t>
      </w:r>
      <w:r>
        <w:rPr>
          <w:rFonts w:ascii="Times New Roman" w:hAnsi="Times New Roman" w:cs="Times New Roman"/>
          <w:color w:val="000000" w:themeColor="text1"/>
          <w:kern w:val="0"/>
          <w:lang w:val="en-US"/>
          <w14:textFill>
            <w14:solidFill>
              <w14:schemeClr w14:val="tx1"/>
            </w14:solidFill>
          </w14:textFill>
        </w:rPr>
        <w:t>https://doi.org/10.1177/17579759231176293</w:t>
      </w:r>
    </w:p>
    <w:p>
      <w:pPr>
        <w:jc w:val="both"/>
        <w:rPr>
          <w:rFonts w:ascii="Times New Roman" w:hAnsi="Times New Roman" w:cs="Times New Roman"/>
          <w:color w:val="000000" w:themeColor="text1"/>
          <w:lang w:val="en-US"/>
          <w14:textFill>
            <w14:solidFill>
              <w14:schemeClr w14:val="tx1"/>
            </w14:solidFill>
          </w14:textFill>
        </w:rPr>
      </w:pPr>
    </w:p>
    <w:p>
      <w:pPr>
        <w:jc w:val="both"/>
        <w:rPr>
          <w:rFonts w:ascii="Times New Roman" w:hAnsi="Times New Roman" w:cs="Times New Roman"/>
          <w:color w:val="000000" w:themeColor="text1"/>
          <w:lang w:val="en-US"/>
          <w14:textFill>
            <w14:solidFill>
              <w14:schemeClr w14:val="tx1"/>
            </w14:solidFill>
          </w14:textFill>
        </w:rPr>
      </w:pPr>
      <w:r>
        <w:rPr>
          <w:rFonts w:ascii="Times New Roman" w:hAnsi="Times New Roman" w:cs="Times New Roman"/>
          <w:color w:val="000000" w:themeColor="text1"/>
          <w:lang w:val="en-US"/>
          <w14:textFill>
            <w14:solidFill>
              <w14:schemeClr w14:val="tx1"/>
            </w14:solidFill>
          </w14:textFill>
        </w:rPr>
        <w:t xml:space="preserve">Crowther G. (2013) </w:t>
      </w:r>
      <w:r>
        <w:rPr>
          <w:rStyle w:val="53"/>
          <w:rFonts w:ascii="Times New Roman" w:hAnsi="Times New Roman" w:cs="Times New Roman"/>
          <w:color w:val="000000" w:themeColor="text1"/>
          <w14:textFill>
            <w14:solidFill>
              <w14:schemeClr w14:val="tx1"/>
            </w14:solidFill>
          </w14:textFill>
        </w:rPr>
        <w:t>Eating Culture: An Anthropological Guide to Food</w:t>
      </w:r>
      <w:r>
        <w:rPr>
          <w:rStyle w:val="17"/>
          <w:rFonts w:ascii="Times New Roman" w:hAnsi="Times New Roman" w:cs="Times New Roman"/>
          <w:color w:val="000000" w:themeColor="text1"/>
          <w14:textFill>
            <w14:solidFill>
              <w14:schemeClr w14:val="tx1"/>
            </w14:solidFill>
          </w14:textFill>
        </w:rPr>
        <w:t> </w:t>
      </w:r>
      <w:r>
        <w:rPr>
          <w:rStyle w:val="54"/>
          <w:rFonts w:ascii="Times New Roman" w:hAnsi="Times New Roman" w:cs="Times New Roman"/>
          <w:color w:val="000000" w:themeColor="text1"/>
          <w14:textFill>
            <w14:solidFill>
              <w14:schemeClr w14:val="tx1"/>
            </w14:solidFill>
          </w14:textFill>
        </w:rPr>
        <w:t>1</w:t>
      </w:r>
      <w:r>
        <w:rPr>
          <w:rStyle w:val="54"/>
          <w:rFonts w:ascii="Times New Roman" w:hAnsi="Times New Roman" w:cs="Times New Roman"/>
          <w:color w:val="000000" w:themeColor="text1"/>
          <w:vertAlign w:val="superscript"/>
          <w14:textFill>
            <w14:solidFill>
              <w14:schemeClr w14:val="tx1"/>
            </w14:solidFill>
          </w14:textFill>
        </w:rPr>
        <w:t>st</w:t>
      </w:r>
      <w:r>
        <w:rPr>
          <w:rStyle w:val="54"/>
          <w:rFonts w:ascii="Times New Roman" w:hAnsi="Times New Roman" w:cs="Times New Roman"/>
          <w:color w:val="000000" w:themeColor="text1"/>
          <w14:textFill>
            <w14:solidFill>
              <w14:schemeClr w14:val="tx1"/>
            </w14:solidFill>
          </w14:textFill>
        </w:rPr>
        <w:t xml:space="preserve">  Edition. </w:t>
      </w:r>
      <w:r>
        <w:rPr>
          <w:rStyle w:val="17"/>
          <w:rFonts w:ascii="Times New Roman" w:hAnsi="Times New Roman" w:cs="Times New Roman"/>
          <w:color w:val="000000" w:themeColor="text1"/>
          <w14:textFill>
            <w14:solidFill>
              <w14:schemeClr w14:val="tx1"/>
            </w14:solidFill>
          </w14:textFill>
        </w:rPr>
        <w:t> </w:t>
      </w:r>
      <w:r>
        <w:rPr>
          <w:rFonts w:ascii="Times New Roman" w:hAnsi="Times New Roman" w:cs="Times New Roman"/>
          <w:color w:val="000000" w:themeColor="text1"/>
          <w:shd w:val="clear" w:color="auto" w:fill="FFFFFF"/>
          <w14:textFill>
            <w14:solidFill>
              <w14:schemeClr w14:val="tx1"/>
            </w14:solidFill>
          </w14:textFill>
        </w:rPr>
        <w:t>North York, Ontario, Canada : University of Toronto Press.</w:t>
      </w:r>
      <w:r>
        <w:rPr>
          <w:rFonts w:ascii="Times New Roman" w:hAnsi="Times New Roman" w:cs="Times New Roman"/>
          <w:color w:val="000000" w:themeColor="text1"/>
          <w:lang w:val="en-US"/>
          <w14:textFill>
            <w14:solidFill>
              <w14:schemeClr w14:val="tx1"/>
            </w14:solidFill>
          </w14:textFill>
        </w:rPr>
        <w:t xml:space="preserve"> p. 30-31</w:t>
      </w:r>
    </w:p>
    <w:p>
      <w:pPr>
        <w:jc w:val="both"/>
        <w:rPr>
          <w:rFonts w:ascii="Times New Roman" w:hAnsi="Times New Roman" w:cs="Times New Roman"/>
          <w:color w:val="000000" w:themeColor="text1"/>
          <w:lang w:val="en-US"/>
          <w14:textFill>
            <w14:solidFill>
              <w14:schemeClr w14:val="tx1"/>
            </w14:solidFill>
          </w14:textFill>
        </w:rPr>
      </w:pPr>
    </w:p>
    <w:p>
      <w:pPr>
        <w:jc w:val="both"/>
        <w:rPr>
          <w:rStyle w:val="15"/>
          <w:rFonts w:ascii="Times New Roman" w:hAnsi="Times New Roman" w:cs="Times New Roman"/>
          <w:b w:val="0"/>
          <w:bCs w:val="0"/>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Dahlberg K. (1989). Regenerative Food Systems: Broadening the Scope and Agenda of Sustainability. In C. Gladwin and K. Truman (eds). Food and Farm: Current Debates and Policies. p. 97</w:t>
      </w:r>
    </w:p>
    <w:p>
      <w:pPr>
        <w:jc w:val="both"/>
        <w:rPr>
          <w:rStyle w:val="43"/>
          <w:rFonts w:ascii="Times New Roman" w:hAnsi="Times New Roman" w:cs="Times New Roman"/>
          <w:color w:val="000000" w:themeColor="text1"/>
          <w14:textFill>
            <w14:solidFill>
              <w14:schemeClr w14:val="tx1"/>
            </w14:solidFill>
          </w14:textFill>
        </w:rPr>
      </w:pPr>
    </w:p>
    <w:p>
      <w:pPr>
        <w:jc w:val="both"/>
        <w:rPr>
          <w:rFonts w:ascii="Times New Roman" w:hAnsi="Times New Roman" w:cs="Times New Roman"/>
          <w:color w:val="000000" w:themeColor="text1"/>
          <w:lang w:val="en-US"/>
          <w14:textFill>
            <w14:solidFill>
              <w14:schemeClr w14:val="tx1"/>
            </w14:solidFill>
          </w14:textFill>
        </w:rPr>
      </w:pPr>
      <w:r>
        <w:rPr>
          <w:rStyle w:val="43"/>
          <w:rFonts w:ascii="Times New Roman" w:hAnsi="Times New Roman" w:cs="Times New Roman"/>
          <w:color w:val="000000" w:themeColor="text1"/>
          <w14:textFill>
            <w14:solidFill>
              <w14:schemeClr w14:val="tx1"/>
            </w14:solidFill>
          </w14:textFill>
        </w:rPr>
        <w:t>Davies</w:t>
      </w:r>
      <w:r>
        <w:rPr>
          <w:rStyle w:val="17"/>
          <w:rFonts w:ascii="Times New Roman" w:hAnsi="Times New Roman" w:cs="Times New Roman"/>
          <w:color w:val="000000" w:themeColor="text1"/>
          <w14:textFill>
            <w14:solidFill>
              <w14:schemeClr w14:val="tx1"/>
            </w14:solidFill>
          </w14:textFill>
        </w:rPr>
        <w:t xml:space="preserve"> AD, </w:t>
      </w:r>
      <w:r>
        <w:rPr>
          <w:rStyle w:val="43"/>
          <w:rFonts w:ascii="Times New Roman" w:hAnsi="Times New Roman" w:cs="Times New Roman"/>
          <w:color w:val="000000" w:themeColor="text1"/>
          <w14:textFill>
            <w14:solidFill>
              <w14:schemeClr w14:val="tx1"/>
            </w14:solidFill>
          </w14:textFill>
        </w:rPr>
        <w:t>Rut M</w:t>
      </w:r>
      <w:r>
        <w:rPr>
          <w:rStyle w:val="17"/>
          <w:rFonts w:ascii="Times New Roman" w:hAnsi="Times New Roman" w:cs="Times New Roman"/>
          <w:color w:val="000000" w:themeColor="text1"/>
          <w14:textFill>
            <w14:solidFill>
              <w14:schemeClr w14:val="tx1"/>
            </w14:solidFill>
          </w14:textFill>
        </w:rPr>
        <w:t> </w:t>
      </w:r>
      <w:r>
        <w:rPr>
          <w:rStyle w:val="44"/>
          <w:rFonts w:ascii="Times New Roman" w:hAnsi="Times New Roman" w:cs="Times New Roman"/>
          <w:color w:val="000000" w:themeColor="text1"/>
          <w14:textFill>
            <w14:solidFill>
              <w14:schemeClr w14:val="tx1"/>
            </w14:solidFill>
          </w14:textFill>
        </w:rPr>
        <w:t xml:space="preserve">and </w:t>
      </w:r>
      <w:r>
        <w:rPr>
          <w:rStyle w:val="43"/>
          <w:rFonts w:ascii="Times New Roman" w:hAnsi="Times New Roman" w:cs="Times New Roman"/>
          <w:color w:val="000000" w:themeColor="text1"/>
          <w14:textFill>
            <w14:solidFill>
              <w14:schemeClr w14:val="tx1"/>
            </w14:solidFill>
          </w14:textFill>
        </w:rPr>
        <w:t>Feeney JK.</w:t>
      </w:r>
      <w:r>
        <w:rPr>
          <w:rStyle w:val="17"/>
          <w:rFonts w:ascii="Times New Roman" w:hAnsi="Times New Roman" w:cs="Times New Roman"/>
          <w:color w:val="000000" w:themeColor="text1"/>
          <w:shd w:val="clear" w:color="auto" w:fill="FFFFFF"/>
          <w14:textFill>
            <w14:solidFill>
              <w14:schemeClr w14:val="tx1"/>
            </w14:solidFill>
          </w14:textFill>
        </w:rPr>
        <w:t> </w:t>
      </w:r>
      <w:r>
        <w:rPr>
          <w:rStyle w:val="45"/>
          <w:rFonts w:ascii="Times New Roman" w:hAnsi="Times New Roman" w:cs="Times New Roman"/>
          <w:color w:val="000000" w:themeColor="text1"/>
          <w14:textFill>
            <w14:solidFill>
              <w14:schemeClr w14:val="tx1"/>
            </w14:solidFill>
          </w14:textFill>
        </w:rPr>
        <w:t>(2022)</w:t>
      </w:r>
      <w:r>
        <w:rPr>
          <w:rStyle w:val="17"/>
          <w:rFonts w:ascii="Times New Roman" w:hAnsi="Times New Roman" w:cs="Times New Roman"/>
          <w:color w:val="000000" w:themeColor="text1"/>
          <w:shd w:val="clear" w:color="auto" w:fill="FFFFFF"/>
          <w14:textFill>
            <w14:solidFill>
              <w14:schemeClr w14:val="tx1"/>
            </w14:solidFill>
          </w14:textFill>
        </w:rPr>
        <w:t> </w:t>
      </w:r>
      <w:r>
        <w:rPr>
          <w:rStyle w:val="46"/>
          <w:rFonts w:ascii="Times New Roman" w:hAnsi="Times New Roman" w:cs="Times New Roman"/>
          <w:color w:val="000000" w:themeColor="text1"/>
          <w14:textFill>
            <w14:solidFill>
              <w14:schemeClr w14:val="tx1"/>
            </w14:solidFill>
          </w14:textFill>
        </w:rPr>
        <w:t>Seeds of change? Social practices of urban community seed sharing initiatives for just transitions to sustainability,</w:t>
      </w:r>
      <w:r>
        <w:rPr>
          <w:rStyle w:val="17"/>
          <w:rFonts w:ascii="Times New Roman" w:hAnsi="Times New Roman" w:cs="Times New Roman"/>
          <w:color w:val="000000" w:themeColor="text1"/>
          <w:shd w:val="clear" w:color="auto" w:fill="FFFFFF"/>
          <w14:textFill>
            <w14:solidFill>
              <w14:schemeClr w14:val="tx1"/>
            </w14:solidFill>
          </w14:textFill>
        </w:rPr>
        <w:t> </w:t>
      </w:r>
      <w:r>
        <w:rPr>
          <w:rStyle w:val="47"/>
          <w:rFonts w:ascii="Times New Roman" w:hAnsi="Times New Roman" w:cs="Times New Roman"/>
          <w:color w:val="000000" w:themeColor="text1"/>
          <w14:textFill>
            <w14:solidFill>
              <w14:schemeClr w14:val="tx1"/>
            </w14:solidFill>
          </w14:textFill>
        </w:rPr>
        <w:t xml:space="preserve">Local Environment, </w:t>
      </w:r>
      <w:r>
        <w:rPr>
          <w:rStyle w:val="48"/>
          <w:rFonts w:ascii="Times New Roman" w:hAnsi="Times New Roman" w:cs="Times New Roman"/>
          <w:color w:val="000000" w:themeColor="text1"/>
          <w14:textFill>
            <w14:solidFill>
              <w14:schemeClr w14:val="tx1"/>
            </w14:solidFill>
          </w14:textFill>
        </w:rPr>
        <w:t>27(6):</w:t>
      </w:r>
      <w:r>
        <w:rPr>
          <w:rStyle w:val="49"/>
          <w:rFonts w:ascii="Times New Roman" w:hAnsi="Times New Roman" w:cs="Times New Roman"/>
          <w:color w:val="000000" w:themeColor="text1"/>
          <w14:textFill>
            <w14:solidFill>
              <w14:schemeClr w14:val="tx1"/>
            </w14:solidFill>
          </w14:textFill>
        </w:rPr>
        <w:t>784-799,</w:t>
      </w:r>
      <w:r>
        <w:rPr>
          <w:rStyle w:val="17"/>
          <w:rFonts w:ascii="Times New Roman" w:hAnsi="Times New Roman" w:cs="Times New Roman"/>
          <w:color w:val="000000" w:themeColor="text1"/>
          <w:shd w:val="clear" w:color="auto" w:fill="FFFFFF"/>
          <w14:textFill>
            <w14:solidFill>
              <w14:schemeClr w14:val="tx1"/>
            </w14:solidFill>
          </w14:textFill>
        </w:rPr>
        <w:t> </w:t>
      </w:r>
      <w:r>
        <w:rPr>
          <w:rStyle w:val="50"/>
          <w:rFonts w:ascii="Times New Roman" w:hAnsi="Times New Roman" w:cs="Times New Roman"/>
          <w:color w:val="000000" w:themeColor="text1"/>
          <w14:textFill>
            <w14:solidFill>
              <w14:schemeClr w14:val="tx1"/>
            </w14:solidFill>
          </w14:textFill>
        </w:rPr>
        <w:t>DOI:</w:t>
      </w:r>
      <w:r>
        <w:fldChar w:fldCharType="begin"/>
      </w:r>
      <w:r>
        <w:instrText xml:space="preserve"> HYPERLINK "https://doi.org/10.1080/13549839.2022.2077714" </w:instrText>
      </w:r>
      <w:r>
        <w:fldChar w:fldCharType="separate"/>
      </w:r>
      <w:r>
        <w:rPr>
          <w:rStyle w:val="13"/>
          <w:rFonts w:ascii="Times New Roman" w:hAnsi="Times New Roman" w:cs="Times New Roman"/>
          <w:color w:val="000000" w:themeColor="text1"/>
          <w:u w:val="none"/>
          <w14:textFill>
            <w14:solidFill>
              <w14:schemeClr w14:val="tx1"/>
            </w14:solidFill>
          </w14:textFill>
        </w:rPr>
        <w:t>10.1080/13549839.2022.2077714</w:t>
      </w:r>
      <w:r>
        <w:rPr>
          <w:rStyle w:val="13"/>
          <w:rFonts w:ascii="Times New Roman" w:hAnsi="Times New Roman" w:cs="Times New Roman"/>
          <w:color w:val="000000" w:themeColor="text1"/>
          <w:u w:val="none"/>
          <w14:textFill>
            <w14:solidFill>
              <w14:schemeClr w14:val="tx1"/>
            </w14:solidFill>
          </w14:textFill>
        </w:rPr>
        <w:fldChar w:fldCharType="end"/>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Style w:val="15"/>
          <w:rFonts w:ascii="Times New Roman" w:hAnsi="Times New Roman" w:cs="Times New Roman"/>
          <w:b w:val="0"/>
          <w:bCs w:val="0"/>
          <w:i/>
          <w:color w:val="000000" w:themeColor="text1"/>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 xml:space="preserve">Dwivedi S, Goldman I and Ortiz R. (2019). Pursuing the Potential of Heirloom Cultivars to Improve Adaptation, Nutritional, and Culinary Features of Food Crops. </w:t>
      </w:r>
      <w:r>
        <w:rPr>
          <w:rStyle w:val="9"/>
          <w:rFonts w:ascii="Times New Roman" w:hAnsi="Times New Roman" w:cs="Times New Roman"/>
          <w:i w:val="0"/>
          <w:iCs w:val="0"/>
          <w:color w:val="000000" w:themeColor="text1"/>
          <w14:textFill>
            <w14:solidFill>
              <w14:schemeClr w14:val="tx1"/>
            </w14:solidFill>
          </w14:textFill>
        </w:rPr>
        <w:t>Agronomy</w:t>
      </w:r>
      <w:r>
        <w:rPr>
          <w:rStyle w:val="17"/>
          <w:rFonts w:ascii="Times New Roman" w:hAnsi="Times New Roman" w:cs="Times New Roman"/>
          <w:i/>
          <w:color w:val="000000" w:themeColor="text1"/>
          <w:shd w:val="clear" w:color="auto" w:fill="FFFFFF"/>
          <w14:textFill>
            <w14:solidFill>
              <w14:schemeClr w14:val="tx1"/>
            </w14:solidFill>
          </w14:textFill>
        </w:rPr>
        <w:t> </w:t>
      </w:r>
      <w:r>
        <w:rPr>
          <w:rStyle w:val="9"/>
          <w:rFonts w:ascii="Times New Roman" w:hAnsi="Times New Roman" w:cs="Times New Roman"/>
          <w:i w:val="0"/>
          <w:iCs w:val="0"/>
          <w:color w:val="000000" w:themeColor="text1"/>
          <w14:textFill>
            <w14:solidFill>
              <w14:schemeClr w14:val="tx1"/>
            </w14:solidFill>
          </w14:textFill>
        </w:rPr>
        <w:t>9</w:t>
      </w:r>
      <w:r>
        <w:rPr>
          <w:rFonts w:ascii="Times New Roman" w:hAnsi="Times New Roman" w:cs="Times New Roman"/>
          <w:iCs/>
          <w:color w:val="000000" w:themeColor="text1"/>
          <w:shd w:val="clear" w:color="auto" w:fill="FFFFFF"/>
          <w14:textFill>
            <w14:solidFill>
              <w14:schemeClr w14:val="tx1"/>
            </w14:solidFill>
          </w14:textFill>
        </w:rPr>
        <w:t>(8): 441;</w:t>
      </w:r>
      <w:r>
        <w:rPr>
          <w:rStyle w:val="17"/>
          <w:rFonts w:ascii="Times New Roman" w:hAnsi="Times New Roman" w:cs="Times New Roman"/>
          <w:i/>
          <w:color w:val="000000" w:themeColor="text1"/>
          <w:shd w:val="clear" w:color="auto" w:fill="FFFFFF"/>
          <w14:textFill>
            <w14:solidFill>
              <w14:schemeClr w14:val="tx1"/>
            </w14:solidFill>
          </w14:textFill>
        </w:rPr>
        <w:t> </w:t>
      </w:r>
      <w:r>
        <w:rPr>
          <w:rStyle w:val="15"/>
          <w:rFonts w:ascii="Times New Roman" w:hAnsi="Times New Roman" w:cs="Times New Roman"/>
          <w:b w:val="0"/>
          <w:bCs w:val="0"/>
          <w:iCs/>
          <w:color w:val="000000" w:themeColor="text1"/>
          <w14:textFill>
            <w14:solidFill>
              <w14:schemeClr w14:val="tx1"/>
            </w14:solidFill>
          </w14:textFill>
        </w:rPr>
        <w:t>https://doi.org/10.3390/agronomy9080441</w:t>
      </w:r>
    </w:p>
    <w:p>
      <w:pPr>
        <w:jc w:val="both"/>
        <w:rPr>
          <w:rFonts w:ascii="Times New Roman" w:hAnsi="Times New Roman" w:cs="Times New Roman"/>
          <w:color w:val="000000" w:themeColor="text1"/>
          <w:lang w:val="en-US"/>
          <w14:textFill>
            <w14:solidFill>
              <w14:schemeClr w14:val="tx1"/>
            </w14:solidFill>
          </w14:textFill>
        </w:rPr>
      </w:pPr>
      <w:r>
        <w:rPr>
          <w:rStyle w:val="15"/>
          <w:rFonts w:ascii="Times New Roman" w:hAnsi="Times New Roman" w:cs="Times New Roman"/>
          <w:b w:val="0"/>
          <w:bCs w:val="0"/>
          <w:color w:val="000000" w:themeColor="text1"/>
          <w14:textFill>
            <w14:solidFill>
              <w14:schemeClr w14:val="tx1"/>
            </w14:solidFill>
          </w14:textFill>
        </w:rPr>
        <w:t xml:space="preserve"> </w:t>
      </w:r>
    </w:p>
    <w:p>
      <w:pPr>
        <w:jc w:val="both"/>
        <w:rPr>
          <w:rFonts w:ascii="Times New Roman" w:hAnsi="Times New Roman" w:cs="Times New Roman"/>
          <w:color w:val="000000" w:themeColor="text1"/>
          <w:lang w:val="en-US"/>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Feola G, Suzunga J, Soler J and Wilson A.  (2020). </w:t>
      </w:r>
      <w:r>
        <w:rPr>
          <w:rFonts w:ascii="Times New Roman" w:hAnsi="Times New Roman" w:cs="Times New Roman"/>
          <w:color w:val="000000" w:themeColor="text1"/>
          <w:lang w:val="en-US"/>
          <w14:textFill>
            <w14:solidFill>
              <w14:schemeClr w14:val="tx1"/>
            </w14:solidFill>
          </w14:textFill>
        </w:rPr>
        <w:t>“Peri-urban Agriculture as Quiet Sustainability: Challenging the Urban Development Discourse in Sogamoso, Columbia” Journal of Rural Studies 80:1-12</w:t>
      </w:r>
    </w:p>
    <w:p>
      <w:pPr>
        <w:jc w:val="both"/>
        <w:rPr>
          <w:rFonts w:ascii="Times New Roman" w:hAnsi="Times New Roman" w:cs="Times New Roman"/>
          <w:color w:val="000000" w:themeColor="text1"/>
          <w:lang w:val="en-US"/>
          <w14:textFill>
            <w14:solidFill>
              <w14:schemeClr w14:val="tx1"/>
            </w14:solidFill>
          </w14:textFill>
        </w:rPr>
      </w:pPr>
    </w:p>
    <w:p>
      <w:pPr>
        <w:rPr>
          <w:rFonts w:ascii="Times New Roman" w:hAnsi="Times New Roman" w:cs="Times New Roman"/>
          <w:color w:val="000000" w:themeColor="text1"/>
          <w:lang w:val="en-US"/>
          <w14:textFill>
            <w14:solidFill>
              <w14:schemeClr w14:val="tx1"/>
            </w14:solidFill>
          </w14:textFill>
        </w:rPr>
      </w:pPr>
      <w:r>
        <w:fldChar w:fldCharType="begin"/>
      </w:r>
      <w:r>
        <w:instrText xml:space="preserve"> HYPERLINK "https://www.urbangrowerscollective.org" </w:instrText>
      </w:r>
      <w:r>
        <w:fldChar w:fldCharType="separate"/>
      </w:r>
      <w:r>
        <w:rPr>
          <w:rStyle w:val="13"/>
          <w:rFonts w:ascii="Times New Roman" w:hAnsi="Times New Roman" w:cs="Times New Roman"/>
          <w:color w:val="000000" w:themeColor="text1"/>
          <w:u w:val="none"/>
          <w:lang w:val="en-US"/>
          <w14:textFill>
            <w14:solidFill>
              <w14:schemeClr w14:val="tx1"/>
            </w14:solidFill>
          </w14:textFill>
        </w:rPr>
        <w:t>https://www.urbangrowerscollective.org</w:t>
      </w:r>
      <w:r>
        <w:rPr>
          <w:rStyle w:val="13"/>
          <w:rFonts w:ascii="Times New Roman" w:hAnsi="Times New Roman" w:cs="Times New Roman"/>
          <w:color w:val="000000" w:themeColor="text1"/>
          <w:u w:val="none"/>
          <w:lang w:val="en-US"/>
          <w14:textFill>
            <w14:solidFill>
              <w14:schemeClr w14:val="tx1"/>
            </w14:solidFill>
          </w14:textFill>
        </w:rPr>
        <w:fldChar w:fldCharType="end"/>
      </w:r>
      <w:r>
        <w:rPr>
          <w:rStyle w:val="13"/>
          <w:rFonts w:ascii="Times New Roman" w:hAnsi="Times New Roman" w:cs="Times New Roman"/>
          <w:color w:val="000000" w:themeColor="text1"/>
          <w:u w:val="none"/>
          <w:lang w:val="en-US"/>
          <w14:textFill>
            <w14:solidFill>
              <w14:schemeClr w14:val="tx1"/>
            </w14:solidFill>
          </w14:textFill>
        </w:rPr>
        <w:t>.</w:t>
      </w:r>
      <w:r>
        <w:rPr>
          <w:rFonts w:ascii="Times New Roman" w:hAnsi="Times New Roman" w:cs="Times New Roman"/>
          <w:color w:val="000000" w:themeColor="text1"/>
          <w:lang w:val="en-US"/>
          <w14:textFill>
            <w14:solidFill>
              <w14:schemeClr w14:val="tx1"/>
            </w14:solidFill>
          </w14:textFill>
        </w:rPr>
        <w:t xml:space="preserve"> October 10, 2023</w:t>
      </w:r>
    </w:p>
    <w:p>
      <w:pPr>
        <w:rPr>
          <w:rFonts w:ascii="Times New Roman" w:hAnsi="Times New Roman" w:cs="Times New Roman"/>
          <w:color w:val="000000" w:themeColor="text1"/>
          <w:lang w:val="en-US"/>
          <w14:textFill>
            <w14:solidFill>
              <w14:schemeClr w14:val="tx1"/>
            </w14:solidFill>
          </w14:textFill>
        </w:rPr>
      </w:pPr>
    </w:p>
    <w:p>
      <w:pPr>
        <w:jc w:val="both"/>
        <w:rPr>
          <w:rFonts w:ascii="Times New Roman" w:hAnsi="Times New Roman" w:cs="Times New Roman"/>
          <w:color w:val="000000" w:themeColor="text1"/>
          <w:lang w:val="en-US"/>
          <w14:textFill>
            <w14:solidFill>
              <w14:schemeClr w14:val="tx1"/>
            </w14:solidFill>
          </w14:textFill>
        </w:rPr>
      </w:pPr>
      <w:r>
        <w:fldChar w:fldCharType="begin"/>
      </w:r>
      <w:r>
        <w:instrText xml:space="preserve"> HYPERLINK "https://seedsavers.org" </w:instrText>
      </w:r>
      <w:r>
        <w:fldChar w:fldCharType="separate"/>
      </w:r>
      <w:r>
        <w:rPr>
          <w:rStyle w:val="13"/>
          <w:rFonts w:ascii="Times New Roman" w:hAnsi="Times New Roman" w:cs="Times New Roman"/>
          <w:color w:val="000000" w:themeColor="text1"/>
          <w:u w:val="none"/>
          <w14:textFill>
            <w14:solidFill>
              <w14:schemeClr w14:val="tx1"/>
            </w14:solidFill>
          </w14:textFill>
        </w:rPr>
        <w:t>https://seedsavers.org</w:t>
      </w:r>
      <w:r>
        <w:rPr>
          <w:rStyle w:val="13"/>
          <w:rFonts w:ascii="Times New Roman" w:hAnsi="Times New Roman" w:cs="Times New Roman"/>
          <w:color w:val="000000" w:themeColor="text1"/>
          <w:u w:val="none"/>
          <w14:textFill>
            <w14:solidFill>
              <w14:schemeClr w14:val="tx1"/>
            </w14:solidFill>
          </w14:textFill>
        </w:rPr>
        <w:fldChar w:fldCharType="end"/>
      </w:r>
      <w:r>
        <w:rPr>
          <w:rStyle w:val="15"/>
          <w:rFonts w:ascii="Times New Roman" w:hAnsi="Times New Roman" w:cs="Times New Roman"/>
          <w:b w:val="0"/>
          <w:bCs w:val="0"/>
          <w:color w:val="000000" w:themeColor="text1"/>
          <w14:textFill>
            <w14:solidFill>
              <w14:schemeClr w14:val="tx1"/>
            </w14:solidFill>
          </w14:textFill>
        </w:rPr>
        <w:t>. October 20, 2023</w:t>
      </w:r>
    </w:p>
    <w:p>
      <w:pPr>
        <w:jc w:val="both"/>
        <w:rPr>
          <w:rFonts w:ascii="Times New Roman" w:hAnsi="Times New Roman" w:cs="Times New Roman"/>
          <w:color w:val="000000" w:themeColor="text1"/>
          <w:lang w:val="en-US"/>
          <w14:textFill>
            <w14:solidFill>
              <w14:schemeClr w14:val="tx1"/>
            </w14:solidFill>
          </w14:textFill>
        </w:rPr>
      </w:pPr>
    </w:p>
    <w:p>
      <w:pPr>
        <w:jc w:val="both"/>
        <w:rPr>
          <w:rStyle w:val="40"/>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en-US"/>
          <w14:textFill>
            <w14:solidFill>
              <w14:schemeClr w14:val="tx1"/>
            </w14:solidFill>
          </w14:textFill>
        </w:rPr>
        <w:t xml:space="preserve">Hunter T, Worthy P, Viller S and  Matthews B. (2018). Designing for citizen-centric Smart Cities: Supporting People’s Needs of a Community Garden. </w:t>
      </w:r>
      <w:r>
        <w:fldChar w:fldCharType="begin"/>
      </w:r>
      <w:r>
        <w:instrText xml:space="preserve"> HYPERLINK "https://dl.acm.org/doi/proceedings/10.1145/3292147" \o "OzCHI '18: Proceedings of the 30th Australian Conference on Computer-Human Interaction" </w:instrText>
      </w:r>
      <w:r>
        <w:fldChar w:fldCharType="separate"/>
      </w:r>
      <w:r>
        <w:rPr>
          <w:rStyle w:val="37"/>
          <w:rFonts w:ascii="Times New Roman" w:hAnsi="Times New Roman" w:cs="Times New Roman"/>
          <w:color w:val="000000" w:themeColor="text1"/>
          <w14:textFill>
            <w14:solidFill>
              <w14:schemeClr w14:val="tx1"/>
            </w14:solidFill>
          </w14:textFill>
        </w:rPr>
        <w:t>OzCHI '18: Proceedings of the 30th Australian Conference on Computer-Human Interaction</w:t>
      </w:r>
      <w:r>
        <w:rPr>
          <w:rStyle w:val="37"/>
          <w:rFonts w:ascii="Times New Roman" w:hAnsi="Times New Roman" w:cs="Times New Roman"/>
          <w:color w:val="000000" w:themeColor="text1"/>
          <w14:textFill>
            <w14:solidFill>
              <w14:schemeClr w14:val="tx1"/>
            </w14:solidFill>
          </w14:textFill>
        </w:rPr>
        <w:fldChar w:fldCharType="end"/>
      </w:r>
      <w:r>
        <w:rPr>
          <w:rStyle w:val="37"/>
          <w:rFonts w:ascii="Times New Roman" w:hAnsi="Times New Roman" w:cs="Times New Roman"/>
          <w:color w:val="000000" w:themeColor="text1"/>
          <w14:textFill>
            <w14:solidFill>
              <w14:schemeClr w14:val="tx1"/>
            </w14:solidFill>
          </w14:textFill>
        </w:rPr>
        <w:t xml:space="preserve">. </w:t>
      </w:r>
      <w:r>
        <w:rPr>
          <w:rStyle w:val="39"/>
          <w:rFonts w:ascii="Times New Roman" w:hAnsi="Times New Roman" w:cs="Times New Roman"/>
          <w:color w:val="000000" w:themeColor="text1"/>
          <w14:textFill>
            <w14:solidFill>
              <w14:schemeClr w14:val="tx1"/>
            </w14:solidFill>
          </w14:textFill>
        </w:rPr>
        <w:t>pp</w:t>
      </w:r>
      <w:r>
        <w:rPr>
          <w:rStyle w:val="40"/>
          <w:rFonts w:ascii="Times New Roman" w:hAnsi="Times New Roman" w:cs="Times New Roman"/>
          <w:color w:val="000000" w:themeColor="text1"/>
          <w14:textFill>
            <w14:solidFill>
              <w14:schemeClr w14:val="tx1"/>
            </w14:solidFill>
          </w14:textFill>
        </w:rPr>
        <w:t xml:space="preserve"> 162–166.</w:t>
      </w:r>
    </w:p>
    <w:p>
      <w:pPr>
        <w:jc w:val="both"/>
        <w:rPr>
          <w:rFonts w:ascii="Times New Roman" w:hAnsi="Times New Roman" w:cs="Times New Roman"/>
          <w:color w:val="000000" w:themeColor="text1"/>
          <w14:textFill>
            <w14:solidFill>
              <w14:schemeClr w14:val="tx1"/>
            </w14:solidFill>
          </w14:textFill>
        </w:rPr>
      </w:pPr>
      <w:r>
        <w:fldChar w:fldCharType="begin"/>
      </w:r>
      <w:r>
        <w:instrText xml:space="preserve"> HYPERLINK "https://doi.org/10.1145/3292147.3292217" </w:instrText>
      </w:r>
      <w:r>
        <w:fldChar w:fldCharType="separate"/>
      </w:r>
      <w:r>
        <w:rPr>
          <w:rStyle w:val="13"/>
          <w:rFonts w:ascii="Times New Roman" w:hAnsi="Times New Roman" w:cs="Times New Roman"/>
          <w:color w:val="000000" w:themeColor="text1"/>
          <w:u w:val="none"/>
          <w14:textFill>
            <w14:solidFill>
              <w14:schemeClr w14:val="tx1"/>
            </w14:solidFill>
          </w14:textFill>
        </w:rPr>
        <w:t>https://doi.org/10.1145/3292147.3292217</w:t>
      </w:r>
      <w:r>
        <w:rPr>
          <w:rStyle w:val="13"/>
          <w:rFonts w:ascii="Times New Roman" w:hAnsi="Times New Roman" w:cs="Times New Roman"/>
          <w:color w:val="000000" w:themeColor="text1"/>
          <w:u w:val="none"/>
          <w14:textFill>
            <w14:solidFill>
              <w14:schemeClr w14:val="tx1"/>
            </w14:solidFill>
          </w14:textFill>
        </w:rPr>
        <w:fldChar w:fldCharType="end"/>
      </w:r>
    </w:p>
    <w:p>
      <w:pPr>
        <w:jc w:val="both"/>
        <w:rPr>
          <w:rFonts w:ascii="Times New Roman" w:hAnsi="Times New Roman" w:cs="Times New Roman"/>
          <w:color w:val="000000" w:themeColor="text1"/>
          <w14:textFill>
            <w14:solidFill>
              <w14:schemeClr w14:val="tx1"/>
            </w14:solidFill>
          </w14:textFill>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kern w:val="0"/>
          <w:lang w:val="en-US"/>
        </w:rPr>
      </w:pPr>
      <w:r>
        <w:rPr>
          <w:rFonts w:ascii="Times New Roman" w:hAnsi="Times New Roman" w:cs="Times New Roman"/>
          <w:color w:val="000000"/>
          <w:kern w:val="0"/>
          <w:lang w:val="en-US"/>
        </w:rPr>
        <w:t xml:space="preserve">Machida D. 2019. Relationship between community or home gardening and health of the  elderly: a web-based cross-sectional survey in Japan. International journal of environmental research and public health 16 (8), 1389. </w:t>
      </w:r>
      <w:r>
        <w:rPr>
          <w:rFonts w:ascii="Times New Roman" w:hAnsi="Times New Roman" w:cs="Times New Roman"/>
          <w:color w:val="000000" w:themeColor="text1"/>
          <w:kern w:val="0"/>
          <w:lang w:val="en-US"/>
          <w14:textFill>
            <w14:solidFill>
              <w14:schemeClr w14:val="tx1"/>
            </w14:solidFill>
          </w14:textFill>
        </w:rPr>
        <w:t>https://doi.org/10.3390/ijerph16081389</w:t>
      </w:r>
    </w:p>
    <w:p>
      <w:pPr>
        <w:ind w:right="122"/>
        <w:jc w:val="both"/>
        <w:rPr>
          <w:rFonts w:ascii="Times New Roman" w:hAnsi="Times New Roman" w:cs="Times New Roman"/>
          <w:bCs/>
          <w:color w:val="000000" w:themeColor="text1"/>
          <w14:textFill>
            <w14:solidFill>
              <w14:schemeClr w14:val="tx1"/>
            </w14:solidFill>
          </w14:textFill>
        </w:rPr>
      </w:pPr>
    </w:p>
    <w:p>
      <w:pPr>
        <w:ind w:right="122"/>
        <w:jc w:val="both"/>
        <w:rPr>
          <w:rFonts w:ascii="Times New Roman" w:hAnsi="Times New Roman" w:cs="Times New Roman"/>
          <w:bCs/>
          <w:color w:val="000000" w:themeColor="text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 xml:space="preserve">McCombes S. 2019. Descriptive Research, Definition, Types, Methods and Examples. </w:t>
      </w:r>
      <w:r>
        <w:rPr>
          <w:rFonts w:ascii="Verdana" w:hAnsi="Verdana"/>
          <w:color w:val="232323"/>
          <w:sz w:val="21"/>
          <w:szCs w:val="21"/>
          <w:shd w:val="clear" w:color="auto" w:fill="FFFFFF"/>
        </w:rPr>
        <w:t>https://www.scribbr.com/methodology/descriptive-research/</w:t>
      </w:r>
    </w:p>
    <w:p>
      <w:pPr>
        <w:ind w:right="122"/>
        <w:jc w:val="both"/>
        <w:rPr>
          <w:rFonts w:ascii="Times New Roman" w:hAnsi="Times New Roman" w:cs="Times New Roman"/>
          <w:bCs/>
          <w:color w:val="000000" w:themeColor="text1"/>
          <w14:textFill>
            <w14:solidFill>
              <w14:schemeClr w14:val="tx1"/>
            </w14:solidFill>
          </w14:textFill>
        </w:rPr>
      </w:pPr>
    </w:p>
    <w:p>
      <w:pPr>
        <w:ind w:right="122"/>
        <w:jc w:val="both"/>
        <w:rPr>
          <w:rFonts w:ascii="Times New Roman" w:hAnsi="Times New Roman" w:cs="Times New Roman"/>
          <w:bCs/>
          <w:color w:val="000000" w:themeColor="text1"/>
          <w14:textFill>
            <w14:solidFill>
              <w14:schemeClr w14:val="tx1"/>
            </w14:solidFill>
          </w14:textFill>
        </w:rPr>
      </w:pPr>
    </w:p>
    <w:p>
      <w:pPr>
        <w:ind w:right="122"/>
        <w:jc w:val="both"/>
        <w:rPr>
          <w:rFonts w:ascii="Times New Roman" w:hAnsi="Times New Roman" w:cs="Times New Roman"/>
          <w:bCs/>
          <w:color w:val="000000" w:themeColor="text1"/>
          <w14:textFill>
            <w14:solidFill>
              <w14:schemeClr w14:val="tx1"/>
            </w14:solidFill>
          </w14:textFill>
        </w:rPr>
      </w:pPr>
    </w:p>
    <w:p>
      <w:pPr>
        <w:ind w:right="122"/>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Cs/>
          <w:color w:val="000000" w:themeColor="text1"/>
          <w14:textFill>
            <w14:solidFill>
              <w14:schemeClr w14:val="tx1"/>
            </w14:solidFill>
          </w14:textFill>
        </w:rPr>
        <w:t>Mula MG. (2012). Seed delivery system: The key for a sustainable pulse agriculture for smallholder farmers.</w:t>
      </w:r>
      <w:r>
        <w:rPr>
          <w:rFonts w:ascii="Times New Roman" w:hAnsi="Times New Roman" w:cs="Times New Roman"/>
          <w:color w:val="000000" w:themeColor="text1"/>
          <w14:textFill>
            <w14:solidFill>
              <w14:schemeClr w14:val="tx1"/>
            </w14:solidFill>
          </w14:textFill>
        </w:rPr>
        <w:t xml:space="preserve"> Green Farming International Journal of Applied Agricultural and Horticultural Sciences, 3(6):1 </w:t>
      </w:r>
      <w:r>
        <w:rPr>
          <w:rFonts w:ascii="Times New Roman" w:hAnsi="Times New Roman" w:eastAsia="Times New Roman" w:cs="Times New Roman"/>
          <w:color w:val="000000" w:themeColor="text1"/>
          <w14:textFill>
            <w14:solidFill>
              <w14:schemeClr w14:val="tx1"/>
            </w14:solidFill>
          </w14:textFill>
        </w:rPr>
        <w:t xml:space="preserve"> </w:t>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Fonts w:ascii="Times New Roman" w:hAnsi="Times New Roman" w:cs="Times New Roman"/>
          <w:color w:val="000000" w:themeColor="text1"/>
          <w:lang w:val="en-US"/>
          <w14:textFill>
            <w14:solidFill>
              <w14:schemeClr w14:val="tx1"/>
            </w14:solidFill>
          </w14:textFill>
        </w:rPr>
      </w:pPr>
      <w:r>
        <w:rPr>
          <w:rFonts w:ascii="Times New Roman" w:hAnsi="Times New Roman" w:cs="Times New Roman"/>
          <w:color w:val="000000" w:themeColor="text1"/>
          <w:lang w:val="en-US"/>
          <w14:textFill>
            <w14:solidFill>
              <w14:schemeClr w14:val="tx1"/>
            </w14:solidFill>
          </w14:textFill>
        </w:rPr>
        <w:t>Nazarea VD. (2006). Local Knowledge and Memory in Biodiversity Conservation. The Annual Review of Anthropology. 35:317-35</w:t>
      </w:r>
    </w:p>
    <w:p>
      <w:pPr>
        <w:jc w:val="both"/>
        <w:rPr>
          <w:rStyle w:val="15"/>
          <w:rFonts w:ascii="Times New Roman" w:hAnsi="Times New Roman" w:cs="Times New Roman"/>
          <w:b w:val="0"/>
          <w:bCs w:val="0"/>
          <w:color w:val="000000" w:themeColor="text1"/>
          <w14:textFill>
            <w14:solidFill>
              <w14:schemeClr w14:val="tx1"/>
            </w14:solidFill>
          </w14:textFill>
        </w:rPr>
      </w:pPr>
    </w:p>
    <w:p>
      <w:pPr>
        <w:jc w:val="both"/>
        <w:rPr>
          <w:rFonts w:ascii="Times New Roman" w:hAnsi="Times New Roman" w:cs="Times New Roman"/>
          <w:color w:val="000000" w:themeColor="text1"/>
          <w:lang w:val="en-US"/>
          <w14:textFill>
            <w14:solidFill>
              <w14:schemeClr w14:val="tx1"/>
            </w14:solidFill>
          </w14:textFill>
        </w:rPr>
      </w:pPr>
      <w:r>
        <w:rPr>
          <w:rFonts w:ascii="Times New Roman" w:hAnsi="Times New Roman" w:cs="Times New Roman"/>
          <w:color w:val="000000" w:themeColor="text1"/>
          <w:lang w:val="en-US"/>
          <w14:textFill>
            <w14:solidFill>
              <w14:schemeClr w14:val="tx1"/>
            </w14:solidFill>
          </w14:textFill>
        </w:rPr>
        <w:t>Philippine Statistics Authority (PSA). (2023). World Population Review. October 23</w:t>
      </w:r>
    </w:p>
    <w:p>
      <w:pPr>
        <w:jc w:val="both"/>
        <w:rPr>
          <w:rFonts w:ascii="Times New Roman" w:hAnsi="Times New Roman" w:cs="Times New Roman"/>
          <w:color w:val="000000" w:themeColor="text1"/>
          <w:lang w:val="en-US"/>
          <w14:textFill>
            <w14:solidFill>
              <w14:schemeClr w14:val="tx1"/>
            </w14:solidFill>
          </w14:textFill>
        </w:rPr>
      </w:pPr>
    </w:p>
    <w:p>
      <w:pPr>
        <w:jc w:val="both"/>
        <w:rPr>
          <w:rFonts w:ascii="Times New Roman" w:hAnsi="Times New Roman" w:cs="Times New Roman"/>
          <w:color w:val="000000" w:themeColor="text1"/>
          <w:lang w:val="en-US"/>
          <w14:textFill>
            <w14:solidFill>
              <w14:schemeClr w14:val="tx1"/>
            </w14:solidFill>
          </w14:textFill>
        </w:rPr>
      </w:pPr>
      <w:r>
        <w:rPr>
          <w:rFonts w:ascii="Times New Roman" w:hAnsi="Times New Roman" w:cs="Times New Roman"/>
          <w:color w:val="000000" w:themeColor="text1"/>
          <w:lang w:val="en-US"/>
          <w14:textFill>
            <w14:solidFill>
              <w14:schemeClr w14:val="tx1"/>
            </w14:solidFill>
          </w14:textFill>
        </w:rPr>
        <w:t xml:space="preserve">Rosing H, Helphand B and De Lorenzo A. (2022). Community Gardens Count: Measuring Chicago’s Harvest. </w:t>
      </w:r>
      <w:r>
        <w:fldChar w:fldCharType="begin"/>
      </w:r>
      <w:r>
        <w:instrText xml:space="preserve"> HYPERLINK "https://ecampusontario.pressbooks.pub/foodstudies/chapter/community-gardens/" </w:instrText>
      </w:r>
      <w:r>
        <w:fldChar w:fldCharType="separate"/>
      </w:r>
      <w:r>
        <w:rPr>
          <w:rStyle w:val="13"/>
          <w:rFonts w:ascii="Times New Roman" w:hAnsi="Times New Roman" w:cs="Times New Roman"/>
          <w:color w:val="000000" w:themeColor="text1"/>
          <w:u w:val="none"/>
          <w:lang w:val="en-US"/>
          <w14:textFill>
            <w14:solidFill>
              <w14:schemeClr w14:val="tx1"/>
            </w14:solidFill>
          </w14:textFill>
        </w:rPr>
        <w:t>https://ecampusontario.pressbooks.pub/foodstudies/chapter/community-gardens/</w:t>
      </w:r>
      <w:r>
        <w:rPr>
          <w:rStyle w:val="13"/>
          <w:rFonts w:ascii="Times New Roman" w:hAnsi="Times New Roman" w:cs="Times New Roman"/>
          <w:color w:val="000000" w:themeColor="text1"/>
          <w:u w:val="none"/>
          <w:lang w:val="en-US"/>
          <w14:textFill>
            <w14:solidFill>
              <w14:schemeClr w14:val="tx1"/>
            </w14:solidFill>
          </w14:textFill>
        </w:rPr>
        <w:fldChar w:fldCharType="end"/>
      </w:r>
    </w:p>
    <w:p>
      <w:pPr>
        <w:rPr>
          <w:rFonts w:ascii="Times New Roman" w:hAnsi="Times New Roman" w:cs="Times New Roman"/>
          <w:color w:val="000000" w:themeColor="text1"/>
          <w:lang w:val="en-US"/>
          <w14:textFill>
            <w14:solidFill>
              <w14:schemeClr w14:val="tx1"/>
            </w14:solidFill>
          </w14:textFill>
        </w:rPr>
      </w:pPr>
    </w:p>
    <w:p>
      <w:pPr>
        <w:jc w:val="both"/>
        <w:rPr>
          <w:rFonts w:ascii="Times New Roman" w:hAnsi="Times New Roman" w:cs="Times New Roman"/>
          <w:lang w:val="en-US"/>
        </w:rPr>
      </w:pPr>
      <w:r>
        <w:rPr>
          <w:rFonts w:ascii="Times New Roman" w:hAnsi="Times New Roman" w:cs="Times New Roman"/>
          <w:lang w:val="en-US"/>
        </w:rPr>
        <w:t>Stanford L. (2006). The Role of Ideology in New Mexcico’s CSA (Community Supported Agriculture) Organizations: Conflicting Visions Between Growers and Members. In Richard Wilk (ed). Fast Food/Slow Food: The Cultural Economy of the Global Food System. Society for Economic Anthropology. Altamira Press, USA. pp. 181-198</w:t>
      </w:r>
    </w:p>
    <w:p>
      <w:pPr>
        <w:rPr>
          <w:rFonts w:ascii="Times New Roman" w:hAnsi="Times New Roman" w:cs="Times New Roman"/>
          <w:color w:val="000000" w:themeColor="text1"/>
          <w:lang w:val="en-US"/>
          <w14:textFill>
            <w14:solidFill>
              <w14:schemeClr w14:val="tx1"/>
            </w14:solidFill>
          </w14:textFill>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kern w:val="0"/>
          <w:lang w:val="en-US"/>
        </w:rPr>
      </w:pPr>
      <w:r>
        <w:rPr>
          <w:rFonts w:ascii="Times New Roman" w:hAnsi="Times New Roman" w:cs="Times New Roman"/>
          <w:color w:val="000000"/>
          <w:kern w:val="0"/>
          <w:lang w:val="en-US"/>
        </w:rPr>
        <w:t xml:space="preserve">Triguero-Mas M, Anguelovski I, Cirac-Claveras J, Connolly J, Vazquez A, Urgell-Plaza F and Cole H. 2020. Peer reviewed: quality of life benefits of urban rooftop gardening for people with intellectual disabilities or mental health disorders. Preventing chronic disease 17. </w:t>
      </w:r>
      <w:r>
        <w:rPr>
          <w:rFonts w:ascii="Times New Roman" w:hAnsi="Times New Roman" w:cs="Times New Roman"/>
          <w:color w:val="000000" w:themeColor="text1"/>
          <w:kern w:val="0"/>
          <w:lang w:val="en-US"/>
          <w14:textFill>
            <w14:solidFill>
              <w14:schemeClr w14:val="tx1"/>
            </w14:solidFill>
          </w14:textFill>
        </w:rPr>
        <w:t>https://doi.org/10.5888/pcd17.200087</w:t>
      </w:r>
    </w:p>
    <w:p>
      <w:pPr>
        <w:jc w:val="both"/>
        <w:rPr>
          <w:rFonts w:ascii="Arial" w:hAnsi="Arial" w:cs="Arial"/>
          <w:color w:val="000000" w:themeColor="text1"/>
          <w:sz w:val="22"/>
          <w:szCs w:val="22"/>
          <w:shd w:val="clear" w:color="auto" w:fill="FFFFFF"/>
          <w14:textFill>
            <w14:solidFill>
              <w14:schemeClr w14:val="tx1"/>
            </w14:solidFill>
          </w14:textFill>
        </w:rPr>
      </w:pPr>
    </w:p>
    <w:p>
      <w:pPr>
        <w:jc w:val="both"/>
        <w:rPr>
          <w:rFonts w:ascii="Times New Roman" w:hAnsi="Times New Roman" w:cs="Times New Roman"/>
          <w:lang w:val="en-US"/>
        </w:rPr>
      </w:pPr>
      <w:r>
        <w:rPr>
          <w:rFonts w:ascii="Times New Roman" w:hAnsi="Times New Roman" w:cs="Times New Roman"/>
          <w:lang w:val="en-US"/>
        </w:rPr>
        <w:t xml:space="preserve">Zinaic R, Correa T, Etowa E, Owolabi R, Bhatt Y and Wong JP. 2025. Exploring the impact of community gardens on mental health: a scoping review. Wellbeing, Space and Society 8, Elsevier. pp. 1-14 </w:t>
      </w:r>
    </w:p>
    <w:sectPr>
      <w:type w:val="continuous"/>
      <w:pgSz w:w="12240" w:h="15840"/>
      <w:pgMar w:top="1474" w:right="1418" w:bottom="1474" w:left="1531" w:header="709" w:footer="709" w:gutter="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文泉驿微米黑"/>
    <w:panose1 w:val="00000000000000000000"/>
    <w:charset w:val="86"/>
    <w:family w:val="auto"/>
    <w:pitch w:val="default"/>
    <w:sig w:usb0="00000000" w:usb1="00000000" w:usb2="00000000" w:usb3="00000000" w:csb0="00000000" w:csb1="00000000"/>
  </w:font>
  <w:font w:name="HarmonyOS Sans SC Light">
    <w:panose1 w:val="00000400000000000000"/>
    <w:charset w:val="86"/>
    <w:family w:val="auto"/>
    <w:pitch w:val="default"/>
    <w:sig w:usb0="00000001" w:usb1="08000000" w:usb2="00000016" w:usb3="00000000" w:csb0="00040001" w:csb1="00000000"/>
  </w:font>
  <w:font w:name="文泉驿微米黑">
    <w:panose1 w:val="020B0606030804020204"/>
    <w:charset w:val="86"/>
    <w:family w:val="auto"/>
    <w:pitch w:val="default"/>
    <w:sig w:usb0="E10002EF" w:usb1="6BDFFCFB" w:usb2="00800036" w:usb3="00000000" w:csb0="603E019F" w:csb1="DFD70000"/>
  </w:font>
  <w:font w:name="Arial">
    <w:altName w:val="Source Sans Pro SemiBold"/>
    <w:panose1 w:val="020B0604020202020204"/>
    <w:charset w:val="00"/>
    <w:family w:val="swiss"/>
    <w:pitch w:val="default"/>
    <w:sig w:usb0="20007A87" w:usb1="80000000" w:usb2="00000008" w:usb3="00000000" w:csb0="000001FF" w:csb1="00000000"/>
  </w:font>
  <w:font w:name="Source Sans Pro SemiBold">
    <w:panose1 w:val="020B0603030403020204"/>
    <w:charset w:val="00"/>
    <w:family w:val="auto"/>
    <w:pitch w:val="default"/>
    <w:sig w:usb0="600002F7" w:usb1="02000001" w:usb2="00000000" w:usb3="00000000" w:csb0="2000019F" w:csb1="00000000"/>
  </w:font>
  <w:font w:name="黑体">
    <w:altName w:val="文泉驿微米黑"/>
    <w:panose1 w:val="02010600030101010101"/>
    <w:charset w:val="00"/>
    <w:family w:val="auto"/>
    <w:pitch w:val="default"/>
    <w:sig w:usb0="00000001" w:usb1="080E0000" w:usb2="00000010" w:usb3="00000000" w:csb0="00040000" w:csb1="00000000"/>
  </w:font>
  <w:font w:name="Courier New">
    <w:altName w:val="Droid Sans Mono"/>
    <w:panose1 w:val="02070309020205020404"/>
    <w:charset w:val="00"/>
    <w:family w:val="modern"/>
    <w:pitch w:val="default"/>
    <w:sig w:usb0="20007A87" w:usb1="80000000" w:usb2="00000008" w:usb3="00000000" w:csb0="000001FF" w:csb1="00000000"/>
  </w:font>
  <w:font w:name="Droid Sans Mono">
    <w:panose1 w:val="020B0609030804020204"/>
    <w:charset w:val="00"/>
    <w:family w:val="auto"/>
    <w:pitch w:val="default"/>
    <w:sig w:usb0="E00002EF" w:usb1="4000205B" w:usb2="00000028" w:usb3="00000000" w:csb0="2000019F" w:csb1="00000000"/>
  </w:font>
  <w:font w:name="Wingdings">
    <w:altName w:val="Carrois Gothic SC"/>
    <w:panose1 w:val="05000000000000000000"/>
    <w:charset w:val="00"/>
    <w:family w:val="auto"/>
    <w:pitch w:val="default"/>
    <w:sig w:usb0="00000000" w:usb1="10000000" w:usb2="00000000" w:usb3="00000000" w:csb0="80000000" w:csb1="00000000"/>
  </w:font>
  <w:font w:name="Carrois Gothic SC">
    <w:panose1 w:val="020B0506040000020004"/>
    <w:charset w:val="00"/>
    <w:family w:val="auto"/>
    <w:pitch w:val="default"/>
    <w:sig w:usb0="8000006F" w:usb1="10000002" w:usb2="00000000" w:usb3="00000000" w:csb0="00000001" w:csb1="00000000"/>
  </w:font>
  <w:font w:name="Calibri">
    <w:altName w:val="Pyidaungsu"/>
    <w:panose1 w:val="020F0502020204030204"/>
    <w:charset w:val="86"/>
    <w:family w:val="swiss"/>
    <w:pitch w:val="default"/>
    <w:sig w:usb0="00000000" w:usb1="00000000" w:usb2="00000001" w:usb3="00000000" w:csb0="0000019F" w:csb1="00000000"/>
  </w:font>
  <w:font w:name="Pyidaungsu">
    <w:panose1 w:val="020B0502040204020203"/>
    <w:charset w:val="00"/>
    <w:family w:val="auto"/>
    <w:pitch w:val="default"/>
    <w:sig w:usb0="00000001" w:usb1="10000000" w:usb2="00000400" w:usb3="00000000" w:csb0="00000001" w:csb1="00000000"/>
  </w:font>
  <w:font w:name="SimSun">
    <w:altName w:val="文泉驿微米黑"/>
    <w:panose1 w:val="02010600030101010101"/>
    <w:charset w:val="86"/>
    <w:family w:val="auto"/>
    <w:pitch w:val="default"/>
    <w:sig w:usb0="00000000" w:usb1="00000000" w:usb2="00000016" w:usb3="00000000" w:csb0="00040001" w:csb1="00000000"/>
  </w:font>
  <w:font w:name="Calibri">
    <w:altName w:val="HarmonyOS Sans SC Light"/>
    <w:panose1 w:val="00000000000000000000"/>
    <w:charset w:val="00"/>
    <w:family w:val="auto"/>
    <w:pitch w:val="default"/>
    <w:sig w:usb0="00000000" w:usb1="00000000" w:usb2="00000000" w:usb3="00000000" w:csb0="00000000" w:csb1="00000000"/>
  </w:font>
  <w:font w:name="Calibri Light">
    <w:altName w:val="Pyidaungsu"/>
    <w:panose1 w:val="020F0302020204030204"/>
    <w:charset w:val="00"/>
    <w:family w:val="swiss"/>
    <w:pitch w:val="default"/>
    <w:sig w:usb0="00000000" w:usb1="00000000" w:usb2="00000009" w:usb3="00000000" w:csb0="000001FF" w:csb1="00000000"/>
  </w:font>
  <w:font w:name="等线 Light">
    <w:altName w:val="HarmonyOS Sans SC Light"/>
    <w:panose1 w:val="00000000000000000000"/>
    <w:charset w:val="00"/>
    <w:family w:val="auto"/>
    <w:pitch w:val="default"/>
    <w:sig w:usb0="00000000" w:usb1="00000000" w:usb2="00000000" w:usb3="00000000" w:csb0="00000000" w:csb1="00000000"/>
  </w:font>
  <w:font w:name="Wingdings">
    <w:altName w:val="Carrois Gothic SC"/>
    <w:panose1 w:val="05000000000000000000"/>
    <w:charset w:val="4D"/>
    <w:family w:val="decorative"/>
    <w:pitch w:val="default"/>
    <w:sig w:usb0="00000000" w:usb1="00000000" w:usb2="00000000" w:usb3="00000000" w:csb0="80000001" w:csb1="00000000"/>
  </w:font>
  <w:font w:name="Symbol">
    <w:altName w:val="Emoji icon"/>
    <w:panose1 w:val="05050102010706020507"/>
    <w:charset w:val="02"/>
    <w:family w:val="decorative"/>
    <w:pitch w:val="default"/>
    <w:sig w:usb0="00000000" w:usb1="00000000" w:usb2="00000000" w:usb3="00000000" w:csb0="80000000" w:csb1="00000000"/>
  </w:font>
  <w:font w:name="Emoji icon">
    <w:panose1 w:val="00000500000000000000"/>
    <w:charset w:val="00"/>
    <w:family w:val="auto"/>
    <w:pitch w:val="default"/>
    <w:sig w:usb0="00000001" w:usb1="00000000" w:usb2="00000000" w:usb3="00000000" w:csb0="00000001" w:csb1="00000000"/>
  </w:font>
  <w:font w:name="Verdana">
    <w:altName w:val="Noto Sans Myanmar Med"/>
    <w:panose1 w:val="020B0604030504040204"/>
    <w:charset w:val="00"/>
    <w:family w:val="swiss"/>
    <w:pitch w:val="default"/>
    <w:sig w:usb0="00000000" w:usb1="00000000" w:usb2="00000010" w:usb3="00000000" w:csb0="0000019F" w:csb1="00000000"/>
  </w:font>
  <w:font w:name="Noto Sans Myanmar Med">
    <w:panose1 w:val="020B0602040504020204"/>
    <w:charset w:val="00"/>
    <w:family w:val="auto"/>
    <w:pitch w:val="default"/>
    <w:sig w:usb0="80000003" w:usb1="00002000" w:usb2="08000400" w:usb3="00100000" w:csb0="00000000" w:csb1="00000000"/>
  </w:font>
  <w:font w:name="文泉驿正黑">
    <w:panose1 w:val="02000603000000000000"/>
    <w:charset w:val="86"/>
    <w:family w:val="auto"/>
    <w:pitch w:val="default"/>
    <w:sig w:usb0="900002BF" w:usb1="2BDF7DFB" w:usb2="00000036" w:usb3="00000000" w:csb0="603E000D" w:csb1="D2D70000"/>
  </w:font>
  <w:font w:name="DejaVu Sans">
    <w:altName w:val="HarmonyOS Sans SC Ligh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4"/>
      </w:rPr>
      <w:id w:val="-1"/>
      <w:docPartObj>
        <w:docPartGallery w:val="AutoText"/>
      </w:docPartObj>
    </w:sdtPr>
    <w:sdtEndPr>
      <w:rPr>
        <w:rStyle w:val="14"/>
      </w:rPr>
    </w:sdtEndPr>
    <w:sdtContent>
      <w:p>
        <w:pPr>
          <w:pStyle w:val="11"/>
          <w:framePr w:wrap="auto" w:vAnchor="text" w:hAnchor="margin" w:xAlign="right" w:y="1"/>
          <w:rPr>
            <w:rStyle w:val="14"/>
          </w:rPr>
        </w:pPr>
        <w:r>
          <w:rPr>
            <w:rStyle w:val="14"/>
          </w:rPr>
          <w:fldChar w:fldCharType="begin"/>
        </w:r>
        <w:r>
          <w:rPr>
            <w:rStyle w:val="14"/>
          </w:rPr>
          <w:instrText xml:space="preserve"> PAGE </w:instrText>
        </w:r>
        <w:r>
          <w:rPr>
            <w:rStyle w:val="14"/>
          </w:rPr>
          <w:fldChar w:fldCharType="separate"/>
        </w:r>
        <w:r>
          <w:rPr>
            <w:rStyle w:val="14"/>
          </w:rPr>
          <w:t>2</w:t>
        </w:r>
        <w:r>
          <w:rPr>
            <w:rStyle w:val="14"/>
          </w:rPr>
          <w:fldChar w:fldCharType="end"/>
        </w:r>
      </w:p>
    </w:sdtContent>
  </w:sdt>
  <w:p>
    <w:pPr>
      <w:pStyle w:val="1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4"/>
      </w:rPr>
      <w:id w:val="2122180173"/>
      <w:docPartObj>
        <w:docPartGallery w:val="AutoText"/>
      </w:docPartObj>
    </w:sdtPr>
    <w:sdtEndPr>
      <w:rPr>
        <w:rStyle w:val="14"/>
      </w:rPr>
    </w:sdtEndPr>
    <w:sdtContent>
      <w:p>
        <w:pPr>
          <w:pStyle w:val="11"/>
          <w:framePr w:wrap="auto" w:vAnchor="text" w:hAnchor="margin" w:xAlign="right" w:y="1"/>
          <w:rPr>
            <w:rStyle w:val="14"/>
          </w:rPr>
        </w:pPr>
        <w:r>
          <w:rPr>
            <w:rStyle w:val="14"/>
          </w:rPr>
          <w:fldChar w:fldCharType="begin"/>
        </w:r>
        <w:r>
          <w:rPr>
            <w:rStyle w:val="14"/>
          </w:rPr>
          <w:instrText xml:space="preserve"> PAGE </w:instrText>
        </w:r>
        <w:r>
          <w:rPr>
            <w:rStyle w:val="14"/>
          </w:rPr>
          <w:fldChar w:fldCharType="end"/>
        </w:r>
      </w:p>
    </w:sdtContent>
  </w:sdt>
  <w:p>
    <w:pPr>
      <w:pStyle w:val="1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PowerPlusWaterMarkObject272076783" o:spid="_x0000_s1026" o:spt="136" type="#_x0000_t136" style="position:absolute;left:0pt;height:103.1pt;width:546.7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PowerPlusWaterMarkObject272076782" o:spid="_x0000_s1027" o:spt="136" type="#_x0000_t136" style="position:absolute;left:0pt;height:103.1pt;width:546.7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PowerPlusWaterMarkObject272076781" o:spid="_x0000_s1025" o:spt="136" type="#_x0000_t136" style="position:absolute;left:0pt;height:103.1pt;width:546.7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08296F"/>
    <w:multiLevelType w:val="multilevel"/>
    <w:tmpl w:val="0208296F"/>
    <w:lvl w:ilvl="0" w:tentative="0">
      <w:start w:val="1"/>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D843DA9"/>
    <w:multiLevelType w:val="multilevel"/>
    <w:tmpl w:val="0D843DA9"/>
    <w:lvl w:ilvl="0" w:tentative="0">
      <w:start w:val="1"/>
      <w:numFmt w:val="bullet"/>
      <w:lvlText w:val="-"/>
      <w:lvlJc w:val="left"/>
      <w:pPr>
        <w:ind w:left="1080" w:hanging="360"/>
      </w:pPr>
      <w:rPr>
        <w:rFonts w:hint="default" w:ascii="Calibri" w:hAnsi="Calibri" w:cs="Calibri" w:eastAsiaTheme="minorHAnsi"/>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
    <w:nsid w:val="2F911A04"/>
    <w:multiLevelType w:val="multilevel"/>
    <w:tmpl w:val="2F911A04"/>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355C4303"/>
    <w:multiLevelType w:val="multilevel"/>
    <w:tmpl w:val="355C430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67AC70F3"/>
    <w:multiLevelType w:val="multilevel"/>
    <w:tmpl w:val="67AC70F3"/>
    <w:lvl w:ilvl="0" w:tentative="0">
      <w:start w:val="1"/>
      <w:numFmt w:val="lowerLetter"/>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5">
    <w:nsid w:val="69BD37A6"/>
    <w:multiLevelType w:val="multilevel"/>
    <w:tmpl w:val="69BD37A6"/>
    <w:lvl w:ilvl="0" w:tentative="0">
      <w:start w:val="18"/>
      <w:numFmt w:val="bullet"/>
      <w:lvlText w:val="-"/>
      <w:lvlJc w:val="left"/>
      <w:pPr>
        <w:ind w:left="720" w:hanging="360"/>
      </w:pPr>
      <w:rPr>
        <w:rFonts w:hint="default" w:ascii="Calibri" w:hAnsi="Calibri" w:cs="Calibri" w:eastAsiaTheme="minorHAnsi"/>
        <w: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758A0E6C"/>
    <w:multiLevelType w:val="multilevel"/>
    <w:tmpl w:val="758A0E6C"/>
    <w:lvl w:ilvl="0" w:tentative="0">
      <w:start w:val="1"/>
      <w:numFmt w:val="bullet"/>
      <w:lvlText w:val="o"/>
      <w:lvlJc w:val="left"/>
      <w:pPr>
        <w:ind w:left="1440" w:hanging="360"/>
      </w:pPr>
      <w:rPr>
        <w:rFonts w:hint="default" w:ascii="Courier New" w:hAnsi="Courier New" w:cs="Courier New"/>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7">
    <w:nsid w:val="7EF56069"/>
    <w:multiLevelType w:val="multilevel"/>
    <w:tmpl w:val="7EF5606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7"/>
  </w:num>
  <w:num w:numId="2">
    <w:abstractNumId w:val="1"/>
  </w:num>
  <w:num w:numId="3">
    <w:abstractNumId w:val="4"/>
  </w:num>
  <w:num w:numId="4">
    <w:abstractNumId w:val="5"/>
  </w:num>
  <w:num w:numId="5">
    <w:abstractNumId w:val="3"/>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characterSpacingControl w:val="doNotCompress"/>
  <w:hdrShapeDefaults>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8FF"/>
    <w:rsid w:val="000068E7"/>
    <w:rsid w:val="00020A40"/>
    <w:rsid w:val="00020CE3"/>
    <w:rsid w:val="000233F4"/>
    <w:rsid w:val="00024627"/>
    <w:rsid w:val="0002516A"/>
    <w:rsid w:val="00030CF0"/>
    <w:rsid w:val="00030E8C"/>
    <w:rsid w:val="0003174A"/>
    <w:rsid w:val="000320A5"/>
    <w:rsid w:val="00032B19"/>
    <w:rsid w:val="00036C2C"/>
    <w:rsid w:val="00036CCA"/>
    <w:rsid w:val="00037758"/>
    <w:rsid w:val="00037B2D"/>
    <w:rsid w:val="000418B5"/>
    <w:rsid w:val="000419D3"/>
    <w:rsid w:val="00042A0E"/>
    <w:rsid w:val="00042AF7"/>
    <w:rsid w:val="00043A30"/>
    <w:rsid w:val="000441EC"/>
    <w:rsid w:val="00051972"/>
    <w:rsid w:val="00051A96"/>
    <w:rsid w:val="000521C9"/>
    <w:rsid w:val="00057C01"/>
    <w:rsid w:val="000608D7"/>
    <w:rsid w:val="000615DD"/>
    <w:rsid w:val="00062E1D"/>
    <w:rsid w:val="0006335C"/>
    <w:rsid w:val="00065815"/>
    <w:rsid w:val="00071F7C"/>
    <w:rsid w:val="00074433"/>
    <w:rsid w:val="00076C9D"/>
    <w:rsid w:val="00077A04"/>
    <w:rsid w:val="00081B19"/>
    <w:rsid w:val="000839D2"/>
    <w:rsid w:val="000847EB"/>
    <w:rsid w:val="00087287"/>
    <w:rsid w:val="00090477"/>
    <w:rsid w:val="0009568E"/>
    <w:rsid w:val="000961A1"/>
    <w:rsid w:val="000A14A8"/>
    <w:rsid w:val="000A785C"/>
    <w:rsid w:val="000B41E8"/>
    <w:rsid w:val="000B52F3"/>
    <w:rsid w:val="000C204D"/>
    <w:rsid w:val="000C43A4"/>
    <w:rsid w:val="000C46F8"/>
    <w:rsid w:val="000C513D"/>
    <w:rsid w:val="000C7435"/>
    <w:rsid w:val="000D2414"/>
    <w:rsid w:val="000D2CEC"/>
    <w:rsid w:val="000D461F"/>
    <w:rsid w:val="000D48E6"/>
    <w:rsid w:val="000E1F3C"/>
    <w:rsid w:val="000E372A"/>
    <w:rsid w:val="000E7EF4"/>
    <w:rsid w:val="000F0C49"/>
    <w:rsid w:val="000F10A3"/>
    <w:rsid w:val="000F41E7"/>
    <w:rsid w:val="000F6B05"/>
    <w:rsid w:val="000F7769"/>
    <w:rsid w:val="001011BC"/>
    <w:rsid w:val="00101E8D"/>
    <w:rsid w:val="001039B6"/>
    <w:rsid w:val="001040C5"/>
    <w:rsid w:val="001047B3"/>
    <w:rsid w:val="001073FB"/>
    <w:rsid w:val="00111093"/>
    <w:rsid w:val="001130B6"/>
    <w:rsid w:val="0011386C"/>
    <w:rsid w:val="00123C97"/>
    <w:rsid w:val="001242DA"/>
    <w:rsid w:val="00126F55"/>
    <w:rsid w:val="00135C4E"/>
    <w:rsid w:val="00135D28"/>
    <w:rsid w:val="00137C1A"/>
    <w:rsid w:val="0014064F"/>
    <w:rsid w:val="0014468A"/>
    <w:rsid w:val="00145282"/>
    <w:rsid w:val="00156B85"/>
    <w:rsid w:val="00156E2A"/>
    <w:rsid w:val="001577C2"/>
    <w:rsid w:val="00157ACB"/>
    <w:rsid w:val="00163DA3"/>
    <w:rsid w:val="001660BC"/>
    <w:rsid w:val="001666FB"/>
    <w:rsid w:val="00167FB2"/>
    <w:rsid w:val="001732E8"/>
    <w:rsid w:val="001752BA"/>
    <w:rsid w:val="001759A5"/>
    <w:rsid w:val="001772FA"/>
    <w:rsid w:val="00177695"/>
    <w:rsid w:val="0018027C"/>
    <w:rsid w:val="00180951"/>
    <w:rsid w:val="0018318D"/>
    <w:rsid w:val="0018553C"/>
    <w:rsid w:val="001863CB"/>
    <w:rsid w:val="00186C38"/>
    <w:rsid w:val="0019230C"/>
    <w:rsid w:val="00194190"/>
    <w:rsid w:val="001A225C"/>
    <w:rsid w:val="001A2FCC"/>
    <w:rsid w:val="001A34C7"/>
    <w:rsid w:val="001A51E9"/>
    <w:rsid w:val="001A5221"/>
    <w:rsid w:val="001A6AD3"/>
    <w:rsid w:val="001A7399"/>
    <w:rsid w:val="001A7C9D"/>
    <w:rsid w:val="001B561E"/>
    <w:rsid w:val="001B7BB6"/>
    <w:rsid w:val="001D08E3"/>
    <w:rsid w:val="001D08F3"/>
    <w:rsid w:val="001D1DB3"/>
    <w:rsid w:val="001D1F6E"/>
    <w:rsid w:val="001D315F"/>
    <w:rsid w:val="001D4B81"/>
    <w:rsid w:val="001D7754"/>
    <w:rsid w:val="001D7C3D"/>
    <w:rsid w:val="001E0169"/>
    <w:rsid w:val="001E34B6"/>
    <w:rsid w:val="001E3DE0"/>
    <w:rsid w:val="001E6E58"/>
    <w:rsid w:val="001E7490"/>
    <w:rsid w:val="001F1475"/>
    <w:rsid w:val="001F1923"/>
    <w:rsid w:val="001F2226"/>
    <w:rsid w:val="001F2F92"/>
    <w:rsid w:val="001F439B"/>
    <w:rsid w:val="001F45EE"/>
    <w:rsid w:val="001F4719"/>
    <w:rsid w:val="001F5E8C"/>
    <w:rsid w:val="001F71DA"/>
    <w:rsid w:val="001F72BB"/>
    <w:rsid w:val="0020545F"/>
    <w:rsid w:val="00205A1D"/>
    <w:rsid w:val="002116A5"/>
    <w:rsid w:val="0021430F"/>
    <w:rsid w:val="00215804"/>
    <w:rsid w:val="00220621"/>
    <w:rsid w:val="00220832"/>
    <w:rsid w:val="00225024"/>
    <w:rsid w:val="00225EA9"/>
    <w:rsid w:val="0022651D"/>
    <w:rsid w:val="00227064"/>
    <w:rsid w:val="0023571C"/>
    <w:rsid w:val="002371EB"/>
    <w:rsid w:val="00243434"/>
    <w:rsid w:val="00244EB6"/>
    <w:rsid w:val="0024701A"/>
    <w:rsid w:val="00247FD9"/>
    <w:rsid w:val="00250A91"/>
    <w:rsid w:val="0025198A"/>
    <w:rsid w:val="0025296B"/>
    <w:rsid w:val="00252B8D"/>
    <w:rsid w:val="00254404"/>
    <w:rsid w:val="0025643C"/>
    <w:rsid w:val="0025790A"/>
    <w:rsid w:val="00257C9D"/>
    <w:rsid w:val="00260193"/>
    <w:rsid w:val="00260A38"/>
    <w:rsid w:val="00260FE6"/>
    <w:rsid w:val="0026102E"/>
    <w:rsid w:val="0026195A"/>
    <w:rsid w:val="002635B5"/>
    <w:rsid w:val="0026462E"/>
    <w:rsid w:val="00265247"/>
    <w:rsid w:val="00265A9C"/>
    <w:rsid w:val="00267B0A"/>
    <w:rsid w:val="002728B9"/>
    <w:rsid w:val="00275530"/>
    <w:rsid w:val="0027627D"/>
    <w:rsid w:val="00280C30"/>
    <w:rsid w:val="002823E3"/>
    <w:rsid w:val="00283FF7"/>
    <w:rsid w:val="0028468B"/>
    <w:rsid w:val="002854CC"/>
    <w:rsid w:val="00286C22"/>
    <w:rsid w:val="00290406"/>
    <w:rsid w:val="002916C7"/>
    <w:rsid w:val="002941CA"/>
    <w:rsid w:val="00294594"/>
    <w:rsid w:val="00296F90"/>
    <w:rsid w:val="00297196"/>
    <w:rsid w:val="00297905"/>
    <w:rsid w:val="002A4BEC"/>
    <w:rsid w:val="002A621A"/>
    <w:rsid w:val="002A65EB"/>
    <w:rsid w:val="002A6FDB"/>
    <w:rsid w:val="002A7775"/>
    <w:rsid w:val="002B02D3"/>
    <w:rsid w:val="002B3D34"/>
    <w:rsid w:val="002C1119"/>
    <w:rsid w:val="002C2B7D"/>
    <w:rsid w:val="002C4214"/>
    <w:rsid w:val="002C5CA6"/>
    <w:rsid w:val="002C5D97"/>
    <w:rsid w:val="002C69F0"/>
    <w:rsid w:val="002C7646"/>
    <w:rsid w:val="002C7981"/>
    <w:rsid w:val="002D28EF"/>
    <w:rsid w:val="002D4098"/>
    <w:rsid w:val="002D772C"/>
    <w:rsid w:val="002D7DBA"/>
    <w:rsid w:val="002D7E0E"/>
    <w:rsid w:val="002E29D8"/>
    <w:rsid w:val="002E406A"/>
    <w:rsid w:val="002E53A1"/>
    <w:rsid w:val="002F2F7E"/>
    <w:rsid w:val="002F3BB3"/>
    <w:rsid w:val="002F48F9"/>
    <w:rsid w:val="002F607A"/>
    <w:rsid w:val="00301273"/>
    <w:rsid w:val="00305C0E"/>
    <w:rsid w:val="00305FCC"/>
    <w:rsid w:val="00307575"/>
    <w:rsid w:val="00310C80"/>
    <w:rsid w:val="0031428D"/>
    <w:rsid w:val="00314DE1"/>
    <w:rsid w:val="0032068A"/>
    <w:rsid w:val="0032080E"/>
    <w:rsid w:val="003227BA"/>
    <w:rsid w:val="00325792"/>
    <w:rsid w:val="00330A4B"/>
    <w:rsid w:val="0033211B"/>
    <w:rsid w:val="00332C42"/>
    <w:rsid w:val="0033566A"/>
    <w:rsid w:val="0033595A"/>
    <w:rsid w:val="00335CAA"/>
    <w:rsid w:val="003377FB"/>
    <w:rsid w:val="00337DFB"/>
    <w:rsid w:val="003415FD"/>
    <w:rsid w:val="00342AC3"/>
    <w:rsid w:val="00343056"/>
    <w:rsid w:val="003516A5"/>
    <w:rsid w:val="00351E19"/>
    <w:rsid w:val="00353656"/>
    <w:rsid w:val="00353FE9"/>
    <w:rsid w:val="003635C8"/>
    <w:rsid w:val="00364B86"/>
    <w:rsid w:val="003670A8"/>
    <w:rsid w:val="00367160"/>
    <w:rsid w:val="00367921"/>
    <w:rsid w:val="0037090C"/>
    <w:rsid w:val="00374C19"/>
    <w:rsid w:val="00376C47"/>
    <w:rsid w:val="0038095C"/>
    <w:rsid w:val="0038158E"/>
    <w:rsid w:val="003842DC"/>
    <w:rsid w:val="00386118"/>
    <w:rsid w:val="00392C2A"/>
    <w:rsid w:val="00393423"/>
    <w:rsid w:val="0039458E"/>
    <w:rsid w:val="00394667"/>
    <w:rsid w:val="003A5829"/>
    <w:rsid w:val="003A62C3"/>
    <w:rsid w:val="003B0801"/>
    <w:rsid w:val="003B169A"/>
    <w:rsid w:val="003B2DDF"/>
    <w:rsid w:val="003B5E5D"/>
    <w:rsid w:val="003C2524"/>
    <w:rsid w:val="003C5826"/>
    <w:rsid w:val="003D43AC"/>
    <w:rsid w:val="003D6481"/>
    <w:rsid w:val="003D79D6"/>
    <w:rsid w:val="003E0A6B"/>
    <w:rsid w:val="003E36A1"/>
    <w:rsid w:val="003E666C"/>
    <w:rsid w:val="003E7588"/>
    <w:rsid w:val="003F1EC1"/>
    <w:rsid w:val="003F381A"/>
    <w:rsid w:val="003F5293"/>
    <w:rsid w:val="003F64C2"/>
    <w:rsid w:val="003F67BF"/>
    <w:rsid w:val="004010C3"/>
    <w:rsid w:val="004051A4"/>
    <w:rsid w:val="00405829"/>
    <w:rsid w:val="00405F14"/>
    <w:rsid w:val="0040699A"/>
    <w:rsid w:val="00406D0D"/>
    <w:rsid w:val="00410B8A"/>
    <w:rsid w:val="004159BD"/>
    <w:rsid w:val="00416C36"/>
    <w:rsid w:val="00421CE2"/>
    <w:rsid w:val="00425624"/>
    <w:rsid w:val="00431AF9"/>
    <w:rsid w:val="004328DE"/>
    <w:rsid w:val="00436D43"/>
    <w:rsid w:val="00441832"/>
    <w:rsid w:val="0044188D"/>
    <w:rsid w:val="00442AAB"/>
    <w:rsid w:val="004452C5"/>
    <w:rsid w:val="00446F73"/>
    <w:rsid w:val="00450D53"/>
    <w:rsid w:val="00451AF2"/>
    <w:rsid w:val="0045249E"/>
    <w:rsid w:val="00452A11"/>
    <w:rsid w:val="004553CE"/>
    <w:rsid w:val="00456185"/>
    <w:rsid w:val="00460614"/>
    <w:rsid w:val="00461CB1"/>
    <w:rsid w:val="00463591"/>
    <w:rsid w:val="00463C1D"/>
    <w:rsid w:val="0046434E"/>
    <w:rsid w:val="00466E19"/>
    <w:rsid w:val="00467ACB"/>
    <w:rsid w:val="004729EC"/>
    <w:rsid w:val="00473D9C"/>
    <w:rsid w:val="00474F95"/>
    <w:rsid w:val="00475AE3"/>
    <w:rsid w:val="00477059"/>
    <w:rsid w:val="00480085"/>
    <w:rsid w:val="004801D3"/>
    <w:rsid w:val="0048121B"/>
    <w:rsid w:val="00484263"/>
    <w:rsid w:val="00486A39"/>
    <w:rsid w:val="004936A8"/>
    <w:rsid w:val="00493D4C"/>
    <w:rsid w:val="00495B45"/>
    <w:rsid w:val="0049620F"/>
    <w:rsid w:val="00496FCF"/>
    <w:rsid w:val="004A1722"/>
    <w:rsid w:val="004A244D"/>
    <w:rsid w:val="004B03F2"/>
    <w:rsid w:val="004B566C"/>
    <w:rsid w:val="004B5CC0"/>
    <w:rsid w:val="004C07D6"/>
    <w:rsid w:val="004C359A"/>
    <w:rsid w:val="004C3847"/>
    <w:rsid w:val="004C63DA"/>
    <w:rsid w:val="004D0D20"/>
    <w:rsid w:val="004D4E12"/>
    <w:rsid w:val="004D5435"/>
    <w:rsid w:val="004D67CE"/>
    <w:rsid w:val="004D7399"/>
    <w:rsid w:val="004E0217"/>
    <w:rsid w:val="004E082A"/>
    <w:rsid w:val="004E2D63"/>
    <w:rsid w:val="004E3753"/>
    <w:rsid w:val="004E41F7"/>
    <w:rsid w:val="004E54E6"/>
    <w:rsid w:val="004E6AE7"/>
    <w:rsid w:val="004E7417"/>
    <w:rsid w:val="004E7AD0"/>
    <w:rsid w:val="004F1D19"/>
    <w:rsid w:val="004F263E"/>
    <w:rsid w:val="004F2748"/>
    <w:rsid w:val="00500359"/>
    <w:rsid w:val="005005D0"/>
    <w:rsid w:val="005026F7"/>
    <w:rsid w:val="005037DF"/>
    <w:rsid w:val="00505C59"/>
    <w:rsid w:val="00505EEF"/>
    <w:rsid w:val="00506CFB"/>
    <w:rsid w:val="00512942"/>
    <w:rsid w:val="0051422D"/>
    <w:rsid w:val="00521C30"/>
    <w:rsid w:val="005227EF"/>
    <w:rsid w:val="0052367D"/>
    <w:rsid w:val="00524424"/>
    <w:rsid w:val="00526619"/>
    <w:rsid w:val="005332B5"/>
    <w:rsid w:val="005334BA"/>
    <w:rsid w:val="0053712D"/>
    <w:rsid w:val="00542312"/>
    <w:rsid w:val="00544751"/>
    <w:rsid w:val="00546DFC"/>
    <w:rsid w:val="005507E0"/>
    <w:rsid w:val="005512A6"/>
    <w:rsid w:val="00551921"/>
    <w:rsid w:val="00554721"/>
    <w:rsid w:val="005570AD"/>
    <w:rsid w:val="00557572"/>
    <w:rsid w:val="00560F6A"/>
    <w:rsid w:val="0056497C"/>
    <w:rsid w:val="005652A4"/>
    <w:rsid w:val="0056685C"/>
    <w:rsid w:val="00576FFD"/>
    <w:rsid w:val="0057721B"/>
    <w:rsid w:val="00583A80"/>
    <w:rsid w:val="0058611D"/>
    <w:rsid w:val="00586AEC"/>
    <w:rsid w:val="005909A7"/>
    <w:rsid w:val="005941F6"/>
    <w:rsid w:val="00596065"/>
    <w:rsid w:val="005A06F4"/>
    <w:rsid w:val="005A0FC8"/>
    <w:rsid w:val="005A28B4"/>
    <w:rsid w:val="005A41C5"/>
    <w:rsid w:val="005A52D1"/>
    <w:rsid w:val="005B7626"/>
    <w:rsid w:val="005B7B5C"/>
    <w:rsid w:val="005C2412"/>
    <w:rsid w:val="005C2531"/>
    <w:rsid w:val="005C609E"/>
    <w:rsid w:val="005C6B94"/>
    <w:rsid w:val="005C7ADC"/>
    <w:rsid w:val="005D1E29"/>
    <w:rsid w:val="005D1F9E"/>
    <w:rsid w:val="005D2DBF"/>
    <w:rsid w:val="005E1206"/>
    <w:rsid w:val="005E23FD"/>
    <w:rsid w:val="005E262D"/>
    <w:rsid w:val="005E2F3B"/>
    <w:rsid w:val="005E35E7"/>
    <w:rsid w:val="005E3932"/>
    <w:rsid w:val="005E6242"/>
    <w:rsid w:val="005F1856"/>
    <w:rsid w:val="005F37A6"/>
    <w:rsid w:val="005F784A"/>
    <w:rsid w:val="006002D9"/>
    <w:rsid w:val="00600D00"/>
    <w:rsid w:val="006011B2"/>
    <w:rsid w:val="00603572"/>
    <w:rsid w:val="0060426A"/>
    <w:rsid w:val="00605443"/>
    <w:rsid w:val="0060723E"/>
    <w:rsid w:val="00607282"/>
    <w:rsid w:val="00611ED3"/>
    <w:rsid w:val="00614299"/>
    <w:rsid w:val="00617386"/>
    <w:rsid w:val="00622D14"/>
    <w:rsid w:val="006237F8"/>
    <w:rsid w:val="00631548"/>
    <w:rsid w:val="00631F12"/>
    <w:rsid w:val="0063227F"/>
    <w:rsid w:val="00632D2F"/>
    <w:rsid w:val="00635C88"/>
    <w:rsid w:val="00640D28"/>
    <w:rsid w:val="00641439"/>
    <w:rsid w:val="00641539"/>
    <w:rsid w:val="006423F7"/>
    <w:rsid w:val="0064259E"/>
    <w:rsid w:val="006433AA"/>
    <w:rsid w:val="00644F78"/>
    <w:rsid w:val="0064526F"/>
    <w:rsid w:val="006457B1"/>
    <w:rsid w:val="006460EF"/>
    <w:rsid w:val="00646D65"/>
    <w:rsid w:val="00647803"/>
    <w:rsid w:val="00647F86"/>
    <w:rsid w:val="0065010E"/>
    <w:rsid w:val="00652781"/>
    <w:rsid w:val="0065301B"/>
    <w:rsid w:val="006547EB"/>
    <w:rsid w:val="00666BE3"/>
    <w:rsid w:val="00666D6F"/>
    <w:rsid w:val="00667F74"/>
    <w:rsid w:val="006724FC"/>
    <w:rsid w:val="00673919"/>
    <w:rsid w:val="00675D88"/>
    <w:rsid w:val="00680D3B"/>
    <w:rsid w:val="006853ED"/>
    <w:rsid w:val="00687B73"/>
    <w:rsid w:val="00690F47"/>
    <w:rsid w:val="00694178"/>
    <w:rsid w:val="00697435"/>
    <w:rsid w:val="00697973"/>
    <w:rsid w:val="006A077A"/>
    <w:rsid w:val="006A0D91"/>
    <w:rsid w:val="006A18C7"/>
    <w:rsid w:val="006A1F3B"/>
    <w:rsid w:val="006A314B"/>
    <w:rsid w:val="006A4C4B"/>
    <w:rsid w:val="006B044E"/>
    <w:rsid w:val="006B3A12"/>
    <w:rsid w:val="006B48E8"/>
    <w:rsid w:val="006B5CC3"/>
    <w:rsid w:val="006B72C3"/>
    <w:rsid w:val="006C11CF"/>
    <w:rsid w:val="006C1615"/>
    <w:rsid w:val="006C6A34"/>
    <w:rsid w:val="006C74CF"/>
    <w:rsid w:val="006D0A19"/>
    <w:rsid w:val="006D17CF"/>
    <w:rsid w:val="006D52B0"/>
    <w:rsid w:val="006D6C51"/>
    <w:rsid w:val="006E0182"/>
    <w:rsid w:val="006E14EF"/>
    <w:rsid w:val="006E72BC"/>
    <w:rsid w:val="006E7D06"/>
    <w:rsid w:val="006F059E"/>
    <w:rsid w:val="006F1AD3"/>
    <w:rsid w:val="006F47D1"/>
    <w:rsid w:val="006F719D"/>
    <w:rsid w:val="00702006"/>
    <w:rsid w:val="00702A52"/>
    <w:rsid w:val="007038FF"/>
    <w:rsid w:val="00704741"/>
    <w:rsid w:val="0070497E"/>
    <w:rsid w:val="00704DCC"/>
    <w:rsid w:val="007079D9"/>
    <w:rsid w:val="00707E49"/>
    <w:rsid w:val="00713989"/>
    <w:rsid w:val="00714CCD"/>
    <w:rsid w:val="00721030"/>
    <w:rsid w:val="007212BF"/>
    <w:rsid w:val="00721716"/>
    <w:rsid w:val="007217C3"/>
    <w:rsid w:val="0072195E"/>
    <w:rsid w:val="00721C30"/>
    <w:rsid w:val="00722AEF"/>
    <w:rsid w:val="00727B2C"/>
    <w:rsid w:val="00727F35"/>
    <w:rsid w:val="00730E93"/>
    <w:rsid w:val="00732D73"/>
    <w:rsid w:val="00733C78"/>
    <w:rsid w:val="0073487A"/>
    <w:rsid w:val="00734D01"/>
    <w:rsid w:val="00736627"/>
    <w:rsid w:val="00737214"/>
    <w:rsid w:val="007415B6"/>
    <w:rsid w:val="007431BA"/>
    <w:rsid w:val="00744B3B"/>
    <w:rsid w:val="00751148"/>
    <w:rsid w:val="00752E8C"/>
    <w:rsid w:val="007534A8"/>
    <w:rsid w:val="00753DF0"/>
    <w:rsid w:val="0075545A"/>
    <w:rsid w:val="00756148"/>
    <w:rsid w:val="007561D0"/>
    <w:rsid w:val="0076194A"/>
    <w:rsid w:val="0076260B"/>
    <w:rsid w:val="00762E1A"/>
    <w:rsid w:val="00763D68"/>
    <w:rsid w:val="00765CE8"/>
    <w:rsid w:val="00766CC3"/>
    <w:rsid w:val="007705AF"/>
    <w:rsid w:val="007711BC"/>
    <w:rsid w:val="0077578B"/>
    <w:rsid w:val="0077613B"/>
    <w:rsid w:val="00782104"/>
    <w:rsid w:val="007846BA"/>
    <w:rsid w:val="00785D4B"/>
    <w:rsid w:val="00785E34"/>
    <w:rsid w:val="00790440"/>
    <w:rsid w:val="00790E62"/>
    <w:rsid w:val="00791D20"/>
    <w:rsid w:val="00791E4F"/>
    <w:rsid w:val="007A0127"/>
    <w:rsid w:val="007A127C"/>
    <w:rsid w:val="007A2A50"/>
    <w:rsid w:val="007A56C2"/>
    <w:rsid w:val="007B0FE9"/>
    <w:rsid w:val="007B301F"/>
    <w:rsid w:val="007B51A1"/>
    <w:rsid w:val="007C2490"/>
    <w:rsid w:val="007C43A1"/>
    <w:rsid w:val="007C5588"/>
    <w:rsid w:val="007D31D7"/>
    <w:rsid w:val="007D445A"/>
    <w:rsid w:val="007D4852"/>
    <w:rsid w:val="007D517A"/>
    <w:rsid w:val="007D5AD2"/>
    <w:rsid w:val="007D6353"/>
    <w:rsid w:val="007D6FD9"/>
    <w:rsid w:val="007D7BDF"/>
    <w:rsid w:val="007D7E88"/>
    <w:rsid w:val="007E20AD"/>
    <w:rsid w:val="007E316D"/>
    <w:rsid w:val="007E765E"/>
    <w:rsid w:val="007F1A07"/>
    <w:rsid w:val="007F64D6"/>
    <w:rsid w:val="007F796F"/>
    <w:rsid w:val="008013C3"/>
    <w:rsid w:val="008024AC"/>
    <w:rsid w:val="00802A6E"/>
    <w:rsid w:val="00803197"/>
    <w:rsid w:val="00803861"/>
    <w:rsid w:val="0080413E"/>
    <w:rsid w:val="00804B14"/>
    <w:rsid w:val="00805E54"/>
    <w:rsid w:val="00805F04"/>
    <w:rsid w:val="00806D21"/>
    <w:rsid w:val="00811A83"/>
    <w:rsid w:val="00812D40"/>
    <w:rsid w:val="00813392"/>
    <w:rsid w:val="00813AF7"/>
    <w:rsid w:val="00813BB1"/>
    <w:rsid w:val="00816931"/>
    <w:rsid w:val="008230F0"/>
    <w:rsid w:val="008232FC"/>
    <w:rsid w:val="00825DA7"/>
    <w:rsid w:val="008313CD"/>
    <w:rsid w:val="00832483"/>
    <w:rsid w:val="00832AA7"/>
    <w:rsid w:val="0083769F"/>
    <w:rsid w:val="0084035E"/>
    <w:rsid w:val="008410DB"/>
    <w:rsid w:val="008438B1"/>
    <w:rsid w:val="00856FCE"/>
    <w:rsid w:val="008576EE"/>
    <w:rsid w:val="0086069D"/>
    <w:rsid w:val="00865A02"/>
    <w:rsid w:val="0086759A"/>
    <w:rsid w:val="00871B5A"/>
    <w:rsid w:val="00872C61"/>
    <w:rsid w:val="008764D1"/>
    <w:rsid w:val="00876E2D"/>
    <w:rsid w:val="00877BD3"/>
    <w:rsid w:val="00880653"/>
    <w:rsid w:val="00880AB1"/>
    <w:rsid w:val="008813BB"/>
    <w:rsid w:val="00881A95"/>
    <w:rsid w:val="00883589"/>
    <w:rsid w:val="00883A6B"/>
    <w:rsid w:val="00883CFA"/>
    <w:rsid w:val="0088407F"/>
    <w:rsid w:val="008848A3"/>
    <w:rsid w:val="00884E39"/>
    <w:rsid w:val="00884EF7"/>
    <w:rsid w:val="00885237"/>
    <w:rsid w:val="0089066D"/>
    <w:rsid w:val="00893676"/>
    <w:rsid w:val="008A25E8"/>
    <w:rsid w:val="008A580B"/>
    <w:rsid w:val="008A5F80"/>
    <w:rsid w:val="008B0CE5"/>
    <w:rsid w:val="008B1E0F"/>
    <w:rsid w:val="008B24D1"/>
    <w:rsid w:val="008B284C"/>
    <w:rsid w:val="008C167D"/>
    <w:rsid w:val="008C25B1"/>
    <w:rsid w:val="008C2754"/>
    <w:rsid w:val="008C2A48"/>
    <w:rsid w:val="008C4891"/>
    <w:rsid w:val="008C593E"/>
    <w:rsid w:val="008C6AE9"/>
    <w:rsid w:val="008C6FC8"/>
    <w:rsid w:val="008C7A6B"/>
    <w:rsid w:val="008D5427"/>
    <w:rsid w:val="008D7DBF"/>
    <w:rsid w:val="008E3726"/>
    <w:rsid w:val="008F2C8C"/>
    <w:rsid w:val="008F2F90"/>
    <w:rsid w:val="008F344C"/>
    <w:rsid w:val="008F41B0"/>
    <w:rsid w:val="008F5360"/>
    <w:rsid w:val="00900E64"/>
    <w:rsid w:val="00903614"/>
    <w:rsid w:val="009045FC"/>
    <w:rsid w:val="00904E61"/>
    <w:rsid w:val="00905097"/>
    <w:rsid w:val="0090530E"/>
    <w:rsid w:val="009058DF"/>
    <w:rsid w:val="00907C27"/>
    <w:rsid w:val="009104A1"/>
    <w:rsid w:val="00916ED9"/>
    <w:rsid w:val="00917CE8"/>
    <w:rsid w:val="00922AE8"/>
    <w:rsid w:val="009233A2"/>
    <w:rsid w:val="0092355F"/>
    <w:rsid w:val="00926368"/>
    <w:rsid w:val="00931815"/>
    <w:rsid w:val="009329CC"/>
    <w:rsid w:val="00933030"/>
    <w:rsid w:val="00933A9F"/>
    <w:rsid w:val="00935B31"/>
    <w:rsid w:val="00935EF8"/>
    <w:rsid w:val="00937598"/>
    <w:rsid w:val="009450E5"/>
    <w:rsid w:val="00945149"/>
    <w:rsid w:val="00953494"/>
    <w:rsid w:val="0095382F"/>
    <w:rsid w:val="0095425F"/>
    <w:rsid w:val="00954CFC"/>
    <w:rsid w:val="00956670"/>
    <w:rsid w:val="0096244A"/>
    <w:rsid w:val="00962496"/>
    <w:rsid w:val="00967BAB"/>
    <w:rsid w:val="00970367"/>
    <w:rsid w:val="00970700"/>
    <w:rsid w:val="0097101C"/>
    <w:rsid w:val="0097135D"/>
    <w:rsid w:val="0097550C"/>
    <w:rsid w:val="009756F6"/>
    <w:rsid w:val="0097672F"/>
    <w:rsid w:val="00976A7B"/>
    <w:rsid w:val="0098004B"/>
    <w:rsid w:val="009824A6"/>
    <w:rsid w:val="00984F73"/>
    <w:rsid w:val="00985FFA"/>
    <w:rsid w:val="00990614"/>
    <w:rsid w:val="00991295"/>
    <w:rsid w:val="009917AB"/>
    <w:rsid w:val="0099180A"/>
    <w:rsid w:val="00991A80"/>
    <w:rsid w:val="009947B1"/>
    <w:rsid w:val="00994FFE"/>
    <w:rsid w:val="0099695C"/>
    <w:rsid w:val="009A0387"/>
    <w:rsid w:val="009A1694"/>
    <w:rsid w:val="009A1992"/>
    <w:rsid w:val="009A37B9"/>
    <w:rsid w:val="009A4427"/>
    <w:rsid w:val="009A6A37"/>
    <w:rsid w:val="009A6FEF"/>
    <w:rsid w:val="009A7FED"/>
    <w:rsid w:val="009B60F9"/>
    <w:rsid w:val="009C04AB"/>
    <w:rsid w:val="009C1107"/>
    <w:rsid w:val="009C3007"/>
    <w:rsid w:val="009C6993"/>
    <w:rsid w:val="009D0419"/>
    <w:rsid w:val="009D28E9"/>
    <w:rsid w:val="009D3822"/>
    <w:rsid w:val="009D4C00"/>
    <w:rsid w:val="009E4AC6"/>
    <w:rsid w:val="009E5DE2"/>
    <w:rsid w:val="009E7CC1"/>
    <w:rsid w:val="009F3544"/>
    <w:rsid w:val="009F5587"/>
    <w:rsid w:val="009F7208"/>
    <w:rsid w:val="00A05A37"/>
    <w:rsid w:val="00A1071D"/>
    <w:rsid w:val="00A11706"/>
    <w:rsid w:val="00A129B1"/>
    <w:rsid w:val="00A137C3"/>
    <w:rsid w:val="00A13F59"/>
    <w:rsid w:val="00A21C31"/>
    <w:rsid w:val="00A24E79"/>
    <w:rsid w:val="00A254C6"/>
    <w:rsid w:val="00A25713"/>
    <w:rsid w:val="00A30889"/>
    <w:rsid w:val="00A317E5"/>
    <w:rsid w:val="00A33830"/>
    <w:rsid w:val="00A34BE3"/>
    <w:rsid w:val="00A36073"/>
    <w:rsid w:val="00A40D0D"/>
    <w:rsid w:val="00A41735"/>
    <w:rsid w:val="00A4427E"/>
    <w:rsid w:val="00A4506D"/>
    <w:rsid w:val="00A52D6C"/>
    <w:rsid w:val="00A52E60"/>
    <w:rsid w:val="00A560B2"/>
    <w:rsid w:val="00A61F61"/>
    <w:rsid w:val="00A63EED"/>
    <w:rsid w:val="00A67C7D"/>
    <w:rsid w:val="00A706C0"/>
    <w:rsid w:val="00A7162C"/>
    <w:rsid w:val="00A732B9"/>
    <w:rsid w:val="00A777AB"/>
    <w:rsid w:val="00A865CD"/>
    <w:rsid w:val="00A868A9"/>
    <w:rsid w:val="00A86B6F"/>
    <w:rsid w:val="00A8727A"/>
    <w:rsid w:val="00A93DA1"/>
    <w:rsid w:val="00A9659A"/>
    <w:rsid w:val="00AA0D7F"/>
    <w:rsid w:val="00AA1A48"/>
    <w:rsid w:val="00AA1C95"/>
    <w:rsid w:val="00AB065E"/>
    <w:rsid w:val="00AB1776"/>
    <w:rsid w:val="00AB1916"/>
    <w:rsid w:val="00AB2A0E"/>
    <w:rsid w:val="00AB31D2"/>
    <w:rsid w:val="00AB3421"/>
    <w:rsid w:val="00AC0516"/>
    <w:rsid w:val="00AC131F"/>
    <w:rsid w:val="00AD1142"/>
    <w:rsid w:val="00AD1D17"/>
    <w:rsid w:val="00AD6D13"/>
    <w:rsid w:val="00AE308D"/>
    <w:rsid w:val="00AE707F"/>
    <w:rsid w:val="00AE77F6"/>
    <w:rsid w:val="00AF067B"/>
    <w:rsid w:val="00AF0D4F"/>
    <w:rsid w:val="00AF13CD"/>
    <w:rsid w:val="00AF243E"/>
    <w:rsid w:val="00AF6025"/>
    <w:rsid w:val="00B02B06"/>
    <w:rsid w:val="00B02CDF"/>
    <w:rsid w:val="00B03B33"/>
    <w:rsid w:val="00B03DE8"/>
    <w:rsid w:val="00B055D9"/>
    <w:rsid w:val="00B15186"/>
    <w:rsid w:val="00B2229E"/>
    <w:rsid w:val="00B2292D"/>
    <w:rsid w:val="00B24C95"/>
    <w:rsid w:val="00B251C7"/>
    <w:rsid w:val="00B269AD"/>
    <w:rsid w:val="00B27C01"/>
    <w:rsid w:val="00B300BA"/>
    <w:rsid w:val="00B30FB8"/>
    <w:rsid w:val="00B32C21"/>
    <w:rsid w:val="00B34030"/>
    <w:rsid w:val="00B3474D"/>
    <w:rsid w:val="00B360DD"/>
    <w:rsid w:val="00B43931"/>
    <w:rsid w:val="00B47EF3"/>
    <w:rsid w:val="00B51F6C"/>
    <w:rsid w:val="00B53E33"/>
    <w:rsid w:val="00B54489"/>
    <w:rsid w:val="00B609B3"/>
    <w:rsid w:val="00B6101E"/>
    <w:rsid w:val="00B62678"/>
    <w:rsid w:val="00B63720"/>
    <w:rsid w:val="00B703B6"/>
    <w:rsid w:val="00B706F5"/>
    <w:rsid w:val="00B71268"/>
    <w:rsid w:val="00B721B3"/>
    <w:rsid w:val="00B72613"/>
    <w:rsid w:val="00B741F2"/>
    <w:rsid w:val="00B76683"/>
    <w:rsid w:val="00B770BA"/>
    <w:rsid w:val="00B77F66"/>
    <w:rsid w:val="00B807CD"/>
    <w:rsid w:val="00B82D2B"/>
    <w:rsid w:val="00B85751"/>
    <w:rsid w:val="00B868FD"/>
    <w:rsid w:val="00B86C71"/>
    <w:rsid w:val="00B90806"/>
    <w:rsid w:val="00B912E7"/>
    <w:rsid w:val="00B95A8D"/>
    <w:rsid w:val="00B97FCB"/>
    <w:rsid w:val="00BA212B"/>
    <w:rsid w:val="00BA5488"/>
    <w:rsid w:val="00BB002A"/>
    <w:rsid w:val="00BB0FB9"/>
    <w:rsid w:val="00BB61BD"/>
    <w:rsid w:val="00BC2CFD"/>
    <w:rsid w:val="00BC3F70"/>
    <w:rsid w:val="00BC680B"/>
    <w:rsid w:val="00BD018E"/>
    <w:rsid w:val="00BD31C7"/>
    <w:rsid w:val="00BE2D7A"/>
    <w:rsid w:val="00BF13FB"/>
    <w:rsid w:val="00BF2510"/>
    <w:rsid w:val="00BF27D9"/>
    <w:rsid w:val="00C00B57"/>
    <w:rsid w:val="00C02297"/>
    <w:rsid w:val="00C02747"/>
    <w:rsid w:val="00C04C03"/>
    <w:rsid w:val="00C04E23"/>
    <w:rsid w:val="00C06EE7"/>
    <w:rsid w:val="00C0714B"/>
    <w:rsid w:val="00C079CC"/>
    <w:rsid w:val="00C07D16"/>
    <w:rsid w:val="00C07E44"/>
    <w:rsid w:val="00C1306D"/>
    <w:rsid w:val="00C130E9"/>
    <w:rsid w:val="00C13B27"/>
    <w:rsid w:val="00C154EF"/>
    <w:rsid w:val="00C17D32"/>
    <w:rsid w:val="00C24A79"/>
    <w:rsid w:val="00C25DEA"/>
    <w:rsid w:val="00C25F0C"/>
    <w:rsid w:val="00C26103"/>
    <w:rsid w:val="00C2749B"/>
    <w:rsid w:val="00C30595"/>
    <w:rsid w:val="00C31680"/>
    <w:rsid w:val="00C3334F"/>
    <w:rsid w:val="00C34A83"/>
    <w:rsid w:val="00C36387"/>
    <w:rsid w:val="00C36759"/>
    <w:rsid w:val="00C4309B"/>
    <w:rsid w:val="00C4466D"/>
    <w:rsid w:val="00C45CB7"/>
    <w:rsid w:val="00C46D42"/>
    <w:rsid w:val="00C5213C"/>
    <w:rsid w:val="00C54B6B"/>
    <w:rsid w:val="00C54C8B"/>
    <w:rsid w:val="00C617EA"/>
    <w:rsid w:val="00C63958"/>
    <w:rsid w:val="00C63DA7"/>
    <w:rsid w:val="00C71665"/>
    <w:rsid w:val="00C729A0"/>
    <w:rsid w:val="00C72A0E"/>
    <w:rsid w:val="00C75278"/>
    <w:rsid w:val="00C75DEF"/>
    <w:rsid w:val="00C769B8"/>
    <w:rsid w:val="00C76D59"/>
    <w:rsid w:val="00C8307D"/>
    <w:rsid w:val="00C858A5"/>
    <w:rsid w:val="00C90EA7"/>
    <w:rsid w:val="00C91015"/>
    <w:rsid w:val="00C91B90"/>
    <w:rsid w:val="00C96EF6"/>
    <w:rsid w:val="00C96F15"/>
    <w:rsid w:val="00C97463"/>
    <w:rsid w:val="00C97A3F"/>
    <w:rsid w:val="00CA3973"/>
    <w:rsid w:val="00CA5388"/>
    <w:rsid w:val="00CB076F"/>
    <w:rsid w:val="00CB104F"/>
    <w:rsid w:val="00CB57E9"/>
    <w:rsid w:val="00CC001C"/>
    <w:rsid w:val="00CC186B"/>
    <w:rsid w:val="00CC6077"/>
    <w:rsid w:val="00CD04D0"/>
    <w:rsid w:val="00CD0D80"/>
    <w:rsid w:val="00CD2106"/>
    <w:rsid w:val="00CD29FB"/>
    <w:rsid w:val="00CD31DC"/>
    <w:rsid w:val="00CD7ED1"/>
    <w:rsid w:val="00CE181D"/>
    <w:rsid w:val="00CE1C37"/>
    <w:rsid w:val="00CE26A0"/>
    <w:rsid w:val="00CE3909"/>
    <w:rsid w:val="00CE3E75"/>
    <w:rsid w:val="00CE52AF"/>
    <w:rsid w:val="00CE69BA"/>
    <w:rsid w:val="00CE706A"/>
    <w:rsid w:val="00CE76C4"/>
    <w:rsid w:val="00CF02E2"/>
    <w:rsid w:val="00CF0A0B"/>
    <w:rsid w:val="00CF0BE9"/>
    <w:rsid w:val="00CF215A"/>
    <w:rsid w:val="00CF38E5"/>
    <w:rsid w:val="00CF3B80"/>
    <w:rsid w:val="00CF53E2"/>
    <w:rsid w:val="00D00931"/>
    <w:rsid w:val="00D01C22"/>
    <w:rsid w:val="00D05A4D"/>
    <w:rsid w:val="00D068E4"/>
    <w:rsid w:val="00D104DD"/>
    <w:rsid w:val="00D13FE7"/>
    <w:rsid w:val="00D14255"/>
    <w:rsid w:val="00D164EE"/>
    <w:rsid w:val="00D23252"/>
    <w:rsid w:val="00D25121"/>
    <w:rsid w:val="00D26DC3"/>
    <w:rsid w:val="00D327A3"/>
    <w:rsid w:val="00D3361D"/>
    <w:rsid w:val="00D3399C"/>
    <w:rsid w:val="00D36A4C"/>
    <w:rsid w:val="00D42D80"/>
    <w:rsid w:val="00D4373F"/>
    <w:rsid w:val="00D44246"/>
    <w:rsid w:val="00D44849"/>
    <w:rsid w:val="00D500A8"/>
    <w:rsid w:val="00D5088E"/>
    <w:rsid w:val="00D51703"/>
    <w:rsid w:val="00D5314F"/>
    <w:rsid w:val="00D546BC"/>
    <w:rsid w:val="00D56866"/>
    <w:rsid w:val="00D56991"/>
    <w:rsid w:val="00D574B4"/>
    <w:rsid w:val="00D57528"/>
    <w:rsid w:val="00D5753C"/>
    <w:rsid w:val="00D61EB7"/>
    <w:rsid w:val="00D61ED0"/>
    <w:rsid w:val="00D6335E"/>
    <w:rsid w:val="00D64AD2"/>
    <w:rsid w:val="00D65744"/>
    <w:rsid w:val="00D65F29"/>
    <w:rsid w:val="00D7198B"/>
    <w:rsid w:val="00D71CD6"/>
    <w:rsid w:val="00D73DEB"/>
    <w:rsid w:val="00D741B8"/>
    <w:rsid w:val="00D74208"/>
    <w:rsid w:val="00D749F1"/>
    <w:rsid w:val="00D74A49"/>
    <w:rsid w:val="00D76797"/>
    <w:rsid w:val="00D77FDC"/>
    <w:rsid w:val="00D868C9"/>
    <w:rsid w:val="00D86A06"/>
    <w:rsid w:val="00D87225"/>
    <w:rsid w:val="00D908C8"/>
    <w:rsid w:val="00D932D2"/>
    <w:rsid w:val="00D94343"/>
    <w:rsid w:val="00D969C6"/>
    <w:rsid w:val="00D96CAC"/>
    <w:rsid w:val="00D973EA"/>
    <w:rsid w:val="00DA0700"/>
    <w:rsid w:val="00DA2069"/>
    <w:rsid w:val="00DA22BD"/>
    <w:rsid w:val="00DA623B"/>
    <w:rsid w:val="00DA63DC"/>
    <w:rsid w:val="00DA737A"/>
    <w:rsid w:val="00DA7EA0"/>
    <w:rsid w:val="00DB6014"/>
    <w:rsid w:val="00DB61C8"/>
    <w:rsid w:val="00DB6A66"/>
    <w:rsid w:val="00DB7B01"/>
    <w:rsid w:val="00DB7B9C"/>
    <w:rsid w:val="00DC063C"/>
    <w:rsid w:val="00DC0B42"/>
    <w:rsid w:val="00DC1338"/>
    <w:rsid w:val="00DC6C59"/>
    <w:rsid w:val="00DD1A80"/>
    <w:rsid w:val="00DD2DCB"/>
    <w:rsid w:val="00DD3B46"/>
    <w:rsid w:val="00DD4356"/>
    <w:rsid w:val="00DD5FD5"/>
    <w:rsid w:val="00DD6CB1"/>
    <w:rsid w:val="00DE6D35"/>
    <w:rsid w:val="00DE7E57"/>
    <w:rsid w:val="00DE7F3D"/>
    <w:rsid w:val="00DF1C02"/>
    <w:rsid w:val="00DF2B41"/>
    <w:rsid w:val="00E00B41"/>
    <w:rsid w:val="00E015C8"/>
    <w:rsid w:val="00E01D8B"/>
    <w:rsid w:val="00E02312"/>
    <w:rsid w:val="00E02404"/>
    <w:rsid w:val="00E041B9"/>
    <w:rsid w:val="00E13747"/>
    <w:rsid w:val="00E20121"/>
    <w:rsid w:val="00E21AFC"/>
    <w:rsid w:val="00E222A8"/>
    <w:rsid w:val="00E3076E"/>
    <w:rsid w:val="00E31DE4"/>
    <w:rsid w:val="00E3218C"/>
    <w:rsid w:val="00E338C9"/>
    <w:rsid w:val="00E33AF6"/>
    <w:rsid w:val="00E3405F"/>
    <w:rsid w:val="00E35922"/>
    <w:rsid w:val="00E361BB"/>
    <w:rsid w:val="00E36998"/>
    <w:rsid w:val="00E36B10"/>
    <w:rsid w:val="00E405E5"/>
    <w:rsid w:val="00E42459"/>
    <w:rsid w:val="00E42539"/>
    <w:rsid w:val="00E449CB"/>
    <w:rsid w:val="00E47BA7"/>
    <w:rsid w:val="00E50044"/>
    <w:rsid w:val="00E51A54"/>
    <w:rsid w:val="00E5302F"/>
    <w:rsid w:val="00E53A07"/>
    <w:rsid w:val="00E551C0"/>
    <w:rsid w:val="00E55AC0"/>
    <w:rsid w:val="00E6360F"/>
    <w:rsid w:val="00E6517C"/>
    <w:rsid w:val="00E66D23"/>
    <w:rsid w:val="00E72FE9"/>
    <w:rsid w:val="00E7492D"/>
    <w:rsid w:val="00E76143"/>
    <w:rsid w:val="00E77620"/>
    <w:rsid w:val="00E77C7F"/>
    <w:rsid w:val="00E83E2D"/>
    <w:rsid w:val="00E84C67"/>
    <w:rsid w:val="00E8774B"/>
    <w:rsid w:val="00E90532"/>
    <w:rsid w:val="00E90DBB"/>
    <w:rsid w:val="00E91DA2"/>
    <w:rsid w:val="00E94421"/>
    <w:rsid w:val="00E95234"/>
    <w:rsid w:val="00E95E2B"/>
    <w:rsid w:val="00E96598"/>
    <w:rsid w:val="00E97030"/>
    <w:rsid w:val="00EA3186"/>
    <w:rsid w:val="00EA3F60"/>
    <w:rsid w:val="00EB0998"/>
    <w:rsid w:val="00EB2EEA"/>
    <w:rsid w:val="00EB3C5B"/>
    <w:rsid w:val="00EB3DC5"/>
    <w:rsid w:val="00EC0A56"/>
    <w:rsid w:val="00EC3197"/>
    <w:rsid w:val="00EC5A5A"/>
    <w:rsid w:val="00EC7A7D"/>
    <w:rsid w:val="00ED25B0"/>
    <w:rsid w:val="00ED2894"/>
    <w:rsid w:val="00ED340A"/>
    <w:rsid w:val="00ED487F"/>
    <w:rsid w:val="00ED51D6"/>
    <w:rsid w:val="00ED5459"/>
    <w:rsid w:val="00ED7D8F"/>
    <w:rsid w:val="00EE026D"/>
    <w:rsid w:val="00EE3A16"/>
    <w:rsid w:val="00EE3D9D"/>
    <w:rsid w:val="00EE4F4D"/>
    <w:rsid w:val="00EE562C"/>
    <w:rsid w:val="00EE63DC"/>
    <w:rsid w:val="00EE6A48"/>
    <w:rsid w:val="00EE7B01"/>
    <w:rsid w:val="00EF15F7"/>
    <w:rsid w:val="00EF17D7"/>
    <w:rsid w:val="00EF3A39"/>
    <w:rsid w:val="00EF67AA"/>
    <w:rsid w:val="00EF7A99"/>
    <w:rsid w:val="00F0268E"/>
    <w:rsid w:val="00F0797E"/>
    <w:rsid w:val="00F102B9"/>
    <w:rsid w:val="00F103F5"/>
    <w:rsid w:val="00F11FE8"/>
    <w:rsid w:val="00F121F6"/>
    <w:rsid w:val="00F12D4D"/>
    <w:rsid w:val="00F166F8"/>
    <w:rsid w:val="00F16C4D"/>
    <w:rsid w:val="00F17718"/>
    <w:rsid w:val="00F209E2"/>
    <w:rsid w:val="00F20FBF"/>
    <w:rsid w:val="00F33773"/>
    <w:rsid w:val="00F33818"/>
    <w:rsid w:val="00F33E4D"/>
    <w:rsid w:val="00F34A07"/>
    <w:rsid w:val="00F35211"/>
    <w:rsid w:val="00F41A32"/>
    <w:rsid w:val="00F4228F"/>
    <w:rsid w:val="00F47C03"/>
    <w:rsid w:val="00F564B9"/>
    <w:rsid w:val="00F63232"/>
    <w:rsid w:val="00F67316"/>
    <w:rsid w:val="00F7676D"/>
    <w:rsid w:val="00F8005A"/>
    <w:rsid w:val="00F80F7F"/>
    <w:rsid w:val="00F82044"/>
    <w:rsid w:val="00F84ED9"/>
    <w:rsid w:val="00F87D3E"/>
    <w:rsid w:val="00F87EEC"/>
    <w:rsid w:val="00F9116E"/>
    <w:rsid w:val="00F93416"/>
    <w:rsid w:val="00F939F7"/>
    <w:rsid w:val="00F94641"/>
    <w:rsid w:val="00F97D5B"/>
    <w:rsid w:val="00FA0258"/>
    <w:rsid w:val="00FA16B3"/>
    <w:rsid w:val="00FA6114"/>
    <w:rsid w:val="00FA64C6"/>
    <w:rsid w:val="00FA7CDF"/>
    <w:rsid w:val="00FB0E7C"/>
    <w:rsid w:val="00FB1C19"/>
    <w:rsid w:val="00FB3F3C"/>
    <w:rsid w:val="00FB4D32"/>
    <w:rsid w:val="00FB5986"/>
    <w:rsid w:val="00FC2D7E"/>
    <w:rsid w:val="00FC4B8C"/>
    <w:rsid w:val="00FC53BF"/>
    <w:rsid w:val="00FC643C"/>
    <w:rsid w:val="00FC79E7"/>
    <w:rsid w:val="00FD034D"/>
    <w:rsid w:val="00FD0BE3"/>
    <w:rsid w:val="00FD271A"/>
    <w:rsid w:val="00FD2CBF"/>
    <w:rsid w:val="00FD4D3D"/>
    <w:rsid w:val="00FD5547"/>
    <w:rsid w:val="00FE04E1"/>
    <w:rsid w:val="00FE528D"/>
    <w:rsid w:val="00FE6CC4"/>
    <w:rsid w:val="00FE6DC6"/>
    <w:rsid w:val="00FF1C5C"/>
    <w:rsid w:val="00FF52FA"/>
    <w:rsid w:val="00FF79CD"/>
    <w:rsid w:val="00FF7BC6"/>
    <w:rsid w:val="1DE729AC"/>
    <w:rsid w:val="5D7BF501"/>
    <w:rsid w:val="7DF52DD6"/>
    <w:rsid w:val="9DFB4F48"/>
    <w:rsid w:val="AE5E7476"/>
    <w:rsid w:val="EFE79DFB"/>
    <w:rsid w:val="FBAF8C7D"/>
    <w:rsid w:val="FDFC51C0"/>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PH" w:eastAsia="en-US" w:bidi="ar-SA"/>
      <w14:ligatures w14:val="standardContextual"/>
    </w:rPr>
  </w:style>
  <w:style w:type="paragraph" w:styleId="2">
    <w:name w:val="heading 1"/>
    <w:basedOn w:val="1"/>
    <w:next w:val="1"/>
    <w:link w:val="29"/>
    <w:qFormat/>
    <w:uiPriority w:val="9"/>
    <w:pPr>
      <w:keepNext/>
      <w:keepLines/>
      <w:spacing w:before="240"/>
      <w:outlineLvl w:val="0"/>
    </w:pPr>
    <w:rPr>
      <w:rFonts w:asciiTheme="majorHAnsi" w:hAnsiTheme="majorHAnsi" w:eastAsiaTheme="majorEastAsia" w:cstheme="majorBidi"/>
      <w:color w:val="2F5597" w:themeColor="accent1" w:themeShade="BF"/>
      <w:sz w:val="32"/>
      <w:szCs w:val="32"/>
    </w:rPr>
  </w:style>
  <w:style w:type="paragraph" w:styleId="3">
    <w:name w:val="heading 3"/>
    <w:basedOn w:val="1"/>
    <w:link w:val="25"/>
    <w:qFormat/>
    <w:uiPriority w:val="9"/>
    <w:pPr>
      <w:spacing w:before="100" w:beforeAutospacing="1" w:after="100" w:afterAutospacing="1"/>
      <w:outlineLvl w:val="2"/>
    </w:pPr>
    <w:rPr>
      <w:rFonts w:ascii="Times New Roman" w:hAnsi="Times New Roman" w:eastAsia="Times New Roman" w:cs="Times New Roman"/>
      <w:b/>
      <w:bCs/>
      <w:kern w:val="0"/>
      <w:sz w:val="27"/>
      <w:szCs w:val="27"/>
      <w14:ligatures w14:val="none"/>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character" w:styleId="6">
    <w:name w:val="annotation reference"/>
    <w:basedOn w:val="4"/>
    <w:semiHidden/>
    <w:unhideWhenUsed/>
    <w:uiPriority w:val="99"/>
    <w:rPr>
      <w:sz w:val="16"/>
      <w:szCs w:val="16"/>
    </w:rPr>
  </w:style>
  <w:style w:type="paragraph" w:styleId="7">
    <w:name w:val="annotation text"/>
    <w:basedOn w:val="1"/>
    <w:link w:val="22"/>
    <w:semiHidden/>
    <w:unhideWhenUsed/>
    <w:uiPriority w:val="99"/>
    <w:rPr>
      <w:sz w:val="20"/>
      <w:szCs w:val="20"/>
    </w:rPr>
  </w:style>
  <w:style w:type="paragraph" w:styleId="8">
    <w:name w:val="annotation subject"/>
    <w:basedOn w:val="7"/>
    <w:next w:val="7"/>
    <w:link w:val="23"/>
    <w:semiHidden/>
    <w:unhideWhenUsed/>
    <w:qFormat/>
    <w:uiPriority w:val="99"/>
    <w:rPr>
      <w:b/>
      <w:bCs/>
    </w:rPr>
  </w:style>
  <w:style w:type="character" w:styleId="9">
    <w:name w:val="Emphasis"/>
    <w:basedOn w:val="4"/>
    <w:qFormat/>
    <w:uiPriority w:val="20"/>
    <w:rPr>
      <w:i/>
      <w:iCs/>
    </w:rPr>
  </w:style>
  <w:style w:type="character" w:styleId="10">
    <w:name w:val="FollowedHyperlink"/>
    <w:basedOn w:val="4"/>
    <w:semiHidden/>
    <w:unhideWhenUsed/>
    <w:uiPriority w:val="99"/>
    <w:rPr>
      <w:color w:val="954F72" w:themeColor="followedHyperlink"/>
      <w:u w:val="single"/>
      <w14:textFill>
        <w14:solidFill>
          <w14:schemeClr w14:val="folHlink"/>
        </w14:solidFill>
      </w14:textFill>
    </w:rPr>
  </w:style>
  <w:style w:type="paragraph" w:styleId="11">
    <w:name w:val="footer"/>
    <w:basedOn w:val="1"/>
    <w:link w:val="19"/>
    <w:unhideWhenUsed/>
    <w:uiPriority w:val="99"/>
    <w:pPr>
      <w:tabs>
        <w:tab w:val="center" w:pos="4680"/>
        <w:tab w:val="right" w:pos="9360"/>
      </w:tabs>
    </w:pPr>
  </w:style>
  <w:style w:type="paragraph" w:styleId="12">
    <w:name w:val="header"/>
    <w:basedOn w:val="1"/>
    <w:link w:val="18"/>
    <w:unhideWhenUsed/>
    <w:uiPriority w:val="99"/>
    <w:pPr>
      <w:tabs>
        <w:tab w:val="center" w:pos="4680"/>
        <w:tab w:val="right" w:pos="9360"/>
      </w:tabs>
    </w:pPr>
  </w:style>
  <w:style w:type="character" w:styleId="13">
    <w:name w:val="Hyperlink"/>
    <w:basedOn w:val="4"/>
    <w:unhideWhenUsed/>
    <w:uiPriority w:val="99"/>
    <w:rPr>
      <w:color w:val="0563C1" w:themeColor="hyperlink"/>
      <w:u w:val="single"/>
      <w14:textFill>
        <w14:solidFill>
          <w14:schemeClr w14:val="hlink"/>
        </w14:solidFill>
      </w14:textFill>
    </w:rPr>
  </w:style>
  <w:style w:type="character" w:styleId="14">
    <w:name w:val="page number"/>
    <w:basedOn w:val="4"/>
    <w:semiHidden/>
    <w:unhideWhenUsed/>
    <w:uiPriority w:val="99"/>
  </w:style>
  <w:style w:type="character" w:styleId="15">
    <w:name w:val="Strong"/>
    <w:basedOn w:val="4"/>
    <w:qFormat/>
    <w:uiPriority w:val="22"/>
    <w:rPr>
      <w:b/>
      <w:bCs/>
    </w:rPr>
  </w:style>
  <w:style w:type="table" w:styleId="1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apple-converted-space"/>
    <w:basedOn w:val="4"/>
    <w:uiPriority w:val="0"/>
  </w:style>
  <w:style w:type="character" w:customStyle="1" w:styleId="18">
    <w:name w:val="Header Char"/>
    <w:basedOn w:val="4"/>
    <w:link w:val="12"/>
    <w:uiPriority w:val="99"/>
  </w:style>
  <w:style w:type="character" w:customStyle="1" w:styleId="19">
    <w:name w:val="Footer Char"/>
    <w:basedOn w:val="4"/>
    <w:link w:val="11"/>
    <w:uiPriority w:val="99"/>
  </w:style>
  <w:style w:type="paragraph" w:styleId="20">
    <w:name w:val="List Paragraph"/>
    <w:basedOn w:val="1"/>
    <w:qFormat/>
    <w:uiPriority w:val="34"/>
    <w:pPr>
      <w:ind w:left="720"/>
      <w:contextualSpacing/>
    </w:pPr>
    <w:rPr>
      <w:kern w:val="0"/>
      <w14:ligatures w14:val="none"/>
    </w:rPr>
  </w:style>
  <w:style w:type="character" w:customStyle="1" w:styleId="21">
    <w:name w:val="Unresolved Mention"/>
    <w:basedOn w:val="4"/>
    <w:semiHidden/>
    <w:unhideWhenUsed/>
    <w:uiPriority w:val="99"/>
    <w:rPr>
      <w:color w:val="605E5C"/>
      <w:shd w:val="clear" w:color="auto" w:fill="E1DFDD"/>
    </w:rPr>
  </w:style>
  <w:style w:type="character" w:customStyle="1" w:styleId="22">
    <w:name w:val="Comment Text Char"/>
    <w:basedOn w:val="4"/>
    <w:link w:val="7"/>
    <w:semiHidden/>
    <w:uiPriority w:val="99"/>
    <w:rPr>
      <w:sz w:val="20"/>
      <w:szCs w:val="20"/>
    </w:rPr>
  </w:style>
  <w:style w:type="character" w:customStyle="1" w:styleId="23">
    <w:name w:val="Comment Subject Char"/>
    <w:basedOn w:val="22"/>
    <w:link w:val="8"/>
    <w:semiHidden/>
    <w:qFormat/>
    <w:uiPriority w:val="99"/>
    <w:rPr>
      <w:b/>
      <w:bCs/>
      <w:sz w:val="20"/>
      <w:szCs w:val="20"/>
    </w:rPr>
  </w:style>
  <w:style w:type="paragraph" w:customStyle="1" w:styleId="24">
    <w:name w:val="Revision"/>
    <w:hidden/>
    <w:semiHidden/>
    <w:qFormat/>
    <w:uiPriority w:val="99"/>
    <w:rPr>
      <w:rFonts w:asciiTheme="minorHAnsi" w:hAnsiTheme="minorHAnsi" w:eastAsiaTheme="minorHAnsi" w:cstheme="minorBidi"/>
      <w:kern w:val="2"/>
      <w:sz w:val="24"/>
      <w:szCs w:val="24"/>
      <w:lang w:val="en-PH" w:eastAsia="en-US" w:bidi="ar-SA"/>
      <w14:ligatures w14:val="standardContextual"/>
    </w:rPr>
  </w:style>
  <w:style w:type="character" w:customStyle="1" w:styleId="25">
    <w:name w:val="Heading 3 Char"/>
    <w:basedOn w:val="4"/>
    <w:link w:val="3"/>
    <w:uiPriority w:val="9"/>
    <w:rPr>
      <w:rFonts w:ascii="Times New Roman" w:hAnsi="Times New Roman" w:eastAsia="Times New Roman" w:cs="Times New Roman"/>
      <w:b/>
      <w:bCs/>
      <w:kern w:val="0"/>
      <w:sz w:val="27"/>
      <w:szCs w:val="27"/>
      <w14:ligatures w14:val="none"/>
    </w:rPr>
  </w:style>
  <w:style w:type="paragraph" w:customStyle="1" w:styleId="26">
    <w:name w:val="p"/>
    <w:basedOn w:val="1"/>
    <w:uiPriority w:val="0"/>
    <w:pPr>
      <w:spacing w:before="100" w:beforeAutospacing="1" w:after="100" w:afterAutospacing="1"/>
    </w:pPr>
    <w:rPr>
      <w:rFonts w:ascii="Times New Roman" w:hAnsi="Times New Roman" w:eastAsia="Times New Roman" w:cs="Times New Roman"/>
      <w:kern w:val="0"/>
      <w14:ligatures w14:val="none"/>
    </w:rPr>
  </w:style>
  <w:style w:type="character" w:customStyle="1" w:styleId="27">
    <w:name w:val="kwd-text"/>
    <w:basedOn w:val="4"/>
    <w:uiPriority w:val="0"/>
  </w:style>
  <w:style w:type="character" w:styleId="28">
    <w:name w:val="Placeholder Text"/>
    <w:basedOn w:val="4"/>
    <w:semiHidden/>
    <w:uiPriority w:val="99"/>
    <w:rPr>
      <w:color w:val="808080"/>
    </w:rPr>
  </w:style>
  <w:style w:type="character" w:customStyle="1" w:styleId="29">
    <w:name w:val="Heading 1 Char"/>
    <w:basedOn w:val="4"/>
    <w:link w:val="2"/>
    <w:qFormat/>
    <w:uiPriority w:val="9"/>
    <w:rPr>
      <w:rFonts w:asciiTheme="majorHAnsi" w:hAnsiTheme="majorHAnsi" w:eastAsiaTheme="majorEastAsia" w:cstheme="majorBidi"/>
      <w:color w:val="2F5597" w:themeColor="accent1" w:themeShade="BF"/>
      <w:sz w:val="32"/>
      <w:szCs w:val="32"/>
    </w:rPr>
  </w:style>
  <w:style w:type="character" w:customStyle="1" w:styleId="30">
    <w:name w:val="issue-heading"/>
    <w:basedOn w:val="4"/>
    <w:uiPriority w:val="0"/>
  </w:style>
  <w:style w:type="character" w:customStyle="1" w:styleId="31">
    <w:name w:val="sr-only"/>
    <w:basedOn w:val="4"/>
    <w:qFormat/>
    <w:uiPriority w:val="0"/>
  </w:style>
  <w:style w:type="paragraph" w:customStyle="1" w:styleId="32">
    <w:name w:val="a2a_listitem_custom"/>
    <w:basedOn w:val="1"/>
    <w:qFormat/>
    <w:uiPriority w:val="0"/>
    <w:pPr>
      <w:spacing w:before="100" w:beforeAutospacing="1" w:after="100" w:afterAutospacing="1"/>
    </w:pPr>
    <w:rPr>
      <w:rFonts w:ascii="Times New Roman" w:hAnsi="Times New Roman" w:eastAsia="Times New Roman" w:cs="Times New Roman"/>
      <w:kern w:val="0"/>
      <w14:ligatures w14:val="none"/>
    </w:rPr>
  </w:style>
  <w:style w:type="paragraph" w:customStyle="1" w:styleId="33">
    <w:name w:val="label"/>
    <w:basedOn w:val="1"/>
    <w:qFormat/>
    <w:uiPriority w:val="0"/>
    <w:pPr>
      <w:spacing w:before="100" w:beforeAutospacing="1" w:after="100" w:afterAutospacing="1"/>
    </w:pPr>
    <w:rPr>
      <w:rFonts w:ascii="Times New Roman" w:hAnsi="Times New Roman" w:eastAsia="Times New Roman" w:cs="Times New Roman"/>
      <w:kern w:val="0"/>
      <w14:ligatures w14:val="none"/>
    </w:rPr>
  </w:style>
  <w:style w:type="paragraph" w:customStyle="1" w:styleId="34">
    <w:name w:val="loa__item"/>
    <w:basedOn w:val="1"/>
    <w:qFormat/>
    <w:uiPriority w:val="0"/>
    <w:pPr>
      <w:spacing w:before="100" w:beforeAutospacing="1" w:after="100" w:afterAutospacing="1"/>
    </w:pPr>
    <w:rPr>
      <w:rFonts w:ascii="Times New Roman" w:hAnsi="Times New Roman" w:eastAsia="Times New Roman" w:cs="Times New Roman"/>
      <w:kern w:val="0"/>
      <w14:ligatures w14:val="none"/>
    </w:rPr>
  </w:style>
  <w:style w:type="character" w:customStyle="1" w:styleId="35">
    <w:name w:val="loa__author-info"/>
    <w:basedOn w:val="4"/>
    <w:qFormat/>
    <w:uiPriority w:val="0"/>
  </w:style>
  <w:style w:type="character" w:customStyle="1" w:styleId="36">
    <w:name w:val="loa__author-name"/>
    <w:basedOn w:val="4"/>
    <w:qFormat/>
    <w:uiPriority w:val="0"/>
  </w:style>
  <w:style w:type="character" w:customStyle="1" w:styleId="37">
    <w:name w:val="epub-section__title"/>
    <w:basedOn w:val="4"/>
    <w:uiPriority w:val="0"/>
  </w:style>
  <w:style w:type="character" w:customStyle="1" w:styleId="38">
    <w:name w:val="dot-separator"/>
    <w:basedOn w:val="4"/>
    <w:qFormat/>
    <w:uiPriority w:val="0"/>
  </w:style>
  <w:style w:type="character" w:customStyle="1" w:styleId="39">
    <w:name w:val="epub-section__date"/>
    <w:basedOn w:val="4"/>
    <w:qFormat/>
    <w:uiPriority w:val="0"/>
  </w:style>
  <w:style w:type="character" w:customStyle="1" w:styleId="40">
    <w:name w:val="epub-section__pagerange"/>
    <w:basedOn w:val="4"/>
    <w:qFormat/>
    <w:uiPriority w:val="0"/>
  </w:style>
  <w:style w:type="character" w:customStyle="1" w:styleId="41">
    <w:name w:val="bold"/>
    <w:basedOn w:val="4"/>
    <w:uiPriority w:val="0"/>
  </w:style>
  <w:style w:type="character" w:customStyle="1" w:styleId="42">
    <w:name w:val="citationcoverdate"/>
    <w:basedOn w:val="4"/>
    <w:qFormat/>
    <w:uiPriority w:val="0"/>
  </w:style>
  <w:style w:type="character" w:customStyle="1" w:styleId="43">
    <w:name w:val="authorname"/>
    <w:basedOn w:val="4"/>
    <w:qFormat/>
    <w:uiPriority w:val="0"/>
  </w:style>
  <w:style w:type="character" w:customStyle="1" w:styleId="44">
    <w:name w:val="separator"/>
    <w:basedOn w:val="4"/>
    <w:qFormat/>
    <w:uiPriority w:val="0"/>
  </w:style>
  <w:style w:type="character" w:customStyle="1" w:styleId="45">
    <w:name w:val="Date1"/>
    <w:basedOn w:val="4"/>
    <w:uiPriority w:val="0"/>
  </w:style>
  <w:style w:type="character" w:customStyle="1" w:styleId="46">
    <w:name w:val="art_title"/>
    <w:basedOn w:val="4"/>
    <w:qFormat/>
    <w:uiPriority w:val="0"/>
  </w:style>
  <w:style w:type="character" w:customStyle="1" w:styleId="47">
    <w:name w:val="serial_title"/>
    <w:basedOn w:val="4"/>
    <w:uiPriority w:val="0"/>
  </w:style>
  <w:style w:type="character" w:customStyle="1" w:styleId="48">
    <w:name w:val="volume_issue"/>
    <w:basedOn w:val="4"/>
    <w:uiPriority w:val="0"/>
  </w:style>
  <w:style w:type="character" w:customStyle="1" w:styleId="49">
    <w:name w:val="page_range"/>
    <w:basedOn w:val="4"/>
    <w:uiPriority w:val="0"/>
  </w:style>
  <w:style w:type="character" w:customStyle="1" w:styleId="50">
    <w:name w:val="doi_link"/>
    <w:basedOn w:val="4"/>
    <w:qFormat/>
    <w:uiPriority w:val="0"/>
  </w:style>
  <w:style w:type="character" w:customStyle="1" w:styleId="51">
    <w:name w:val="ref-lnk"/>
    <w:basedOn w:val="4"/>
    <w:uiPriority w:val="0"/>
  </w:style>
  <w:style w:type="character" w:customStyle="1" w:styleId="52">
    <w:name w:val="off-screen"/>
    <w:basedOn w:val="4"/>
    <w:uiPriority w:val="0"/>
  </w:style>
  <w:style w:type="character" w:customStyle="1" w:styleId="53">
    <w:name w:val="a-size-extra-large"/>
    <w:basedOn w:val="4"/>
    <w:qFormat/>
    <w:uiPriority w:val="0"/>
  </w:style>
  <w:style w:type="character" w:customStyle="1" w:styleId="54">
    <w:name w:val="a-size-large"/>
    <w:basedOn w:val="4"/>
    <w:uiPriority w:val="0"/>
  </w:style>
  <w:style w:type="character" w:customStyle="1" w:styleId="55">
    <w:name w:val="author"/>
    <w:basedOn w:val="4"/>
    <w:qFormat/>
    <w:uiPriority w:val="0"/>
  </w:style>
  <w:style w:type="character" w:customStyle="1" w:styleId="56">
    <w:name w:val="a-color-secondary"/>
    <w:basedOn w:val="4"/>
    <w:uiPriority w:val="0"/>
  </w:style>
  <w:style w:type="character" w:customStyle="1" w:styleId="57">
    <w:name w:val="experience-item__title"/>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27"/>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5679</Words>
  <Characters>32372</Characters>
  <Lines>269</Lines>
  <Paragraphs>75</Paragraphs>
  <TotalTime>10</TotalTime>
  <ScaleCrop>false</ScaleCrop>
  <LinksUpToDate>false</LinksUpToDate>
  <CharactersWithSpaces>37976</CharactersWithSpaces>
  <Application>WPS Office_12.8.2.14803_F1E327BC-269C-435d-A152-05C5408002CA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2026-04-15T06:00:00Z</dcterms:created>
  <dc:creator>Rosana Mula</dc:creator>
  <cp:lastModifiedBy>hsl</cp:lastModifiedBy>
  <dcterms:modified xsi:type="dcterms:W3CDTF">2026-04-17T11:31:16Z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1033-12.8.2.14803</vt:lpwstr>
  </property>
  <property fmtid="{D5CDD505-2E9C-101B-9397-08002B2CF9AE}" pid="3" name="ICV">
    <vt:lpwstr>D17523918548BA49E69DE1691E37E752_43</vt:lpwstr>
  </property>
</Properties>
</file>