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566C5" w14:textId="77777777" w:rsidR="0000308A" w:rsidRPr="00A46E2C" w:rsidRDefault="0000308A">
      <w:pPr>
        <w:jc w:val="both"/>
        <w:rPr>
          <w:rFonts w:ascii="Times New Roman" w:hAnsi="Times New Roman" w:cs="Times New Roman"/>
          <w:sz w:val="24"/>
          <w:szCs w:val="24"/>
        </w:rPr>
      </w:pPr>
    </w:p>
    <w:p w14:paraId="4B8480F6" w14:textId="77777777" w:rsidR="0000308A" w:rsidRPr="005B33C1" w:rsidRDefault="00617BE9" w:rsidP="005B33C1">
      <w:pPr>
        <w:pStyle w:val="Heading1"/>
        <w:keepNext w:val="0"/>
        <w:keepLines w:val="0"/>
        <w:spacing w:before="480"/>
        <w:rPr>
          <w:rFonts w:ascii="Times New Roman" w:hAnsi="Times New Roman" w:cs="Times New Roman"/>
          <w:b/>
          <w:bCs/>
          <w:sz w:val="28"/>
          <w:szCs w:val="28"/>
        </w:rPr>
      </w:pPr>
      <w:bookmarkStart w:id="0" w:name="_nv65khvdfc2r" w:colFirst="0" w:colLast="0"/>
      <w:bookmarkEnd w:id="0"/>
      <w:r w:rsidRPr="005B33C1">
        <w:rPr>
          <w:rFonts w:ascii="Times New Roman" w:hAnsi="Times New Roman" w:cs="Times New Roman"/>
          <w:b/>
          <w:bCs/>
          <w:sz w:val="28"/>
          <w:szCs w:val="28"/>
        </w:rPr>
        <w:t xml:space="preserve">Phytochemical, Antioxidant, and Antimicrobial Evaluation of </w:t>
      </w:r>
      <w:r w:rsidRPr="005B33C1">
        <w:rPr>
          <w:rFonts w:ascii="Times New Roman" w:hAnsi="Times New Roman" w:cs="Times New Roman"/>
          <w:b/>
          <w:bCs/>
          <w:i/>
          <w:iCs/>
          <w:sz w:val="28"/>
          <w:szCs w:val="28"/>
        </w:rPr>
        <w:t>Terminalia arjuna</w:t>
      </w:r>
      <w:r w:rsidRPr="005B33C1">
        <w:rPr>
          <w:rFonts w:ascii="Times New Roman" w:hAnsi="Times New Roman" w:cs="Times New Roman"/>
          <w:b/>
          <w:bCs/>
          <w:sz w:val="28"/>
          <w:szCs w:val="28"/>
        </w:rPr>
        <w:t xml:space="preserve"> Bark Extracts</w:t>
      </w:r>
    </w:p>
    <w:p w14:paraId="3B1F4C8B" w14:textId="77777777" w:rsidR="0092167F" w:rsidRDefault="0092167F" w:rsidP="002D15FC">
      <w:pPr>
        <w:spacing w:before="100" w:beforeAutospacing="1" w:after="100" w:afterAutospacing="1" w:line="240" w:lineRule="auto"/>
        <w:outlineLvl w:val="1"/>
        <w:rPr>
          <w:rFonts w:ascii="Times New Roman" w:hAnsi="Times New Roman" w:cs="Times New Roman"/>
          <w:sz w:val="24"/>
          <w:szCs w:val="24"/>
        </w:rPr>
      </w:pPr>
    </w:p>
    <w:p w14:paraId="57E80479" w14:textId="4C24CED3" w:rsidR="002D15FC" w:rsidRPr="002D15FC" w:rsidRDefault="002D15FC" w:rsidP="002D15FC">
      <w:pPr>
        <w:spacing w:before="100" w:beforeAutospacing="1" w:after="100" w:afterAutospacing="1" w:line="240" w:lineRule="auto"/>
        <w:outlineLvl w:val="1"/>
        <w:rPr>
          <w:rFonts w:ascii="Times New Roman" w:eastAsia="Times New Roman" w:hAnsi="Times New Roman" w:cs="Times New Roman"/>
          <w:b/>
          <w:bCs/>
          <w:sz w:val="24"/>
          <w:szCs w:val="24"/>
          <w:lang w:val="en-IN"/>
        </w:rPr>
      </w:pPr>
      <w:r w:rsidRPr="002D15FC">
        <w:rPr>
          <w:rFonts w:ascii="Times New Roman" w:eastAsia="Times New Roman" w:hAnsi="Times New Roman" w:cs="Times New Roman"/>
          <w:b/>
          <w:bCs/>
          <w:sz w:val="24"/>
          <w:szCs w:val="24"/>
          <w:lang w:val="en-IN"/>
        </w:rPr>
        <w:t>Abstract</w:t>
      </w:r>
    </w:p>
    <w:p w14:paraId="7E104460" w14:textId="77777777" w:rsidR="005C682D" w:rsidRPr="00200793" w:rsidRDefault="005C682D" w:rsidP="0057761A">
      <w:pPr>
        <w:spacing w:before="100" w:beforeAutospacing="1" w:after="100" w:afterAutospacing="1" w:line="240" w:lineRule="auto"/>
        <w:jc w:val="both"/>
        <w:rPr>
          <w:rFonts w:ascii="Times New Roman" w:eastAsia="Times New Roman" w:hAnsi="Times New Roman" w:cs="Times New Roman"/>
          <w:b/>
          <w:bCs/>
          <w:color w:val="EE0000"/>
          <w:sz w:val="24"/>
          <w:szCs w:val="24"/>
          <w:lang w:val="en-IN"/>
        </w:rPr>
      </w:pPr>
      <w:r w:rsidRPr="00F65266">
        <w:rPr>
          <w:rFonts w:ascii="Times New Roman" w:eastAsia="Times New Roman" w:hAnsi="Times New Roman" w:cs="Times New Roman"/>
          <w:color w:val="EE0000"/>
          <w:sz w:val="24"/>
          <w:szCs w:val="24"/>
          <w:lang w:val="en-IN"/>
        </w:rPr>
        <w:t xml:space="preserve">The present study evaluated the phytochemical composition, antioxidant potential, antimicrobial activity, and GC–MS profile of bark extracts of </w:t>
      </w:r>
      <w:r w:rsidRPr="00F65266">
        <w:rPr>
          <w:rFonts w:ascii="Times New Roman" w:eastAsia="Times New Roman" w:hAnsi="Times New Roman" w:cs="Times New Roman"/>
          <w:i/>
          <w:iCs/>
          <w:color w:val="EE0000"/>
          <w:sz w:val="24"/>
          <w:szCs w:val="24"/>
          <w:lang w:val="en-IN"/>
        </w:rPr>
        <w:t>Terminalia arjuna</w:t>
      </w:r>
      <w:r w:rsidRPr="00F65266">
        <w:rPr>
          <w:rFonts w:ascii="Times New Roman" w:eastAsia="Times New Roman" w:hAnsi="Times New Roman" w:cs="Times New Roman"/>
          <w:color w:val="EE0000"/>
          <w:sz w:val="24"/>
          <w:szCs w:val="24"/>
          <w:lang w:val="en-IN"/>
        </w:rPr>
        <w:t xml:space="preserve"> prepared using solvents of different polarities. Bark samples were collected from J.S. Murarka Multiple Campus and extracted with methanol, ethanol, hexane, and dichloromethane (DCM) using maceration. Preliminary phytochemical screening was performed using standard qualitative tests, while total phenolic content (TPC) and total flavonoid content (TFC) were quantified using the Folin–Ciocalteu and aluminium chloride methods, respectively. Antioxidant activity was determined using the DPPH radical scavenging assay, and antimicrobial activity was evaluated against </w:t>
      </w:r>
      <w:r w:rsidRPr="00F65266">
        <w:rPr>
          <w:rFonts w:ascii="Times New Roman" w:eastAsia="Times New Roman" w:hAnsi="Times New Roman" w:cs="Times New Roman"/>
          <w:i/>
          <w:iCs/>
          <w:color w:val="EE0000"/>
          <w:sz w:val="24"/>
          <w:szCs w:val="24"/>
          <w:lang w:val="en-IN"/>
        </w:rPr>
        <w:t>Staphylococcus aureus</w:t>
      </w:r>
      <w:r w:rsidRPr="00F65266">
        <w:rPr>
          <w:rFonts w:ascii="Times New Roman" w:eastAsia="Times New Roman" w:hAnsi="Times New Roman" w:cs="Times New Roman"/>
          <w:color w:val="EE0000"/>
          <w:sz w:val="24"/>
          <w:szCs w:val="24"/>
          <w:lang w:val="en-IN"/>
        </w:rPr>
        <w:t xml:space="preserve">, </w:t>
      </w:r>
      <w:r w:rsidRPr="00F65266">
        <w:rPr>
          <w:rFonts w:ascii="Times New Roman" w:eastAsia="Times New Roman" w:hAnsi="Times New Roman" w:cs="Times New Roman"/>
          <w:i/>
          <w:iCs/>
          <w:color w:val="EE0000"/>
          <w:sz w:val="24"/>
          <w:szCs w:val="24"/>
          <w:lang w:val="en-IN"/>
        </w:rPr>
        <w:t>Shigella sonnei</w:t>
      </w:r>
      <w:r w:rsidRPr="00F65266">
        <w:rPr>
          <w:rFonts w:ascii="Times New Roman" w:eastAsia="Times New Roman" w:hAnsi="Times New Roman" w:cs="Times New Roman"/>
          <w:color w:val="EE0000"/>
          <w:sz w:val="24"/>
          <w:szCs w:val="24"/>
          <w:lang w:val="en-IN"/>
        </w:rPr>
        <w:t xml:space="preserve">, </w:t>
      </w:r>
      <w:r w:rsidRPr="00F65266">
        <w:rPr>
          <w:rFonts w:ascii="Times New Roman" w:eastAsia="Times New Roman" w:hAnsi="Times New Roman" w:cs="Times New Roman"/>
          <w:i/>
          <w:iCs/>
          <w:color w:val="EE0000"/>
          <w:sz w:val="24"/>
          <w:szCs w:val="24"/>
          <w:lang w:val="en-IN"/>
        </w:rPr>
        <w:t>Klebsiella pneumoniae</w:t>
      </w:r>
      <w:r w:rsidRPr="00F65266">
        <w:rPr>
          <w:rFonts w:ascii="Times New Roman" w:eastAsia="Times New Roman" w:hAnsi="Times New Roman" w:cs="Times New Roman"/>
          <w:color w:val="EE0000"/>
          <w:sz w:val="24"/>
          <w:szCs w:val="24"/>
          <w:lang w:val="en-IN"/>
        </w:rPr>
        <w:t xml:space="preserve">, and </w:t>
      </w:r>
      <w:r w:rsidRPr="00F65266">
        <w:rPr>
          <w:rFonts w:ascii="Times New Roman" w:eastAsia="Times New Roman" w:hAnsi="Times New Roman" w:cs="Times New Roman"/>
          <w:i/>
          <w:iCs/>
          <w:color w:val="EE0000"/>
          <w:sz w:val="24"/>
          <w:szCs w:val="24"/>
          <w:lang w:val="en-IN"/>
        </w:rPr>
        <w:t>Escherichia coli</w:t>
      </w:r>
      <w:r w:rsidRPr="00F65266">
        <w:rPr>
          <w:rFonts w:ascii="Times New Roman" w:eastAsia="Times New Roman" w:hAnsi="Times New Roman" w:cs="Times New Roman"/>
          <w:color w:val="EE0000"/>
          <w:sz w:val="24"/>
          <w:szCs w:val="24"/>
          <w:lang w:val="en-IN"/>
        </w:rPr>
        <w:t xml:space="preserve"> using the agar well diffusion method. All experiments were conducted in triplicate and analyzed using one-way ANOVA (p &lt; 0.05</w:t>
      </w:r>
      <w:r w:rsidRPr="00200793">
        <w:rPr>
          <w:rFonts w:ascii="Times New Roman" w:eastAsia="Times New Roman" w:hAnsi="Times New Roman" w:cs="Times New Roman"/>
          <w:color w:val="EE0000"/>
          <w:sz w:val="24"/>
          <w:szCs w:val="24"/>
          <w:lang w:val="en-IN"/>
        </w:rPr>
        <w:t>). Qualitative</w:t>
      </w:r>
      <w:r w:rsidRPr="00F65266">
        <w:rPr>
          <w:rFonts w:ascii="Times New Roman" w:eastAsia="Times New Roman" w:hAnsi="Times New Roman" w:cs="Times New Roman"/>
          <w:color w:val="EE0000"/>
          <w:sz w:val="24"/>
          <w:szCs w:val="24"/>
          <w:lang w:val="en-IN"/>
        </w:rPr>
        <w:t xml:space="preserve"> screening revealed the presence of phenols, flavonoids, alkaloids, terpenoids, and glycosides, particularly in polar solvent extracts. Quantitative analysis showed that the ethanolic extract contained the highest total phenolic content (329 mg GAE/g) and total flavonoid content (129 mg QE/g). In the DPPH assay, strong antioxidant activity was observed for the methanol extract (IC₅₀ = 6.34 µg/mL) and ethanol extract (IC₅₀ = 7.76 µg/mL), whereas hexane (IC₅₀ = 25.63 µg/mL) and DCM (IC₅₀ = 15 µg/mL) exhibited comparatively weaker activity. Antimicrobial testing showed that the ethanolic extract produced the highest inhibition zones (10–12 mm) against the tested bacterial strains. GC–MS analysis of the ethanol extract identified several bioactive compounds, including </w:t>
      </w:r>
      <w:r w:rsidRPr="00F65266">
        <w:rPr>
          <w:rFonts w:ascii="Times New Roman" w:eastAsia="Times New Roman" w:hAnsi="Times New Roman" w:cs="Times New Roman"/>
          <w:color w:val="EE0000"/>
          <w:sz w:val="24"/>
          <w:szCs w:val="24"/>
          <w:highlight w:val="yellow"/>
          <w:lang w:val="en-IN"/>
        </w:rPr>
        <w:t>α-pinene</w:t>
      </w:r>
      <w:r w:rsidRPr="00F65266">
        <w:rPr>
          <w:rFonts w:ascii="Times New Roman" w:eastAsia="Times New Roman" w:hAnsi="Times New Roman" w:cs="Times New Roman"/>
          <w:color w:val="EE0000"/>
          <w:sz w:val="24"/>
          <w:szCs w:val="24"/>
          <w:lang w:val="en-IN"/>
        </w:rPr>
        <w:t xml:space="preserve">, limonene, 1,8-cineole, terpinen-4-ol, caryophyllene, hexadecanoic acid, phytol, linoleic acid, and oleic acid. </w:t>
      </w:r>
      <w:r w:rsidRPr="00200793">
        <w:rPr>
          <w:rFonts w:ascii="Times New Roman" w:eastAsia="Times New Roman" w:hAnsi="Times New Roman" w:cs="Times New Roman"/>
          <w:color w:val="EE0000"/>
          <w:sz w:val="24"/>
          <w:szCs w:val="24"/>
          <w:lang w:val="en-IN"/>
        </w:rPr>
        <w:t>T</w:t>
      </w:r>
      <w:r w:rsidRPr="00F65266">
        <w:rPr>
          <w:rFonts w:ascii="Times New Roman" w:eastAsia="Times New Roman" w:hAnsi="Times New Roman" w:cs="Times New Roman"/>
          <w:color w:val="EE0000"/>
          <w:sz w:val="24"/>
          <w:szCs w:val="24"/>
          <w:lang w:val="en-IN"/>
        </w:rPr>
        <w:t xml:space="preserve">he results demonstrate that </w:t>
      </w:r>
      <w:r w:rsidRPr="00F65266">
        <w:rPr>
          <w:rFonts w:ascii="Times New Roman" w:eastAsia="Times New Roman" w:hAnsi="Times New Roman" w:cs="Times New Roman"/>
          <w:i/>
          <w:iCs/>
          <w:color w:val="EE0000"/>
          <w:sz w:val="24"/>
          <w:szCs w:val="24"/>
          <w:lang w:val="en-IN"/>
        </w:rPr>
        <w:t>Terminalia arjuna</w:t>
      </w:r>
      <w:r w:rsidRPr="00F65266">
        <w:rPr>
          <w:rFonts w:ascii="Times New Roman" w:eastAsia="Times New Roman" w:hAnsi="Times New Roman" w:cs="Times New Roman"/>
          <w:color w:val="EE0000"/>
          <w:sz w:val="24"/>
          <w:szCs w:val="24"/>
          <w:lang w:val="en-IN"/>
        </w:rPr>
        <w:t xml:space="preserve"> bark is a rich source of bioactive phytochemicals with significant antioxidant and antibacterial activities, particularly when extracted with ethanol. These findings support the traditional medicinal use of the plant and highlight its potential for further bioactive compound isolation and pharmacological</w:t>
      </w:r>
      <w:r w:rsidRPr="00200793">
        <w:rPr>
          <w:rFonts w:ascii="Times New Roman" w:eastAsia="Times New Roman" w:hAnsi="Times New Roman" w:cs="Times New Roman"/>
          <w:b/>
          <w:bCs/>
          <w:color w:val="EE0000"/>
          <w:sz w:val="24"/>
          <w:szCs w:val="24"/>
          <w:lang w:val="en-IN"/>
        </w:rPr>
        <w:t>.</w:t>
      </w:r>
    </w:p>
    <w:p w14:paraId="212F1CB6" w14:textId="5B3AE92D" w:rsidR="002D15FC" w:rsidRPr="005C682D" w:rsidRDefault="002D15FC" w:rsidP="0057761A">
      <w:pPr>
        <w:spacing w:before="100" w:beforeAutospacing="1" w:after="100" w:afterAutospacing="1" w:line="240" w:lineRule="auto"/>
        <w:jc w:val="both"/>
        <w:rPr>
          <w:rFonts w:ascii="Times New Roman" w:eastAsia="Times New Roman" w:hAnsi="Times New Roman" w:cs="Times New Roman"/>
          <w:b/>
          <w:bCs/>
          <w:sz w:val="24"/>
          <w:szCs w:val="24"/>
          <w:lang w:val="en-IN"/>
        </w:rPr>
      </w:pPr>
      <w:r w:rsidRPr="002D15FC">
        <w:rPr>
          <w:rFonts w:ascii="Times New Roman" w:eastAsia="Times New Roman" w:hAnsi="Times New Roman" w:cs="Times New Roman"/>
          <w:b/>
          <w:bCs/>
          <w:sz w:val="24"/>
          <w:szCs w:val="24"/>
          <w:lang w:val="en-IN"/>
        </w:rPr>
        <w:t>Keywords:</w:t>
      </w:r>
      <w:r w:rsidRPr="002D15FC">
        <w:rPr>
          <w:rFonts w:ascii="Times New Roman" w:eastAsia="Times New Roman" w:hAnsi="Times New Roman" w:cs="Times New Roman"/>
          <w:sz w:val="24"/>
          <w:szCs w:val="24"/>
          <w:lang w:val="en-IN"/>
        </w:rPr>
        <w:t xml:space="preserve"> </w:t>
      </w:r>
      <w:r w:rsidRPr="002D15FC">
        <w:rPr>
          <w:rFonts w:ascii="Times New Roman" w:eastAsia="Times New Roman" w:hAnsi="Times New Roman" w:cs="Times New Roman"/>
          <w:i/>
          <w:iCs/>
          <w:sz w:val="24"/>
          <w:szCs w:val="24"/>
          <w:lang w:val="en-IN"/>
        </w:rPr>
        <w:t>Terminalia arjuna</w:t>
      </w:r>
      <w:r w:rsidRPr="002D15FC">
        <w:rPr>
          <w:rFonts w:ascii="Times New Roman" w:eastAsia="Times New Roman" w:hAnsi="Times New Roman" w:cs="Times New Roman"/>
          <w:sz w:val="24"/>
          <w:szCs w:val="24"/>
          <w:lang w:val="en-IN"/>
        </w:rPr>
        <w:t>, phytochemicals, antioxidant activity, antimicrobial activity, GC–MS, phenolic content, flavonoids.</w:t>
      </w:r>
    </w:p>
    <w:p w14:paraId="35543EB3" w14:textId="689F929F" w:rsidR="0000308A" w:rsidRPr="00EB0EE0" w:rsidRDefault="00617BE9" w:rsidP="00EB0EE0">
      <w:pPr>
        <w:pStyle w:val="ListParagraph"/>
        <w:numPr>
          <w:ilvl w:val="0"/>
          <w:numId w:val="3"/>
        </w:numPr>
        <w:tabs>
          <w:tab w:val="left" w:pos="284"/>
        </w:tabs>
        <w:ind w:left="0" w:firstLine="0"/>
        <w:jc w:val="both"/>
        <w:rPr>
          <w:rFonts w:ascii="Times New Roman" w:hAnsi="Times New Roman" w:cs="Times New Roman"/>
          <w:b/>
          <w:bCs/>
          <w:sz w:val="24"/>
          <w:szCs w:val="24"/>
        </w:rPr>
      </w:pPr>
      <w:r w:rsidRPr="00EB0EE0">
        <w:rPr>
          <w:rFonts w:ascii="Times New Roman" w:hAnsi="Times New Roman" w:cs="Times New Roman"/>
          <w:b/>
          <w:bCs/>
          <w:sz w:val="24"/>
          <w:szCs w:val="24"/>
        </w:rPr>
        <w:t>Introduction</w:t>
      </w:r>
    </w:p>
    <w:p w14:paraId="67D6FA2E" w14:textId="563DEF85" w:rsidR="00581D6E" w:rsidRPr="00581D6E" w:rsidRDefault="00581D6E" w:rsidP="00581D6E">
      <w:pPr>
        <w:jc w:val="both"/>
        <w:rPr>
          <w:rFonts w:ascii="Times New Roman" w:hAnsi="Times New Roman" w:cs="Times New Roman"/>
          <w:sz w:val="24"/>
          <w:szCs w:val="24"/>
        </w:rPr>
      </w:pPr>
      <w:r>
        <w:rPr>
          <w:rFonts w:ascii="Times New Roman" w:hAnsi="Times New Roman" w:cs="Times New Roman"/>
          <w:sz w:val="24"/>
          <w:szCs w:val="24"/>
        </w:rPr>
        <w:t>T</w:t>
      </w:r>
      <w:r w:rsidRPr="00581D6E">
        <w:rPr>
          <w:rFonts w:ascii="Times New Roman" w:hAnsi="Times New Roman" w:cs="Times New Roman"/>
          <w:sz w:val="24"/>
          <w:szCs w:val="24"/>
        </w:rPr>
        <w:t xml:space="preserve">he medicinal plants have carried a revolutionary purpose in drug discovery, which provides structurally varied bioactive compounds (e.g., alkaloids, flavonoids, and terpenoids) with therapeutic action (e.g., cancer, inflammation, infections). These compounds have a wide range of secondary metabolites, which are produced through well-established biosynthetic pathways and give them pharmacological properties, such as antioxidant, antimicrobial, anti-inflammatory, and cytotoxic actions (Roy et al., 2022). These phytochemicals also play protective and adaptive roles in the plant systems and they also have therapeutic effects when used as medicinal preparations. The structure and the concentration of the secondary </w:t>
      </w:r>
      <w:r w:rsidRPr="00581D6E">
        <w:rPr>
          <w:rFonts w:ascii="Times New Roman" w:hAnsi="Times New Roman" w:cs="Times New Roman"/>
          <w:sz w:val="24"/>
          <w:szCs w:val="24"/>
        </w:rPr>
        <w:lastRenderedPageBreak/>
        <w:t xml:space="preserve">metabolites depend on the plant species, part of the organ, the environmental factors, and the methodologies used to extract the metabolites. Bioactive metabolites are identified by using systematic phytochemical screening with specialized analytical methods, thus clarifying the pharmaceutical and biomedical roles of the bioactive metabolites (Shu et al., 2025; Wawrosch and Zotchev, 2021).  </w:t>
      </w:r>
    </w:p>
    <w:p w14:paraId="3D48A6BB" w14:textId="77777777" w:rsidR="00581D6E" w:rsidRPr="00581D6E" w:rsidRDefault="00581D6E" w:rsidP="00581D6E">
      <w:pPr>
        <w:pStyle w:val="ListParagraph"/>
        <w:jc w:val="both"/>
        <w:rPr>
          <w:rFonts w:ascii="Times New Roman" w:hAnsi="Times New Roman" w:cs="Times New Roman"/>
          <w:sz w:val="24"/>
          <w:szCs w:val="24"/>
        </w:rPr>
      </w:pPr>
    </w:p>
    <w:p w14:paraId="27311C9E" w14:textId="2E7D1885" w:rsidR="00581D6E" w:rsidRPr="00581D6E" w:rsidRDefault="00581D6E" w:rsidP="00581D6E">
      <w:pPr>
        <w:jc w:val="both"/>
        <w:rPr>
          <w:rFonts w:ascii="Times New Roman" w:hAnsi="Times New Roman" w:cs="Times New Roman"/>
          <w:sz w:val="24"/>
          <w:szCs w:val="24"/>
        </w:rPr>
      </w:pPr>
      <w:r w:rsidRPr="00581D6E">
        <w:rPr>
          <w:rFonts w:ascii="Times New Roman" w:hAnsi="Times New Roman" w:cs="Times New Roman"/>
          <w:sz w:val="24"/>
          <w:szCs w:val="24"/>
        </w:rPr>
        <w:t xml:space="preserve">Through an enormous amount of research on medicinal plants, it has been found that various organs of plants have a variety of different classes of compounds, including phenolics, flavonoids, tannins, glycosides, and terpenoids, which all play a role in therapeutic activity (Nayab et al., 2023). The genus, therefore, Terminalia, has been widely studied in the academic setting of traditional and modern medicinal systems, especially in the ethnomedicine of South Asia. One of its species, </w:t>
      </w:r>
      <w:r w:rsidRPr="00581D6E">
        <w:rPr>
          <w:rFonts w:ascii="Times New Roman" w:hAnsi="Times New Roman" w:cs="Times New Roman"/>
          <w:i/>
          <w:iCs/>
          <w:sz w:val="24"/>
          <w:szCs w:val="24"/>
        </w:rPr>
        <w:t>Terminalia arjuna</w:t>
      </w:r>
      <w:r w:rsidRPr="00581D6E">
        <w:rPr>
          <w:rFonts w:ascii="Times New Roman" w:hAnsi="Times New Roman" w:cs="Times New Roman"/>
          <w:sz w:val="24"/>
          <w:szCs w:val="24"/>
        </w:rPr>
        <w:t xml:space="preserve">, is one of the most historically grown plants with mostly cardiovascular and overall vitality health outcomes in herbal formulations (Rajaram et al., 2024). The pharmacologically active component of the bark is considered to be the most active, where it contains various phytoconstituents, including polyphenols, flavonoids, which are correlated to a variety of biological processes, including free-radical scavenging, antimicrobial protection, and cellular protection. Although it has been recognized medicinally, there is a need to do a thorough chemical profiling of its bioactive constituents with modern analytical methods to explain its pharmacological potential (Tahir et al., 2025).  </w:t>
      </w:r>
    </w:p>
    <w:p w14:paraId="22239438" w14:textId="77777777" w:rsidR="00581D6E" w:rsidRPr="00581D6E" w:rsidRDefault="00581D6E" w:rsidP="00581D6E">
      <w:pPr>
        <w:pStyle w:val="ListParagraph"/>
        <w:jc w:val="both"/>
        <w:rPr>
          <w:rFonts w:ascii="Times New Roman" w:hAnsi="Times New Roman" w:cs="Times New Roman"/>
          <w:sz w:val="24"/>
          <w:szCs w:val="24"/>
        </w:rPr>
      </w:pPr>
    </w:p>
    <w:p w14:paraId="49F9F25F" w14:textId="77777777" w:rsidR="00581D6E" w:rsidRPr="00581D6E" w:rsidRDefault="00581D6E" w:rsidP="00581D6E">
      <w:pPr>
        <w:jc w:val="both"/>
        <w:rPr>
          <w:rFonts w:ascii="Times New Roman" w:hAnsi="Times New Roman" w:cs="Times New Roman"/>
          <w:sz w:val="24"/>
          <w:szCs w:val="24"/>
        </w:rPr>
      </w:pPr>
      <w:r w:rsidRPr="00581D6E">
        <w:rPr>
          <w:rFonts w:ascii="Times New Roman" w:hAnsi="Times New Roman" w:cs="Times New Roman"/>
          <w:sz w:val="24"/>
          <w:szCs w:val="24"/>
        </w:rPr>
        <w:t xml:space="preserve">All the past phytochemical studies have conclusively indicated that plant extracts that are rife in phenolic and flavonoid compounds have a strong antioxidant activity, thus implying that they may be useful in the treatment and alleviation of oxidative-stress-induced conditions and microbial infections (Larit et al., 2016). The quantitative measurements of the parameters, including total phenolic content (TPC) and total flavonoid content (TFC), demonstrate that high concentrations of these compounds are often linked with the increased biological activity (Erizal et al., 2024). However, differences in extraction, polarity of solvent, and the method of analysis may have a major impact in the yield and composition of phytochemicals, and in turn, on the efficiency of antioxidant and antimicrobial activities. Advanced instrumentation, such as Gas Chromatography–Mass Spectrometry (GC 25), can be used as a potent instrument in the identification and characterization of volatile and semi-volatile phytochemicals, and they provide a complete chemical profile, which is better than traditional phytochemical assay methods (Mzali et al., 2025). The combination of these sophisticated techniques in phytochemical work improves the reliability, simplifies the work with the identification of compounds and allows making more specific interpretations of the biological activity.  </w:t>
      </w:r>
    </w:p>
    <w:p w14:paraId="14D41209" w14:textId="77777777" w:rsidR="00581D6E" w:rsidRPr="00581D6E" w:rsidRDefault="00581D6E" w:rsidP="00581D6E">
      <w:pPr>
        <w:pStyle w:val="ListParagraph"/>
        <w:jc w:val="both"/>
        <w:rPr>
          <w:rFonts w:ascii="Times New Roman" w:hAnsi="Times New Roman" w:cs="Times New Roman"/>
          <w:sz w:val="24"/>
          <w:szCs w:val="24"/>
        </w:rPr>
      </w:pPr>
    </w:p>
    <w:p w14:paraId="26C4AFD9" w14:textId="1990208B" w:rsidR="00581D6E" w:rsidRPr="00581D6E" w:rsidRDefault="00581D6E" w:rsidP="00581D6E">
      <w:pPr>
        <w:jc w:val="both"/>
        <w:rPr>
          <w:rFonts w:ascii="Times New Roman" w:hAnsi="Times New Roman" w:cs="Times New Roman"/>
          <w:sz w:val="24"/>
          <w:szCs w:val="24"/>
        </w:rPr>
      </w:pPr>
      <w:r>
        <w:rPr>
          <w:rFonts w:ascii="Times New Roman" w:hAnsi="Times New Roman" w:cs="Times New Roman"/>
          <w:sz w:val="24"/>
          <w:szCs w:val="24"/>
        </w:rPr>
        <w:t>T</w:t>
      </w:r>
      <w:r w:rsidRPr="00581D6E">
        <w:rPr>
          <w:rFonts w:ascii="Times New Roman" w:hAnsi="Times New Roman" w:cs="Times New Roman"/>
          <w:sz w:val="24"/>
          <w:szCs w:val="24"/>
        </w:rPr>
        <w:t xml:space="preserve">his study was conducted in order to evaluate the phytochemical profile of solvent based extract of the bark of the plant, </w:t>
      </w:r>
      <w:r w:rsidRPr="005822AF">
        <w:rPr>
          <w:rFonts w:ascii="Times New Roman" w:hAnsi="Times New Roman" w:cs="Times New Roman"/>
          <w:i/>
          <w:iCs/>
          <w:sz w:val="24"/>
          <w:szCs w:val="24"/>
        </w:rPr>
        <w:t>Terminalia arjuna</w:t>
      </w:r>
      <w:r w:rsidRPr="00581D6E">
        <w:rPr>
          <w:rFonts w:ascii="Times New Roman" w:hAnsi="Times New Roman" w:cs="Times New Roman"/>
          <w:sz w:val="24"/>
          <w:szCs w:val="24"/>
        </w:rPr>
        <w:t xml:space="preserve"> systematically. The study measures the total phenolic and flavonoid contents as the measure of antioxidant potential and antimicrobial activity. Characterization of chemical constituents was done through GC -MS (Dikamu et al., 2025). Through standard experimental procedures and comparative solvent studies, supplemented with high-resolution instrument procedures, including GC-MS, the paper determines the most effective solvent to use in extracting bioactive constituents, thus yielding </w:t>
      </w:r>
      <w:r w:rsidRPr="00581D6E">
        <w:rPr>
          <w:rFonts w:ascii="Times New Roman" w:hAnsi="Times New Roman" w:cs="Times New Roman"/>
          <w:sz w:val="24"/>
          <w:szCs w:val="24"/>
        </w:rPr>
        <w:lastRenderedPageBreak/>
        <w:t xml:space="preserve">strong quantitative and qualitative data on bioactive constituents and scientifically substantiating the medicinal importance of this plant.  </w:t>
      </w:r>
    </w:p>
    <w:p w14:paraId="629AE3BC" w14:textId="77777777" w:rsidR="00581D6E" w:rsidRPr="00581D6E" w:rsidRDefault="00581D6E" w:rsidP="00581D6E">
      <w:pPr>
        <w:pStyle w:val="ListParagraph"/>
        <w:jc w:val="both"/>
        <w:rPr>
          <w:rFonts w:ascii="Times New Roman" w:hAnsi="Times New Roman" w:cs="Times New Roman"/>
          <w:sz w:val="24"/>
          <w:szCs w:val="24"/>
        </w:rPr>
      </w:pPr>
    </w:p>
    <w:p w14:paraId="304BD7B9" w14:textId="6B1F7D35" w:rsidR="00EB0EE0" w:rsidRPr="00EB0EE0" w:rsidRDefault="00581D6E" w:rsidP="00581D6E">
      <w:pPr>
        <w:pStyle w:val="ListParagraph"/>
        <w:ind w:left="0"/>
        <w:jc w:val="both"/>
        <w:rPr>
          <w:rFonts w:ascii="Times New Roman" w:hAnsi="Times New Roman" w:cs="Times New Roman"/>
          <w:sz w:val="24"/>
          <w:szCs w:val="24"/>
        </w:rPr>
      </w:pPr>
      <w:r w:rsidRPr="00581D6E">
        <w:rPr>
          <w:rFonts w:ascii="Times New Roman" w:hAnsi="Times New Roman" w:cs="Times New Roman"/>
          <w:sz w:val="24"/>
          <w:szCs w:val="24"/>
        </w:rPr>
        <w:t>The experiment will be conducted on standardized experimental procedures, comparative solvent analyses, and high-quality instrumental characterization, especially GC-MS. It will therefore establish the best extraction medium, which will provide credible quantitative and qualitative data of bioactive compounds and provide empirical support to the medicinal importance of the plant. It is presumed that the expected conclusions will support the traditional applications, develop the knowledge of phytochemical complexity, and provide the basis of the future research aimed at the isolation of active compounds, structural clarification, and pharmacological evaluation.</w:t>
      </w:r>
      <w:r w:rsidR="00EB0EE0" w:rsidRPr="00EB0EE0">
        <w:rPr>
          <w:rFonts w:ascii="Times New Roman" w:hAnsi="Times New Roman" w:cs="Times New Roman"/>
          <w:sz w:val="24"/>
          <w:szCs w:val="24"/>
        </w:rPr>
        <w:t xml:space="preserve"> compounds.</w:t>
      </w:r>
    </w:p>
    <w:p w14:paraId="461C899B" w14:textId="53DBC6E0" w:rsidR="0000308A" w:rsidRPr="00A46E2C" w:rsidRDefault="00617BE9" w:rsidP="00762153">
      <w:pPr>
        <w:pStyle w:val="Heading2"/>
        <w:keepNext w:val="0"/>
        <w:keepLines w:val="0"/>
        <w:numPr>
          <w:ilvl w:val="0"/>
          <w:numId w:val="3"/>
        </w:numPr>
        <w:tabs>
          <w:tab w:val="left" w:pos="284"/>
        </w:tabs>
        <w:spacing w:after="80"/>
        <w:ind w:left="0" w:firstLine="0"/>
        <w:jc w:val="both"/>
        <w:rPr>
          <w:rFonts w:ascii="Times New Roman" w:hAnsi="Times New Roman" w:cs="Times New Roman"/>
          <w:b/>
          <w:bCs/>
          <w:sz w:val="24"/>
          <w:szCs w:val="24"/>
        </w:rPr>
      </w:pPr>
      <w:bookmarkStart w:id="1" w:name="_xkdlxn82lpym" w:colFirst="0" w:colLast="0"/>
      <w:bookmarkEnd w:id="1"/>
      <w:r w:rsidRPr="00A46E2C">
        <w:rPr>
          <w:rFonts w:ascii="Times New Roman" w:hAnsi="Times New Roman" w:cs="Times New Roman"/>
          <w:b/>
          <w:bCs/>
          <w:sz w:val="24"/>
          <w:szCs w:val="24"/>
        </w:rPr>
        <w:t>Materials and Methodology</w:t>
      </w:r>
    </w:p>
    <w:p w14:paraId="2BFE2875" w14:textId="4319D07A" w:rsidR="00762153" w:rsidRPr="00762153" w:rsidRDefault="00617BE9" w:rsidP="00762153">
      <w:pPr>
        <w:pStyle w:val="ListParagraph"/>
        <w:numPr>
          <w:ilvl w:val="1"/>
          <w:numId w:val="3"/>
        </w:numPr>
        <w:tabs>
          <w:tab w:val="left" w:pos="426"/>
        </w:tabs>
        <w:ind w:left="0" w:firstLine="0"/>
        <w:rPr>
          <w:rFonts w:ascii="Times New Roman" w:hAnsi="Times New Roman" w:cs="Times New Roman"/>
          <w:b/>
          <w:bCs/>
          <w:sz w:val="24"/>
          <w:szCs w:val="24"/>
        </w:rPr>
      </w:pPr>
      <w:r w:rsidRPr="00762153">
        <w:rPr>
          <w:rFonts w:ascii="Times New Roman" w:hAnsi="Times New Roman" w:cs="Times New Roman"/>
          <w:b/>
          <w:bCs/>
          <w:sz w:val="24"/>
          <w:szCs w:val="24"/>
        </w:rPr>
        <w:t>Experimental Workflo</w:t>
      </w:r>
      <w:r w:rsidR="00762153" w:rsidRPr="00762153">
        <w:rPr>
          <w:rFonts w:ascii="Times New Roman" w:hAnsi="Times New Roman" w:cs="Times New Roman"/>
          <w:b/>
          <w:bCs/>
          <w:sz w:val="24"/>
          <w:szCs w:val="24"/>
        </w:rPr>
        <w:t>w</w:t>
      </w:r>
    </w:p>
    <w:p w14:paraId="2722736F" w14:textId="16D824A2" w:rsidR="0000308A" w:rsidRPr="00A46E2C" w:rsidRDefault="00762153" w:rsidP="00762153">
      <w:pPr>
        <w:spacing w:before="240" w:after="240"/>
        <w:jc w:val="both"/>
        <w:rPr>
          <w:rFonts w:ascii="Times New Roman" w:hAnsi="Times New Roman" w:cs="Times New Roman"/>
          <w:sz w:val="24"/>
          <w:szCs w:val="24"/>
        </w:rPr>
      </w:pPr>
      <w:r w:rsidRPr="00762153">
        <w:rPr>
          <w:rFonts w:ascii="Times New Roman" w:hAnsi="Times New Roman" w:cs="Times New Roman"/>
          <w:sz w:val="24"/>
          <w:szCs w:val="24"/>
        </w:rPr>
        <w:t>The experimental protocol was systematic and sequential and it began with the procurement of the plant material, and was followed by thorough cleaning, shade-drying, pounding and finally attracting solvent extraction, filtration and further analysis.</w:t>
      </w:r>
      <w:r w:rsidRPr="00A46E2C">
        <w:rPr>
          <w:rFonts w:ascii="Times New Roman" w:hAnsi="Times New Roman" w:cs="Times New Roman"/>
          <w:noProof/>
          <w:sz w:val="24"/>
          <w:szCs w:val="24"/>
        </w:rPr>
        <w:drawing>
          <wp:inline distT="114300" distB="114300" distL="114300" distR="114300" wp14:anchorId="548ABB78" wp14:editId="6946D7E9">
            <wp:extent cx="5743575" cy="14769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8193" b="33147"/>
                    <a:stretch>
                      <a:fillRect/>
                    </a:stretch>
                  </pic:blipFill>
                  <pic:spPr>
                    <a:xfrm>
                      <a:off x="0" y="0"/>
                      <a:ext cx="5743575" cy="1476907"/>
                    </a:xfrm>
                    <a:prstGeom prst="rect">
                      <a:avLst/>
                    </a:prstGeom>
                    <a:ln/>
                  </pic:spPr>
                </pic:pic>
              </a:graphicData>
            </a:graphic>
          </wp:inline>
        </w:drawing>
      </w:r>
    </w:p>
    <w:p w14:paraId="4EA51C70" w14:textId="77777777" w:rsidR="00927501" w:rsidRDefault="00762153" w:rsidP="00927501">
      <w:pPr>
        <w:pStyle w:val="Heading3"/>
        <w:keepNext w:val="0"/>
        <w:keepLines w:val="0"/>
        <w:spacing w:before="280"/>
        <w:jc w:val="both"/>
        <w:rPr>
          <w:rFonts w:ascii="Times New Roman" w:hAnsi="Times New Roman" w:cs="Times New Roman"/>
          <w:b/>
          <w:bCs/>
          <w:color w:val="auto"/>
          <w:sz w:val="20"/>
          <w:szCs w:val="20"/>
        </w:rPr>
      </w:pPr>
      <w:bookmarkStart w:id="2" w:name="_a62bbh2ug2xr" w:colFirst="0" w:colLast="0"/>
      <w:bookmarkEnd w:id="2"/>
      <w:r w:rsidRPr="00762153">
        <w:rPr>
          <w:rFonts w:ascii="Times New Roman" w:hAnsi="Times New Roman" w:cs="Times New Roman"/>
          <w:b/>
          <w:bCs/>
          <w:color w:val="auto"/>
          <w:sz w:val="20"/>
          <w:szCs w:val="20"/>
        </w:rPr>
        <w:t>Figure</w:t>
      </w:r>
      <w:r w:rsidR="005465EA">
        <w:rPr>
          <w:rFonts w:ascii="Times New Roman" w:hAnsi="Times New Roman" w:cs="Times New Roman"/>
          <w:b/>
          <w:bCs/>
          <w:color w:val="auto"/>
          <w:sz w:val="20"/>
          <w:szCs w:val="20"/>
        </w:rPr>
        <w:t xml:space="preserve"> </w:t>
      </w:r>
      <w:r w:rsidRPr="00762153">
        <w:rPr>
          <w:rFonts w:ascii="Times New Roman" w:hAnsi="Times New Roman" w:cs="Times New Roman"/>
          <w:b/>
          <w:bCs/>
          <w:color w:val="auto"/>
          <w:sz w:val="20"/>
          <w:szCs w:val="20"/>
        </w:rPr>
        <w:t>1</w:t>
      </w:r>
      <w:r w:rsidRPr="005465EA">
        <w:rPr>
          <w:rFonts w:ascii="Times New Roman" w:hAnsi="Times New Roman" w:cs="Times New Roman"/>
          <w:color w:val="auto"/>
          <w:sz w:val="20"/>
          <w:szCs w:val="20"/>
        </w:rPr>
        <w:t xml:space="preserve">: </w:t>
      </w:r>
      <w:r w:rsidR="00927501" w:rsidRPr="00200793">
        <w:rPr>
          <w:rFonts w:ascii="Times New Roman" w:hAnsi="Times New Roman" w:cs="Times New Roman"/>
          <w:color w:val="EE0000"/>
          <w:sz w:val="20"/>
          <w:szCs w:val="20"/>
        </w:rPr>
        <w:t xml:space="preserve">Workflow for preparation and analysis of </w:t>
      </w:r>
      <w:r w:rsidR="00927501" w:rsidRPr="00200793">
        <w:rPr>
          <w:rFonts w:ascii="Times New Roman" w:hAnsi="Times New Roman" w:cs="Times New Roman"/>
          <w:i/>
          <w:iCs/>
          <w:color w:val="EE0000"/>
          <w:sz w:val="20"/>
          <w:szCs w:val="20"/>
        </w:rPr>
        <w:t>Terminalia arjuna</w:t>
      </w:r>
      <w:r w:rsidR="00927501" w:rsidRPr="00200793">
        <w:rPr>
          <w:rFonts w:ascii="Times New Roman" w:hAnsi="Times New Roman" w:cs="Times New Roman"/>
          <w:color w:val="EE0000"/>
          <w:sz w:val="20"/>
          <w:szCs w:val="20"/>
        </w:rPr>
        <w:t xml:space="preserve"> bark extracts</w:t>
      </w:r>
      <w:r w:rsidR="00927501" w:rsidRPr="00DD4D8D">
        <w:rPr>
          <w:rFonts w:ascii="Times New Roman" w:hAnsi="Times New Roman" w:cs="Times New Roman"/>
          <w:color w:val="auto"/>
          <w:sz w:val="20"/>
          <w:szCs w:val="20"/>
        </w:rPr>
        <w:t>.</w:t>
      </w:r>
    </w:p>
    <w:p w14:paraId="49FC6140" w14:textId="2F40CB62" w:rsidR="0000308A" w:rsidRPr="00A46E2C" w:rsidRDefault="00617BE9">
      <w:pPr>
        <w:pStyle w:val="Heading3"/>
        <w:keepNext w:val="0"/>
        <w:keepLines w:val="0"/>
        <w:spacing w:before="280"/>
        <w:jc w:val="both"/>
        <w:rPr>
          <w:rFonts w:ascii="Times New Roman" w:hAnsi="Times New Roman" w:cs="Times New Roman"/>
          <w:b/>
          <w:bCs/>
          <w:color w:val="000000"/>
          <w:sz w:val="24"/>
          <w:szCs w:val="24"/>
        </w:rPr>
      </w:pPr>
      <w:r w:rsidRPr="00A46E2C">
        <w:rPr>
          <w:rFonts w:ascii="Times New Roman" w:hAnsi="Times New Roman" w:cs="Times New Roman"/>
          <w:b/>
          <w:bCs/>
          <w:color w:val="000000"/>
          <w:sz w:val="24"/>
          <w:szCs w:val="24"/>
        </w:rPr>
        <w:t>2.1 Sample Collection and Preparation</w:t>
      </w:r>
    </w:p>
    <w:p w14:paraId="722BB02F" w14:textId="1058BD17" w:rsidR="0000308A" w:rsidRPr="00200793" w:rsidRDefault="00CC3C00" w:rsidP="005465EA">
      <w:pPr>
        <w:spacing w:before="240" w:after="240"/>
        <w:jc w:val="both"/>
        <w:rPr>
          <w:rFonts w:ascii="Times New Roman" w:hAnsi="Times New Roman" w:cs="Times New Roman"/>
          <w:color w:val="EE0000"/>
          <w:sz w:val="24"/>
          <w:szCs w:val="24"/>
        </w:rPr>
      </w:pPr>
      <w:r w:rsidRPr="00200793">
        <w:rPr>
          <w:rFonts w:ascii="Times New Roman" w:hAnsi="Times New Roman" w:cs="Times New Roman"/>
          <w:color w:val="EE0000"/>
          <w:sz w:val="24"/>
          <w:szCs w:val="24"/>
        </w:rPr>
        <w:t xml:space="preserve">The bark samples were collected using a </w:t>
      </w:r>
      <w:r w:rsidRPr="00200793">
        <w:rPr>
          <w:rStyle w:val="Strong"/>
          <w:rFonts w:ascii="Times New Roman" w:hAnsi="Times New Roman" w:cs="Times New Roman"/>
          <w:b w:val="0"/>
          <w:bCs w:val="0"/>
          <w:color w:val="EE0000"/>
          <w:sz w:val="24"/>
          <w:szCs w:val="24"/>
        </w:rPr>
        <w:t>purposive sampling approach</w:t>
      </w:r>
      <w:r w:rsidRPr="00200793">
        <w:rPr>
          <w:rFonts w:ascii="Times New Roman" w:hAnsi="Times New Roman" w:cs="Times New Roman"/>
          <w:color w:val="EE0000"/>
          <w:sz w:val="24"/>
          <w:szCs w:val="24"/>
        </w:rPr>
        <w:t xml:space="preserve">, selecting mature and healthy </w:t>
      </w:r>
      <w:r w:rsidRPr="00200793">
        <w:rPr>
          <w:rStyle w:val="Emphasis"/>
          <w:rFonts w:ascii="Times New Roman" w:hAnsi="Times New Roman" w:cs="Times New Roman"/>
          <w:color w:val="EE0000"/>
          <w:sz w:val="24"/>
          <w:szCs w:val="24"/>
        </w:rPr>
        <w:t>Terminalia arjuna</w:t>
      </w:r>
      <w:r w:rsidRPr="00200793">
        <w:rPr>
          <w:rFonts w:ascii="Times New Roman" w:hAnsi="Times New Roman" w:cs="Times New Roman"/>
          <w:color w:val="EE0000"/>
          <w:sz w:val="24"/>
          <w:szCs w:val="24"/>
        </w:rPr>
        <w:t xml:space="preserve"> trees located within the premises of J.S. Murarka Multiple Campus, Lahan, Siraha, Nepal. Only disease-free bark sections were selected to minimize variability in phytochemical composition. Approximately </w:t>
      </w:r>
      <w:r w:rsidRPr="00200793">
        <w:rPr>
          <w:rStyle w:val="Strong"/>
          <w:rFonts w:ascii="Times New Roman" w:hAnsi="Times New Roman" w:cs="Times New Roman"/>
          <w:b w:val="0"/>
          <w:bCs w:val="0"/>
          <w:color w:val="EE0000"/>
          <w:sz w:val="24"/>
          <w:szCs w:val="24"/>
        </w:rPr>
        <w:t>500 g of fresh bark material</w:t>
      </w:r>
      <w:r w:rsidRPr="00200793">
        <w:rPr>
          <w:rFonts w:ascii="Times New Roman" w:hAnsi="Times New Roman" w:cs="Times New Roman"/>
          <w:color w:val="EE0000"/>
          <w:sz w:val="24"/>
          <w:szCs w:val="24"/>
        </w:rPr>
        <w:t xml:space="preserve"> was collected to ensure sufficient quantity for extraction and repeated experimental analyses. The collected plant material was authenticated based on morphological characteristics using standard botanical references. All samples were processed immediately after collection to preserve phytochemical integrity</w:t>
      </w:r>
      <w:r w:rsidR="005465EA" w:rsidRPr="00200793">
        <w:rPr>
          <w:rFonts w:ascii="Times New Roman" w:hAnsi="Times New Roman" w:cs="Times New Roman"/>
          <w:color w:val="EE0000"/>
          <w:sz w:val="24"/>
          <w:szCs w:val="24"/>
        </w:rPr>
        <w:t>.</w:t>
      </w:r>
    </w:p>
    <w:p w14:paraId="1112F669" w14:textId="77777777" w:rsidR="0000308A" w:rsidRPr="00A46E2C" w:rsidRDefault="00617BE9">
      <w:pPr>
        <w:pStyle w:val="Heading3"/>
        <w:keepNext w:val="0"/>
        <w:keepLines w:val="0"/>
        <w:spacing w:before="280"/>
        <w:jc w:val="both"/>
        <w:rPr>
          <w:rFonts w:ascii="Times New Roman" w:hAnsi="Times New Roman" w:cs="Times New Roman"/>
          <w:b/>
          <w:bCs/>
          <w:color w:val="000000"/>
          <w:sz w:val="24"/>
          <w:szCs w:val="24"/>
        </w:rPr>
      </w:pPr>
      <w:bookmarkStart w:id="3" w:name="_j78x9sq1sqv2" w:colFirst="0" w:colLast="0"/>
      <w:bookmarkEnd w:id="3"/>
      <w:r w:rsidRPr="00A46E2C">
        <w:rPr>
          <w:rFonts w:ascii="Times New Roman" w:hAnsi="Times New Roman" w:cs="Times New Roman"/>
          <w:b/>
          <w:bCs/>
          <w:color w:val="000000"/>
          <w:sz w:val="24"/>
          <w:szCs w:val="24"/>
        </w:rPr>
        <w:t>2.2 Extraction Procedure</w:t>
      </w:r>
    </w:p>
    <w:p w14:paraId="289AA588" w14:textId="759398AB" w:rsidR="003A3E40" w:rsidRPr="003A3E40" w:rsidRDefault="005465EA" w:rsidP="003A3E40">
      <w:pPr>
        <w:spacing w:before="240" w:after="240"/>
        <w:jc w:val="both"/>
        <w:rPr>
          <w:rFonts w:ascii="Times New Roman" w:hAnsi="Times New Roman" w:cs="Times New Roman"/>
          <w:sz w:val="24"/>
          <w:szCs w:val="24"/>
        </w:rPr>
      </w:pPr>
      <w:r w:rsidRPr="005465EA">
        <w:rPr>
          <w:rFonts w:ascii="Times New Roman" w:hAnsi="Times New Roman" w:cs="Times New Roman"/>
          <w:sz w:val="24"/>
          <w:szCs w:val="24"/>
        </w:rPr>
        <w:t xml:space="preserve">About 80g of finely powdered </w:t>
      </w:r>
      <w:r w:rsidRPr="005465EA">
        <w:rPr>
          <w:rFonts w:ascii="Times New Roman" w:hAnsi="Times New Roman" w:cs="Times New Roman"/>
          <w:i/>
          <w:iCs/>
          <w:sz w:val="24"/>
          <w:szCs w:val="24"/>
        </w:rPr>
        <w:t>Terminalia arjuna</w:t>
      </w:r>
      <w:r w:rsidRPr="005465EA">
        <w:rPr>
          <w:rFonts w:ascii="Times New Roman" w:hAnsi="Times New Roman" w:cs="Times New Roman"/>
          <w:sz w:val="24"/>
          <w:szCs w:val="24"/>
        </w:rPr>
        <w:t xml:space="preserve"> bark was respectively impregnated in methanol, ethanol, hexane and dichloromethane (DCM) to produce extracts of different polarities. All sample-solvent mixtures were left to stand in 72 hours with occasional stirring </w:t>
      </w:r>
      <w:r w:rsidRPr="005465EA">
        <w:rPr>
          <w:rFonts w:ascii="Times New Roman" w:hAnsi="Times New Roman" w:cs="Times New Roman"/>
          <w:sz w:val="24"/>
          <w:szCs w:val="24"/>
        </w:rPr>
        <w:lastRenderedPageBreak/>
        <w:t xml:space="preserve">to ensure that the phytoconstituents were extracted effectively; the mixtures were then filtered in order to obtain the liquid extract and leave the plant residue behind. </w:t>
      </w:r>
      <w:r w:rsidR="009F185C">
        <w:rPr>
          <w:rFonts w:ascii="Times New Roman" w:hAnsi="Times New Roman" w:cs="Times New Roman"/>
          <w:sz w:val="24"/>
          <w:szCs w:val="24"/>
        </w:rPr>
        <w:t>A</w:t>
      </w:r>
      <w:r w:rsidRPr="005465EA">
        <w:rPr>
          <w:rFonts w:ascii="Times New Roman" w:hAnsi="Times New Roman" w:cs="Times New Roman"/>
          <w:sz w:val="24"/>
          <w:szCs w:val="24"/>
        </w:rPr>
        <w:t xml:space="preserve"> water bath was used in order to concentrate the filtrate to give crude extracts. The remaining vegetal matter was then left under repeated re-extractions using the same solvents over the next 48</w:t>
      </w:r>
      <w:r>
        <w:rPr>
          <w:rFonts w:ascii="Times New Roman" w:hAnsi="Times New Roman" w:cs="Times New Roman"/>
          <w:sz w:val="24"/>
          <w:szCs w:val="24"/>
        </w:rPr>
        <w:t xml:space="preserve"> </w:t>
      </w:r>
      <w:r w:rsidRPr="005465EA">
        <w:rPr>
          <w:rFonts w:ascii="Times New Roman" w:hAnsi="Times New Roman" w:cs="Times New Roman"/>
          <w:sz w:val="24"/>
          <w:szCs w:val="24"/>
        </w:rPr>
        <w:t>hours and then 24</w:t>
      </w:r>
      <w:r>
        <w:rPr>
          <w:rFonts w:ascii="Times New Roman" w:hAnsi="Times New Roman" w:cs="Times New Roman"/>
          <w:sz w:val="24"/>
          <w:szCs w:val="24"/>
        </w:rPr>
        <w:t xml:space="preserve"> </w:t>
      </w:r>
      <w:r w:rsidRPr="005465EA">
        <w:rPr>
          <w:rFonts w:ascii="Times New Roman" w:hAnsi="Times New Roman" w:cs="Times New Roman"/>
          <w:sz w:val="24"/>
          <w:szCs w:val="24"/>
        </w:rPr>
        <w:t>hours in as much as the residual vegetal material allowed maximum soluble compounds to be extracted. The entire filtrates of these serial extractions were pooled together, dried by evaporation and stored in clean airtight flasks in refrigerated conditions awaiting further analysis</w:t>
      </w:r>
      <w:r w:rsidR="00F500CB">
        <w:rPr>
          <w:rFonts w:ascii="Times New Roman" w:hAnsi="Times New Roman" w:cs="Times New Roman"/>
          <w:sz w:val="24"/>
          <w:szCs w:val="24"/>
        </w:rPr>
        <w:fldChar w:fldCharType="begin"/>
      </w:r>
      <w:r w:rsidR="00F500CB">
        <w:rPr>
          <w:rFonts w:ascii="Times New Roman" w:hAnsi="Times New Roman" w:cs="Times New Roman"/>
          <w:sz w:val="24"/>
          <w:szCs w:val="24"/>
        </w:rPr>
        <w:instrText xml:space="preserve"> ADDIN ZOTERO_ITEM CSL_CITATION {"citationID":"lc6G7n1L","properties":{"formattedCitation":"(Bouzidi et al., 2023)","plainCitation":"(Bouzidi et al., 2023)","noteIndex":0},"citationItems":[{"id":1798,"uris":["http://zotero.org/users/local/V2Wrfkmv/items/BAZSK4DF"],"itemData":{"id":1798,"type":"article-journal","abstract":"In recent years, due to the dramatic increase of the bacteria resistance to antibiotics and chemotherapeutic drugs, an increasing importance is given to the discovery of novel bioactive molecules, more potent than those in use. In this contest, methanol extracts of different parts of the medicinal plant Limoniastrum monopetalum (L.) Boiss. (Plumbaginaceae), widely occurring in Tunisia, were prepared to evaluate the antimicrobial and antiproliferative activities. The methanol extract of the roots showed the highest antibacterial activity against E. coli, S. aureus and E. faecalis, whereas the stem extract exhibited the highest antiproliferative effects towards a Hela cell line. Analysis of volatile fractions, using gas chromatography–mass spectrometry (GC–MS) and gas chromatography–flame ionization detector (GC–FID) techniques, led to the identification of camphor as the most abundant constituent, which represented from 84.85 to 99.48% of the methanol extracts. Multiple chromatographic separation of the methanol leaf extract afforded the flavonoid maeopsin-6-O-glucoside (S1) and a few fractions that were subjected to biological activity assays. One fraction exhibited interesting antibacterial activity against E. coli and E. faecalis (MIC values of 62.5 and 78.12 µg/mL, respectively), and antiproliferative effects against Hela and A549 cells (IC50 = 226 and 242.52 μg/mL, respectively). In addition, in silico studies indicated that maesopsin-6-O-glucoside, which was moderately active against Staphylococcus aureus, strongly interacted with the active site of the accessory gene regulator protein A (AgrA) of Staphylococcus aureus.","container-title":"Scientific Reports","DOI":"10.1038/s41598-023-46457-6","ISSN":"2045-2322","issue":"1","journalAbbreviation":"Sci Rep","language":"en","license":"2023 The Author(s)","page":"19144","publisher":"Nature Publishing Group","source":"www.nature.com","title":"Phytochemical analysis, biological activities of methanolic extracts and an isolated flavonoid from Tunisian Limoniastrum monopetalum (L.) Boiss: an in vitro and in silico investigations","title-short":"Phytochemical analysis, biological activities of methanolic extracts and an isolated flavonoid from Tunisian Limoniastrum monopetalum (L.) Boiss","volume":"13","author":[{"family":"Bouzidi","given":"Amel"},{"family":"Azizi","given":"Ahmed"},{"family":"Messaoudi","given":"Omar"},{"family":"Abderrezzak","given":"Kirouani"},{"family":"Vidari","given":"Giovanni"},{"family":"Hellal","given":"Ahmed Noureddine"},{"family":"Patel","given":"Chirag N."}],"issued":{"date-parts":[["2023",11,6]]}}}],"schema":"https://github.com/citation-style-language/schema/raw/master/csl-citation.json"} </w:instrText>
      </w:r>
      <w:r w:rsidR="00F500CB">
        <w:rPr>
          <w:rFonts w:ascii="Times New Roman" w:hAnsi="Times New Roman" w:cs="Times New Roman"/>
          <w:sz w:val="24"/>
          <w:szCs w:val="24"/>
        </w:rPr>
        <w:fldChar w:fldCharType="separate"/>
      </w:r>
      <w:r w:rsidR="00F500CB" w:rsidRPr="00F500CB">
        <w:rPr>
          <w:rFonts w:ascii="Times New Roman" w:hAnsi="Times New Roman" w:cs="Times New Roman"/>
          <w:sz w:val="24"/>
        </w:rPr>
        <w:t>(Bouzidi et al., 2023)</w:t>
      </w:r>
      <w:r w:rsidR="00F500CB">
        <w:rPr>
          <w:rFonts w:ascii="Times New Roman" w:hAnsi="Times New Roman" w:cs="Times New Roman"/>
          <w:sz w:val="24"/>
          <w:szCs w:val="24"/>
        </w:rPr>
        <w:fldChar w:fldCharType="end"/>
      </w:r>
      <w:r w:rsidRPr="005465EA">
        <w:rPr>
          <w:rFonts w:ascii="Times New Roman" w:hAnsi="Times New Roman" w:cs="Times New Roman"/>
          <w:sz w:val="24"/>
          <w:szCs w:val="24"/>
        </w:rPr>
        <w:t>.</w:t>
      </w:r>
      <w:r w:rsidR="006C7F73">
        <w:rPr>
          <w:rFonts w:ascii="Times New Roman" w:hAnsi="Times New Roman" w:cs="Times New Roman"/>
          <w:sz w:val="24"/>
          <w:szCs w:val="24"/>
        </w:rPr>
        <w:t xml:space="preserve"> </w:t>
      </w:r>
      <w:r w:rsidRPr="005465EA">
        <w:rPr>
          <w:rFonts w:ascii="Times New Roman" w:hAnsi="Times New Roman" w:cs="Times New Roman"/>
          <w:sz w:val="24"/>
          <w:szCs w:val="24"/>
        </w:rPr>
        <w:t xml:space="preserve"> To determine the efficiency of extraction, the percentage yield of every extract was determined.</w:t>
      </w:r>
    </w:p>
    <w:p w14:paraId="1F83CD06" w14:textId="424F4BF4" w:rsidR="0000308A" w:rsidRDefault="003A3E40" w:rsidP="003A3E40">
      <w:pPr>
        <w:spacing w:before="240" w:after="240"/>
        <w:jc w:val="both"/>
        <w:rPr>
          <w:rFonts w:ascii="Times New Roman" w:hAnsi="Times New Roman" w:cs="Times New Roman"/>
          <w:sz w:val="24"/>
          <w:szCs w:val="24"/>
        </w:rPr>
      </w:pPr>
      <w:r w:rsidRPr="003A3E40">
        <w:rPr>
          <w:rFonts w:ascii="Times New Roman" w:hAnsi="Times New Roman" w:cs="Times New Roman"/>
          <w:sz w:val="24"/>
          <w:szCs w:val="24"/>
        </w:rPr>
        <w:t>Extract yield %= (W</w:t>
      </w:r>
      <w:r w:rsidRPr="003A3E40">
        <w:rPr>
          <w:rFonts w:ascii="Times New Roman" w:hAnsi="Times New Roman" w:cs="Times New Roman"/>
          <w:sz w:val="24"/>
          <w:szCs w:val="24"/>
          <w:vertAlign w:val="subscript"/>
        </w:rPr>
        <w:t>1</w:t>
      </w:r>
      <w:r w:rsidRPr="003A3E40">
        <w:rPr>
          <w:rFonts w:ascii="Times New Roman" w:hAnsi="Times New Roman" w:cs="Times New Roman"/>
          <w:sz w:val="24"/>
          <w:szCs w:val="24"/>
        </w:rPr>
        <w:t>/W</w:t>
      </w:r>
      <w:r w:rsidRPr="003A3E40">
        <w:rPr>
          <w:rFonts w:ascii="Times New Roman" w:hAnsi="Times New Roman" w:cs="Times New Roman"/>
          <w:sz w:val="24"/>
          <w:szCs w:val="24"/>
          <w:vertAlign w:val="subscript"/>
        </w:rPr>
        <w:t>2</w:t>
      </w:r>
      <w:r w:rsidRPr="003A3E40">
        <w:rPr>
          <w:rFonts w:ascii="Times New Roman" w:hAnsi="Times New Roman" w:cs="Times New Roman"/>
          <w:sz w:val="24"/>
          <w:szCs w:val="24"/>
        </w:rPr>
        <w:t>) ×100</w:t>
      </w:r>
    </w:p>
    <w:p w14:paraId="742206C3" w14:textId="6D4B6128" w:rsidR="00117CF3" w:rsidRPr="000E3D98" w:rsidRDefault="00CA37AD" w:rsidP="003A3E40">
      <w:pPr>
        <w:spacing w:before="240" w:after="240"/>
        <w:jc w:val="both"/>
        <w:rPr>
          <w:rFonts w:ascii="Times New Roman" w:hAnsi="Times New Roman" w:cs="Times New Roman"/>
          <w:color w:val="EE0000"/>
          <w:sz w:val="24"/>
          <w:szCs w:val="24"/>
        </w:rPr>
      </w:pPr>
      <w:r w:rsidRPr="000E3D98">
        <w:rPr>
          <w:rFonts w:ascii="Times New Roman" w:hAnsi="Times New Roman" w:cs="Times New Roman"/>
          <w:color w:val="EE0000"/>
          <w:sz w:val="24"/>
          <w:szCs w:val="24"/>
        </w:rPr>
        <w:t>To ensure reliability and reproducibility of experimental results, each extraction and subsequent analytical assay was performed using triplicate experimental replicates. Approximately 80 g of powdered bark was used for each solvent extraction to obtain sufficient extract for phytochemical screening, antioxidant assays, antimicrobial testing, and GC–MS analysis. The use of multiple solvents with different polarities was intended to maximize the extraction of diverse phytoconstituents and enable comparative evaluation of their biological activities.</w:t>
      </w:r>
    </w:p>
    <w:p w14:paraId="1243C291" w14:textId="31835867" w:rsidR="005F1F0A" w:rsidRDefault="005F1F0A" w:rsidP="003A3E40">
      <w:pPr>
        <w:spacing w:before="240" w:after="240"/>
        <w:jc w:val="both"/>
        <w:rPr>
          <w:rFonts w:ascii="Times New Roman" w:hAnsi="Times New Roman" w:cs="Times New Roman"/>
          <w:b/>
          <w:bCs/>
          <w:sz w:val="24"/>
          <w:szCs w:val="24"/>
        </w:rPr>
      </w:pPr>
      <w:r w:rsidRPr="005F1F0A">
        <w:rPr>
          <w:rFonts w:ascii="Times New Roman" w:hAnsi="Times New Roman" w:cs="Times New Roman"/>
          <w:b/>
          <w:bCs/>
          <w:sz w:val="24"/>
          <w:szCs w:val="24"/>
        </w:rPr>
        <w:t>2.3</w:t>
      </w:r>
      <w:r>
        <w:rPr>
          <w:rFonts w:ascii="Times New Roman" w:hAnsi="Times New Roman" w:cs="Times New Roman"/>
          <w:sz w:val="24"/>
          <w:szCs w:val="24"/>
        </w:rPr>
        <w:t xml:space="preserve"> </w:t>
      </w:r>
      <w:r w:rsidRPr="005F1F0A">
        <w:rPr>
          <w:rFonts w:ascii="Times New Roman" w:hAnsi="Times New Roman" w:cs="Times New Roman"/>
          <w:b/>
          <w:bCs/>
          <w:sz w:val="24"/>
          <w:szCs w:val="24"/>
        </w:rPr>
        <w:t>Phytochemical Screening</w:t>
      </w:r>
    </w:p>
    <w:p w14:paraId="24AAB0EA" w14:textId="085B0035" w:rsidR="005F1F0A" w:rsidRDefault="005F1F0A" w:rsidP="003A3E40">
      <w:pPr>
        <w:spacing w:before="240" w:after="240"/>
        <w:jc w:val="both"/>
        <w:rPr>
          <w:rFonts w:ascii="Times New Roman" w:hAnsi="Times New Roman" w:cs="Times New Roman"/>
          <w:sz w:val="24"/>
          <w:szCs w:val="24"/>
        </w:rPr>
      </w:pPr>
      <w:r w:rsidRPr="005F1F0A">
        <w:rPr>
          <w:rFonts w:ascii="Times New Roman" w:hAnsi="Times New Roman" w:cs="Times New Roman"/>
          <w:sz w:val="24"/>
          <w:szCs w:val="24"/>
        </w:rPr>
        <w:t>Phytochemical analysis was done using standard method to identify major bioactive compounds by means of colour change or giving precipitate when suitable chemical is utilized</w:t>
      </w:r>
      <w:r>
        <w:rPr>
          <w:rFonts w:ascii="Times New Roman" w:hAnsi="Times New Roman" w:cs="Times New Roman"/>
          <w:b/>
          <w:bCs/>
          <w:sz w:val="24"/>
          <w:szCs w:val="24"/>
        </w:rPr>
        <w:t xml:space="preserve">. </w:t>
      </w:r>
      <w:r w:rsidRPr="005F1F0A">
        <w:rPr>
          <w:rFonts w:ascii="Times New Roman" w:hAnsi="Times New Roman" w:cs="Times New Roman"/>
          <w:sz w:val="24"/>
          <w:szCs w:val="24"/>
        </w:rPr>
        <w:t>The text is summarized in table:</w:t>
      </w:r>
    </w:p>
    <w:p w14:paraId="7136620A" w14:textId="78B085FC" w:rsidR="00E204D8" w:rsidRDefault="00E204D8" w:rsidP="003A3E40">
      <w:pPr>
        <w:spacing w:before="240" w:after="240"/>
        <w:jc w:val="both"/>
        <w:rPr>
          <w:rFonts w:ascii="Times New Roman" w:hAnsi="Times New Roman" w:cs="Times New Roman"/>
          <w:sz w:val="24"/>
          <w:szCs w:val="24"/>
        </w:rPr>
      </w:pPr>
      <w:r w:rsidRPr="00E204D8">
        <w:rPr>
          <w:rFonts w:ascii="Times New Roman" w:hAnsi="Times New Roman" w:cs="Times New Roman"/>
          <w:b/>
          <w:bCs/>
          <w:sz w:val="24"/>
          <w:szCs w:val="24"/>
        </w:rPr>
        <w:t>Table 1</w:t>
      </w:r>
      <w:r>
        <w:rPr>
          <w:rFonts w:ascii="Times New Roman" w:hAnsi="Times New Roman" w:cs="Times New Roman"/>
          <w:sz w:val="24"/>
          <w:szCs w:val="24"/>
        </w:rPr>
        <w:t>: Showing phytochemical analysis</w:t>
      </w:r>
      <w:r w:rsidR="00117CF3">
        <w:rPr>
          <w:rFonts w:ascii="Times New Roman" w:hAnsi="Times New Roman" w:cs="Times New Roman"/>
          <w:sz w:val="24"/>
          <w:szCs w:val="24"/>
        </w:rPr>
        <w:fldChar w:fldCharType="begin"/>
      </w:r>
      <w:r w:rsidR="00117CF3">
        <w:rPr>
          <w:rFonts w:ascii="Times New Roman" w:hAnsi="Times New Roman" w:cs="Times New Roman"/>
          <w:sz w:val="24"/>
          <w:szCs w:val="24"/>
        </w:rPr>
        <w:instrText xml:space="preserve"> ADDIN ZOTERO_ITEM CSL_CITATION {"citationID":"vyzxr0FI","properties":{"formattedCitation":"(Mandal et al., 2013)","plainCitation":"(Mandal et al., 2013)","noteIndex":0},"citationItems":[{"id":1800,"uris":["http://zotero.org/users/local/V2Wrfkmv/items/VHT8GAK6"],"itemData":{"id":1800,"type":"article-journal","abstract":"Objective\nTo investigate phytochemical screening, antimicrobial activity and qualitative thin layer chromatographic separation of flavonoid components, antioxidant activity and total flavonoid compound of Terminalia arjuna.\nMethods\nFor phytochemical screening, some common and available standard tests were done. Antimicrobial bioassay was done through agar well diffusion method. Detection of antioxidant activity and flavonoid compounds were done through thin layer chromatography. Total antioxidant activity was measured by 2, 2-diphenyl-1-picrylhydrazyl (DPPH) in colorimetric method. Aluminum chloride colorimetric method was used for total flavonoid determination.\nResults\nPhytochemical screening showed the active compounds presence in high concentration, such as phytosterol, lactones, flavonoids, phenolic compounds and tannins and glycosides. The antimicrobial activity of extract showed that greater inhibition zone against Gram negative bacteria than Gram positive bacteria. This methanolic extract showed a promising antioxidant activity, as absorption of DPPH redicles decreased in DPPH free radical scavenging assay. Flavonoids components having antioxidant property present in the methanol extract at a level of 199.00 mg quercetin equivalent/g of dried methanol extract in colorimetric method.\nConclusions\nThe Terminalia arjuna bark extract revealed the presence of bio-active constituents which are known to exhibit medicinal as well as physiological activities.","container-title":"Asian Pacific Journal of Tropical Biomedicine","DOI":"10.1016/S2221-1691(13)60186-0","ISSN":"2221-1691","issue":"12","journalAbbreviation":"Asian Pacific Journal of Tropical Biomedicine","page":"960-966","source":"ScienceDirect","title":"Analysis of phytochemical profile of &lt;i&gt;Terminalia arjuna&lt;/i&gt; bark extract with antioxidative and antimicrobial properties","volume":"3","author":[{"family":"Mandal","given":"Shreya"},{"family":"Patra","given":"Arpita"},{"family":"Samanta","given":"Animesh"},{"family":"Roy","given":"Suchismita"},{"family":"Mandal","given":"Arpita"},{"family":"Mahapatra","given":"Tapasi Das"},{"family":"Pradhan","given":"Shrabani"},{"family":"Das","given":"Koushik"},{"family":"Nandi","given":"Dilip Kumar"}],"issued":{"date-parts":[["2013",12,1]]}}}],"schema":"https://github.com/citation-style-language/schema/raw/master/csl-citation.json"} </w:instrText>
      </w:r>
      <w:r w:rsidR="00117CF3">
        <w:rPr>
          <w:rFonts w:ascii="Times New Roman" w:hAnsi="Times New Roman" w:cs="Times New Roman"/>
          <w:sz w:val="24"/>
          <w:szCs w:val="24"/>
        </w:rPr>
        <w:fldChar w:fldCharType="separate"/>
      </w:r>
      <w:r w:rsidR="00117CF3" w:rsidRPr="00117CF3">
        <w:rPr>
          <w:rFonts w:ascii="Times New Roman" w:hAnsi="Times New Roman" w:cs="Times New Roman"/>
          <w:sz w:val="24"/>
        </w:rPr>
        <w:t>(Mandal et al., 2013)</w:t>
      </w:r>
      <w:r w:rsidR="00117CF3">
        <w:rPr>
          <w:rFonts w:ascii="Times New Roman" w:hAnsi="Times New Roman" w:cs="Times New Roman"/>
          <w:sz w:val="24"/>
          <w:szCs w:val="24"/>
        </w:rPr>
        <w:fldChar w:fldCharType="end"/>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643"/>
        <w:gridCol w:w="1872"/>
        <w:gridCol w:w="1958"/>
        <w:gridCol w:w="2541"/>
        <w:gridCol w:w="2005"/>
      </w:tblGrid>
      <w:tr w:rsidR="005F1F0A" w:rsidRPr="005F1F0A" w14:paraId="03DFEB80" w14:textId="77777777" w:rsidTr="005F1F0A">
        <w:tc>
          <w:tcPr>
            <w:tcW w:w="0" w:type="auto"/>
            <w:hideMark/>
          </w:tcPr>
          <w:p w14:paraId="703629EE" w14:textId="77777777" w:rsidR="005F1F0A" w:rsidRPr="005F1F0A" w:rsidRDefault="005F1F0A" w:rsidP="005F1F0A">
            <w:pPr>
              <w:jc w:val="center"/>
              <w:rPr>
                <w:rFonts w:ascii="Times New Roman" w:eastAsia="Times New Roman" w:hAnsi="Times New Roman" w:cs="Times New Roman"/>
                <w:b/>
                <w:bCs/>
                <w:sz w:val="24"/>
                <w:szCs w:val="24"/>
                <w:lang w:val="en-IN"/>
              </w:rPr>
            </w:pPr>
            <w:r w:rsidRPr="005F1F0A">
              <w:rPr>
                <w:rFonts w:ascii="Times New Roman" w:eastAsia="Times New Roman" w:hAnsi="Times New Roman" w:cs="Times New Roman"/>
                <w:b/>
                <w:bCs/>
                <w:sz w:val="24"/>
                <w:szCs w:val="24"/>
                <w:lang w:val="en-IN"/>
              </w:rPr>
              <w:t>S.N.</w:t>
            </w:r>
          </w:p>
        </w:tc>
        <w:tc>
          <w:tcPr>
            <w:tcW w:w="0" w:type="auto"/>
            <w:hideMark/>
          </w:tcPr>
          <w:p w14:paraId="68F36FBE" w14:textId="77777777" w:rsidR="005F1F0A" w:rsidRPr="005F1F0A" w:rsidRDefault="005F1F0A" w:rsidP="005F1F0A">
            <w:pPr>
              <w:jc w:val="center"/>
              <w:rPr>
                <w:rFonts w:ascii="Times New Roman" w:eastAsia="Times New Roman" w:hAnsi="Times New Roman" w:cs="Times New Roman"/>
                <w:b/>
                <w:bCs/>
                <w:sz w:val="24"/>
                <w:szCs w:val="24"/>
                <w:lang w:val="en-IN"/>
              </w:rPr>
            </w:pPr>
            <w:r w:rsidRPr="005F1F0A">
              <w:rPr>
                <w:rFonts w:ascii="Times New Roman" w:eastAsia="Times New Roman" w:hAnsi="Times New Roman" w:cs="Times New Roman"/>
                <w:b/>
                <w:bCs/>
                <w:sz w:val="24"/>
                <w:szCs w:val="24"/>
                <w:lang w:val="en-IN"/>
              </w:rPr>
              <w:t>Test Name</w:t>
            </w:r>
          </w:p>
        </w:tc>
        <w:tc>
          <w:tcPr>
            <w:tcW w:w="0" w:type="auto"/>
            <w:hideMark/>
          </w:tcPr>
          <w:p w14:paraId="5E12B599" w14:textId="77777777" w:rsidR="005F1F0A" w:rsidRPr="005F1F0A" w:rsidRDefault="005F1F0A" w:rsidP="005F1F0A">
            <w:pPr>
              <w:jc w:val="center"/>
              <w:rPr>
                <w:rFonts w:ascii="Times New Roman" w:eastAsia="Times New Roman" w:hAnsi="Times New Roman" w:cs="Times New Roman"/>
                <w:b/>
                <w:bCs/>
                <w:sz w:val="24"/>
                <w:szCs w:val="24"/>
                <w:lang w:val="en-IN"/>
              </w:rPr>
            </w:pPr>
            <w:r w:rsidRPr="005F1F0A">
              <w:rPr>
                <w:rFonts w:ascii="Times New Roman" w:eastAsia="Times New Roman" w:hAnsi="Times New Roman" w:cs="Times New Roman"/>
                <w:b/>
                <w:bCs/>
                <w:sz w:val="24"/>
                <w:szCs w:val="24"/>
                <w:lang w:val="en-IN"/>
              </w:rPr>
              <w:t>Phytochemical Detected</w:t>
            </w:r>
          </w:p>
        </w:tc>
        <w:tc>
          <w:tcPr>
            <w:tcW w:w="0" w:type="auto"/>
            <w:hideMark/>
          </w:tcPr>
          <w:p w14:paraId="0ECD85CD" w14:textId="77777777" w:rsidR="005F1F0A" w:rsidRPr="005F1F0A" w:rsidRDefault="005F1F0A" w:rsidP="005F1F0A">
            <w:pPr>
              <w:jc w:val="center"/>
              <w:rPr>
                <w:rFonts w:ascii="Times New Roman" w:eastAsia="Times New Roman" w:hAnsi="Times New Roman" w:cs="Times New Roman"/>
                <w:b/>
                <w:bCs/>
                <w:sz w:val="24"/>
                <w:szCs w:val="24"/>
                <w:lang w:val="en-IN"/>
              </w:rPr>
            </w:pPr>
            <w:r w:rsidRPr="005F1F0A">
              <w:rPr>
                <w:rFonts w:ascii="Times New Roman" w:eastAsia="Times New Roman" w:hAnsi="Times New Roman" w:cs="Times New Roman"/>
                <w:b/>
                <w:bCs/>
                <w:sz w:val="24"/>
                <w:szCs w:val="24"/>
                <w:lang w:val="en-IN"/>
              </w:rPr>
              <w:t>Procedure</w:t>
            </w:r>
          </w:p>
        </w:tc>
        <w:tc>
          <w:tcPr>
            <w:tcW w:w="0" w:type="auto"/>
            <w:hideMark/>
          </w:tcPr>
          <w:p w14:paraId="7D92CD6E" w14:textId="77777777" w:rsidR="005F1F0A" w:rsidRPr="005F1F0A" w:rsidRDefault="005F1F0A" w:rsidP="005F1F0A">
            <w:pPr>
              <w:jc w:val="center"/>
              <w:rPr>
                <w:rFonts w:ascii="Times New Roman" w:eastAsia="Times New Roman" w:hAnsi="Times New Roman" w:cs="Times New Roman"/>
                <w:b/>
                <w:bCs/>
                <w:sz w:val="24"/>
                <w:szCs w:val="24"/>
                <w:lang w:val="en-IN"/>
              </w:rPr>
            </w:pPr>
            <w:r w:rsidRPr="005F1F0A">
              <w:rPr>
                <w:rFonts w:ascii="Times New Roman" w:eastAsia="Times New Roman" w:hAnsi="Times New Roman" w:cs="Times New Roman"/>
                <w:b/>
                <w:bCs/>
                <w:sz w:val="24"/>
                <w:szCs w:val="24"/>
                <w:lang w:val="en-IN"/>
              </w:rPr>
              <w:t>Positive Indication</w:t>
            </w:r>
          </w:p>
        </w:tc>
      </w:tr>
      <w:tr w:rsidR="005F1F0A" w:rsidRPr="005F1F0A" w14:paraId="660DCB3C" w14:textId="77777777" w:rsidTr="005F1F0A">
        <w:tc>
          <w:tcPr>
            <w:tcW w:w="0" w:type="auto"/>
            <w:hideMark/>
          </w:tcPr>
          <w:p w14:paraId="405A4EC3"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1</w:t>
            </w:r>
          </w:p>
        </w:tc>
        <w:tc>
          <w:tcPr>
            <w:tcW w:w="0" w:type="auto"/>
            <w:hideMark/>
          </w:tcPr>
          <w:p w14:paraId="638C70B2"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Salkowski reaction</w:t>
            </w:r>
          </w:p>
        </w:tc>
        <w:tc>
          <w:tcPr>
            <w:tcW w:w="0" w:type="auto"/>
            <w:hideMark/>
          </w:tcPr>
          <w:p w14:paraId="1DCC3F0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Phytosterols</w:t>
            </w:r>
          </w:p>
        </w:tc>
        <w:tc>
          <w:tcPr>
            <w:tcW w:w="0" w:type="auto"/>
            <w:hideMark/>
          </w:tcPr>
          <w:p w14:paraId="3F9B75CB"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Chloroform extract + conc. H₂SO₄</w:t>
            </w:r>
          </w:p>
        </w:tc>
        <w:tc>
          <w:tcPr>
            <w:tcW w:w="0" w:type="auto"/>
            <w:hideMark/>
          </w:tcPr>
          <w:p w14:paraId="4A02BCB2"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Reddish-brown color in chloroform layer</w:t>
            </w:r>
          </w:p>
        </w:tc>
      </w:tr>
      <w:tr w:rsidR="005F1F0A" w:rsidRPr="005F1F0A" w14:paraId="52A6E19F" w14:textId="77777777" w:rsidTr="005F1F0A">
        <w:tc>
          <w:tcPr>
            <w:tcW w:w="0" w:type="auto"/>
            <w:hideMark/>
          </w:tcPr>
          <w:p w14:paraId="3A3A9D15"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2</w:t>
            </w:r>
          </w:p>
        </w:tc>
        <w:tc>
          <w:tcPr>
            <w:tcW w:w="0" w:type="auto"/>
            <w:hideMark/>
          </w:tcPr>
          <w:p w14:paraId="75A8F1C3"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Liebermann–Burchard test</w:t>
            </w:r>
          </w:p>
        </w:tc>
        <w:tc>
          <w:tcPr>
            <w:tcW w:w="0" w:type="auto"/>
            <w:hideMark/>
          </w:tcPr>
          <w:p w14:paraId="6D4FBC73"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Triterpenoids</w:t>
            </w:r>
          </w:p>
        </w:tc>
        <w:tc>
          <w:tcPr>
            <w:tcW w:w="0" w:type="auto"/>
            <w:hideMark/>
          </w:tcPr>
          <w:p w14:paraId="26FD764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 acetic anhydride, boil, cool, add conc. H₂SO₄</w:t>
            </w:r>
          </w:p>
        </w:tc>
        <w:tc>
          <w:tcPr>
            <w:tcW w:w="0" w:type="auto"/>
            <w:hideMark/>
          </w:tcPr>
          <w:p w14:paraId="64B01873"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Brown ring + deep red color</w:t>
            </w:r>
          </w:p>
        </w:tc>
      </w:tr>
      <w:tr w:rsidR="005F1F0A" w:rsidRPr="005F1F0A" w14:paraId="5EE7E5FD" w14:textId="77777777" w:rsidTr="005F1F0A">
        <w:tc>
          <w:tcPr>
            <w:tcW w:w="0" w:type="auto"/>
            <w:hideMark/>
          </w:tcPr>
          <w:p w14:paraId="672A758A"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3</w:t>
            </w:r>
          </w:p>
        </w:tc>
        <w:tc>
          <w:tcPr>
            <w:tcW w:w="0" w:type="auto"/>
            <w:hideMark/>
          </w:tcPr>
          <w:p w14:paraId="62EC14B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Foam test</w:t>
            </w:r>
          </w:p>
        </w:tc>
        <w:tc>
          <w:tcPr>
            <w:tcW w:w="0" w:type="auto"/>
            <w:hideMark/>
          </w:tcPr>
          <w:p w14:paraId="15E455D4"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Saponins</w:t>
            </w:r>
          </w:p>
        </w:tc>
        <w:tc>
          <w:tcPr>
            <w:tcW w:w="0" w:type="auto"/>
            <w:hideMark/>
          </w:tcPr>
          <w:p w14:paraId="73BD5E36"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 water, shaken vigorously</w:t>
            </w:r>
          </w:p>
        </w:tc>
        <w:tc>
          <w:tcPr>
            <w:tcW w:w="0" w:type="auto"/>
            <w:hideMark/>
          </w:tcPr>
          <w:p w14:paraId="42D4204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Persistent foam (10 min)</w:t>
            </w:r>
          </w:p>
        </w:tc>
      </w:tr>
      <w:tr w:rsidR="005F1F0A" w:rsidRPr="005F1F0A" w14:paraId="739B983C" w14:textId="77777777" w:rsidTr="005F1F0A">
        <w:tc>
          <w:tcPr>
            <w:tcW w:w="0" w:type="auto"/>
            <w:hideMark/>
          </w:tcPr>
          <w:p w14:paraId="016F07B6"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4</w:t>
            </w:r>
          </w:p>
        </w:tc>
        <w:tc>
          <w:tcPr>
            <w:tcW w:w="0" w:type="auto"/>
            <w:hideMark/>
          </w:tcPr>
          <w:p w14:paraId="1B877AB4"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Dragendorff’s test</w:t>
            </w:r>
          </w:p>
        </w:tc>
        <w:tc>
          <w:tcPr>
            <w:tcW w:w="0" w:type="auto"/>
            <w:hideMark/>
          </w:tcPr>
          <w:p w14:paraId="377B1DF7"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Alkaloids</w:t>
            </w:r>
          </w:p>
        </w:tc>
        <w:tc>
          <w:tcPr>
            <w:tcW w:w="0" w:type="auto"/>
            <w:hideMark/>
          </w:tcPr>
          <w:p w14:paraId="09395228"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residue + Dragendorff’s reagent</w:t>
            </w:r>
          </w:p>
        </w:tc>
        <w:tc>
          <w:tcPr>
            <w:tcW w:w="0" w:type="auto"/>
            <w:hideMark/>
          </w:tcPr>
          <w:p w14:paraId="771173FD"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Orange-red precipitate</w:t>
            </w:r>
          </w:p>
        </w:tc>
      </w:tr>
      <w:tr w:rsidR="005F1F0A" w:rsidRPr="005F1F0A" w14:paraId="461DCB13" w14:textId="77777777" w:rsidTr="005F1F0A">
        <w:tc>
          <w:tcPr>
            <w:tcW w:w="0" w:type="auto"/>
            <w:hideMark/>
          </w:tcPr>
          <w:p w14:paraId="332C2238"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5</w:t>
            </w:r>
          </w:p>
        </w:tc>
        <w:tc>
          <w:tcPr>
            <w:tcW w:w="0" w:type="auto"/>
            <w:hideMark/>
          </w:tcPr>
          <w:p w14:paraId="3F2991E4"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Molisch’s test</w:t>
            </w:r>
          </w:p>
        </w:tc>
        <w:tc>
          <w:tcPr>
            <w:tcW w:w="0" w:type="auto"/>
            <w:hideMark/>
          </w:tcPr>
          <w:p w14:paraId="38CE9F9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Carbohydrates</w:t>
            </w:r>
          </w:p>
        </w:tc>
        <w:tc>
          <w:tcPr>
            <w:tcW w:w="0" w:type="auto"/>
            <w:hideMark/>
          </w:tcPr>
          <w:p w14:paraId="69CDFDF5"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 Molisch reagent + conc. H₂SO₄</w:t>
            </w:r>
          </w:p>
        </w:tc>
        <w:tc>
          <w:tcPr>
            <w:tcW w:w="0" w:type="auto"/>
            <w:hideMark/>
          </w:tcPr>
          <w:p w14:paraId="1E949B7D"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Reddish-violet ring</w:t>
            </w:r>
          </w:p>
        </w:tc>
      </w:tr>
      <w:tr w:rsidR="005F1F0A" w:rsidRPr="005F1F0A" w14:paraId="0918A460" w14:textId="77777777" w:rsidTr="005F1F0A">
        <w:tc>
          <w:tcPr>
            <w:tcW w:w="0" w:type="auto"/>
            <w:hideMark/>
          </w:tcPr>
          <w:p w14:paraId="00046861"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6</w:t>
            </w:r>
          </w:p>
        </w:tc>
        <w:tc>
          <w:tcPr>
            <w:tcW w:w="0" w:type="auto"/>
            <w:hideMark/>
          </w:tcPr>
          <w:p w14:paraId="442507D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Lead acetate test</w:t>
            </w:r>
          </w:p>
        </w:tc>
        <w:tc>
          <w:tcPr>
            <w:tcW w:w="0" w:type="auto"/>
            <w:hideMark/>
          </w:tcPr>
          <w:p w14:paraId="5BAB6CB8"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Flavonoids</w:t>
            </w:r>
          </w:p>
        </w:tc>
        <w:tc>
          <w:tcPr>
            <w:tcW w:w="0" w:type="auto"/>
            <w:hideMark/>
          </w:tcPr>
          <w:p w14:paraId="5A76C8D3"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Alcoholic extract + 10% lead acetate</w:t>
            </w:r>
          </w:p>
        </w:tc>
        <w:tc>
          <w:tcPr>
            <w:tcW w:w="0" w:type="auto"/>
            <w:hideMark/>
          </w:tcPr>
          <w:p w14:paraId="1A033BC5"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Yellow precipitate</w:t>
            </w:r>
          </w:p>
        </w:tc>
      </w:tr>
      <w:tr w:rsidR="005F1F0A" w:rsidRPr="005F1F0A" w14:paraId="1A8299C1" w14:textId="77777777" w:rsidTr="005F1F0A">
        <w:tc>
          <w:tcPr>
            <w:tcW w:w="0" w:type="auto"/>
            <w:hideMark/>
          </w:tcPr>
          <w:p w14:paraId="1166A602"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7</w:t>
            </w:r>
          </w:p>
        </w:tc>
        <w:tc>
          <w:tcPr>
            <w:tcW w:w="0" w:type="auto"/>
            <w:hideMark/>
          </w:tcPr>
          <w:p w14:paraId="29FB57DF"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Legal’s test</w:t>
            </w:r>
          </w:p>
        </w:tc>
        <w:tc>
          <w:tcPr>
            <w:tcW w:w="0" w:type="auto"/>
            <w:hideMark/>
          </w:tcPr>
          <w:p w14:paraId="2A66C1E2"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Lactones</w:t>
            </w:r>
          </w:p>
        </w:tc>
        <w:tc>
          <w:tcPr>
            <w:tcW w:w="0" w:type="auto"/>
            <w:hideMark/>
          </w:tcPr>
          <w:p w14:paraId="4328B399"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 sodium nitroprusside + pyridine + NaOH</w:t>
            </w:r>
          </w:p>
        </w:tc>
        <w:tc>
          <w:tcPr>
            <w:tcW w:w="0" w:type="auto"/>
            <w:hideMark/>
          </w:tcPr>
          <w:p w14:paraId="0B7ECCC7"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Deep red color</w:t>
            </w:r>
          </w:p>
        </w:tc>
      </w:tr>
      <w:tr w:rsidR="005F1F0A" w:rsidRPr="005F1F0A" w14:paraId="7BB193F4" w14:textId="77777777" w:rsidTr="005F1F0A">
        <w:tc>
          <w:tcPr>
            <w:tcW w:w="0" w:type="auto"/>
            <w:hideMark/>
          </w:tcPr>
          <w:p w14:paraId="1F514214"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lastRenderedPageBreak/>
              <w:t>8</w:t>
            </w:r>
          </w:p>
        </w:tc>
        <w:tc>
          <w:tcPr>
            <w:tcW w:w="0" w:type="auto"/>
            <w:hideMark/>
          </w:tcPr>
          <w:p w14:paraId="0B60BF41"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Ferric chloride test</w:t>
            </w:r>
          </w:p>
        </w:tc>
        <w:tc>
          <w:tcPr>
            <w:tcW w:w="0" w:type="auto"/>
            <w:hideMark/>
          </w:tcPr>
          <w:p w14:paraId="1995C6C1"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Phenols &amp; Tannins</w:t>
            </w:r>
          </w:p>
        </w:tc>
        <w:tc>
          <w:tcPr>
            <w:tcW w:w="0" w:type="auto"/>
            <w:hideMark/>
          </w:tcPr>
          <w:p w14:paraId="21F69F0D"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 FeCl₃ solution</w:t>
            </w:r>
          </w:p>
        </w:tc>
        <w:tc>
          <w:tcPr>
            <w:tcW w:w="0" w:type="auto"/>
            <w:hideMark/>
          </w:tcPr>
          <w:p w14:paraId="0D406D66"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Bluish-black precipitate</w:t>
            </w:r>
          </w:p>
        </w:tc>
      </w:tr>
      <w:tr w:rsidR="005F1F0A" w:rsidRPr="005F1F0A" w14:paraId="073E36A8" w14:textId="77777777" w:rsidTr="005F1F0A">
        <w:tc>
          <w:tcPr>
            <w:tcW w:w="0" w:type="auto"/>
            <w:hideMark/>
          </w:tcPr>
          <w:p w14:paraId="6685F6CB"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9</w:t>
            </w:r>
          </w:p>
        </w:tc>
        <w:tc>
          <w:tcPr>
            <w:tcW w:w="0" w:type="auto"/>
            <w:hideMark/>
          </w:tcPr>
          <w:p w14:paraId="3C59AD07"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Ninhydrin test</w:t>
            </w:r>
          </w:p>
        </w:tc>
        <w:tc>
          <w:tcPr>
            <w:tcW w:w="0" w:type="auto"/>
            <w:hideMark/>
          </w:tcPr>
          <w:p w14:paraId="574FB2DE"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Amino acids/Proteins</w:t>
            </w:r>
          </w:p>
        </w:tc>
        <w:tc>
          <w:tcPr>
            <w:tcW w:w="0" w:type="auto"/>
            <w:hideMark/>
          </w:tcPr>
          <w:p w14:paraId="278DD9DF"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 ninhydrin</w:t>
            </w:r>
          </w:p>
        </w:tc>
        <w:tc>
          <w:tcPr>
            <w:tcW w:w="0" w:type="auto"/>
            <w:hideMark/>
          </w:tcPr>
          <w:p w14:paraId="07EC1715"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Blue color</w:t>
            </w:r>
          </w:p>
        </w:tc>
      </w:tr>
      <w:tr w:rsidR="005F1F0A" w:rsidRPr="005F1F0A" w14:paraId="4B974E3A" w14:textId="77777777" w:rsidTr="005F1F0A">
        <w:tc>
          <w:tcPr>
            <w:tcW w:w="0" w:type="auto"/>
            <w:hideMark/>
          </w:tcPr>
          <w:p w14:paraId="78C37D15"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10</w:t>
            </w:r>
          </w:p>
        </w:tc>
        <w:tc>
          <w:tcPr>
            <w:tcW w:w="0" w:type="auto"/>
            <w:hideMark/>
          </w:tcPr>
          <w:p w14:paraId="7EA2755A"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Keller–Killiani test</w:t>
            </w:r>
          </w:p>
        </w:tc>
        <w:tc>
          <w:tcPr>
            <w:tcW w:w="0" w:type="auto"/>
            <w:hideMark/>
          </w:tcPr>
          <w:p w14:paraId="397CFF19"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Glycosides</w:t>
            </w:r>
          </w:p>
        </w:tc>
        <w:tc>
          <w:tcPr>
            <w:tcW w:w="0" w:type="auto"/>
            <w:hideMark/>
          </w:tcPr>
          <w:p w14:paraId="0B53303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 glacial acetic acid + FeCl₃ + conc. H₂SO₄</w:t>
            </w:r>
          </w:p>
        </w:tc>
        <w:tc>
          <w:tcPr>
            <w:tcW w:w="0" w:type="auto"/>
            <w:hideMark/>
          </w:tcPr>
          <w:p w14:paraId="116E3296"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Reddish-brown ring</w:t>
            </w:r>
          </w:p>
        </w:tc>
      </w:tr>
    </w:tbl>
    <w:p w14:paraId="4A946C2D" w14:textId="77777777" w:rsidR="00C96A15" w:rsidRPr="005F1F0A" w:rsidRDefault="00C96A15" w:rsidP="003A3E40">
      <w:pPr>
        <w:spacing w:before="240" w:after="240"/>
        <w:jc w:val="both"/>
        <w:rPr>
          <w:rFonts w:ascii="Times New Roman" w:hAnsi="Times New Roman" w:cs="Times New Roman"/>
          <w:sz w:val="24"/>
          <w:szCs w:val="24"/>
        </w:rPr>
      </w:pPr>
    </w:p>
    <w:p w14:paraId="1E5D1F78" w14:textId="6CE6D6A5" w:rsidR="0000308A" w:rsidRPr="00A46E2C" w:rsidRDefault="00617BE9">
      <w:pPr>
        <w:pStyle w:val="Heading3"/>
        <w:keepNext w:val="0"/>
        <w:keepLines w:val="0"/>
        <w:spacing w:before="280"/>
        <w:jc w:val="both"/>
        <w:rPr>
          <w:rFonts w:ascii="Times New Roman" w:hAnsi="Times New Roman" w:cs="Times New Roman"/>
          <w:b/>
          <w:bCs/>
          <w:color w:val="000000"/>
          <w:sz w:val="24"/>
          <w:szCs w:val="24"/>
        </w:rPr>
      </w:pPr>
      <w:bookmarkStart w:id="4" w:name="_d1qz7qdj4s7s" w:colFirst="0" w:colLast="0"/>
      <w:bookmarkEnd w:id="4"/>
      <w:r w:rsidRPr="00A46E2C">
        <w:rPr>
          <w:rFonts w:ascii="Times New Roman" w:hAnsi="Times New Roman" w:cs="Times New Roman"/>
          <w:b/>
          <w:bCs/>
          <w:color w:val="000000"/>
          <w:sz w:val="24"/>
          <w:szCs w:val="24"/>
        </w:rPr>
        <w:t>2.</w:t>
      </w:r>
      <w:r w:rsidR="000E3D98">
        <w:rPr>
          <w:rFonts w:ascii="Times New Roman" w:hAnsi="Times New Roman" w:cs="Times New Roman"/>
          <w:b/>
          <w:bCs/>
          <w:color w:val="000000"/>
          <w:sz w:val="24"/>
          <w:szCs w:val="24"/>
        </w:rPr>
        <w:t>4</w:t>
      </w:r>
      <w:r w:rsidRPr="00A46E2C">
        <w:rPr>
          <w:rFonts w:ascii="Times New Roman" w:hAnsi="Times New Roman" w:cs="Times New Roman"/>
          <w:b/>
          <w:bCs/>
          <w:color w:val="000000"/>
          <w:sz w:val="24"/>
          <w:szCs w:val="24"/>
        </w:rPr>
        <w:t xml:space="preserve"> Determination of Total Phenolic Content (TPC)</w:t>
      </w:r>
    </w:p>
    <w:p w14:paraId="758D1296" w14:textId="4EBA3561" w:rsidR="0000308A" w:rsidRPr="00A46E2C" w:rsidRDefault="007B4C53">
      <w:pPr>
        <w:spacing w:before="240" w:after="240"/>
        <w:jc w:val="both"/>
        <w:rPr>
          <w:rFonts w:ascii="Times New Roman" w:hAnsi="Times New Roman" w:cs="Times New Roman"/>
          <w:sz w:val="24"/>
          <w:szCs w:val="24"/>
        </w:rPr>
      </w:pPr>
      <w:r w:rsidRPr="007B4C53">
        <w:rPr>
          <w:rFonts w:ascii="Times New Roman" w:hAnsi="Times New Roman" w:cs="Times New Roman"/>
          <w:color w:val="EE0000"/>
          <w:sz w:val="24"/>
          <w:szCs w:val="24"/>
        </w:rPr>
        <w:t>An aliquot of 100 µL of the prepared sample extract was transferred into a suitable reaction vessel or a 96-well microplate. Subsequently, 200 µL of freshly prepared 10% Folin–Ciocalteu (FC) reagent was added to initiate the reaction</w:t>
      </w:r>
      <w:r w:rsidR="00617BE9" w:rsidRPr="007B4C53">
        <w:rPr>
          <w:rFonts w:ascii="Times New Roman" w:hAnsi="Times New Roman" w:cs="Times New Roman"/>
          <w:color w:val="EE0000"/>
          <w:sz w:val="24"/>
          <w:szCs w:val="24"/>
        </w:rPr>
        <w:t xml:space="preserve">. </w:t>
      </w:r>
      <w:r w:rsidR="00617BE9" w:rsidRPr="00A46E2C">
        <w:rPr>
          <w:rFonts w:ascii="Times New Roman" w:hAnsi="Times New Roman" w:cs="Times New Roman"/>
          <w:sz w:val="24"/>
          <w:szCs w:val="24"/>
        </w:rPr>
        <w:t>The mixture was gently mixed to ensure uniform interaction between the reagent and the phenolic compounds present in the sample, and an initial absorbance reading was recorded to establish baseline values. Following this, 80</w:t>
      </w:r>
      <w:r w:rsidR="00372F94">
        <w:rPr>
          <w:rFonts w:ascii="Times New Roman" w:hAnsi="Times New Roman" w:cs="Times New Roman"/>
          <w:sz w:val="24"/>
          <w:szCs w:val="24"/>
        </w:rPr>
        <w:t>0</w:t>
      </w:r>
      <w:r w:rsidR="00617BE9" w:rsidRPr="00A46E2C">
        <w:rPr>
          <w:rFonts w:ascii="Times New Roman" w:hAnsi="Times New Roman" w:cs="Times New Roman"/>
          <w:sz w:val="24"/>
          <w:szCs w:val="24"/>
        </w:rPr>
        <w:t xml:space="preserve"> µL of </w:t>
      </w:r>
      <w:r w:rsidR="00372F94" w:rsidRPr="00372F94">
        <w:rPr>
          <w:rFonts w:ascii="Times New Roman" w:hAnsi="Times New Roman" w:cs="Times New Roman"/>
          <w:sz w:val="24"/>
          <w:szCs w:val="24"/>
        </w:rPr>
        <w:t>700 Mm</w:t>
      </w:r>
      <w:r w:rsidR="00372F94">
        <w:rPr>
          <w:rFonts w:ascii="Times New Roman" w:hAnsi="Times New Roman" w:cs="Times New Roman"/>
          <w:sz w:val="24"/>
          <w:szCs w:val="24"/>
        </w:rPr>
        <w:t xml:space="preserve"> </w:t>
      </w:r>
      <w:r w:rsidR="00617BE9" w:rsidRPr="00A46E2C">
        <w:rPr>
          <w:rFonts w:ascii="Times New Roman" w:hAnsi="Times New Roman" w:cs="Times New Roman"/>
          <w:sz w:val="24"/>
          <w:szCs w:val="24"/>
        </w:rPr>
        <w:t xml:space="preserve">sodium carbonate solution was added to the reaction mixture to neutralize the medium </w:t>
      </w:r>
      <w:r w:rsidR="001E12FA">
        <w:rPr>
          <w:rFonts w:ascii="Times New Roman" w:hAnsi="Times New Roman" w:cs="Times New Roman"/>
          <w:sz w:val="24"/>
          <w:szCs w:val="24"/>
        </w:rPr>
        <w:t xml:space="preserve">to </w:t>
      </w:r>
      <w:r w:rsidR="00617BE9" w:rsidRPr="00A46E2C">
        <w:rPr>
          <w:rFonts w:ascii="Times New Roman" w:hAnsi="Times New Roman" w:cs="Times New Roman"/>
          <w:sz w:val="24"/>
          <w:szCs w:val="24"/>
        </w:rPr>
        <w:t>promote the formation of a blue-colored chromophore complex resulting from the reduction of the FC reagent by phenolic constituents. The total volume of the reaction mixture was then adjusted to 200 µL using distilled water to maintain consistent assay conditions. The prepared mixture was incubated in the dark at room temperature for</w:t>
      </w:r>
      <w:r w:rsidR="001E12FA">
        <w:rPr>
          <w:rFonts w:ascii="Times New Roman" w:hAnsi="Times New Roman" w:cs="Times New Roman"/>
          <w:sz w:val="24"/>
          <w:szCs w:val="24"/>
        </w:rPr>
        <w:t xml:space="preserve"> 2 hours </w:t>
      </w:r>
      <w:r w:rsidR="001E12FA" w:rsidRPr="00A46E2C">
        <w:rPr>
          <w:rFonts w:ascii="Times New Roman" w:hAnsi="Times New Roman" w:cs="Times New Roman"/>
          <w:sz w:val="24"/>
          <w:szCs w:val="24"/>
        </w:rPr>
        <w:t>to</w:t>
      </w:r>
      <w:r w:rsidR="00617BE9" w:rsidRPr="00A46E2C">
        <w:rPr>
          <w:rFonts w:ascii="Times New Roman" w:hAnsi="Times New Roman" w:cs="Times New Roman"/>
          <w:sz w:val="24"/>
          <w:szCs w:val="24"/>
        </w:rPr>
        <w:t xml:space="preserve"> allow complete </w:t>
      </w:r>
      <w:r w:rsidR="005415B5" w:rsidRPr="00A46E2C">
        <w:rPr>
          <w:rFonts w:ascii="Times New Roman" w:hAnsi="Times New Roman" w:cs="Times New Roman"/>
          <w:sz w:val="24"/>
          <w:szCs w:val="24"/>
        </w:rPr>
        <w:t>colour</w:t>
      </w:r>
      <w:r w:rsidR="00617BE9" w:rsidRPr="00A46E2C">
        <w:rPr>
          <w:rFonts w:ascii="Times New Roman" w:hAnsi="Times New Roman" w:cs="Times New Roman"/>
          <w:sz w:val="24"/>
          <w:szCs w:val="24"/>
        </w:rPr>
        <w:t xml:space="preserve"> development while preventing light-induced degradation or interference. After incubation, the absorbance of the resulting solution was measured spectrophotometrically at a wavelength of 765 nm against an appropriate blank solution</w:t>
      </w:r>
      <w:r w:rsidR="00617BE9" w:rsidRPr="004B6083">
        <w:rPr>
          <w:rFonts w:ascii="Times New Roman" w:hAnsi="Times New Roman" w:cs="Times New Roman"/>
          <w:color w:val="EE0000"/>
          <w:sz w:val="24"/>
          <w:szCs w:val="24"/>
        </w:rPr>
        <w:t xml:space="preserve">. All experimental determinations were performed in triplicate under identical conditions to ensure precision, reproducibility, and statistical reliability of the </w:t>
      </w:r>
      <w:r w:rsidR="001E12FA" w:rsidRPr="004B6083">
        <w:rPr>
          <w:rFonts w:ascii="Times New Roman" w:hAnsi="Times New Roman" w:cs="Times New Roman"/>
          <w:color w:val="EE0000"/>
          <w:sz w:val="24"/>
          <w:szCs w:val="24"/>
        </w:rPr>
        <w:t>results</w:t>
      </w:r>
      <w:r w:rsidR="001E12FA">
        <w:rPr>
          <w:rFonts w:ascii="Times New Roman" w:hAnsi="Times New Roman" w:cs="Times New Roman"/>
          <w:sz w:val="24"/>
          <w:szCs w:val="24"/>
        </w:rPr>
        <w:t xml:space="preserve"> </w:t>
      </w:r>
      <w:r w:rsidR="006D45FA">
        <w:rPr>
          <w:rFonts w:ascii="Times New Roman" w:hAnsi="Times New Roman" w:cs="Times New Roman"/>
          <w:sz w:val="24"/>
          <w:szCs w:val="24"/>
        </w:rPr>
        <w:fldChar w:fldCharType="begin"/>
      </w:r>
      <w:r w:rsidR="0014789F">
        <w:rPr>
          <w:rFonts w:ascii="Times New Roman" w:hAnsi="Times New Roman" w:cs="Times New Roman"/>
          <w:sz w:val="24"/>
          <w:szCs w:val="24"/>
        </w:rPr>
        <w:instrText xml:space="preserve"> ADDIN ZOTERO_ITEM CSL_CITATION {"citationID":"vqX6BAkU","properties":{"formattedCitation":"(Sabaragamuwa &amp; Perera, 2023a)","plainCitation":"(Sabaragamuwa &amp; Perera, 2023a)","noteIndex":0},"citationItems":[{"id":1803,"uris":["http://zotero.org/users/local/V2Wrfkmv/items/LXWB8H6F"],"itemData":{"id":1803,"type":"article-journal","abstract":"Obtaining phytochemical-rich plant extracts from natural products where the active ingredients are present in comparatively low levels in the tissue m...","container-title":"Foods","DOI":"10.3390/foods12213972","ISSN":"2304-8158","issue":"21","language":"en","license":"http://creativecommons.org/licenses/by/3.0/","publisher":"publisher","source":"www.mdpi.com","title":"Total Triterpenes, Polyphenols, Flavonoids, and Antioxidant Activity of Bioactive Phytochemicals of Centella asiatica by Different Extraction Techniques","URL":"https://www.mdpi.com/2304-8158/12/21/3972","volume":"12","author":[{"family":"Sabaragamuwa","given":"Rasangani"},{"family":"Perera","given":"Conrad O."}],"accessed":{"date-parts":[["2026",3,1]]},"issued":{"date-parts":[["2023",10,30]]}}}],"schema":"https://github.com/citation-style-language/schema/raw/master/csl-citation.json"} </w:instrText>
      </w:r>
      <w:r w:rsidR="006D45FA">
        <w:rPr>
          <w:rFonts w:ascii="Times New Roman" w:hAnsi="Times New Roman" w:cs="Times New Roman"/>
          <w:sz w:val="24"/>
          <w:szCs w:val="24"/>
        </w:rPr>
        <w:fldChar w:fldCharType="separate"/>
      </w:r>
      <w:r w:rsidR="0014789F" w:rsidRPr="0014789F">
        <w:rPr>
          <w:rFonts w:ascii="Times New Roman" w:hAnsi="Times New Roman" w:cs="Times New Roman"/>
          <w:sz w:val="24"/>
        </w:rPr>
        <w:t>(Sabaragamuwa &amp; Perera, 2023)</w:t>
      </w:r>
      <w:r w:rsidR="006D45FA">
        <w:rPr>
          <w:rFonts w:ascii="Times New Roman" w:hAnsi="Times New Roman" w:cs="Times New Roman"/>
          <w:sz w:val="24"/>
          <w:szCs w:val="24"/>
        </w:rPr>
        <w:fldChar w:fldCharType="end"/>
      </w:r>
      <w:r w:rsidR="001E12FA">
        <w:rPr>
          <w:rFonts w:ascii="Times New Roman" w:hAnsi="Times New Roman" w:cs="Times New Roman"/>
          <w:sz w:val="24"/>
          <w:szCs w:val="24"/>
        </w:rPr>
        <w:t>.</w:t>
      </w:r>
      <w:r w:rsidR="0057761A">
        <w:rPr>
          <w:rFonts w:ascii="Times New Roman" w:hAnsi="Times New Roman" w:cs="Times New Roman"/>
          <w:sz w:val="24"/>
          <w:szCs w:val="24"/>
        </w:rPr>
        <w:t xml:space="preserve"> </w:t>
      </w:r>
      <w:r w:rsidR="00C6088C">
        <w:rPr>
          <w:rFonts w:ascii="Times New Roman" w:hAnsi="Times New Roman" w:cs="Times New Roman"/>
          <w:sz w:val="24"/>
          <w:szCs w:val="24"/>
        </w:rPr>
        <w:t xml:space="preserve"> </w:t>
      </w:r>
      <w:r w:rsidR="00F67C51">
        <w:rPr>
          <w:rFonts w:ascii="Times New Roman" w:hAnsi="Times New Roman" w:cs="Times New Roman"/>
          <w:sz w:val="24"/>
          <w:szCs w:val="24"/>
        </w:rPr>
        <w:t xml:space="preserve"> </w:t>
      </w:r>
      <w:r w:rsidR="001E12FA">
        <w:rPr>
          <w:rFonts w:ascii="Times New Roman" w:hAnsi="Times New Roman" w:cs="Times New Roman"/>
          <w:sz w:val="24"/>
          <w:szCs w:val="24"/>
        </w:rPr>
        <w:t xml:space="preserve">    </w:t>
      </w:r>
    </w:p>
    <w:p w14:paraId="400EF615" w14:textId="263D909B" w:rsidR="0000308A" w:rsidRDefault="00617BE9">
      <w:pPr>
        <w:pStyle w:val="Heading3"/>
        <w:keepNext w:val="0"/>
        <w:keepLines w:val="0"/>
        <w:spacing w:before="280"/>
        <w:jc w:val="both"/>
        <w:rPr>
          <w:rFonts w:ascii="Times New Roman" w:hAnsi="Times New Roman" w:cs="Times New Roman"/>
          <w:b/>
          <w:bCs/>
          <w:color w:val="000000"/>
          <w:sz w:val="24"/>
          <w:szCs w:val="24"/>
        </w:rPr>
      </w:pPr>
      <w:bookmarkStart w:id="5" w:name="_gbgzkrabxdma" w:colFirst="0" w:colLast="0"/>
      <w:bookmarkEnd w:id="5"/>
      <w:r w:rsidRPr="00A46E2C">
        <w:rPr>
          <w:rFonts w:ascii="Times New Roman" w:hAnsi="Times New Roman" w:cs="Times New Roman"/>
          <w:b/>
          <w:bCs/>
          <w:color w:val="000000"/>
          <w:sz w:val="24"/>
          <w:szCs w:val="24"/>
        </w:rPr>
        <w:t>2.</w:t>
      </w:r>
      <w:r w:rsidR="000E3D98">
        <w:rPr>
          <w:rFonts w:ascii="Times New Roman" w:hAnsi="Times New Roman" w:cs="Times New Roman"/>
          <w:b/>
          <w:bCs/>
          <w:color w:val="000000"/>
          <w:sz w:val="24"/>
          <w:szCs w:val="24"/>
        </w:rPr>
        <w:t>5</w:t>
      </w:r>
      <w:r w:rsidRPr="00A46E2C">
        <w:rPr>
          <w:rFonts w:ascii="Times New Roman" w:hAnsi="Times New Roman" w:cs="Times New Roman"/>
          <w:b/>
          <w:bCs/>
          <w:color w:val="000000"/>
          <w:sz w:val="24"/>
          <w:szCs w:val="24"/>
        </w:rPr>
        <w:t xml:space="preserve"> Determination of Total Flavonoid Content (TFC)</w:t>
      </w:r>
    </w:p>
    <w:p w14:paraId="7B7C070B" w14:textId="1468404C" w:rsidR="002C61BE" w:rsidRDefault="002C61BE" w:rsidP="002266E9">
      <w:pPr>
        <w:jc w:val="both"/>
        <w:rPr>
          <w:rFonts w:ascii="Times New Roman" w:hAnsi="Times New Roman" w:cs="Times New Roman"/>
          <w:sz w:val="24"/>
          <w:szCs w:val="24"/>
        </w:rPr>
      </w:pPr>
      <w:r w:rsidRPr="002C61BE">
        <w:rPr>
          <w:rFonts w:ascii="Times New Roman" w:hAnsi="Times New Roman" w:cs="Times New Roman"/>
          <w:sz w:val="24"/>
          <w:szCs w:val="24"/>
        </w:rPr>
        <w:t>The calculation of the total flavonoid content (TFC) was done through the aluminium chloride colorimetric, and quercetin was used as a reference standard to construct the calibration curve. Quercetin was dissolved in methanol at the concentration of 1 mg/</w:t>
      </w:r>
      <w:r>
        <w:rPr>
          <w:rFonts w:ascii="Times New Roman" w:hAnsi="Times New Roman" w:cs="Times New Roman"/>
          <w:sz w:val="24"/>
          <w:szCs w:val="24"/>
        </w:rPr>
        <w:t>m</w:t>
      </w:r>
      <w:r w:rsidRPr="002C61BE">
        <w:rPr>
          <w:rFonts w:ascii="Times New Roman" w:hAnsi="Times New Roman" w:cs="Times New Roman"/>
          <w:sz w:val="24"/>
          <w:szCs w:val="24"/>
        </w:rPr>
        <w:t>L, and standard solutions were then obtained by a series of dilution using methanol at the different concentration ranges. In each assay, 20</w:t>
      </w:r>
      <w:r w:rsidR="008F57EE" w:rsidRPr="00A46E2C">
        <w:rPr>
          <w:rFonts w:ascii="Times New Roman" w:hAnsi="Times New Roman" w:cs="Times New Roman"/>
          <w:sz w:val="24"/>
          <w:szCs w:val="24"/>
        </w:rPr>
        <w:t>µL</w:t>
      </w:r>
      <w:r w:rsidRPr="002C61BE">
        <w:rPr>
          <w:rFonts w:ascii="Times New Roman" w:hAnsi="Times New Roman" w:cs="Times New Roman"/>
          <w:sz w:val="24"/>
          <w:szCs w:val="24"/>
        </w:rPr>
        <w:t xml:space="preserve"> of the diluted standard solution or plant extract was combined with 100</w:t>
      </w:r>
      <w:r w:rsidR="008F57EE" w:rsidRPr="00A46E2C">
        <w:rPr>
          <w:rFonts w:ascii="Times New Roman" w:hAnsi="Times New Roman" w:cs="Times New Roman"/>
          <w:sz w:val="24"/>
          <w:szCs w:val="24"/>
        </w:rPr>
        <w:t>µL</w:t>
      </w:r>
      <w:r w:rsidRPr="002C61BE">
        <w:rPr>
          <w:rFonts w:ascii="Times New Roman" w:hAnsi="Times New Roman" w:cs="Times New Roman"/>
          <w:sz w:val="24"/>
          <w:szCs w:val="24"/>
        </w:rPr>
        <w:t xml:space="preserve"> of distilled water and 60</w:t>
      </w:r>
      <w:r w:rsidR="008F57EE" w:rsidRPr="00A46E2C">
        <w:rPr>
          <w:rFonts w:ascii="Times New Roman" w:hAnsi="Times New Roman" w:cs="Times New Roman"/>
          <w:sz w:val="24"/>
          <w:szCs w:val="24"/>
        </w:rPr>
        <w:t>µL</w:t>
      </w:r>
      <w:r w:rsidRPr="002C61BE">
        <w:rPr>
          <w:rFonts w:ascii="Times New Roman" w:hAnsi="Times New Roman" w:cs="Times New Roman"/>
          <w:sz w:val="24"/>
          <w:szCs w:val="24"/>
        </w:rPr>
        <w:t xml:space="preserve"> of ethanol in a 96 ul plate and an initial absorbance value was taken. Then 10</w:t>
      </w:r>
      <w:r w:rsidR="008F57EE" w:rsidRPr="00A46E2C">
        <w:rPr>
          <w:rFonts w:ascii="Times New Roman" w:hAnsi="Times New Roman" w:cs="Times New Roman"/>
          <w:sz w:val="24"/>
          <w:szCs w:val="24"/>
        </w:rPr>
        <w:t>µL</w:t>
      </w:r>
      <w:r w:rsidRPr="002C61BE">
        <w:rPr>
          <w:rFonts w:ascii="Times New Roman" w:hAnsi="Times New Roman" w:cs="Times New Roman"/>
          <w:sz w:val="24"/>
          <w:szCs w:val="24"/>
        </w:rPr>
        <w:t>L of 10per cent. aluminium chloride solution containing potassium acetate was put into every well to facilitate the formation of complex between the ions of aluminium and the flavonoid constituents. The reaction mixture was stirred markedly and allowed to incubate at room temperature within 30 minutes so that the colour can be fully developed. A spectrophotometer was then used to measure absorbance against a blank at 415nm. Calculation of total flavonoid content of each sample based on the calibration curve was in terms of milligrams of quercetin equivalent (QE) per gram of dried plant material. All decisions were made thrice to guarantee accuracy, precision and reproducibility</w:t>
      </w:r>
      <w:r w:rsidR="00750C35">
        <w:rPr>
          <w:rFonts w:ascii="Times New Roman" w:hAnsi="Times New Roman" w:cs="Times New Roman"/>
          <w:sz w:val="24"/>
          <w:szCs w:val="24"/>
        </w:rPr>
        <w:fldChar w:fldCharType="begin"/>
      </w:r>
      <w:r w:rsidR="00750C35">
        <w:rPr>
          <w:rFonts w:ascii="Times New Roman" w:hAnsi="Times New Roman" w:cs="Times New Roman"/>
          <w:sz w:val="24"/>
          <w:szCs w:val="24"/>
        </w:rPr>
        <w:instrText xml:space="preserve"> ADDIN ZOTERO_ITEM CSL_CITATION {"citationID":"bmkxExnP","properties":{"formattedCitation":"(Chandra et al., 2014)","plainCitation":"(Chandra et al., 2014)","noteIndex":0},"citationItems":[{"id":1805,"uris":["http://zotero.org/users/local/V2Wrfkmv/items/IEUWH8TL"],"itemData":{"id":1805,"type":"article-journal","abstract":"A comparison of the product yield, total phenolics, total flavonoids, and antioxidant properties was done in different leafy vegetables/herbs (basil, chard, parsley, and red kale) and fruit crops (bell pepper, cherry tomatoes, cucumber, and squash) grown in aeroponic growing systems (AG) and in the field (FG). An average increase of about 19%, 8%, 65%, 21%, 53%, 35%, 7%, and 50% in the yield was recorded for basil, chard, red kale, parsley, bell pepper, cherry tomatoes, cucumber, and squash, respectively, when grown in aeroponic systems, compared to that grown in the soil. Antioxidant properties of AG and FG crops were evaluated using 2,2-diphenyl-1-picrylhydrazyl (DDPH) and cellular antioxidant (CAA) assays. In general, the study shows that the plants grown in the aeroponic system had a higher yield and comparable phenolics, flavonoids, and antioxidant properties as compared to those grown in the soil.","container-title":"Evidence-Based Complementary and Alternative Medicine","DOI":"10.1155/2014/253875","ISSN":"1741-4288","issue":"1","language":"en","license":"Copyright © 2014 Suman Chandra et al.","note":"_eprint: https://onlinelibrary.wiley.com/doi/pdf/10.1155/2014/253875","page":"253875","source":"Wiley Online Library","title":"Assessment of Total Phenolic and Flavonoid Content, Antioxidant Properties, and Yield of Aeroponically and Conventionally Grown Leafy Vegetables and Fruit Crops: A Comparative Study","title-short":"Assessment of Total Phenolic and Flavonoid Content, Antioxidant Properties, and Yield of Aeroponically and Conventionally Grown Leafy Vegetables and Fruit Crops","volume":"2014","author":[{"family":"Chandra","given":"Suman"},{"family":"Khan","given":"Shabana"},{"family":"Avula","given":"Bharathi"},{"family":"Lata","given":"Hemant"},{"family":"Yang","given":"Min Hye"},{"family":"ElSohly","given":"Mahmoud A."},{"family":"Khan","given":"Ikhlas A."}],"issued":{"date-parts":[["2014"]]}}}],"schema":"https://github.com/citation-style-language/schema/raw/master/csl-citation.json"} </w:instrText>
      </w:r>
      <w:r w:rsidR="00750C35">
        <w:rPr>
          <w:rFonts w:ascii="Times New Roman" w:hAnsi="Times New Roman" w:cs="Times New Roman"/>
          <w:sz w:val="24"/>
          <w:szCs w:val="24"/>
        </w:rPr>
        <w:fldChar w:fldCharType="separate"/>
      </w:r>
      <w:r w:rsidR="00750C35" w:rsidRPr="00750C35">
        <w:rPr>
          <w:rFonts w:ascii="Times New Roman" w:hAnsi="Times New Roman" w:cs="Times New Roman"/>
          <w:sz w:val="24"/>
        </w:rPr>
        <w:t>(Chandra et al., 2014)</w:t>
      </w:r>
      <w:r w:rsidR="00750C35">
        <w:rPr>
          <w:rFonts w:ascii="Times New Roman" w:hAnsi="Times New Roman" w:cs="Times New Roman"/>
          <w:sz w:val="24"/>
          <w:szCs w:val="24"/>
        </w:rPr>
        <w:fldChar w:fldCharType="end"/>
      </w:r>
      <w:r w:rsidRPr="002C61BE">
        <w:rPr>
          <w:rFonts w:ascii="Times New Roman" w:hAnsi="Times New Roman" w:cs="Times New Roman"/>
          <w:sz w:val="24"/>
          <w:szCs w:val="24"/>
        </w:rPr>
        <w:t>.</w:t>
      </w:r>
      <w:r w:rsidR="00C6088C">
        <w:rPr>
          <w:rFonts w:ascii="Times New Roman" w:hAnsi="Times New Roman" w:cs="Times New Roman"/>
          <w:sz w:val="24"/>
          <w:szCs w:val="24"/>
        </w:rPr>
        <w:t xml:space="preserve"> </w:t>
      </w:r>
    </w:p>
    <w:p w14:paraId="6C00D7CF" w14:textId="77777777" w:rsidR="000E3D98" w:rsidRDefault="000E3D98" w:rsidP="002266E9">
      <w:pPr>
        <w:jc w:val="both"/>
        <w:rPr>
          <w:rFonts w:ascii="Times New Roman" w:hAnsi="Times New Roman" w:cs="Times New Roman"/>
          <w:sz w:val="24"/>
          <w:szCs w:val="24"/>
        </w:rPr>
      </w:pPr>
    </w:p>
    <w:p w14:paraId="530BB17A" w14:textId="77777777" w:rsidR="000E3D98" w:rsidRDefault="000E3D98" w:rsidP="002266E9">
      <w:pPr>
        <w:jc w:val="both"/>
        <w:rPr>
          <w:rFonts w:ascii="Times New Roman" w:hAnsi="Times New Roman" w:cs="Times New Roman"/>
          <w:sz w:val="24"/>
          <w:szCs w:val="24"/>
        </w:rPr>
      </w:pPr>
    </w:p>
    <w:p w14:paraId="4E4BAF43" w14:textId="3B7B5B19" w:rsidR="00254A0D" w:rsidRDefault="00254A0D" w:rsidP="002266E9">
      <w:pPr>
        <w:jc w:val="both"/>
        <w:rPr>
          <w:rFonts w:ascii="Times New Roman" w:hAnsi="Times New Roman" w:cs="Times New Roman"/>
          <w:b/>
          <w:bCs/>
          <w:sz w:val="24"/>
          <w:szCs w:val="24"/>
        </w:rPr>
      </w:pPr>
      <w:r w:rsidRPr="00254A0D">
        <w:rPr>
          <w:rFonts w:ascii="Times New Roman" w:hAnsi="Times New Roman" w:cs="Times New Roman"/>
          <w:b/>
          <w:bCs/>
          <w:sz w:val="24"/>
          <w:szCs w:val="24"/>
        </w:rPr>
        <w:lastRenderedPageBreak/>
        <w:t>2.</w:t>
      </w:r>
      <w:r w:rsidR="000E3D98">
        <w:rPr>
          <w:rFonts w:ascii="Times New Roman" w:hAnsi="Times New Roman" w:cs="Times New Roman"/>
          <w:b/>
          <w:bCs/>
          <w:sz w:val="24"/>
          <w:szCs w:val="24"/>
        </w:rPr>
        <w:t>6</w:t>
      </w:r>
      <w:r w:rsidRPr="00254A0D">
        <w:rPr>
          <w:rFonts w:ascii="Times New Roman" w:hAnsi="Times New Roman" w:cs="Times New Roman"/>
          <w:b/>
          <w:bCs/>
          <w:sz w:val="24"/>
          <w:szCs w:val="24"/>
        </w:rPr>
        <w:t xml:space="preserve"> Antioxidant activity </w:t>
      </w:r>
    </w:p>
    <w:p w14:paraId="24A3FB71" w14:textId="2FA6CEE3" w:rsidR="00254A0D" w:rsidRPr="001B5C7B" w:rsidRDefault="005A4BF8" w:rsidP="002266E9">
      <w:pPr>
        <w:jc w:val="both"/>
        <w:rPr>
          <w:rFonts w:ascii="Times New Roman" w:hAnsi="Times New Roman" w:cs="Times New Roman"/>
          <w:sz w:val="24"/>
          <w:szCs w:val="24"/>
          <w:lang w:val="en-IN"/>
        </w:rPr>
      </w:pPr>
      <w:r w:rsidRPr="005A4BF8">
        <w:rPr>
          <w:rFonts w:ascii="Times New Roman" w:hAnsi="Times New Roman" w:cs="Times New Roman"/>
          <w:sz w:val="24"/>
          <w:szCs w:val="24"/>
        </w:rPr>
        <w:t>The</w:t>
      </w:r>
      <w:r w:rsidR="001B5C7B">
        <w:rPr>
          <w:rFonts w:ascii="Times New Roman" w:hAnsi="Times New Roman" w:cs="Times New Roman"/>
          <w:sz w:val="24"/>
          <w:szCs w:val="24"/>
        </w:rPr>
        <w:t xml:space="preserve"> antioxidant </w:t>
      </w:r>
      <w:r w:rsidRPr="005A4BF8">
        <w:rPr>
          <w:rFonts w:ascii="Times New Roman" w:hAnsi="Times New Roman" w:cs="Times New Roman"/>
          <w:sz w:val="24"/>
          <w:szCs w:val="24"/>
        </w:rPr>
        <w:t>activity of</w:t>
      </w:r>
      <w:r w:rsidR="001B5C7B">
        <w:rPr>
          <w:rFonts w:ascii="Times New Roman" w:hAnsi="Times New Roman" w:cs="Times New Roman"/>
          <w:sz w:val="24"/>
          <w:szCs w:val="24"/>
        </w:rPr>
        <w:t xml:space="preserve"> </w:t>
      </w:r>
      <w:r w:rsidR="001B5C7B" w:rsidRPr="001B5C7B">
        <w:rPr>
          <w:rFonts w:ascii="Times New Roman" w:hAnsi="Times New Roman" w:cs="Times New Roman"/>
          <w:i/>
          <w:iCs/>
          <w:sz w:val="24"/>
          <w:szCs w:val="24"/>
        </w:rPr>
        <w:t>Terminalia arjuna</w:t>
      </w:r>
      <w:r w:rsidR="001B5C7B" w:rsidRPr="00A46E2C">
        <w:rPr>
          <w:rFonts w:ascii="Times New Roman" w:hAnsi="Times New Roman" w:cs="Times New Roman"/>
          <w:b/>
          <w:bCs/>
          <w:sz w:val="24"/>
          <w:szCs w:val="24"/>
        </w:rPr>
        <w:t xml:space="preserve"> </w:t>
      </w:r>
      <w:r w:rsidR="001B5C7B" w:rsidRPr="005A4BF8">
        <w:rPr>
          <w:rFonts w:ascii="Times New Roman" w:hAnsi="Times New Roman" w:cs="Times New Roman"/>
          <w:sz w:val="24"/>
          <w:szCs w:val="24"/>
        </w:rPr>
        <w:t>bark</w:t>
      </w:r>
      <w:r w:rsidR="001B5C7B">
        <w:rPr>
          <w:rFonts w:ascii="Times New Roman" w:hAnsi="Times New Roman" w:cs="Times New Roman"/>
          <w:sz w:val="24"/>
          <w:szCs w:val="24"/>
        </w:rPr>
        <w:t xml:space="preserve"> </w:t>
      </w:r>
      <w:r w:rsidR="001B5C7B" w:rsidRPr="005A4BF8">
        <w:rPr>
          <w:rFonts w:ascii="Times New Roman" w:hAnsi="Times New Roman" w:cs="Times New Roman"/>
          <w:sz w:val="24"/>
          <w:szCs w:val="24"/>
        </w:rPr>
        <w:t>extracts</w:t>
      </w:r>
      <w:r w:rsidRPr="005A4BF8">
        <w:rPr>
          <w:rFonts w:ascii="Times New Roman" w:hAnsi="Times New Roman" w:cs="Times New Roman"/>
          <w:sz w:val="24"/>
          <w:szCs w:val="24"/>
        </w:rPr>
        <w:t xml:space="preserve"> was determined using </w:t>
      </w:r>
      <w:r w:rsidR="001B5C7B" w:rsidRPr="001B5C7B">
        <w:rPr>
          <w:rFonts w:ascii="Times New Roman" w:hAnsi="Times New Roman" w:cs="Times New Roman"/>
          <w:sz w:val="24"/>
          <w:szCs w:val="24"/>
          <w:lang w:val="en-IN"/>
        </w:rPr>
        <w:t xml:space="preserve">DPPH free radical scavenging </w:t>
      </w:r>
      <w:r w:rsidRPr="005A4BF8">
        <w:rPr>
          <w:rFonts w:ascii="Times New Roman" w:hAnsi="Times New Roman" w:cs="Times New Roman"/>
          <w:sz w:val="24"/>
          <w:szCs w:val="24"/>
        </w:rPr>
        <w:t>method. For the analysis, ascorbic acid was used as the standard and dissolved in methanol, while methanolic fractions of</w:t>
      </w:r>
      <w:r w:rsidR="001B5C7B">
        <w:rPr>
          <w:rFonts w:ascii="Times New Roman" w:hAnsi="Times New Roman" w:cs="Times New Roman"/>
          <w:sz w:val="24"/>
          <w:szCs w:val="24"/>
        </w:rPr>
        <w:t xml:space="preserve"> </w:t>
      </w:r>
      <w:r w:rsidRPr="005A4BF8">
        <w:rPr>
          <w:rFonts w:ascii="Times New Roman" w:hAnsi="Times New Roman" w:cs="Times New Roman"/>
          <w:sz w:val="24"/>
          <w:szCs w:val="24"/>
        </w:rPr>
        <w:t>bark served as the test samples. Approximately 1 ml of each fraction was transferred into separate test tubes, followed by the addition of 0.5 ml of 1 mmol/L DPPH solution prepared in methanol. The mixtures were incubated for 15 minutes, after which the absorbance was measured at 517 nm. A blank solution consisted of DPPH dissolved in the same volume of methanol. The percentage of DPPH radical scavenging activity was calculated using the following formula:</w:t>
      </w:r>
    </w:p>
    <w:p w14:paraId="164D9689" w14:textId="3D2AC466" w:rsidR="00A46E2C" w:rsidRPr="00254A0D" w:rsidRDefault="005A4BF8" w:rsidP="002266E9">
      <w:pPr>
        <w:jc w:val="both"/>
        <w:rPr>
          <w:rFonts w:ascii="Times New Roman" w:hAnsi="Times New Roman" w:cs="Times New Roman"/>
          <w:b/>
          <w:bCs/>
          <w:sz w:val="24"/>
          <w:szCs w:val="24"/>
        </w:rPr>
      </w:pPr>
      <w:r w:rsidRPr="005A4BF8">
        <w:rPr>
          <w:rFonts w:ascii="Times New Roman" w:hAnsi="Times New Roman" w:cs="Times New Roman"/>
          <w:b/>
          <w:bCs/>
          <w:sz w:val="24"/>
          <w:szCs w:val="24"/>
        </w:rPr>
        <w:t>DPPH Scavenging Activity (%) =​</w:t>
      </w:r>
      <w:r>
        <w:rPr>
          <w:rFonts w:ascii="Times New Roman" w:hAnsi="Times New Roman" w:cs="Times New Roman"/>
          <w:b/>
          <w:bCs/>
          <w:sz w:val="24"/>
          <w:szCs w:val="24"/>
        </w:rPr>
        <w:t xml:space="preserve">   </w:t>
      </w:r>
      <m:oMath>
        <m:f>
          <m:fPr>
            <m:ctrlPr>
              <w:rPr>
                <w:rFonts w:ascii="Cambria Math" w:hAnsi="Cambria Math" w:cs="Times New Roman"/>
                <w:b/>
                <w:bCs/>
                <w:i/>
                <w:sz w:val="24"/>
                <w:szCs w:val="24"/>
              </w:rPr>
            </m:ctrlPr>
          </m:fPr>
          <m:num>
            <m:r>
              <m:rPr>
                <m:sty m:val="b"/>
              </m:rPr>
              <w:rPr>
                <w:rFonts w:ascii="Cambria Math" w:hAnsi="Cambria Math" w:cs="Times New Roman"/>
                <w:sz w:val="24"/>
                <w:szCs w:val="24"/>
              </w:rPr>
              <m:t>A</m:t>
            </m:r>
            <m:r>
              <m:rPr>
                <m:sty m:val="b"/>
              </m:rPr>
              <w:rPr>
                <w:rFonts w:ascii="Cambria Math" w:hAnsi="Cambria Math" w:cs="Times New Roman"/>
                <w:sz w:val="24"/>
                <w:szCs w:val="24"/>
                <w:vertAlign w:val="subscript"/>
              </w:rPr>
              <m:t>control</m:t>
            </m:r>
            <m:r>
              <m:rPr>
                <m:sty m:val="b"/>
              </m:rPr>
              <w:rPr>
                <w:rFonts w:ascii="Cambria Math" w:hAnsi="Cambria Math" w:cs="Times New Roman"/>
                <w:sz w:val="24"/>
                <w:szCs w:val="24"/>
              </w:rPr>
              <m:t>​-A</m:t>
            </m:r>
            <m:r>
              <m:rPr>
                <m:sty m:val="b"/>
              </m:rPr>
              <w:rPr>
                <w:rFonts w:ascii="Cambria Math" w:hAnsi="Cambria Math" w:cs="Times New Roman"/>
                <w:sz w:val="24"/>
                <w:szCs w:val="24"/>
                <w:vertAlign w:val="subscript"/>
              </w:rPr>
              <m:t>sample</m:t>
            </m:r>
          </m:num>
          <m:den>
            <m:r>
              <m:rPr>
                <m:sty m:val="b"/>
              </m:rPr>
              <w:rPr>
                <w:rFonts w:ascii="Cambria Math" w:hAnsi="Cambria Math" w:cs="Times New Roman"/>
                <w:sz w:val="24"/>
                <w:szCs w:val="24"/>
              </w:rPr>
              <m:t>Acontrol</m:t>
            </m:r>
          </m:den>
        </m:f>
      </m:oMath>
      <w:r w:rsidRPr="005A4BF8">
        <w:rPr>
          <w:rFonts w:ascii="Times New Roman" w:hAnsi="Times New Roman" w:cs="Times New Roman"/>
          <w:b/>
          <w:bCs/>
          <w:sz w:val="24"/>
          <w:szCs w:val="24"/>
        </w:rPr>
        <w:t>×100</w:t>
      </w:r>
      <w:r>
        <w:rPr>
          <w:rFonts w:ascii="Times New Roman" w:hAnsi="Times New Roman" w:cs="Times New Roman"/>
          <w:b/>
          <w:bCs/>
          <w:sz w:val="24"/>
          <w:szCs w:val="24"/>
        </w:rPr>
        <w:t xml:space="preserve"> </w:t>
      </w:r>
    </w:p>
    <w:p w14:paraId="3341FDF4" w14:textId="11CB1AAB" w:rsidR="0000308A" w:rsidRPr="002266E9" w:rsidRDefault="00617BE9">
      <w:pPr>
        <w:spacing w:before="240" w:after="240"/>
        <w:jc w:val="both"/>
        <w:rPr>
          <w:rFonts w:ascii="Times New Roman" w:hAnsi="Times New Roman" w:cs="Times New Roman"/>
          <w:b/>
          <w:bCs/>
          <w:sz w:val="24"/>
          <w:szCs w:val="24"/>
        </w:rPr>
      </w:pPr>
      <w:r w:rsidRPr="002266E9">
        <w:rPr>
          <w:rFonts w:ascii="Times New Roman" w:hAnsi="Times New Roman" w:cs="Times New Roman"/>
          <w:b/>
          <w:bCs/>
          <w:sz w:val="24"/>
          <w:szCs w:val="24"/>
        </w:rPr>
        <w:t>2.</w:t>
      </w:r>
      <w:r w:rsidR="000E3D98">
        <w:rPr>
          <w:rFonts w:ascii="Times New Roman" w:hAnsi="Times New Roman" w:cs="Times New Roman"/>
          <w:b/>
          <w:bCs/>
          <w:sz w:val="24"/>
          <w:szCs w:val="24"/>
        </w:rPr>
        <w:t>7</w:t>
      </w:r>
      <w:r w:rsidRPr="002266E9">
        <w:rPr>
          <w:rFonts w:ascii="Times New Roman" w:hAnsi="Times New Roman" w:cs="Times New Roman"/>
          <w:b/>
          <w:bCs/>
          <w:sz w:val="24"/>
          <w:szCs w:val="24"/>
        </w:rPr>
        <w:t>. Antimicrobial Assay</w:t>
      </w:r>
    </w:p>
    <w:p w14:paraId="05B84B8B" w14:textId="0E83035D" w:rsidR="0000308A" w:rsidRPr="00A46E2C" w:rsidRDefault="00A817CC">
      <w:pPr>
        <w:spacing w:before="240" w:after="240"/>
        <w:jc w:val="both"/>
        <w:rPr>
          <w:rFonts w:ascii="Times New Roman" w:hAnsi="Times New Roman" w:cs="Times New Roman"/>
          <w:sz w:val="24"/>
          <w:szCs w:val="24"/>
        </w:rPr>
      </w:pPr>
      <w:r w:rsidRPr="00A817CC">
        <w:rPr>
          <w:rFonts w:ascii="Times New Roman" w:hAnsi="Times New Roman" w:cs="Times New Roman"/>
          <w:sz w:val="24"/>
          <w:szCs w:val="24"/>
        </w:rPr>
        <w:t xml:space="preserve">Agar well diffusion test was used to assess the antimicrobial activity of the prepared extracts of </w:t>
      </w:r>
      <w:r w:rsidRPr="00A817CC">
        <w:rPr>
          <w:rFonts w:ascii="Times New Roman" w:hAnsi="Times New Roman" w:cs="Times New Roman"/>
          <w:i/>
          <w:iCs/>
          <w:sz w:val="24"/>
          <w:szCs w:val="24"/>
        </w:rPr>
        <w:t>Terminalia arjuna</w:t>
      </w:r>
      <w:r w:rsidRPr="00A817CC">
        <w:rPr>
          <w:rFonts w:ascii="Times New Roman" w:hAnsi="Times New Roman" w:cs="Times New Roman"/>
          <w:sz w:val="24"/>
          <w:szCs w:val="24"/>
        </w:rPr>
        <w:t xml:space="preserve"> bark against several pathogenic microorganisms including; </w:t>
      </w:r>
      <w:r w:rsidRPr="00A817CC">
        <w:rPr>
          <w:rFonts w:ascii="Times New Roman" w:hAnsi="Times New Roman" w:cs="Times New Roman"/>
          <w:i/>
          <w:iCs/>
          <w:sz w:val="24"/>
          <w:szCs w:val="24"/>
        </w:rPr>
        <w:t>Staphylococcus aureus</w:t>
      </w:r>
      <w:r w:rsidRPr="00A817CC">
        <w:rPr>
          <w:rFonts w:ascii="Times New Roman" w:hAnsi="Times New Roman" w:cs="Times New Roman"/>
          <w:sz w:val="24"/>
          <w:szCs w:val="24"/>
        </w:rPr>
        <w:t xml:space="preserve"> (SA), </w:t>
      </w:r>
      <w:r w:rsidRPr="00A817CC">
        <w:rPr>
          <w:rFonts w:ascii="Times New Roman" w:hAnsi="Times New Roman" w:cs="Times New Roman"/>
          <w:i/>
          <w:iCs/>
          <w:sz w:val="24"/>
          <w:szCs w:val="24"/>
        </w:rPr>
        <w:t>Shigella sonai</w:t>
      </w:r>
      <w:r w:rsidRPr="00A817CC">
        <w:rPr>
          <w:rFonts w:ascii="Times New Roman" w:hAnsi="Times New Roman" w:cs="Times New Roman"/>
          <w:sz w:val="24"/>
          <w:szCs w:val="24"/>
        </w:rPr>
        <w:t xml:space="preserve"> (SS), </w:t>
      </w:r>
      <w:r w:rsidRPr="00A817CC">
        <w:rPr>
          <w:rFonts w:ascii="Times New Roman" w:hAnsi="Times New Roman" w:cs="Times New Roman"/>
          <w:i/>
          <w:iCs/>
          <w:sz w:val="24"/>
          <w:szCs w:val="24"/>
        </w:rPr>
        <w:t>Klebsiella pneumoniae</w:t>
      </w:r>
      <w:r w:rsidRPr="00A817CC">
        <w:rPr>
          <w:rFonts w:ascii="Times New Roman" w:hAnsi="Times New Roman" w:cs="Times New Roman"/>
          <w:sz w:val="24"/>
          <w:szCs w:val="24"/>
        </w:rPr>
        <w:t xml:space="preserve"> (KP) and </w:t>
      </w:r>
      <w:r w:rsidRPr="00A817CC">
        <w:rPr>
          <w:rFonts w:ascii="Times New Roman" w:hAnsi="Times New Roman" w:cs="Times New Roman"/>
          <w:i/>
          <w:iCs/>
          <w:sz w:val="24"/>
          <w:szCs w:val="24"/>
        </w:rPr>
        <w:t>Escherichia coli</w:t>
      </w:r>
      <w:r w:rsidRPr="00A817CC">
        <w:rPr>
          <w:rFonts w:ascii="Times New Roman" w:hAnsi="Times New Roman" w:cs="Times New Roman"/>
          <w:sz w:val="24"/>
          <w:szCs w:val="24"/>
        </w:rPr>
        <w:t xml:space="preserve"> (E. coli) pathogens. New cultures of bacteria were grown and standardized to a certain level of turbidity that is comparable to the 0.5 McFarland standard. A homogenous population of bacterial suspension on the plate of sterile nutrient agar was achieved by spreading the bacterial suspension uniformly across the plate using a sterile cotton swab to obtain a confluent growth on the plate. </w:t>
      </w:r>
      <w:r>
        <w:rPr>
          <w:rFonts w:ascii="Times New Roman" w:hAnsi="Times New Roman" w:cs="Times New Roman"/>
          <w:sz w:val="24"/>
          <w:szCs w:val="24"/>
        </w:rPr>
        <w:t xml:space="preserve">The well of </w:t>
      </w:r>
      <w:r w:rsidRPr="00A817CC">
        <w:rPr>
          <w:rFonts w:ascii="Times New Roman" w:hAnsi="Times New Roman" w:cs="Times New Roman"/>
          <w:sz w:val="24"/>
          <w:szCs w:val="24"/>
        </w:rPr>
        <w:t>the same diameter</w:t>
      </w:r>
      <w:r>
        <w:rPr>
          <w:rFonts w:ascii="Times New Roman" w:hAnsi="Times New Roman" w:cs="Times New Roman"/>
          <w:sz w:val="24"/>
          <w:szCs w:val="24"/>
        </w:rPr>
        <w:t xml:space="preserve"> (6mm)</w:t>
      </w:r>
      <w:r w:rsidRPr="00A817CC">
        <w:rPr>
          <w:rFonts w:ascii="Times New Roman" w:hAnsi="Times New Roman" w:cs="Times New Roman"/>
          <w:sz w:val="24"/>
          <w:szCs w:val="24"/>
        </w:rPr>
        <w:t xml:space="preserve"> was prepared in the </w:t>
      </w:r>
      <w:r>
        <w:rPr>
          <w:rFonts w:ascii="Times New Roman" w:hAnsi="Times New Roman" w:cs="Times New Roman"/>
          <w:sz w:val="24"/>
          <w:szCs w:val="24"/>
        </w:rPr>
        <w:t>agar plate</w:t>
      </w:r>
      <w:r w:rsidRPr="00A817CC">
        <w:rPr>
          <w:rFonts w:ascii="Times New Roman" w:hAnsi="Times New Roman" w:cs="Times New Roman"/>
          <w:sz w:val="24"/>
          <w:szCs w:val="24"/>
        </w:rPr>
        <w:t xml:space="preserve">, and the respective volumes of the plant extract solutions added into the wells. The negative control was a </w:t>
      </w:r>
      <w:r>
        <w:rPr>
          <w:rFonts w:ascii="Times New Roman" w:hAnsi="Times New Roman" w:cs="Times New Roman"/>
          <w:sz w:val="24"/>
          <w:szCs w:val="24"/>
        </w:rPr>
        <w:t xml:space="preserve">50% DMSO </w:t>
      </w:r>
      <w:r w:rsidRPr="00A817CC">
        <w:rPr>
          <w:rFonts w:ascii="Times New Roman" w:hAnsi="Times New Roman" w:cs="Times New Roman"/>
          <w:sz w:val="24"/>
          <w:szCs w:val="24"/>
        </w:rPr>
        <w:t xml:space="preserve">blank and the positive control was a </w:t>
      </w:r>
      <w:r w:rsidR="00B161A9">
        <w:rPr>
          <w:rFonts w:ascii="Times New Roman" w:hAnsi="Times New Roman" w:cs="Times New Roman"/>
          <w:sz w:val="24"/>
          <w:szCs w:val="24"/>
        </w:rPr>
        <w:t>(</w:t>
      </w:r>
      <w:r w:rsidR="00B161A9" w:rsidRPr="00B161A9">
        <w:rPr>
          <w:rFonts w:ascii="Times New Roman" w:hAnsi="Times New Roman" w:cs="Times New Roman"/>
          <w:sz w:val="24"/>
          <w:szCs w:val="24"/>
        </w:rPr>
        <w:t>1 mg/</w:t>
      </w:r>
      <w:r w:rsidR="00B161A9">
        <w:rPr>
          <w:rFonts w:ascii="Times New Roman" w:hAnsi="Times New Roman" w:cs="Times New Roman"/>
          <w:sz w:val="24"/>
          <w:szCs w:val="24"/>
        </w:rPr>
        <w:t>mL)</w:t>
      </w:r>
      <w:r w:rsidR="00B161A9" w:rsidRPr="00B161A9">
        <w:rPr>
          <w:rFonts w:ascii="Times New Roman" w:hAnsi="Times New Roman" w:cs="Times New Roman"/>
          <w:sz w:val="24"/>
          <w:szCs w:val="24"/>
        </w:rPr>
        <w:t xml:space="preserve"> </w:t>
      </w:r>
      <w:r w:rsidR="00B161A9">
        <w:rPr>
          <w:rFonts w:ascii="Times New Roman" w:hAnsi="Times New Roman" w:cs="Times New Roman"/>
          <w:sz w:val="24"/>
          <w:szCs w:val="24"/>
        </w:rPr>
        <w:t>neomycin</w:t>
      </w:r>
      <w:r w:rsidR="00B161A9" w:rsidRPr="00A817CC">
        <w:rPr>
          <w:rFonts w:ascii="Times New Roman" w:hAnsi="Times New Roman" w:cs="Times New Roman"/>
          <w:sz w:val="24"/>
          <w:szCs w:val="24"/>
        </w:rPr>
        <w:t xml:space="preserve"> solution</w:t>
      </w:r>
      <w:r w:rsidRPr="00A817CC">
        <w:rPr>
          <w:rFonts w:ascii="Times New Roman" w:hAnsi="Times New Roman" w:cs="Times New Roman"/>
          <w:sz w:val="24"/>
          <w:szCs w:val="24"/>
        </w:rPr>
        <w:t xml:space="preserve"> that was used to compare them. Plates were left to stand a short time to allow diffusion of the extracts into the agar and placed at 37 o C after which they were incubated in 24 hours. Antimicrobial activity was determined by determining the size of the zones of inhibition around the individual well in millimetres after incubation. </w:t>
      </w:r>
      <w:r w:rsidR="001A112E" w:rsidRPr="00200793">
        <w:rPr>
          <w:rFonts w:ascii="Times New Roman" w:hAnsi="Times New Roman" w:cs="Times New Roman"/>
          <w:color w:val="EE0000"/>
          <w:sz w:val="24"/>
          <w:szCs w:val="24"/>
        </w:rPr>
        <w:t>Each antimicrobial assay was conducted in triplicate, and the average zone of inhibition (mm) was calculated to ensure consistency and reliability of the antimicrobial activity measurements</w:t>
      </w:r>
      <w:r w:rsidR="00CE4E82">
        <w:rPr>
          <w:rFonts w:ascii="Times New Roman" w:hAnsi="Times New Roman" w:cs="Times New Roman"/>
          <w:sz w:val="24"/>
          <w:szCs w:val="24"/>
        </w:rPr>
        <w:fldChar w:fldCharType="begin"/>
      </w:r>
      <w:r w:rsidR="00CE4E82">
        <w:rPr>
          <w:rFonts w:ascii="Times New Roman" w:hAnsi="Times New Roman" w:cs="Times New Roman"/>
          <w:sz w:val="24"/>
          <w:szCs w:val="24"/>
        </w:rPr>
        <w:instrText xml:space="preserve"> ADDIN ZOTERO_ITEM CSL_CITATION {"citationID":"Vk8uvFOP","properties":{"formattedCitation":"(Aneja et al., 2012; Vijayalakshmi et al., 2023)","plainCitation":"(Aneja et al., 2012; Vijayalakshmi et al., 2023)","noteIndex":0},"citationItems":[{"id":1808,"uris":["http://zotero.org/users/local/V2Wrfkmv/items/DHDDRRN6"],"itemData":{"id":1808,"type":"article-journal","abstract":"Ear infection is one of the common diseases occurring throughout the world. Different etiological agents are responsible for ear infections.\nAIM: To assess the antimicrobial potential of Terminalia arjuna leaves and bark extracts against Staphylococcus aureus, Acinetobacter sp., Proteus mirabilis, Escherchia coli, Pseudomonas aeruginosa and Candida albicans, pathogens causing ear infections and their comparison with locally available ear drops.\nMATERIALS AND METHODS: Methanol, ethanol, acetone, aqueous (hot and cold) extracts from the leaves and bark of T. arjuna were tested for their antimicrobial activity.\nRESULTS: Of the three organic solvents evaluated, acetonic leaf extract was found to be best against S. aureus. Organic bark extract showed almost equal inhibition of all tested Gram negative bacteria except P. aeruginosa. However, aqueous extract of T. arjuna bark exhibited good activity against S. aureus. All the extracts were unable to exhibit any antifungal activity.\nCONCLUSION: Organic extract obtained from the T. arjuna bark and leaves may be used to treat the bacterial ear pathogens especially S. aureus, which has shown greater inhibition zones than the herbal drops, however, we still need more detailed studies as in vivo testing and pharmacokinetics properties for their therapeutic utility in treating ear infections.","container-title":"Brazilian Journal of Otorhinolaryngology","DOI":"10.1590/s1808-86942012000100011","ISSN":"1808-8686","issue":"1","journalAbbreviation":"Braz J Otorhinolaryngol","language":"eng, por","page":"68-74","PMID":"22392241","PMCID":"PMC9444551","source":"PubMed","title":"Antimicrobial activity of Terminalia arjuna Wight &amp; Arn.: an ethnomedicinal plant against pathogens causing ear infection","title-short":"Antimicrobial activity of Terminalia arjuna Wight &amp; Arn.","volume":"78","author":[{"family":"Aneja","given":"Kamal Rai"},{"family":"Sharma","given":"Chetan"},{"family":"Joshi","given":"Radhika"}],"issued":{"date-parts":[["2012",2]]}}},{"id":1815,"uris":["http://zotero.org/users/local/V2Wrfkmv/items/WNKYAYE6"],"itemData":{"id":1815,"type":"article-journal","container-title":"Bioinformation","issue":"2","page":"184","source":"Google Scholar","title":"Antimicrobial and anti-inflammatory activity of Terminalia arjuna","volume":"19","author":[{"family":"Vijayalakshmi","given":"R."},{"family":"Ambalavanan","given":"N."},{"family":"Rajeshkumar","given":"S."}],"issued":{"date-parts":[["2023"]]}}}],"schema":"https://github.com/citation-style-language/schema/raw/master/csl-citation.json"} </w:instrText>
      </w:r>
      <w:r w:rsidR="00CE4E82">
        <w:rPr>
          <w:rFonts w:ascii="Times New Roman" w:hAnsi="Times New Roman" w:cs="Times New Roman"/>
          <w:sz w:val="24"/>
          <w:szCs w:val="24"/>
        </w:rPr>
        <w:fldChar w:fldCharType="separate"/>
      </w:r>
      <w:r w:rsidR="00CE4E82" w:rsidRPr="00CE4E82">
        <w:rPr>
          <w:rFonts w:ascii="Times New Roman" w:hAnsi="Times New Roman" w:cs="Times New Roman"/>
          <w:sz w:val="24"/>
        </w:rPr>
        <w:t>(Aneja et al., 2012; Vijayalakshmi et al., 2023)</w:t>
      </w:r>
      <w:r w:rsidR="00CE4E82">
        <w:rPr>
          <w:rFonts w:ascii="Times New Roman" w:hAnsi="Times New Roman" w:cs="Times New Roman"/>
          <w:sz w:val="24"/>
          <w:szCs w:val="24"/>
        </w:rPr>
        <w:fldChar w:fldCharType="end"/>
      </w:r>
      <w:r w:rsidRPr="00A817CC">
        <w:rPr>
          <w:rFonts w:ascii="Times New Roman" w:hAnsi="Times New Roman" w:cs="Times New Roman"/>
          <w:sz w:val="24"/>
          <w:szCs w:val="24"/>
        </w:rPr>
        <w:t>.</w:t>
      </w:r>
      <w:r w:rsidR="00F67C51">
        <w:rPr>
          <w:rFonts w:ascii="Times New Roman" w:hAnsi="Times New Roman" w:cs="Times New Roman"/>
          <w:sz w:val="24"/>
          <w:szCs w:val="24"/>
        </w:rPr>
        <w:t xml:space="preserve">  </w:t>
      </w:r>
    </w:p>
    <w:p w14:paraId="0A36B511" w14:textId="7A3642CD" w:rsidR="0000308A" w:rsidRPr="00A46E2C" w:rsidRDefault="00617BE9">
      <w:pPr>
        <w:spacing w:before="240" w:after="240"/>
        <w:jc w:val="both"/>
        <w:rPr>
          <w:rFonts w:ascii="Times New Roman" w:hAnsi="Times New Roman" w:cs="Times New Roman"/>
          <w:sz w:val="24"/>
          <w:szCs w:val="24"/>
        </w:rPr>
      </w:pPr>
      <w:r w:rsidRPr="00A46E2C">
        <w:rPr>
          <w:rFonts w:ascii="Times New Roman" w:hAnsi="Times New Roman" w:cs="Times New Roman"/>
          <w:sz w:val="24"/>
          <w:szCs w:val="24"/>
        </w:rPr>
        <w:t>2.</w:t>
      </w:r>
      <w:r w:rsidR="000E3D98">
        <w:rPr>
          <w:rFonts w:ascii="Times New Roman" w:hAnsi="Times New Roman" w:cs="Times New Roman"/>
          <w:sz w:val="24"/>
          <w:szCs w:val="24"/>
        </w:rPr>
        <w:t>8</w:t>
      </w:r>
      <w:r w:rsidRPr="00A46E2C">
        <w:rPr>
          <w:rFonts w:ascii="Times New Roman" w:hAnsi="Times New Roman" w:cs="Times New Roman"/>
          <w:sz w:val="24"/>
          <w:szCs w:val="24"/>
        </w:rPr>
        <w:t xml:space="preserve">. </w:t>
      </w:r>
      <w:r w:rsidRPr="001C7D91">
        <w:rPr>
          <w:rFonts w:ascii="Times New Roman" w:hAnsi="Times New Roman" w:cs="Times New Roman"/>
          <w:b/>
          <w:bCs/>
          <w:sz w:val="24"/>
          <w:szCs w:val="24"/>
        </w:rPr>
        <w:t>Gas Chromatograph and Mass Spectrometry analysis</w:t>
      </w:r>
    </w:p>
    <w:p w14:paraId="7BBE5C30" w14:textId="21D77887" w:rsidR="001C7D91" w:rsidRDefault="00CF424C">
      <w:pPr>
        <w:spacing w:before="240" w:after="240"/>
        <w:jc w:val="both"/>
        <w:rPr>
          <w:rFonts w:ascii="Times New Roman" w:hAnsi="Times New Roman" w:cs="Times New Roman"/>
          <w:sz w:val="24"/>
          <w:szCs w:val="24"/>
        </w:rPr>
      </w:pPr>
      <w:r w:rsidRPr="00CF424C">
        <w:rPr>
          <w:rFonts w:ascii="Times New Roman" w:hAnsi="Times New Roman" w:cs="Times New Roman"/>
          <w:sz w:val="24"/>
          <w:szCs w:val="24"/>
        </w:rPr>
        <w:t>Chemical characterization of the</w:t>
      </w:r>
      <w:r>
        <w:rPr>
          <w:rFonts w:ascii="Times New Roman" w:hAnsi="Times New Roman" w:cs="Times New Roman"/>
          <w:sz w:val="24"/>
          <w:szCs w:val="24"/>
        </w:rPr>
        <w:t xml:space="preserve"> </w:t>
      </w:r>
      <w:r w:rsidRPr="00CF424C">
        <w:rPr>
          <w:rFonts w:ascii="Times New Roman" w:hAnsi="Times New Roman" w:cs="Times New Roman"/>
          <w:sz w:val="24"/>
          <w:szCs w:val="24"/>
        </w:rPr>
        <w:t xml:space="preserve">extracts was done through the use of </w:t>
      </w:r>
      <w:proofErr w:type="gramStart"/>
      <w:r w:rsidRPr="00CF424C">
        <w:rPr>
          <w:rFonts w:ascii="Times New Roman" w:hAnsi="Times New Roman" w:cs="Times New Roman"/>
          <w:sz w:val="24"/>
          <w:szCs w:val="24"/>
        </w:rPr>
        <w:t>a</w:t>
      </w:r>
      <w:proofErr w:type="gramEnd"/>
      <w:r w:rsidRPr="00CF424C">
        <w:rPr>
          <w:rFonts w:ascii="Times New Roman" w:hAnsi="Times New Roman" w:cs="Times New Roman"/>
          <w:sz w:val="24"/>
          <w:szCs w:val="24"/>
        </w:rPr>
        <w:t xml:space="preserve"> Agilent 8890 GC system coupled with a Single Quadrupole Mass Spectrometer 5977B MSD (Agilent Technologies, Santa Clara, CA, USA) at the SAIF, Indian Institute of Technology Madras (IITM) to determine the presence of volatile and semi-volatile bioactive constituents in the samples. Before the analysis, concentrated extracts were filtered using a membrane filter to remove any form of particulate matter as well as to make them compatible with the instrumentation. The GC</w:t>
      </w:r>
      <w:r>
        <w:rPr>
          <w:rFonts w:ascii="Times New Roman" w:hAnsi="Times New Roman" w:cs="Times New Roman"/>
          <w:sz w:val="24"/>
          <w:szCs w:val="24"/>
        </w:rPr>
        <w:t>-</w:t>
      </w:r>
      <w:r w:rsidRPr="00CF424C">
        <w:rPr>
          <w:rFonts w:ascii="Times New Roman" w:hAnsi="Times New Roman" w:cs="Times New Roman"/>
          <w:sz w:val="24"/>
          <w:szCs w:val="24"/>
        </w:rPr>
        <w:t xml:space="preserve">MS platform that included Agilent HP-5 MS UI column (30 m × 250 µm × 0.25 µm) and were run for a total duration of 53.5 min. </w:t>
      </w:r>
      <w:r>
        <w:rPr>
          <w:rFonts w:ascii="Times New Roman" w:hAnsi="Times New Roman" w:cs="Times New Roman"/>
          <w:sz w:val="24"/>
          <w:szCs w:val="24"/>
        </w:rPr>
        <w:t xml:space="preserve">The </w:t>
      </w:r>
      <w:r w:rsidRPr="00CF424C">
        <w:rPr>
          <w:rFonts w:ascii="Times New Roman" w:hAnsi="Times New Roman" w:cs="Times New Roman"/>
          <w:sz w:val="24"/>
          <w:szCs w:val="24"/>
        </w:rPr>
        <w:t xml:space="preserve">capillary column was loaded with an aliquot of the filtered extract and the system operated under GC oven started at 75 °C and increased to 350 °C at a rate of 5 °C per </w:t>
      </w:r>
      <w:r w:rsidR="001C7D91" w:rsidRPr="00CF424C">
        <w:rPr>
          <w:rFonts w:ascii="Times New Roman" w:hAnsi="Times New Roman" w:cs="Times New Roman"/>
          <w:sz w:val="24"/>
          <w:szCs w:val="24"/>
        </w:rPr>
        <w:t>minute</w:t>
      </w:r>
      <w:r w:rsidR="001C7D91">
        <w:rPr>
          <w:rFonts w:ascii="Times New Roman" w:hAnsi="Times New Roman" w:cs="Times New Roman"/>
          <w:sz w:val="24"/>
          <w:szCs w:val="24"/>
        </w:rPr>
        <w:t>,</w:t>
      </w:r>
      <w:r w:rsidRPr="00CF424C">
        <w:rPr>
          <w:rFonts w:ascii="Times New Roman" w:hAnsi="Times New Roman" w:cs="Times New Roman"/>
          <w:sz w:val="24"/>
          <w:szCs w:val="24"/>
        </w:rPr>
        <w:t xml:space="preserve"> </w:t>
      </w:r>
      <w:r w:rsidR="001C7D91">
        <w:rPr>
          <w:rFonts w:ascii="Times New Roman" w:hAnsi="Times New Roman" w:cs="Times New Roman"/>
          <w:sz w:val="24"/>
          <w:szCs w:val="24"/>
        </w:rPr>
        <w:t>H</w:t>
      </w:r>
      <w:r w:rsidR="001C7D91" w:rsidRPr="001C7D91">
        <w:rPr>
          <w:rFonts w:ascii="Times New Roman" w:hAnsi="Times New Roman" w:cs="Times New Roman"/>
          <w:sz w:val="24"/>
          <w:szCs w:val="24"/>
          <w:vertAlign w:val="subscript"/>
        </w:rPr>
        <w:t>2</w:t>
      </w:r>
      <w:r w:rsidR="001C7D91">
        <w:rPr>
          <w:rFonts w:ascii="Times New Roman" w:hAnsi="Times New Roman" w:cs="Times New Roman"/>
          <w:sz w:val="24"/>
          <w:szCs w:val="24"/>
          <w:vertAlign w:val="subscript"/>
        </w:rPr>
        <w:t xml:space="preserve"> </w:t>
      </w:r>
      <w:r w:rsidRPr="00CF424C">
        <w:rPr>
          <w:rFonts w:ascii="Times New Roman" w:hAnsi="Times New Roman" w:cs="Times New Roman"/>
          <w:sz w:val="24"/>
          <w:szCs w:val="24"/>
        </w:rPr>
        <w:t xml:space="preserve">carrier-gas </w:t>
      </w:r>
      <w:r w:rsidR="001C7D91">
        <w:rPr>
          <w:rFonts w:ascii="Times New Roman" w:hAnsi="Times New Roman" w:cs="Times New Roman"/>
          <w:sz w:val="24"/>
          <w:szCs w:val="24"/>
        </w:rPr>
        <w:t xml:space="preserve">with </w:t>
      </w:r>
      <w:r w:rsidR="001C7D91" w:rsidRPr="001C7D91">
        <w:rPr>
          <w:rFonts w:ascii="Times New Roman" w:hAnsi="Times New Roman" w:cs="Times New Roman"/>
          <w:sz w:val="24"/>
          <w:szCs w:val="24"/>
        </w:rPr>
        <w:t>18 mL/min</w:t>
      </w:r>
      <w:r w:rsidR="001C7D91">
        <w:rPr>
          <w:rFonts w:ascii="Times New Roman" w:hAnsi="Times New Roman" w:cs="Times New Roman"/>
          <w:sz w:val="24"/>
          <w:szCs w:val="24"/>
        </w:rPr>
        <w:t xml:space="preserve"> </w:t>
      </w:r>
      <w:r w:rsidRPr="00CF424C">
        <w:rPr>
          <w:rFonts w:ascii="Times New Roman" w:hAnsi="Times New Roman" w:cs="Times New Roman"/>
          <w:sz w:val="24"/>
          <w:szCs w:val="24"/>
        </w:rPr>
        <w:t xml:space="preserve">flow rate. </w:t>
      </w:r>
      <w:r w:rsidR="001C7D91">
        <w:rPr>
          <w:rFonts w:ascii="Times New Roman" w:hAnsi="Times New Roman" w:cs="Times New Roman"/>
          <w:sz w:val="24"/>
          <w:szCs w:val="24"/>
        </w:rPr>
        <w:t>T</w:t>
      </w:r>
      <w:r w:rsidR="001C7D91" w:rsidRPr="001C7D91">
        <w:rPr>
          <w:rFonts w:ascii="Times New Roman" w:hAnsi="Times New Roman" w:cs="Times New Roman"/>
          <w:sz w:val="24"/>
          <w:szCs w:val="24"/>
        </w:rPr>
        <w:t>he samples were injected using a 10 µL syringe with a 1 µL injection volume</w:t>
      </w:r>
      <w:r w:rsidR="0063184B">
        <w:rPr>
          <w:rFonts w:ascii="Times New Roman" w:hAnsi="Times New Roman" w:cs="Times New Roman"/>
          <w:sz w:val="24"/>
          <w:szCs w:val="24"/>
        </w:rPr>
        <w:fldChar w:fldCharType="begin"/>
      </w:r>
      <w:r w:rsidR="0063184B">
        <w:rPr>
          <w:rFonts w:ascii="Times New Roman" w:hAnsi="Times New Roman" w:cs="Times New Roman"/>
          <w:sz w:val="24"/>
          <w:szCs w:val="24"/>
        </w:rPr>
        <w:instrText xml:space="preserve"> ADDIN ZOTERO_ITEM CSL_CITATION {"citationID":"qQh1unzi","properties":{"formattedCitation":"(Yadav et al., 2024)","plainCitation":"(Yadav et al., 2024)","noteIndex":0},"citationItems":[{"id":1816,"uris":["http://zotero.org/users/local/V2Wrfkmv/items/4J7I3N7E"],"itemData":{"id":1816,"type":"article-journal","abstract":"Background/Objectives: Recently, antimicrobial-resistant pathogens and cancers have emerged as serious global health problems, highlighting the immedi...","container-title":"Biomedicines","DOI":"10.3390/biomedicines12102192","ISSN":"2227-9059","issue":"10","language":"en","license":"http://creativecommons.org/licenses/by/3.0/","publisher":"publisher","source":"www.mdpi.com","title":"Antibacterial, Antifungal, and Cytotoxic Effects of Endophytic Streptomyces Species Isolated from the Himalayan Regions of Nepal and Their Metabolite Study","URL":"https://www.mdpi.com/2227-9059/12/10/2192","volume":"12","author":[{"family":"Yadav","given":"Ram Prabodh"},{"family":"Huo","given":"Chen"},{"family":"Budhathoki","given":"Rabin"},{"family":"Budthapa","given":"Padamlal"},{"family":"Bhattarai","given":"Bibek Raj"},{"family":"Rana","given":"Monika"},{"family":"Kim","given":"Ki Hyun"},{"family":"Parajuli","given":"Niranjan"}],"accessed":{"date-parts":[["2026",3,1]]},"issued":{"date-parts":[["2024",9,26]]}}}],"schema":"https://github.com/citation-style-language/schema/raw/master/csl-citation.json"} </w:instrText>
      </w:r>
      <w:r w:rsidR="0063184B">
        <w:rPr>
          <w:rFonts w:ascii="Times New Roman" w:hAnsi="Times New Roman" w:cs="Times New Roman"/>
          <w:sz w:val="24"/>
          <w:szCs w:val="24"/>
        </w:rPr>
        <w:fldChar w:fldCharType="separate"/>
      </w:r>
      <w:r w:rsidR="0063184B" w:rsidRPr="0063184B">
        <w:rPr>
          <w:rFonts w:ascii="Times New Roman" w:hAnsi="Times New Roman" w:cs="Times New Roman"/>
          <w:sz w:val="24"/>
        </w:rPr>
        <w:t>(Yadav et al., 2024)</w:t>
      </w:r>
      <w:r w:rsidR="0063184B">
        <w:rPr>
          <w:rFonts w:ascii="Times New Roman" w:hAnsi="Times New Roman" w:cs="Times New Roman"/>
          <w:sz w:val="24"/>
          <w:szCs w:val="24"/>
        </w:rPr>
        <w:fldChar w:fldCharType="end"/>
      </w:r>
      <w:r w:rsidR="001C7D91">
        <w:rPr>
          <w:rFonts w:ascii="Times New Roman" w:hAnsi="Times New Roman" w:cs="Times New Roman"/>
          <w:sz w:val="24"/>
          <w:szCs w:val="24"/>
        </w:rPr>
        <w:t>.</w:t>
      </w:r>
      <w:r w:rsidR="00880288">
        <w:rPr>
          <w:rFonts w:ascii="Times New Roman" w:hAnsi="Times New Roman" w:cs="Times New Roman"/>
          <w:sz w:val="24"/>
          <w:szCs w:val="24"/>
        </w:rPr>
        <w:t xml:space="preserve"> </w:t>
      </w:r>
      <w:r w:rsidR="001C7D91" w:rsidRPr="00CF424C">
        <w:rPr>
          <w:rFonts w:ascii="Times New Roman" w:hAnsi="Times New Roman" w:cs="Times New Roman"/>
          <w:sz w:val="24"/>
          <w:szCs w:val="24"/>
        </w:rPr>
        <w:t xml:space="preserve"> </w:t>
      </w:r>
    </w:p>
    <w:p w14:paraId="28C6BF83" w14:textId="379E34C0" w:rsidR="0000308A" w:rsidRPr="002C61BE" w:rsidRDefault="00617BE9">
      <w:pPr>
        <w:spacing w:before="240" w:after="240"/>
        <w:jc w:val="both"/>
        <w:rPr>
          <w:rFonts w:ascii="Times New Roman" w:hAnsi="Times New Roman" w:cs="Times New Roman"/>
          <w:b/>
          <w:bCs/>
          <w:sz w:val="24"/>
          <w:szCs w:val="24"/>
        </w:rPr>
      </w:pPr>
      <w:r w:rsidRPr="002C61BE">
        <w:rPr>
          <w:rFonts w:ascii="Times New Roman" w:hAnsi="Times New Roman" w:cs="Times New Roman"/>
          <w:b/>
          <w:bCs/>
          <w:sz w:val="24"/>
          <w:szCs w:val="24"/>
        </w:rPr>
        <w:lastRenderedPageBreak/>
        <w:t>2.</w:t>
      </w:r>
      <w:r w:rsidR="000E3D98">
        <w:rPr>
          <w:rFonts w:ascii="Times New Roman" w:hAnsi="Times New Roman" w:cs="Times New Roman"/>
          <w:b/>
          <w:bCs/>
          <w:sz w:val="24"/>
          <w:szCs w:val="24"/>
        </w:rPr>
        <w:t>9</w:t>
      </w:r>
      <w:r w:rsidRPr="002C61BE">
        <w:rPr>
          <w:rFonts w:ascii="Times New Roman" w:hAnsi="Times New Roman" w:cs="Times New Roman"/>
          <w:b/>
          <w:bCs/>
          <w:sz w:val="24"/>
          <w:szCs w:val="24"/>
        </w:rPr>
        <w:t>. Statistical Analysis</w:t>
      </w:r>
    </w:p>
    <w:p w14:paraId="6BADC626" w14:textId="78D2D498" w:rsidR="0000308A" w:rsidRPr="00A46E2C" w:rsidRDefault="00200793">
      <w:pPr>
        <w:spacing w:before="240" w:after="240"/>
        <w:jc w:val="both"/>
        <w:rPr>
          <w:rFonts w:ascii="Times New Roman" w:hAnsi="Times New Roman" w:cs="Times New Roman"/>
          <w:sz w:val="24"/>
          <w:szCs w:val="24"/>
        </w:rPr>
      </w:pPr>
      <w:r w:rsidRPr="00785DFE">
        <w:rPr>
          <w:rFonts w:ascii="Times New Roman" w:hAnsi="Times New Roman" w:cs="Times New Roman"/>
          <w:color w:val="EE0000"/>
          <w:sz w:val="24"/>
          <w:szCs w:val="24"/>
        </w:rPr>
        <w:t>All experimental measurements were carried out in triplicate (n = 3) and results were expressed as mean ± standard deviation (SD). Statistical analyses were performed to evaluate differences among solvent extracts in terms of phytochemical content, antioxidant activity, and antimicrobial effects. One-way analysis of variance (ANOVA) was applied to determine statistically significant differences between groups, followed by post-hoc multiple comparison tests where applicable. A p-value &lt; 0.05 was considered statistically significant. Statistical calculations and graphical representations were performed using standard data analysis software to ensure accuracy and reproducibility of the results</w:t>
      </w:r>
      <w:r w:rsidR="00680CA9" w:rsidRPr="00680CA9">
        <w:rPr>
          <w:rFonts w:ascii="Times New Roman" w:hAnsi="Times New Roman" w:cs="Times New Roman"/>
          <w:sz w:val="24"/>
          <w:szCs w:val="24"/>
        </w:rPr>
        <w:t>.</w:t>
      </w:r>
    </w:p>
    <w:p w14:paraId="04979D8A" w14:textId="77777777" w:rsidR="0000308A" w:rsidRPr="00A46E2C" w:rsidRDefault="00617BE9">
      <w:pPr>
        <w:pStyle w:val="Heading2"/>
        <w:keepNext w:val="0"/>
        <w:keepLines w:val="0"/>
        <w:spacing w:after="80"/>
        <w:jc w:val="both"/>
        <w:rPr>
          <w:rFonts w:ascii="Times New Roman" w:hAnsi="Times New Roman" w:cs="Times New Roman"/>
          <w:b/>
          <w:bCs/>
          <w:sz w:val="24"/>
          <w:szCs w:val="24"/>
        </w:rPr>
      </w:pPr>
      <w:bookmarkStart w:id="6" w:name="_7ci347c8k1a3" w:colFirst="0" w:colLast="0"/>
      <w:bookmarkEnd w:id="6"/>
      <w:r w:rsidRPr="00A46E2C">
        <w:rPr>
          <w:rFonts w:ascii="Times New Roman" w:hAnsi="Times New Roman" w:cs="Times New Roman"/>
          <w:b/>
          <w:bCs/>
          <w:sz w:val="24"/>
          <w:szCs w:val="24"/>
        </w:rPr>
        <w:t>3. Results</w:t>
      </w:r>
    </w:p>
    <w:p w14:paraId="478362D1" w14:textId="6E24E497" w:rsidR="0000308A" w:rsidRPr="00A46E2C" w:rsidRDefault="00617BE9">
      <w:pPr>
        <w:pStyle w:val="Heading3"/>
        <w:keepNext w:val="0"/>
        <w:keepLines w:val="0"/>
        <w:spacing w:before="280"/>
        <w:jc w:val="both"/>
        <w:rPr>
          <w:rFonts w:ascii="Times New Roman" w:hAnsi="Times New Roman" w:cs="Times New Roman"/>
          <w:b/>
          <w:bCs/>
          <w:color w:val="000000"/>
          <w:sz w:val="24"/>
          <w:szCs w:val="24"/>
        </w:rPr>
      </w:pPr>
      <w:bookmarkStart w:id="7" w:name="_wpfxcii49pa" w:colFirst="0" w:colLast="0"/>
      <w:bookmarkEnd w:id="7"/>
      <w:r w:rsidRPr="00A46E2C">
        <w:rPr>
          <w:rFonts w:ascii="Times New Roman" w:hAnsi="Times New Roman" w:cs="Times New Roman"/>
          <w:b/>
          <w:bCs/>
          <w:color w:val="000000"/>
          <w:sz w:val="24"/>
          <w:szCs w:val="24"/>
        </w:rPr>
        <w:t xml:space="preserve">3.1 </w:t>
      </w:r>
      <w:r w:rsidR="00517C09">
        <w:rPr>
          <w:rFonts w:ascii="Times New Roman" w:hAnsi="Times New Roman" w:cs="Times New Roman"/>
          <w:b/>
          <w:bCs/>
          <w:color w:val="000000"/>
          <w:sz w:val="24"/>
          <w:szCs w:val="24"/>
        </w:rPr>
        <w:t>Percentage yield</w:t>
      </w:r>
    </w:p>
    <w:p w14:paraId="078757D9" w14:textId="04F20B47" w:rsidR="006073AE" w:rsidRDefault="006073AE">
      <w:pPr>
        <w:spacing w:before="240" w:after="240"/>
        <w:jc w:val="both"/>
        <w:rPr>
          <w:rFonts w:ascii="Times New Roman" w:hAnsi="Times New Roman" w:cs="Times New Roman"/>
          <w:sz w:val="24"/>
          <w:szCs w:val="24"/>
        </w:rPr>
      </w:pPr>
      <w:r w:rsidRPr="006073AE">
        <w:rPr>
          <w:rFonts w:ascii="Times New Roman" w:hAnsi="Times New Roman" w:cs="Times New Roman"/>
          <w:sz w:val="24"/>
          <w:szCs w:val="24"/>
        </w:rPr>
        <w:t xml:space="preserve">The percentage yield of </w:t>
      </w:r>
      <w:r w:rsidRPr="006073AE">
        <w:rPr>
          <w:rFonts w:ascii="Times New Roman" w:hAnsi="Times New Roman" w:cs="Times New Roman"/>
          <w:i/>
          <w:iCs/>
          <w:sz w:val="24"/>
          <w:szCs w:val="24"/>
        </w:rPr>
        <w:t>Terminalia arjuna</w:t>
      </w:r>
      <w:r w:rsidRPr="006073AE">
        <w:rPr>
          <w:rFonts w:ascii="Times New Roman" w:hAnsi="Times New Roman" w:cs="Times New Roman"/>
          <w:sz w:val="24"/>
          <w:szCs w:val="24"/>
        </w:rPr>
        <w:t xml:space="preserve"> bark extracts obtained using different solvents is presented in Table </w:t>
      </w:r>
      <w:r>
        <w:rPr>
          <w:rFonts w:ascii="Times New Roman" w:hAnsi="Times New Roman" w:cs="Times New Roman"/>
          <w:sz w:val="24"/>
          <w:szCs w:val="24"/>
        </w:rPr>
        <w:t>2</w:t>
      </w:r>
      <w:r w:rsidRPr="006073AE">
        <w:rPr>
          <w:rFonts w:ascii="Times New Roman" w:hAnsi="Times New Roman" w:cs="Times New Roman"/>
          <w:sz w:val="24"/>
          <w:szCs w:val="24"/>
        </w:rPr>
        <w:t xml:space="preserve">. The extraction yield varied depending on solvent polarity. Among the solvents tested, </w:t>
      </w:r>
      <w:r w:rsidR="00D40B77">
        <w:rPr>
          <w:rFonts w:ascii="Times New Roman" w:hAnsi="Times New Roman" w:cs="Times New Roman"/>
          <w:sz w:val="24"/>
          <w:szCs w:val="24"/>
        </w:rPr>
        <w:t>methanol</w:t>
      </w:r>
      <w:r w:rsidRPr="006073AE">
        <w:rPr>
          <w:rFonts w:ascii="Times New Roman" w:hAnsi="Times New Roman" w:cs="Times New Roman"/>
          <w:sz w:val="24"/>
          <w:szCs w:val="24"/>
        </w:rPr>
        <w:t xml:space="preserve"> extract showed the highest yield, while</w:t>
      </w:r>
      <w:r>
        <w:rPr>
          <w:rFonts w:ascii="Times New Roman" w:hAnsi="Times New Roman" w:cs="Times New Roman"/>
          <w:sz w:val="24"/>
          <w:szCs w:val="24"/>
        </w:rPr>
        <w:t xml:space="preserve"> hexane</w:t>
      </w:r>
      <w:r w:rsidRPr="006073AE">
        <w:rPr>
          <w:rFonts w:ascii="Times New Roman" w:hAnsi="Times New Roman" w:cs="Times New Roman"/>
          <w:sz w:val="24"/>
          <w:szCs w:val="24"/>
        </w:rPr>
        <w:t xml:space="preserve"> extract showed the lowest yield. This variation indicates that solvent polarity plays a significant role in determining extraction efficiency of phytoconstituents.</w:t>
      </w:r>
    </w:p>
    <w:p w14:paraId="349CE00D" w14:textId="77777777" w:rsidR="00A8625F" w:rsidRDefault="00A8625F">
      <w:pPr>
        <w:spacing w:before="240" w:after="240"/>
        <w:jc w:val="both"/>
        <w:rPr>
          <w:rFonts w:ascii="Times New Roman" w:hAnsi="Times New Roman" w:cs="Times New Roman"/>
          <w:sz w:val="24"/>
          <w:szCs w:val="24"/>
        </w:rPr>
      </w:pPr>
    </w:p>
    <w:p w14:paraId="2D02B3C0" w14:textId="6CE1BFB3" w:rsidR="006073AE" w:rsidRDefault="006073AE">
      <w:pPr>
        <w:spacing w:before="240" w:after="240"/>
        <w:jc w:val="both"/>
        <w:rPr>
          <w:rFonts w:ascii="Times New Roman" w:hAnsi="Times New Roman" w:cs="Times New Roman"/>
          <w:sz w:val="24"/>
          <w:szCs w:val="24"/>
        </w:rPr>
      </w:pPr>
      <w:r w:rsidRPr="006073AE">
        <w:rPr>
          <w:rFonts w:ascii="Times New Roman" w:hAnsi="Times New Roman" w:cs="Times New Roman"/>
          <w:b/>
          <w:bCs/>
          <w:sz w:val="24"/>
          <w:szCs w:val="24"/>
        </w:rPr>
        <w:t>Table 2.</w:t>
      </w:r>
      <w:r w:rsidRPr="006073AE">
        <w:rPr>
          <w:rFonts w:ascii="Times New Roman" w:hAnsi="Times New Roman" w:cs="Times New Roman"/>
          <w:sz w:val="24"/>
          <w:szCs w:val="24"/>
        </w:rPr>
        <w:t xml:space="preserve"> Percentage yield of different solvent extracts</w:t>
      </w:r>
    </w:p>
    <w:tbl>
      <w:tblPr>
        <w:tblStyle w:val="TableGrid"/>
        <w:tblW w:w="8903" w:type="dxa"/>
        <w:tblLook w:val="04A0" w:firstRow="1" w:lastRow="0" w:firstColumn="1" w:lastColumn="0" w:noHBand="0" w:noVBand="1"/>
      </w:tblPr>
      <w:tblGrid>
        <w:gridCol w:w="2284"/>
        <w:gridCol w:w="4160"/>
        <w:gridCol w:w="2459"/>
      </w:tblGrid>
      <w:tr w:rsidR="006073AE" w:rsidRPr="006073AE" w14:paraId="1A01BE53" w14:textId="77777777" w:rsidTr="006073AE">
        <w:trPr>
          <w:trHeight w:val="258"/>
        </w:trPr>
        <w:tc>
          <w:tcPr>
            <w:tcW w:w="0" w:type="auto"/>
            <w:hideMark/>
          </w:tcPr>
          <w:p w14:paraId="396D0AFF" w14:textId="77777777" w:rsidR="006073AE" w:rsidRPr="006073AE" w:rsidRDefault="006073AE" w:rsidP="006073AE">
            <w:pPr>
              <w:jc w:val="center"/>
              <w:rPr>
                <w:rFonts w:ascii="Times New Roman" w:eastAsia="Times New Roman" w:hAnsi="Times New Roman" w:cs="Times New Roman"/>
                <w:b/>
                <w:bCs/>
                <w:sz w:val="24"/>
                <w:szCs w:val="24"/>
                <w:lang w:val="en-IN"/>
              </w:rPr>
            </w:pPr>
            <w:r w:rsidRPr="006073AE">
              <w:rPr>
                <w:rFonts w:ascii="Times New Roman" w:eastAsia="Times New Roman" w:hAnsi="Times New Roman" w:cs="Times New Roman"/>
                <w:b/>
                <w:bCs/>
                <w:sz w:val="24"/>
                <w:szCs w:val="24"/>
                <w:lang w:val="en-IN"/>
              </w:rPr>
              <w:t>Solvent</w:t>
            </w:r>
          </w:p>
        </w:tc>
        <w:tc>
          <w:tcPr>
            <w:tcW w:w="0" w:type="auto"/>
            <w:hideMark/>
          </w:tcPr>
          <w:p w14:paraId="274BB6D3" w14:textId="77777777" w:rsidR="006073AE" w:rsidRPr="006073AE" w:rsidRDefault="006073AE" w:rsidP="006073AE">
            <w:pPr>
              <w:jc w:val="center"/>
              <w:rPr>
                <w:rFonts w:ascii="Times New Roman" w:eastAsia="Times New Roman" w:hAnsi="Times New Roman" w:cs="Times New Roman"/>
                <w:b/>
                <w:bCs/>
                <w:sz w:val="24"/>
                <w:szCs w:val="24"/>
                <w:lang w:val="en-IN"/>
              </w:rPr>
            </w:pPr>
            <w:r w:rsidRPr="006073AE">
              <w:rPr>
                <w:rFonts w:ascii="Times New Roman" w:eastAsia="Times New Roman" w:hAnsi="Times New Roman" w:cs="Times New Roman"/>
                <w:b/>
                <w:bCs/>
                <w:sz w:val="24"/>
                <w:szCs w:val="24"/>
                <w:lang w:val="en-IN"/>
              </w:rPr>
              <w:t>Extract weight (g)</w:t>
            </w:r>
          </w:p>
        </w:tc>
        <w:tc>
          <w:tcPr>
            <w:tcW w:w="0" w:type="auto"/>
            <w:hideMark/>
          </w:tcPr>
          <w:p w14:paraId="1EB17C7E" w14:textId="77777777" w:rsidR="006073AE" w:rsidRPr="006073AE" w:rsidRDefault="006073AE" w:rsidP="006073AE">
            <w:pPr>
              <w:jc w:val="center"/>
              <w:rPr>
                <w:rFonts w:ascii="Times New Roman" w:eastAsia="Times New Roman" w:hAnsi="Times New Roman" w:cs="Times New Roman"/>
                <w:b/>
                <w:bCs/>
                <w:sz w:val="24"/>
                <w:szCs w:val="24"/>
                <w:lang w:val="en-IN"/>
              </w:rPr>
            </w:pPr>
            <w:r w:rsidRPr="006073AE">
              <w:rPr>
                <w:rFonts w:ascii="Times New Roman" w:eastAsia="Times New Roman" w:hAnsi="Times New Roman" w:cs="Times New Roman"/>
                <w:b/>
                <w:bCs/>
                <w:sz w:val="24"/>
                <w:szCs w:val="24"/>
                <w:lang w:val="en-IN"/>
              </w:rPr>
              <w:t>Yield (%)</w:t>
            </w:r>
          </w:p>
        </w:tc>
      </w:tr>
      <w:tr w:rsidR="006073AE" w:rsidRPr="006073AE" w14:paraId="57501F1E" w14:textId="77777777" w:rsidTr="006073AE">
        <w:trPr>
          <w:trHeight w:val="258"/>
        </w:trPr>
        <w:tc>
          <w:tcPr>
            <w:tcW w:w="0" w:type="auto"/>
            <w:hideMark/>
          </w:tcPr>
          <w:p w14:paraId="4FEF33BE" w14:textId="77777777" w:rsidR="006073AE" w:rsidRPr="006073AE" w:rsidRDefault="006073AE" w:rsidP="006073AE">
            <w:pPr>
              <w:jc w:val="center"/>
              <w:rPr>
                <w:rFonts w:ascii="Times New Roman" w:eastAsia="Times New Roman" w:hAnsi="Times New Roman" w:cs="Times New Roman"/>
                <w:sz w:val="24"/>
                <w:szCs w:val="24"/>
                <w:lang w:val="en-IN"/>
              </w:rPr>
            </w:pPr>
            <w:r w:rsidRPr="006073AE">
              <w:rPr>
                <w:rFonts w:ascii="Times New Roman" w:eastAsia="Times New Roman" w:hAnsi="Times New Roman" w:cs="Times New Roman"/>
                <w:sz w:val="24"/>
                <w:szCs w:val="24"/>
                <w:lang w:val="en-IN"/>
              </w:rPr>
              <w:t>Methanol</w:t>
            </w:r>
          </w:p>
        </w:tc>
        <w:tc>
          <w:tcPr>
            <w:tcW w:w="0" w:type="auto"/>
            <w:hideMark/>
          </w:tcPr>
          <w:p w14:paraId="26A0E5B4" w14:textId="54A75F8F"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5</w:t>
            </w:r>
          </w:p>
        </w:tc>
        <w:tc>
          <w:tcPr>
            <w:tcW w:w="0" w:type="auto"/>
            <w:hideMark/>
          </w:tcPr>
          <w:p w14:paraId="0598F087" w14:textId="020E8CC1"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32.34</w:t>
            </w:r>
          </w:p>
        </w:tc>
      </w:tr>
      <w:tr w:rsidR="006073AE" w:rsidRPr="006073AE" w14:paraId="652B773B" w14:textId="77777777" w:rsidTr="006073AE">
        <w:trPr>
          <w:trHeight w:val="258"/>
        </w:trPr>
        <w:tc>
          <w:tcPr>
            <w:tcW w:w="0" w:type="auto"/>
            <w:hideMark/>
          </w:tcPr>
          <w:p w14:paraId="37C6A4F4" w14:textId="77777777" w:rsidR="006073AE" w:rsidRPr="006073AE" w:rsidRDefault="006073AE" w:rsidP="006073AE">
            <w:pPr>
              <w:jc w:val="center"/>
              <w:rPr>
                <w:rFonts w:ascii="Times New Roman" w:eastAsia="Times New Roman" w:hAnsi="Times New Roman" w:cs="Times New Roman"/>
                <w:sz w:val="24"/>
                <w:szCs w:val="24"/>
                <w:lang w:val="en-IN"/>
              </w:rPr>
            </w:pPr>
            <w:r w:rsidRPr="006073AE">
              <w:rPr>
                <w:rFonts w:ascii="Times New Roman" w:eastAsia="Times New Roman" w:hAnsi="Times New Roman" w:cs="Times New Roman"/>
                <w:sz w:val="24"/>
                <w:szCs w:val="24"/>
                <w:lang w:val="en-IN"/>
              </w:rPr>
              <w:t>Ethanol</w:t>
            </w:r>
          </w:p>
        </w:tc>
        <w:tc>
          <w:tcPr>
            <w:tcW w:w="0" w:type="auto"/>
            <w:hideMark/>
          </w:tcPr>
          <w:p w14:paraId="5AB3036C" w14:textId="3409D6B4"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5</w:t>
            </w:r>
          </w:p>
        </w:tc>
        <w:tc>
          <w:tcPr>
            <w:tcW w:w="0" w:type="auto"/>
            <w:hideMark/>
          </w:tcPr>
          <w:p w14:paraId="20973DD2" w14:textId="758FA4E4"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28.23</w:t>
            </w:r>
          </w:p>
        </w:tc>
      </w:tr>
      <w:tr w:rsidR="006073AE" w:rsidRPr="006073AE" w14:paraId="6B525C73" w14:textId="77777777" w:rsidTr="006073AE">
        <w:trPr>
          <w:trHeight w:val="258"/>
        </w:trPr>
        <w:tc>
          <w:tcPr>
            <w:tcW w:w="0" w:type="auto"/>
            <w:hideMark/>
          </w:tcPr>
          <w:p w14:paraId="4F89F962" w14:textId="77777777" w:rsidR="006073AE" w:rsidRPr="006073AE" w:rsidRDefault="006073AE" w:rsidP="006073AE">
            <w:pPr>
              <w:jc w:val="center"/>
              <w:rPr>
                <w:rFonts w:ascii="Times New Roman" w:eastAsia="Times New Roman" w:hAnsi="Times New Roman" w:cs="Times New Roman"/>
                <w:sz w:val="24"/>
                <w:szCs w:val="24"/>
                <w:lang w:val="en-IN"/>
              </w:rPr>
            </w:pPr>
            <w:r w:rsidRPr="006073AE">
              <w:rPr>
                <w:rFonts w:ascii="Times New Roman" w:eastAsia="Times New Roman" w:hAnsi="Times New Roman" w:cs="Times New Roman"/>
                <w:sz w:val="24"/>
                <w:szCs w:val="24"/>
                <w:lang w:val="en-IN"/>
              </w:rPr>
              <w:t>Hexane</w:t>
            </w:r>
          </w:p>
        </w:tc>
        <w:tc>
          <w:tcPr>
            <w:tcW w:w="0" w:type="auto"/>
            <w:hideMark/>
          </w:tcPr>
          <w:p w14:paraId="7B311477" w14:textId="787E847D"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5</w:t>
            </w:r>
          </w:p>
        </w:tc>
        <w:tc>
          <w:tcPr>
            <w:tcW w:w="0" w:type="auto"/>
            <w:hideMark/>
          </w:tcPr>
          <w:p w14:paraId="24EB20B4" w14:textId="3EEBDECA"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5.35</w:t>
            </w:r>
          </w:p>
        </w:tc>
      </w:tr>
      <w:tr w:rsidR="006073AE" w:rsidRPr="006073AE" w14:paraId="756E3278" w14:textId="77777777" w:rsidTr="006073AE">
        <w:trPr>
          <w:trHeight w:val="258"/>
        </w:trPr>
        <w:tc>
          <w:tcPr>
            <w:tcW w:w="0" w:type="auto"/>
            <w:hideMark/>
          </w:tcPr>
          <w:p w14:paraId="51B1976B" w14:textId="77777777" w:rsidR="006073AE" w:rsidRPr="006073AE" w:rsidRDefault="006073AE" w:rsidP="006073AE">
            <w:pPr>
              <w:jc w:val="center"/>
              <w:rPr>
                <w:rFonts w:ascii="Times New Roman" w:eastAsia="Times New Roman" w:hAnsi="Times New Roman" w:cs="Times New Roman"/>
                <w:sz w:val="24"/>
                <w:szCs w:val="24"/>
                <w:lang w:val="en-IN"/>
              </w:rPr>
            </w:pPr>
            <w:r w:rsidRPr="006073AE">
              <w:rPr>
                <w:rFonts w:ascii="Times New Roman" w:eastAsia="Times New Roman" w:hAnsi="Times New Roman" w:cs="Times New Roman"/>
                <w:sz w:val="24"/>
                <w:szCs w:val="24"/>
                <w:lang w:val="en-IN"/>
              </w:rPr>
              <w:t>DCM</w:t>
            </w:r>
          </w:p>
        </w:tc>
        <w:tc>
          <w:tcPr>
            <w:tcW w:w="0" w:type="auto"/>
            <w:hideMark/>
          </w:tcPr>
          <w:p w14:paraId="250AD697" w14:textId="28ADAC18"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5</w:t>
            </w:r>
          </w:p>
        </w:tc>
        <w:tc>
          <w:tcPr>
            <w:tcW w:w="0" w:type="auto"/>
            <w:hideMark/>
          </w:tcPr>
          <w:p w14:paraId="2BD715DB" w14:textId="75511515"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7.89</w:t>
            </w:r>
          </w:p>
        </w:tc>
      </w:tr>
    </w:tbl>
    <w:p w14:paraId="3EA5B85B" w14:textId="536E447E" w:rsidR="003B7DC5" w:rsidRDefault="003B7DC5">
      <w:pPr>
        <w:pStyle w:val="Heading3"/>
        <w:keepNext w:val="0"/>
        <w:keepLines w:val="0"/>
        <w:spacing w:before="280"/>
        <w:jc w:val="both"/>
        <w:rPr>
          <w:rFonts w:ascii="Times New Roman" w:hAnsi="Times New Roman" w:cs="Times New Roman"/>
          <w:b/>
          <w:bCs/>
          <w:color w:val="000000"/>
          <w:sz w:val="24"/>
          <w:szCs w:val="24"/>
        </w:rPr>
      </w:pPr>
      <w:bookmarkStart w:id="8" w:name="_cs9kejfqt7co" w:colFirst="0" w:colLast="0"/>
      <w:bookmarkEnd w:id="8"/>
      <w:r>
        <w:rPr>
          <w:rFonts w:ascii="Times New Roman" w:hAnsi="Times New Roman" w:cs="Times New Roman"/>
          <w:b/>
          <w:bCs/>
          <w:color w:val="000000"/>
          <w:sz w:val="24"/>
          <w:szCs w:val="24"/>
        </w:rPr>
        <w:t>3.2 Phytochemical screening</w:t>
      </w:r>
    </w:p>
    <w:p w14:paraId="537391D7" w14:textId="647418E4" w:rsidR="003B7DC5" w:rsidRDefault="003B7DC5" w:rsidP="003B7DC5">
      <w:pPr>
        <w:jc w:val="both"/>
        <w:rPr>
          <w:rFonts w:ascii="Times New Roman" w:hAnsi="Times New Roman" w:cs="Times New Roman"/>
          <w:sz w:val="24"/>
          <w:szCs w:val="24"/>
        </w:rPr>
      </w:pPr>
      <w:r w:rsidRPr="003B7DC5">
        <w:rPr>
          <w:rFonts w:ascii="Times New Roman" w:hAnsi="Times New Roman" w:cs="Times New Roman"/>
          <w:sz w:val="24"/>
          <w:szCs w:val="24"/>
        </w:rPr>
        <w:t xml:space="preserve">Preliminary phytochemical screening of </w:t>
      </w:r>
      <w:r w:rsidRPr="005822AF">
        <w:rPr>
          <w:rFonts w:ascii="Times New Roman" w:hAnsi="Times New Roman" w:cs="Times New Roman"/>
          <w:i/>
          <w:iCs/>
          <w:sz w:val="24"/>
          <w:szCs w:val="24"/>
        </w:rPr>
        <w:t>Terminalia arjuna</w:t>
      </w:r>
      <w:r w:rsidRPr="003B7DC5">
        <w:rPr>
          <w:rFonts w:ascii="Times New Roman" w:hAnsi="Times New Roman" w:cs="Times New Roman"/>
          <w:sz w:val="24"/>
          <w:szCs w:val="24"/>
        </w:rPr>
        <w:t xml:space="preserve"> bark extracts prepared using different solvents revealed the presence of several bioactive secondary metabolites. The qualitative tests indicated variations in phytochemical composition depending on solvent polarity. Polar solvents such as methanol and ethanol showed a wider range of phytoconstituents compared to non-polar solvents like hexane. The detailed results of phytochemical analysis are summarized in Table 3.</w:t>
      </w:r>
    </w:p>
    <w:p w14:paraId="3BDBF9E9" w14:textId="46D15D97" w:rsidR="003B7DC5" w:rsidRPr="003B7DC5" w:rsidRDefault="003B7DC5" w:rsidP="003B7DC5">
      <w:pPr>
        <w:jc w:val="both"/>
        <w:rPr>
          <w:rFonts w:ascii="Times New Roman" w:hAnsi="Times New Roman" w:cs="Times New Roman"/>
          <w:sz w:val="24"/>
          <w:szCs w:val="24"/>
        </w:rPr>
      </w:pPr>
      <w:r w:rsidRPr="003B7DC5">
        <w:rPr>
          <w:rFonts w:ascii="Times New Roman" w:hAnsi="Times New Roman" w:cs="Times New Roman"/>
          <w:b/>
          <w:bCs/>
          <w:sz w:val="24"/>
          <w:szCs w:val="24"/>
        </w:rPr>
        <w:t>Table 3</w:t>
      </w:r>
      <w:r w:rsidRPr="003B7DC5">
        <w:rPr>
          <w:rFonts w:ascii="Times New Roman" w:hAnsi="Times New Roman" w:cs="Times New Roman"/>
          <w:sz w:val="24"/>
          <w:szCs w:val="24"/>
        </w:rPr>
        <w:t>. Qualitative phytochemical screening of bark extracts</w:t>
      </w:r>
    </w:p>
    <w:tbl>
      <w:tblPr>
        <w:tblStyle w:val="TableGrid"/>
        <w:tblW w:w="8813" w:type="dxa"/>
        <w:jc w:val="center"/>
        <w:tblLook w:val="04A0" w:firstRow="1" w:lastRow="0" w:firstColumn="1" w:lastColumn="0" w:noHBand="0" w:noVBand="1"/>
      </w:tblPr>
      <w:tblGrid>
        <w:gridCol w:w="2985"/>
        <w:gridCol w:w="1747"/>
        <w:gridCol w:w="1496"/>
        <w:gridCol w:w="1438"/>
        <w:gridCol w:w="1147"/>
      </w:tblGrid>
      <w:tr w:rsidR="00D45965" w:rsidRPr="00D45965" w14:paraId="66FBCB46" w14:textId="77777777" w:rsidTr="008628E5">
        <w:trPr>
          <w:trHeight w:val="276"/>
          <w:jc w:val="center"/>
        </w:trPr>
        <w:tc>
          <w:tcPr>
            <w:tcW w:w="0" w:type="auto"/>
            <w:hideMark/>
          </w:tcPr>
          <w:p w14:paraId="36233D7C" w14:textId="77777777" w:rsidR="00D45965" w:rsidRPr="00D45965" w:rsidRDefault="00D45965" w:rsidP="00D45965">
            <w:pPr>
              <w:jc w:val="center"/>
              <w:rPr>
                <w:rFonts w:ascii="Times New Roman" w:eastAsia="Times New Roman" w:hAnsi="Times New Roman" w:cs="Times New Roman"/>
                <w:b/>
                <w:bCs/>
                <w:sz w:val="24"/>
                <w:szCs w:val="24"/>
                <w:lang w:val="en-IN"/>
              </w:rPr>
            </w:pPr>
            <w:r w:rsidRPr="00D45965">
              <w:rPr>
                <w:rFonts w:ascii="Times New Roman" w:eastAsia="Times New Roman" w:hAnsi="Times New Roman" w:cs="Times New Roman"/>
                <w:b/>
                <w:bCs/>
                <w:sz w:val="24"/>
                <w:szCs w:val="24"/>
                <w:lang w:val="en-IN"/>
              </w:rPr>
              <w:t>Phytochemical</w:t>
            </w:r>
          </w:p>
        </w:tc>
        <w:tc>
          <w:tcPr>
            <w:tcW w:w="0" w:type="auto"/>
            <w:hideMark/>
          </w:tcPr>
          <w:p w14:paraId="00FA8C20" w14:textId="77777777" w:rsidR="00D45965" w:rsidRPr="00D45965" w:rsidRDefault="00D45965" w:rsidP="00D45965">
            <w:pPr>
              <w:jc w:val="center"/>
              <w:rPr>
                <w:rFonts w:ascii="Times New Roman" w:eastAsia="Times New Roman" w:hAnsi="Times New Roman" w:cs="Times New Roman"/>
                <w:b/>
                <w:bCs/>
                <w:sz w:val="24"/>
                <w:szCs w:val="24"/>
                <w:lang w:val="en-IN"/>
              </w:rPr>
            </w:pPr>
            <w:r w:rsidRPr="00D45965">
              <w:rPr>
                <w:rFonts w:ascii="Times New Roman" w:eastAsia="Times New Roman" w:hAnsi="Times New Roman" w:cs="Times New Roman"/>
                <w:b/>
                <w:bCs/>
                <w:sz w:val="24"/>
                <w:szCs w:val="24"/>
                <w:lang w:val="en-IN"/>
              </w:rPr>
              <w:t>Methanol</w:t>
            </w:r>
          </w:p>
        </w:tc>
        <w:tc>
          <w:tcPr>
            <w:tcW w:w="0" w:type="auto"/>
            <w:hideMark/>
          </w:tcPr>
          <w:p w14:paraId="26DE6571" w14:textId="77777777" w:rsidR="00D45965" w:rsidRPr="00D45965" w:rsidRDefault="00D45965" w:rsidP="00D45965">
            <w:pPr>
              <w:jc w:val="center"/>
              <w:rPr>
                <w:rFonts w:ascii="Times New Roman" w:eastAsia="Times New Roman" w:hAnsi="Times New Roman" w:cs="Times New Roman"/>
                <w:b/>
                <w:bCs/>
                <w:sz w:val="24"/>
                <w:szCs w:val="24"/>
                <w:lang w:val="en-IN"/>
              </w:rPr>
            </w:pPr>
            <w:r w:rsidRPr="00D45965">
              <w:rPr>
                <w:rFonts w:ascii="Times New Roman" w:eastAsia="Times New Roman" w:hAnsi="Times New Roman" w:cs="Times New Roman"/>
                <w:b/>
                <w:bCs/>
                <w:sz w:val="24"/>
                <w:szCs w:val="24"/>
                <w:lang w:val="en-IN"/>
              </w:rPr>
              <w:t>Ethanol</w:t>
            </w:r>
          </w:p>
        </w:tc>
        <w:tc>
          <w:tcPr>
            <w:tcW w:w="0" w:type="auto"/>
            <w:hideMark/>
          </w:tcPr>
          <w:p w14:paraId="3CE67446" w14:textId="77777777" w:rsidR="00D45965" w:rsidRPr="00D45965" w:rsidRDefault="00D45965" w:rsidP="00D45965">
            <w:pPr>
              <w:jc w:val="center"/>
              <w:rPr>
                <w:rFonts w:ascii="Times New Roman" w:eastAsia="Times New Roman" w:hAnsi="Times New Roman" w:cs="Times New Roman"/>
                <w:b/>
                <w:bCs/>
                <w:sz w:val="24"/>
                <w:szCs w:val="24"/>
                <w:lang w:val="en-IN"/>
              </w:rPr>
            </w:pPr>
            <w:r w:rsidRPr="00D45965">
              <w:rPr>
                <w:rFonts w:ascii="Times New Roman" w:eastAsia="Times New Roman" w:hAnsi="Times New Roman" w:cs="Times New Roman"/>
                <w:b/>
                <w:bCs/>
                <w:sz w:val="24"/>
                <w:szCs w:val="24"/>
                <w:lang w:val="en-IN"/>
              </w:rPr>
              <w:t>Hexane</w:t>
            </w:r>
          </w:p>
        </w:tc>
        <w:tc>
          <w:tcPr>
            <w:tcW w:w="0" w:type="auto"/>
            <w:hideMark/>
          </w:tcPr>
          <w:p w14:paraId="700766B3" w14:textId="77777777" w:rsidR="00D45965" w:rsidRPr="00D45965" w:rsidRDefault="00D45965" w:rsidP="00D45965">
            <w:pPr>
              <w:jc w:val="center"/>
              <w:rPr>
                <w:rFonts w:ascii="Times New Roman" w:eastAsia="Times New Roman" w:hAnsi="Times New Roman" w:cs="Times New Roman"/>
                <w:b/>
                <w:bCs/>
                <w:sz w:val="24"/>
                <w:szCs w:val="24"/>
                <w:lang w:val="en-IN"/>
              </w:rPr>
            </w:pPr>
            <w:r w:rsidRPr="00D45965">
              <w:rPr>
                <w:rFonts w:ascii="Times New Roman" w:eastAsia="Times New Roman" w:hAnsi="Times New Roman" w:cs="Times New Roman"/>
                <w:b/>
                <w:bCs/>
                <w:sz w:val="24"/>
                <w:szCs w:val="24"/>
                <w:lang w:val="en-IN"/>
              </w:rPr>
              <w:t>DCM</w:t>
            </w:r>
          </w:p>
        </w:tc>
      </w:tr>
      <w:tr w:rsidR="00D45965" w:rsidRPr="00D45965" w14:paraId="1B1F8F91" w14:textId="77777777" w:rsidTr="008628E5">
        <w:trPr>
          <w:trHeight w:val="276"/>
          <w:jc w:val="center"/>
        </w:trPr>
        <w:tc>
          <w:tcPr>
            <w:tcW w:w="0" w:type="auto"/>
            <w:hideMark/>
          </w:tcPr>
          <w:p w14:paraId="64B22C25"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Alkaloids</w:t>
            </w:r>
          </w:p>
        </w:tc>
        <w:tc>
          <w:tcPr>
            <w:tcW w:w="0" w:type="auto"/>
            <w:hideMark/>
          </w:tcPr>
          <w:p w14:paraId="225480FA"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1EE4C220"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48F80E28"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6F43E7C6"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1AFB20C8" w14:textId="77777777" w:rsidTr="008628E5">
        <w:trPr>
          <w:trHeight w:val="276"/>
          <w:jc w:val="center"/>
        </w:trPr>
        <w:tc>
          <w:tcPr>
            <w:tcW w:w="0" w:type="auto"/>
            <w:hideMark/>
          </w:tcPr>
          <w:p w14:paraId="24D3723D"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Flavonoids</w:t>
            </w:r>
          </w:p>
        </w:tc>
        <w:tc>
          <w:tcPr>
            <w:tcW w:w="0" w:type="auto"/>
            <w:hideMark/>
          </w:tcPr>
          <w:p w14:paraId="5ED2495A"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4454EE91"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09510799"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049D20AC"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189EBF54" w14:textId="77777777" w:rsidTr="008628E5">
        <w:trPr>
          <w:trHeight w:val="276"/>
          <w:jc w:val="center"/>
        </w:trPr>
        <w:tc>
          <w:tcPr>
            <w:tcW w:w="0" w:type="auto"/>
            <w:hideMark/>
          </w:tcPr>
          <w:p w14:paraId="2F255846"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Phenols &amp; Tannins</w:t>
            </w:r>
          </w:p>
        </w:tc>
        <w:tc>
          <w:tcPr>
            <w:tcW w:w="0" w:type="auto"/>
            <w:hideMark/>
          </w:tcPr>
          <w:p w14:paraId="46B83113"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233F6FDC"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53B3091D"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16716E3C"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7F9D2FBC" w14:textId="77777777" w:rsidTr="008628E5">
        <w:trPr>
          <w:trHeight w:val="276"/>
          <w:jc w:val="center"/>
        </w:trPr>
        <w:tc>
          <w:tcPr>
            <w:tcW w:w="0" w:type="auto"/>
            <w:hideMark/>
          </w:tcPr>
          <w:p w14:paraId="1D1EB097"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Saponins</w:t>
            </w:r>
          </w:p>
        </w:tc>
        <w:tc>
          <w:tcPr>
            <w:tcW w:w="0" w:type="auto"/>
            <w:hideMark/>
          </w:tcPr>
          <w:p w14:paraId="3D6957BD"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0D57C10F"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7A96164A"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6AE21DC6"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4133E7B8" w14:textId="77777777" w:rsidTr="008628E5">
        <w:trPr>
          <w:trHeight w:val="269"/>
          <w:jc w:val="center"/>
        </w:trPr>
        <w:tc>
          <w:tcPr>
            <w:tcW w:w="0" w:type="auto"/>
            <w:hideMark/>
          </w:tcPr>
          <w:p w14:paraId="4C3D3469"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Terpenoids</w:t>
            </w:r>
          </w:p>
        </w:tc>
        <w:tc>
          <w:tcPr>
            <w:tcW w:w="0" w:type="auto"/>
            <w:hideMark/>
          </w:tcPr>
          <w:p w14:paraId="63107663"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099A906E"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09A384FC"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613173CA"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5D7B272D" w14:textId="77777777" w:rsidTr="008628E5">
        <w:trPr>
          <w:trHeight w:val="276"/>
          <w:jc w:val="center"/>
        </w:trPr>
        <w:tc>
          <w:tcPr>
            <w:tcW w:w="0" w:type="auto"/>
            <w:hideMark/>
          </w:tcPr>
          <w:p w14:paraId="7F4D67CA"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Glycosides</w:t>
            </w:r>
          </w:p>
        </w:tc>
        <w:tc>
          <w:tcPr>
            <w:tcW w:w="0" w:type="auto"/>
            <w:hideMark/>
          </w:tcPr>
          <w:p w14:paraId="5793AA71"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56FE86D8"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7D87E57B"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617B97CB"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1C63247D" w14:textId="77777777" w:rsidTr="008628E5">
        <w:trPr>
          <w:trHeight w:val="276"/>
          <w:jc w:val="center"/>
        </w:trPr>
        <w:tc>
          <w:tcPr>
            <w:tcW w:w="0" w:type="auto"/>
            <w:hideMark/>
          </w:tcPr>
          <w:p w14:paraId="589AE0C8"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lastRenderedPageBreak/>
              <w:t>Proteins</w:t>
            </w:r>
          </w:p>
        </w:tc>
        <w:tc>
          <w:tcPr>
            <w:tcW w:w="0" w:type="auto"/>
            <w:hideMark/>
          </w:tcPr>
          <w:p w14:paraId="48AE4707"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60E7A05F"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31004BA2"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736247A3"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76115E46" w14:textId="77777777" w:rsidTr="008628E5">
        <w:trPr>
          <w:trHeight w:val="276"/>
          <w:jc w:val="center"/>
        </w:trPr>
        <w:tc>
          <w:tcPr>
            <w:tcW w:w="0" w:type="auto"/>
            <w:hideMark/>
          </w:tcPr>
          <w:p w14:paraId="227B9505"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Carbohydrates</w:t>
            </w:r>
          </w:p>
        </w:tc>
        <w:tc>
          <w:tcPr>
            <w:tcW w:w="0" w:type="auto"/>
            <w:hideMark/>
          </w:tcPr>
          <w:p w14:paraId="7A10B0D6"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6D5D01A4"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2414F32E"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52C1F644"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15343008" w14:textId="77777777" w:rsidTr="008628E5">
        <w:trPr>
          <w:trHeight w:val="276"/>
          <w:jc w:val="center"/>
        </w:trPr>
        <w:tc>
          <w:tcPr>
            <w:tcW w:w="0" w:type="auto"/>
            <w:hideMark/>
          </w:tcPr>
          <w:p w14:paraId="135A9FE3"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Lactones</w:t>
            </w:r>
          </w:p>
        </w:tc>
        <w:tc>
          <w:tcPr>
            <w:tcW w:w="0" w:type="auto"/>
            <w:hideMark/>
          </w:tcPr>
          <w:p w14:paraId="16B49611"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28EDD269"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46ADBD84"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124C53B6"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0E9D2AB1" w14:textId="77777777" w:rsidTr="008628E5">
        <w:trPr>
          <w:trHeight w:val="276"/>
          <w:jc w:val="center"/>
        </w:trPr>
        <w:tc>
          <w:tcPr>
            <w:tcW w:w="0" w:type="auto"/>
            <w:hideMark/>
          </w:tcPr>
          <w:p w14:paraId="0E235E41"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Phytosterols</w:t>
            </w:r>
          </w:p>
        </w:tc>
        <w:tc>
          <w:tcPr>
            <w:tcW w:w="0" w:type="auto"/>
            <w:hideMark/>
          </w:tcPr>
          <w:p w14:paraId="7DE391B1"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1E592857"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5D6D60F4"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482D5831"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bl>
    <w:p w14:paraId="3498DCCE" w14:textId="77044F6B" w:rsidR="003B7DC5" w:rsidRDefault="00D45965">
      <w:pPr>
        <w:pStyle w:val="Heading3"/>
        <w:keepNext w:val="0"/>
        <w:keepLines w:val="0"/>
        <w:spacing w:before="280"/>
        <w:jc w:val="both"/>
        <w:rPr>
          <w:rFonts w:ascii="Times New Roman" w:hAnsi="Times New Roman" w:cs="Times New Roman"/>
          <w:b/>
          <w:bCs/>
          <w:color w:val="000000"/>
          <w:sz w:val="24"/>
          <w:szCs w:val="24"/>
          <w:lang w:val="en-IN"/>
        </w:rPr>
      </w:pPr>
      <w:r w:rsidRPr="00D45965">
        <w:rPr>
          <w:rFonts w:ascii="Times New Roman" w:hAnsi="Times New Roman" w:cs="Times New Roman"/>
          <w:b/>
          <w:bCs/>
          <w:color w:val="000000"/>
          <w:sz w:val="24"/>
          <w:szCs w:val="24"/>
        </w:rPr>
        <w:t>+++ = strongly present</w:t>
      </w:r>
    </w:p>
    <w:p w14:paraId="3293F7EF" w14:textId="68408337" w:rsidR="003B7DC5" w:rsidRDefault="00D45965" w:rsidP="003B7DC5">
      <w:r>
        <w:t xml:space="preserve">     </w:t>
      </w:r>
      <w:r w:rsidRPr="00D45965">
        <w:rPr>
          <w:rFonts w:ascii="Times New Roman" w:hAnsi="Times New Roman" w:cs="Times New Roman"/>
          <w:b/>
          <w:bCs/>
          <w:color w:val="000000"/>
          <w:sz w:val="24"/>
          <w:szCs w:val="24"/>
        </w:rPr>
        <w:t>+</w:t>
      </w:r>
      <w:r>
        <w:t xml:space="preserve">  </w:t>
      </w:r>
      <w:r w:rsidRPr="00D45965">
        <w:t>= present</w:t>
      </w:r>
    </w:p>
    <w:p w14:paraId="6DB143E7" w14:textId="4895886D" w:rsidR="003B7DC5" w:rsidRDefault="00D45965" w:rsidP="003B7DC5">
      <w:pPr>
        <w:rPr>
          <w:lang w:val="en-IN"/>
        </w:rPr>
      </w:pPr>
      <w:r>
        <w:t xml:space="preserve">    </w:t>
      </w:r>
      <w:r w:rsidRPr="00D45965">
        <w:t xml:space="preserve">– </w:t>
      </w:r>
      <w:r>
        <w:t xml:space="preserve">  </w:t>
      </w:r>
      <w:r w:rsidRPr="00D45965">
        <w:t>= absent</w:t>
      </w:r>
    </w:p>
    <w:p w14:paraId="0399D016" w14:textId="77777777" w:rsidR="003B7DC5" w:rsidRDefault="003B7DC5" w:rsidP="003B7DC5">
      <w:pPr>
        <w:rPr>
          <w:lang w:val="en-IN"/>
        </w:rPr>
      </w:pPr>
    </w:p>
    <w:p w14:paraId="61566930" w14:textId="4D7EB5DB" w:rsidR="003B7DC5" w:rsidRDefault="00C500B2" w:rsidP="003B7DC5">
      <w:pPr>
        <w:rPr>
          <w:lang w:val="en-IN"/>
        </w:rPr>
      </w:pPr>
      <w:r>
        <w:rPr>
          <w:lang w:val="en-IN"/>
        </w:rPr>
        <w:t>3.3.</w:t>
      </w:r>
      <w:r w:rsidRPr="00A46E2C">
        <w:rPr>
          <w:rFonts w:ascii="Times New Roman" w:hAnsi="Times New Roman" w:cs="Times New Roman"/>
          <w:b/>
          <w:bCs/>
          <w:color w:val="000000"/>
          <w:sz w:val="24"/>
          <w:szCs w:val="24"/>
        </w:rPr>
        <w:t xml:space="preserve"> Total Phenolic </w:t>
      </w:r>
      <w:r>
        <w:rPr>
          <w:rFonts w:ascii="Times New Roman" w:hAnsi="Times New Roman" w:cs="Times New Roman"/>
          <w:b/>
          <w:bCs/>
          <w:color w:val="000000"/>
          <w:sz w:val="24"/>
          <w:szCs w:val="24"/>
        </w:rPr>
        <w:t>Content (TPC)</w:t>
      </w:r>
    </w:p>
    <w:p w14:paraId="6556FB1C" w14:textId="77777777" w:rsidR="00FE51EE" w:rsidRPr="00FE51EE" w:rsidRDefault="00FE51EE" w:rsidP="00FE51EE">
      <w:pPr>
        <w:jc w:val="both"/>
        <w:rPr>
          <w:rFonts w:ascii="Times New Roman" w:hAnsi="Times New Roman" w:cs="Times New Roman"/>
          <w:sz w:val="24"/>
          <w:szCs w:val="24"/>
          <w:lang w:val="en-IN"/>
        </w:rPr>
      </w:pPr>
      <w:r w:rsidRPr="00FE51EE">
        <w:rPr>
          <w:rFonts w:ascii="Times New Roman" w:hAnsi="Times New Roman" w:cs="Times New Roman"/>
          <w:sz w:val="24"/>
          <w:szCs w:val="24"/>
          <w:lang w:val="en-IN"/>
        </w:rPr>
        <w:t>The total phenolic contents were determined using gallic acid as the standard through the Folin–Ciocalteu reagent assay for each extract. Upon treatment with the Folin–Ciocalteu reagent, the plant extracts produced a blue-colored complex, which was measured spectrophotometrically at 765 nm. Different concentrations of gallic acid (125, 250, 500, and 1000 µg/mL) were used to construct the calibration curve. The phenolic contents of the extracts were found to range between 231 and 329 mg GAE/g. Among the tested solvents, the ethanolic extract showed the highest phenolic content (329 mg GAE/g), whereas the hexane extract exhibited the lowest value (231 mg GAE/g).</w:t>
      </w:r>
    </w:p>
    <w:p w14:paraId="72A81234" w14:textId="51C37A11" w:rsidR="003B7DC5" w:rsidRDefault="00C500B2" w:rsidP="003B7DC5">
      <w:pPr>
        <w:rPr>
          <w:lang w:val="en-IN"/>
        </w:rPr>
      </w:pPr>
      <w:r w:rsidRPr="00FE51EE">
        <w:rPr>
          <w:b/>
          <w:bCs/>
          <w:lang w:val="en-IN"/>
        </w:rPr>
        <w:t>3.4</w:t>
      </w:r>
      <w:r>
        <w:rPr>
          <w:lang w:val="en-IN"/>
        </w:rPr>
        <w:t>.</w:t>
      </w:r>
      <w:r w:rsidRPr="00A46E2C">
        <w:rPr>
          <w:rFonts w:ascii="Times New Roman" w:hAnsi="Times New Roman" w:cs="Times New Roman"/>
          <w:b/>
          <w:bCs/>
          <w:sz w:val="24"/>
          <w:szCs w:val="24"/>
        </w:rPr>
        <w:t xml:space="preserve"> Total Flavonoid Content</w:t>
      </w:r>
    </w:p>
    <w:p w14:paraId="119B847C" w14:textId="2785C42B" w:rsidR="003B7DC5" w:rsidRDefault="00FE51EE" w:rsidP="00FE51EE">
      <w:pPr>
        <w:jc w:val="both"/>
        <w:rPr>
          <w:rFonts w:ascii="Times New Roman" w:hAnsi="Times New Roman" w:cs="Times New Roman"/>
          <w:sz w:val="24"/>
          <w:szCs w:val="24"/>
          <w:lang w:val="en-IN"/>
        </w:rPr>
      </w:pPr>
      <w:r w:rsidRPr="00FE51EE">
        <w:rPr>
          <w:rFonts w:ascii="Times New Roman" w:hAnsi="Times New Roman" w:cs="Times New Roman"/>
          <w:sz w:val="24"/>
          <w:szCs w:val="24"/>
          <w:lang w:val="en-IN"/>
        </w:rPr>
        <w:t>For the determination of total flavonoid contents, quercetin was used to prepare the standard calibration curve. The absorbance was recorded at 415 nm using quercetin concentrations of 125, 250, 500, and 1000 µg/mL. The flavonoid contents of the extracts ranged between 37 and 129 mg QE/g. The ethanolic extract was found to possess the maximum flavonoid content (129 mg QE/g), followed by methanol and dichloromethane extracts, while the hexane extract showed comparatively lower flavonoid concentration.</w:t>
      </w:r>
    </w:p>
    <w:p w14:paraId="5F4F1E19" w14:textId="2D1CE46B" w:rsidR="00FE51EE" w:rsidRDefault="007E7833" w:rsidP="00FE51EE">
      <w:pPr>
        <w:jc w:val="both"/>
        <w:rPr>
          <w:rFonts w:ascii="Times New Roman" w:hAnsi="Times New Roman" w:cs="Times New Roman"/>
          <w:sz w:val="24"/>
          <w:szCs w:val="24"/>
          <w:lang w:val="en-IN"/>
        </w:rPr>
      </w:pPr>
      <w:r w:rsidRPr="007E7833">
        <w:rPr>
          <w:rFonts w:ascii="Times New Roman" w:hAnsi="Times New Roman" w:cs="Times New Roman"/>
          <w:b/>
          <w:bCs/>
          <w:sz w:val="24"/>
          <w:szCs w:val="24"/>
        </w:rPr>
        <w:t>Table 4</w:t>
      </w:r>
      <w:r w:rsidRPr="007E7833">
        <w:rPr>
          <w:rFonts w:ascii="Times New Roman" w:hAnsi="Times New Roman" w:cs="Times New Roman"/>
          <w:sz w:val="24"/>
          <w:szCs w:val="24"/>
        </w:rPr>
        <w:t xml:space="preserve">: </w:t>
      </w:r>
      <w:r w:rsidR="00BF2B2B" w:rsidRPr="00BF2B2B">
        <w:rPr>
          <w:rFonts w:ascii="Times New Roman" w:hAnsi="Times New Roman" w:cs="Times New Roman"/>
          <w:sz w:val="24"/>
          <w:szCs w:val="24"/>
        </w:rPr>
        <w:t>Phytochemical Content and Antioxidant Activity of Extracts</w:t>
      </w:r>
    </w:p>
    <w:tbl>
      <w:tblPr>
        <w:tblStyle w:val="TableGrid"/>
        <w:tblW w:w="0" w:type="auto"/>
        <w:tblLook w:val="04A0" w:firstRow="1" w:lastRow="0" w:firstColumn="1" w:lastColumn="0" w:noHBand="0" w:noVBand="1"/>
      </w:tblPr>
      <w:tblGrid>
        <w:gridCol w:w="1327"/>
        <w:gridCol w:w="2407"/>
        <w:gridCol w:w="2472"/>
        <w:gridCol w:w="1281"/>
        <w:gridCol w:w="1532"/>
      </w:tblGrid>
      <w:tr w:rsidR="00BF2B2B" w:rsidRPr="00BF2B2B" w14:paraId="2126E501" w14:textId="77777777" w:rsidTr="00BF2B2B">
        <w:tc>
          <w:tcPr>
            <w:tcW w:w="0" w:type="auto"/>
            <w:hideMark/>
          </w:tcPr>
          <w:p w14:paraId="72A0623D" w14:textId="77777777" w:rsidR="00BF2B2B" w:rsidRPr="00BF2B2B" w:rsidRDefault="00BF2B2B" w:rsidP="00BF2B2B">
            <w:pPr>
              <w:jc w:val="center"/>
              <w:rPr>
                <w:rFonts w:ascii="Times New Roman" w:eastAsia="Times New Roman" w:hAnsi="Times New Roman" w:cs="Times New Roman"/>
                <w:b/>
                <w:bCs/>
                <w:sz w:val="24"/>
                <w:szCs w:val="24"/>
                <w:lang w:val="en-IN"/>
              </w:rPr>
            </w:pPr>
            <w:r w:rsidRPr="00BF2B2B">
              <w:rPr>
                <w:rFonts w:ascii="Times New Roman" w:eastAsia="Times New Roman" w:hAnsi="Times New Roman" w:cs="Times New Roman"/>
                <w:b/>
                <w:bCs/>
                <w:sz w:val="24"/>
                <w:szCs w:val="24"/>
                <w:lang w:val="en-IN"/>
              </w:rPr>
              <w:t>Solvent Used</w:t>
            </w:r>
          </w:p>
        </w:tc>
        <w:tc>
          <w:tcPr>
            <w:tcW w:w="0" w:type="auto"/>
            <w:hideMark/>
          </w:tcPr>
          <w:p w14:paraId="0DE5B2D4" w14:textId="77777777" w:rsidR="00BF2B2B" w:rsidRPr="00BF2B2B" w:rsidRDefault="00BF2B2B" w:rsidP="00BF2B2B">
            <w:pPr>
              <w:jc w:val="center"/>
              <w:rPr>
                <w:rFonts w:ascii="Times New Roman" w:eastAsia="Times New Roman" w:hAnsi="Times New Roman" w:cs="Times New Roman"/>
                <w:b/>
                <w:bCs/>
                <w:sz w:val="24"/>
                <w:szCs w:val="24"/>
                <w:lang w:val="en-IN"/>
              </w:rPr>
            </w:pPr>
            <w:r w:rsidRPr="00BF2B2B">
              <w:rPr>
                <w:rFonts w:ascii="Times New Roman" w:eastAsia="Times New Roman" w:hAnsi="Times New Roman" w:cs="Times New Roman"/>
                <w:b/>
                <w:bCs/>
                <w:sz w:val="24"/>
                <w:szCs w:val="24"/>
                <w:lang w:val="en-IN"/>
              </w:rPr>
              <w:t>Total Phenolic Content (mg GAE/g)</w:t>
            </w:r>
          </w:p>
        </w:tc>
        <w:tc>
          <w:tcPr>
            <w:tcW w:w="0" w:type="auto"/>
            <w:hideMark/>
          </w:tcPr>
          <w:p w14:paraId="400A1B73" w14:textId="77777777" w:rsidR="00BF2B2B" w:rsidRPr="00BF2B2B" w:rsidRDefault="00BF2B2B" w:rsidP="00BF2B2B">
            <w:pPr>
              <w:jc w:val="center"/>
              <w:rPr>
                <w:rFonts w:ascii="Times New Roman" w:eastAsia="Times New Roman" w:hAnsi="Times New Roman" w:cs="Times New Roman"/>
                <w:b/>
                <w:bCs/>
                <w:sz w:val="24"/>
                <w:szCs w:val="24"/>
                <w:lang w:val="en-IN"/>
              </w:rPr>
            </w:pPr>
            <w:r w:rsidRPr="00BF2B2B">
              <w:rPr>
                <w:rFonts w:ascii="Times New Roman" w:eastAsia="Times New Roman" w:hAnsi="Times New Roman" w:cs="Times New Roman"/>
                <w:b/>
                <w:bCs/>
                <w:sz w:val="24"/>
                <w:szCs w:val="24"/>
                <w:lang w:val="en-IN"/>
              </w:rPr>
              <w:t>Total Flavonoid Content (mg QE/g)</w:t>
            </w:r>
          </w:p>
        </w:tc>
        <w:tc>
          <w:tcPr>
            <w:tcW w:w="0" w:type="auto"/>
            <w:hideMark/>
          </w:tcPr>
          <w:p w14:paraId="5ECBD99A" w14:textId="77777777" w:rsidR="00BF2B2B" w:rsidRPr="00BF2B2B" w:rsidRDefault="00BF2B2B" w:rsidP="00BF2B2B">
            <w:pPr>
              <w:jc w:val="center"/>
              <w:rPr>
                <w:rFonts w:ascii="Times New Roman" w:eastAsia="Times New Roman" w:hAnsi="Times New Roman" w:cs="Times New Roman"/>
                <w:b/>
                <w:bCs/>
                <w:sz w:val="24"/>
                <w:szCs w:val="24"/>
                <w:lang w:val="en-IN"/>
              </w:rPr>
            </w:pPr>
            <w:r w:rsidRPr="00BF2B2B">
              <w:rPr>
                <w:rFonts w:ascii="Times New Roman" w:eastAsia="Times New Roman" w:hAnsi="Times New Roman" w:cs="Times New Roman"/>
                <w:b/>
                <w:bCs/>
                <w:sz w:val="24"/>
                <w:szCs w:val="24"/>
                <w:lang w:val="en-IN"/>
              </w:rPr>
              <w:t>IC₅₀ (µg/mL)</w:t>
            </w:r>
          </w:p>
        </w:tc>
        <w:tc>
          <w:tcPr>
            <w:tcW w:w="0" w:type="auto"/>
            <w:hideMark/>
          </w:tcPr>
          <w:p w14:paraId="4D67C615" w14:textId="77777777" w:rsidR="00BF2B2B" w:rsidRPr="00BF2B2B" w:rsidRDefault="00BF2B2B" w:rsidP="00BF2B2B">
            <w:pPr>
              <w:jc w:val="center"/>
              <w:rPr>
                <w:rFonts w:ascii="Times New Roman" w:eastAsia="Times New Roman" w:hAnsi="Times New Roman" w:cs="Times New Roman"/>
                <w:b/>
                <w:bCs/>
                <w:sz w:val="24"/>
                <w:szCs w:val="24"/>
                <w:lang w:val="en-IN"/>
              </w:rPr>
            </w:pPr>
            <w:r w:rsidRPr="00BF2B2B">
              <w:rPr>
                <w:rFonts w:ascii="Times New Roman" w:eastAsia="Times New Roman" w:hAnsi="Times New Roman" w:cs="Times New Roman"/>
                <w:b/>
                <w:bCs/>
                <w:sz w:val="24"/>
                <w:szCs w:val="24"/>
                <w:lang w:val="en-IN"/>
              </w:rPr>
              <w:t>Activity Strength</w:t>
            </w:r>
          </w:p>
        </w:tc>
      </w:tr>
      <w:tr w:rsidR="00BF2B2B" w:rsidRPr="00BF2B2B" w14:paraId="23075167" w14:textId="77777777" w:rsidTr="00BF2B2B">
        <w:tc>
          <w:tcPr>
            <w:tcW w:w="0" w:type="auto"/>
            <w:hideMark/>
          </w:tcPr>
          <w:p w14:paraId="6C2C14E1"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Methanol</w:t>
            </w:r>
          </w:p>
        </w:tc>
        <w:tc>
          <w:tcPr>
            <w:tcW w:w="0" w:type="auto"/>
            <w:hideMark/>
          </w:tcPr>
          <w:p w14:paraId="7229DA72"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307</w:t>
            </w:r>
          </w:p>
        </w:tc>
        <w:tc>
          <w:tcPr>
            <w:tcW w:w="0" w:type="auto"/>
            <w:hideMark/>
          </w:tcPr>
          <w:p w14:paraId="4AAE3808"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45</w:t>
            </w:r>
          </w:p>
        </w:tc>
        <w:tc>
          <w:tcPr>
            <w:tcW w:w="0" w:type="auto"/>
            <w:hideMark/>
          </w:tcPr>
          <w:p w14:paraId="18A8650C"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6.34</w:t>
            </w:r>
          </w:p>
        </w:tc>
        <w:tc>
          <w:tcPr>
            <w:tcW w:w="0" w:type="auto"/>
            <w:hideMark/>
          </w:tcPr>
          <w:p w14:paraId="0F39448B"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Very strong</w:t>
            </w:r>
          </w:p>
        </w:tc>
      </w:tr>
      <w:tr w:rsidR="00BF2B2B" w:rsidRPr="00BF2B2B" w14:paraId="7F6379B2" w14:textId="77777777" w:rsidTr="00BF2B2B">
        <w:tc>
          <w:tcPr>
            <w:tcW w:w="0" w:type="auto"/>
            <w:hideMark/>
          </w:tcPr>
          <w:p w14:paraId="6ACAAC24"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Ethanol</w:t>
            </w:r>
          </w:p>
        </w:tc>
        <w:tc>
          <w:tcPr>
            <w:tcW w:w="0" w:type="auto"/>
            <w:hideMark/>
          </w:tcPr>
          <w:p w14:paraId="7C3AC51B"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329</w:t>
            </w:r>
          </w:p>
        </w:tc>
        <w:tc>
          <w:tcPr>
            <w:tcW w:w="0" w:type="auto"/>
            <w:hideMark/>
          </w:tcPr>
          <w:p w14:paraId="75A88987"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129</w:t>
            </w:r>
          </w:p>
        </w:tc>
        <w:tc>
          <w:tcPr>
            <w:tcW w:w="0" w:type="auto"/>
            <w:hideMark/>
          </w:tcPr>
          <w:p w14:paraId="5DB0EF76"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7.76</w:t>
            </w:r>
          </w:p>
        </w:tc>
        <w:tc>
          <w:tcPr>
            <w:tcW w:w="0" w:type="auto"/>
            <w:hideMark/>
          </w:tcPr>
          <w:p w14:paraId="67DF5F9A"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Very strong</w:t>
            </w:r>
          </w:p>
        </w:tc>
      </w:tr>
      <w:tr w:rsidR="00BF2B2B" w:rsidRPr="00BF2B2B" w14:paraId="69E26591" w14:textId="77777777" w:rsidTr="00BF2B2B">
        <w:tc>
          <w:tcPr>
            <w:tcW w:w="0" w:type="auto"/>
            <w:hideMark/>
          </w:tcPr>
          <w:p w14:paraId="2640B14E"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Hexane</w:t>
            </w:r>
          </w:p>
        </w:tc>
        <w:tc>
          <w:tcPr>
            <w:tcW w:w="0" w:type="auto"/>
            <w:hideMark/>
          </w:tcPr>
          <w:p w14:paraId="1ADEB8C2"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231</w:t>
            </w:r>
          </w:p>
        </w:tc>
        <w:tc>
          <w:tcPr>
            <w:tcW w:w="0" w:type="auto"/>
            <w:hideMark/>
          </w:tcPr>
          <w:p w14:paraId="6D629F86"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37</w:t>
            </w:r>
          </w:p>
        </w:tc>
        <w:tc>
          <w:tcPr>
            <w:tcW w:w="0" w:type="auto"/>
            <w:hideMark/>
          </w:tcPr>
          <w:p w14:paraId="7B8EC898"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25.63</w:t>
            </w:r>
          </w:p>
        </w:tc>
        <w:tc>
          <w:tcPr>
            <w:tcW w:w="0" w:type="auto"/>
            <w:hideMark/>
          </w:tcPr>
          <w:p w14:paraId="2FB2653B"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Moderate</w:t>
            </w:r>
          </w:p>
        </w:tc>
      </w:tr>
      <w:tr w:rsidR="00BF2B2B" w:rsidRPr="00BF2B2B" w14:paraId="70B687E0" w14:textId="77777777" w:rsidTr="00BF2B2B">
        <w:tc>
          <w:tcPr>
            <w:tcW w:w="0" w:type="auto"/>
            <w:hideMark/>
          </w:tcPr>
          <w:p w14:paraId="2D5F636A"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DCM</w:t>
            </w:r>
          </w:p>
        </w:tc>
        <w:tc>
          <w:tcPr>
            <w:tcW w:w="0" w:type="auto"/>
            <w:hideMark/>
          </w:tcPr>
          <w:p w14:paraId="3F759706"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258</w:t>
            </w:r>
          </w:p>
        </w:tc>
        <w:tc>
          <w:tcPr>
            <w:tcW w:w="0" w:type="auto"/>
            <w:hideMark/>
          </w:tcPr>
          <w:p w14:paraId="1D2F9FE4"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42</w:t>
            </w:r>
          </w:p>
        </w:tc>
        <w:tc>
          <w:tcPr>
            <w:tcW w:w="0" w:type="auto"/>
            <w:hideMark/>
          </w:tcPr>
          <w:p w14:paraId="4715B815"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15</w:t>
            </w:r>
          </w:p>
        </w:tc>
        <w:tc>
          <w:tcPr>
            <w:tcW w:w="0" w:type="auto"/>
            <w:hideMark/>
          </w:tcPr>
          <w:p w14:paraId="2743D7B2"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Strong</w:t>
            </w:r>
          </w:p>
        </w:tc>
      </w:tr>
    </w:tbl>
    <w:p w14:paraId="55E19B8B" w14:textId="26BC6656" w:rsidR="00FE51EE" w:rsidRDefault="006E420C" w:rsidP="00FE51EE">
      <w:pPr>
        <w:jc w:val="both"/>
        <w:rPr>
          <w:rFonts w:ascii="Times New Roman" w:hAnsi="Times New Roman" w:cs="Times New Roman"/>
          <w:b/>
          <w:bCs/>
          <w:sz w:val="24"/>
          <w:szCs w:val="24"/>
        </w:rPr>
      </w:pPr>
      <w:r w:rsidRPr="006E420C">
        <w:rPr>
          <w:rFonts w:ascii="Times New Roman" w:hAnsi="Times New Roman" w:cs="Times New Roman"/>
          <w:b/>
          <w:bCs/>
          <w:sz w:val="24"/>
          <w:szCs w:val="24"/>
          <w:lang w:val="en-IN"/>
        </w:rPr>
        <w:t xml:space="preserve">3.5 </w:t>
      </w:r>
      <w:r w:rsidRPr="006E420C">
        <w:rPr>
          <w:rFonts w:ascii="Times New Roman" w:hAnsi="Times New Roman" w:cs="Times New Roman"/>
          <w:b/>
          <w:bCs/>
          <w:sz w:val="24"/>
          <w:szCs w:val="24"/>
        </w:rPr>
        <w:t>Antioxidant Activity</w:t>
      </w:r>
    </w:p>
    <w:p w14:paraId="0B76C8F7" w14:textId="1B2A6D63" w:rsidR="006E420C" w:rsidRDefault="006E420C" w:rsidP="006E420C">
      <w:pPr>
        <w:pStyle w:val="NormalWeb"/>
        <w:jc w:val="both"/>
      </w:pPr>
      <w:r>
        <w:t xml:space="preserve">The antioxidant activity of </w:t>
      </w:r>
      <w:r>
        <w:rPr>
          <w:rStyle w:val="Emphasis"/>
        </w:rPr>
        <w:t>Terminalia arjuna</w:t>
      </w:r>
      <w:r>
        <w:t xml:space="preserve"> bark extracts was evaluated using the DPPH radical scavenging assay, and the activity was expressed in terms of IC</w:t>
      </w:r>
      <w:r>
        <w:rPr>
          <w:rFonts w:ascii="Cambria Math" w:hAnsi="Cambria Math" w:cs="Cambria Math"/>
        </w:rPr>
        <w:t>₅₀</w:t>
      </w:r>
      <w:r>
        <w:t xml:space="preserve"> values. Lower IC</w:t>
      </w:r>
      <w:r>
        <w:rPr>
          <w:rFonts w:ascii="Cambria Math" w:hAnsi="Cambria Math" w:cs="Cambria Math"/>
        </w:rPr>
        <w:t>₅₀</w:t>
      </w:r>
      <w:r>
        <w:t xml:space="preserve"> values indicate stronger antioxidant potential. The results demonstrated that all solvent extracts possessed noticeable antioxidant activity, although their effectiveness varied depending on solvent polarity and phytochemical composition.</w:t>
      </w:r>
    </w:p>
    <w:p w14:paraId="6708753C" w14:textId="2C24392E" w:rsidR="006E420C" w:rsidRDefault="0057761A" w:rsidP="006E420C">
      <w:pPr>
        <w:pStyle w:val="NormalWeb"/>
        <w:jc w:val="both"/>
      </w:pPr>
      <w:r>
        <w:rPr>
          <w:b/>
          <w:bCs/>
          <w:noProof/>
        </w:rPr>
        <w:lastRenderedPageBreak/>
        <w:drawing>
          <wp:anchor distT="0" distB="0" distL="114300" distR="114300" simplePos="0" relativeHeight="251659264" behindDoc="0" locked="0" layoutInCell="1" allowOverlap="1" wp14:anchorId="284112FB" wp14:editId="100B6D75">
            <wp:simplePos x="0" y="0"/>
            <wp:positionH relativeFrom="column">
              <wp:posOffset>171450</wp:posOffset>
            </wp:positionH>
            <wp:positionV relativeFrom="paragraph">
              <wp:posOffset>666750</wp:posOffset>
            </wp:positionV>
            <wp:extent cx="2469515" cy="2940050"/>
            <wp:effectExtent l="0" t="0" r="6985" b="0"/>
            <wp:wrapSquare wrapText="bothSides"/>
            <wp:docPr id="1420404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04499" name="Picture 1420404499"/>
                    <pic:cNvPicPr/>
                  </pic:nvPicPr>
                  <pic:blipFill>
                    <a:blip r:embed="rId8">
                      <a:extLst>
                        <a:ext uri="{28A0092B-C50C-407E-A947-70E740481C1C}">
                          <a14:useLocalDpi xmlns:a14="http://schemas.microsoft.com/office/drawing/2010/main" val="0"/>
                        </a:ext>
                      </a:extLst>
                    </a:blip>
                    <a:stretch>
                      <a:fillRect/>
                    </a:stretch>
                  </pic:blipFill>
                  <pic:spPr>
                    <a:xfrm>
                      <a:off x="0" y="0"/>
                      <a:ext cx="2469515" cy="2940050"/>
                    </a:xfrm>
                    <a:prstGeom prst="rect">
                      <a:avLst/>
                    </a:prstGeom>
                  </pic:spPr>
                </pic:pic>
              </a:graphicData>
            </a:graphic>
            <wp14:sizeRelH relativeFrom="margin">
              <wp14:pctWidth>0</wp14:pctWidth>
            </wp14:sizeRelH>
            <wp14:sizeRelV relativeFrom="margin">
              <wp14:pctHeight>0</wp14:pctHeight>
            </wp14:sizeRelV>
          </wp:anchor>
        </w:drawing>
      </w:r>
      <w:r w:rsidR="006E420C">
        <w:t xml:space="preserve">Among the tested extracts as shown in </w:t>
      </w:r>
      <w:r w:rsidR="00F17ECA">
        <w:rPr>
          <w:b/>
          <w:bCs/>
        </w:rPr>
        <w:t>Table</w:t>
      </w:r>
      <w:r w:rsidR="006E420C" w:rsidRPr="006E420C">
        <w:rPr>
          <w:b/>
          <w:bCs/>
        </w:rPr>
        <w:t xml:space="preserve"> 4</w:t>
      </w:r>
      <w:r w:rsidR="006E420C">
        <w:t>, the methanolic extract exhibited the strongest antioxidant activity with the lowest IC₅₀ value (6.34 µg/mL), followed closely by the ethanolic extract (7.76 µg/mL). The dichloromethane extract showed moderate activity (15 µg/mL), whereas the hexane extract displayed comparatively weaker antioxidant potential (25.63 µg/mL). The higher activity observed in methanol and ethanol extracts may be attributed to their higher total phenolic and flavonoid contents, which are known to contribute significantly to free radical scavenging ability.</w:t>
      </w:r>
    </w:p>
    <w:p w14:paraId="1017F3C2" w14:textId="7F77A5E5" w:rsidR="006E420C" w:rsidRPr="006E420C" w:rsidRDefault="006E420C" w:rsidP="00FE51EE">
      <w:pPr>
        <w:jc w:val="both"/>
        <w:rPr>
          <w:rFonts w:ascii="Times New Roman" w:hAnsi="Times New Roman" w:cs="Times New Roman"/>
          <w:b/>
          <w:bCs/>
          <w:sz w:val="24"/>
          <w:szCs w:val="24"/>
          <w:lang w:val="en-IN"/>
        </w:rPr>
      </w:pPr>
    </w:p>
    <w:p w14:paraId="7B787A56" w14:textId="77777777" w:rsidR="00F17ECA" w:rsidRDefault="00F17ECA">
      <w:pPr>
        <w:pStyle w:val="Heading2"/>
        <w:keepNext w:val="0"/>
        <w:keepLines w:val="0"/>
        <w:spacing w:after="80"/>
        <w:jc w:val="both"/>
        <w:rPr>
          <w:rFonts w:ascii="Times New Roman" w:hAnsi="Times New Roman" w:cs="Times New Roman"/>
          <w:b/>
          <w:bCs/>
          <w:sz w:val="24"/>
          <w:szCs w:val="24"/>
        </w:rPr>
      </w:pPr>
      <w:bookmarkStart w:id="9" w:name="_me2zfbmhmnzn" w:colFirst="0" w:colLast="0"/>
      <w:bookmarkStart w:id="10" w:name="_gesqwkwhubmw" w:colFirst="0" w:colLast="0"/>
      <w:bookmarkEnd w:id="9"/>
      <w:bookmarkEnd w:id="10"/>
    </w:p>
    <w:p w14:paraId="335FF97E" w14:textId="77777777" w:rsidR="00F17ECA" w:rsidRDefault="00F17ECA">
      <w:pPr>
        <w:pStyle w:val="Heading2"/>
        <w:keepNext w:val="0"/>
        <w:keepLines w:val="0"/>
        <w:spacing w:after="80"/>
        <w:jc w:val="both"/>
        <w:rPr>
          <w:rFonts w:ascii="Times New Roman" w:hAnsi="Times New Roman" w:cs="Times New Roman"/>
          <w:b/>
          <w:bCs/>
          <w:sz w:val="24"/>
          <w:szCs w:val="24"/>
        </w:rPr>
      </w:pPr>
    </w:p>
    <w:p w14:paraId="531A4302" w14:textId="77777777" w:rsidR="0057761A" w:rsidRDefault="0057761A" w:rsidP="0057761A"/>
    <w:p w14:paraId="2ADD4AA4" w14:textId="77777777" w:rsidR="005822AF" w:rsidRDefault="005822AF">
      <w:pPr>
        <w:pStyle w:val="Heading2"/>
        <w:keepNext w:val="0"/>
        <w:keepLines w:val="0"/>
        <w:spacing w:after="80"/>
        <w:jc w:val="both"/>
        <w:rPr>
          <w:rFonts w:ascii="Times New Roman" w:hAnsi="Times New Roman" w:cs="Times New Roman"/>
          <w:b/>
          <w:bCs/>
          <w:sz w:val="24"/>
          <w:szCs w:val="24"/>
        </w:rPr>
      </w:pPr>
    </w:p>
    <w:p w14:paraId="22622C5D" w14:textId="1314480F" w:rsidR="00F17ECA" w:rsidRPr="00200793" w:rsidRDefault="00C50291">
      <w:pPr>
        <w:pStyle w:val="Heading2"/>
        <w:keepNext w:val="0"/>
        <w:keepLines w:val="0"/>
        <w:spacing w:after="80"/>
        <w:jc w:val="both"/>
        <w:rPr>
          <w:rFonts w:ascii="Times New Roman" w:hAnsi="Times New Roman" w:cs="Times New Roman"/>
          <w:b/>
          <w:bCs/>
          <w:color w:val="EE0000"/>
          <w:sz w:val="24"/>
          <w:szCs w:val="24"/>
        </w:rPr>
      </w:pPr>
      <w:r>
        <w:rPr>
          <w:rFonts w:ascii="Times New Roman" w:hAnsi="Times New Roman" w:cs="Times New Roman"/>
          <w:b/>
          <w:bCs/>
          <w:sz w:val="24"/>
          <w:szCs w:val="24"/>
        </w:rPr>
        <w:t xml:space="preserve">Figure 2. </w:t>
      </w:r>
      <w:r w:rsidR="00200793" w:rsidRPr="00200793">
        <w:rPr>
          <w:rFonts w:ascii="Times New Roman" w:hAnsi="Times New Roman" w:cs="Times New Roman"/>
          <w:color w:val="EE0000"/>
          <w:sz w:val="24"/>
          <w:szCs w:val="24"/>
        </w:rPr>
        <w:t xml:space="preserve">DPPH antioxidant activity of </w:t>
      </w:r>
      <w:r w:rsidR="00200793" w:rsidRPr="00200793">
        <w:rPr>
          <w:rFonts w:ascii="Times New Roman" w:hAnsi="Times New Roman" w:cs="Times New Roman"/>
          <w:i/>
          <w:iCs/>
          <w:color w:val="EE0000"/>
          <w:sz w:val="24"/>
          <w:szCs w:val="24"/>
        </w:rPr>
        <w:t>Terminalia arjuna</w:t>
      </w:r>
      <w:r w:rsidR="00200793" w:rsidRPr="00200793">
        <w:rPr>
          <w:rFonts w:ascii="Times New Roman" w:hAnsi="Times New Roman" w:cs="Times New Roman"/>
          <w:color w:val="EE0000"/>
          <w:sz w:val="24"/>
          <w:szCs w:val="24"/>
        </w:rPr>
        <w:t xml:space="preserve"> bark extracts (IC₅₀ values).</w:t>
      </w:r>
    </w:p>
    <w:p w14:paraId="75B28941" w14:textId="77777777" w:rsidR="000A70FC" w:rsidRDefault="000A70FC" w:rsidP="000A70FC"/>
    <w:p w14:paraId="42EBF0F2" w14:textId="77777777" w:rsidR="000A70FC" w:rsidRPr="000A70FC" w:rsidRDefault="000A70FC" w:rsidP="000A70FC"/>
    <w:p w14:paraId="6745DDFA" w14:textId="20E8F5FA" w:rsidR="00055E27" w:rsidRDefault="00F87483" w:rsidP="00F87483">
      <w:pPr>
        <w:rPr>
          <w:rFonts w:ascii="Times New Roman" w:hAnsi="Times New Roman" w:cs="Times New Roman"/>
          <w:b/>
          <w:bCs/>
          <w:sz w:val="24"/>
          <w:szCs w:val="24"/>
        </w:rPr>
      </w:pPr>
      <w:r w:rsidRPr="00055E27">
        <w:rPr>
          <w:rFonts w:ascii="Times New Roman" w:hAnsi="Times New Roman" w:cs="Times New Roman"/>
          <w:b/>
          <w:bCs/>
          <w:sz w:val="24"/>
          <w:szCs w:val="24"/>
        </w:rPr>
        <w:t>3.</w:t>
      </w:r>
      <w:r w:rsidR="00055E27" w:rsidRPr="00055E27">
        <w:rPr>
          <w:rFonts w:ascii="Times New Roman" w:hAnsi="Times New Roman" w:cs="Times New Roman"/>
          <w:b/>
          <w:bCs/>
          <w:sz w:val="24"/>
          <w:szCs w:val="24"/>
        </w:rPr>
        <w:t>6. Antimicrobial Test</w:t>
      </w:r>
    </w:p>
    <w:p w14:paraId="40447E71" w14:textId="0EDB0CF2" w:rsidR="00A25503" w:rsidRPr="00A25503" w:rsidRDefault="00A25503" w:rsidP="00A25503">
      <w:pPr>
        <w:jc w:val="both"/>
        <w:rPr>
          <w:rFonts w:ascii="Times New Roman" w:hAnsi="Times New Roman" w:cs="Times New Roman"/>
          <w:sz w:val="24"/>
          <w:szCs w:val="24"/>
        </w:rPr>
      </w:pPr>
      <w:r w:rsidRPr="00A25503">
        <w:rPr>
          <w:rFonts w:ascii="Times New Roman" w:hAnsi="Times New Roman" w:cs="Times New Roman"/>
          <w:sz w:val="24"/>
          <w:szCs w:val="24"/>
        </w:rPr>
        <w:t xml:space="preserve">The antimicrobial activity of different solvent extracts was evaluated against </w:t>
      </w:r>
      <w:r w:rsidRPr="00442295">
        <w:rPr>
          <w:rFonts w:ascii="Times New Roman" w:hAnsi="Times New Roman" w:cs="Times New Roman"/>
          <w:i/>
          <w:iCs/>
          <w:sz w:val="24"/>
          <w:szCs w:val="24"/>
        </w:rPr>
        <w:t xml:space="preserve">Staphylococcus aureus, Shigella sonnei, Klebsiella pneumoniae, </w:t>
      </w:r>
      <w:r w:rsidRPr="00442295">
        <w:rPr>
          <w:rFonts w:ascii="Times New Roman" w:hAnsi="Times New Roman" w:cs="Times New Roman"/>
          <w:sz w:val="24"/>
          <w:szCs w:val="24"/>
        </w:rPr>
        <w:t>and</w:t>
      </w:r>
      <w:r w:rsidRPr="00442295">
        <w:rPr>
          <w:rFonts w:ascii="Times New Roman" w:hAnsi="Times New Roman" w:cs="Times New Roman"/>
          <w:i/>
          <w:iCs/>
          <w:sz w:val="24"/>
          <w:szCs w:val="24"/>
        </w:rPr>
        <w:t xml:space="preserve"> Escherichia coli </w:t>
      </w:r>
      <w:r w:rsidRPr="00A25503">
        <w:rPr>
          <w:rFonts w:ascii="Times New Roman" w:hAnsi="Times New Roman" w:cs="Times New Roman"/>
          <w:sz w:val="24"/>
          <w:szCs w:val="24"/>
        </w:rPr>
        <w:t>using zone of inhibition measurements. Among the tested extracts, ethanol showed the strongest and most consistent antibacterial activity, producing inhibition zones of 12 mm, 11 mm, 10 mm, and 10 mm respectively against the four bacteria. Methanol extracts demonstrated moderate activity (10–9 mm range), while hexane extracts exhibited comparatively weak effects, particularly against Shigella sonnei (5 mm). Dichloromethane (DCM) extracts displayed selective activity, with notable inhibition against Staphylococcus aureus (12 mm) but lower effects on the remaining organisms (7–8 mm). The positive control, neomycin, produced substantially larger inhibition zones (19–21 mm), confirming assay validity, whereas the negative control (DMSO) showed no inhibition, indicating that antimicrobial effects were due to the extracts rather than the solvent. Overall, ethanol proved to be the most effective extraction solvent for isolating antibacterial compounds from the tested material.</w:t>
      </w:r>
    </w:p>
    <w:p w14:paraId="0CA11C0B" w14:textId="77777777" w:rsidR="00304F9B" w:rsidRDefault="00304F9B" w:rsidP="00F87483">
      <w:pPr>
        <w:rPr>
          <w:rFonts w:ascii="Times New Roman" w:hAnsi="Times New Roman" w:cs="Times New Roman"/>
          <w:b/>
          <w:bCs/>
          <w:sz w:val="24"/>
          <w:szCs w:val="24"/>
        </w:rPr>
      </w:pPr>
    </w:p>
    <w:p w14:paraId="51573D63" w14:textId="24289F3B" w:rsidR="00304F9B" w:rsidRPr="00F673E5" w:rsidRDefault="00F673E5" w:rsidP="00F87483">
      <w:pPr>
        <w:rPr>
          <w:rFonts w:ascii="Times New Roman" w:hAnsi="Times New Roman" w:cs="Times New Roman"/>
          <w:b/>
          <w:bCs/>
          <w:sz w:val="24"/>
          <w:szCs w:val="24"/>
        </w:rPr>
      </w:pPr>
      <w:r w:rsidRPr="00F673E5">
        <w:rPr>
          <w:rFonts w:ascii="Times New Roman" w:hAnsi="Times New Roman" w:cs="Times New Roman"/>
          <w:b/>
          <w:bCs/>
          <w:sz w:val="24"/>
          <w:szCs w:val="24"/>
        </w:rPr>
        <w:t>Table 5</w:t>
      </w:r>
      <w:r w:rsidRPr="00F673E5">
        <w:rPr>
          <w:rFonts w:ascii="Times New Roman" w:hAnsi="Times New Roman" w:cs="Times New Roman"/>
          <w:sz w:val="24"/>
          <w:szCs w:val="24"/>
        </w:rPr>
        <w:t xml:space="preserve">. Antimicrobial activity of </w:t>
      </w:r>
      <w:r w:rsidRPr="00F673E5">
        <w:rPr>
          <w:rStyle w:val="Emphasis"/>
          <w:rFonts w:ascii="Times New Roman" w:hAnsi="Times New Roman" w:cs="Times New Roman"/>
          <w:sz w:val="24"/>
          <w:szCs w:val="24"/>
        </w:rPr>
        <w:t>Terminalia arjuna</w:t>
      </w:r>
      <w:r w:rsidRPr="00F673E5">
        <w:rPr>
          <w:rFonts w:ascii="Times New Roman" w:hAnsi="Times New Roman" w:cs="Times New Roman"/>
          <w:sz w:val="24"/>
          <w:szCs w:val="24"/>
        </w:rPr>
        <w:t xml:space="preserve"> bark extracts (Zone of inhibition in mm)</w:t>
      </w:r>
    </w:p>
    <w:tbl>
      <w:tblPr>
        <w:tblStyle w:val="TableGrid"/>
        <w:tblW w:w="9227" w:type="dxa"/>
        <w:tblLook w:val="04A0" w:firstRow="1" w:lastRow="0" w:firstColumn="1" w:lastColumn="0" w:noHBand="0" w:noVBand="1"/>
      </w:tblPr>
      <w:tblGrid>
        <w:gridCol w:w="2124"/>
        <w:gridCol w:w="1818"/>
        <w:gridCol w:w="1771"/>
        <w:gridCol w:w="1918"/>
        <w:gridCol w:w="1596"/>
      </w:tblGrid>
      <w:tr w:rsidR="00304F9B" w:rsidRPr="00304F9B" w14:paraId="55097620" w14:textId="77777777" w:rsidTr="00304F9B">
        <w:trPr>
          <w:trHeight w:val="310"/>
        </w:trPr>
        <w:tc>
          <w:tcPr>
            <w:tcW w:w="0" w:type="auto"/>
            <w:hideMark/>
          </w:tcPr>
          <w:p w14:paraId="5432553D" w14:textId="77777777" w:rsidR="00304F9B" w:rsidRPr="00304F9B" w:rsidRDefault="00304F9B" w:rsidP="00304F9B">
            <w:pPr>
              <w:jc w:val="center"/>
              <w:rPr>
                <w:rFonts w:ascii="Times New Roman" w:eastAsia="Times New Roman" w:hAnsi="Times New Roman" w:cs="Times New Roman"/>
                <w:b/>
                <w:bCs/>
                <w:sz w:val="24"/>
                <w:szCs w:val="24"/>
                <w:lang w:val="en-IN"/>
              </w:rPr>
            </w:pPr>
            <w:r w:rsidRPr="00304F9B">
              <w:rPr>
                <w:rFonts w:ascii="Times New Roman" w:eastAsia="Times New Roman" w:hAnsi="Times New Roman" w:cs="Times New Roman"/>
                <w:b/>
                <w:bCs/>
                <w:sz w:val="24"/>
                <w:szCs w:val="24"/>
                <w:lang w:val="en-IN"/>
              </w:rPr>
              <w:t>Solvent Extract</w:t>
            </w:r>
          </w:p>
        </w:tc>
        <w:tc>
          <w:tcPr>
            <w:tcW w:w="1818" w:type="dxa"/>
            <w:hideMark/>
          </w:tcPr>
          <w:p w14:paraId="29FCDFE6" w14:textId="7AC2DD31" w:rsidR="00304F9B" w:rsidRPr="00304F9B" w:rsidRDefault="00304F9B" w:rsidP="00304F9B">
            <w:pPr>
              <w:jc w:val="center"/>
              <w:rPr>
                <w:rFonts w:ascii="Times New Roman" w:eastAsia="Times New Roman" w:hAnsi="Times New Roman" w:cs="Times New Roman"/>
                <w:b/>
                <w:bCs/>
                <w:sz w:val="24"/>
                <w:szCs w:val="24"/>
                <w:lang w:val="en-IN"/>
              </w:rPr>
            </w:pPr>
            <w:r w:rsidRPr="00304F9B">
              <w:rPr>
                <w:rFonts w:ascii="Times New Roman" w:eastAsia="Times New Roman" w:hAnsi="Times New Roman" w:cs="Times New Roman"/>
                <w:b/>
                <w:bCs/>
                <w:i/>
                <w:iCs/>
                <w:sz w:val="24"/>
                <w:szCs w:val="24"/>
              </w:rPr>
              <w:t>Staphylococcus aureus</w:t>
            </w:r>
          </w:p>
        </w:tc>
        <w:tc>
          <w:tcPr>
            <w:tcW w:w="1771" w:type="dxa"/>
            <w:hideMark/>
          </w:tcPr>
          <w:p w14:paraId="6526531E" w14:textId="07841867" w:rsidR="00304F9B" w:rsidRPr="00304F9B" w:rsidRDefault="00304F9B" w:rsidP="00304F9B">
            <w:pPr>
              <w:jc w:val="center"/>
              <w:rPr>
                <w:rFonts w:ascii="Times New Roman" w:eastAsia="Times New Roman" w:hAnsi="Times New Roman" w:cs="Times New Roman"/>
                <w:b/>
                <w:bCs/>
                <w:i/>
                <w:iCs/>
                <w:sz w:val="24"/>
                <w:szCs w:val="24"/>
                <w:lang w:val="en-IN"/>
              </w:rPr>
            </w:pPr>
            <w:r w:rsidRPr="00304F9B">
              <w:rPr>
                <w:rFonts w:ascii="Times New Roman" w:eastAsia="Times New Roman" w:hAnsi="Times New Roman" w:cs="Times New Roman"/>
                <w:b/>
                <w:bCs/>
                <w:i/>
                <w:iCs/>
                <w:sz w:val="24"/>
                <w:szCs w:val="24"/>
              </w:rPr>
              <w:t>Shigella sonnei</w:t>
            </w:r>
          </w:p>
        </w:tc>
        <w:tc>
          <w:tcPr>
            <w:tcW w:w="0" w:type="auto"/>
            <w:hideMark/>
          </w:tcPr>
          <w:p w14:paraId="0A4F9A91" w14:textId="41ECCEC2" w:rsidR="00304F9B" w:rsidRPr="00304F9B" w:rsidRDefault="00304F9B" w:rsidP="00304F9B">
            <w:pPr>
              <w:jc w:val="center"/>
              <w:rPr>
                <w:rFonts w:ascii="Times New Roman" w:eastAsia="Times New Roman" w:hAnsi="Times New Roman" w:cs="Times New Roman"/>
                <w:b/>
                <w:bCs/>
                <w:i/>
                <w:iCs/>
                <w:sz w:val="24"/>
                <w:szCs w:val="24"/>
                <w:lang w:val="en-IN"/>
              </w:rPr>
            </w:pPr>
            <w:r w:rsidRPr="00304F9B">
              <w:rPr>
                <w:rFonts w:ascii="Times New Roman" w:eastAsia="Times New Roman" w:hAnsi="Times New Roman" w:cs="Times New Roman"/>
                <w:b/>
                <w:bCs/>
                <w:i/>
                <w:iCs/>
                <w:sz w:val="24"/>
                <w:szCs w:val="24"/>
              </w:rPr>
              <w:t>Klebsiella pneumoniae</w:t>
            </w:r>
          </w:p>
        </w:tc>
        <w:tc>
          <w:tcPr>
            <w:tcW w:w="0" w:type="auto"/>
            <w:hideMark/>
          </w:tcPr>
          <w:p w14:paraId="2AE95909" w14:textId="5F2A39B8" w:rsidR="00304F9B" w:rsidRPr="00304F9B" w:rsidRDefault="00304F9B" w:rsidP="00304F9B">
            <w:pPr>
              <w:jc w:val="center"/>
              <w:rPr>
                <w:rFonts w:ascii="Times New Roman" w:eastAsia="Times New Roman" w:hAnsi="Times New Roman" w:cs="Times New Roman"/>
                <w:b/>
                <w:bCs/>
                <w:sz w:val="24"/>
                <w:szCs w:val="24"/>
                <w:lang w:val="en-IN"/>
              </w:rPr>
            </w:pPr>
            <w:r w:rsidRPr="00304F9B">
              <w:rPr>
                <w:rFonts w:ascii="Times New Roman" w:eastAsia="Times New Roman" w:hAnsi="Times New Roman" w:cs="Times New Roman"/>
                <w:b/>
                <w:bCs/>
                <w:i/>
                <w:iCs/>
                <w:sz w:val="24"/>
                <w:szCs w:val="24"/>
              </w:rPr>
              <w:t>Escherichia coli</w:t>
            </w:r>
          </w:p>
        </w:tc>
      </w:tr>
      <w:tr w:rsidR="00304F9B" w:rsidRPr="00304F9B" w14:paraId="5B6FEDE9" w14:textId="77777777" w:rsidTr="00304F9B">
        <w:trPr>
          <w:trHeight w:val="299"/>
        </w:trPr>
        <w:tc>
          <w:tcPr>
            <w:tcW w:w="0" w:type="auto"/>
            <w:hideMark/>
          </w:tcPr>
          <w:p w14:paraId="67058AE1" w14:textId="77777777" w:rsidR="00304F9B" w:rsidRPr="00304F9B" w:rsidRDefault="00304F9B" w:rsidP="00304F9B">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Methanol</w:t>
            </w:r>
          </w:p>
        </w:tc>
        <w:tc>
          <w:tcPr>
            <w:tcW w:w="1818" w:type="dxa"/>
          </w:tcPr>
          <w:p w14:paraId="5AADD119" w14:textId="099F5A72" w:rsidR="00304F9B" w:rsidRPr="00304F9B" w:rsidRDefault="00D41996" w:rsidP="00304F9B">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10mm</w:t>
            </w:r>
          </w:p>
        </w:tc>
        <w:tc>
          <w:tcPr>
            <w:tcW w:w="1771" w:type="dxa"/>
          </w:tcPr>
          <w:p w14:paraId="593B937B" w14:textId="3013578B" w:rsidR="00304F9B" w:rsidRPr="00304F9B" w:rsidRDefault="00D41996" w:rsidP="00304F9B">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07 mm</w:t>
            </w:r>
          </w:p>
        </w:tc>
        <w:tc>
          <w:tcPr>
            <w:tcW w:w="0" w:type="auto"/>
          </w:tcPr>
          <w:p w14:paraId="5D95C8FF" w14:textId="76CAA442" w:rsidR="00304F9B" w:rsidRPr="00304F9B" w:rsidRDefault="00D41996" w:rsidP="00304F9B">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  09 mm</w:t>
            </w:r>
          </w:p>
        </w:tc>
        <w:tc>
          <w:tcPr>
            <w:tcW w:w="0" w:type="auto"/>
          </w:tcPr>
          <w:p w14:paraId="564CCD61" w14:textId="724A2D5C" w:rsidR="00304F9B" w:rsidRPr="00304F9B" w:rsidRDefault="002E039A" w:rsidP="00304F9B">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 xml:space="preserve"> </w:t>
            </w:r>
            <w:r w:rsidR="00A25503">
              <w:rPr>
                <w:rFonts w:ascii="Times New Roman" w:hAnsi="Times New Roman" w:cs="Times New Roman"/>
                <w:sz w:val="24"/>
                <w:szCs w:val="24"/>
                <w:lang w:bidi="ne-NP"/>
              </w:rPr>
              <w:t>09mm</w:t>
            </w:r>
          </w:p>
        </w:tc>
      </w:tr>
      <w:tr w:rsidR="00D41996" w:rsidRPr="00304F9B" w14:paraId="338ABB2A" w14:textId="77777777" w:rsidTr="00304F9B">
        <w:trPr>
          <w:trHeight w:val="299"/>
        </w:trPr>
        <w:tc>
          <w:tcPr>
            <w:tcW w:w="0" w:type="auto"/>
            <w:hideMark/>
          </w:tcPr>
          <w:p w14:paraId="7006DE28"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Ethanol</w:t>
            </w:r>
          </w:p>
        </w:tc>
        <w:tc>
          <w:tcPr>
            <w:tcW w:w="1818" w:type="dxa"/>
          </w:tcPr>
          <w:p w14:paraId="52858E8E" w14:textId="53138D64" w:rsidR="00D41996" w:rsidRPr="00304F9B" w:rsidRDefault="00D41996"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12mm</w:t>
            </w:r>
          </w:p>
        </w:tc>
        <w:tc>
          <w:tcPr>
            <w:tcW w:w="1771" w:type="dxa"/>
          </w:tcPr>
          <w:p w14:paraId="68BAB852" w14:textId="2CAF6E9D" w:rsidR="00D41996" w:rsidRPr="00304F9B" w:rsidRDefault="00D41996" w:rsidP="00D41996">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 xml:space="preserve">11mm </w:t>
            </w:r>
          </w:p>
        </w:tc>
        <w:tc>
          <w:tcPr>
            <w:tcW w:w="0" w:type="auto"/>
          </w:tcPr>
          <w:p w14:paraId="5E3E20B7" w14:textId="570C5EDA" w:rsidR="00D41996" w:rsidRPr="00304F9B" w:rsidRDefault="00D41996" w:rsidP="00D41996">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 xml:space="preserve">  10 mm</w:t>
            </w:r>
          </w:p>
        </w:tc>
        <w:tc>
          <w:tcPr>
            <w:tcW w:w="0" w:type="auto"/>
          </w:tcPr>
          <w:p w14:paraId="107A0126" w14:textId="6A43D4BE" w:rsidR="00D41996" w:rsidRPr="00304F9B" w:rsidRDefault="002E039A"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 </w:t>
            </w:r>
            <w:r w:rsidR="00A25503">
              <w:rPr>
                <w:rFonts w:ascii="Times New Roman" w:eastAsia="Times New Roman" w:hAnsi="Times New Roman" w:cs="Times New Roman"/>
                <w:sz w:val="24"/>
                <w:szCs w:val="24"/>
                <w:lang w:val="en-IN"/>
              </w:rPr>
              <w:t>10mm</w:t>
            </w:r>
          </w:p>
        </w:tc>
      </w:tr>
      <w:tr w:rsidR="00A25503" w:rsidRPr="00304F9B" w14:paraId="1B87D303" w14:textId="77777777" w:rsidTr="00304F9B">
        <w:trPr>
          <w:trHeight w:val="299"/>
        </w:trPr>
        <w:tc>
          <w:tcPr>
            <w:tcW w:w="0" w:type="auto"/>
            <w:hideMark/>
          </w:tcPr>
          <w:p w14:paraId="6C3B021D" w14:textId="77777777" w:rsidR="00A25503" w:rsidRPr="00304F9B" w:rsidRDefault="00A25503" w:rsidP="00A25503">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lastRenderedPageBreak/>
              <w:t>Hexane</w:t>
            </w:r>
          </w:p>
        </w:tc>
        <w:tc>
          <w:tcPr>
            <w:tcW w:w="1818" w:type="dxa"/>
          </w:tcPr>
          <w:p w14:paraId="2ECCF3CB" w14:textId="4649266E" w:rsidR="00A25503" w:rsidRPr="00304F9B" w:rsidRDefault="00A25503" w:rsidP="00A25503">
            <w:pPr>
              <w:rPr>
                <w:rFonts w:ascii="Times New Roman" w:eastAsia="Times New Roman" w:hAnsi="Times New Roman" w:cs="Times New Roman"/>
                <w:sz w:val="24"/>
                <w:szCs w:val="24"/>
                <w:lang w:val="en-IN"/>
              </w:rPr>
            </w:pPr>
            <w:r w:rsidRPr="00AC68BB">
              <w:t>8 mm</w:t>
            </w:r>
          </w:p>
        </w:tc>
        <w:tc>
          <w:tcPr>
            <w:tcW w:w="1771" w:type="dxa"/>
          </w:tcPr>
          <w:p w14:paraId="07B183E6" w14:textId="7F541735" w:rsidR="00A25503" w:rsidRPr="00304F9B" w:rsidRDefault="00A25503" w:rsidP="00A25503">
            <w:pPr>
              <w:rPr>
                <w:rFonts w:ascii="Times New Roman" w:eastAsia="Times New Roman" w:hAnsi="Times New Roman" w:cs="Times New Roman"/>
                <w:sz w:val="24"/>
                <w:szCs w:val="24"/>
                <w:lang w:val="en-IN"/>
              </w:rPr>
            </w:pPr>
            <w:r w:rsidRPr="00AC68BB">
              <w:t>5 mm</w:t>
            </w:r>
          </w:p>
        </w:tc>
        <w:tc>
          <w:tcPr>
            <w:tcW w:w="0" w:type="auto"/>
          </w:tcPr>
          <w:p w14:paraId="401DB72B" w14:textId="46108459" w:rsidR="00A25503" w:rsidRPr="00304F9B" w:rsidRDefault="00A25503" w:rsidP="00A25503">
            <w:pPr>
              <w:rPr>
                <w:rFonts w:ascii="Times New Roman" w:eastAsia="Times New Roman" w:hAnsi="Times New Roman" w:cs="Times New Roman"/>
                <w:sz w:val="24"/>
                <w:szCs w:val="24"/>
                <w:lang w:val="en-IN"/>
              </w:rPr>
            </w:pPr>
            <w:r w:rsidRPr="00AC68BB">
              <w:t>10</w:t>
            </w:r>
            <w:r>
              <w:t xml:space="preserve"> </w:t>
            </w:r>
            <w:r w:rsidRPr="00AC68BB">
              <w:t>mm</w:t>
            </w:r>
          </w:p>
        </w:tc>
        <w:tc>
          <w:tcPr>
            <w:tcW w:w="0" w:type="auto"/>
          </w:tcPr>
          <w:p w14:paraId="4F08B154" w14:textId="2CA8F9A9" w:rsidR="00A25503" w:rsidRPr="00304F9B" w:rsidRDefault="00A25503" w:rsidP="00A25503">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08mm</w:t>
            </w:r>
          </w:p>
        </w:tc>
      </w:tr>
      <w:tr w:rsidR="00D41996" w:rsidRPr="00304F9B" w14:paraId="7CA262C4" w14:textId="77777777" w:rsidTr="00304F9B">
        <w:trPr>
          <w:trHeight w:val="310"/>
        </w:trPr>
        <w:tc>
          <w:tcPr>
            <w:tcW w:w="0" w:type="auto"/>
            <w:hideMark/>
          </w:tcPr>
          <w:p w14:paraId="44B6D85B"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DCM</w:t>
            </w:r>
          </w:p>
        </w:tc>
        <w:tc>
          <w:tcPr>
            <w:tcW w:w="1818" w:type="dxa"/>
          </w:tcPr>
          <w:p w14:paraId="3596F2BA" w14:textId="09FBCBD4" w:rsidR="00D41996" w:rsidRPr="00304F9B" w:rsidRDefault="00A25503"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12mm</w:t>
            </w:r>
          </w:p>
        </w:tc>
        <w:tc>
          <w:tcPr>
            <w:tcW w:w="1771" w:type="dxa"/>
          </w:tcPr>
          <w:p w14:paraId="7AEA90F9" w14:textId="3F1B82AA" w:rsidR="00D41996" w:rsidRPr="00304F9B" w:rsidRDefault="00A25503"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07mm</w:t>
            </w:r>
          </w:p>
        </w:tc>
        <w:tc>
          <w:tcPr>
            <w:tcW w:w="0" w:type="auto"/>
          </w:tcPr>
          <w:p w14:paraId="13C8A4A2" w14:textId="02D259C4" w:rsidR="00D41996" w:rsidRPr="00304F9B" w:rsidRDefault="00A25503"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08</w:t>
            </w:r>
          </w:p>
        </w:tc>
        <w:tc>
          <w:tcPr>
            <w:tcW w:w="0" w:type="auto"/>
          </w:tcPr>
          <w:p w14:paraId="13609E37" w14:textId="043879C8" w:rsidR="00D41996" w:rsidRPr="00304F9B" w:rsidRDefault="00A25503"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08mm</w:t>
            </w:r>
          </w:p>
        </w:tc>
      </w:tr>
      <w:tr w:rsidR="00D41996" w:rsidRPr="00304F9B" w14:paraId="0DB02192" w14:textId="77777777" w:rsidTr="00304F9B">
        <w:trPr>
          <w:trHeight w:val="299"/>
        </w:trPr>
        <w:tc>
          <w:tcPr>
            <w:tcW w:w="0" w:type="auto"/>
            <w:hideMark/>
          </w:tcPr>
          <w:p w14:paraId="7CB401A5"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Positive Control (Neomycin)</w:t>
            </w:r>
          </w:p>
        </w:tc>
        <w:tc>
          <w:tcPr>
            <w:tcW w:w="1818" w:type="dxa"/>
          </w:tcPr>
          <w:p w14:paraId="20B00E4E" w14:textId="69BC73FC" w:rsidR="00D41996" w:rsidRPr="00304F9B" w:rsidRDefault="00A25503" w:rsidP="00D41996">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19 mm</w:t>
            </w:r>
          </w:p>
        </w:tc>
        <w:tc>
          <w:tcPr>
            <w:tcW w:w="1771" w:type="dxa"/>
          </w:tcPr>
          <w:p w14:paraId="1D218773" w14:textId="7FC8937F" w:rsidR="00D41996" w:rsidRPr="00304F9B" w:rsidRDefault="00A25503"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21mm</w:t>
            </w:r>
          </w:p>
        </w:tc>
        <w:tc>
          <w:tcPr>
            <w:tcW w:w="0" w:type="auto"/>
          </w:tcPr>
          <w:p w14:paraId="2A561AB3" w14:textId="7E5E1BD3" w:rsidR="00D41996" w:rsidRPr="00304F9B" w:rsidRDefault="00A25503" w:rsidP="00D41996">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19 mm</w:t>
            </w:r>
          </w:p>
        </w:tc>
        <w:tc>
          <w:tcPr>
            <w:tcW w:w="0" w:type="auto"/>
          </w:tcPr>
          <w:p w14:paraId="444B0949" w14:textId="4E5D332F" w:rsidR="00D41996" w:rsidRPr="00304F9B" w:rsidRDefault="00A25503"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19mm</w:t>
            </w:r>
          </w:p>
        </w:tc>
      </w:tr>
      <w:tr w:rsidR="00D41996" w:rsidRPr="00304F9B" w14:paraId="1C4417A8" w14:textId="77777777" w:rsidTr="00304F9B">
        <w:trPr>
          <w:trHeight w:val="310"/>
        </w:trPr>
        <w:tc>
          <w:tcPr>
            <w:tcW w:w="0" w:type="auto"/>
            <w:hideMark/>
          </w:tcPr>
          <w:p w14:paraId="39048EAB"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Negative Control (DMSO)</w:t>
            </w:r>
          </w:p>
        </w:tc>
        <w:tc>
          <w:tcPr>
            <w:tcW w:w="1818" w:type="dxa"/>
            <w:hideMark/>
          </w:tcPr>
          <w:p w14:paraId="7EE20B89"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0</w:t>
            </w:r>
          </w:p>
        </w:tc>
        <w:tc>
          <w:tcPr>
            <w:tcW w:w="1771" w:type="dxa"/>
            <w:hideMark/>
          </w:tcPr>
          <w:p w14:paraId="40E189AB"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0</w:t>
            </w:r>
          </w:p>
        </w:tc>
        <w:tc>
          <w:tcPr>
            <w:tcW w:w="0" w:type="auto"/>
            <w:hideMark/>
          </w:tcPr>
          <w:p w14:paraId="276B4B8D"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0</w:t>
            </w:r>
          </w:p>
        </w:tc>
        <w:tc>
          <w:tcPr>
            <w:tcW w:w="0" w:type="auto"/>
            <w:hideMark/>
          </w:tcPr>
          <w:p w14:paraId="5A3E1F50"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0</w:t>
            </w:r>
          </w:p>
        </w:tc>
      </w:tr>
    </w:tbl>
    <w:p w14:paraId="659D7A89" w14:textId="4F92FB6F" w:rsidR="00304F9B" w:rsidRPr="00055E27" w:rsidRDefault="00F57A28" w:rsidP="00F87483">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14:anchorId="48627791" wp14:editId="35A537EA">
            <wp:simplePos x="0" y="0"/>
            <wp:positionH relativeFrom="column">
              <wp:posOffset>-68239</wp:posOffset>
            </wp:positionH>
            <wp:positionV relativeFrom="paragraph">
              <wp:posOffset>330958</wp:posOffset>
            </wp:positionV>
            <wp:extent cx="5733415" cy="4277360"/>
            <wp:effectExtent l="0" t="0" r="635" b="8890"/>
            <wp:wrapSquare wrapText="bothSides"/>
            <wp:docPr id="177193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38578" name="Picture 1771938578"/>
                    <pic:cNvPicPr/>
                  </pic:nvPicPr>
                  <pic:blipFill>
                    <a:blip r:embed="rId9">
                      <a:extLst>
                        <a:ext uri="{28A0092B-C50C-407E-A947-70E740481C1C}">
                          <a14:useLocalDpi xmlns:a14="http://schemas.microsoft.com/office/drawing/2010/main" val="0"/>
                        </a:ext>
                      </a:extLst>
                    </a:blip>
                    <a:stretch>
                      <a:fillRect/>
                    </a:stretch>
                  </pic:blipFill>
                  <pic:spPr>
                    <a:xfrm>
                      <a:off x="0" y="0"/>
                      <a:ext cx="5733415" cy="4277360"/>
                    </a:xfrm>
                    <a:prstGeom prst="rect">
                      <a:avLst/>
                    </a:prstGeom>
                  </pic:spPr>
                </pic:pic>
              </a:graphicData>
            </a:graphic>
          </wp:anchor>
        </w:drawing>
      </w:r>
    </w:p>
    <w:p w14:paraId="76B2DC00" w14:textId="77777777" w:rsidR="00DF4271" w:rsidRPr="00DF4271" w:rsidRDefault="00F57A28" w:rsidP="00DF4271">
      <w:pPr>
        <w:pStyle w:val="Heading2"/>
        <w:keepNext w:val="0"/>
        <w:keepLines w:val="0"/>
        <w:spacing w:after="80"/>
        <w:jc w:val="both"/>
        <w:rPr>
          <w:rFonts w:ascii="Times New Roman" w:hAnsi="Times New Roman" w:cs="Times New Roman"/>
          <w:color w:val="EE0000"/>
          <w:sz w:val="24"/>
          <w:szCs w:val="24"/>
        </w:rPr>
      </w:pPr>
      <w:r>
        <w:rPr>
          <w:rFonts w:ascii="Times New Roman" w:hAnsi="Times New Roman" w:cs="Times New Roman"/>
          <w:b/>
          <w:bCs/>
          <w:sz w:val="24"/>
          <w:szCs w:val="24"/>
        </w:rPr>
        <w:t xml:space="preserve">Figure 3: </w:t>
      </w:r>
      <w:r w:rsidR="00DF4271" w:rsidRPr="00DF4271">
        <w:rPr>
          <w:rFonts w:ascii="Times New Roman" w:hAnsi="Times New Roman" w:cs="Times New Roman"/>
          <w:color w:val="EE0000"/>
          <w:sz w:val="24"/>
          <w:szCs w:val="24"/>
        </w:rPr>
        <w:t xml:space="preserve">Antimicrobial activity of </w:t>
      </w:r>
      <w:r w:rsidR="00DF4271" w:rsidRPr="00DF4271">
        <w:rPr>
          <w:rFonts w:ascii="Times New Roman" w:hAnsi="Times New Roman" w:cs="Times New Roman"/>
          <w:i/>
          <w:iCs/>
          <w:color w:val="EE0000"/>
          <w:sz w:val="24"/>
          <w:szCs w:val="24"/>
        </w:rPr>
        <w:t>Terminalia arjuna</w:t>
      </w:r>
      <w:r w:rsidR="00DF4271" w:rsidRPr="00DF4271">
        <w:rPr>
          <w:rFonts w:ascii="Times New Roman" w:hAnsi="Times New Roman" w:cs="Times New Roman"/>
          <w:color w:val="EE0000"/>
          <w:sz w:val="24"/>
          <w:szCs w:val="24"/>
        </w:rPr>
        <w:t xml:space="preserve"> bark extracts against selected bacterial strains.</w:t>
      </w:r>
    </w:p>
    <w:p w14:paraId="0217E67E" w14:textId="46AEEA7B" w:rsidR="005F42F2" w:rsidRPr="002F670E" w:rsidRDefault="00B67B57" w:rsidP="002F670E">
      <w:pPr>
        <w:pStyle w:val="Heading2"/>
        <w:keepNext w:val="0"/>
        <w:keepLines w:val="0"/>
        <w:spacing w:after="80"/>
        <w:jc w:val="both"/>
        <w:rPr>
          <w:rFonts w:ascii="Times New Roman" w:hAnsi="Times New Roman" w:cs="Times New Roman"/>
          <w:b/>
          <w:bCs/>
          <w:sz w:val="24"/>
          <w:szCs w:val="24"/>
        </w:rPr>
      </w:pPr>
      <w:r>
        <w:rPr>
          <w:rFonts w:ascii="Times New Roman" w:hAnsi="Times New Roman" w:cs="Times New Roman"/>
          <w:b/>
          <w:bCs/>
          <w:sz w:val="24"/>
          <w:szCs w:val="24"/>
        </w:rPr>
        <w:t xml:space="preserve">3.7 Gas Chromatography -Mass Spectrometry </w:t>
      </w:r>
      <w:r w:rsidR="006A31D2">
        <w:rPr>
          <w:rFonts w:ascii="Times New Roman" w:hAnsi="Times New Roman" w:cs="Times New Roman"/>
          <w:b/>
          <w:bCs/>
          <w:sz w:val="24"/>
          <w:szCs w:val="24"/>
        </w:rPr>
        <w:t>Analysis (</w:t>
      </w:r>
      <w:r>
        <w:rPr>
          <w:rFonts w:ascii="Times New Roman" w:hAnsi="Times New Roman" w:cs="Times New Roman"/>
          <w:b/>
          <w:bCs/>
          <w:sz w:val="24"/>
          <w:szCs w:val="24"/>
        </w:rPr>
        <w:t>GC-MS) Analysis</w:t>
      </w:r>
    </w:p>
    <w:p w14:paraId="5023B154" w14:textId="50C29C21" w:rsidR="002F670E" w:rsidRDefault="002F670E" w:rsidP="002F670E">
      <w:pPr>
        <w:pStyle w:val="NormalWeb"/>
        <w:jc w:val="both"/>
      </w:pPr>
      <w:r>
        <w:t>The GC–MS chromatogram of the ethanol extract (Figure 4) demonstrated a diverse profile of phytochemical constituents, as presented in Table 6. The early retention time region (RT 7.933–13.148 min) was dominated by monoterpene hydrocarbons and oxygenated monoterpenes, including α-pinene, limonene, 1,8-cineole (eucalyptol), linalool, terpinen-4-ol, and α-terpineol. These compounds are commonly associated with essential oils and contribute to the characteristic aroma and biological activities of aromatic and medicinal plants. Minor peaks observed in the mid-retention region (approximately 18–20 min) were attributed to sesquiterpenes such as caryophyllene, which are known for their anti-inflammatory and antioxidant properties.</w:t>
      </w:r>
    </w:p>
    <w:p w14:paraId="094D7F48" w14:textId="77777777" w:rsidR="005F42F2" w:rsidRPr="002F670E" w:rsidRDefault="005F42F2" w:rsidP="005F42F2">
      <w:pPr>
        <w:rPr>
          <w:lang w:val="en-IN"/>
        </w:rPr>
      </w:pPr>
    </w:p>
    <w:p w14:paraId="3521F529" w14:textId="7CCF975F" w:rsidR="005F42F2" w:rsidRDefault="003A158A" w:rsidP="005F42F2">
      <w:r>
        <w:rPr>
          <w:noProof/>
        </w:rPr>
        <w:drawing>
          <wp:anchor distT="0" distB="0" distL="114300" distR="114300" simplePos="0" relativeHeight="251661312" behindDoc="0" locked="0" layoutInCell="1" allowOverlap="1" wp14:anchorId="42EF0BF3" wp14:editId="6865D792">
            <wp:simplePos x="0" y="0"/>
            <wp:positionH relativeFrom="column">
              <wp:posOffset>0</wp:posOffset>
            </wp:positionH>
            <wp:positionV relativeFrom="paragraph">
              <wp:posOffset>184150</wp:posOffset>
            </wp:positionV>
            <wp:extent cx="5733415" cy="3225165"/>
            <wp:effectExtent l="0" t="0" r="635" b="0"/>
            <wp:wrapSquare wrapText="bothSides"/>
            <wp:docPr id="581942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42870" name="Picture 581942870"/>
                    <pic:cNvPicPr/>
                  </pic:nvPicPr>
                  <pic:blipFill>
                    <a:blip r:embed="rId10">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anchor>
        </w:drawing>
      </w:r>
    </w:p>
    <w:p w14:paraId="4B146E7F" w14:textId="6F7DE27A" w:rsidR="002F670E" w:rsidRPr="00DF4271" w:rsidRDefault="002F670E" w:rsidP="002F670E">
      <w:pPr>
        <w:pStyle w:val="NormalWeb"/>
        <w:jc w:val="both"/>
        <w:rPr>
          <w:color w:val="EE0000"/>
        </w:rPr>
      </w:pPr>
      <w:r w:rsidRPr="002F670E">
        <w:rPr>
          <w:b/>
          <w:bCs/>
        </w:rPr>
        <w:t>Figure 4</w:t>
      </w:r>
      <w:r>
        <w:t xml:space="preserve">. </w:t>
      </w:r>
      <w:r w:rsidR="00B77C10" w:rsidRPr="00DF4271">
        <w:rPr>
          <w:color w:val="EE0000"/>
          <w:lang w:val="en-GB"/>
        </w:rPr>
        <w:t xml:space="preserve">GC–MS chromatogram of the ethanolic extract of </w:t>
      </w:r>
      <w:r w:rsidR="00B77C10" w:rsidRPr="00DF4271">
        <w:rPr>
          <w:i/>
          <w:iCs/>
          <w:color w:val="EE0000"/>
          <w:lang w:val="en-GB"/>
        </w:rPr>
        <w:t>Terminalia arjuna</w:t>
      </w:r>
      <w:r w:rsidR="00B77C10" w:rsidRPr="00DF4271">
        <w:rPr>
          <w:color w:val="EE0000"/>
          <w:lang w:val="en-GB"/>
        </w:rPr>
        <w:t xml:space="preserve"> bark</w:t>
      </w:r>
    </w:p>
    <w:p w14:paraId="00D2EB84" w14:textId="4ABCE11A" w:rsidR="002F670E" w:rsidRDefault="002F670E" w:rsidP="002F670E">
      <w:pPr>
        <w:pStyle w:val="NormalWeb"/>
        <w:jc w:val="both"/>
      </w:pPr>
      <w:r>
        <w:t>A major peak was recorded at RT 28.072 min, corresponding to hexadecanoic acid (palmitic acid), indicating it as one of the predominant constituents of the extract. Another significant compound identified at RT 28.578 min was phytol, a diterpene alcohol derived from chlorophyll degradation. In the late retention time region (30–32 min), unsaturated fatty acids such as linoleic acid and oleic acid were detected. Overall, the GC–MS analysis revealed that the extract is rich in terpenoids and fatty acid derivatives, which may contribute to its potential biological and pharmacological activities.</w:t>
      </w:r>
    </w:p>
    <w:p w14:paraId="07195BAB" w14:textId="12D97126" w:rsidR="002F670E" w:rsidRPr="005F42F2" w:rsidRDefault="002F670E" w:rsidP="002F670E">
      <w:pPr>
        <w:pStyle w:val="NormalWeb"/>
        <w:jc w:val="both"/>
      </w:pPr>
      <w:r w:rsidRPr="002F670E">
        <w:rPr>
          <w:b/>
          <w:bCs/>
        </w:rPr>
        <w:t>Table 6:</w:t>
      </w:r>
      <w:r>
        <w:t xml:space="preserve"> </w:t>
      </w:r>
      <w:r w:rsidRPr="002F670E">
        <w:rPr>
          <w:lang w:val="en-GB"/>
        </w:rPr>
        <w:t xml:space="preserve">Phytochemical Constituents Identified in the </w:t>
      </w:r>
      <w:r>
        <w:rPr>
          <w:lang w:val="en-GB"/>
        </w:rPr>
        <w:t>Ethanol</w:t>
      </w:r>
      <w:r w:rsidRPr="002F670E">
        <w:rPr>
          <w:lang w:val="en-GB"/>
        </w:rPr>
        <w:t xml:space="preserve"> Extract by GC–MS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8"/>
        <w:gridCol w:w="1590"/>
        <w:gridCol w:w="2124"/>
        <w:gridCol w:w="1823"/>
        <w:gridCol w:w="1954"/>
      </w:tblGrid>
      <w:tr w:rsidR="005F42F2" w:rsidRPr="005F42F2" w14:paraId="7FD0C636" w14:textId="77777777" w:rsidTr="005F42F2">
        <w:trPr>
          <w:tblHeader/>
          <w:tblCellSpacing w:w="15" w:type="dxa"/>
        </w:trPr>
        <w:tc>
          <w:tcPr>
            <w:tcW w:w="0" w:type="auto"/>
            <w:tcBorders>
              <w:top w:val="single" w:sz="4" w:space="0" w:color="auto"/>
              <w:bottom w:val="single" w:sz="4" w:space="0" w:color="auto"/>
            </w:tcBorders>
            <w:vAlign w:val="center"/>
            <w:hideMark/>
          </w:tcPr>
          <w:p w14:paraId="75ED5204" w14:textId="77777777" w:rsidR="005F42F2" w:rsidRPr="005F42F2" w:rsidRDefault="005F42F2" w:rsidP="005F42F2">
            <w:pPr>
              <w:rPr>
                <w:rFonts w:ascii="Times New Roman" w:hAnsi="Times New Roman" w:cs="Times New Roman"/>
                <w:b/>
                <w:bCs/>
                <w:sz w:val="24"/>
                <w:szCs w:val="24"/>
                <w:lang w:val="en-IN"/>
              </w:rPr>
            </w:pPr>
            <w:r w:rsidRPr="005F42F2">
              <w:rPr>
                <w:rFonts w:ascii="Times New Roman" w:hAnsi="Times New Roman" w:cs="Times New Roman"/>
                <w:b/>
                <w:bCs/>
                <w:sz w:val="24"/>
                <w:szCs w:val="24"/>
                <w:lang w:val="en-IN"/>
              </w:rPr>
              <w:t>Peak RT (min)</w:t>
            </w:r>
          </w:p>
        </w:tc>
        <w:tc>
          <w:tcPr>
            <w:tcW w:w="0" w:type="auto"/>
            <w:tcBorders>
              <w:top w:val="single" w:sz="4" w:space="0" w:color="auto"/>
              <w:bottom w:val="single" w:sz="4" w:space="0" w:color="auto"/>
            </w:tcBorders>
            <w:vAlign w:val="center"/>
            <w:hideMark/>
          </w:tcPr>
          <w:p w14:paraId="2C70629C" w14:textId="77777777" w:rsidR="005F42F2" w:rsidRPr="005F42F2" w:rsidRDefault="005F42F2" w:rsidP="005F42F2">
            <w:pPr>
              <w:rPr>
                <w:rFonts w:ascii="Times New Roman" w:hAnsi="Times New Roman" w:cs="Times New Roman"/>
                <w:b/>
                <w:bCs/>
                <w:sz w:val="24"/>
                <w:szCs w:val="24"/>
                <w:lang w:val="en-IN"/>
              </w:rPr>
            </w:pPr>
            <w:r w:rsidRPr="005F42F2">
              <w:rPr>
                <w:rFonts w:ascii="Times New Roman" w:hAnsi="Times New Roman" w:cs="Times New Roman"/>
                <w:b/>
                <w:bCs/>
                <w:sz w:val="24"/>
                <w:szCs w:val="24"/>
                <w:lang w:val="en-IN"/>
              </w:rPr>
              <w:t>Peak Intensity (Relative)</w:t>
            </w:r>
          </w:p>
        </w:tc>
        <w:tc>
          <w:tcPr>
            <w:tcW w:w="0" w:type="auto"/>
            <w:tcBorders>
              <w:top w:val="single" w:sz="4" w:space="0" w:color="auto"/>
              <w:bottom w:val="single" w:sz="4" w:space="0" w:color="auto"/>
            </w:tcBorders>
            <w:vAlign w:val="center"/>
            <w:hideMark/>
          </w:tcPr>
          <w:p w14:paraId="6E83B796" w14:textId="02BDD9B5" w:rsidR="005F42F2" w:rsidRPr="005F42F2" w:rsidRDefault="005F42F2" w:rsidP="005F42F2">
            <w:pPr>
              <w:rPr>
                <w:rFonts w:ascii="Times New Roman" w:hAnsi="Times New Roman" w:cs="Times New Roman"/>
                <w:b/>
                <w:bCs/>
                <w:sz w:val="24"/>
                <w:szCs w:val="24"/>
                <w:lang w:val="en-IN"/>
              </w:rPr>
            </w:pPr>
            <w:r w:rsidRPr="005F42F2">
              <w:rPr>
                <w:rFonts w:ascii="Times New Roman" w:hAnsi="Times New Roman" w:cs="Times New Roman"/>
                <w:b/>
                <w:bCs/>
                <w:sz w:val="24"/>
                <w:szCs w:val="24"/>
                <w:lang w:val="en-IN"/>
              </w:rPr>
              <w:t>Compound</w:t>
            </w:r>
            <w:r w:rsidR="003A158A">
              <w:rPr>
                <w:rFonts w:ascii="Times New Roman" w:hAnsi="Times New Roman" w:cs="Times New Roman"/>
                <w:b/>
                <w:bCs/>
                <w:sz w:val="24"/>
                <w:szCs w:val="24"/>
                <w:lang w:val="en-IN"/>
              </w:rPr>
              <w:t>s</w:t>
            </w:r>
          </w:p>
        </w:tc>
        <w:tc>
          <w:tcPr>
            <w:tcW w:w="0" w:type="auto"/>
            <w:tcBorders>
              <w:top w:val="single" w:sz="4" w:space="0" w:color="auto"/>
              <w:bottom w:val="single" w:sz="4" w:space="0" w:color="auto"/>
            </w:tcBorders>
            <w:vAlign w:val="center"/>
            <w:hideMark/>
          </w:tcPr>
          <w:p w14:paraId="4E26E92E" w14:textId="77777777" w:rsidR="005F42F2" w:rsidRPr="005F42F2" w:rsidRDefault="005F42F2" w:rsidP="005F42F2">
            <w:pPr>
              <w:rPr>
                <w:rFonts w:ascii="Times New Roman" w:hAnsi="Times New Roman" w:cs="Times New Roman"/>
                <w:b/>
                <w:bCs/>
                <w:sz w:val="24"/>
                <w:szCs w:val="24"/>
                <w:lang w:val="en-IN"/>
              </w:rPr>
            </w:pPr>
            <w:r w:rsidRPr="005F42F2">
              <w:rPr>
                <w:rFonts w:ascii="Times New Roman" w:hAnsi="Times New Roman" w:cs="Times New Roman"/>
                <w:b/>
                <w:bCs/>
                <w:sz w:val="24"/>
                <w:szCs w:val="24"/>
                <w:lang w:val="en-IN"/>
              </w:rPr>
              <w:t>Chemical Class</w:t>
            </w:r>
          </w:p>
        </w:tc>
        <w:tc>
          <w:tcPr>
            <w:tcW w:w="0" w:type="auto"/>
            <w:tcBorders>
              <w:top w:val="single" w:sz="4" w:space="0" w:color="auto"/>
              <w:bottom w:val="single" w:sz="4" w:space="0" w:color="auto"/>
            </w:tcBorders>
            <w:vAlign w:val="center"/>
            <w:hideMark/>
          </w:tcPr>
          <w:p w14:paraId="45CC74EF" w14:textId="77777777" w:rsidR="005F42F2" w:rsidRPr="005F42F2" w:rsidRDefault="005F42F2" w:rsidP="005F42F2">
            <w:pPr>
              <w:rPr>
                <w:rFonts w:ascii="Times New Roman" w:hAnsi="Times New Roman" w:cs="Times New Roman"/>
                <w:b/>
                <w:bCs/>
                <w:sz w:val="24"/>
                <w:szCs w:val="24"/>
                <w:lang w:val="en-IN"/>
              </w:rPr>
            </w:pPr>
            <w:r w:rsidRPr="005F42F2">
              <w:rPr>
                <w:rFonts w:ascii="Times New Roman" w:hAnsi="Times New Roman" w:cs="Times New Roman"/>
                <w:b/>
                <w:bCs/>
                <w:sz w:val="24"/>
                <w:szCs w:val="24"/>
                <w:lang w:val="en-IN"/>
              </w:rPr>
              <w:t>Common Occurrence in Plants</w:t>
            </w:r>
          </w:p>
        </w:tc>
      </w:tr>
      <w:tr w:rsidR="005F42F2" w:rsidRPr="005F42F2" w14:paraId="7306F6D1" w14:textId="77777777">
        <w:trPr>
          <w:tblCellSpacing w:w="15" w:type="dxa"/>
        </w:trPr>
        <w:tc>
          <w:tcPr>
            <w:tcW w:w="0" w:type="auto"/>
            <w:vAlign w:val="center"/>
            <w:hideMark/>
          </w:tcPr>
          <w:p w14:paraId="07510466"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7.933</w:t>
            </w:r>
          </w:p>
        </w:tc>
        <w:tc>
          <w:tcPr>
            <w:tcW w:w="0" w:type="auto"/>
            <w:vAlign w:val="center"/>
            <w:hideMark/>
          </w:tcPr>
          <w:p w14:paraId="4A227D6B"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Small</w:t>
            </w:r>
          </w:p>
        </w:tc>
        <w:tc>
          <w:tcPr>
            <w:tcW w:w="0" w:type="auto"/>
            <w:vAlign w:val="center"/>
            <w:hideMark/>
          </w:tcPr>
          <w:p w14:paraId="28324CD6"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α-Pinene</w:t>
            </w:r>
          </w:p>
        </w:tc>
        <w:tc>
          <w:tcPr>
            <w:tcW w:w="0" w:type="auto"/>
            <w:vAlign w:val="center"/>
            <w:hideMark/>
          </w:tcPr>
          <w:p w14:paraId="2CBA74DA"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Monoterpene hydrocarbon</w:t>
            </w:r>
          </w:p>
        </w:tc>
        <w:tc>
          <w:tcPr>
            <w:tcW w:w="0" w:type="auto"/>
            <w:vAlign w:val="center"/>
            <w:hideMark/>
          </w:tcPr>
          <w:p w14:paraId="08219123"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Essential oils (pine, herbs)</w:t>
            </w:r>
          </w:p>
        </w:tc>
      </w:tr>
      <w:tr w:rsidR="005F42F2" w:rsidRPr="005F42F2" w14:paraId="4E3184B0" w14:textId="77777777">
        <w:trPr>
          <w:tblCellSpacing w:w="15" w:type="dxa"/>
        </w:trPr>
        <w:tc>
          <w:tcPr>
            <w:tcW w:w="0" w:type="auto"/>
            <w:vAlign w:val="center"/>
            <w:hideMark/>
          </w:tcPr>
          <w:p w14:paraId="6D37A017"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10.028</w:t>
            </w:r>
          </w:p>
        </w:tc>
        <w:tc>
          <w:tcPr>
            <w:tcW w:w="0" w:type="auto"/>
            <w:vAlign w:val="center"/>
            <w:hideMark/>
          </w:tcPr>
          <w:p w14:paraId="0A058F6A"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Medium</w:t>
            </w:r>
          </w:p>
        </w:tc>
        <w:tc>
          <w:tcPr>
            <w:tcW w:w="0" w:type="auto"/>
            <w:vAlign w:val="center"/>
            <w:hideMark/>
          </w:tcPr>
          <w:p w14:paraId="125B8F21"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Limonene</w:t>
            </w:r>
          </w:p>
        </w:tc>
        <w:tc>
          <w:tcPr>
            <w:tcW w:w="0" w:type="auto"/>
            <w:vAlign w:val="center"/>
            <w:hideMark/>
          </w:tcPr>
          <w:p w14:paraId="5D8EB29D"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Monoterpene hydrocarbon</w:t>
            </w:r>
          </w:p>
        </w:tc>
        <w:tc>
          <w:tcPr>
            <w:tcW w:w="0" w:type="auto"/>
            <w:vAlign w:val="center"/>
            <w:hideMark/>
          </w:tcPr>
          <w:p w14:paraId="466711C4"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Citrus, aromatic plants</w:t>
            </w:r>
          </w:p>
        </w:tc>
      </w:tr>
      <w:tr w:rsidR="005F42F2" w:rsidRPr="005F42F2" w14:paraId="7722B3B9" w14:textId="77777777">
        <w:trPr>
          <w:tblCellSpacing w:w="15" w:type="dxa"/>
        </w:trPr>
        <w:tc>
          <w:tcPr>
            <w:tcW w:w="0" w:type="auto"/>
            <w:vAlign w:val="center"/>
            <w:hideMark/>
          </w:tcPr>
          <w:p w14:paraId="5CBC44B4"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11.722</w:t>
            </w:r>
          </w:p>
        </w:tc>
        <w:tc>
          <w:tcPr>
            <w:tcW w:w="0" w:type="auto"/>
            <w:vAlign w:val="center"/>
            <w:hideMark/>
          </w:tcPr>
          <w:p w14:paraId="3DA49564"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Medium</w:t>
            </w:r>
          </w:p>
        </w:tc>
        <w:tc>
          <w:tcPr>
            <w:tcW w:w="0" w:type="auto"/>
            <w:vAlign w:val="center"/>
            <w:hideMark/>
          </w:tcPr>
          <w:p w14:paraId="6E03FBA9"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1,8-Cineole (Eucalyptol)</w:t>
            </w:r>
          </w:p>
        </w:tc>
        <w:tc>
          <w:tcPr>
            <w:tcW w:w="0" w:type="auto"/>
            <w:vAlign w:val="center"/>
            <w:hideMark/>
          </w:tcPr>
          <w:p w14:paraId="29DA7689"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Oxygenated monoterpene</w:t>
            </w:r>
          </w:p>
        </w:tc>
        <w:tc>
          <w:tcPr>
            <w:tcW w:w="0" w:type="auto"/>
            <w:vAlign w:val="center"/>
            <w:hideMark/>
          </w:tcPr>
          <w:p w14:paraId="3D022E3A"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Eucalyptus, herbs</w:t>
            </w:r>
          </w:p>
        </w:tc>
      </w:tr>
      <w:tr w:rsidR="005F42F2" w:rsidRPr="005F42F2" w14:paraId="7B7EB58D" w14:textId="77777777">
        <w:trPr>
          <w:tblCellSpacing w:w="15" w:type="dxa"/>
        </w:trPr>
        <w:tc>
          <w:tcPr>
            <w:tcW w:w="0" w:type="auto"/>
            <w:vAlign w:val="center"/>
            <w:hideMark/>
          </w:tcPr>
          <w:p w14:paraId="0955AA9C"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12.806</w:t>
            </w:r>
          </w:p>
        </w:tc>
        <w:tc>
          <w:tcPr>
            <w:tcW w:w="0" w:type="auto"/>
            <w:vAlign w:val="center"/>
            <w:hideMark/>
          </w:tcPr>
          <w:p w14:paraId="367ED373"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Medium</w:t>
            </w:r>
          </w:p>
        </w:tc>
        <w:tc>
          <w:tcPr>
            <w:tcW w:w="0" w:type="auto"/>
            <w:vAlign w:val="center"/>
            <w:hideMark/>
          </w:tcPr>
          <w:p w14:paraId="3A82C622"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Linalool</w:t>
            </w:r>
          </w:p>
        </w:tc>
        <w:tc>
          <w:tcPr>
            <w:tcW w:w="0" w:type="auto"/>
            <w:vAlign w:val="center"/>
            <w:hideMark/>
          </w:tcPr>
          <w:p w14:paraId="45F7DAA5"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Monoterpene alcohol</w:t>
            </w:r>
          </w:p>
        </w:tc>
        <w:tc>
          <w:tcPr>
            <w:tcW w:w="0" w:type="auto"/>
            <w:vAlign w:val="center"/>
            <w:hideMark/>
          </w:tcPr>
          <w:p w14:paraId="508BD30B"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Floral plants</w:t>
            </w:r>
          </w:p>
        </w:tc>
      </w:tr>
      <w:tr w:rsidR="005F42F2" w:rsidRPr="005F42F2" w14:paraId="70C34A75" w14:textId="77777777">
        <w:trPr>
          <w:tblCellSpacing w:w="15" w:type="dxa"/>
        </w:trPr>
        <w:tc>
          <w:tcPr>
            <w:tcW w:w="0" w:type="auto"/>
            <w:vAlign w:val="center"/>
            <w:hideMark/>
          </w:tcPr>
          <w:p w14:paraId="4707CC65"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13.000</w:t>
            </w:r>
          </w:p>
        </w:tc>
        <w:tc>
          <w:tcPr>
            <w:tcW w:w="0" w:type="auto"/>
            <w:vAlign w:val="center"/>
            <w:hideMark/>
          </w:tcPr>
          <w:p w14:paraId="1139275F"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Strong</w:t>
            </w:r>
          </w:p>
        </w:tc>
        <w:tc>
          <w:tcPr>
            <w:tcW w:w="0" w:type="auto"/>
            <w:vAlign w:val="center"/>
            <w:hideMark/>
          </w:tcPr>
          <w:p w14:paraId="58A81178"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Terpinen-4-ol</w:t>
            </w:r>
          </w:p>
        </w:tc>
        <w:tc>
          <w:tcPr>
            <w:tcW w:w="0" w:type="auto"/>
            <w:vAlign w:val="center"/>
            <w:hideMark/>
          </w:tcPr>
          <w:p w14:paraId="42B31E02"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Monoterpene alcohol</w:t>
            </w:r>
          </w:p>
        </w:tc>
        <w:tc>
          <w:tcPr>
            <w:tcW w:w="0" w:type="auto"/>
            <w:vAlign w:val="center"/>
            <w:hideMark/>
          </w:tcPr>
          <w:p w14:paraId="6C92FE67"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Tea tree, herbs</w:t>
            </w:r>
          </w:p>
        </w:tc>
      </w:tr>
      <w:tr w:rsidR="005F42F2" w:rsidRPr="005F42F2" w14:paraId="1326468D" w14:textId="77777777">
        <w:trPr>
          <w:tblCellSpacing w:w="15" w:type="dxa"/>
        </w:trPr>
        <w:tc>
          <w:tcPr>
            <w:tcW w:w="0" w:type="auto"/>
            <w:vAlign w:val="center"/>
            <w:hideMark/>
          </w:tcPr>
          <w:p w14:paraId="0F0C6BFC"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lastRenderedPageBreak/>
              <w:t>13.148</w:t>
            </w:r>
          </w:p>
        </w:tc>
        <w:tc>
          <w:tcPr>
            <w:tcW w:w="0" w:type="auto"/>
            <w:vAlign w:val="center"/>
            <w:hideMark/>
          </w:tcPr>
          <w:p w14:paraId="6A97513A"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Medium</w:t>
            </w:r>
          </w:p>
        </w:tc>
        <w:tc>
          <w:tcPr>
            <w:tcW w:w="0" w:type="auto"/>
            <w:vAlign w:val="center"/>
            <w:hideMark/>
          </w:tcPr>
          <w:p w14:paraId="4A13FE21"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α-Terpineol</w:t>
            </w:r>
          </w:p>
        </w:tc>
        <w:tc>
          <w:tcPr>
            <w:tcW w:w="0" w:type="auto"/>
            <w:vAlign w:val="center"/>
            <w:hideMark/>
          </w:tcPr>
          <w:p w14:paraId="7C090C94"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Monoterpene alcohol</w:t>
            </w:r>
          </w:p>
        </w:tc>
        <w:tc>
          <w:tcPr>
            <w:tcW w:w="0" w:type="auto"/>
            <w:vAlign w:val="center"/>
            <w:hideMark/>
          </w:tcPr>
          <w:p w14:paraId="02348CBF"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Many essential oils</w:t>
            </w:r>
          </w:p>
        </w:tc>
      </w:tr>
      <w:tr w:rsidR="005F42F2" w:rsidRPr="005F42F2" w14:paraId="4A4659AB" w14:textId="77777777">
        <w:trPr>
          <w:tblCellSpacing w:w="15" w:type="dxa"/>
        </w:trPr>
        <w:tc>
          <w:tcPr>
            <w:tcW w:w="0" w:type="auto"/>
            <w:vAlign w:val="center"/>
            <w:hideMark/>
          </w:tcPr>
          <w:p w14:paraId="3E6D5BF3"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~18–20 (small humps visible)</w:t>
            </w:r>
          </w:p>
        </w:tc>
        <w:tc>
          <w:tcPr>
            <w:tcW w:w="0" w:type="auto"/>
            <w:vAlign w:val="center"/>
            <w:hideMark/>
          </w:tcPr>
          <w:p w14:paraId="046D531F"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Low</w:t>
            </w:r>
          </w:p>
        </w:tc>
        <w:tc>
          <w:tcPr>
            <w:tcW w:w="0" w:type="auto"/>
            <w:vAlign w:val="center"/>
            <w:hideMark/>
          </w:tcPr>
          <w:p w14:paraId="711A7791"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Caryophyllene</w:t>
            </w:r>
          </w:p>
        </w:tc>
        <w:tc>
          <w:tcPr>
            <w:tcW w:w="0" w:type="auto"/>
            <w:vAlign w:val="center"/>
            <w:hideMark/>
          </w:tcPr>
          <w:p w14:paraId="1F69F56E"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Sesquiterpene</w:t>
            </w:r>
          </w:p>
        </w:tc>
        <w:tc>
          <w:tcPr>
            <w:tcW w:w="0" w:type="auto"/>
            <w:vAlign w:val="center"/>
            <w:hideMark/>
          </w:tcPr>
          <w:p w14:paraId="3EF94B43"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Spices, clove, leaves</w:t>
            </w:r>
          </w:p>
        </w:tc>
      </w:tr>
      <w:tr w:rsidR="005F42F2" w:rsidRPr="005F42F2" w14:paraId="5BD22DB7" w14:textId="77777777">
        <w:trPr>
          <w:tblCellSpacing w:w="15" w:type="dxa"/>
        </w:trPr>
        <w:tc>
          <w:tcPr>
            <w:tcW w:w="0" w:type="auto"/>
            <w:vAlign w:val="center"/>
            <w:hideMark/>
          </w:tcPr>
          <w:p w14:paraId="07EAD675"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28.072 (Major peak)</w:t>
            </w:r>
          </w:p>
        </w:tc>
        <w:tc>
          <w:tcPr>
            <w:tcW w:w="0" w:type="auto"/>
            <w:vAlign w:val="center"/>
            <w:hideMark/>
          </w:tcPr>
          <w:p w14:paraId="5731F81B"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Very High</w:t>
            </w:r>
          </w:p>
        </w:tc>
        <w:tc>
          <w:tcPr>
            <w:tcW w:w="0" w:type="auto"/>
            <w:vAlign w:val="center"/>
            <w:hideMark/>
          </w:tcPr>
          <w:p w14:paraId="33080717"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Hexadecanoic acid (Palmitic acid)</w:t>
            </w:r>
          </w:p>
        </w:tc>
        <w:tc>
          <w:tcPr>
            <w:tcW w:w="0" w:type="auto"/>
            <w:vAlign w:val="center"/>
            <w:hideMark/>
          </w:tcPr>
          <w:p w14:paraId="5604CAAE"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Fatty acid</w:t>
            </w:r>
          </w:p>
        </w:tc>
        <w:tc>
          <w:tcPr>
            <w:tcW w:w="0" w:type="auto"/>
            <w:vAlign w:val="center"/>
            <w:hideMark/>
          </w:tcPr>
          <w:p w14:paraId="10E06070"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Almost all plants</w:t>
            </w:r>
          </w:p>
        </w:tc>
      </w:tr>
      <w:tr w:rsidR="005F42F2" w:rsidRPr="005F42F2" w14:paraId="2E14F452" w14:textId="77777777">
        <w:trPr>
          <w:tblCellSpacing w:w="15" w:type="dxa"/>
        </w:trPr>
        <w:tc>
          <w:tcPr>
            <w:tcW w:w="0" w:type="auto"/>
            <w:vAlign w:val="center"/>
            <w:hideMark/>
          </w:tcPr>
          <w:p w14:paraId="29309DE6"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28.578</w:t>
            </w:r>
          </w:p>
        </w:tc>
        <w:tc>
          <w:tcPr>
            <w:tcW w:w="0" w:type="auto"/>
            <w:vAlign w:val="center"/>
            <w:hideMark/>
          </w:tcPr>
          <w:p w14:paraId="492640EB"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High</w:t>
            </w:r>
          </w:p>
        </w:tc>
        <w:tc>
          <w:tcPr>
            <w:tcW w:w="0" w:type="auto"/>
            <w:vAlign w:val="center"/>
            <w:hideMark/>
          </w:tcPr>
          <w:p w14:paraId="5B955255"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Phytol</w:t>
            </w:r>
          </w:p>
        </w:tc>
        <w:tc>
          <w:tcPr>
            <w:tcW w:w="0" w:type="auto"/>
            <w:vAlign w:val="center"/>
            <w:hideMark/>
          </w:tcPr>
          <w:p w14:paraId="0A84745A"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Diterpene alcohol</w:t>
            </w:r>
          </w:p>
        </w:tc>
        <w:tc>
          <w:tcPr>
            <w:tcW w:w="0" w:type="auto"/>
            <w:vAlign w:val="center"/>
            <w:hideMark/>
          </w:tcPr>
          <w:p w14:paraId="167062A3"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Chlorophyll breakdown product</w:t>
            </w:r>
          </w:p>
        </w:tc>
      </w:tr>
      <w:tr w:rsidR="005F42F2" w:rsidRPr="005F42F2" w14:paraId="4882B8E4" w14:textId="77777777" w:rsidTr="005F42F2">
        <w:trPr>
          <w:tblCellSpacing w:w="15" w:type="dxa"/>
        </w:trPr>
        <w:tc>
          <w:tcPr>
            <w:tcW w:w="0" w:type="auto"/>
            <w:tcBorders>
              <w:bottom w:val="single" w:sz="4" w:space="0" w:color="auto"/>
            </w:tcBorders>
            <w:vAlign w:val="center"/>
            <w:hideMark/>
          </w:tcPr>
          <w:p w14:paraId="74EDB7BE"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30–32 (broad region)</w:t>
            </w:r>
          </w:p>
        </w:tc>
        <w:tc>
          <w:tcPr>
            <w:tcW w:w="0" w:type="auto"/>
            <w:tcBorders>
              <w:bottom w:val="single" w:sz="4" w:space="0" w:color="auto"/>
            </w:tcBorders>
            <w:vAlign w:val="center"/>
            <w:hideMark/>
          </w:tcPr>
          <w:p w14:paraId="5EAED893"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Medium</w:t>
            </w:r>
          </w:p>
        </w:tc>
        <w:tc>
          <w:tcPr>
            <w:tcW w:w="0" w:type="auto"/>
            <w:tcBorders>
              <w:bottom w:val="single" w:sz="4" w:space="0" w:color="auto"/>
            </w:tcBorders>
            <w:vAlign w:val="center"/>
            <w:hideMark/>
          </w:tcPr>
          <w:p w14:paraId="74B7769C"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Linoleic acid / Oleic acid</w:t>
            </w:r>
          </w:p>
        </w:tc>
        <w:tc>
          <w:tcPr>
            <w:tcW w:w="0" w:type="auto"/>
            <w:tcBorders>
              <w:bottom w:val="single" w:sz="4" w:space="0" w:color="auto"/>
            </w:tcBorders>
            <w:vAlign w:val="center"/>
            <w:hideMark/>
          </w:tcPr>
          <w:p w14:paraId="3D4E3E80"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Unsaturated fatty acids</w:t>
            </w:r>
          </w:p>
        </w:tc>
        <w:tc>
          <w:tcPr>
            <w:tcW w:w="0" w:type="auto"/>
            <w:tcBorders>
              <w:bottom w:val="single" w:sz="4" w:space="0" w:color="auto"/>
            </w:tcBorders>
            <w:vAlign w:val="center"/>
            <w:hideMark/>
          </w:tcPr>
          <w:p w14:paraId="7DC089D7"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Seed oils</w:t>
            </w:r>
          </w:p>
        </w:tc>
      </w:tr>
    </w:tbl>
    <w:p w14:paraId="40D196B0" w14:textId="77777777" w:rsidR="006A31D2" w:rsidRDefault="006A31D2" w:rsidP="006A31D2"/>
    <w:p w14:paraId="3E80E5C2" w14:textId="7D161004" w:rsidR="00442295" w:rsidRDefault="00442295" w:rsidP="00442295">
      <w:pPr>
        <w:pStyle w:val="ListParagraph"/>
        <w:numPr>
          <w:ilvl w:val="1"/>
          <w:numId w:val="5"/>
        </w:numPr>
        <w:rPr>
          <w:rFonts w:ascii="Times New Roman" w:hAnsi="Times New Roman" w:cs="Times New Roman"/>
          <w:b/>
          <w:bCs/>
          <w:sz w:val="24"/>
          <w:szCs w:val="24"/>
        </w:rPr>
      </w:pPr>
      <w:r w:rsidRPr="00442295">
        <w:rPr>
          <w:rFonts w:ascii="Times New Roman" w:hAnsi="Times New Roman" w:cs="Times New Roman"/>
          <w:b/>
          <w:bCs/>
          <w:sz w:val="24"/>
          <w:szCs w:val="24"/>
        </w:rPr>
        <w:t>Statistical Analysis</w:t>
      </w:r>
    </w:p>
    <w:p w14:paraId="1647BCC4" w14:textId="39F1EC69" w:rsidR="00442295" w:rsidRPr="00442295" w:rsidRDefault="00442295" w:rsidP="00E0766A">
      <w:pPr>
        <w:pStyle w:val="ListParagraph"/>
        <w:spacing w:line="360" w:lineRule="auto"/>
        <w:ind w:left="0"/>
        <w:jc w:val="both"/>
        <w:rPr>
          <w:rFonts w:ascii="Times New Roman" w:hAnsi="Times New Roman" w:cs="Times New Roman"/>
          <w:b/>
          <w:bCs/>
          <w:sz w:val="24"/>
          <w:szCs w:val="24"/>
        </w:rPr>
      </w:pPr>
      <w:r w:rsidRPr="00442295">
        <w:rPr>
          <w:rFonts w:ascii="Times New Roman" w:hAnsi="Times New Roman" w:cs="Times New Roman"/>
          <w:sz w:val="24"/>
          <w:szCs w:val="24"/>
        </w:rPr>
        <w:t>All experimental data were expressed as mean ± standard deviation (SD) of three independent replicates. Statistical evaluation using one-way ANOVA followed by appropriate post-hoc tests revealed significant differences among the solvent extracts (p &lt; 0.05). The analysis confirmed that variations in phytochemical content, antioxidant activity, and antimicrobial effects between extracts were statistically significant and not due to random variation.</w:t>
      </w:r>
    </w:p>
    <w:p w14:paraId="6FEFB331" w14:textId="2650B195" w:rsidR="0000308A" w:rsidRPr="00A46E2C" w:rsidRDefault="00617BE9">
      <w:pPr>
        <w:pStyle w:val="Heading2"/>
        <w:keepNext w:val="0"/>
        <w:keepLines w:val="0"/>
        <w:spacing w:after="80"/>
        <w:jc w:val="both"/>
        <w:rPr>
          <w:rFonts w:ascii="Times New Roman" w:hAnsi="Times New Roman" w:cs="Times New Roman"/>
          <w:b/>
          <w:bCs/>
          <w:sz w:val="24"/>
          <w:szCs w:val="24"/>
        </w:rPr>
      </w:pPr>
      <w:r w:rsidRPr="00A46E2C">
        <w:rPr>
          <w:rFonts w:ascii="Times New Roman" w:hAnsi="Times New Roman" w:cs="Times New Roman"/>
          <w:b/>
          <w:bCs/>
          <w:sz w:val="24"/>
          <w:szCs w:val="24"/>
        </w:rPr>
        <w:t>4. Discussion</w:t>
      </w:r>
    </w:p>
    <w:p w14:paraId="1AEF3375" w14:textId="393EF7CB" w:rsidR="00581D6E" w:rsidRPr="00F4266B"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 xml:space="preserve">The phytochemical composition, antioxidant activity, antimicrobial activity, and GC-MS profiling of the extracts of the bark of the plant </w:t>
      </w:r>
      <w:r w:rsidRPr="005822AF">
        <w:rPr>
          <w:rFonts w:ascii="Times New Roman" w:hAnsi="Times New Roman" w:cs="Times New Roman"/>
          <w:i/>
          <w:iCs/>
          <w:sz w:val="24"/>
          <w:szCs w:val="24"/>
        </w:rPr>
        <w:t>Terminalia arjuna</w:t>
      </w:r>
      <w:r w:rsidRPr="00F4266B">
        <w:rPr>
          <w:rFonts w:ascii="Times New Roman" w:hAnsi="Times New Roman" w:cs="Times New Roman"/>
          <w:sz w:val="24"/>
          <w:szCs w:val="24"/>
        </w:rPr>
        <w:t xml:space="preserve"> using solvents with varying polarities were systematically evaluated in the current investigation. The overall findings suggest that extraction solvent type has a significant implication on the phytochemical yield, compositional profile, and subsequent bioactivities. Extraction efficiencies and the ability to extract a broader range of bioactive constituents was found with polar solvents like methanol and ethanol as compared to non-polar solvents such as hexane and dichloromethane, which supports the evidence in the previous literature that solvent polarity plays a central role in phytochemical recovery (Larit et al., 2016).</w:t>
      </w:r>
    </w:p>
    <w:p w14:paraId="3FE9CBE3" w14:textId="02C31273" w:rsidR="00581D6E" w:rsidRPr="00F4266B"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 xml:space="preserve">Preliminary phytochemical reconnaissance surveys indicated that in the ethanol and methanol extracts the most common were phenolic, flavonoid glycoside terpenoid and alkaloid compounds. These qualitative results were supported with quantitative measurements of total phenolic content (TPC) and total flavonoid content (TFC); highest concentrations were observed in the ethanolic preparation (329 mg GAE -1 and 129 mg QE -1, respectively). It is </w:t>
      </w:r>
      <w:r w:rsidRPr="00F4266B">
        <w:rPr>
          <w:rFonts w:ascii="Times New Roman" w:hAnsi="Times New Roman" w:cs="Times New Roman"/>
          <w:sz w:val="24"/>
          <w:szCs w:val="24"/>
        </w:rPr>
        <w:lastRenderedPageBreak/>
        <w:t>already established that a high concentration of phenolics and flavonoids is strictly correlated with the high antioxidant activity due to their ability to give electrons and remove free radicals (Erizal et al., 2024; Sabaragamuwa and Perera, 2023).</w:t>
      </w:r>
    </w:p>
    <w:p w14:paraId="2E154FEC" w14:textId="10A76FAA" w:rsidR="00581D6E" w:rsidRPr="00F4266B"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In line with these findings, the DPPH radical -scavenging assay showed that the methanol and ethanol extracts had strong antioxidant properties as indicated by their relatively low values of IC 50. The correlation between the phenolic content, on the one hand, and the antioxidant capacity, on the other, is also positive, which is why the earlier findings that polyphenolic compounds are the main participants of oxidative stress alleviation also receive support (Roy et al., 2022). On the other hand, the hexane extract, which had lower phenolic and flavonoid concentration, had a lesser antioxidant potential, which highlights the importance of the polar phytochemicals in free-radical-scavenging activities.</w:t>
      </w:r>
    </w:p>
    <w:p w14:paraId="02A7ED46" w14:textId="77777777" w:rsidR="00581D6E" w:rsidRPr="00F4266B"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 xml:space="preserve">The phytochemical and antioxidant data are further supported by antimicrobial tests. The ethanolic extract always showed strong antibacterial activities against </w:t>
      </w:r>
      <w:r w:rsidRPr="005822AF">
        <w:rPr>
          <w:rFonts w:ascii="Times New Roman" w:hAnsi="Times New Roman" w:cs="Times New Roman"/>
          <w:i/>
          <w:iCs/>
          <w:sz w:val="24"/>
          <w:szCs w:val="24"/>
        </w:rPr>
        <w:t xml:space="preserve">Staphylococcus aureus, Shigella sonnei, Klebsiella pneumoniae, </w:t>
      </w:r>
      <w:r w:rsidRPr="005822AF">
        <w:rPr>
          <w:rFonts w:ascii="Times New Roman" w:hAnsi="Times New Roman" w:cs="Times New Roman"/>
          <w:sz w:val="24"/>
          <w:szCs w:val="24"/>
        </w:rPr>
        <w:t xml:space="preserve">and </w:t>
      </w:r>
      <w:r w:rsidRPr="005822AF">
        <w:rPr>
          <w:rFonts w:ascii="Times New Roman" w:hAnsi="Times New Roman" w:cs="Times New Roman"/>
          <w:i/>
          <w:iCs/>
          <w:sz w:val="24"/>
          <w:szCs w:val="24"/>
        </w:rPr>
        <w:t>Escherichia coli</w:t>
      </w:r>
      <w:r w:rsidRPr="00F4266B">
        <w:rPr>
          <w:rFonts w:ascii="Times New Roman" w:hAnsi="Times New Roman" w:cs="Times New Roman"/>
          <w:sz w:val="24"/>
          <w:szCs w:val="24"/>
        </w:rPr>
        <w:t xml:space="preserve"> but the hexane extract had relatively weak antibacterial activity. The antimicrobial activity of the ethanol extract is highly pronounced, which could be attributed to their repertoire of phenols, flavonoids, and terpenoids, which are reported to damage microbial membranes, interrupt enzyme pathways, and nucleic-acid production (Roy et al., 2022). The absence of the negative control is a reason to believe that the bioactivity is a result of the plant constituents and not the solvent.</w:t>
      </w:r>
    </w:p>
    <w:p w14:paraId="449C06C6" w14:textId="027394D8" w:rsidR="00581D6E" w:rsidRPr="00F4266B"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The molecular-level verification of the bioactive constituents in the ethanolic extract was conducted by GC 929 -MS analysis. Qualitative phytochemical screening is supported by the identification of monoterpenes (a -pinene), limonene, 1,8 -cineol, linalool, terpinen -4 -ol, a -terpineol), a sesquiterpene (caryophyllene), fatty acids (hexadecanoic, linoleic and oleic acids), and phytol. It has been noted by many researchers that these compounds possess antioxidant, anti-inflammatory, and antimicrobial effects (Mzali et al., 2025; Uthirapathy and Ahamad, 2019). Based on this, GC-MS profiling is used in conjunction with the traditional phytochemical methods to provide a structural identity of the volatile and semi-volatile compounds, thus enhancing the persuasiveness of the results.</w:t>
      </w:r>
    </w:p>
    <w:p w14:paraId="30BCB74B" w14:textId="3405F579" w:rsidR="00581D6E"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 xml:space="preserve">Altogether, the </w:t>
      </w:r>
      <w:r w:rsidR="00BF6F60" w:rsidRPr="00F4266B">
        <w:rPr>
          <w:rFonts w:ascii="Times New Roman" w:hAnsi="Times New Roman" w:cs="Times New Roman"/>
          <w:sz w:val="24"/>
          <w:szCs w:val="24"/>
        </w:rPr>
        <w:t>summed-up</w:t>
      </w:r>
      <w:r w:rsidRPr="00F4266B">
        <w:rPr>
          <w:rFonts w:ascii="Times New Roman" w:hAnsi="Times New Roman" w:cs="Times New Roman"/>
          <w:sz w:val="24"/>
          <w:szCs w:val="24"/>
        </w:rPr>
        <w:t xml:space="preserve"> analysis of extraction yields, phytochemical screening, quantitative TPC and TFC measurements, antioxidant analyses, antimicrobial analysis, and GC-MS profiles provides a detailed, scientifically supported profile of the bark of the plant </w:t>
      </w:r>
      <w:r w:rsidRPr="005822AF">
        <w:rPr>
          <w:rFonts w:ascii="Times New Roman" w:hAnsi="Times New Roman" w:cs="Times New Roman"/>
          <w:i/>
          <w:iCs/>
          <w:sz w:val="24"/>
          <w:szCs w:val="24"/>
        </w:rPr>
        <w:t>Terminalia arjuna</w:t>
      </w:r>
      <w:r w:rsidRPr="00F4266B">
        <w:rPr>
          <w:rFonts w:ascii="Times New Roman" w:hAnsi="Times New Roman" w:cs="Times New Roman"/>
          <w:sz w:val="24"/>
          <w:szCs w:val="24"/>
        </w:rPr>
        <w:t xml:space="preserve">. The one-way analysis of variance and post-hoc comparisons showed the statistically significant differences (p </w:t>
      </w:r>
      <w:r>
        <w:rPr>
          <w:rFonts w:ascii="Times New Roman" w:hAnsi="Times New Roman" w:cs="Times New Roman"/>
          <w:sz w:val="24"/>
          <w:szCs w:val="24"/>
        </w:rPr>
        <w:t xml:space="preserve">&lt; </w:t>
      </w:r>
      <w:r w:rsidRPr="00F4266B">
        <w:rPr>
          <w:rFonts w:ascii="Times New Roman" w:hAnsi="Times New Roman" w:cs="Times New Roman"/>
          <w:sz w:val="24"/>
          <w:szCs w:val="24"/>
        </w:rPr>
        <w:t xml:space="preserve">.05) between the solvent extracts in terms of extraction yield, phytochemical content, antioxidant capacity, and antimicrobial activity, which rules out the possibility of </w:t>
      </w:r>
      <w:r w:rsidRPr="00F4266B">
        <w:rPr>
          <w:rFonts w:ascii="Times New Roman" w:hAnsi="Times New Roman" w:cs="Times New Roman"/>
          <w:sz w:val="24"/>
          <w:szCs w:val="24"/>
        </w:rPr>
        <w:lastRenderedPageBreak/>
        <w:t>random variation as the cause of observed differences. The research supports the traditional medicinal applicability of the herb and validates ethanol as an effective solvent in the purification of biologically active components (Rajaram et al., 2024). Further studies should focus on bioassay-directed fractionation, separation of the active compounds one at a time and mechanistic pharmacological studies to further ratify its medicinal usefulness.</w:t>
      </w:r>
    </w:p>
    <w:p w14:paraId="0A995F81" w14:textId="77777777" w:rsidR="00B77C10" w:rsidRPr="00417A0D" w:rsidRDefault="00B77C10" w:rsidP="00B77C10">
      <w:pPr>
        <w:spacing w:line="360" w:lineRule="auto"/>
        <w:jc w:val="both"/>
        <w:rPr>
          <w:rFonts w:ascii="Times New Roman" w:hAnsi="Times New Roman" w:cs="Times New Roman"/>
          <w:color w:val="EE0000"/>
          <w:sz w:val="24"/>
          <w:szCs w:val="24"/>
        </w:rPr>
      </w:pPr>
      <w:r w:rsidRPr="00417A0D">
        <w:rPr>
          <w:rFonts w:ascii="Times New Roman" w:hAnsi="Times New Roman" w:cs="Times New Roman"/>
          <w:color w:val="EE0000"/>
          <w:sz w:val="24"/>
          <w:szCs w:val="24"/>
        </w:rPr>
        <w:t>The findings of the present study are consistent with several recent studies reporting that Terminalia arjuna bark is rich in phenolic and flavonoid compounds that contribute significantly to antioxidant and antimicrobial activities. Similar studies have demonstrated that polar solvents such as ethanol and methanol are more effective in extracting phenolic-rich phytochemicals responsible for strong free-radical scavenging activity and antimicrobial effects. The comparatively higher phenolic (329 mg GAE/g) and flavonoid (129 mg QE/g) contents observed in the ethanolic extract in this study align with previous reports indicating that solvent polarity plays a critical role in maximizing phytochemical recovery. Furthermore, the identification of terpenoids and fatty acid derivatives through GC–MS analysis supports earlier phytochemical investigations that link these compounds with antimicrobial and antioxidant properties. From a practical perspective, these findings highlight the potential use of Terminalia arjuna bark extracts as a natural source of bioactive compounds that could be explored for the development of plant-based antioxidant supplements, antimicrobial agents, or pharmaceutical formulations.</w:t>
      </w:r>
    </w:p>
    <w:p w14:paraId="37F67A63" w14:textId="77777777" w:rsidR="00B77C10" w:rsidRPr="00B77C10" w:rsidRDefault="00B77C10" w:rsidP="00B77C10">
      <w:pPr>
        <w:pStyle w:val="ListParagraph"/>
        <w:numPr>
          <w:ilvl w:val="1"/>
          <w:numId w:val="6"/>
        </w:numPr>
        <w:spacing w:line="360" w:lineRule="auto"/>
        <w:jc w:val="both"/>
        <w:rPr>
          <w:rFonts w:ascii="Times New Roman" w:hAnsi="Times New Roman" w:cs="Times New Roman"/>
          <w:color w:val="EE0000"/>
          <w:sz w:val="24"/>
          <w:szCs w:val="24"/>
        </w:rPr>
      </w:pPr>
      <w:r w:rsidRPr="00B77C10">
        <w:rPr>
          <w:rFonts w:ascii="Times New Roman" w:hAnsi="Times New Roman" w:cs="Times New Roman"/>
          <w:color w:val="EE0000"/>
          <w:sz w:val="24"/>
          <w:szCs w:val="24"/>
        </w:rPr>
        <w:t xml:space="preserve"> </w:t>
      </w:r>
      <w:r w:rsidRPr="00B77C10">
        <w:rPr>
          <w:rFonts w:ascii="Times New Roman" w:hAnsi="Times New Roman" w:cs="Times New Roman"/>
          <w:b/>
          <w:bCs/>
          <w:color w:val="EE0000"/>
          <w:sz w:val="24"/>
          <w:szCs w:val="24"/>
        </w:rPr>
        <w:t>Study Limitation</w:t>
      </w:r>
    </w:p>
    <w:p w14:paraId="05C1FE23" w14:textId="77777777" w:rsidR="00B77C10" w:rsidRPr="00610BAB" w:rsidRDefault="00B77C10" w:rsidP="00B77C10">
      <w:pPr>
        <w:spacing w:line="360" w:lineRule="auto"/>
        <w:jc w:val="both"/>
        <w:rPr>
          <w:rFonts w:ascii="Times New Roman" w:hAnsi="Times New Roman" w:cs="Times New Roman"/>
          <w:color w:val="EE0000"/>
          <w:sz w:val="24"/>
          <w:szCs w:val="24"/>
        </w:rPr>
      </w:pPr>
      <w:r w:rsidRPr="00610BAB">
        <w:rPr>
          <w:rFonts w:ascii="Times New Roman" w:hAnsi="Times New Roman" w:cs="Times New Roman"/>
          <w:color w:val="EE0000"/>
          <w:sz w:val="24"/>
          <w:szCs w:val="24"/>
        </w:rPr>
        <w:t>Despite the valuable findings, several limitations should be acknowledged. First, the plant material was collected from a single geographical location, which may limit the generalizability of the phytochemical composition due to environmental variations. Second, the study focused on crude solvent extracts rather than isolated compounds; therefore, the specific bioactive constituents responsible for the observed biological activities were not individually characterized. Additionally, the antimicrobial assessment was limited to a small number of bacterial strains and relied on the agar well diffusion method, which provides preliminary screening but does not determine minimum inhibitory concentrations (MIC). Finally, the antioxidant activity was evaluated using a single in vitro assay (DPPH), and further studies using multiple antioxidant models and in vivo evaluations would provide more comprehensive validation. Future research should therefore focus on compound isolation, detailed pharmacological evaluation, and broader antimicrobial screening to strengthen the therapeutic potential of Terminalia arjuna bark extracts.</w:t>
      </w:r>
    </w:p>
    <w:p w14:paraId="53E2BAEE" w14:textId="77777777" w:rsidR="001A3BEE" w:rsidRPr="001A3BEE" w:rsidRDefault="001A3BEE" w:rsidP="001A3BEE">
      <w:pPr>
        <w:spacing w:before="240" w:after="240" w:line="360" w:lineRule="auto"/>
        <w:jc w:val="both"/>
        <w:rPr>
          <w:rFonts w:ascii="Times New Roman" w:hAnsi="Times New Roman" w:cs="Times New Roman"/>
          <w:b/>
          <w:bCs/>
          <w:sz w:val="24"/>
          <w:szCs w:val="24"/>
          <w:lang w:val="en-IN"/>
        </w:rPr>
      </w:pPr>
      <w:r w:rsidRPr="001A3BEE">
        <w:rPr>
          <w:rFonts w:ascii="Times New Roman" w:hAnsi="Times New Roman" w:cs="Times New Roman"/>
          <w:b/>
          <w:bCs/>
          <w:sz w:val="24"/>
          <w:szCs w:val="24"/>
          <w:lang w:val="en-IN"/>
        </w:rPr>
        <w:lastRenderedPageBreak/>
        <w:t>Conclusion</w:t>
      </w:r>
    </w:p>
    <w:p w14:paraId="5E5A0F8B" w14:textId="20C176F7" w:rsidR="00581D6E"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 xml:space="preserve">This paper proves the fact that the solvent polarity has a determining impact on the extraction efficiency, phytochemical profile, and bioactivity of the extracts of the bark of the plant </w:t>
      </w:r>
      <w:r w:rsidRPr="005822AF">
        <w:rPr>
          <w:rFonts w:ascii="Times New Roman" w:hAnsi="Times New Roman" w:cs="Times New Roman"/>
          <w:i/>
          <w:iCs/>
          <w:sz w:val="24"/>
          <w:szCs w:val="24"/>
        </w:rPr>
        <w:t>Terminalia arjuna</w:t>
      </w:r>
      <w:r w:rsidRPr="00F4266B">
        <w:rPr>
          <w:rFonts w:ascii="Times New Roman" w:hAnsi="Times New Roman" w:cs="Times New Roman"/>
          <w:sz w:val="24"/>
          <w:szCs w:val="24"/>
        </w:rPr>
        <w:t>. Ethanol was found to be the most effective of the solvents that were tested and it was also associated with high levels of antioxidant and antimicrobial activities. The antioxidant activity of the methanolic extract was also very high with a relatively low bioactivity being exhibited by extracts prepared using hexane and dichloromethane. Qualitative phytochemical studies identified the existence of a variety of bioactive secondary metabolites, GC-MS profiling provided in-depth identification of volatile and semi-volatile products, including terpenoids, fatty acids, and phytol derivatives. The combination of biochemical and instrumental data confirms the traditional medicinal value of the herb and reflects the potential of the herb as a source of therapeutic agents in nature. The results support the use of ethanolic extraction as the best method of extracting bioactive compounds in a manner that will increase the recovery of bioactive compounds and forms a solid scientific basis on future studies that aim at isolating, clarifying, and evaluating the active ingredients of potential drug development.</w:t>
      </w:r>
    </w:p>
    <w:p w14:paraId="60151348" w14:textId="77777777" w:rsidR="0094113F" w:rsidRPr="00CA3906" w:rsidRDefault="0094113F" w:rsidP="0094113F">
      <w:pPr>
        <w:rPr>
          <w:b/>
          <w:highlight w:val="yellow"/>
        </w:rPr>
      </w:pPr>
      <w:r w:rsidRPr="00CA3906">
        <w:rPr>
          <w:b/>
          <w:highlight w:val="yellow"/>
        </w:rPr>
        <w:t>Disclaimer (Artificial intelligence)</w:t>
      </w:r>
    </w:p>
    <w:p w14:paraId="23918B26" w14:textId="24D24D85" w:rsidR="0094113F" w:rsidRPr="00740879" w:rsidRDefault="0014092A" w:rsidP="0014092A">
      <w:pPr>
        <w:jc w:val="both"/>
        <w:rPr>
          <w:highlight w:val="yellow"/>
        </w:rPr>
      </w:pPr>
      <w:r>
        <w:rPr>
          <w:highlight w:val="yellow"/>
        </w:rPr>
        <w:t>We</w:t>
      </w:r>
      <w:r w:rsidR="0094113F" w:rsidRPr="00740879">
        <w:rPr>
          <w:highlight w:val="yellow"/>
        </w:rPr>
        <w:t xml:space="preserve"> hereby declare that NO generative AI technologies such as Large Language Models (ChatGPT, COPILOT, etc.) and text-to-image generators have been used during the writing or editing of this manuscript. </w:t>
      </w:r>
    </w:p>
    <w:p w14:paraId="38FDB367" w14:textId="77777777" w:rsidR="0094113F" w:rsidRPr="00F4266B" w:rsidRDefault="0094113F" w:rsidP="0014092A">
      <w:pPr>
        <w:spacing w:line="360" w:lineRule="auto"/>
        <w:jc w:val="both"/>
        <w:rPr>
          <w:rFonts w:ascii="Times New Roman" w:hAnsi="Times New Roman" w:cs="Times New Roman"/>
          <w:sz w:val="24"/>
          <w:szCs w:val="24"/>
        </w:rPr>
      </w:pPr>
    </w:p>
    <w:p w14:paraId="333CC9AA" w14:textId="43BE8CB9" w:rsidR="00C6088C" w:rsidRPr="001A3BEE" w:rsidRDefault="00C6088C" w:rsidP="001A3BEE">
      <w:pPr>
        <w:spacing w:before="240" w:after="240" w:line="360" w:lineRule="auto"/>
        <w:jc w:val="both"/>
        <w:rPr>
          <w:rFonts w:ascii="Times New Roman" w:hAnsi="Times New Roman" w:cs="Times New Roman"/>
          <w:b/>
          <w:bCs/>
          <w:sz w:val="24"/>
          <w:szCs w:val="24"/>
          <w:lang w:val="en-IN"/>
        </w:rPr>
      </w:pPr>
      <w:r w:rsidRPr="00C6088C">
        <w:rPr>
          <w:rFonts w:ascii="Times New Roman" w:hAnsi="Times New Roman" w:cs="Times New Roman"/>
          <w:b/>
          <w:bCs/>
          <w:sz w:val="24"/>
          <w:szCs w:val="24"/>
          <w:lang w:val="en-IN"/>
        </w:rPr>
        <w:t>References</w:t>
      </w:r>
    </w:p>
    <w:p w14:paraId="63BAE095" w14:textId="77777777" w:rsidR="00991E1D" w:rsidRPr="00991E1D" w:rsidRDefault="00E74DB8" w:rsidP="00991E1D">
      <w:pPr>
        <w:pStyle w:val="Bibliography"/>
        <w:rPr>
          <w:rFonts w:ascii="Times New Roman" w:hAnsi="Times New Roman" w:cs="Times New Roman"/>
          <w:sz w:val="24"/>
        </w:rPr>
      </w:pPr>
      <w:r>
        <w:rPr>
          <w:rFonts w:cs="Times New Roman"/>
          <w:sz w:val="24"/>
          <w:lang w:val="en-IN"/>
        </w:rPr>
        <w:fldChar w:fldCharType="begin"/>
      </w:r>
      <w:r>
        <w:rPr>
          <w:rFonts w:cs="Times New Roman"/>
          <w:sz w:val="24"/>
          <w:lang w:val="en-IN"/>
        </w:rPr>
        <w:instrText xml:space="preserve"> ADDIN ZOTERO_BIBL {"uncited":[],"omitted":[],"custom":[]} CSL_BIBLIOGRAPHY </w:instrText>
      </w:r>
      <w:r>
        <w:rPr>
          <w:rFonts w:cs="Times New Roman"/>
          <w:sz w:val="24"/>
          <w:lang w:val="en-IN"/>
        </w:rPr>
        <w:fldChar w:fldCharType="separate"/>
      </w:r>
      <w:r w:rsidR="00991E1D" w:rsidRPr="00991E1D">
        <w:rPr>
          <w:rFonts w:ascii="Times New Roman" w:hAnsi="Times New Roman" w:cs="Times New Roman"/>
          <w:sz w:val="24"/>
        </w:rPr>
        <w:t xml:space="preserve">Aneja, K. R., Sharma, C., &amp; Joshi, R. (2012). Antimicrobial activity of Terminalia arjuna Wight &amp; Arn.: An ethnomedicinal plant against pathogens causing ear infection. </w:t>
      </w:r>
      <w:r w:rsidR="00991E1D" w:rsidRPr="00991E1D">
        <w:rPr>
          <w:rFonts w:ascii="Times New Roman" w:hAnsi="Times New Roman" w:cs="Times New Roman"/>
          <w:i/>
          <w:iCs/>
          <w:sz w:val="24"/>
        </w:rPr>
        <w:t>Brazilian Journal of Otorhinolaryngology</w:t>
      </w:r>
      <w:r w:rsidR="00991E1D" w:rsidRPr="00991E1D">
        <w:rPr>
          <w:rFonts w:ascii="Times New Roman" w:hAnsi="Times New Roman" w:cs="Times New Roman"/>
          <w:sz w:val="24"/>
        </w:rPr>
        <w:t xml:space="preserve">, </w:t>
      </w:r>
      <w:r w:rsidR="00991E1D" w:rsidRPr="00991E1D">
        <w:rPr>
          <w:rFonts w:ascii="Times New Roman" w:hAnsi="Times New Roman" w:cs="Times New Roman"/>
          <w:i/>
          <w:iCs/>
          <w:sz w:val="24"/>
        </w:rPr>
        <w:t>78</w:t>
      </w:r>
      <w:r w:rsidR="00991E1D" w:rsidRPr="00991E1D">
        <w:rPr>
          <w:rFonts w:ascii="Times New Roman" w:hAnsi="Times New Roman" w:cs="Times New Roman"/>
          <w:sz w:val="24"/>
        </w:rPr>
        <w:t>(1), 68–74. https://doi.org/10.1590/s1808-86942012000100011</w:t>
      </w:r>
    </w:p>
    <w:p w14:paraId="13468FC5"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Bouzidi, A., Azizi, A., Messaoudi, O., Abderrezzak, K., Vidari, G., Hellal, A. N., &amp; Patel, C. N. (2023). Phytochemical analysis, biological activities of methanolic extracts and an isolated flavonoid from Tunisian Limoniastrum monopetalum (L.) Boiss: An in vitro and in silico investigations. </w:t>
      </w:r>
      <w:r w:rsidRPr="00991E1D">
        <w:rPr>
          <w:rFonts w:ascii="Times New Roman" w:hAnsi="Times New Roman" w:cs="Times New Roman"/>
          <w:i/>
          <w:iCs/>
          <w:sz w:val="24"/>
        </w:rPr>
        <w:t>Scientific Reports</w:t>
      </w:r>
      <w:r w:rsidRPr="00991E1D">
        <w:rPr>
          <w:rFonts w:ascii="Times New Roman" w:hAnsi="Times New Roman" w:cs="Times New Roman"/>
          <w:sz w:val="24"/>
        </w:rPr>
        <w:t xml:space="preserve">, </w:t>
      </w:r>
      <w:r w:rsidRPr="00991E1D">
        <w:rPr>
          <w:rFonts w:ascii="Times New Roman" w:hAnsi="Times New Roman" w:cs="Times New Roman"/>
          <w:i/>
          <w:iCs/>
          <w:sz w:val="24"/>
        </w:rPr>
        <w:t>13</w:t>
      </w:r>
      <w:r w:rsidRPr="00991E1D">
        <w:rPr>
          <w:rFonts w:ascii="Times New Roman" w:hAnsi="Times New Roman" w:cs="Times New Roman"/>
          <w:sz w:val="24"/>
        </w:rPr>
        <w:t>(1), 19144. https://doi.org/10.1038/s41598-023-46457-6</w:t>
      </w:r>
    </w:p>
    <w:p w14:paraId="150631AA"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lastRenderedPageBreak/>
        <w:t xml:space="preserve">Chandra, S., Khan, S., Avula, B., Lata, H., Yang, M. H., ElSohly, M. A., &amp; Khan, I. A. (2014). Assessment of Total Phenolic and Flavonoid Content, Antioxidant Properties, and Yield of Aeroponically and Conventionally Grown Leafy Vegetables and Fruit Crops: A Comparative Study. </w:t>
      </w:r>
      <w:r w:rsidRPr="00991E1D">
        <w:rPr>
          <w:rFonts w:ascii="Times New Roman" w:hAnsi="Times New Roman" w:cs="Times New Roman"/>
          <w:i/>
          <w:iCs/>
          <w:sz w:val="24"/>
        </w:rPr>
        <w:t>Evidence-Based Complementary and Alternative Medicine</w:t>
      </w:r>
      <w:r w:rsidRPr="00991E1D">
        <w:rPr>
          <w:rFonts w:ascii="Times New Roman" w:hAnsi="Times New Roman" w:cs="Times New Roman"/>
          <w:sz w:val="24"/>
        </w:rPr>
        <w:t xml:space="preserve">, </w:t>
      </w:r>
      <w:r w:rsidRPr="00991E1D">
        <w:rPr>
          <w:rFonts w:ascii="Times New Roman" w:hAnsi="Times New Roman" w:cs="Times New Roman"/>
          <w:i/>
          <w:iCs/>
          <w:sz w:val="24"/>
        </w:rPr>
        <w:t>2014</w:t>
      </w:r>
      <w:r w:rsidRPr="00991E1D">
        <w:rPr>
          <w:rFonts w:ascii="Times New Roman" w:hAnsi="Times New Roman" w:cs="Times New Roman"/>
          <w:sz w:val="24"/>
        </w:rPr>
        <w:t>(1), 253875. https://doi.org/10.1155/2014/253875</w:t>
      </w:r>
    </w:p>
    <w:p w14:paraId="29AC09F8"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Dikamu, M., Ezez, D., Birhanu, H., Mamo, A., &amp; Tefera, M. (2025). Analysis of phytochemical constituents using GC–MS, evaluation of antioxidants and antibacterial activities of Maerua oblongifolia root bark extracts. </w:t>
      </w:r>
      <w:r w:rsidRPr="00991E1D">
        <w:rPr>
          <w:rFonts w:ascii="Times New Roman" w:hAnsi="Times New Roman" w:cs="Times New Roman"/>
          <w:i/>
          <w:iCs/>
          <w:sz w:val="24"/>
        </w:rPr>
        <w:t>Discover Applied Sciences</w:t>
      </w:r>
      <w:r w:rsidRPr="00991E1D">
        <w:rPr>
          <w:rFonts w:ascii="Times New Roman" w:hAnsi="Times New Roman" w:cs="Times New Roman"/>
          <w:sz w:val="24"/>
        </w:rPr>
        <w:t xml:space="preserve">, </w:t>
      </w:r>
      <w:r w:rsidRPr="00991E1D">
        <w:rPr>
          <w:rFonts w:ascii="Times New Roman" w:hAnsi="Times New Roman" w:cs="Times New Roman"/>
          <w:i/>
          <w:iCs/>
          <w:sz w:val="24"/>
        </w:rPr>
        <w:t>7</w:t>
      </w:r>
      <w:r w:rsidRPr="00991E1D">
        <w:rPr>
          <w:rFonts w:ascii="Times New Roman" w:hAnsi="Times New Roman" w:cs="Times New Roman"/>
          <w:sz w:val="24"/>
        </w:rPr>
        <w:t>(5), 417. https://doi.org/10.1007/s42452-025-06939-w</w:t>
      </w:r>
    </w:p>
    <w:p w14:paraId="4807464F"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Erizal, E., Hanafiah, M., Mudatsir, M., Helmi, T., &amp; Yusuf, M. (2024). Determination of Total Phenolic Content and Total Flavonoid Content of Nutmeg Flesh (Myristica Fragrans Houtt) Ethanol Extract from South Aceh Province. </w:t>
      </w:r>
      <w:r w:rsidRPr="00991E1D">
        <w:rPr>
          <w:rFonts w:ascii="Times New Roman" w:hAnsi="Times New Roman" w:cs="Times New Roman"/>
          <w:i/>
          <w:iCs/>
          <w:sz w:val="24"/>
        </w:rPr>
        <w:t>IOP Conference Series: Earth and Environmental Science</w:t>
      </w:r>
      <w:r w:rsidRPr="00991E1D">
        <w:rPr>
          <w:rFonts w:ascii="Times New Roman" w:hAnsi="Times New Roman" w:cs="Times New Roman"/>
          <w:sz w:val="24"/>
        </w:rPr>
        <w:t xml:space="preserve">, </w:t>
      </w:r>
      <w:r w:rsidRPr="00991E1D">
        <w:rPr>
          <w:rFonts w:ascii="Times New Roman" w:hAnsi="Times New Roman" w:cs="Times New Roman"/>
          <w:i/>
          <w:iCs/>
          <w:sz w:val="24"/>
        </w:rPr>
        <w:t>1297</w:t>
      </w:r>
      <w:r w:rsidRPr="00991E1D">
        <w:rPr>
          <w:rFonts w:ascii="Times New Roman" w:hAnsi="Times New Roman" w:cs="Times New Roman"/>
          <w:sz w:val="24"/>
        </w:rPr>
        <w:t>(1), 012053. https://doi.org/10.1088/1755-1315/1297/1/012053</w:t>
      </w:r>
    </w:p>
    <w:p w14:paraId="5A212F05" w14:textId="1EAD6860"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Larit, F., León, F., Jasika-Misiak, I., Wieczorek, P. P., &amp; Cutler, S. J. (2016). Phenolic Content And Antioxidant Activity Of Cytisus Villosus And Hypericum Afrum Extracts. </w:t>
      </w:r>
      <w:r w:rsidRPr="00991E1D">
        <w:rPr>
          <w:rFonts w:ascii="Times New Roman" w:hAnsi="Times New Roman" w:cs="Times New Roman"/>
          <w:i/>
          <w:iCs/>
          <w:sz w:val="24"/>
        </w:rPr>
        <w:t>Planta Medica</w:t>
      </w:r>
      <w:r w:rsidRPr="00991E1D">
        <w:rPr>
          <w:rFonts w:ascii="Times New Roman" w:hAnsi="Times New Roman" w:cs="Times New Roman"/>
          <w:sz w:val="24"/>
        </w:rPr>
        <w:t xml:space="preserve">, </w:t>
      </w:r>
      <w:r w:rsidRPr="00991E1D">
        <w:rPr>
          <w:rFonts w:ascii="Times New Roman" w:hAnsi="Times New Roman" w:cs="Times New Roman"/>
          <w:i/>
          <w:iCs/>
          <w:sz w:val="24"/>
        </w:rPr>
        <w:t>82</w:t>
      </w:r>
      <w:r w:rsidRPr="00991E1D">
        <w:rPr>
          <w:rFonts w:ascii="Times New Roman" w:hAnsi="Times New Roman" w:cs="Times New Roman"/>
          <w:sz w:val="24"/>
        </w:rPr>
        <w:t>(05), PB21. https://doi.org/10.1055/s-0036-1578669</w:t>
      </w:r>
    </w:p>
    <w:p w14:paraId="4CDA692C"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Latif, R., &amp; Nawaz, T. (2025). Medicinal plants and human health: A comprehensive review of bioactive compounds, therapeutic effects, and applications. </w:t>
      </w:r>
      <w:r w:rsidRPr="00991E1D">
        <w:rPr>
          <w:rFonts w:ascii="Times New Roman" w:hAnsi="Times New Roman" w:cs="Times New Roman"/>
          <w:i/>
          <w:iCs/>
          <w:sz w:val="24"/>
        </w:rPr>
        <w:t>Phytochemistry Reviews</w:t>
      </w:r>
      <w:r w:rsidRPr="00991E1D">
        <w:rPr>
          <w:rFonts w:ascii="Times New Roman" w:hAnsi="Times New Roman" w:cs="Times New Roman"/>
          <w:sz w:val="24"/>
        </w:rPr>
        <w:t>. https://doi.org/10.1007/s11101-025-10194-7</w:t>
      </w:r>
    </w:p>
    <w:p w14:paraId="720190E7"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Mandal, S., Patra, A., Samanta, A., Roy, S., Mandal, A., Mahapatra, T. D., Pradhan, S., Das, K., &amp; Nandi, D. K. (2013). Analysis of phytochemical profile of </w:t>
      </w:r>
      <w:r w:rsidRPr="00991E1D">
        <w:rPr>
          <w:rFonts w:ascii="Times New Roman" w:hAnsi="Times New Roman" w:cs="Times New Roman"/>
          <w:i/>
          <w:iCs/>
          <w:sz w:val="24"/>
        </w:rPr>
        <w:t>Terminalia arjuna</w:t>
      </w:r>
      <w:r w:rsidRPr="00991E1D">
        <w:rPr>
          <w:rFonts w:ascii="Times New Roman" w:hAnsi="Times New Roman" w:cs="Times New Roman"/>
          <w:sz w:val="24"/>
        </w:rPr>
        <w:t xml:space="preserve"> bark extract with antioxidative and antimicrobial properties. </w:t>
      </w:r>
      <w:r w:rsidRPr="00991E1D">
        <w:rPr>
          <w:rFonts w:ascii="Times New Roman" w:hAnsi="Times New Roman" w:cs="Times New Roman"/>
          <w:i/>
          <w:iCs/>
          <w:sz w:val="24"/>
        </w:rPr>
        <w:t>Asian Pacific Journal of Tropical Biomedicine</w:t>
      </w:r>
      <w:r w:rsidRPr="00991E1D">
        <w:rPr>
          <w:rFonts w:ascii="Times New Roman" w:hAnsi="Times New Roman" w:cs="Times New Roman"/>
          <w:sz w:val="24"/>
        </w:rPr>
        <w:t xml:space="preserve">, </w:t>
      </w:r>
      <w:r w:rsidRPr="00991E1D">
        <w:rPr>
          <w:rFonts w:ascii="Times New Roman" w:hAnsi="Times New Roman" w:cs="Times New Roman"/>
          <w:i/>
          <w:iCs/>
          <w:sz w:val="24"/>
        </w:rPr>
        <w:t>3</w:t>
      </w:r>
      <w:r w:rsidRPr="00991E1D">
        <w:rPr>
          <w:rFonts w:ascii="Times New Roman" w:hAnsi="Times New Roman" w:cs="Times New Roman"/>
          <w:sz w:val="24"/>
        </w:rPr>
        <w:t>(12), 960–966. https://doi.org/10.1016/S2221-1691(13)60186-0</w:t>
      </w:r>
    </w:p>
    <w:p w14:paraId="4120D88B"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lastRenderedPageBreak/>
        <w:t xml:space="preserve">Mzali, A., Amalich, S., El-Guourrami, O., Benzeid, H., Mahraz, M. A., Cherkani-Hassani, A., Benkhnigue, O., &amp; Doukkali, A. (2025). Phytochemical Profiling, GC-MS Analysis, Antioxidant, and Antimicrobial Activities of Cannabis sativa L. var. Beldia: A Comparative Study of Four Extraction Methods. </w:t>
      </w:r>
      <w:r w:rsidRPr="00991E1D">
        <w:rPr>
          <w:rFonts w:ascii="Times New Roman" w:hAnsi="Times New Roman" w:cs="Times New Roman"/>
          <w:i/>
          <w:iCs/>
          <w:sz w:val="24"/>
        </w:rPr>
        <w:t>Tropical Journal of Natural Product Research</w:t>
      </w:r>
      <w:r w:rsidRPr="00991E1D">
        <w:rPr>
          <w:rFonts w:ascii="Times New Roman" w:hAnsi="Times New Roman" w:cs="Times New Roman"/>
          <w:sz w:val="24"/>
        </w:rPr>
        <w:t xml:space="preserve">, </w:t>
      </w:r>
      <w:r w:rsidRPr="00991E1D">
        <w:rPr>
          <w:rFonts w:ascii="Times New Roman" w:hAnsi="Times New Roman" w:cs="Times New Roman"/>
          <w:i/>
          <w:iCs/>
          <w:sz w:val="24"/>
        </w:rPr>
        <w:t>9</w:t>
      </w:r>
      <w:r w:rsidRPr="00991E1D">
        <w:rPr>
          <w:rFonts w:ascii="Times New Roman" w:hAnsi="Times New Roman" w:cs="Times New Roman"/>
          <w:sz w:val="24"/>
        </w:rPr>
        <w:t>, 1402–1422. https://doi.org/10.26538/tjnpr/v9i4.7</w:t>
      </w:r>
    </w:p>
    <w:p w14:paraId="24201242"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Nayab, A., Khan, A., Marrium, F., Waqas, M., Bashir, A., Abbas, A., Yousaf, N., Shaheen, S., &amp; Perveen, F. (2023). Recent Advances, Innovative Aspects, Botanical Description of Therapeutic Medicinal Plants and Different Applications. </w:t>
      </w:r>
      <w:r w:rsidRPr="00991E1D">
        <w:rPr>
          <w:rFonts w:ascii="Times New Roman" w:hAnsi="Times New Roman" w:cs="Times New Roman"/>
          <w:i/>
          <w:iCs/>
          <w:sz w:val="24"/>
        </w:rPr>
        <w:t>Haya: The Saudi Journal of Life Sciences</w:t>
      </w:r>
      <w:r w:rsidRPr="00991E1D">
        <w:rPr>
          <w:rFonts w:ascii="Times New Roman" w:hAnsi="Times New Roman" w:cs="Times New Roman"/>
          <w:sz w:val="24"/>
        </w:rPr>
        <w:t xml:space="preserve">, </w:t>
      </w:r>
      <w:r w:rsidRPr="00991E1D">
        <w:rPr>
          <w:rFonts w:ascii="Times New Roman" w:hAnsi="Times New Roman" w:cs="Times New Roman"/>
          <w:i/>
          <w:iCs/>
          <w:sz w:val="24"/>
        </w:rPr>
        <w:t>8</w:t>
      </w:r>
      <w:r w:rsidRPr="00991E1D">
        <w:rPr>
          <w:rFonts w:ascii="Times New Roman" w:hAnsi="Times New Roman" w:cs="Times New Roman"/>
          <w:sz w:val="24"/>
        </w:rPr>
        <w:t>(04), 44–50. https://doi.org/10.36348/sjls.2023.v08i04.001</w:t>
      </w:r>
    </w:p>
    <w:p w14:paraId="7D692592" w14:textId="498A4778"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Rajaram, V., Namasivayam, A., Shanmugam, R., Mahendra, J., Sudhakar, U., Munusamy, T., &amp; Subbiah, U. (2024). Terminalia arjuna: An overview of its magical properties. </w:t>
      </w:r>
      <w:r w:rsidRPr="00991E1D">
        <w:rPr>
          <w:rFonts w:ascii="Times New Roman" w:hAnsi="Times New Roman" w:cs="Times New Roman"/>
          <w:i/>
          <w:iCs/>
          <w:sz w:val="24"/>
        </w:rPr>
        <w:t>Bioinformation</w:t>
      </w:r>
      <w:r w:rsidRPr="00991E1D">
        <w:rPr>
          <w:rFonts w:ascii="Times New Roman" w:hAnsi="Times New Roman" w:cs="Times New Roman"/>
          <w:sz w:val="24"/>
        </w:rPr>
        <w:t xml:space="preserve">, </w:t>
      </w:r>
      <w:r w:rsidRPr="00991E1D">
        <w:rPr>
          <w:rFonts w:ascii="Times New Roman" w:hAnsi="Times New Roman" w:cs="Times New Roman"/>
          <w:i/>
          <w:iCs/>
          <w:sz w:val="24"/>
        </w:rPr>
        <w:t>20</w:t>
      </w:r>
      <w:r w:rsidRPr="00991E1D">
        <w:rPr>
          <w:rFonts w:ascii="Times New Roman" w:hAnsi="Times New Roman" w:cs="Times New Roman"/>
          <w:sz w:val="24"/>
        </w:rPr>
        <w:t>(12), 2080.</w:t>
      </w:r>
    </w:p>
    <w:p w14:paraId="55BF3503" w14:textId="4B63B5C3"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Roy, A., Khan, A., Ahmad, I., Alghamdi, S., Rajab, B. S., Babalghith, A. O., Alshahrani, M. Y., Islam, S., &amp; Islam, Md. R. (2022). Flavonoids a Bioactive Compound from Medicinal Plants and Its Therapeutic Applications. </w:t>
      </w:r>
      <w:r w:rsidRPr="00991E1D">
        <w:rPr>
          <w:rFonts w:ascii="Times New Roman" w:hAnsi="Times New Roman" w:cs="Times New Roman"/>
          <w:i/>
          <w:iCs/>
          <w:sz w:val="24"/>
        </w:rPr>
        <w:t>BioMed Research International</w:t>
      </w:r>
      <w:r w:rsidRPr="00991E1D">
        <w:rPr>
          <w:rFonts w:ascii="Times New Roman" w:hAnsi="Times New Roman" w:cs="Times New Roman"/>
          <w:sz w:val="24"/>
        </w:rPr>
        <w:t xml:space="preserve">, </w:t>
      </w:r>
      <w:r w:rsidRPr="00991E1D">
        <w:rPr>
          <w:rFonts w:ascii="Times New Roman" w:hAnsi="Times New Roman" w:cs="Times New Roman"/>
          <w:i/>
          <w:iCs/>
          <w:sz w:val="24"/>
        </w:rPr>
        <w:t>2022</w:t>
      </w:r>
      <w:r w:rsidRPr="00991E1D">
        <w:rPr>
          <w:rFonts w:ascii="Times New Roman" w:hAnsi="Times New Roman" w:cs="Times New Roman"/>
          <w:sz w:val="24"/>
        </w:rPr>
        <w:t>(1), 5445291. https://doi.org/10.1155/2022/5445291</w:t>
      </w:r>
    </w:p>
    <w:p w14:paraId="6E5DCD73" w14:textId="59ED2EFB"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Sabaragamuwa, R., &amp; Perera, C. O. (2023). Total Triterpenes, Polyphenols, Flavonoids, and Antioxidant Activity of Bioactive Phytochemicals of Centella asiatica by Different Extraction Techniques. </w:t>
      </w:r>
      <w:r w:rsidRPr="00991E1D">
        <w:rPr>
          <w:rFonts w:ascii="Times New Roman" w:hAnsi="Times New Roman" w:cs="Times New Roman"/>
          <w:i/>
          <w:iCs/>
          <w:sz w:val="24"/>
        </w:rPr>
        <w:t>Foods</w:t>
      </w:r>
      <w:r w:rsidRPr="00991E1D">
        <w:rPr>
          <w:rFonts w:ascii="Times New Roman" w:hAnsi="Times New Roman" w:cs="Times New Roman"/>
          <w:sz w:val="24"/>
        </w:rPr>
        <w:t xml:space="preserve">, </w:t>
      </w:r>
      <w:r w:rsidRPr="00991E1D">
        <w:rPr>
          <w:rFonts w:ascii="Times New Roman" w:hAnsi="Times New Roman" w:cs="Times New Roman"/>
          <w:i/>
          <w:iCs/>
          <w:sz w:val="24"/>
        </w:rPr>
        <w:t>12</w:t>
      </w:r>
      <w:r w:rsidRPr="00991E1D">
        <w:rPr>
          <w:rFonts w:ascii="Times New Roman" w:hAnsi="Times New Roman" w:cs="Times New Roman"/>
          <w:sz w:val="24"/>
        </w:rPr>
        <w:t>(21). https://doi.org/10.3390/foods12213972</w:t>
      </w:r>
    </w:p>
    <w:p w14:paraId="4BACE16A"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Shu, F., Hu, Y., Sarsaiya, S., Jin, L., Yang, X., Liu, F., Zhu, J., Chen, G., &amp; Chen, J. (2025). Plant-derived extracellular vesicles quality control: Key process progress and future research directions​. </w:t>
      </w:r>
      <w:r w:rsidRPr="00991E1D">
        <w:rPr>
          <w:rFonts w:ascii="Times New Roman" w:hAnsi="Times New Roman" w:cs="Times New Roman"/>
          <w:i/>
          <w:iCs/>
          <w:sz w:val="24"/>
        </w:rPr>
        <w:t>Discover Nano</w:t>
      </w:r>
      <w:r w:rsidRPr="00991E1D">
        <w:rPr>
          <w:rFonts w:ascii="Times New Roman" w:hAnsi="Times New Roman" w:cs="Times New Roman"/>
          <w:sz w:val="24"/>
        </w:rPr>
        <w:t xml:space="preserve">, </w:t>
      </w:r>
      <w:r w:rsidRPr="00991E1D">
        <w:rPr>
          <w:rFonts w:ascii="Times New Roman" w:hAnsi="Times New Roman" w:cs="Times New Roman"/>
          <w:i/>
          <w:iCs/>
          <w:sz w:val="24"/>
        </w:rPr>
        <w:t>20</w:t>
      </w:r>
      <w:r w:rsidRPr="00991E1D">
        <w:rPr>
          <w:rFonts w:ascii="Times New Roman" w:hAnsi="Times New Roman" w:cs="Times New Roman"/>
          <w:sz w:val="24"/>
        </w:rPr>
        <w:t>(1), 233. https://doi.org/10.1186/s11671-025-04399-0</w:t>
      </w:r>
    </w:p>
    <w:p w14:paraId="42508111"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lastRenderedPageBreak/>
        <w:t xml:space="preserve">Tahir, H., Akhtar, M. N., Bishoyi, A. K., Sanghvi, G., Rasheed, M., Afzaal, M., Imran, A., Saeed, F., Khare, N., Ahmed, F., Sahni, O., Ateeq, H., Islam, F., &amp; Kinki, A. B. (2025). Nutritional Composition, Phytochemical Profile, Extraction Methods of Bioactive Components, and Health Benefits of Terminalia Arjuna Bark. </w:t>
      </w:r>
      <w:r w:rsidRPr="00991E1D">
        <w:rPr>
          <w:rFonts w:ascii="Times New Roman" w:hAnsi="Times New Roman" w:cs="Times New Roman"/>
          <w:i/>
          <w:iCs/>
          <w:sz w:val="24"/>
        </w:rPr>
        <w:t>eFood</w:t>
      </w:r>
      <w:r w:rsidRPr="00991E1D">
        <w:rPr>
          <w:rFonts w:ascii="Times New Roman" w:hAnsi="Times New Roman" w:cs="Times New Roman"/>
          <w:sz w:val="24"/>
        </w:rPr>
        <w:t xml:space="preserve">, </w:t>
      </w:r>
      <w:r w:rsidRPr="00991E1D">
        <w:rPr>
          <w:rFonts w:ascii="Times New Roman" w:hAnsi="Times New Roman" w:cs="Times New Roman"/>
          <w:i/>
          <w:iCs/>
          <w:sz w:val="24"/>
        </w:rPr>
        <w:t>6</w:t>
      </w:r>
      <w:r w:rsidRPr="00991E1D">
        <w:rPr>
          <w:rFonts w:ascii="Times New Roman" w:hAnsi="Times New Roman" w:cs="Times New Roman"/>
          <w:sz w:val="24"/>
        </w:rPr>
        <w:t>(2), e70038. https://doi.org/10.1002/efd2.70038</w:t>
      </w:r>
    </w:p>
    <w:p w14:paraId="25742FAF"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Uthirapathy, S., &amp; Ahamad, J. (2019). PHYTOCHEMICAL ANALYSIS OF DIFFERENT FRACTIONS OF TERMINALIA ARJUNA BARK BY GC-MS. </w:t>
      </w:r>
      <w:r w:rsidRPr="00991E1D">
        <w:rPr>
          <w:rFonts w:ascii="Times New Roman" w:hAnsi="Times New Roman" w:cs="Times New Roman"/>
          <w:i/>
          <w:iCs/>
          <w:sz w:val="24"/>
        </w:rPr>
        <w:t>International Research Journal Of Pharmacy</w:t>
      </w:r>
      <w:r w:rsidRPr="00991E1D">
        <w:rPr>
          <w:rFonts w:ascii="Times New Roman" w:hAnsi="Times New Roman" w:cs="Times New Roman"/>
          <w:sz w:val="24"/>
        </w:rPr>
        <w:t xml:space="preserve">, </w:t>
      </w:r>
      <w:r w:rsidRPr="00991E1D">
        <w:rPr>
          <w:rFonts w:ascii="Times New Roman" w:hAnsi="Times New Roman" w:cs="Times New Roman"/>
          <w:i/>
          <w:iCs/>
          <w:sz w:val="24"/>
        </w:rPr>
        <w:t>10</w:t>
      </w:r>
      <w:r w:rsidRPr="00991E1D">
        <w:rPr>
          <w:rFonts w:ascii="Times New Roman" w:hAnsi="Times New Roman" w:cs="Times New Roman"/>
          <w:sz w:val="24"/>
        </w:rPr>
        <w:t>, 10. https://doi.org/10.7897/2230-8407.10018</w:t>
      </w:r>
    </w:p>
    <w:p w14:paraId="7556237D"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Vijayalakshmi, R., Ambalavanan, N., &amp; Rajeshkumar, S. (2023). Antimicrobial and anti-inflammatory activity of Terminalia arjuna. </w:t>
      </w:r>
      <w:r w:rsidRPr="00991E1D">
        <w:rPr>
          <w:rFonts w:ascii="Times New Roman" w:hAnsi="Times New Roman" w:cs="Times New Roman"/>
          <w:i/>
          <w:iCs/>
          <w:sz w:val="24"/>
        </w:rPr>
        <w:t>Bioinformation</w:t>
      </w:r>
      <w:r w:rsidRPr="00991E1D">
        <w:rPr>
          <w:rFonts w:ascii="Times New Roman" w:hAnsi="Times New Roman" w:cs="Times New Roman"/>
          <w:sz w:val="24"/>
        </w:rPr>
        <w:t xml:space="preserve">, </w:t>
      </w:r>
      <w:r w:rsidRPr="00991E1D">
        <w:rPr>
          <w:rFonts w:ascii="Times New Roman" w:hAnsi="Times New Roman" w:cs="Times New Roman"/>
          <w:i/>
          <w:iCs/>
          <w:sz w:val="24"/>
        </w:rPr>
        <w:t>19</w:t>
      </w:r>
      <w:r w:rsidRPr="00991E1D">
        <w:rPr>
          <w:rFonts w:ascii="Times New Roman" w:hAnsi="Times New Roman" w:cs="Times New Roman"/>
          <w:sz w:val="24"/>
        </w:rPr>
        <w:t>(2), 184.</w:t>
      </w:r>
    </w:p>
    <w:p w14:paraId="049C673A"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Wawrosch, C., &amp; Zotchev, S. B. (2021). Production of bioactive plant secondary metabolites through in vitro technologies—Status and outlook. </w:t>
      </w:r>
      <w:r w:rsidRPr="00991E1D">
        <w:rPr>
          <w:rFonts w:ascii="Times New Roman" w:hAnsi="Times New Roman" w:cs="Times New Roman"/>
          <w:i/>
          <w:iCs/>
          <w:sz w:val="24"/>
        </w:rPr>
        <w:t>Applied Microbiology and Biotechnology</w:t>
      </w:r>
      <w:r w:rsidRPr="00991E1D">
        <w:rPr>
          <w:rFonts w:ascii="Times New Roman" w:hAnsi="Times New Roman" w:cs="Times New Roman"/>
          <w:sz w:val="24"/>
        </w:rPr>
        <w:t xml:space="preserve">, </w:t>
      </w:r>
      <w:r w:rsidRPr="00991E1D">
        <w:rPr>
          <w:rFonts w:ascii="Times New Roman" w:hAnsi="Times New Roman" w:cs="Times New Roman"/>
          <w:i/>
          <w:iCs/>
          <w:sz w:val="24"/>
        </w:rPr>
        <w:t>105</w:t>
      </w:r>
      <w:r w:rsidRPr="00991E1D">
        <w:rPr>
          <w:rFonts w:ascii="Times New Roman" w:hAnsi="Times New Roman" w:cs="Times New Roman"/>
          <w:sz w:val="24"/>
        </w:rPr>
        <w:t>(18), 6649–6668. https://doi.org/10.1007/s00253-021-11539-w</w:t>
      </w:r>
    </w:p>
    <w:p w14:paraId="7F30D670" w14:textId="794BDCCB"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Yadav, R. P., Huo, C., Budhathoki, R., Budthapa, P., Bhattarai, B. R., Rana, M., Kim, K. H., &amp; Parajuli, N. (2024). Antibacterial, Antifungal, and Cytotoxic Effects of Endophytic Streptomyces Species Isolated from the Himalayan Regions of Nepal and Their Metabolite Study. </w:t>
      </w:r>
      <w:r w:rsidRPr="00991E1D">
        <w:rPr>
          <w:rFonts w:ascii="Times New Roman" w:hAnsi="Times New Roman" w:cs="Times New Roman"/>
          <w:i/>
          <w:iCs/>
          <w:sz w:val="24"/>
        </w:rPr>
        <w:t>Biomedicines</w:t>
      </w:r>
      <w:r w:rsidRPr="00991E1D">
        <w:rPr>
          <w:rFonts w:ascii="Times New Roman" w:hAnsi="Times New Roman" w:cs="Times New Roman"/>
          <w:sz w:val="24"/>
        </w:rPr>
        <w:t xml:space="preserve">, </w:t>
      </w:r>
      <w:r w:rsidRPr="00991E1D">
        <w:rPr>
          <w:rFonts w:ascii="Times New Roman" w:hAnsi="Times New Roman" w:cs="Times New Roman"/>
          <w:i/>
          <w:iCs/>
          <w:sz w:val="24"/>
        </w:rPr>
        <w:t>12</w:t>
      </w:r>
      <w:r w:rsidRPr="00991E1D">
        <w:rPr>
          <w:rFonts w:ascii="Times New Roman" w:hAnsi="Times New Roman" w:cs="Times New Roman"/>
          <w:sz w:val="24"/>
        </w:rPr>
        <w:t>(10).</w:t>
      </w:r>
      <w:r w:rsidR="002B7989">
        <w:rPr>
          <w:rFonts w:ascii="Times New Roman" w:hAnsi="Times New Roman" w:cs="Times New Roman"/>
          <w:sz w:val="24"/>
        </w:rPr>
        <w:t xml:space="preserve"> </w:t>
      </w:r>
      <w:r w:rsidRPr="00991E1D">
        <w:rPr>
          <w:rFonts w:ascii="Times New Roman" w:hAnsi="Times New Roman" w:cs="Times New Roman"/>
          <w:sz w:val="24"/>
        </w:rPr>
        <w:t>https://doi.org/10.3390/biomedicines12102192</w:t>
      </w:r>
    </w:p>
    <w:p w14:paraId="6236348C" w14:textId="441D3BBB" w:rsidR="0000308A" w:rsidRPr="001A3BEE" w:rsidRDefault="00E74DB8" w:rsidP="001A3BEE">
      <w:pPr>
        <w:spacing w:before="240" w:after="24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fldChar w:fldCharType="end"/>
      </w:r>
    </w:p>
    <w:sectPr w:rsidR="0000308A" w:rsidRPr="001A3BEE">
      <w:headerReference w:type="even" r:id="rId11"/>
      <w:headerReference w:type="default" r:id="rId12"/>
      <w:footerReference w:type="even" r:id="rId13"/>
      <w:footerReference w:type="default" r:id="rId14"/>
      <w:headerReference w:type="first" r:id="rId15"/>
      <w:footerReference w:type="firs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5E084" w14:textId="77777777" w:rsidR="00C2691E" w:rsidRDefault="00C2691E" w:rsidP="00D45965">
      <w:pPr>
        <w:spacing w:line="240" w:lineRule="auto"/>
      </w:pPr>
      <w:r>
        <w:separator/>
      </w:r>
    </w:p>
  </w:endnote>
  <w:endnote w:type="continuationSeparator" w:id="0">
    <w:p w14:paraId="1763782A" w14:textId="77777777" w:rsidR="00C2691E" w:rsidRDefault="00C2691E" w:rsidP="00D459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embedRegular r:id="rId1" w:fontKey="{CF7FA32F-626F-4C97-81C8-DCBE18763F6E}"/>
  </w:font>
  <w:font w:name="Cambria Math">
    <w:panose1 w:val="02040503050406030204"/>
    <w:charset w:val="00"/>
    <w:family w:val="roman"/>
    <w:pitch w:val="variable"/>
    <w:sig w:usb0="E00006FF" w:usb1="420024FF" w:usb2="02000000" w:usb3="00000000" w:csb0="0000019F" w:csb1="00000000"/>
    <w:embedRegular r:id="rId2" w:fontKey="{0EECC794-3A22-4E8D-96C1-204417F53465}"/>
    <w:embedBold r:id="rId3" w:fontKey="{4F481045-E53F-47C5-B958-8FCA58F0238C}"/>
    <w:embedBoldItalic r:id="rId4" w:fontKey="{432783A1-B356-4569-9ED0-B3D291CD9DAA}"/>
  </w:font>
  <w:font w:name="Calibri">
    <w:panose1 w:val="020F0502020204030204"/>
    <w:charset w:val="00"/>
    <w:family w:val="swiss"/>
    <w:pitch w:val="variable"/>
    <w:sig w:usb0="E4002EFF" w:usb1="C000247B" w:usb2="00000009" w:usb3="00000000" w:csb0="000001FF" w:csb1="00000000"/>
    <w:embedRegular r:id="rId5" w:fontKey="{B5502FFB-B990-4F23-909A-9C3BB64BD7C1}"/>
  </w:font>
  <w:font w:name="Angsana New">
    <w:panose1 w:val="02020603050405020304"/>
    <w:charset w:val="DE"/>
    <w:family w:val="roman"/>
    <w:pitch w:val="variable"/>
    <w:sig w:usb0="81000003" w:usb1="00000000" w:usb2="00000000" w:usb3="00000000" w:csb0="00010001" w:csb1="00000000"/>
    <w:embedRegular r:id="rId6" w:fontKey="{B257BE28-9E31-47DD-A7D7-E6C6D5F65004}"/>
  </w:font>
  <w:font w:name="Cambria">
    <w:panose1 w:val="02040503050406030204"/>
    <w:charset w:val="00"/>
    <w:family w:val="roman"/>
    <w:pitch w:val="variable"/>
    <w:sig w:usb0="E00006FF" w:usb1="420024FF" w:usb2="02000000" w:usb3="00000000" w:csb0="0000019F" w:csb1="00000000"/>
    <w:embedRegular r:id="rId7" w:fontKey="{9B2A5FF0-BF17-431D-8C7D-7FEC6408CF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2DE39" w14:textId="77777777" w:rsidR="00265A00" w:rsidRDefault="00265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B810A" w14:textId="77777777" w:rsidR="00265A00" w:rsidRDefault="00265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E099B" w14:textId="77777777" w:rsidR="00265A00" w:rsidRDefault="00265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7DBD7" w14:textId="77777777" w:rsidR="00C2691E" w:rsidRDefault="00C2691E" w:rsidP="00D45965">
      <w:pPr>
        <w:spacing w:line="240" w:lineRule="auto"/>
      </w:pPr>
      <w:r>
        <w:separator/>
      </w:r>
    </w:p>
  </w:footnote>
  <w:footnote w:type="continuationSeparator" w:id="0">
    <w:p w14:paraId="3B95B96A" w14:textId="77777777" w:rsidR="00C2691E" w:rsidRDefault="00C2691E" w:rsidP="00D459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BE1DB" w14:textId="59D03119" w:rsidR="00265A00" w:rsidRDefault="00000000">
    <w:pPr>
      <w:pStyle w:val="Header"/>
    </w:pPr>
    <w:r>
      <w:rPr>
        <w:noProof/>
      </w:rPr>
      <w:pict w14:anchorId="22C77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77797"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98FE" w14:textId="10611F00" w:rsidR="00265A00" w:rsidRDefault="00000000">
    <w:pPr>
      <w:pStyle w:val="Header"/>
    </w:pPr>
    <w:r>
      <w:rPr>
        <w:noProof/>
      </w:rPr>
      <w:pict w14:anchorId="3B503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77798" o:spid="_x0000_s1027"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D9B0D" w14:textId="2C7D92C6" w:rsidR="00265A00" w:rsidRDefault="00000000">
    <w:pPr>
      <w:pStyle w:val="Header"/>
    </w:pPr>
    <w:r>
      <w:rPr>
        <w:noProof/>
      </w:rPr>
      <w:pict w14:anchorId="79AAE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77796"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157CD"/>
    <w:multiLevelType w:val="multilevel"/>
    <w:tmpl w:val="345628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02265EB"/>
    <w:multiLevelType w:val="multilevel"/>
    <w:tmpl w:val="4A0E4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0904D2"/>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E0E14AB"/>
    <w:multiLevelType w:val="multilevel"/>
    <w:tmpl w:val="CD48F6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2F42568"/>
    <w:multiLevelType w:val="multilevel"/>
    <w:tmpl w:val="55D062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75877F62"/>
    <w:multiLevelType w:val="multilevel"/>
    <w:tmpl w:val="3B0CB7E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54593651">
    <w:abstractNumId w:val="1"/>
  </w:num>
  <w:num w:numId="2" w16cid:durableId="1150974919">
    <w:abstractNumId w:val="0"/>
  </w:num>
  <w:num w:numId="3" w16cid:durableId="32846815">
    <w:abstractNumId w:val="4"/>
  </w:num>
  <w:num w:numId="4" w16cid:durableId="1155561185">
    <w:abstractNumId w:val="2"/>
  </w:num>
  <w:num w:numId="5" w16cid:durableId="1225288263">
    <w:abstractNumId w:val="5"/>
  </w:num>
  <w:num w:numId="6" w16cid:durableId="21070716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08A"/>
    <w:rsid w:val="0000308A"/>
    <w:rsid w:val="000375EF"/>
    <w:rsid w:val="00055E27"/>
    <w:rsid w:val="000761BF"/>
    <w:rsid w:val="000A70FC"/>
    <w:rsid w:val="000A7332"/>
    <w:rsid w:val="000E3D98"/>
    <w:rsid w:val="00117CF3"/>
    <w:rsid w:val="00117ED7"/>
    <w:rsid w:val="0014092A"/>
    <w:rsid w:val="0014789F"/>
    <w:rsid w:val="001A112E"/>
    <w:rsid w:val="001A3BEE"/>
    <w:rsid w:val="001B5C7B"/>
    <w:rsid w:val="001C7D91"/>
    <w:rsid w:val="001E12FA"/>
    <w:rsid w:val="001F0218"/>
    <w:rsid w:val="001F5DEA"/>
    <w:rsid w:val="00200793"/>
    <w:rsid w:val="002116E4"/>
    <w:rsid w:val="002266E9"/>
    <w:rsid w:val="00254A0D"/>
    <w:rsid w:val="00265A00"/>
    <w:rsid w:val="00274ACE"/>
    <w:rsid w:val="00282193"/>
    <w:rsid w:val="002B7989"/>
    <w:rsid w:val="002C61BE"/>
    <w:rsid w:val="002D15FC"/>
    <w:rsid w:val="002E039A"/>
    <w:rsid w:val="002F670E"/>
    <w:rsid w:val="00304F9B"/>
    <w:rsid w:val="00353097"/>
    <w:rsid w:val="00372F94"/>
    <w:rsid w:val="003A158A"/>
    <w:rsid w:val="003A3E40"/>
    <w:rsid w:val="003B7DC5"/>
    <w:rsid w:val="003D0AFE"/>
    <w:rsid w:val="003F6EF7"/>
    <w:rsid w:val="00442295"/>
    <w:rsid w:val="00493A8C"/>
    <w:rsid w:val="004A469C"/>
    <w:rsid w:val="004B6083"/>
    <w:rsid w:val="00503D72"/>
    <w:rsid w:val="0051369B"/>
    <w:rsid w:val="00517C09"/>
    <w:rsid w:val="005415B5"/>
    <w:rsid w:val="005465EA"/>
    <w:rsid w:val="0057761A"/>
    <w:rsid w:val="00581D6E"/>
    <w:rsid w:val="005822AF"/>
    <w:rsid w:val="00596875"/>
    <w:rsid w:val="005A4BF8"/>
    <w:rsid w:val="005B33C1"/>
    <w:rsid w:val="005C1DF5"/>
    <w:rsid w:val="005C682D"/>
    <w:rsid w:val="005C767B"/>
    <w:rsid w:val="005D0628"/>
    <w:rsid w:val="005D2175"/>
    <w:rsid w:val="005D2CE7"/>
    <w:rsid w:val="005E5956"/>
    <w:rsid w:val="005F1F0A"/>
    <w:rsid w:val="005F42F2"/>
    <w:rsid w:val="006073AE"/>
    <w:rsid w:val="00617BE9"/>
    <w:rsid w:val="0063184B"/>
    <w:rsid w:val="00680CA9"/>
    <w:rsid w:val="006A31D2"/>
    <w:rsid w:val="006C7E4F"/>
    <w:rsid w:val="006C7F73"/>
    <w:rsid w:val="006D45FA"/>
    <w:rsid w:val="006E420C"/>
    <w:rsid w:val="006F68ED"/>
    <w:rsid w:val="0070137C"/>
    <w:rsid w:val="00750C35"/>
    <w:rsid w:val="00762153"/>
    <w:rsid w:val="007B4BDD"/>
    <w:rsid w:val="007B4C53"/>
    <w:rsid w:val="007E7833"/>
    <w:rsid w:val="008628E5"/>
    <w:rsid w:val="00880288"/>
    <w:rsid w:val="008A4F97"/>
    <w:rsid w:val="008F57EE"/>
    <w:rsid w:val="0092167F"/>
    <w:rsid w:val="00927501"/>
    <w:rsid w:val="0094113F"/>
    <w:rsid w:val="009422ED"/>
    <w:rsid w:val="00991E1D"/>
    <w:rsid w:val="009F185C"/>
    <w:rsid w:val="00A25503"/>
    <w:rsid w:val="00A41557"/>
    <w:rsid w:val="00A46E2C"/>
    <w:rsid w:val="00A817CC"/>
    <w:rsid w:val="00A8625F"/>
    <w:rsid w:val="00A94B7B"/>
    <w:rsid w:val="00AB35BC"/>
    <w:rsid w:val="00AC62EC"/>
    <w:rsid w:val="00AC71F9"/>
    <w:rsid w:val="00AD7698"/>
    <w:rsid w:val="00B161A9"/>
    <w:rsid w:val="00B67B57"/>
    <w:rsid w:val="00B77C10"/>
    <w:rsid w:val="00BF2B2B"/>
    <w:rsid w:val="00BF6F60"/>
    <w:rsid w:val="00C03F00"/>
    <w:rsid w:val="00C07E81"/>
    <w:rsid w:val="00C149AA"/>
    <w:rsid w:val="00C2691E"/>
    <w:rsid w:val="00C34571"/>
    <w:rsid w:val="00C500B2"/>
    <w:rsid w:val="00C50291"/>
    <w:rsid w:val="00C6088C"/>
    <w:rsid w:val="00C96A15"/>
    <w:rsid w:val="00CA2187"/>
    <w:rsid w:val="00CA37AD"/>
    <w:rsid w:val="00CC3C00"/>
    <w:rsid w:val="00CE4E82"/>
    <w:rsid w:val="00CF1070"/>
    <w:rsid w:val="00CF424C"/>
    <w:rsid w:val="00D31AE3"/>
    <w:rsid w:val="00D40B77"/>
    <w:rsid w:val="00D41996"/>
    <w:rsid w:val="00D45965"/>
    <w:rsid w:val="00DF4271"/>
    <w:rsid w:val="00E0766A"/>
    <w:rsid w:val="00E204D8"/>
    <w:rsid w:val="00E74DB8"/>
    <w:rsid w:val="00EB0EE0"/>
    <w:rsid w:val="00ED5EC3"/>
    <w:rsid w:val="00F04F1C"/>
    <w:rsid w:val="00F17ECA"/>
    <w:rsid w:val="00F323DB"/>
    <w:rsid w:val="00F500CB"/>
    <w:rsid w:val="00F57A28"/>
    <w:rsid w:val="00F673E5"/>
    <w:rsid w:val="00F67C51"/>
    <w:rsid w:val="00F87483"/>
    <w:rsid w:val="00FC327D"/>
    <w:rsid w:val="00FE51EE"/>
  </w:rsids>
  <m:mathPr>
    <m:mathFont m:val="Cambria Math"/>
    <m:brkBin m:val="before"/>
    <m:brkBinSub m:val="--"/>
    <m:smallFrac m:val="0"/>
    <m:dispDef/>
    <m:lMargin m:val="0"/>
    <m:rMargin m:val="0"/>
    <m:defJc m:val="centerGroup"/>
    <m:wrapIndent m:val="1440"/>
    <m:intLim m:val="subSup"/>
    <m:naryLim m:val="undOvr"/>
  </m:mathPr>
  <w:themeFontLang w:val="en-I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E1241"/>
  <w15:docId w15:val="{7E92EA62-939F-47C8-960F-723BF569C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EB0EE0"/>
    <w:pPr>
      <w:ind w:left="720"/>
      <w:contextualSpacing/>
    </w:pPr>
    <w:rPr>
      <w:rFonts w:cs="Cordia New"/>
      <w:szCs w:val="28"/>
    </w:rPr>
  </w:style>
  <w:style w:type="character" w:styleId="Hyperlink">
    <w:name w:val="Hyperlink"/>
    <w:basedOn w:val="DefaultParagraphFont"/>
    <w:uiPriority w:val="99"/>
    <w:unhideWhenUsed/>
    <w:rsid w:val="00EB0EE0"/>
    <w:rPr>
      <w:color w:val="0000FF" w:themeColor="hyperlink"/>
      <w:u w:val="single"/>
    </w:rPr>
  </w:style>
  <w:style w:type="character" w:styleId="UnresolvedMention">
    <w:name w:val="Unresolved Mention"/>
    <w:basedOn w:val="DefaultParagraphFont"/>
    <w:uiPriority w:val="99"/>
    <w:semiHidden/>
    <w:unhideWhenUsed/>
    <w:rsid w:val="00EB0EE0"/>
    <w:rPr>
      <w:color w:val="605E5C"/>
      <w:shd w:val="clear" w:color="auto" w:fill="E1DFDD"/>
    </w:rPr>
  </w:style>
  <w:style w:type="table" w:styleId="TableGrid">
    <w:name w:val="Table Grid"/>
    <w:basedOn w:val="TableNormal"/>
    <w:uiPriority w:val="39"/>
    <w:rsid w:val="005F1F0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A4BF8"/>
    <w:rPr>
      <w:color w:val="666666"/>
    </w:rPr>
  </w:style>
  <w:style w:type="paragraph" w:styleId="Header">
    <w:name w:val="header"/>
    <w:basedOn w:val="Normal"/>
    <w:link w:val="HeaderChar"/>
    <w:uiPriority w:val="99"/>
    <w:unhideWhenUsed/>
    <w:rsid w:val="00D45965"/>
    <w:pPr>
      <w:tabs>
        <w:tab w:val="center" w:pos="4513"/>
        <w:tab w:val="right" w:pos="9026"/>
      </w:tabs>
      <w:spacing w:line="240" w:lineRule="auto"/>
    </w:pPr>
    <w:rPr>
      <w:rFonts w:cs="Cordia New"/>
      <w:szCs w:val="28"/>
    </w:rPr>
  </w:style>
  <w:style w:type="character" w:customStyle="1" w:styleId="HeaderChar">
    <w:name w:val="Header Char"/>
    <w:basedOn w:val="DefaultParagraphFont"/>
    <w:link w:val="Header"/>
    <w:uiPriority w:val="99"/>
    <w:rsid w:val="00D45965"/>
    <w:rPr>
      <w:rFonts w:cs="Cordia New"/>
      <w:szCs w:val="28"/>
    </w:rPr>
  </w:style>
  <w:style w:type="paragraph" w:styleId="Footer">
    <w:name w:val="footer"/>
    <w:basedOn w:val="Normal"/>
    <w:link w:val="FooterChar"/>
    <w:uiPriority w:val="99"/>
    <w:unhideWhenUsed/>
    <w:rsid w:val="00D45965"/>
    <w:pPr>
      <w:tabs>
        <w:tab w:val="center" w:pos="4513"/>
        <w:tab w:val="right" w:pos="9026"/>
      </w:tabs>
      <w:spacing w:line="240" w:lineRule="auto"/>
    </w:pPr>
    <w:rPr>
      <w:rFonts w:cs="Cordia New"/>
      <w:szCs w:val="28"/>
    </w:rPr>
  </w:style>
  <w:style w:type="character" w:customStyle="1" w:styleId="FooterChar">
    <w:name w:val="Footer Char"/>
    <w:basedOn w:val="DefaultParagraphFont"/>
    <w:link w:val="Footer"/>
    <w:uiPriority w:val="99"/>
    <w:rsid w:val="00D45965"/>
    <w:rPr>
      <w:rFonts w:cs="Cordia New"/>
      <w:szCs w:val="28"/>
    </w:rPr>
  </w:style>
  <w:style w:type="paragraph" w:styleId="NormalWeb">
    <w:name w:val="Normal (Web)"/>
    <w:basedOn w:val="Normal"/>
    <w:uiPriority w:val="99"/>
    <w:unhideWhenUsed/>
    <w:rsid w:val="006E420C"/>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Emphasis">
    <w:name w:val="Emphasis"/>
    <w:basedOn w:val="DefaultParagraphFont"/>
    <w:uiPriority w:val="20"/>
    <w:qFormat/>
    <w:rsid w:val="006E420C"/>
    <w:rPr>
      <w:i/>
      <w:iCs/>
    </w:rPr>
  </w:style>
  <w:style w:type="paragraph" w:styleId="Bibliography">
    <w:name w:val="Bibliography"/>
    <w:basedOn w:val="Normal"/>
    <w:next w:val="Normal"/>
    <w:uiPriority w:val="37"/>
    <w:unhideWhenUsed/>
    <w:rsid w:val="00E74DB8"/>
    <w:pPr>
      <w:spacing w:line="480" w:lineRule="auto"/>
      <w:ind w:left="720" w:hanging="720"/>
    </w:pPr>
    <w:rPr>
      <w:rFonts w:cs="Cordia New"/>
      <w:szCs w:val="28"/>
    </w:rPr>
  </w:style>
  <w:style w:type="character" w:styleId="Strong">
    <w:name w:val="Strong"/>
    <w:basedOn w:val="DefaultParagraphFont"/>
    <w:uiPriority w:val="22"/>
    <w:qFormat/>
    <w:rsid w:val="00CC3C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1722</TotalTime>
  <Pages>18</Pages>
  <Words>8250</Words>
  <Characters>47030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115</cp:revision>
  <dcterms:created xsi:type="dcterms:W3CDTF">2026-02-18T13:08:00Z</dcterms:created>
  <dcterms:modified xsi:type="dcterms:W3CDTF">2026-03-05T02:00:00Z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id="kALiDxzo"/&gt;&lt;style id="http://www.zotero.org/styles/apa" locale="en-US" hasBibliography="1" bibliographyStyleHasBeenSet="1"/&gt;&lt;prefs&gt;&lt;pref name="fieldType" value="Field"/&gt;&lt;/prefs&gt;&lt;/data&gt;</vt:lpwstr>
  </property>
</Properties>
</file>