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072F8" w14:textId="7D8D3028" w:rsidR="00F31F64" w:rsidRDefault="006900CC" w:rsidP="00DA3538">
      <w:pPr>
        <w:spacing w:line="276" w:lineRule="auto"/>
        <w:jc w:val="center"/>
        <w:rPr>
          <w:rFonts w:ascii="Times New Roman" w:hAnsi="Times New Roman" w:cs="Times New Roman"/>
          <w:b/>
          <w:bCs/>
          <w:sz w:val="28"/>
          <w:szCs w:val="28"/>
        </w:rPr>
      </w:pPr>
      <w:r w:rsidRPr="002F0F1D">
        <w:rPr>
          <w:rFonts w:ascii="Times New Roman" w:hAnsi="Times New Roman" w:cs="Times New Roman"/>
          <w:b/>
          <w:bCs/>
          <w:sz w:val="28"/>
          <w:szCs w:val="28"/>
        </w:rPr>
        <w:t>Financial Literacy and Its Influence on C</w:t>
      </w:r>
      <w:r w:rsidR="00AF440C" w:rsidRPr="002F0F1D">
        <w:rPr>
          <w:rFonts w:ascii="Times New Roman" w:hAnsi="Times New Roman" w:cs="Times New Roman"/>
          <w:b/>
          <w:bCs/>
          <w:sz w:val="28"/>
          <w:szCs w:val="28"/>
        </w:rPr>
        <w:t>usto</w:t>
      </w:r>
      <w:r w:rsidRPr="002F0F1D">
        <w:rPr>
          <w:rFonts w:ascii="Times New Roman" w:hAnsi="Times New Roman" w:cs="Times New Roman"/>
          <w:b/>
          <w:bCs/>
          <w:sz w:val="28"/>
          <w:szCs w:val="28"/>
        </w:rPr>
        <w:t xml:space="preserve">mers’ Online Banking </w:t>
      </w:r>
      <w:proofErr w:type="spellStart"/>
      <w:r w:rsidRPr="002F0F1D">
        <w:rPr>
          <w:rFonts w:ascii="Times New Roman" w:hAnsi="Times New Roman" w:cs="Times New Roman"/>
          <w:b/>
          <w:bCs/>
          <w:sz w:val="28"/>
          <w:szCs w:val="28"/>
        </w:rPr>
        <w:t>Behaviour</w:t>
      </w:r>
      <w:proofErr w:type="spellEnd"/>
    </w:p>
    <w:p w14:paraId="71AABF18" w14:textId="77777777" w:rsidR="00D96C9F" w:rsidRDefault="00D96C9F" w:rsidP="00DA3538">
      <w:pPr>
        <w:spacing w:line="276" w:lineRule="auto"/>
        <w:jc w:val="center"/>
        <w:rPr>
          <w:rFonts w:ascii="Times New Roman" w:hAnsi="Times New Roman" w:cs="Times New Roman"/>
          <w:b/>
          <w:bCs/>
          <w:sz w:val="28"/>
          <w:szCs w:val="28"/>
        </w:rPr>
      </w:pPr>
    </w:p>
    <w:p w14:paraId="5B369A6E" w14:textId="77777777" w:rsidR="00D96C9F" w:rsidRPr="006242DD" w:rsidRDefault="00D96C9F" w:rsidP="00DA3538">
      <w:pPr>
        <w:spacing w:after="0" w:line="276" w:lineRule="auto"/>
        <w:jc w:val="center"/>
        <w:rPr>
          <w:rFonts w:ascii="Times New Roman" w:hAnsi="Times New Roman" w:cs="Times New Roman"/>
          <w:b/>
          <w:bCs/>
          <w:sz w:val="20"/>
          <w:szCs w:val="20"/>
        </w:rPr>
      </w:pPr>
    </w:p>
    <w:p w14:paraId="4B4E2513" w14:textId="7DA0FB89" w:rsidR="00EF580E" w:rsidRPr="00FA161E" w:rsidRDefault="00EF580E" w:rsidP="00DA3538">
      <w:p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Abstract</w:t>
      </w:r>
    </w:p>
    <w:p w14:paraId="5B10995A" w14:textId="2B72465B" w:rsidR="00FD2C40" w:rsidRDefault="00FD2C40" w:rsidP="00FD2C40">
      <w:pPr>
        <w:spacing w:line="276" w:lineRule="auto"/>
        <w:jc w:val="both"/>
        <w:rPr>
          <w:rFonts w:ascii="Times New Roman" w:hAnsi="Times New Roman" w:cs="Times New Roman"/>
          <w:sz w:val="24"/>
          <w:szCs w:val="24"/>
        </w:rPr>
      </w:pPr>
      <w:r w:rsidRPr="00454F61">
        <w:rPr>
          <w:rFonts w:ascii="Times New Roman" w:hAnsi="Times New Roman" w:cs="Times New Roman"/>
          <w:sz w:val="24"/>
          <w:szCs w:val="24"/>
        </w:rPr>
        <w:t xml:space="preserve">With the rapid digitization of banking services, financial literacy has become essential for individuals to access and effectively use online banking services. Therefore, this study explores the impact of financial literacy on customers’ online banking behavior, focusing on the </w:t>
      </w:r>
      <w:proofErr w:type="spellStart"/>
      <w:r w:rsidRPr="00454F61">
        <w:rPr>
          <w:rFonts w:ascii="Times New Roman" w:hAnsi="Times New Roman" w:cs="Times New Roman"/>
          <w:sz w:val="24"/>
          <w:szCs w:val="24"/>
        </w:rPr>
        <w:t>Balangoda</w:t>
      </w:r>
      <w:proofErr w:type="spellEnd"/>
      <w:r w:rsidRPr="00454F61">
        <w:rPr>
          <w:rFonts w:ascii="Times New Roman" w:hAnsi="Times New Roman" w:cs="Times New Roman"/>
          <w:sz w:val="24"/>
          <w:szCs w:val="24"/>
        </w:rPr>
        <w:t xml:space="preserve"> Divisional Secretariat Division in Sri Lanka. A sample of 382 bank customers was selected using simple random sampling, and data was collected through structured questionnaires and interviews. The analysis, conducted using Multiple Linear Regression and Binary Logistic Regression models in IBM SPSS 23, reveals that financial knowledge, attitudes, and behaviors positively influence online banking behavior. Furthermore, the findings indicate that as financial literacy increases, customers are more likely to engage in online banking services. Therefore, this study highlights the significant role of financial literacy in promoting the adoption of online banking services and emphasizes the need for targeted educational programs by banks to enhance customers’ awareness and confidence in using online banking services.</w:t>
      </w:r>
    </w:p>
    <w:p w14:paraId="62A863A2" w14:textId="2A3DD0DC" w:rsidR="004D1FA3" w:rsidRPr="00FA161E" w:rsidRDefault="004D1FA3"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Keywords: </w:t>
      </w:r>
      <w:r w:rsidR="00586F0F" w:rsidRPr="00FA161E">
        <w:rPr>
          <w:rFonts w:ascii="Times New Roman" w:hAnsi="Times New Roman" w:cs="Times New Roman"/>
          <w:sz w:val="24"/>
          <w:szCs w:val="24"/>
        </w:rPr>
        <w:t xml:space="preserve">Financial attitudes, Financial </w:t>
      </w:r>
      <w:proofErr w:type="spellStart"/>
      <w:r w:rsidR="00586F0F" w:rsidRPr="00FA161E">
        <w:rPr>
          <w:rFonts w:ascii="Times New Roman" w:hAnsi="Times New Roman" w:cs="Times New Roman"/>
          <w:sz w:val="24"/>
          <w:szCs w:val="24"/>
        </w:rPr>
        <w:t>behaviour</w:t>
      </w:r>
      <w:proofErr w:type="spellEnd"/>
      <w:r w:rsidR="00586F0F" w:rsidRPr="00FA161E">
        <w:rPr>
          <w:rFonts w:ascii="Times New Roman" w:hAnsi="Times New Roman" w:cs="Times New Roman"/>
          <w:sz w:val="24"/>
          <w:szCs w:val="24"/>
        </w:rPr>
        <w:t xml:space="preserve">, </w:t>
      </w:r>
      <w:r w:rsidRPr="00FA161E">
        <w:rPr>
          <w:rFonts w:ascii="Times New Roman" w:hAnsi="Times New Roman" w:cs="Times New Roman"/>
          <w:sz w:val="24"/>
          <w:szCs w:val="24"/>
        </w:rPr>
        <w:t xml:space="preserve">Financial </w:t>
      </w:r>
      <w:r w:rsidR="00C42B82" w:rsidRPr="00FA161E">
        <w:rPr>
          <w:rFonts w:ascii="Times New Roman" w:hAnsi="Times New Roman" w:cs="Times New Roman"/>
          <w:sz w:val="24"/>
          <w:szCs w:val="24"/>
        </w:rPr>
        <w:t>l</w:t>
      </w:r>
      <w:r w:rsidRPr="00FA161E">
        <w:rPr>
          <w:rFonts w:ascii="Times New Roman" w:hAnsi="Times New Roman" w:cs="Times New Roman"/>
          <w:sz w:val="24"/>
          <w:szCs w:val="24"/>
        </w:rPr>
        <w:t xml:space="preserve">iteracy, </w:t>
      </w:r>
      <w:r w:rsidR="00C42B82" w:rsidRPr="00FA161E">
        <w:rPr>
          <w:rFonts w:ascii="Times New Roman" w:hAnsi="Times New Roman" w:cs="Times New Roman"/>
          <w:sz w:val="24"/>
          <w:szCs w:val="24"/>
        </w:rPr>
        <w:t>F</w:t>
      </w:r>
      <w:r w:rsidR="00586F0F" w:rsidRPr="00FA161E">
        <w:rPr>
          <w:rFonts w:ascii="Times New Roman" w:hAnsi="Times New Roman" w:cs="Times New Roman"/>
          <w:sz w:val="24"/>
          <w:szCs w:val="24"/>
        </w:rPr>
        <w:t xml:space="preserve">inancial knowledge, </w:t>
      </w:r>
      <w:r w:rsidRPr="00FA161E">
        <w:rPr>
          <w:rFonts w:ascii="Times New Roman" w:hAnsi="Times New Roman" w:cs="Times New Roman"/>
          <w:sz w:val="24"/>
          <w:szCs w:val="24"/>
        </w:rPr>
        <w:t xml:space="preserve">Online </w:t>
      </w:r>
      <w:r w:rsidR="00C42B82" w:rsidRPr="00FA161E">
        <w:rPr>
          <w:rFonts w:ascii="Times New Roman" w:hAnsi="Times New Roman" w:cs="Times New Roman"/>
          <w:sz w:val="24"/>
          <w:szCs w:val="24"/>
        </w:rPr>
        <w:t>b</w:t>
      </w:r>
      <w:r w:rsidRPr="00FA161E">
        <w:rPr>
          <w:rFonts w:ascii="Times New Roman" w:hAnsi="Times New Roman" w:cs="Times New Roman"/>
          <w:sz w:val="24"/>
          <w:szCs w:val="24"/>
        </w:rPr>
        <w:t xml:space="preserve">anking </w:t>
      </w:r>
      <w:proofErr w:type="spellStart"/>
      <w:r w:rsidR="00C42B82" w:rsidRPr="00FA161E">
        <w:rPr>
          <w:rFonts w:ascii="Times New Roman" w:hAnsi="Times New Roman" w:cs="Times New Roman"/>
          <w:sz w:val="24"/>
          <w:szCs w:val="24"/>
        </w:rPr>
        <w:t>b</w:t>
      </w:r>
      <w:r w:rsidRPr="00FA161E">
        <w:rPr>
          <w:rFonts w:ascii="Times New Roman" w:hAnsi="Times New Roman" w:cs="Times New Roman"/>
          <w:sz w:val="24"/>
          <w:szCs w:val="24"/>
        </w:rPr>
        <w:t>ehaviour</w:t>
      </w:r>
      <w:proofErr w:type="spellEnd"/>
      <w:r w:rsidRPr="00FA161E">
        <w:rPr>
          <w:rFonts w:ascii="Times New Roman" w:hAnsi="Times New Roman" w:cs="Times New Roman"/>
          <w:sz w:val="24"/>
          <w:szCs w:val="24"/>
        </w:rPr>
        <w:t xml:space="preserve">, </w:t>
      </w:r>
    </w:p>
    <w:p w14:paraId="3074D358" w14:textId="77777777" w:rsidR="00EF580E" w:rsidRPr="00FA161E" w:rsidRDefault="00EF580E" w:rsidP="00DA3538">
      <w:pPr>
        <w:spacing w:line="276" w:lineRule="auto"/>
        <w:jc w:val="both"/>
        <w:rPr>
          <w:rFonts w:ascii="Times New Roman" w:hAnsi="Times New Roman" w:cs="Times New Roman"/>
          <w:sz w:val="24"/>
          <w:szCs w:val="24"/>
        </w:rPr>
      </w:pPr>
    </w:p>
    <w:p w14:paraId="61B76803" w14:textId="391E0E86" w:rsidR="00F31F64" w:rsidRPr="00FA161E" w:rsidRDefault="00F31F64" w:rsidP="00DA3538">
      <w:pPr>
        <w:pStyle w:val="ListParagraph"/>
        <w:numPr>
          <w:ilvl w:val="0"/>
          <w:numId w:val="2"/>
        </w:num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Introduction</w:t>
      </w:r>
    </w:p>
    <w:p w14:paraId="15B57E4F" w14:textId="77777777" w:rsidR="00FD2C40" w:rsidRDefault="00FD2C40" w:rsidP="00FD2C40">
      <w:pPr>
        <w:pStyle w:val="NormalWeb"/>
        <w:spacing w:line="276" w:lineRule="auto"/>
        <w:jc w:val="both"/>
      </w:pPr>
      <w:r>
        <w:t xml:space="preserve">Financial literacy plays a vital role in enabling individuals to manage their financial activities effectively, particularly within an increasingly digitalized economy. As financial services continue to transition to online platforms, customers require both financial literacy and digital competencies to fully benefit from these services. The </w:t>
      </w:r>
      <w:proofErr w:type="spellStart"/>
      <w:r>
        <w:rPr>
          <w:rStyle w:val="whitespace-normal"/>
          <w:rFonts w:eastAsiaTheme="majorEastAsia"/>
        </w:rPr>
        <w:t>Organisation</w:t>
      </w:r>
      <w:proofErr w:type="spellEnd"/>
      <w:r>
        <w:rPr>
          <w:rStyle w:val="whitespace-normal"/>
          <w:rFonts w:eastAsiaTheme="majorEastAsia"/>
        </w:rPr>
        <w:t xml:space="preserve"> for Economic Co-operation and Development</w:t>
      </w:r>
      <w:r>
        <w:t xml:space="preserve"> (OECD) defines financial literacy as a combination of awareness, knowledge, skills, and behaviors necessary to make informed financial decisions (OECD, 2018). Prior studies indicate that higher levels of financial literacy positively influence the use of online banking services (</w:t>
      </w:r>
      <w:proofErr w:type="spellStart"/>
      <w:r>
        <w:t>Andreou</w:t>
      </w:r>
      <w:proofErr w:type="spellEnd"/>
      <w:r>
        <w:t xml:space="preserve"> &amp; </w:t>
      </w:r>
      <w:proofErr w:type="spellStart"/>
      <w:r>
        <w:t>Anyfantaki</w:t>
      </w:r>
      <w:proofErr w:type="spellEnd"/>
      <w:r>
        <w:t xml:space="preserve">, 2020). However, in many developing economies, including Sri Lanka, the adoption of digital banking remains limited despite increasing access to internet-enabled devices and mobile technologies (Shaikh &amp; </w:t>
      </w:r>
      <w:proofErr w:type="spellStart"/>
      <w:r>
        <w:t>Karjaluoto</w:t>
      </w:r>
      <w:proofErr w:type="spellEnd"/>
      <w:r>
        <w:t>, 2015).</w:t>
      </w:r>
    </w:p>
    <w:p w14:paraId="6EBB526C" w14:textId="77777777" w:rsidR="00FD2C40" w:rsidRDefault="00FD2C40" w:rsidP="00FD2C40">
      <w:pPr>
        <w:pStyle w:val="NormalWeb"/>
        <w:spacing w:line="276" w:lineRule="auto"/>
        <w:jc w:val="both"/>
      </w:pPr>
      <w:r>
        <w:t>According to SNS internal research, the global online banking market was valued at USD 18.94 billion in 2022 and is projected to grow at a compound annual growth rate (CAGR) of 12.1% from 2023 to 2030, reaching approximately USD 47.24 billion by 2030 (</w:t>
      </w:r>
      <w:proofErr w:type="spellStart"/>
      <w:r>
        <w:t>Yugandhara</w:t>
      </w:r>
      <w:proofErr w:type="spellEnd"/>
      <w:r>
        <w:t xml:space="preserve">, 2023). Furthermore, the </w:t>
      </w:r>
      <w:proofErr w:type="spellStart"/>
      <w:r>
        <w:t>Gitnux</w:t>
      </w:r>
      <w:proofErr w:type="spellEnd"/>
      <w:r>
        <w:t xml:space="preserve"> Marketdata Report (2024) highlights significant generational </w:t>
      </w:r>
      <w:r>
        <w:lastRenderedPageBreak/>
        <w:t>differences in online banking usage, with adoption rates of 48.5% among baby boomers and 80% among millennials.</w:t>
      </w:r>
    </w:p>
    <w:p w14:paraId="2355DC24" w14:textId="77777777" w:rsidR="00FD2C40" w:rsidRDefault="00FD2C40" w:rsidP="00FD2C40">
      <w:pPr>
        <w:pStyle w:val="NormalWeb"/>
        <w:spacing w:line="276" w:lineRule="auto"/>
        <w:jc w:val="both"/>
      </w:pPr>
      <w:r>
        <w:t>Regionally, online banking has gained substantial popularity across Asia, with more than 805 million users reported in 2022. In contrast, adoption rates vary significantly across countries. For example, more than 96% of the population in Norway used online banking in 2022–2023, whereas in the United States, usage increased from 36% in 2010 to approximately 60% in 2020. In North America overall, online banking usage is estimated at around 74%. Additionally, the global online banking market is forecast to reach USD 20.5 billion by 2026 (</w:t>
      </w:r>
      <w:proofErr w:type="spellStart"/>
      <w:r>
        <w:t>Gitnux</w:t>
      </w:r>
      <w:proofErr w:type="spellEnd"/>
      <w:r>
        <w:t xml:space="preserve"> Marketdata Report, 2024). These trends indicate that technological advancement has a strong influence on financial literacy and digital financial behavior.</w:t>
      </w:r>
    </w:p>
    <w:p w14:paraId="2FEB21ED" w14:textId="77777777" w:rsidR="00FD2C40" w:rsidRDefault="00FD2C40" w:rsidP="00FD2C40">
      <w:pPr>
        <w:pStyle w:val="NormalWeb"/>
        <w:spacing w:line="276" w:lineRule="auto"/>
        <w:jc w:val="both"/>
      </w:pPr>
      <w:r>
        <w:t>Online banking simplifies financial transactions by offering convenience, cost efficiency, and broader accessibility to financial services (Verma &amp; Tanwar, 2021). Despite these advantages, adoption in Sri Lanka remains relatively low. Although 34.5% of the population uses the internet, only about 1% of bank customers actively use online banking services (Mano et al., 2020). This is particularly notable given the increasing penetration of mobile technology, with 70.9% of internet users accessing services via mobile devices (Central Bank Annual Report, 2018).</w:t>
      </w:r>
    </w:p>
    <w:p w14:paraId="6A815A8F" w14:textId="77777777" w:rsidR="00FD2C40" w:rsidRDefault="00FD2C40" w:rsidP="00FD2C40">
      <w:pPr>
        <w:pStyle w:val="NormalWeb"/>
        <w:spacing w:line="276" w:lineRule="auto"/>
        <w:jc w:val="both"/>
      </w:pPr>
      <w:r>
        <w:t>Moreover, financial literacy levels in Sri Lanka remain moderate, with rates of 55.2% among females and 61.1% among males (Financial Literacy Survey Sri Lanka, 2021). Although individuals aged 15–34 demonstrate relatively higher general literacy levels, their adoption of online banking services remains comparatively low (Mano et al., 2020). Existing research suggests that even when digital infrastructure is available, insufficient financial literacy can limit the adoption of online banking services (</w:t>
      </w:r>
      <w:proofErr w:type="spellStart"/>
      <w:r>
        <w:t>Nethananthan</w:t>
      </w:r>
      <w:proofErr w:type="spellEnd"/>
      <w:r>
        <w:t xml:space="preserve"> &amp; </w:t>
      </w:r>
      <w:proofErr w:type="spellStart"/>
      <w:r>
        <w:t>Shanmugathas</w:t>
      </w:r>
      <w:proofErr w:type="spellEnd"/>
      <w:r>
        <w:t>, 2018).</w:t>
      </w:r>
    </w:p>
    <w:p w14:paraId="7F7C1B81" w14:textId="77777777" w:rsidR="00FD2C40" w:rsidRDefault="00FD2C40" w:rsidP="00FD2C40">
      <w:pPr>
        <w:pStyle w:val="NormalWeb"/>
        <w:spacing w:line="276" w:lineRule="auto"/>
        <w:jc w:val="both"/>
      </w:pPr>
      <w:r>
        <w:t>This study is expected to generate valuable insights for multiple stakeholders by examining the impact of financial literacy on online banking behavior within the Sri Lankan context. For financial institutions, the findings can support the development of targeted educational programs and strategies to enhance customer engagement with online banking services. As noted by Gautam and Devkota (2020), such initiatives can improve customer satisfaction by promoting the effective use of digital banking platforms. In addition, banks can identify barriers to adoption and refine their service delivery accordingly.</w:t>
      </w:r>
    </w:p>
    <w:p w14:paraId="573811DB" w14:textId="77777777" w:rsidR="00FD2C40" w:rsidRDefault="00FD2C40" w:rsidP="00FD2C40">
      <w:pPr>
        <w:pStyle w:val="NormalWeb"/>
        <w:spacing w:line="276" w:lineRule="auto"/>
        <w:jc w:val="both"/>
      </w:pPr>
      <w:r>
        <w:t>For policymakers and regulatory bodies, this research provides empirical evidence to support the design of policies that promote financial literacy and encourage the adoption of online banking services. Since financial literacy is a key driver of financial inclusion, these findings can contribute to expanding access to digital financial services across diverse population segments (OECD, 2018). This is particularly relevant in the context of increasing internet penetration and the growing availability of digital tools.</w:t>
      </w:r>
    </w:p>
    <w:p w14:paraId="1D11F147" w14:textId="77777777" w:rsidR="00FD2C40" w:rsidRDefault="00FD2C40" w:rsidP="00FD2C40">
      <w:pPr>
        <w:pStyle w:val="NormalWeb"/>
        <w:spacing w:line="276" w:lineRule="auto"/>
        <w:jc w:val="both"/>
      </w:pPr>
      <w:r>
        <w:t xml:space="preserve">Customers will also benefit from this study, as it highlights the role of financial literacy in shaping online banking adoption. By improving financial knowledge and skills, individuals can </w:t>
      </w:r>
      <w:r>
        <w:lastRenderedPageBreak/>
        <w:t>make more informed decisions and use online banking services more effectively. As noted by Hashim et al. (2021), enhanced financial literacy contributes to improved financial well-being and enables individuals to navigate digital financial platforms with greater confidence.</w:t>
      </w:r>
    </w:p>
    <w:p w14:paraId="5461E7CA" w14:textId="77777777" w:rsidR="00FD2C40" w:rsidRDefault="00FD2C40" w:rsidP="00FD2C40">
      <w:pPr>
        <w:pStyle w:val="NormalWeb"/>
        <w:spacing w:line="276" w:lineRule="auto"/>
        <w:jc w:val="both"/>
      </w:pPr>
      <w:r>
        <w:t>Finally, this research contributes to the academic literature by addressing a critical gap in understanding the relationship between financial literacy and digital financial behavior in developing countries, particularly Sri Lanka. While prior studies have examined these relationships in other contexts (</w:t>
      </w:r>
      <w:proofErr w:type="spellStart"/>
      <w:r>
        <w:t>Andreou</w:t>
      </w:r>
      <w:proofErr w:type="spellEnd"/>
      <w:r>
        <w:t xml:space="preserve"> &amp; </w:t>
      </w:r>
      <w:proofErr w:type="spellStart"/>
      <w:r>
        <w:t>Anyfantaki</w:t>
      </w:r>
      <w:proofErr w:type="spellEnd"/>
      <w:r>
        <w:t>, 2020), comprehensive research focusing on rural and developing regions of Sri Lanka remains limited. Therefore, this study provides a foundation for future research on financial literacy, digital adoption, and financial inclusion.</w:t>
      </w:r>
    </w:p>
    <w:p w14:paraId="4B0616A9" w14:textId="77777777" w:rsidR="00FD2C40" w:rsidRDefault="00FD2C40" w:rsidP="00FD2C40">
      <w:pPr>
        <w:pStyle w:val="NormalWeb"/>
        <w:spacing w:line="276" w:lineRule="auto"/>
        <w:jc w:val="both"/>
      </w:pPr>
      <w:r>
        <w:t>Overall, by enhancing understanding of the role of financial literacy in online banking behavior, this study offers important implications for stakeholders across multiple sectors, supporting efforts to promote financial inclusion and improve the accessibility and usability of online banking services.</w:t>
      </w:r>
    </w:p>
    <w:p w14:paraId="196CC3F7" w14:textId="2E1731D0" w:rsidR="00BB230A" w:rsidRPr="00FA161E" w:rsidRDefault="00BB230A" w:rsidP="00DA3538">
      <w:pPr>
        <w:pStyle w:val="ListParagraph"/>
        <w:numPr>
          <w:ilvl w:val="0"/>
          <w:numId w:val="2"/>
        </w:num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Theoretical Background</w:t>
      </w:r>
    </w:p>
    <w:p w14:paraId="30D2BC1D" w14:textId="38843603" w:rsidR="00BB230A" w:rsidRPr="00FA161E" w:rsidRDefault="00797D5D"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An important part of this research is to study how customers approach financial activities and their behavior in the context of digitalization. Previous studies have identified several models that help to critically explain the issues of technological adaptation. Accordingly, some of the important theories regarding customers’ adaptation to online banking and their financial literacy are as follows.</w:t>
      </w:r>
    </w:p>
    <w:p w14:paraId="441F65F5" w14:textId="6BF1E724" w:rsidR="00BB230A" w:rsidRPr="00FA161E" w:rsidRDefault="008B4258" w:rsidP="00DA3538">
      <w:pPr>
        <w:pStyle w:val="ListParagraph"/>
        <w:numPr>
          <w:ilvl w:val="1"/>
          <w:numId w:val="2"/>
        </w:numPr>
        <w:spacing w:line="276" w:lineRule="auto"/>
        <w:rPr>
          <w:rFonts w:ascii="Times New Roman" w:hAnsi="Times New Roman" w:cs="Times New Roman"/>
          <w:bCs/>
          <w:sz w:val="24"/>
          <w:szCs w:val="24"/>
        </w:rPr>
      </w:pPr>
      <w:r w:rsidRPr="00FA161E">
        <w:rPr>
          <w:rFonts w:ascii="Times New Roman" w:hAnsi="Times New Roman" w:cs="Times New Roman"/>
          <w:bCs/>
          <w:sz w:val="24"/>
          <w:szCs w:val="24"/>
        </w:rPr>
        <w:t xml:space="preserve"> </w:t>
      </w:r>
      <w:r w:rsidR="00BB230A" w:rsidRPr="00FA161E">
        <w:rPr>
          <w:rFonts w:ascii="Times New Roman" w:hAnsi="Times New Roman" w:cs="Times New Roman"/>
          <w:bCs/>
          <w:sz w:val="24"/>
          <w:szCs w:val="24"/>
        </w:rPr>
        <w:t>Human capital theory</w:t>
      </w:r>
    </w:p>
    <w:p w14:paraId="5C29CCB1" w14:textId="77777777" w:rsidR="005C3791" w:rsidRDefault="005C3791" w:rsidP="00DA3538">
      <w:pPr>
        <w:pStyle w:val="NormalWeb"/>
        <w:spacing w:line="276" w:lineRule="auto"/>
        <w:jc w:val="both"/>
      </w:pPr>
      <w:r>
        <w:rPr>
          <w:rStyle w:val="bzpyqfadein"/>
          <w:rFonts w:eastAsiaTheme="majorEastAsia"/>
        </w:rPr>
        <w:t>Human capital theory is an economic perspective that regards individuals’ knowledge, skills, abilities, and experience as valuable assets that enhance productivity and earning potential. The theory suggests that investments in education, training, and health contribute to the development of human capital, which in turn improves individual productivity and promotes economic growth.</w:t>
      </w:r>
    </w:p>
    <w:p w14:paraId="4A9E813C" w14:textId="77777777" w:rsidR="005C3791" w:rsidRDefault="005C3791" w:rsidP="00DA3538">
      <w:pPr>
        <w:pStyle w:val="NormalWeb"/>
        <w:spacing w:line="276" w:lineRule="auto"/>
        <w:jc w:val="both"/>
      </w:pPr>
      <w:r>
        <w:rPr>
          <w:rStyle w:val="bzpyqfadein"/>
          <w:rFonts w:eastAsiaTheme="majorEastAsia"/>
        </w:rPr>
        <w:t>Within the labor market, individuals differ in their levels of education, knowledge, and competencies. Those with higher levels of education and specialized skills are generally able to provide more effective contributions to organizations compared to individuals with limited knowledge and training. Consequently, the concept of human capital has received considerable attention in the context of organizational development and workforce productivity (McConnell et al., 2009).</w:t>
      </w:r>
    </w:p>
    <w:p w14:paraId="3DD0B9F5" w14:textId="77777777" w:rsidR="005C3791" w:rsidRDefault="005C3791" w:rsidP="00DA3538">
      <w:pPr>
        <w:pStyle w:val="NormalWeb"/>
        <w:spacing w:line="276" w:lineRule="auto"/>
        <w:jc w:val="both"/>
      </w:pPr>
      <w:r>
        <w:rPr>
          <w:rStyle w:val="bzpyqfadein"/>
          <w:rFonts w:eastAsiaTheme="majorEastAsia"/>
        </w:rPr>
        <w:t xml:space="preserve">The origins of human capital theory can be traced back to the eighteenth century. Adam Smith initially emphasized the importance of human capabilities in the production process. Later, Theodore W. Schultz formally introduced the term “human capital,” highlighting the role of education and investment in human abilities. The concept gained further prominence when Gary Becker expanded the theory and was awarded the Nobel Prize for his work on human </w:t>
      </w:r>
      <w:r>
        <w:rPr>
          <w:rStyle w:val="bzpyqfadein"/>
          <w:rFonts w:eastAsiaTheme="majorEastAsia"/>
        </w:rPr>
        <w:lastRenderedPageBreak/>
        <w:t>capital. According to this perspective, differences in wages and salaries among individuals largely arise from variations in education, training, and skills. Furthermore, individuals with higher levels of knowledge and competencies are more likely to secure employment opportunities (Blair, 2012).</w:t>
      </w:r>
    </w:p>
    <w:p w14:paraId="0B7AB9B5" w14:textId="77777777" w:rsidR="005C3791" w:rsidRDefault="005C3791" w:rsidP="00DA3538">
      <w:pPr>
        <w:pStyle w:val="NormalWeb"/>
        <w:spacing w:line="276" w:lineRule="auto"/>
        <w:jc w:val="both"/>
      </w:pPr>
      <w:r>
        <w:rPr>
          <w:rStyle w:val="bzpyqfadein"/>
          <w:rFonts w:eastAsiaTheme="majorEastAsia"/>
        </w:rPr>
        <w:t>Thomas Davenport (1999) later conceptualized human capital as a combination of knowledge, skills, personal talent, behavior, and effort, and subsequently incorporated the element of time into this framework. Knowledge includes intelligence, cognitive abilities, and both general and specialized knowledge required to perform specific tasks. Skills refer to the physical capabilities and technical expertise necessary to perform job-related activities. Personal talent reflects the inherent attributes of individuals that can be further enhanced through development. Behavior encompasses observable actions, attitudes, ethical standards, and personal beliefs that influence work performance. Effort represents the application of knowledge, experience, and abilities toward achieving work-related goals. In addition, Davenport emphasized the importance of time as a critical factor influencing the utilization of human capital.</w:t>
      </w:r>
    </w:p>
    <w:p w14:paraId="08E3592F" w14:textId="0BCB323F" w:rsidR="005C3791" w:rsidRDefault="005C3791" w:rsidP="00DA3538">
      <w:pPr>
        <w:pStyle w:val="NormalWeb"/>
        <w:spacing w:line="276" w:lineRule="auto"/>
        <w:jc w:val="both"/>
      </w:pPr>
      <w:r>
        <w:rPr>
          <w:rStyle w:val="bzpyqfadein"/>
          <w:rFonts w:eastAsiaTheme="majorEastAsia"/>
        </w:rPr>
        <w:t>Based on human capital theory, several fundamental components contribute to the development of human capital.</w:t>
      </w:r>
      <w:r w:rsidR="00122232">
        <w:t xml:space="preserve"> </w:t>
      </w:r>
      <w:r>
        <w:rPr>
          <w:rStyle w:val="bzpyqfadein"/>
          <w:rFonts w:eastAsiaTheme="majorEastAsia"/>
        </w:rPr>
        <w:t>Investments in education are considered a primary mechanism for enhancing human capital. Formal education enables individuals to acquire knowledge and competencies that increase their productivity and earning potential in the labor market (Thomas et al., 2013). In recent years, scholars have also emphasized the importance of financial literacy as an additional dimension of human capital development (Abubakar et al., 2021).</w:t>
      </w:r>
    </w:p>
    <w:p w14:paraId="15AFD106" w14:textId="5185E68D" w:rsidR="005C3791" w:rsidRDefault="005C3791" w:rsidP="00DA3538">
      <w:pPr>
        <w:pStyle w:val="NormalWeb"/>
        <w:spacing w:line="276" w:lineRule="auto"/>
        <w:jc w:val="both"/>
      </w:pPr>
      <w:r>
        <w:rPr>
          <w:rStyle w:val="bzpyqfadein"/>
          <w:rFonts w:eastAsiaTheme="majorEastAsia"/>
        </w:rPr>
        <w:t>Training and development represent another important aspect of human capital formation. Beyond formal education, continuous skill development and professional training are essential for individuals to adapt to changing economic conditions and technological advancements (Mayo, 2012).</w:t>
      </w:r>
      <w:r w:rsidR="00122232">
        <w:t xml:space="preserve"> </w:t>
      </w:r>
      <w:r>
        <w:rPr>
          <w:rStyle w:val="bzpyqfadein"/>
          <w:rFonts w:eastAsiaTheme="majorEastAsia"/>
        </w:rPr>
        <w:t>Healthcare also plays a crucial role in strengthening human capital. Healthy individuals are more capable of maintaining higher levels of productivity and efficiency, which contributes positively to organizational performance and overall economic growth (</w:t>
      </w:r>
      <w:proofErr w:type="spellStart"/>
      <w:r>
        <w:rPr>
          <w:rStyle w:val="bzpyqfadein"/>
          <w:rFonts w:eastAsiaTheme="majorEastAsia"/>
        </w:rPr>
        <w:t>Coff</w:t>
      </w:r>
      <w:proofErr w:type="spellEnd"/>
      <w:r>
        <w:rPr>
          <w:rStyle w:val="bzpyqfadein"/>
          <w:rFonts w:eastAsiaTheme="majorEastAsia"/>
        </w:rPr>
        <w:t xml:space="preserve"> &amp; </w:t>
      </w:r>
      <w:proofErr w:type="spellStart"/>
      <w:r>
        <w:rPr>
          <w:rStyle w:val="bzpyqfadein"/>
          <w:rFonts w:eastAsiaTheme="majorEastAsia"/>
        </w:rPr>
        <w:t>Kryscynski</w:t>
      </w:r>
      <w:proofErr w:type="spellEnd"/>
      <w:r>
        <w:rPr>
          <w:rStyle w:val="bzpyqfadein"/>
          <w:rFonts w:eastAsiaTheme="majorEastAsia"/>
        </w:rPr>
        <w:t>, 2011).</w:t>
      </w:r>
      <w:r w:rsidR="00122232">
        <w:t xml:space="preserve"> </w:t>
      </w:r>
      <w:r>
        <w:rPr>
          <w:rStyle w:val="bzpyqfadein"/>
          <w:rFonts w:eastAsiaTheme="majorEastAsia"/>
        </w:rPr>
        <w:t>Human capital theory further explains labor market outcomes by suggesting that individuals with higher levels of human capital tend to receive higher wages and have greater access to quality employment opportunities compared to those with lower levels of human capital (McConnell et al., 2009).</w:t>
      </w:r>
    </w:p>
    <w:p w14:paraId="38C579F4" w14:textId="77A78758" w:rsidR="005C3791" w:rsidRDefault="005C3791" w:rsidP="00DA3538">
      <w:pPr>
        <w:pStyle w:val="NormalWeb"/>
        <w:spacing w:line="276" w:lineRule="auto"/>
        <w:jc w:val="both"/>
      </w:pPr>
      <w:r>
        <w:rPr>
          <w:rStyle w:val="bzpyqfadein"/>
          <w:rFonts w:eastAsiaTheme="majorEastAsia"/>
        </w:rPr>
        <w:t>In contemporary research, financial literacy has gained significant attention as a key component of human capital. Financial literacy is viewed as the knowledge and skills that enable individuals to make informed financial decisions and manage economic resources effectively. As such, it is increasingly recognized as an important dimension of human capital (Abubakar et al., 2021).</w:t>
      </w:r>
      <w:r w:rsidR="00122232">
        <w:t xml:space="preserve"> </w:t>
      </w:r>
      <w:r>
        <w:rPr>
          <w:rStyle w:val="bzpyqfadein"/>
          <w:rFonts w:eastAsiaTheme="majorEastAsia"/>
        </w:rPr>
        <w:t>Rahim et al. (2021) emphasize that the development of human capital and economic growth requires both accessible financial systems and adequate financial literacy. Improving financial literacy enhances individuals’ knowledge and skills, thereby strengthening human capital and contributing to broader economic development.</w:t>
      </w:r>
    </w:p>
    <w:p w14:paraId="72CE8A48" w14:textId="30FC17F5" w:rsidR="005C3791" w:rsidRDefault="005C3791" w:rsidP="00DA3538">
      <w:pPr>
        <w:pStyle w:val="NormalWeb"/>
        <w:spacing w:line="276" w:lineRule="auto"/>
        <w:jc w:val="both"/>
        <w:rPr>
          <w:rStyle w:val="bzpyqfadein"/>
          <w:rFonts w:eastAsiaTheme="majorEastAsia"/>
        </w:rPr>
      </w:pPr>
      <w:r>
        <w:rPr>
          <w:rStyle w:val="bzpyqfadein"/>
          <w:rFonts w:eastAsiaTheme="majorEastAsia"/>
        </w:rPr>
        <w:lastRenderedPageBreak/>
        <w:t>Similarly, Mishra and Narayan (2015) highlight the influence of the financial system on the capacity to absorb capital, which is closely related to financial literacy. Higher levels of financial literacy enable businesses to access greater financial resources, improve financial management practices, and enhance investment capacity. As a result, firms are better positioned to expand operations and contribute to economic growth.</w:t>
      </w:r>
      <w:r w:rsidR="00122232">
        <w:t xml:space="preserve"> </w:t>
      </w:r>
      <w:r>
        <w:rPr>
          <w:rStyle w:val="bzpyqfadein"/>
          <w:rFonts w:eastAsiaTheme="majorEastAsia"/>
        </w:rPr>
        <w:t>Furthermore, the advancement of financial literacy contributes to the development of human capital by strengthening individuals’ knowledge and competencies. This improvement supports the growth of the real sector and ultimately facilitates economic development. Consequently, financial literacy not only supports organizational growth but also contributes to overall economic progress (Shahid et al., 2015).</w:t>
      </w:r>
    </w:p>
    <w:p w14:paraId="1D0AE009" w14:textId="5E68410F" w:rsidR="00BB230A" w:rsidRPr="00FA161E" w:rsidRDefault="002A361A" w:rsidP="00DA3538">
      <w:pPr>
        <w:spacing w:line="276" w:lineRule="auto"/>
        <w:ind w:left="540" w:hanging="180"/>
        <w:jc w:val="both"/>
        <w:rPr>
          <w:rFonts w:ascii="Times New Roman" w:hAnsi="Times New Roman" w:cs="Times New Roman"/>
          <w:bCs/>
          <w:sz w:val="24"/>
          <w:szCs w:val="24"/>
        </w:rPr>
      </w:pPr>
      <w:r w:rsidRPr="00FA161E">
        <w:rPr>
          <w:rFonts w:ascii="Times New Roman" w:hAnsi="Times New Roman" w:cs="Times New Roman"/>
          <w:bCs/>
          <w:sz w:val="24"/>
          <w:szCs w:val="24"/>
        </w:rPr>
        <w:t xml:space="preserve">02.2 </w:t>
      </w:r>
      <w:r w:rsidR="00BB230A" w:rsidRPr="00FA161E">
        <w:rPr>
          <w:rFonts w:ascii="Times New Roman" w:hAnsi="Times New Roman" w:cs="Times New Roman"/>
          <w:bCs/>
          <w:sz w:val="24"/>
          <w:szCs w:val="24"/>
        </w:rPr>
        <w:t>Social learning theory</w:t>
      </w:r>
    </w:p>
    <w:p w14:paraId="45417656"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Albert Bandura proposed social learning theory. This theory explains that people learn from each other through observation, imitation and modeling. Socialization and how it affects human behavior is studied through this theory. Accordingly, the basis of the social learning theory is that people observe the behavior, attitudes and consequences of others and adjust their actions based on the information obtained from it (Bandura and Walters, 1963).</w:t>
      </w:r>
    </w:p>
    <w:p w14:paraId="7B659C80"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According to the social learning theory, a person can see 4 basic stages in building his actions based on the experiences he gets through the actions of others. That is, attention, retention and memory, initiation and motor behavior, and motivation (Bandura and Walters, 1963).</w:t>
      </w:r>
    </w:p>
    <w:p w14:paraId="0431E3D9"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This can be shown graphically as follows.</w:t>
      </w:r>
    </w:p>
    <w:p w14:paraId="08FEAD5D" w14:textId="2CF3901B" w:rsidR="00BB230A" w:rsidRPr="00FA161E" w:rsidRDefault="00BB230A" w:rsidP="00DA3538">
      <w:pPr>
        <w:spacing w:line="276" w:lineRule="auto"/>
        <w:jc w:val="both"/>
        <w:rPr>
          <w:rFonts w:ascii="Times New Roman" w:hAnsi="Times New Roman" w:cs="Times New Roman"/>
          <w:b/>
          <w:sz w:val="24"/>
          <w:szCs w:val="24"/>
        </w:rPr>
      </w:pPr>
      <w:r w:rsidRPr="00FA161E">
        <w:rPr>
          <w:rFonts w:ascii="Times New Roman" w:hAnsi="Times New Roman" w:cs="Times New Roman"/>
          <w:noProof/>
          <w:sz w:val="24"/>
          <w:szCs w:val="24"/>
        </w:rPr>
        <mc:AlternateContent>
          <mc:Choice Requires="wpg">
            <w:drawing>
              <wp:anchor distT="0" distB="0" distL="114300" distR="114300" simplePos="0" relativeHeight="251669504" behindDoc="0" locked="0" layoutInCell="1" allowOverlap="1" wp14:anchorId="6650EB51" wp14:editId="5B871EBB">
                <wp:simplePos x="0" y="0"/>
                <wp:positionH relativeFrom="column">
                  <wp:posOffset>-180975</wp:posOffset>
                </wp:positionH>
                <wp:positionV relativeFrom="paragraph">
                  <wp:posOffset>320675</wp:posOffset>
                </wp:positionV>
                <wp:extent cx="6686550" cy="1571625"/>
                <wp:effectExtent l="0" t="0" r="0" b="0"/>
                <wp:wrapNone/>
                <wp:docPr id="70" name="Group 70"/>
                <wp:cNvGraphicFramePr/>
                <a:graphic xmlns:a="http://schemas.openxmlformats.org/drawingml/2006/main">
                  <a:graphicData uri="http://schemas.microsoft.com/office/word/2010/wordprocessingGroup">
                    <wpg:wgp>
                      <wpg:cNvGrpSpPr/>
                      <wpg:grpSpPr>
                        <a:xfrm>
                          <a:off x="0" y="0"/>
                          <a:ext cx="6686550" cy="1571625"/>
                          <a:chOff x="0" y="0"/>
                          <a:chExt cx="6686550" cy="1571625"/>
                        </a:xfrm>
                      </wpg:grpSpPr>
                      <wpg:grpSp>
                        <wpg:cNvPr id="65" name="Group 65"/>
                        <wpg:cNvGrpSpPr/>
                        <wpg:grpSpPr>
                          <a:xfrm>
                            <a:off x="0" y="0"/>
                            <a:ext cx="6477000" cy="1143000"/>
                            <a:chOff x="0" y="0"/>
                            <a:chExt cx="6477000" cy="1143000"/>
                          </a:xfrm>
                        </wpg:grpSpPr>
                        <wpg:grpSp>
                          <wpg:cNvPr id="59" name="Group 59"/>
                          <wpg:cNvGrpSpPr/>
                          <wpg:grpSpPr>
                            <a:xfrm>
                              <a:off x="0" y="0"/>
                              <a:ext cx="6381750" cy="1085850"/>
                              <a:chOff x="0" y="0"/>
                              <a:chExt cx="6381750" cy="1085850"/>
                            </a:xfrm>
                          </wpg:grpSpPr>
                          <wps:wsp>
                            <wps:cNvPr id="4" name="Oval 4"/>
                            <wps:cNvSpPr/>
                            <wps:spPr>
                              <a:xfrm>
                                <a:off x="0" y="0"/>
                                <a:ext cx="1181100" cy="1066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1771650" y="9525"/>
                                <a:ext cx="1181100" cy="1066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Oval 53"/>
                            <wps:cNvSpPr/>
                            <wps:spPr>
                              <a:xfrm>
                                <a:off x="3533775" y="19050"/>
                                <a:ext cx="1181100" cy="1066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Oval 54"/>
                            <wps:cNvSpPr/>
                            <wps:spPr>
                              <a:xfrm>
                                <a:off x="5200650" y="9525"/>
                                <a:ext cx="1181100" cy="1066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ight Arrow 55"/>
                            <wps:cNvSpPr/>
                            <wps:spPr>
                              <a:xfrm>
                                <a:off x="1295400" y="466725"/>
                                <a:ext cx="409575" cy="17145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ight Arrow 56"/>
                            <wps:cNvSpPr/>
                            <wps:spPr>
                              <a:xfrm>
                                <a:off x="3038475" y="457200"/>
                                <a:ext cx="409575" cy="17145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ight Arrow 57"/>
                            <wps:cNvSpPr/>
                            <wps:spPr>
                              <a:xfrm>
                                <a:off x="4743450" y="457200"/>
                                <a:ext cx="409575" cy="17145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2" name="Group 62"/>
                          <wpg:cNvGrpSpPr/>
                          <wpg:grpSpPr>
                            <a:xfrm>
                              <a:off x="180975" y="390525"/>
                              <a:ext cx="2962275" cy="752475"/>
                              <a:chOff x="238125" y="371474"/>
                              <a:chExt cx="2962275" cy="752475"/>
                            </a:xfrm>
                          </wpg:grpSpPr>
                          <wps:wsp>
                            <wps:cNvPr id="60" name="Text Box 60"/>
                            <wps:cNvSpPr txBox="1"/>
                            <wps:spPr>
                              <a:xfrm>
                                <a:off x="238125" y="371474"/>
                                <a:ext cx="1066800" cy="752475"/>
                              </a:xfrm>
                              <a:prstGeom prst="rect">
                                <a:avLst/>
                              </a:prstGeom>
                              <a:noFill/>
                              <a:ln w="6350">
                                <a:noFill/>
                              </a:ln>
                            </wps:spPr>
                            <wps:txbx>
                              <w:txbxContent>
                                <w:p w14:paraId="369C2454" w14:textId="77777777" w:rsidR="00BB230A" w:rsidRPr="00567D56" w:rsidRDefault="00BB230A" w:rsidP="00BB230A">
                                  <w:pPr>
                                    <w:rPr>
                                      <w:rFonts w:ascii="Times New Roman" w:hAnsi="Times New Roman" w:cs="Times New Roman"/>
                                      <w:sz w:val="24"/>
                                      <w:szCs w:val="24"/>
                                    </w:rPr>
                                  </w:pPr>
                                  <w:r w:rsidRPr="00567D56">
                                    <w:rPr>
                                      <w:rFonts w:ascii="Times New Roman" w:hAnsi="Times New Roman" w:cs="Times New Roman"/>
                                      <w:sz w:val="24"/>
                                      <w:szCs w:val="24"/>
                                    </w:rPr>
                                    <w:t>Attention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2047875" y="371474"/>
                                <a:ext cx="1152525" cy="656624"/>
                              </a:xfrm>
                              <a:prstGeom prst="rect">
                                <a:avLst/>
                              </a:prstGeom>
                              <a:noFill/>
                              <a:ln w="6350">
                                <a:noFill/>
                              </a:ln>
                            </wps:spPr>
                            <wps:txbx>
                              <w:txbxContent>
                                <w:p w14:paraId="3DD6A0B6" w14:textId="77777777" w:rsidR="00BB230A" w:rsidRPr="00567D56" w:rsidRDefault="00BB230A" w:rsidP="00BB230A">
                                  <w:pPr>
                                    <w:rPr>
                                      <w:rFonts w:ascii="Times New Roman" w:hAnsi="Times New Roman" w:cs="Times New Roman"/>
                                      <w:sz w:val="24"/>
                                      <w:szCs w:val="24"/>
                                    </w:rPr>
                                  </w:pPr>
                                  <w:r w:rsidRPr="00567D56">
                                    <w:rPr>
                                      <w:rFonts w:ascii="Times New Roman" w:hAnsi="Times New Roman" w:cs="Times New Roman"/>
                                      <w:sz w:val="24"/>
                                      <w:szCs w:val="24"/>
                                    </w:rPr>
                                    <w:t>Retention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3" name="Text Box 63"/>
                          <wps:cNvSpPr txBox="1"/>
                          <wps:spPr>
                            <a:xfrm>
                              <a:off x="3667125" y="314325"/>
                              <a:ext cx="1152525" cy="656624"/>
                            </a:xfrm>
                            <a:prstGeom prst="rect">
                              <a:avLst/>
                            </a:prstGeom>
                            <a:noFill/>
                            <a:ln w="6350">
                              <a:noFill/>
                            </a:ln>
                          </wps:spPr>
                          <wps:txbx>
                            <w:txbxContent>
                              <w:p w14:paraId="50E555F3"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Motor Reproduction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a:off x="5324475" y="352425"/>
                              <a:ext cx="1152525" cy="656624"/>
                            </a:xfrm>
                            <a:prstGeom prst="rect">
                              <a:avLst/>
                            </a:prstGeom>
                            <a:noFill/>
                            <a:ln w="6350">
                              <a:noFill/>
                            </a:ln>
                          </wps:spPr>
                          <wps:txbx>
                            <w:txbxContent>
                              <w:p w14:paraId="0A8F4532"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Motivation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6" name="Text Box 66"/>
                        <wps:cNvSpPr txBox="1"/>
                        <wps:spPr>
                          <a:xfrm>
                            <a:off x="142875" y="1114425"/>
                            <a:ext cx="1152525" cy="285750"/>
                          </a:xfrm>
                          <a:prstGeom prst="rect">
                            <a:avLst/>
                          </a:prstGeom>
                          <a:noFill/>
                          <a:ln w="6350">
                            <a:noFill/>
                          </a:ln>
                        </wps:spPr>
                        <wps:txbx>
                          <w:txbxContent>
                            <w:p w14:paraId="7C299F81"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Stimuli Focus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1790700" y="1095375"/>
                            <a:ext cx="1409700" cy="476250"/>
                          </a:xfrm>
                          <a:prstGeom prst="rect">
                            <a:avLst/>
                          </a:prstGeom>
                          <a:noFill/>
                          <a:ln w="6350">
                            <a:noFill/>
                          </a:ln>
                        </wps:spPr>
                        <wps:txbx>
                          <w:txbxContent>
                            <w:p w14:paraId="1BA8087A"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Rehearse Encode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Text Box 68"/>
                        <wps:cNvSpPr txBox="1"/>
                        <wps:spPr>
                          <a:xfrm>
                            <a:off x="3457575" y="1114425"/>
                            <a:ext cx="1409700" cy="304800"/>
                          </a:xfrm>
                          <a:prstGeom prst="rect">
                            <a:avLst/>
                          </a:prstGeom>
                          <a:noFill/>
                          <a:ln w="6350">
                            <a:noFill/>
                          </a:ln>
                        </wps:spPr>
                        <wps:txbx>
                          <w:txbxContent>
                            <w:p w14:paraId="4B81FAE9"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Practice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Text Box 69"/>
                        <wps:cNvSpPr txBox="1"/>
                        <wps:spPr>
                          <a:xfrm>
                            <a:off x="5276850" y="1095375"/>
                            <a:ext cx="1409700" cy="304800"/>
                          </a:xfrm>
                          <a:prstGeom prst="rect">
                            <a:avLst/>
                          </a:prstGeom>
                          <a:noFill/>
                          <a:ln w="6350">
                            <a:noFill/>
                          </a:ln>
                        </wps:spPr>
                        <wps:txbx>
                          <w:txbxContent>
                            <w:p w14:paraId="57BDBE61"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Reward Reinforce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650EB51" id="Group 70" o:spid="_x0000_s1026" style="position:absolute;left:0;text-align:left;margin-left:-14.25pt;margin-top:25.25pt;width:526.5pt;height:123.75pt;z-index:251669504" coordsize="66865,1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">
                <v:group id="Group 65" o:spid="_x0000_s1027" style="position:absolute;width:64770;height:11430" coordsize="6477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Group 59" o:spid="_x0000_s1028" style="position:absolute;width:63817;height:10858" coordsize="63817,1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oval id="Oval 4" o:spid="_x0000_s1029" style="position:absolute;width:11811;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" filled="f" strokecolor="black [3213]" strokeweight="1pt">
                      <v:stroke joinstyle="miter"/>
                    </v:oval>
                    <v:oval id="Oval 28" o:spid="_x0000_s1030" style="position:absolute;left:17716;top:95;width:11811;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" filled="f" strokecolor="black [3213]" strokeweight="1pt">
                      <v:stroke joinstyle="miter"/>
                    </v:oval>
                    <v:oval id="Oval 53" o:spid="_x0000_s1031" style="position:absolute;left:35337;top:190;width:11811;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oval id="Oval 54" o:spid="_x0000_s1032" style="position:absolute;left:52006;top:95;width:11811;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" filled="f" strokecolor="black [3213]" strokeweight="1pt">
                      <v:stroke joinstyle="miter"/>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5" o:spid="_x0000_s1033" type="#_x0000_t13" style="position:absolute;left:12954;top:4667;width:4095;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" adj="17079" filled="f" strokecolor="black [3213]" strokeweight="1pt"/>
                    <v:shape id="Right Arrow 56" o:spid="_x0000_s1034" type="#_x0000_t13" style="position:absolute;left:30384;top:4572;width:4096;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" adj="17079" filled="f" strokecolor="black [3213]" strokeweight="1pt"/>
                    <v:shape id="Right Arrow 57" o:spid="_x0000_s1035" type="#_x0000_t13" style="position:absolute;left:47434;top:4572;width:4096;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" adj="17079" filled="f" strokecolor="black [3213]" strokeweight="1pt"/>
                  </v:group>
                  <v:group id="Group 62" o:spid="_x0000_s1036" style="position:absolute;left:1809;top:3905;width:29623;height:7525" coordorigin="2381,3714" coordsize="29622,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type id="_x0000_t202" coordsize="21600,21600" o:spt="202" path="m,l,21600r21600,l21600,xe">
                      <v:stroke joinstyle="miter"/>
                      <v:path gradientshapeok="t" o:connecttype="rect"/>
                    </v:shapetype>
                    <v:shape id="Text Box 60" o:spid="_x0000_s1037" type="#_x0000_t202" style="position:absolute;left:2381;top:3714;width:10668;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14:paraId="369C2454" w14:textId="77777777" w:rsidR="00BB230A" w:rsidRPr="00567D56" w:rsidRDefault="00BB230A" w:rsidP="00BB230A">
                            <w:pPr>
                              <w:rPr>
                                <w:rFonts w:ascii="Times New Roman" w:hAnsi="Times New Roman" w:cs="Times New Roman"/>
                                <w:sz w:val="24"/>
                                <w:szCs w:val="24"/>
                              </w:rPr>
                            </w:pPr>
                            <w:r w:rsidRPr="00567D56">
                              <w:rPr>
                                <w:rFonts w:ascii="Times New Roman" w:hAnsi="Times New Roman" w:cs="Times New Roman"/>
                                <w:sz w:val="24"/>
                                <w:szCs w:val="24"/>
                              </w:rPr>
                              <w:t>Attention</w:t>
                            </w:r>
                          </w:p>
                        </w:txbxContent>
                      </v:textbox>
                    </v:shape>
                    <v:shape id="Text Box 61" o:spid="_x0000_s1038" type="#_x0000_t202" style="position:absolute;left:20478;top:3714;width:11526;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3DD6A0B6" w14:textId="77777777" w:rsidR="00BB230A" w:rsidRPr="00567D56" w:rsidRDefault="00BB230A" w:rsidP="00BB230A">
                            <w:pPr>
                              <w:rPr>
                                <w:rFonts w:ascii="Times New Roman" w:hAnsi="Times New Roman" w:cs="Times New Roman"/>
                                <w:sz w:val="24"/>
                                <w:szCs w:val="24"/>
                              </w:rPr>
                            </w:pPr>
                            <w:r w:rsidRPr="00567D56">
                              <w:rPr>
                                <w:rFonts w:ascii="Times New Roman" w:hAnsi="Times New Roman" w:cs="Times New Roman"/>
                                <w:sz w:val="24"/>
                                <w:szCs w:val="24"/>
                              </w:rPr>
                              <w:t>Retention</w:t>
                            </w:r>
                          </w:p>
                        </w:txbxContent>
                      </v:textbox>
                    </v:shape>
                  </v:group>
                  <v:shape id="Text Box 63" o:spid="_x0000_s1039" type="#_x0000_t202" style="position:absolute;left:36671;top:3143;width:11525;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50E555F3"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Motor Reproduction</w:t>
                          </w:r>
                        </w:p>
                      </w:txbxContent>
                    </v:textbox>
                  </v:shape>
                  <v:shape id="Text Box 64" o:spid="_x0000_s1040" type="#_x0000_t202" style="position:absolute;left:53244;top:3524;width:11526;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14:paraId="0A8F4532"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Motivation</w:t>
                          </w:r>
                        </w:p>
                      </w:txbxContent>
                    </v:textbox>
                  </v:shape>
                </v:group>
                <v:shape id="Text Box 66" o:spid="_x0000_s1041" type="#_x0000_t202" style="position:absolute;left:1428;top:11144;width:1152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7C299F81"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Stimuli Focus</w:t>
                        </w:r>
                      </w:p>
                    </w:txbxContent>
                  </v:textbox>
                </v:shape>
                <v:shape id="Text Box 67" o:spid="_x0000_s1042" type="#_x0000_t202" style="position:absolute;left:17907;top:10953;width:14097;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14:paraId="1BA8087A"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Rehearse Encode</w:t>
                        </w:r>
                      </w:p>
                    </w:txbxContent>
                  </v:textbox>
                </v:shape>
                <v:shape id="Text Box 68" o:spid="_x0000_s1043" type="#_x0000_t202" style="position:absolute;left:34575;top:11144;width:1409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4B81FAE9"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Practice Feedback</w:t>
                        </w:r>
                      </w:p>
                    </w:txbxContent>
                  </v:textbox>
                </v:shape>
                <v:shape id="Text Box 69" o:spid="_x0000_s1044" type="#_x0000_t202" style="position:absolute;left:52768;top:10953;width:1409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" filled="f" stroked="f" strokeweight=".5pt">
                  <v:textbox>
                    <w:txbxContent>
                      <w:p w14:paraId="57BDBE61"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Reward Reinforce</w:t>
                        </w:r>
                      </w:p>
                    </w:txbxContent>
                  </v:textbox>
                </v:shape>
              </v:group>
            </w:pict>
          </mc:Fallback>
        </mc:AlternateContent>
      </w:r>
    </w:p>
    <w:p w14:paraId="2D4D7EBC" w14:textId="77777777" w:rsidR="00BB230A" w:rsidRPr="00FA161E" w:rsidRDefault="00BB230A" w:rsidP="00DA3538">
      <w:pPr>
        <w:spacing w:line="276" w:lineRule="auto"/>
        <w:jc w:val="both"/>
        <w:rPr>
          <w:rFonts w:ascii="Times New Roman" w:hAnsi="Times New Roman" w:cs="Times New Roman"/>
          <w:sz w:val="24"/>
          <w:szCs w:val="24"/>
        </w:rPr>
      </w:pPr>
    </w:p>
    <w:p w14:paraId="1103C3BF" w14:textId="77777777" w:rsidR="00BB230A" w:rsidRPr="00FA161E" w:rsidRDefault="00BB230A" w:rsidP="00DA3538">
      <w:pPr>
        <w:spacing w:line="276" w:lineRule="auto"/>
        <w:jc w:val="both"/>
        <w:rPr>
          <w:rFonts w:ascii="Times New Roman" w:hAnsi="Times New Roman" w:cs="Times New Roman"/>
          <w:sz w:val="24"/>
          <w:szCs w:val="24"/>
        </w:rPr>
      </w:pPr>
    </w:p>
    <w:p w14:paraId="58793ADF" w14:textId="77777777" w:rsidR="00BB230A" w:rsidRPr="00FA161E" w:rsidRDefault="00BB230A" w:rsidP="00DA3538">
      <w:pPr>
        <w:spacing w:line="276" w:lineRule="auto"/>
        <w:jc w:val="both"/>
        <w:rPr>
          <w:rFonts w:ascii="Times New Roman" w:hAnsi="Times New Roman" w:cs="Times New Roman"/>
          <w:b/>
          <w:sz w:val="24"/>
          <w:szCs w:val="24"/>
        </w:rPr>
      </w:pPr>
    </w:p>
    <w:p w14:paraId="3DD4579A" w14:textId="77777777" w:rsidR="00BB230A" w:rsidRPr="00FA161E" w:rsidRDefault="00BB230A" w:rsidP="00DA3538">
      <w:pPr>
        <w:spacing w:line="276" w:lineRule="auto"/>
        <w:jc w:val="both"/>
        <w:rPr>
          <w:rFonts w:ascii="Times New Roman" w:hAnsi="Times New Roman" w:cs="Times New Roman"/>
          <w:b/>
          <w:sz w:val="24"/>
          <w:szCs w:val="24"/>
        </w:rPr>
      </w:pPr>
    </w:p>
    <w:p w14:paraId="16317994" w14:textId="77777777" w:rsidR="00BB230A" w:rsidRPr="00FA161E" w:rsidRDefault="00BB230A" w:rsidP="00DA3538">
      <w:pPr>
        <w:spacing w:line="276" w:lineRule="auto"/>
        <w:jc w:val="both"/>
        <w:rPr>
          <w:rFonts w:ascii="Times New Roman" w:hAnsi="Times New Roman" w:cs="Times New Roman"/>
          <w:b/>
          <w:sz w:val="24"/>
          <w:szCs w:val="24"/>
        </w:rPr>
      </w:pPr>
    </w:p>
    <w:p w14:paraId="4AD7B344" w14:textId="6E818787" w:rsidR="008B4258" w:rsidRPr="00FA161E" w:rsidRDefault="008B4258"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Figure 1:</w:t>
      </w:r>
      <w:r w:rsidRPr="00FA161E">
        <w:rPr>
          <w:rFonts w:ascii="Times New Roman" w:hAnsi="Times New Roman" w:cs="Times New Roman"/>
          <w:b/>
          <w:sz w:val="24"/>
          <w:szCs w:val="24"/>
        </w:rPr>
        <w:t xml:space="preserve"> </w:t>
      </w:r>
      <w:r w:rsidRPr="00FA161E">
        <w:rPr>
          <w:rFonts w:ascii="Times New Roman" w:hAnsi="Times New Roman" w:cs="Times New Roman"/>
          <w:sz w:val="24"/>
          <w:szCs w:val="24"/>
        </w:rPr>
        <w:t>Social learning theory</w:t>
      </w:r>
    </w:p>
    <w:p w14:paraId="0311D2F3" w14:textId="7D128726"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Attention: According to social learning theory, in order for a person to imitate a behavior, it must attract our attention. Humans observe many behaviors on a daily basis and most of them are not significant (Lee and Lee, 2018). Accordingly, in order for any lesson or experience to have an effect on an observer, that observer must observe his surroundings carefully. In order for the observer to have positive feelings about it, the observer must recognize the model well. Also, the way the observer invests in the observation process is important for the observer to have strong feelings about the experience being observed. Accordingly, factors affecting attention include complexity, uniqueness and functional value (Amatucci and Crawley, 2011).</w:t>
      </w:r>
    </w:p>
    <w:p w14:paraId="5DD65FE2"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Retention: This refers to the extent to which an observer remembers what has been observed. If something observed at some point is not remembered, it does not allow for imitation. </w:t>
      </w:r>
      <w:r w:rsidRPr="00FA161E">
        <w:rPr>
          <w:rFonts w:ascii="Times New Roman" w:hAnsi="Times New Roman" w:cs="Times New Roman"/>
          <w:sz w:val="24"/>
          <w:szCs w:val="24"/>
        </w:rPr>
        <w:lastRenderedPageBreak/>
        <w:t>Accordingly, it is important to remember that to imitate something. As for most social actions, they are not instantaneous. Memory is important to refer to an event even if it happens again. Therefore, according to the social learning process, Retention is important for making their own actions based on the experience and information obtained from society (McLeod, 2016).</w:t>
      </w:r>
    </w:p>
    <w:p w14:paraId="0429565F"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Reproduction/ Initiation and motor capability: This means the ability to repeat the same based on the information and experience gathered through observation. Although people want to imitate, they are not always able to do so. Many behaviors are observed by people every day, and they are stored in memory. But sometimes it is not possible to imitate them due to physical abilities or other reasons. Therefore, individuals want to reproduce but are unable to do so (Bandura, 1977).</w:t>
      </w:r>
    </w:p>
    <w:p w14:paraId="40E328E5"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If a person wants to apply the lesson learned, the observer must be able to reproduce it realistically. But in order to reproduce and model a behavior, the necessary skills must be learned (Bandura, 1986). Through that, based on the information obtained through the observation of the society, it is possible to remember and reconstruct them.</w:t>
      </w:r>
    </w:p>
    <w:p w14:paraId="65A49D60" w14:textId="27A2E9CA"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Motivation: According to the social learning theory, motivation is important for engaging in some action based on the information gathered by an observer from the society. Accordingly, even if an observer focuses on a lesson, remembers all its details, and prepares all the necessary steps to do it, it will not happen if he is not motivated to do it (</w:t>
      </w:r>
      <w:proofErr w:type="spellStart"/>
      <w:r w:rsidRPr="00FA161E">
        <w:rPr>
          <w:rFonts w:ascii="Times New Roman" w:hAnsi="Times New Roman" w:cs="Times New Roman"/>
          <w:sz w:val="24"/>
          <w:szCs w:val="24"/>
        </w:rPr>
        <w:t>Mu‟izzuddin</w:t>
      </w:r>
      <w:proofErr w:type="spellEnd"/>
      <w:r w:rsidR="00AB5A90" w:rsidRPr="00FA161E">
        <w:rPr>
          <w:rFonts w:ascii="Times New Roman" w:hAnsi="Times New Roman" w:cs="Times New Roman"/>
          <w:sz w:val="24"/>
          <w:szCs w:val="24"/>
        </w:rPr>
        <w:t xml:space="preserve"> et al</w:t>
      </w:r>
      <w:r w:rsidRPr="00FA161E">
        <w:rPr>
          <w:rFonts w:ascii="Times New Roman" w:hAnsi="Times New Roman" w:cs="Times New Roman"/>
          <w:sz w:val="24"/>
          <w:szCs w:val="24"/>
        </w:rPr>
        <w:t>, 2017).</w:t>
      </w:r>
    </w:p>
    <w:p w14:paraId="773650F3"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The observer focuses on the rewards and punishments for that action to create motivation. It can also include the observation that similar behavior is rewarded, the behavior, the desire to be like the model displayed, or the desire to improve or learn. In addition, other factors that influence motivation include personal characteristics, past experiences, promised incentives, positive reinforcement and punishment (McLeod, 2016).</w:t>
      </w:r>
    </w:p>
    <w:p w14:paraId="79CC7BC0" w14:textId="7BB06A9F"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Social learning theory is important in discussing financial literacy. In other words, people are directed to learn about the financial literacy of individuals through society. According to social learning theory, people learn various things from their environment and especially from their parents, family and peers (Pinto et al., 2005). Accordingly, social learning refers to learning by interacting with others. In this context, individuals tend to learn certain things from their peers and family about the use of financial services and related concepts (</w:t>
      </w:r>
      <w:proofErr w:type="spellStart"/>
      <w:r w:rsidRPr="00FA161E">
        <w:rPr>
          <w:rFonts w:ascii="Times New Roman" w:hAnsi="Times New Roman" w:cs="Times New Roman"/>
          <w:sz w:val="24"/>
          <w:szCs w:val="24"/>
        </w:rPr>
        <w:t>Agabalinda</w:t>
      </w:r>
      <w:proofErr w:type="spellEnd"/>
      <w:r w:rsidR="00D53313" w:rsidRPr="00FA161E">
        <w:rPr>
          <w:rFonts w:ascii="Times New Roman" w:hAnsi="Times New Roman" w:cs="Times New Roman"/>
          <w:sz w:val="24"/>
          <w:szCs w:val="24"/>
        </w:rPr>
        <w:t xml:space="preserve"> and</w:t>
      </w:r>
      <w:r w:rsidRPr="00FA161E">
        <w:rPr>
          <w:rFonts w:ascii="Times New Roman" w:hAnsi="Times New Roman" w:cs="Times New Roman"/>
          <w:sz w:val="24"/>
          <w:szCs w:val="24"/>
        </w:rPr>
        <w:t xml:space="preserve"> </w:t>
      </w:r>
      <w:proofErr w:type="spellStart"/>
      <w:r w:rsidRPr="00FA161E">
        <w:rPr>
          <w:rFonts w:ascii="Times New Roman" w:hAnsi="Times New Roman" w:cs="Times New Roman"/>
          <w:sz w:val="24"/>
          <w:szCs w:val="24"/>
        </w:rPr>
        <w:t>Isoh</w:t>
      </w:r>
      <w:proofErr w:type="spellEnd"/>
      <w:r w:rsidRPr="00FA161E">
        <w:rPr>
          <w:rFonts w:ascii="Times New Roman" w:hAnsi="Times New Roman" w:cs="Times New Roman"/>
          <w:sz w:val="24"/>
          <w:szCs w:val="24"/>
        </w:rPr>
        <w:t>, 2020).</w:t>
      </w:r>
    </w:p>
    <w:p w14:paraId="34B47028"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Within the scope of financial social learning, many dimensions are included such as the way money management is done, the way new financial decisions are reached, and they refer to the learning of individuals socially. In it, the issues related to the financial literacy of individuals refer to gathering individuals through society (</w:t>
      </w:r>
      <w:proofErr w:type="spellStart"/>
      <w:r w:rsidRPr="00FA161E">
        <w:rPr>
          <w:rFonts w:ascii="Times New Roman" w:hAnsi="Times New Roman" w:cs="Times New Roman"/>
          <w:sz w:val="24"/>
          <w:szCs w:val="24"/>
        </w:rPr>
        <w:t>Agabalinda</w:t>
      </w:r>
      <w:proofErr w:type="spellEnd"/>
      <w:r w:rsidRPr="00FA161E">
        <w:rPr>
          <w:rFonts w:ascii="Times New Roman" w:hAnsi="Times New Roman" w:cs="Times New Roman"/>
          <w:sz w:val="24"/>
          <w:szCs w:val="24"/>
        </w:rPr>
        <w:t xml:space="preserve"> and </w:t>
      </w:r>
      <w:proofErr w:type="spellStart"/>
      <w:r w:rsidRPr="00FA161E">
        <w:rPr>
          <w:rFonts w:ascii="Times New Roman" w:hAnsi="Times New Roman" w:cs="Times New Roman"/>
          <w:sz w:val="24"/>
          <w:szCs w:val="24"/>
        </w:rPr>
        <w:t>Isoh</w:t>
      </w:r>
      <w:proofErr w:type="spellEnd"/>
      <w:r w:rsidRPr="00FA161E">
        <w:rPr>
          <w:rFonts w:ascii="Times New Roman" w:hAnsi="Times New Roman" w:cs="Times New Roman"/>
          <w:sz w:val="24"/>
          <w:szCs w:val="24"/>
        </w:rPr>
        <w:t>, 2020). According to Lee and Lee (2018), there is a positive relationship between financial knowledge and social learning. It found that people acquire or improve financial skills based on experiences from their peers, family members and parents (Gutter et al, 2010).</w:t>
      </w:r>
    </w:p>
    <w:p w14:paraId="093F8EAB" w14:textId="12D447AB"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Also, it has been recognized that individuals observe and gain experience from what their family and peers do about financial affairs, remember that information and use it for their own financial affairs (Mahdavi</w:t>
      </w:r>
      <w:r w:rsidR="00551482" w:rsidRPr="00FA161E">
        <w:rPr>
          <w:rFonts w:ascii="Times New Roman" w:hAnsi="Times New Roman" w:cs="Times New Roman"/>
          <w:sz w:val="24"/>
          <w:szCs w:val="24"/>
        </w:rPr>
        <w:t xml:space="preserve"> et al, </w:t>
      </w:r>
      <w:r w:rsidRPr="00FA161E">
        <w:rPr>
          <w:rFonts w:ascii="Times New Roman" w:hAnsi="Times New Roman" w:cs="Times New Roman"/>
          <w:sz w:val="24"/>
          <w:szCs w:val="24"/>
        </w:rPr>
        <w:t xml:space="preserve">2012). It has been recognized that individuals will be directed </w:t>
      </w:r>
      <w:r w:rsidRPr="00FA161E">
        <w:rPr>
          <w:rFonts w:ascii="Times New Roman" w:hAnsi="Times New Roman" w:cs="Times New Roman"/>
          <w:sz w:val="24"/>
          <w:szCs w:val="24"/>
        </w:rPr>
        <w:lastRenderedPageBreak/>
        <w:t>to prepare and make positive and profitable decisions from related financial matters (Campbell, 2006). Accordingly, considering the facts indicated by the social learning theory, individuals use those facts in making financial decisions. It is also clear that the knowledge gathered through the society will increase the financial literacy of individuals (Lusardi and Mitchell, 2011a).</w:t>
      </w:r>
    </w:p>
    <w:p w14:paraId="6C273153" w14:textId="77777777" w:rsidR="00BB230A" w:rsidRPr="00FA161E" w:rsidRDefault="00BB230A" w:rsidP="00DA3538">
      <w:pPr>
        <w:spacing w:line="276" w:lineRule="auto"/>
        <w:jc w:val="both"/>
        <w:rPr>
          <w:rFonts w:ascii="Times New Roman" w:hAnsi="Times New Roman" w:cs="Times New Roman"/>
          <w:sz w:val="24"/>
          <w:szCs w:val="24"/>
        </w:rPr>
      </w:pPr>
    </w:p>
    <w:p w14:paraId="6A6409D7" w14:textId="7A392C2B" w:rsidR="002A76B7" w:rsidRPr="00FA161E" w:rsidRDefault="002A361A" w:rsidP="00DA3538">
      <w:pPr>
        <w:spacing w:line="276" w:lineRule="auto"/>
        <w:ind w:left="450" w:hanging="90"/>
        <w:jc w:val="both"/>
        <w:rPr>
          <w:rFonts w:ascii="Times New Roman" w:hAnsi="Times New Roman" w:cs="Times New Roman"/>
          <w:sz w:val="24"/>
          <w:szCs w:val="24"/>
        </w:rPr>
      </w:pPr>
      <w:bookmarkStart w:id="0" w:name="_GoBack"/>
      <w:bookmarkEnd w:id="0"/>
      <w:r w:rsidRPr="00FA161E">
        <w:rPr>
          <w:rFonts w:ascii="Times New Roman" w:hAnsi="Times New Roman" w:cs="Times New Roman"/>
          <w:sz w:val="24"/>
          <w:szCs w:val="24"/>
        </w:rPr>
        <w:t xml:space="preserve">02.3 </w:t>
      </w:r>
      <w:r w:rsidR="001B2F93" w:rsidRPr="00FA161E">
        <w:rPr>
          <w:rFonts w:ascii="Times New Roman" w:hAnsi="Times New Roman" w:cs="Times New Roman"/>
          <w:sz w:val="24"/>
          <w:szCs w:val="24"/>
        </w:rPr>
        <w:t>Empirical Review of the Study</w:t>
      </w:r>
    </w:p>
    <w:p w14:paraId="7E0FF685"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A considerable number of studies have examined the concept of online banking from different perspectives. Previous research has explored several aspects such as the factors influencing customers’ adoption of online banking, the efficiency of online banking services, and the advantages and limitations associated with its use. The key findings of earlier studies related to online banking can therefore be summarized as follows.</w:t>
      </w:r>
    </w:p>
    <w:p w14:paraId="45715536" w14:textId="77777777" w:rsidR="005C3791" w:rsidRPr="005C3791" w:rsidRDefault="005C3791" w:rsidP="00DA3538">
      <w:pPr>
        <w:spacing w:line="276" w:lineRule="auto"/>
        <w:jc w:val="both"/>
        <w:rPr>
          <w:rFonts w:ascii="Times New Roman" w:hAnsi="Times New Roman" w:cs="Times New Roman"/>
          <w:sz w:val="24"/>
          <w:szCs w:val="24"/>
        </w:rPr>
      </w:pPr>
      <w:proofErr w:type="spellStart"/>
      <w:r w:rsidRPr="005C3791">
        <w:rPr>
          <w:rFonts w:ascii="Times New Roman" w:hAnsi="Times New Roman" w:cs="Times New Roman"/>
          <w:sz w:val="24"/>
          <w:szCs w:val="24"/>
        </w:rPr>
        <w:t>Jegatheesparan</w:t>
      </w:r>
      <w:proofErr w:type="spellEnd"/>
      <w:r w:rsidRPr="005C3791">
        <w:rPr>
          <w:rFonts w:ascii="Times New Roman" w:hAnsi="Times New Roman" w:cs="Times New Roman"/>
          <w:sz w:val="24"/>
          <w:szCs w:val="24"/>
        </w:rPr>
        <w:t xml:space="preserve"> and </w:t>
      </w:r>
      <w:proofErr w:type="spellStart"/>
      <w:r w:rsidRPr="005C3791">
        <w:rPr>
          <w:rFonts w:ascii="Times New Roman" w:hAnsi="Times New Roman" w:cs="Times New Roman"/>
          <w:sz w:val="24"/>
          <w:szCs w:val="24"/>
        </w:rPr>
        <w:t>Ajeshwaran</w:t>
      </w:r>
      <w:proofErr w:type="spellEnd"/>
      <w:r w:rsidRPr="005C3791">
        <w:rPr>
          <w:rFonts w:ascii="Times New Roman" w:hAnsi="Times New Roman" w:cs="Times New Roman"/>
          <w:sz w:val="24"/>
          <w:szCs w:val="24"/>
        </w:rPr>
        <w:t xml:space="preserve"> (2020) conducted a study to identify the factors influencing customers in Sri Lanka to adopt online banking services. The study was based on a sample of 180 respondents and examined variables such as ease of use, perceived usefulness, compatibility, security, and information quality. The findings revealed that ease of use, usefulness, compatibility, and information quality have a significant positive influence on customers’ adoption of online banking services. Similarly, </w:t>
      </w:r>
      <w:proofErr w:type="spellStart"/>
      <w:r w:rsidRPr="005C3791">
        <w:rPr>
          <w:rFonts w:ascii="Times New Roman" w:hAnsi="Times New Roman" w:cs="Times New Roman"/>
          <w:sz w:val="24"/>
          <w:szCs w:val="24"/>
        </w:rPr>
        <w:t>Nedumaran</w:t>
      </w:r>
      <w:proofErr w:type="spellEnd"/>
      <w:r w:rsidRPr="005C3791">
        <w:rPr>
          <w:rFonts w:ascii="Times New Roman" w:hAnsi="Times New Roman" w:cs="Times New Roman"/>
          <w:sz w:val="24"/>
          <w:szCs w:val="24"/>
        </w:rPr>
        <w:t xml:space="preserve"> and </w:t>
      </w:r>
      <w:proofErr w:type="spellStart"/>
      <w:r w:rsidRPr="005C3791">
        <w:rPr>
          <w:rFonts w:ascii="Times New Roman" w:hAnsi="Times New Roman" w:cs="Times New Roman"/>
          <w:sz w:val="24"/>
          <w:szCs w:val="24"/>
        </w:rPr>
        <w:t>Baladevi</w:t>
      </w:r>
      <w:proofErr w:type="spellEnd"/>
      <w:r w:rsidRPr="005C3791">
        <w:rPr>
          <w:rFonts w:ascii="Times New Roman" w:hAnsi="Times New Roman" w:cs="Times New Roman"/>
          <w:sz w:val="24"/>
          <w:szCs w:val="24"/>
        </w:rPr>
        <w:t xml:space="preserve"> (2018) investigated the level of customer awareness regarding the services offered through online banking. Their findings indicated that although most respondents possessed a reasonable level of awareness about these services, banks should take further steps to educate customers about new technological developments and available services. In addition, the study suggested extending customer interaction time with bank officials in order to retain existing customers and attract potential clients. These findings indicate that increased customer awareness can encourage greater adoption of online banking services.</w:t>
      </w:r>
    </w:p>
    <w:p w14:paraId="27DECD10"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A study conducted in Thailand examined the determinants influencing customers’ usage of online banking by analyzing variables such as customer expectations, perceived value, perceived quality, customer complaints, customer satisfaction, and customer loyalty. The results demonstrated that all these factors influence the use of online banking, with perceived quality and perceived value having the strongest impact on customers’ adoption behavior (</w:t>
      </w:r>
      <w:proofErr w:type="spellStart"/>
      <w:r w:rsidRPr="005C3791">
        <w:rPr>
          <w:rFonts w:ascii="Times New Roman" w:hAnsi="Times New Roman" w:cs="Times New Roman"/>
          <w:sz w:val="24"/>
          <w:szCs w:val="24"/>
        </w:rPr>
        <w:t>Unyathanakorn</w:t>
      </w:r>
      <w:proofErr w:type="spellEnd"/>
      <w:r w:rsidRPr="005C3791">
        <w:rPr>
          <w:rFonts w:ascii="Times New Roman" w:hAnsi="Times New Roman" w:cs="Times New Roman"/>
          <w:sz w:val="24"/>
          <w:szCs w:val="24"/>
        </w:rPr>
        <w:t xml:space="preserve"> &amp; </w:t>
      </w:r>
      <w:proofErr w:type="spellStart"/>
      <w:r w:rsidRPr="005C3791">
        <w:rPr>
          <w:rFonts w:ascii="Times New Roman" w:hAnsi="Times New Roman" w:cs="Times New Roman"/>
          <w:sz w:val="24"/>
          <w:szCs w:val="24"/>
        </w:rPr>
        <w:t>Rompho</w:t>
      </w:r>
      <w:proofErr w:type="spellEnd"/>
      <w:r w:rsidRPr="005C3791">
        <w:rPr>
          <w:rFonts w:ascii="Times New Roman" w:hAnsi="Times New Roman" w:cs="Times New Roman"/>
          <w:sz w:val="24"/>
          <w:szCs w:val="24"/>
        </w:rPr>
        <w:t>, 2014). Similarly, research examining the relationship between customer satisfaction and online banking usage found that customer satisfaction positively influences the likelihood of using online banking services. Factors such as system availability, efficiency, privacy, responsiveness, connectivity, and website design were identified as significant contributors to higher customer satisfaction (Abbasi, 2018).</w:t>
      </w:r>
    </w:p>
    <w:p w14:paraId="296DAD7D"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 xml:space="preserve">Gautam and Sah (2023) investigated the impact of online banking service practices on e-customer satisfaction and e-customer loyalty. In their study, service quality was measured using dimensions such as organizational website features, e-customer service, user-friendliness, website efficiency, privacy, and security. The findings indicated that the effectiveness of e-customer service plays a particularly significant role in online banking service quality, while privacy, security, and user-friendliness are also important determinants. Similarly, Dianne and </w:t>
      </w:r>
      <w:proofErr w:type="spellStart"/>
      <w:r w:rsidRPr="005C3791">
        <w:rPr>
          <w:rFonts w:ascii="Times New Roman" w:hAnsi="Times New Roman" w:cs="Times New Roman"/>
          <w:sz w:val="24"/>
          <w:szCs w:val="24"/>
        </w:rPr>
        <w:lastRenderedPageBreak/>
        <w:t>Quiber</w:t>
      </w:r>
      <w:proofErr w:type="spellEnd"/>
      <w:r w:rsidRPr="005C3791">
        <w:rPr>
          <w:rFonts w:ascii="Times New Roman" w:hAnsi="Times New Roman" w:cs="Times New Roman"/>
          <w:sz w:val="24"/>
          <w:szCs w:val="24"/>
        </w:rPr>
        <w:t xml:space="preserve"> (2023) noted that online banking offers fast and reliable services to customers. However, as many customers remain hesitant to adopt online banking services, their study examined factors affecting customer satisfaction in order to identify existing challenges and improve the customer experience. The study identified convenience, security, speed, and service quality as key determinants influencing customer satisfaction. Furthermore, the development of online banking systems and technological advancements have enabled banks to attract more customers while simultaneously reducing operational costs.</w:t>
      </w:r>
    </w:p>
    <w:p w14:paraId="6FA5639B"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Gijón and Covadonga (2023) examined whether customers’ orientation toward online banking varies according to demographic characteristics such as gender and education level. The results indicated that significant differences exist based on both gender and educational attainment. In addition, the study highlighted that individuals with higher levels of digital skills are more likely to use online banking services.</w:t>
      </w:r>
    </w:p>
    <w:p w14:paraId="36EB3149"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Naeem et al. (2023) conducted a SWOT analysis of online banking services provided by banks in Pakistan. The study identified strengths such as competitive advantage, reduced need for physical branch visits, system integration, user-friendly services for both customers and managers, a large customer base, and cost reduction for banks. Weaknesses included low literacy rates, scalability challenges, connectivity issues, website maintenance problems, cybersecurity threats, and poor customer relationship management. Opportunities included ready access to customers, high demand for financial products, easy access to financial records, simplified loan facilities, reduced queues, and convenience for elderly customers. However, threats such as weak regulatory frameworks, inadequate IT infrastructure, security concerns, operational complexities, interference from foreign banks, and potential money laundering activities were also identified. Similarly, Islam et al. (2023) found that the use of online banking in Bangladesh is increasing rapidly. Their research highlighted that service quality, security, and convenience are major factors influencing customer satisfaction with online banking services.</w:t>
      </w:r>
    </w:p>
    <w:p w14:paraId="77CEA0A6"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 xml:space="preserve">In addition to these factors, several researchers have investigated how financial literacy influences individuals’ adoption of online banking. </w:t>
      </w:r>
      <w:proofErr w:type="spellStart"/>
      <w:r w:rsidRPr="005C3791">
        <w:rPr>
          <w:rFonts w:ascii="Times New Roman" w:hAnsi="Times New Roman" w:cs="Times New Roman"/>
          <w:sz w:val="24"/>
          <w:szCs w:val="24"/>
        </w:rPr>
        <w:t>Andreou</w:t>
      </w:r>
      <w:proofErr w:type="spellEnd"/>
      <w:r w:rsidRPr="005C3791">
        <w:rPr>
          <w:rFonts w:ascii="Times New Roman" w:hAnsi="Times New Roman" w:cs="Times New Roman"/>
          <w:sz w:val="24"/>
          <w:szCs w:val="24"/>
        </w:rPr>
        <w:t xml:space="preserve"> and </w:t>
      </w:r>
      <w:proofErr w:type="spellStart"/>
      <w:r w:rsidRPr="005C3791">
        <w:rPr>
          <w:rFonts w:ascii="Times New Roman" w:hAnsi="Times New Roman" w:cs="Times New Roman"/>
          <w:sz w:val="24"/>
          <w:szCs w:val="24"/>
        </w:rPr>
        <w:t>Anyfantaki</w:t>
      </w:r>
      <w:proofErr w:type="spellEnd"/>
      <w:r w:rsidRPr="005C3791">
        <w:rPr>
          <w:rFonts w:ascii="Times New Roman" w:hAnsi="Times New Roman" w:cs="Times New Roman"/>
          <w:sz w:val="24"/>
          <w:szCs w:val="24"/>
        </w:rPr>
        <w:t xml:space="preserve"> (2020) conducted a study among the elderly population in Cyprus following the country’s financial crisis in 2013. As part of post-crisis financial reforms, Cyprus expanded digital banking facilities including online banking services. However, the study revealed that financial literacy among the population remains relatively low, with only 37.33% of respondents demonstrating a high level of financial literacy. The findings confirmed a positive relationship between financial literacy and the use of online banking services.</w:t>
      </w:r>
    </w:p>
    <w:p w14:paraId="4CF5E60F"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Similarly, Lisa (2008) examined the relationship between financial literacy and online banking behavior, focusing particularly on low-income populations and individuals living in inner-city areas. The results suggested a potential relationship between financial literacy and online banking usage. The study also found that financial literacy levels among low-income populations were relatively low, indicating the need for targeted interventions to improve financial knowledge and encourage effective use of online banking services.</w:t>
      </w:r>
    </w:p>
    <w:p w14:paraId="10879AB4"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lastRenderedPageBreak/>
        <w:t>Yates (2016) conducted research among African American banking customers to examine the factors influencing online banking adoption. The study found that financial literacy, in addition to income and education, has a strong positive effect on the use of online banking services. The findings suggest that improved financial literacy can contribute to more effective and efficient use of online banking systems.</w:t>
      </w:r>
    </w:p>
    <w:p w14:paraId="3D46A948"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Similarly, Bapat (2019) investigated the factors influencing online banking adoption among postgraduate students in India. The study concluded that financial literacy has a significant positive influence on the use of online banking services. In Japan, a financial literacy index was developed using data from approximately 25,000 participants from the Bank of Japan’s 2019 Financial Literacy Survey to examine the relationship between financial literacy and the use of e-payments and online banking. The findings revealed that individuals with higher levels of financial literacy are more likely to adopt online banking services (Long et al., 2023).</w:t>
      </w:r>
    </w:p>
    <w:p w14:paraId="5AD90A58" w14:textId="77777777" w:rsidR="005C3791" w:rsidRPr="005C3791" w:rsidRDefault="005C3791" w:rsidP="00DA3538">
      <w:pPr>
        <w:spacing w:line="276" w:lineRule="auto"/>
        <w:jc w:val="both"/>
        <w:rPr>
          <w:rFonts w:ascii="Times New Roman" w:hAnsi="Times New Roman" w:cs="Times New Roman"/>
          <w:sz w:val="24"/>
          <w:szCs w:val="24"/>
        </w:rPr>
      </w:pPr>
      <w:proofErr w:type="spellStart"/>
      <w:r w:rsidRPr="005C3791">
        <w:rPr>
          <w:rFonts w:ascii="Times New Roman" w:hAnsi="Times New Roman" w:cs="Times New Roman"/>
          <w:sz w:val="24"/>
          <w:szCs w:val="24"/>
        </w:rPr>
        <w:t>Satoto</w:t>
      </w:r>
      <w:proofErr w:type="spellEnd"/>
      <w:r w:rsidRPr="005C3791">
        <w:rPr>
          <w:rFonts w:ascii="Times New Roman" w:hAnsi="Times New Roman" w:cs="Times New Roman"/>
          <w:sz w:val="24"/>
          <w:szCs w:val="24"/>
        </w:rPr>
        <w:t xml:space="preserve"> and Putra (2021) further examined the impact of financial literacy and other determinants on individuals’ intention to use electronic money. Their findings indicated that financial literacy directly influences individuals’ intention to adopt digital financial services. Similarly, </w:t>
      </w:r>
      <w:proofErr w:type="spellStart"/>
      <w:r w:rsidRPr="005C3791">
        <w:rPr>
          <w:rFonts w:ascii="Times New Roman" w:hAnsi="Times New Roman" w:cs="Times New Roman"/>
          <w:sz w:val="24"/>
          <w:szCs w:val="24"/>
        </w:rPr>
        <w:t>Seryon</w:t>
      </w:r>
      <w:proofErr w:type="spellEnd"/>
      <w:r w:rsidRPr="005C3791">
        <w:rPr>
          <w:rFonts w:ascii="Times New Roman" w:hAnsi="Times New Roman" w:cs="Times New Roman"/>
          <w:sz w:val="24"/>
          <w:szCs w:val="24"/>
        </w:rPr>
        <w:t xml:space="preserve"> and </w:t>
      </w:r>
      <w:proofErr w:type="spellStart"/>
      <w:r w:rsidRPr="005C3791">
        <w:rPr>
          <w:rFonts w:ascii="Times New Roman" w:hAnsi="Times New Roman" w:cs="Times New Roman"/>
          <w:sz w:val="24"/>
          <w:szCs w:val="24"/>
        </w:rPr>
        <w:t>Kaestner</w:t>
      </w:r>
      <w:proofErr w:type="spellEnd"/>
      <w:r w:rsidRPr="005C3791">
        <w:rPr>
          <w:rFonts w:ascii="Times New Roman" w:hAnsi="Times New Roman" w:cs="Times New Roman"/>
          <w:sz w:val="24"/>
          <w:szCs w:val="24"/>
        </w:rPr>
        <w:t xml:space="preserve"> (2008) studied the relationship between financial literacy, communication technology, and financial behavior among low-income bank customers. The study revealed a significant association between communication technology and financial literacy, while also noting that low- and moderate-income urban populations show interest in improving their technological and financial knowledge, although achieving this requires substantial effort.</w:t>
      </w:r>
    </w:p>
    <w:p w14:paraId="536EADFB" w14:textId="77777777" w:rsidR="005C3791" w:rsidRPr="005C3791" w:rsidRDefault="005C3791" w:rsidP="00DA3538">
      <w:pPr>
        <w:spacing w:line="276" w:lineRule="auto"/>
        <w:jc w:val="both"/>
        <w:rPr>
          <w:rFonts w:ascii="Times New Roman" w:hAnsi="Times New Roman" w:cs="Times New Roman"/>
          <w:sz w:val="24"/>
          <w:szCs w:val="24"/>
        </w:rPr>
      </w:pPr>
      <w:proofErr w:type="spellStart"/>
      <w:r w:rsidRPr="005C3791">
        <w:rPr>
          <w:rFonts w:ascii="Times New Roman" w:hAnsi="Times New Roman" w:cs="Times New Roman"/>
          <w:sz w:val="24"/>
          <w:szCs w:val="24"/>
        </w:rPr>
        <w:t>Banai</w:t>
      </w:r>
      <w:proofErr w:type="spellEnd"/>
      <w:r w:rsidRPr="005C3791">
        <w:rPr>
          <w:rFonts w:ascii="Times New Roman" w:hAnsi="Times New Roman" w:cs="Times New Roman"/>
          <w:sz w:val="24"/>
          <w:szCs w:val="24"/>
        </w:rPr>
        <w:t xml:space="preserve"> and </w:t>
      </w:r>
      <w:proofErr w:type="spellStart"/>
      <w:r w:rsidRPr="005C3791">
        <w:rPr>
          <w:rFonts w:ascii="Times New Roman" w:hAnsi="Times New Roman" w:cs="Times New Roman"/>
          <w:sz w:val="24"/>
          <w:szCs w:val="24"/>
        </w:rPr>
        <w:t>Alpek</w:t>
      </w:r>
      <w:proofErr w:type="spellEnd"/>
      <w:r w:rsidRPr="005C3791">
        <w:rPr>
          <w:rFonts w:ascii="Times New Roman" w:hAnsi="Times New Roman" w:cs="Times New Roman"/>
          <w:sz w:val="24"/>
          <w:szCs w:val="24"/>
        </w:rPr>
        <w:t xml:space="preserve"> (2023) explored whether online banking could replace traditional personal banking services through a study involving 1,000 adults in Hungary. The findings indicated that customers generally do not consider online banking as a complete substitute for traditional banking services. The primary reason identified was the relatively low level of financial literacy among elderly customers and their limited familiarity with new technologies.</w:t>
      </w:r>
    </w:p>
    <w:p w14:paraId="5815521F"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 xml:space="preserve">Overall, previous research indicates that financial literacy plays an important role in influencing customers’ adoption and use of online banking services. While some studies highlight positive relationships between financial literacy and online banking usage, others suggest that technological knowledge and demographic factors also influence adoption behavior. In the context of Sri Lanka, several studies have separately examined financial literacy and online banking usage. However, limited research has explored the combined relationship between financial literacy and online banking adoption. Therefore, this study aims to examine the impact of customers’ financial literacy on the use of online banking in the city of </w:t>
      </w:r>
      <w:proofErr w:type="spellStart"/>
      <w:r w:rsidRPr="005C3791">
        <w:rPr>
          <w:rFonts w:ascii="Times New Roman" w:hAnsi="Times New Roman" w:cs="Times New Roman"/>
          <w:sz w:val="24"/>
          <w:szCs w:val="24"/>
        </w:rPr>
        <w:t>Balangoda</w:t>
      </w:r>
      <w:proofErr w:type="spellEnd"/>
      <w:r w:rsidRPr="005C3791">
        <w:rPr>
          <w:rFonts w:ascii="Times New Roman" w:hAnsi="Times New Roman" w:cs="Times New Roman"/>
          <w:sz w:val="24"/>
          <w:szCs w:val="24"/>
        </w:rPr>
        <w:t>, Sri Lanka.</w:t>
      </w:r>
    </w:p>
    <w:p w14:paraId="6669CDF4" w14:textId="77777777" w:rsidR="00F440F3" w:rsidRPr="00FA161E" w:rsidRDefault="00F440F3" w:rsidP="00DA3538">
      <w:pPr>
        <w:spacing w:line="276" w:lineRule="auto"/>
        <w:jc w:val="both"/>
        <w:rPr>
          <w:rFonts w:ascii="Times New Roman" w:hAnsi="Times New Roman" w:cs="Times New Roman"/>
          <w:sz w:val="24"/>
          <w:szCs w:val="24"/>
        </w:rPr>
      </w:pPr>
    </w:p>
    <w:p w14:paraId="4D47942E" w14:textId="0234093A" w:rsidR="00F440F3" w:rsidRPr="00FA161E" w:rsidRDefault="00F440F3" w:rsidP="00DA3538">
      <w:pPr>
        <w:pStyle w:val="ListParagraph"/>
        <w:numPr>
          <w:ilvl w:val="0"/>
          <w:numId w:val="2"/>
        </w:num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Methodology</w:t>
      </w:r>
    </w:p>
    <w:p w14:paraId="087F252B" w14:textId="5D0C61C1" w:rsidR="00F440F3" w:rsidRPr="00FA161E" w:rsidRDefault="00C32F38"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This research has used quantitative techniques to analyze the</w:t>
      </w:r>
      <w:r w:rsidR="007F317A" w:rsidRPr="00FA161E">
        <w:rPr>
          <w:rFonts w:ascii="Times New Roman" w:hAnsi="Times New Roman" w:cs="Times New Roman"/>
          <w:sz w:val="24"/>
          <w:szCs w:val="24"/>
        </w:rPr>
        <w:t xml:space="preserve"> data from a sample </w:t>
      </w:r>
      <w:r w:rsidR="006C7FE0" w:rsidRPr="00FA161E">
        <w:rPr>
          <w:rFonts w:ascii="Times New Roman" w:hAnsi="Times New Roman" w:cs="Times New Roman"/>
          <w:sz w:val="24"/>
          <w:szCs w:val="24"/>
        </w:rPr>
        <w:t>of 382</w:t>
      </w:r>
      <w:r w:rsidR="00F440F3" w:rsidRPr="00FA161E">
        <w:rPr>
          <w:rFonts w:ascii="Times New Roman" w:hAnsi="Times New Roman" w:cs="Times New Roman"/>
          <w:sz w:val="24"/>
          <w:szCs w:val="24"/>
        </w:rPr>
        <w:t xml:space="preserve"> bank customers of </w:t>
      </w:r>
      <w:proofErr w:type="spellStart"/>
      <w:r w:rsidR="00F440F3" w:rsidRPr="00FA161E">
        <w:rPr>
          <w:rFonts w:ascii="Times New Roman" w:hAnsi="Times New Roman" w:cs="Times New Roman"/>
          <w:sz w:val="24"/>
          <w:szCs w:val="24"/>
        </w:rPr>
        <w:t>Balangoda</w:t>
      </w:r>
      <w:proofErr w:type="spellEnd"/>
      <w:r w:rsidR="00F440F3" w:rsidRPr="00FA161E">
        <w:rPr>
          <w:rFonts w:ascii="Times New Roman" w:hAnsi="Times New Roman" w:cs="Times New Roman"/>
          <w:sz w:val="24"/>
          <w:szCs w:val="24"/>
        </w:rPr>
        <w:t xml:space="preserve"> Divisional Secretariat Division in Ratnapura district of Sabaragamuwa provinc</w:t>
      </w:r>
      <w:r w:rsidR="007F317A" w:rsidRPr="00FA161E">
        <w:rPr>
          <w:rFonts w:ascii="Times New Roman" w:hAnsi="Times New Roman" w:cs="Times New Roman"/>
          <w:sz w:val="24"/>
          <w:szCs w:val="24"/>
        </w:rPr>
        <w:t>e</w:t>
      </w:r>
      <w:r w:rsidR="00F440F3" w:rsidRPr="00FA161E">
        <w:rPr>
          <w:rFonts w:ascii="Times New Roman" w:hAnsi="Times New Roman" w:cs="Times New Roman"/>
          <w:sz w:val="24"/>
          <w:szCs w:val="24"/>
        </w:rPr>
        <w:t xml:space="preserve">. In selecting this sample, simple random sampling method was used to select the </w:t>
      </w:r>
      <w:r w:rsidR="00F440F3" w:rsidRPr="00FA161E">
        <w:rPr>
          <w:rFonts w:ascii="Times New Roman" w:hAnsi="Times New Roman" w:cs="Times New Roman"/>
          <w:sz w:val="24"/>
          <w:szCs w:val="24"/>
        </w:rPr>
        <w:lastRenderedPageBreak/>
        <w:t xml:space="preserve">divisional secretariat and </w:t>
      </w:r>
      <w:r w:rsidR="00DB79F7" w:rsidRPr="00FA161E">
        <w:rPr>
          <w:rFonts w:ascii="Times New Roman" w:hAnsi="Times New Roman" w:cs="Times New Roman"/>
          <w:sz w:val="24"/>
          <w:szCs w:val="24"/>
        </w:rPr>
        <w:t>382</w:t>
      </w:r>
      <w:r w:rsidR="00F440F3" w:rsidRPr="00FA161E">
        <w:rPr>
          <w:rFonts w:ascii="Times New Roman" w:hAnsi="Times New Roman" w:cs="Times New Roman"/>
          <w:sz w:val="24"/>
          <w:szCs w:val="24"/>
        </w:rPr>
        <w:t xml:space="preserve"> customers. This gives the customers an equal opportunity to choose from the crowd who are focusing on online banking. This has been done to eliminate bias.</w:t>
      </w:r>
    </w:p>
    <w:p w14:paraId="3E6942F0" w14:textId="645989DB" w:rsidR="00F440F3" w:rsidRPr="00FA161E" w:rsidRDefault="00F440F3"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According to the population above 20 years in </w:t>
      </w:r>
      <w:proofErr w:type="spellStart"/>
      <w:r w:rsidRPr="00FA161E">
        <w:rPr>
          <w:rFonts w:ascii="Times New Roman" w:hAnsi="Times New Roman" w:cs="Times New Roman"/>
          <w:sz w:val="24"/>
          <w:szCs w:val="24"/>
        </w:rPr>
        <w:t>Balangoda</w:t>
      </w:r>
      <w:proofErr w:type="spellEnd"/>
      <w:r w:rsidRPr="00FA161E">
        <w:rPr>
          <w:rFonts w:ascii="Times New Roman" w:hAnsi="Times New Roman" w:cs="Times New Roman"/>
          <w:sz w:val="24"/>
          <w:szCs w:val="24"/>
        </w:rPr>
        <w:t xml:space="preserve"> Divisional Secretariat Division total population is 54 623</w:t>
      </w:r>
      <w:r w:rsidR="00DB79F7" w:rsidRPr="00FA161E">
        <w:rPr>
          <w:rFonts w:ascii="Times New Roman" w:hAnsi="Times New Roman" w:cs="Times New Roman"/>
          <w:sz w:val="24"/>
          <w:szCs w:val="24"/>
        </w:rPr>
        <w:t>(Census report, 2012)</w:t>
      </w:r>
      <w:r w:rsidRPr="00FA161E">
        <w:rPr>
          <w:rFonts w:ascii="Times New Roman" w:hAnsi="Times New Roman" w:cs="Times New Roman"/>
          <w:sz w:val="24"/>
          <w:szCs w:val="24"/>
        </w:rPr>
        <w:t xml:space="preserve">. Based on the population the following </w:t>
      </w:r>
      <w:proofErr w:type="spellStart"/>
      <w:r w:rsidRPr="00FA161E">
        <w:rPr>
          <w:rFonts w:ascii="Times New Roman" w:hAnsi="Times New Roman" w:cs="Times New Roman"/>
          <w:sz w:val="24"/>
          <w:szCs w:val="24"/>
        </w:rPr>
        <w:t>Krejcie</w:t>
      </w:r>
      <w:proofErr w:type="spellEnd"/>
      <w:r w:rsidRPr="00FA161E">
        <w:rPr>
          <w:rFonts w:ascii="Times New Roman" w:hAnsi="Times New Roman" w:cs="Times New Roman"/>
          <w:sz w:val="24"/>
          <w:szCs w:val="24"/>
        </w:rPr>
        <w:t xml:space="preserve"> and Morgan sample size calculation formula was used to calculate the sample size.</w:t>
      </w:r>
      <w:r w:rsidR="00B215CC" w:rsidRPr="00FA161E">
        <w:rPr>
          <w:rFonts w:ascii="Times New Roman" w:hAnsi="Times New Roman" w:cs="Times New Roman"/>
          <w:sz w:val="24"/>
          <w:szCs w:val="24"/>
        </w:rPr>
        <w:t xml:space="preserve"> </w:t>
      </w:r>
      <w:r w:rsidRPr="00FA161E">
        <w:rPr>
          <w:rFonts w:ascii="Times New Roman" w:hAnsi="Times New Roman" w:cs="Times New Roman"/>
          <w:sz w:val="24"/>
          <w:szCs w:val="24"/>
        </w:rPr>
        <w:t xml:space="preserve">Accordingly, based on the sample size determination equation for this study is obtained 382 sample. </w:t>
      </w:r>
    </w:p>
    <w:p w14:paraId="6739CFAC" w14:textId="77E69790" w:rsidR="00F440F3" w:rsidRPr="00FA161E" w:rsidRDefault="00F440F3"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Some of the main factors that influenced the selection of Sabaragamuwa province for this study can be identified. Considering Sri Lanka as a whole, Sabaragamuwa province is represented by the 5th largest population. According to the population and housing census report of 2012, the population of Sabaragamuwa province is 1 928 655. According to Computer Literacy Statistics 2022, Sabaragamuwa province is the second highest province in terms of computer usage and ownership. Its value is 20.0%. Also, according to the Census of Population and Housing - 2012, the literacy rate is 94.8% </w:t>
      </w:r>
      <w:r w:rsidR="00583A93" w:rsidRPr="00FA161E">
        <w:rPr>
          <w:rFonts w:ascii="Times New Roman" w:hAnsi="Times New Roman" w:cs="Times New Roman"/>
          <w:sz w:val="24"/>
          <w:szCs w:val="24"/>
        </w:rPr>
        <w:t xml:space="preserve">and in comparison, </w:t>
      </w:r>
      <w:r w:rsidRPr="00FA161E">
        <w:rPr>
          <w:rFonts w:ascii="Times New Roman" w:hAnsi="Times New Roman" w:cs="Times New Roman"/>
          <w:sz w:val="24"/>
          <w:szCs w:val="24"/>
        </w:rPr>
        <w:t xml:space="preserve">with other provinces, this is the third highest value. Also, the computer literacy rate is 19.9. Based on the peculiarities of Sabaragamuwa province, it was chosen as the basis for the sample of the study. Also, in the research conducted on the use of online banking and financial literacy, although research has been done in other areas, this study area was chosen to fill the gap in this study due to the fact that research has not been done in relation to </w:t>
      </w:r>
      <w:proofErr w:type="spellStart"/>
      <w:r w:rsidRPr="00FA161E">
        <w:rPr>
          <w:rFonts w:ascii="Times New Roman" w:hAnsi="Times New Roman" w:cs="Times New Roman"/>
          <w:sz w:val="24"/>
          <w:szCs w:val="24"/>
        </w:rPr>
        <w:t>Balangoda</w:t>
      </w:r>
      <w:proofErr w:type="spellEnd"/>
      <w:r w:rsidRPr="00FA161E">
        <w:rPr>
          <w:rFonts w:ascii="Times New Roman" w:hAnsi="Times New Roman" w:cs="Times New Roman"/>
          <w:sz w:val="24"/>
          <w:szCs w:val="24"/>
        </w:rPr>
        <w:t>.</w:t>
      </w:r>
    </w:p>
    <w:p w14:paraId="5F5FC597" w14:textId="77777777" w:rsidR="00F440F3" w:rsidRPr="00FA161E" w:rsidRDefault="00F440F3"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Both primary data and secondary data sources are used in this research. Here, a structured questionnaire and interview method have been used in the collection of primary data. In the primary data collection, data collection has been done after giving prior notice to all the respondents who are undergoing the study. In the collection of secondary data, the data obtained from previous researches and the data obtained through literature investigations as well as the data contained in the articles related to this study have been used. In that, Central Bank reports and Department of Census and Statistics annual reports have been used.</w:t>
      </w:r>
    </w:p>
    <w:p w14:paraId="4A971442" w14:textId="5C234AAE" w:rsidR="00094891" w:rsidRPr="00FA161E" w:rsidRDefault="001965E6"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Here, a </w:t>
      </w:r>
      <w:r w:rsidR="00BA09E8" w:rsidRPr="00FA161E">
        <w:rPr>
          <w:rFonts w:ascii="Times New Roman" w:hAnsi="Times New Roman" w:cs="Times New Roman"/>
          <w:sz w:val="24"/>
          <w:szCs w:val="24"/>
        </w:rPr>
        <w:t xml:space="preserve">Multiple Linear Regression, and a </w:t>
      </w:r>
      <w:r w:rsidRPr="00FA161E">
        <w:rPr>
          <w:rFonts w:ascii="Times New Roman" w:hAnsi="Times New Roman" w:cs="Times New Roman"/>
          <w:sz w:val="24"/>
          <w:szCs w:val="24"/>
        </w:rPr>
        <w:t xml:space="preserve">binary logistic regression </w:t>
      </w:r>
      <w:r w:rsidR="00BA09E8" w:rsidRPr="00FA161E">
        <w:rPr>
          <w:rFonts w:ascii="Times New Roman" w:hAnsi="Times New Roman" w:cs="Times New Roman"/>
          <w:sz w:val="24"/>
          <w:szCs w:val="24"/>
        </w:rPr>
        <w:t>are</w:t>
      </w:r>
      <w:r w:rsidRPr="00FA161E">
        <w:rPr>
          <w:rFonts w:ascii="Times New Roman" w:hAnsi="Times New Roman" w:cs="Times New Roman"/>
          <w:sz w:val="24"/>
          <w:szCs w:val="24"/>
        </w:rPr>
        <w:t xml:space="preserve"> used to identify the relationship between customers' financial literacy and online banking </w:t>
      </w:r>
      <w:proofErr w:type="spellStart"/>
      <w:r w:rsidRPr="00FA161E">
        <w:rPr>
          <w:rFonts w:ascii="Times New Roman" w:hAnsi="Times New Roman" w:cs="Times New Roman"/>
          <w:sz w:val="24"/>
          <w:szCs w:val="24"/>
        </w:rPr>
        <w:t>behaviour</w:t>
      </w:r>
      <w:proofErr w:type="spellEnd"/>
      <w:r w:rsidRPr="00FA161E">
        <w:rPr>
          <w:rFonts w:ascii="Times New Roman" w:hAnsi="Times New Roman" w:cs="Times New Roman"/>
          <w:sz w:val="24"/>
          <w:szCs w:val="24"/>
        </w:rPr>
        <w:t xml:space="preserve">. </w:t>
      </w:r>
      <w:r w:rsidR="00E62D72" w:rsidRPr="00FA161E">
        <w:rPr>
          <w:rFonts w:ascii="Times New Roman" w:hAnsi="Times New Roman" w:cs="Times New Roman"/>
          <w:sz w:val="24"/>
          <w:szCs w:val="24"/>
        </w:rPr>
        <w:t xml:space="preserve"> First, to run a multiple linear regression, three independent variables were used. For this, the variables Financial Knowledge, Financial Behavior, and Financial Attitude were </w:t>
      </w:r>
      <w:r w:rsidR="008E0DF5" w:rsidRPr="00FA161E">
        <w:rPr>
          <w:rFonts w:ascii="Times New Roman" w:hAnsi="Times New Roman" w:cs="Times New Roman"/>
          <w:sz w:val="24"/>
          <w:szCs w:val="24"/>
        </w:rPr>
        <w:t>used,</w:t>
      </w:r>
      <w:r w:rsidR="00E62D72" w:rsidRPr="00FA161E">
        <w:rPr>
          <w:rFonts w:ascii="Times New Roman" w:hAnsi="Times New Roman" w:cs="Times New Roman"/>
          <w:sz w:val="24"/>
          <w:szCs w:val="24"/>
        </w:rPr>
        <w:t xml:space="preserve"> and scores were created for each independent variable and dependent variable using the data collected from the Likert scale questions. Based on these values, multiple linear regression was performed.</w:t>
      </w:r>
    </w:p>
    <w:p w14:paraId="04A63493" w14:textId="47D402BA" w:rsidR="00F440F3" w:rsidRPr="00FA161E" w:rsidRDefault="00E62D72" w:rsidP="00DA3538">
      <w:pPr>
        <w:autoSpaceDE w:val="0"/>
        <w:autoSpaceDN w:val="0"/>
        <w:adjustRightInd w:val="0"/>
        <w:spacing w:after="0" w:line="276" w:lineRule="auto"/>
        <w:jc w:val="both"/>
        <w:rPr>
          <w:rFonts w:ascii="Times New Roman" w:hAnsi="Times New Roman" w:cs="Times New Roman"/>
          <w:sz w:val="24"/>
          <w:szCs w:val="24"/>
          <w:lang w:bidi="si-LK"/>
        </w:rPr>
      </w:pPr>
      <w:r w:rsidRPr="00FA161E">
        <w:rPr>
          <w:rFonts w:ascii="Times New Roman" w:hAnsi="Times New Roman" w:cs="Times New Roman"/>
          <w:sz w:val="24"/>
          <w:szCs w:val="24"/>
          <w:lang w:bidi="si-LK"/>
        </w:rPr>
        <w:t xml:space="preserve">Also, to do the binary logistic regression, </w:t>
      </w:r>
      <w:r w:rsidR="00383635" w:rsidRPr="00FA161E">
        <w:rPr>
          <w:rFonts w:ascii="Times New Roman" w:hAnsi="Times New Roman" w:cs="Times New Roman"/>
          <w:sz w:val="24"/>
          <w:szCs w:val="24"/>
          <w:lang w:bidi="si-LK"/>
        </w:rPr>
        <w:t>data was collected using Likert scales questions</w:t>
      </w:r>
      <w:r w:rsidRPr="00FA161E">
        <w:rPr>
          <w:rFonts w:ascii="Times New Roman" w:hAnsi="Times New Roman" w:cs="Times New Roman"/>
          <w:sz w:val="24"/>
          <w:szCs w:val="24"/>
          <w:lang w:bidi="si-LK"/>
        </w:rPr>
        <w:t xml:space="preserve">. </w:t>
      </w:r>
      <w:r w:rsidR="00383635" w:rsidRPr="00FA161E">
        <w:rPr>
          <w:rFonts w:ascii="Times New Roman" w:hAnsi="Times New Roman" w:cs="Times New Roman"/>
          <w:sz w:val="24"/>
          <w:szCs w:val="24"/>
          <w:lang w:bidi="si-LK"/>
        </w:rPr>
        <w:t>using that collected data, an average value was calculated based on the answers the respondents gave to the financial literacy questions in constructing a financial literacy score. Also, in creating the score related to online banking behavior, the average value of the answers given to the questions directed to it was calculated. Then the dependent variable was split into two parts (0, 1) based on the literature review to perform the logistic regression. After that, a binary logistic was performed and the results obtained from it can be analyzed as follows.</w:t>
      </w:r>
      <w:r w:rsidR="00BD4769" w:rsidRPr="00FA161E">
        <w:rPr>
          <w:rFonts w:ascii="Times New Roman" w:hAnsi="Times New Roman" w:cs="Times New Roman"/>
          <w:sz w:val="24"/>
          <w:szCs w:val="24"/>
          <w:lang w:bidi="si-LK"/>
        </w:rPr>
        <w:t xml:space="preserve"> </w:t>
      </w:r>
      <w:r w:rsidR="001965E6" w:rsidRPr="00FA161E">
        <w:rPr>
          <w:rFonts w:ascii="Times New Roman" w:hAnsi="Times New Roman" w:cs="Times New Roman"/>
          <w:sz w:val="24"/>
          <w:szCs w:val="24"/>
        </w:rPr>
        <w:t xml:space="preserve">To </w:t>
      </w:r>
      <w:r w:rsidR="00BA09E8" w:rsidRPr="00FA161E">
        <w:rPr>
          <w:rFonts w:ascii="Times New Roman" w:hAnsi="Times New Roman" w:cs="Times New Roman"/>
          <w:sz w:val="24"/>
          <w:szCs w:val="24"/>
        </w:rPr>
        <w:t>analyze</w:t>
      </w:r>
      <w:r w:rsidR="001965E6" w:rsidRPr="00FA161E">
        <w:rPr>
          <w:rFonts w:ascii="Times New Roman" w:hAnsi="Times New Roman" w:cs="Times New Roman"/>
          <w:sz w:val="24"/>
          <w:szCs w:val="24"/>
        </w:rPr>
        <w:t xml:space="preserve"> the date IBM SPSS (Version 23), and Microsoft Excel used. </w:t>
      </w:r>
    </w:p>
    <w:p w14:paraId="40336C09" w14:textId="77777777" w:rsidR="006A1EBB" w:rsidRPr="00FA161E" w:rsidRDefault="006A1EBB" w:rsidP="00DA3538">
      <w:pPr>
        <w:spacing w:line="276" w:lineRule="auto"/>
        <w:jc w:val="both"/>
        <w:rPr>
          <w:rFonts w:ascii="Times New Roman" w:hAnsi="Times New Roman" w:cs="Times New Roman"/>
          <w:sz w:val="24"/>
          <w:szCs w:val="24"/>
        </w:rPr>
      </w:pPr>
    </w:p>
    <w:p w14:paraId="7B6373CF" w14:textId="640CCEE6" w:rsidR="006A1EBB" w:rsidRPr="00FA161E" w:rsidRDefault="002A361A" w:rsidP="00DA3538">
      <w:pPr>
        <w:spacing w:line="276" w:lineRule="auto"/>
        <w:ind w:left="450" w:hanging="90"/>
        <w:jc w:val="both"/>
        <w:rPr>
          <w:rFonts w:ascii="Times New Roman" w:hAnsi="Times New Roman" w:cs="Times New Roman"/>
          <w:sz w:val="24"/>
          <w:szCs w:val="24"/>
        </w:rPr>
      </w:pPr>
      <w:r w:rsidRPr="00FA161E">
        <w:rPr>
          <w:rFonts w:ascii="Times New Roman" w:hAnsi="Times New Roman" w:cs="Times New Roman"/>
          <w:sz w:val="24"/>
          <w:szCs w:val="24"/>
        </w:rPr>
        <w:lastRenderedPageBreak/>
        <w:t xml:space="preserve">03.1 </w:t>
      </w:r>
      <w:r w:rsidR="006A1EBB" w:rsidRPr="00FA161E">
        <w:rPr>
          <w:rFonts w:ascii="Times New Roman" w:hAnsi="Times New Roman" w:cs="Times New Roman"/>
          <w:sz w:val="24"/>
          <w:szCs w:val="24"/>
        </w:rPr>
        <w:t>Conceptual Framework and research hypothesis of the Study</w:t>
      </w:r>
    </w:p>
    <w:p w14:paraId="4B502038" w14:textId="6E7E6AE7" w:rsidR="0069281F" w:rsidRPr="00FA161E" w:rsidRDefault="00BC4253"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In developing the conceptual framework for this study, the </w:t>
      </w:r>
      <w:r w:rsidR="00C95F6C" w:rsidRPr="00FA161E">
        <w:rPr>
          <w:rFonts w:ascii="Times New Roman" w:hAnsi="Times New Roman" w:cs="Times New Roman"/>
          <w:sz w:val="24"/>
          <w:szCs w:val="24"/>
        </w:rPr>
        <w:t>variables</w:t>
      </w:r>
      <w:r w:rsidRPr="00FA161E">
        <w:rPr>
          <w:rFonts w:ascii="Times New Roman" w:hAnsi="Times New Roman" w:cs="Times New Roman"/>
          <w:sz w:val="24"/>
          <w:szCs w:val="24"/>
        </w:rPr>
        <w:t xml:space="preserve"> used by previous researchers in their studies have been used. Accordingly, the main focus here is to identify how the independent </w:t>
      </w:r>
      <w:r w:rsidR="00C95F6C" w:rsidRPr="00FA161E">
        <w:rPr>
          <w:rFonts w:ascii="Times New Roman" w:hAnsi="Times New Roman" w:cs="Times New Roman"/>
          <w:sz w:val="24"/>
          <w:szCs w:val="24"/>
        </w:rPr>
        <w:t>variables</w:t>
      </w:r>
      <w:r w:rsidRPr="00FA161E">
        <w:rPr>
          <w:rFonts w:ascii="Times New Roman" w:hAnsi="Times New Roman" w:cs="Times New Roman"/>
          <w:sz w:val="24"/>
          <w:szCs w:val="24"/>
        </w:rPr>
        <w:t xml:space="preserve"> of financial knowledge (OECD/INFE, 2012), </w:t>
      </w:r>
      <w:r w:rsidR="001376AD" w:rsidRPr="00FA161E">
        <w:rPr>
          <w:rFonts w:ascii="Times New Roman" w:hAnsi="Times New Roman" w:cs="Times New Roman"/>
          <w:sz w:val="24"/>
          <w:szCs w:val="24"/>
        </w:rPr>
        <w:t xml:space="preserve">behavior (Dew and Xiao, 2010; and OECD/INFE, 2023), and </w:t>
      </w:r>
      <w:r w:rsidRPr="00FA161E">
        <w:rPr>
          <w:rFonts w:ascii="Times New Roman" w:hAnsi="Times New Roman" w:cs="Times New Roman"/>
          <w:sz w:val="24"/>
          <w:szCs w:val="24"/>
        </w:rPr>
        <w:t>attitudes</w:t>
      </w:r>
      <w:r w:rsidRPr="00FA161E">
        <w:rPr>
          <w:rFonts w:ascii="Times New Roman" w:hAnsi="Times New Roman" w:cs="Times New Roman"/>
          <w:color w:val="000000"/>
          <w:kern w:val="0"/>
          <w:sz w:val="24"/>
          <w:szCs w:val="24"/>
          <w:lang w:bidi="si-LK"/>
        </w:rPr>
        <w:t xml:space="preserve"> (</w:t>
      </w:r>
      <w:r w:rsidR="00405FFE" w:rsidRPr="00FA161E">
        <w:rPr>
          <w:rFonts w:ascii="Times New Roman" w:hAnsi="Times New Roman" w:cs="Times New Roman"/>
          <w:sz w:val="24"/>
          <w:szCs w:val="24"/>
        </w:rPr>
        <w:t xml:space="preserve">OECD/INFE, 2012 </w:t>
      </w:r>
      <w:r w:rsidRPr="00FA161E">
        <w:rPr>
          <w:rFonts w:ascii="Times New Roman" w:hAnsi="Times New Roman" w:cs="Times New Roman"/>
          <w:sz w:val="24"/>
          <w:szCs w:val="24"/>
        </w:rPr>
        <w:t xml:space="preserve">and OECD/INFE, 2023) have affected the dependent </w:t>
      </w:r>
      <w:r w:rsidR="00C95F6C" w:rsidRPr="00FA161E">
        <w:rPr>
          <w:rFonts w:ascii="Times New Roman" w:hAnsi="Times New Roman" w:cs="Times New Roman"/>
          <w:sz w:val="24"/>
          <w:szCs w:val="24"/>
        </w:rPr>
        <w:t xml:space="preserve">variable </w:t>
      </w:r>
      <w:r w:rsidRPr="00FA161E">
        <w:rPr>
          <w:rFonts w:ascii="Times New Roman" w:hAnsi="Times New Roman" w:cs="Times New Roman"/>
          <w:sz w:val="24"/>
          <w:szCs w:val="24"/>
        </w:rPr>
        <w:t xml:space="preserve">of customers' online banking </w:t>
      </w:r>
      <w:proofErr w:type="spellStart"/>
      <w:r w:rsidR="007C498C" w:rsidRPr="00FA161E">
        <w:rPr>
          <w:rFonts w:ascii="Times New Roman" w:hAnsi="Times New Roman" w:cs="Times New Roman"/>
          <w:sz w:val="24"/>
          <w:szCs w:val="24"/>
        </w:rPr>
        <w:t>behaviour</w:t>
      </w:r>
      <w:proofErr w:type="spellEnd"/>
      <w:r w:rsidRPr="00FA161E">
        <w:rPr>
          <w:rFonts w:ascii="Times New Roman" w:hAnsi="Times New Roman" w:cs="Times New Roman"/>
          <w:sz w:val="24"/>
          <w:szCs w:val="24"/>
        </w:rPr>
        <w:t xml:space="preserve"> (Ansari, 2021; </w:t>
      </w:r>
      <w:proofErr w:type="spellStart"/>
      <w:r w:rsidRPr="00FA161E">
        <w:rPr>
          <w:rFonts w:ascii="Times New Roman" w:hAnsi="Times New Roman" w:cs="Times New Roman"/>
          <w:sz w:val="24"/>
          <w:szCs w:val="24"/>
        </w:rPr>
        <w:t>Andreou</w:t>
      </w:r>
      <w:proofErr w:type="spellEnd"/>
      <w:r w:rsidRPr="00FA161E">
        <w:rPr>
          <w:rFonts w:ascii="Times New Roman" w:hAnsi="Times New Roman" w:cs="Times New Roman"/>
          <w:sz w:val="24"/>
          <w:szCs w:val="24"/>
        </w:rPr>
        <w:t xml:space="preserve"> and </w:t>
      </w:r>
      <w:proofErr w:type="spellStart"/>
      <w:r w:rsidRPr="00FA161E">
        <w:rPr>
          <w:rFonts w:ascii="Times New Roman" w:hAnsi="Times New Roman" w:cs="Times New Roman"/>
          <w:sz w:val="24"/>
          <w:szCs w:val="24"/>
        </w:rPr>
        <w:t>Anyfantaki</w:t>
      </w:r>
      <w:proofErr w:type="spellEnd"/>
      <w:r w:rsidRPr="00FA161E">
        <w:rPr>
          <w:rFonts w:ascii="Times New Roman" w:hAnsi="Times New Roman" w:cs="Times New Roman"/>
          <w:sz w:val="24"/>
          <w:szCs w:val="24"/>
        </w:rPr>
        <w:t xml:space="preserve">, 2020). Accordingly, it is assumed that the three independent variables have a positive effect. The hypotheses developed based on that can be shown as follows, which explain the impact of the three main </w:t>
      </w:r>
      <w:r w:rsidR="00C95F6C" w:rsidRPr="00FA161E">
        <w:rPr>
          <w:rFonts w:ascii="Times New Roman" w:hAnsi="Times New Roman" w:cs="Times New Roman"/>
          <w:sz w:val="24"/>
          <w:szCs w:val="24"/>
        </w:rPr>
        <w:t>variables</w:t>
      </w:r>
      <w:r w:rsidRPr="00FA161E">
        <w:rPr>
          <w:rFonts w:ascii="Times New Roman" w:hAnsi="Times New Roman" w:cs="Times New Roman"/>
          <w:sz w:val="24"/>
          <w:szCs w:val="24"/>
        </w:rPr>
        <w:t xml:space="preserve"> used to measure financial literacy on </w:t>
      </w:r>
      <w:r w:rsidR="00C95F6C" w:rsidRPr="00FA161E">
        <w:rPr>
          <w:rFonts w:ascii="Times New Roman" w:hAnsi="Times New Roman" w:cs="Times New Roman"/>
          <w:sz w:val="24"/>
          <w:szCs w:val="24"/>
        </w:rPr>
        <w:t xml:space="preserve">customers' online banking </w:t>
      </w:r>
      <w:proofErr w:type="spellStart"/>
      <w:r w:rsidR="00B266E0" w:rsidRPr="00FA161E">
        <w:rPr>
          <w:rFonts w:ascii="Times New Roman" w:hAnsi="Times New Roman" w:cs="Times New Roman"/>
          <w:sz w:val="24"/>
          <w:szCs w:val="24"/>
        </w:rPr>
        <w:t>behaviour</w:t>
      </w:r>
      <w:proofErr w:type="spellEnd"/>
      <w:r w:rsidRPr="00FA161E">
        <w:rPr>
          <w:rFonts w:ascii="Times New Roman" w:hAnsi="Times New Roman" w:cs="Times New Roman"/>
          <w:sz w:val="24"/>
          <w:szCs w:val="24"/>
        </w:rPr>
        <w:t>. This provides the banking system and policy makers with an understanding of how to effectively socialize the use of online banking and those services through influencing financial literacy.</w:t>
      </w:r>
    </w:p>
    <w:p w14:paraId="60AC712B" w14:textId="02D8024E" w:rsidR="006A1EBB" w:rsidRPr="00FA161E" w:rsidRDefault="00F0272C" w:rsidP="00DA3538">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1552" behindDoc="0" locked="0" layoutInCell="1" allowOverlap="1" wp14:anchorId="79C90267" wp14:editId="7AF67160">
                <wp:simplePos x="0" y="0"/>
                <wp:positionH relativeFrom="column">
                  <wp:posOffset>-85725</wp:posOffset>
                </wp:positionH>
                <wp:positionV relativeFrom="paragraph">
                  <wp:posOffset>5715</wp:posOffset>
                </wp:positionV>
                <wp:extent cx="6124575" cy="1657350"/>
                <wp:effectExtent l="0" t="0" r="28575" b="19050"/>
                <wp:wrapNone/>
                <wp:docPr id="923581844" name="Group 24"/>
                <wp:cNvGraphicFramePr/>
                <a:graphic xmlns:a="http://schemas.openxmlformats.org/drawingml/2006/main">
                  <a:graphicData uri="http://schemas.microsoft.com/office/word/2010/wordprocessingGroup">
                    <wpg:wgp>
                      <wpg:cNvGrpSpPr/>
                      <wpg:grpSpPr>
                        <a:xfrm>
                          <a:off x="0" y="0"/>
                          <a:ext cx="6124575" cy="1657350"/>
                          <a:chOff x="0" y="0"/>
                          <a:chExt cx="6124575" cy="1657350"/>
                        </a:xfrm>
                      </wpg:grpSpPr>
                      <wpg:grpSp>
                        <wpg:cNvPr id="510934284" name="Group 5"/>
                        <wpg:cNvGrpSpPr/>
                        <wpg:grpSpPr>
                          <a:xfrm>
                            <a:off x="266700" y="142875"/>
                            <a:ext cx="5372100" cy="1381125"/>
                            <a:chOff x="0" y="0"/>
                            <a:chExt cx="5372100" cy="1381125"/>
                          </a:xfrm>
                        </wpg:grpSpPr>
                        <wps:wsp>
                          <wps:cNvPr id="748387274" name="Text Box 1"/>
                          <wps:cNvSpPr txBox="1"/>
                          <wps:spPr>
                            <a:xfrm>
                              <a:off x="0" y="0"/>
                              <a:ext cx="1933575" cy="285750"/>
                            </a:xfrm>
                            <a:prstGeom prst="rect">
                              <a:avLst/>
                            </a:prstGeom>
                            <a:solidFill>
                              <a:schemeClr val="lt1"/>
                            </a:solidFill>
                            <a:ln w="6350">
                              <a:solidFill>
                                <a:prstClr val="black"/>
                              </a:solidFill>
                            </a:ln>
                          </wps:spPr>
                          <wps:txbx>
                            <w:txbxContent>
                              <w:p w14:paraId="27CC8CBF" w14:textId="181EC10E" w:rsidR="00DB7A02" w:rsidRDefault="00DB7A02">
                                <w:r>
                                  <w:rPr>
                                    <w:rFonts w:ascii="Times New Roman" w:hAnsi="Times New Roman" w:cs="Times New Roman"/>
                                    <w:sz w:val="24"/>
                                    <w:szCs w:val="24"/>
                                  </w:rPr>
                                  <w:t>Fi</w:t>
                                </w:r>
                                <w:r w:rsidRPr="00BC4253">
                                  <w:rPr>
                                    <w:rFonts w:ascii="Times New Roman" w:hAnsi="Times New Roman" w:cs="Times New Roman"/>
                                    <w:sz w:val="24"/>
                                    <w:szCs w:val="24"/>
                                  </w:rPr>
                                  <w:t xml:space="preserve">nancial </w:t>
                                </w:r>
                                <w:r>
                                  <w:rPr>
                                    <w:rFonts w:ascii="Times New Roman" w:hAnsi="Times New Roman" w:cs="Times New Roman"/>
                                    <w:sz w:val="24"/>
                                    <w:szCs w:val="24"/>
                                  </w:rPr>
                                  <w:t>K</w:t>
                                </w:r>
                                <w:r w:rsidRPr="00BC4253">
                                  <w:rPr>
                                    <w:rFonts w:ascii="Times New Roman" w:hAnsi="Times New Roman" w:cs="Times New Roman"/>
                                    <w:sz w:val="24"/>
                                    <w:szCs w:val="24"/>
                                  </w:rPr>
                                  <w:t>nowledge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4335567" name="Text Box 1"/>
                          <wps:cNvSpPr txBox="1"/>
                          <wps:spPr>
                            <a:xfrm>
                              <a:off x="0" y="1085850"/>
                              <a:ext cx="1933575" cy="295275"/>
                            </a:xfrm>
                            <a:prstGeom prst="rect">
                              <a:avLst/>
                            </a:prstGeom>
                            <a:solidFill>
                              <a:schemeClr val="lt1"/>
                            </a:solidFill>
                            <a:ln w="6350">
                              <a:solidFill>
                                <a:prstClr val="black"/>
                              </a:solidFill>
                            </a:ln>
                          </wps:spPr>
                          <wps:txbx>
                            <w:txbxContent>
                              <w:p w14:paraId="0C12F5A3" w14:textId="75815D0A" w:rsidR="00DB7A02" w:rsidRDefault="00DB7A02" w:rsidP="00DB7A02">
                                <w:r>
                                  <w:rPr>
                                    <w:rFonts w:ascii="Times New Roman" w:hAnsi="Times New Roman" w:cs="Times New Roman"/>
                                    <w:sz w:val="24"/>
                                    <w:szCs w:val="24"/>
                                  </w:rPr>
                                  <w:t>Fi</w:t>
                                </w:r>
                                <w:r w:rsidRPr="00BC4253">
                                  <w:rPr>
                                    <w:rFonts w:ascii="Times New Roman" w:hAnsi="Times New Roman" w:cs="Times New Roman"/>
                                    <w:sz w:val="24"/>
                                    <w:szCs w:val="24"/>
                                  </w:rPr>
                                  <w:t>nancial</w:t>
                                </w:r>
                                <w:r>
                                  <w:rPr>
                                    <w:rFonts w:ascii="Times New Roman" w:hAnsi="Times New Roman" w:cs="Times New Roman"/>
                                    <w:sz w:val="24"/>
                                    <w:szCs w:val="24"/>
                                  </w:rPr>
                                  <w:t xml:space="preserve"> A</w:t>
                                </w:r>
                                <w:r w:rsidRPr="00BC4253">
                                  <w:rPr>
                                    <w:rFonts w:ascii="Times New Roman" w:hAnsi="Times New Roman" w:cs="Times New Roman"/>
                                    <w:sz w:val="24"/>
                                    <w:szCs w:val="24"/>
                                  </w:rPr>
                                  <w:t>ttitudes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1366115" name="Text Box 1"/>
                          <wps:cNvSpPr txBox="1"/>
                          <wps:spPr>
                            <a:xfrm>
                              <a:off x="0" y="542925"/>
                              <a:ext cx="1933575" cy="304800"/>
                            </a:xfrm>
                            <a:prstGeom prst="rect">
                              <a:avLst/>
                            </a:prstGeom>
                            <a:solidFill>
                              <a:schemeClr val="lt1"/>
                            </a:solidFill>
                            <a:ln w="6350">
                              <a:solidFill>
                                <a:prstClr val="black"/>
                              </a:solidFill>
                            </a:ln>
                          </wps:spPr>
                          <wps:txbx>
                            <w:txbxContent>
                              <w:p w14:paraId="2A31EB24" w14:textId="6D6EA9BC" w:rsidR="00DB7A02" w:rsidRDefault="00DB7A02" w:rsidP="00DB7A02">
                                <w:r>
                                  <w:rPr>
                                    <w:rFonts w:ascii="Times New Roman" w:hAnsi="Times New Roman" w:cs="Times New Roman"/>
                                    <w:sz w:val="24"/>
                                    <w:szCs w:val="24"/>
                                  </w:rPr>
                                  <w:t>Fi</w:t>
                                </w:r>
                                <w:r w:rsidRPr="00BC4253">
                                  <w:rPr>
                                    <w:rFonts w:ascii="Times New Roman" w:hAnsi="Times New Roman" w:cs="Times New Roman"/>
                                    <w:sz w:val="24"/>
                                    <w:szCs w:val="24"/>
                                  </w:rPr>
                                  <w:t>nancial</w:t>
                                </w:r>
                                <w:r>
                                  <w:rPr>
                                    <w:rFonts w:ascii="Times New Roman" w:hAnsi="Times New Roman" w:cs="Times New Roman"/>
                                    <w:sz w:val="24"/>
                                    <w:szCs w:val="24"/>
                                  </w:rPr>
                                  <w:t xml:space="preserve"> B</w:t>
                                </w:r>
                                <w:r w:rsidRPr="00BC4253">
                                  <w:rPr>
                                    <w:rFonts w:ascii="Times New Roman" w:hAnsi="Times New Roman" w:cs="Times New Roman"/>
                                    <w:sz w:val="24"/>
                                    <w:szCs w:val="24"/>
                                  </w:rPr>
                                  <w:t>ehavior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8825504" name="Text Box 1"/>
                          <wps:cNvSpPr txBox="1"/>
                          <wps:spPr>
                            <a:xfrm>
                              <a:off x="3438525" y="371475"/>
                              <a:ext cx="1933575" cy="533400"/>
                            </a:xfrm>
                            <a:prstGeom prst="rect">
                              <a:avLst/>
                            </a:prstGeom>
                            <a:solidFill>
                              <a:schemeClr val="lt1"/>
                            </a:solidFill>
                            <a:ln w="6350">
                              <a:solidFill>
                                <a:prstClr val="black"/>
                              </a:solidFill>
                            </a:ln>
                          </wps:spPr>
                          <wps:txbx>
                            <w:txbxContent>
                              <w:p w14:paraId="24DF7C98" w14:textId="0C9F6AA2" w:rsidR="00DB7A02" w:rsidRDefault="009C4386" w:rsidP="00DB7A02">
                                <w:r>
                                  <w:rPr>
                                    <w:rFonts w:ascii="Times New Roman" w:hAnsi="Times New Roman" w:cs="Times New Roman"/>
                                    <w:sz w:val="24"/>
                                    <w:szCs w:val="24"/>
                                  </w:rPr>
                                  <w:t>C</w:t>
                                </w:r>
                                <w:r w:rsidR="00DB7A02">
                                  <w:rPr>
                                    <w:rFonts w:ascii="Times New Roman" w:hAnsi="Times New Roman" w:cs="Times New Roman"/>
                                    <w:sz w:val="24"/>
                                    <w:szCs w:val="24"/>
                                  </w:rPr>
                                  <w:t>u</w:t>
                                </w:r>
                                <w:r w:rsidR="00DB7A02" w:rsidRPr="00BC4253">
                                  <w:rPr>
                                    <w:rFonts w:ascii="Times New Roman" w:hAnsi="Times New Roman" w:cs="Times New Roman"/>
                                    <w:sz w:val="24"/>
                                    <w:szCs w:val="24"/>
                                  </w:rPr>
                                  <w:t>s</w:t>
                                </w:r>
                                <w:r w:rsidR="00DB7A02">
                                  <w:rPr>
                                    <w:rFonts w:ascii="Times New Roman" w:hAnsi="Times New Roman" w:cs="Times New Roman"/>
                                    <w:sz w:val="24"/>
                                    <w:szCs w:val="24"/>
                                  </w:rPr>
                                  <w:t>t</w:t>
                                </w:r>
                                <w:r w:rsidR="00DB7A02" w:rsidRPr="00BC4253">
                                  <w:rPr>
                                    <w:rFonts w:ascii="Times New Roman" w:hAnsi="Times New Roman" w:cs="Times New Roman"/>
                                    <w:sz w:val="24"/>
                                    <w:szCs w:val="24"/>
                                  </w:rPr>
                                  <w:t xml:space="preserve">omers' </w:t>
                                </w:r>
                                <w:r>
                                  <w:rPr>
                                    <w:rFonts w:ascii="Times New Roman" w:hAnsi="Times New Roman" w:cs="Times New Roman"/>
                                    <w:sz w:val="24"/>
                                    <w:szCs w:val="24"/>
                                  </w:rPr>
                                  <w:t>O</w:t>
                                </w:r>
                                <w:r w:rsidR="00DB7A02" w:rsidRPr="00BC4253">
                                  <w:rPr>
                                    <w:rFonts w:ascii="Times New Roman" w:hAnsi="Times New Roman" w:cs="Times New Roman"/>
                                    <w:sz w:val="24"/>
                                    <w:szCs w:val="24"/>
                                  </w:rPr>
                                  <w:t xml:space="preserve">nline </w:t>
                                </w:r>
                                <w:r>
                                  <w:rPr>
                                    <w:rFonts w:ascii="Times New Roman" w:hAnsi="Times New Roman" w:cs="Times New Roman"/>
                                    <w:sz w:val="24"/>
                                    <w:szCs w:val="24"/>
                                  </w:rPr>
                                  <w:t>B</w:t>
                                </w:r>
                                <w:r w:rsidR="00DB7A02" w:rsidRPr="00BC4253">
                                  <w:rPr>
                                    <w:rFonts w:ascii="Times New Roman" w:hAnsi="Times New Roman" w:cs="Times New Roman"/>
                                    <w:sz w:val="24"/>
                                    <w:szCs w:val="24"/>
                                  </w:rPr>
                                  <w:t>anking</w:t>
                                </w:r>
                                <w:r w:rsidR="00DB7A02">
                                  <w:rPr>
                                    <w:rFonts w:ascii="Times New Roman" w:hAnsi="Times New Roman" w:cs="Times New Roman"/>
                                    <w:sz w:val="24"/>
                                    <w:szCs w:val="24"/>
                                  </w:rPr>
                                  <w:t xml:space="preserve"> </w:t>
                                </w:r>
                                <w:r>
                                  <w:rPr>
                                    <w:rFonts w:ascii="Times New Roman" w:hAnsi="Times New Roman" w:cs="Times New Roman"/>
                                    <w:sz w:val="24"/>
                                    <w:szCs w:val="24"/>
                                  </w:rPr>
                                  <w:t>B</w:t>
                                </w:r>
                                <w:r w:rsidR="00975507" w:rsidRPr="009B5C5F">
                                  <w:rPr>
                                    <w:rFonts w:ascii="Times New Roman" w:hAnsi="Times New Roman" w:cs="Times New Roman"/>
                                    <w:sz w:val="24"/>
                                    <w:szCs w:val="24"/>
                                  </w:rPr>
                                  <w:t>ehaviour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601423" name="Straight Arrow Connector 2"/>
                          <wps:cNvCnPr/>
                          <wps:spPr>
                            <a:xfrm>
                              <a:off x="1952625" y="133350"/>
                              <a:ext cx="1476375"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8781985" name="Straight Arrow Connector 3"/>
                          <wps:cNvCnPr/>
                          <wps:spPr>
                            <a:xfrm>
                              <a:off x="1952625" y="638175"/>
                              <a:ext cx="1485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84027856" name="Straight Arrow Connector 4"/>
                          <wps:cNvCnPr/>
                          <wps:spPr>
                            <a:xfrm flipV="1">
                              <a:off x="1962150" y="733425"/>
                              <a:ext cx="1457325"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269726761" name="Rectangle 23"/>
                        <wps:cNvSpPr/>
                        <wps:spPr>
                          <a:xfrm>
                            <a:off x="0" y="0"/>
                            <a:ext cx="6124575" cy="1657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C90267" id="Group 24" o:spid="_x0000_s1045" style="position:absolute;left:0;text-align:left;margin-left:-6.75pt;margin-top:.45pt;width:482.25pt;height:130.5pt;z-index:251671552" coordsize="61245,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">
                <v:group id="Group 5" o:spid="_x0000_s1046" style="position:absolute;left:2667;top:1428;width:53721;height:13812" coordsize="53721,1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">
                  <v:shape id="Text Box 1" o:spid="_x0000_s1047" type="#_x0000_t202" style="position:absolute;width:1933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" fillcolor="white [3201]" strokeweight=".5pt">
                    <v:textbox>
                      <w:txbxContent>
                        <w:p w14:paraId="27CC8CBF" w14:textId="181EC10E" w:rsidR="00DB7A02" w:rsidRDefault="00DB7A02">
                          <w:r>
                            <w:rPr>
                              <w:rFonts w:ascii="Times New Roman" w:hAnsi="Times New Roman" w:cs="Times New Roman"/>
                              <w:sz w:val="24"/>
                              <w:szCs w:val="24"/>
                            </w:rPr>
                            <w:t>Fi</w:t>
                          </w:r>
                          <w:r w:rsidRPr="00BC4253">
                            <w:rPr>
                              <w:rFonts w:ascii="Times New Roman" w:hAnsi="Times New Roman" w:cs="Times New Roman"/>
                              <w:sz w:val="24"/>
                              <w:szCs w:val="24"/>
                            </w:rPr>
                            <w:t xml:space="preserve">nancial </w:t>
                          </w:r>
                          <w:r>
                            <w:rPr>
                              <w:rFonts w:ascii="Times New Roman" w:hAnsi="Times New Roman" w:cs="Times New Roman"/>
                              <w:sz w:val="24"/>
                              <w:szCs w:val="24"/>
                            </w:rPr>
                            <w:t>K</w:t>
                          </w:r>
                          <w:r w:rsidRPr="00BC4253">
                            <w:rPr>
                              <w:rFonts w:ascii="Times New Roman" w:hAnsi="Times New Roman" w:cs="Times New Roman"/>
                              <w:sz w:val="24"/>
                              <w:szCs w:val="24"/>
                            </w:rPr>
                            <w:t>nowledge</w:t>
                          </w:r>
                        </w:p>
                      </w:txbxContent>
                    </v:textbox>
                  </v:shape>
                  <v:shape id="Text Box 1" o:spid="_x0000_s1048" type="#_x0000_t202" style="position:absolute;top:10858;width:1933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" fillcolor="white [3201]" strokeweight=".5pt">
                    <v:textbox>
                      <w:txbxContent>
                        <w:p w14:paraId="0C12F5A3" w14:textId="75815D0A" w:rsidR="00DB7A02" w:rsidRDefault="00DB7A02" w:rsidP="00DB7A02">
                          <w:r>
                            <w:rPr>
                              <w:rFonts w:ascii="Times New Roman" w:hAnsi="Times New Roman" w:cs="Times New Roman"/>
                              <w:sz w:val="24"/>
                              <w:szCs w:val="24"/>
                            </w:rPr>
                            <w:t>Fi</w:t>
                          </w:r>
                          <w:r w:rsidRPr="00BC4253">
                            <w:rPr>
                              <w:rFonts w:ascii="Times New Roman" w:hAnsi="Times New Roman" w:cs="Times New Roman"/>
                              <w:sz w:val="24"/>
                              <w:szCs w:val="24"/>
                            </w:rPr>
                            <w:t>nancial</w:t>
                          </w:r>
                          <w:r>
                            <w:rPr>
                              <w:rFonts w:ascii="Times New Roman" w:hAnsi="Times New Roman" w:cs="Times New Roman"/>
                              <w:sz w:val="24"/>
                              <w:szCs w:val="24"/>
                            </w:rPr>
                            <w:t xml:space="preserve"> A</w:t>
                          </w:r>
                          <w:r w:rsidRPr="00BC4253">
                            <w:rPr>
                              <w:rFonts w:ascii="Times New Roman" w:hAnsi="Times New Roman" w:cs="Times New Roman"/>
                              <w:sz w:val="24"/>
                              <w:szCs w:val="24"/>
                            </w:rPr>
                            <w:t>ttitudes</w:t>
                          </w:r>
                        </w:p>
                      </w:txbxContent>
                    </v:textbox>
                  </v:shape>
                  <v:shape id="Text Box 1" o:spid="_x0000_s1049" type="#_x0000_t202" style="position:absolute;top:5429;width:1933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" fillcolor="white [3201]" strokeweight=".5pt">
                    <v:textbox>
                      <w:txbxContent>
                        <w:p w14:paraId="2A31EB24" w14:textId="6D6EA9BC" w:rsidR="00DB7A02" w:rsidRDefault="00DB7A02" w:rsidP="00DB7A02">
                          <w:r>
                            <w:rPr>
                              <w:rFonts w:ascii="Times New Roman" w:hAnsi="Times New Roman" w:cs="Times New Roman"/>
                              <w:sz w:val="24"/>
                              <w:szCs w:val="24"/>
                            </w:rPr>
                            <w:t>Fi</w:t>
                          </w:r>
                          <w:r w:rsidRPr="00BC4253">
                            <w:rPr>
                              <w:rFonts w:ascii="Times New Roman" w:hAnsi="Times New Roman" w:cs="Times New Roman"/>
                              <w:sz w:val="24"/>
                              <w:szCs w:val="24"/>
                            </w:rPr>
                            <w:t>nancial</w:t>
                          </w:r>
                          <w:r>
                            <w:rPr>
                              <w:rFonts w:ascii="Times New Roman" w:hAnsi="Times New Roman" w:cs="Times New Roman"/>
                              <w:sz w:val="24"/>
                              <w:szCs w:val="24"/>
                            </w:rPr>
                            <w:t xml:space="preserve"> B</w:t>
                          </w:r>
                          <w:r w:rsidRPr="00BC4253">
                            <w:rPr>
                              <w:rFonts w:ascii="Times New Roman" w:hAnsi="Times New Roman" w:cs="Times New Roman"/>
                              <w:sz w:val="24"/>
                              <w:szCs w:val="24"/>
                            </w:rPr>
                            <w:t>ehavior</w:t>
                          </w:r>
                        </w:p>
                      </w:txbxContent>
                    </v:textbox>
                  </v:shape>
                  <v:shape id="Text Box 1" o:spid="_x0000_s1050" type="#_x0000_t202" style="position:absolute;left:34385;top:3714;width:19336;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" fillcolor="white [3201]" strokeweight=".5pt">
                    <v:textbox>
                      <w:txbxContent>
                        <w:p w14:paraId="24DF7C98" w14:textId="0C9F6AA2" w:rsidR="00DB7A02" w:rsidRDefault="009C4386" w:rsidP="00DB7A02">
                          <w:r>
                            <w:rPr>
                              <w:rFonts w:ascii="Times New Roman" w:hAnsi="Times New Roman" w:cs="Times New Roman"/>
                              <w:sz w:val="24"/>
                              <w:szCs w:val="24"/>
                            </w:rPr>
                            <w:t>C</w:t>
                          </w:r>
                          <w:r w:rsidR="00DB7A02">
                            <w:rPr>
                              <w:rFonts w:ascii="Times New Roman" w:hAnsi="Times New Roman" w:cs="Times New Roman"/>
                              <w:sz w:val="24"/>
                              <w:szCs w:val="24"/>
                            </w:rPr>
                            <w:t>u</w:t>
                          </w:r>
                          <w:r w:rsidR="00DB7A02" w:rsidRPr="00BC4253">
                            <w:rPr>
                              <w:rFonts w:ascii="Times New Roman" w:hAnsi="Times New Roman" w:cs="Times New Roman"/>
                              <w:sz w:val="24"/>
                              <w:szCs w:val="24"/>
                            </w:rPr>
                            <w:t>s</w:t>
                          </w:r>
                          <w:r w:rsidR="00DB7A02">
                            <w:rPr>
                              <w:rFonts w:ascii="Times New Roman" w:hAnsi="Times New Roman" w:cs="Times New Roman"/>
                              <w:sz w:val="24"/>
                              <w:szCs w:val="24"/>
                            </w:rPr>
                            <w:t>t</w:t>
                          </w:r>
                          <w:r w:rsidR="00DB7A02" w:rsidRPr="00BC4253">
                            <w:rPr>
                              <w:rFonts w:ascii="Times New Roman" w:hAnsi="Times New Roman" w:cs="Times New Roman"/>
                              <w:sz w:val="24"/>
                              <w:szCs w:val="24"/>
                            </w:rPr>
                            <w:t xml:space="preserve">omers' </w:t>
                          </w:r>
                          <w:r>
                            <w:rPr>
                              <w:rFonts w:ascii="Times New Roman" w:hAnsi="Times New Roman" w:cs="Times New Roman"/>
                              <w:sz w:val="24"/>
                              <w:szCs w:val="24"/>
                            </w:rPr>
                            <w:t>O</w:t>
                          </w:r>
                          <w:r w:rsidR="00DB7A02" w:rsidRPr="00BC4253">
                            <w:rPr>
                              <w:rFonts w:ascii="Times New Roman" w:hAnsi="Times New Roman" w:cs="Times New Roman"/>
                              <w:sz w:val="24"/>
                              <w:szCs w:val="24"/>
                            </w:rPr>
                            <w:t xml:space="preserve">nline </w:t>
                          </w:r>
                          <w:r>
                            <w:rPr>
                              <w:rFonts w:ascii="Times New Roman" w:hAnsi="Times New Roman" w:cs="Times New Roman"/>
                              <w:sz w:val="24"/>
                              <w:szCs w:val="24"/>
                            </w:rPr>
                            <w:t>B</w:t>
                          </w:r>
                          <w:r w:rsidR="00DB7A02" w:rsidRPr="00BC4253">
                            <w:rPr>
                              <w:rFonts w:ascii="Times New Roman" w:hAnsi="Times New Roman" w:cs="Times New Roman"/>
                              <w:sz w:val="24"/>
                              <w:szCs w:val="24"/>
                            </w:rPr>
                            <w:t>anking</w:t>
                          </w:r>
                          <w:r w:rsidR="00DB7A02">
                            <w:rPr>
                              <w:rFonts w:ascii="Times New Roman" w:hAnsi="Times New Roman" w:cs="Times New Roman"/>
                              <w:sz w:val="24"/>
                              <w:szCs w:val="24"/>
                            </w:rPr>
                            <w:t xml:space="preserve"> </w:t>
                          </w:r>
                          <w:r>
                            <w:rPr>
                              <w:rFonts w:ascii="Times New Roman" w:hAnsi="Times New Roman" w:cs="Times New Roman"/>
                              <w:sz w:val="24"/>
                              <w:szCs w:val="24"/>
                            </w:rPr>
                            <w:t>B</w:t>
                          </w:r>
                          <w:r w:rsidR="00975507" w:rsidRPr="009B5C5F">
                            <w:rPr>
                              <w:rFonts w:ascii="Times New Roman" w:hAnsi="Times New Roman" w:cs="Times New Roman"/>
                              <w:sz w:val="24"/>
                              <w:szCs w:val="24"/>
                            </w:rPr>
                            <w:t>ehaviour</w:t>
                          </w:r>
                        </w:p>
                      </w:txbxContent>
                    </v:textbox>
                  </v:shape>
                  <v:shapetype id="_x0000_t32" coordsize="21600,21600" o:spt="32" o:oned="t" path="m,l21600,21600e" filled="f">
                    <v:path arrowok="t" fillok="f" o:connecttype="none"/>
                    <o:lock v:ext="edit" shapetype="t"/>
                  </v:shapetype>
                  <v:shape id="Straight Arrow Connector 2" o:spid="_x0000_s1051" type="#_x0000_t32" style="position:absolute;left:19526;top:1333;width:14764;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" strokecolor="black [3200]" strokeweight=".5pt">
                    <v:stroke endarrow="block" joinstyle="miter"/>
                  </v:shape>
                  <v:shape id="Straight Arrow Connector 3" o:spid="_x0000_s1052" type="#_x0000_t32" style="position:absolute;left:19526;top:6381;width:148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" strokecolor="black [3200]" strokeweight=".5pt">
                    <v:stroke endarrow="block" joinstyle="miter"/>
                  </v:shape>
                  <v:shape id="Straight Arrow Connector 4" o:spid="_x0000_s1053" type="#_x0000_t32" style="position:absolute;left:19621;top:7334;width:14573;height:47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" strokecolor="black [3200]" strokeweight=".5pt">
                    <v:stroke endarrow="block" joinstyle="miter"/>
                  </v:shape>
                </v:group>
                <v:rect id="Rectangle 23" o:spid="_x0000_s1054" style="position:absolute;width:61245;height:16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" filled="f" strokecolor="black [3213]" strokeweight="1pt"/>
              </v:group>
            </w:pict>
          </mc:Fallback>
        </mc:AlternateContent>
      </w:r>
    </w:p>
    <w:p w14:paraId="7754C3C3" w14:textId="2509530D" w:rsidR="00DB7A02" w:rsidRPr="00FA161E" w:rsidRDefault="00DB7A02" w:rsidP="00DA3538">
      <w:pPr>
        <w:spacing w:line="276" w:lineRule="auto"/>
        <w:jc w:val="both"/>
        <w:rPr>
          <w:rFonts w:ascii="Times New Roman" w:hAnsi="Times New Roman" w:cs="Times New Roman"/>
          <w:sz w:val="24"/>
          <w:szCs w:val="24"/>
        </w:rPr>
      </w:pPr>
    </w:p>
    <w:p w14:paraId="018FFA0A" w14:textId="4032A469" w:rsidR="00DB7A02" w:rsidRPr="00FA161E" w:rsidRDefault="00DB7A02" w:rsidP="00DA3538">
      <w:pPr>
        <w:spacing w:line="276" w:lineRule="auto"/>
        <w:jc w:val="both"/>
        <w:rPr>
          <w:rFonts w:ascii="Times New Roman" w:hAnsi="Times New Roman" w:cs="Times New Roman"/>
          <w:sz w:val="24"/>
          <w:szCs w:val="24"/>
        </w:rPr>
      </w:pPr>
    </w:p>
    <w:p w14:paraId="1529C334" w14:textId="19476F09" w:rsidR="00DB7A02" w:rsidRPr="00FA161E" w:rsidRDefault="00DB7A02" w:rsidP="00DA3538">
      <w:pPr>
        <w:spacing w:line="276" w:lineRule="auto"/>
        <w:jc w:val="both"/>
        <w:rPr>
          <w:rFonts w:ascii="Times New Roman" w:hAnsi="Times New Roman" w:cs="Times New Roman"/>
          <w:sz w:val="24"/>
          <w:szCs w:val="24"/>
        </w:rPr>
      </w:pPr>
    </w:p>
    <w:p w14:paraId="6D39AAC9" w14:textId="24BE4405" w:rsidR="00DB7A02" w:rsidRPr="00FA161E" w:rsidRDefault="00DB7A02" w:rsidP="00DA3538">
      <w:pPr>
        <w:spacing w:line="276" w:lineRule="auto"/>
        <w:jc w:val="both"/>
        <w:rPr>
          <w:rFonts w:ascii="Times New Roman" w:hAnsi="Times New Roman" w:cs="Times New Roman"/>
          <w:sz w:val="24"/>
          <w:szCs w:val="24"/>
        </w:rPr>
      </w:pPr>
    </w:p>
    <w:p w14:paraId="7817EA27" w14:textId="3B66B7CA" w:rsidR="001965E6" w:rsidRPr="00FA161E" w:rsidRDefault="001965E6" w:rsidP="00DA3538">
      <w:pPr>
        <w:spacing w:line="276" w:lineRule="auto"/>
        <w:jc w:val="both"/>
        <w:rPr>
          <w:rFonts w:ascii="Times New Roman" w:hAnsi="Times New Roman" w:cs="Times New Roman"/>
          <w:sz w:val="24"/>
          <w:szCs w:val="24"/>
        </w:rPr>
      </w:pPr>
    </w:p>
    <w:p w14:paraId="0E50D0F8" w14:textId="714B457B" w:rsidR="00B24CE3" w:rsidRPr="00FA161E" w:rsidRDefault="0046508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 xml:space="preserve">Figure 2. Conceptual Framework of the Study. Source: Research data, </w:t>
      </w:r>
      <w:r w:rsidR="000121BE">
        <w:rPr>
          <w:rFonts w:ascii="Times New Roman" w:hAnsi="Times New Roman" w:cs="Times New Roman"/>
          <w:sz w:val="24"/>
          <w:szCs w:val="24"/>
        </w:rPr>
        <w:t>2025</w:t>
      </w:r>
      <w:r w:rsidR="00B24CE3" w:rsidRPr="00FA161E">
        <w:rPr>
          <w:rFonts w:ascii="Times New Roman" w:hAnsi="Times New Roman" w:cs="Times New Roman"/>
          <w:sz w:val="24"/>
          <w:szCs w:val="24"/>
        </w:rPr>
        <w:t>.</w:t>
      </w:r>
    </w:p>
    <w:p w14:paraId="1FE66233" w14:textId="42A63C62" w:rsidR="00B24CE3" w:rsidRPr="00FA161E" w:rsidRDefault="00B24CE3"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Hypothesis </w:t>
      </w:r>
      <w:r w:rsidR="006C7963" w:rsidRPr="00FA161E">
        <w:rPr>
          <w:rFonts w:ascii="Times New Roman" w:hAnsi="Times New Roman" w:cs="Times New Roman"/>
          <w:sz w:val="24"/>
          <w:szCs w:val="24"/>
        </w:rPr>
        <w:t>one (H</w:t>
      </w:r>
      <w:r w:rsidRPr="00FA161E">
        <w:rPr>
          <w:rFonts w:ascii="Times New Roman" w:hAnsi="Times New Roman" w:cs="Times New Roman"/>
          <w:sz w:val="24"/>
          <w:szCs w:val="24"/>
          <w:vertAlign w:val="subscript"/>
        </w:rPr>
        <w:t>1</w:t>
      </w:r>
      <w:r w:rsidR="006C7963" w:rsidRPr="00FA161E">
        <w:rPr>
          <w:rFonts w:ascii="Times New Roman" w:hAnsi="Times New Roman" w:cs="Times New Roman"/>
          <w:sz w:val="24"/>
          <w:szCs w:val="24"/>
        </w:rPr>
        <w:t>)</w:t>
      </w:r>
    </w:p>
    <w:p w14:paraId="56489D62" w14:textId="0D3A3DEC" w:rsidR="0046508F" w:rsidRPr="00FA161E" w:rsidRDefault="006C7963"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One of the important independent variables in this study is financial </w:t>
      </w:r>
      <w:r w:rsidR="005E5410" w:rsidRPr="00FA161E">
        <w:rPr>
          <w:rFonts w:ascii="Times New Roman" w:hAnsi="Times New Roman" w:cs="Times New Roman"/>
          <w:sz w:val="24"/>
          <w:szCs w:val="24"/>
        </w:rPr>
        <w:t>knowledge</w:t>
      </w:r>
      <w:r w:rsidRPr="00FA161E">
        <w:rPr>
          <w:rFonts w:ascii="Times New Roman" w:hAnsi="Times New Roman" w:cs="Times New Roman"/>
          <w:sz w:val="24"/>
          <w:szCs w:val="24"/>
        </w:rPr>
        <w:t>, which refers to the basic knowledge of key financial concepts and the ability to apply numerical skills in financial situations</w:t>
      </w:r>
      <w:r w:rsidR="00FD6E1D" w:rsidRPr="00FA161E">
        <w:rPr>
          <w:rFonts w:ascii="Times New Roman" w:hAnsi="Times New Roman" w:cs="Times New Roman"/>
          <w:sz w:val="24"/>
          <w:szCs w:val="24"/>
        </w:rPr>
        <w:t xml:space="preserve"> (OECD/INFE, 2012)</w:t>
      </w:r>
      <w:r w:rsidRPr="00FA161E">
        <w:rPr>
          <w:rFonts w:ascii="Times New Roman" w:hAnsi="Times New Roman" w:cs="Times New Roman"/>
          <w:sz w:val="24"/>
          <w:szCs w:val="24"/>
        </w:rPr>
        <w:t xml:space="preserve">. As an individual's financial </w:t>
      </w:r>
      <w:r w:rsidR="005E5410" w:rsidRPr="00FA161E">
        <w:rPr>
          <w:rFonts w:ascii="Times New Roman" w:hAnsi="Times New Roman" w:cs="Times New Roman"/>
          <w:sz w:val="24"/>
          <w:szCs w:val="24"/>
        </w:rPr>
        <w:t xml:space="preserve">knowledge </w:t>
      </w:r>
      <w:r w:rsidRPr="00FA161E">
        <w:rPr>
          <w:rFonts w:ascii="Times New Roman" w:hAnsi="Times New Roman" w:cs="Times New Roman"/>
          <w:sz w:val="24"/>
          <w:szCs w:val="24"/>
        </w:rPr>
        <w:t xml:space="preserve">increases, they tend to engage more in banking and, with digitalization, they tend to use it for their banking activities. Accordingly, it is hypothesized that financial </w:t>
      </w:r>
      <w:r w:rsidR="005E5410" w:rsidRPr="00FA161E">
        <w:rPr>
          <w:rFonts w:ascii="Times New Roman" w:hAnsi="Times New Roman" w:cs="Times New Roman"/>
          <w:sz w:val="24"/>
          <w:szCs w:val="24"/>
        </w:rPr>
        <w:t>knowledge</w:t>
      </w:r>
      <w:r w:rsidRPr="00FA161E">
        <w:rPr>
          <w:rFonts w:ascii="Times New Roman" w:hAnsi="Times New Roman" w:cs="Times New Roman"/>
          <w:sz w:val="24"/>
          <w:szCs w:val="24"/>
        </w:rPr>
        <w:t xml:space="preserve"> has a positive effect on customers' online banking </w:t>
      </w:r>
      <w:proofErr w:type="spellStart"/>
      <w:r w:rsidR="00975507" w:rsidRPr="00FA161E">
        <w:rPr>
          <w:rFonts w:ascii="Times New Roman" w:hAnsi="Times New Roman" w:cs="Times New Roman"/>
          <w:sz w:val="24"/>
          <w:szCs w:val="24"/>
        </w:rPr>
        <w:t>behaviour</w:t>
      </w:r>
      <w:proofErr w:type="spellEnd"/>
      <w:r w:rsidRPr="00FA161E">
        <w:rPr>
          <w:rFonts w:ascii="Times New Roman" w:hAnsi="Times New Roman" w:cs="Times New Roman"/>
          <w:sz w:val="24"/>
          <w:szCs w:val="24"/>
        </w:rPr>
        <w:t xml:space="preserve">. Accordingly, by identifying the impact of this factor, it is possible to organize the necessary activities to increase customers' financial </w:t>
      </w:r>
      <w:r w:rsidR="005E5410" w:rsidRPr="00FA161E">
        <w:rPr>
          <w:rFonts w:ascii="Times New Roman" w:hAnsi="Times New Roman" w:cs="Times New Roman"/>
          <w:sz w:val="24"/>
          <w:szCs w:val="24"/>
        </w:rPr>
        <w:t>knowledge</w:t>
      </w:r>
      <w:r w:rsidRPr="00FA161E">
        <w:rPr>
          <w:rFonts w:ascii="Times New Roman" w:hAnsi="Times New Roman" w:cs="Times New Roman"/>
          <w:sz w:val="24"/>
          <w:szCs w:val="24"/>
        </w:rPr>
        <w:t xml:space="preserve"> and banks can formulate the necessary strategies to motivate them to use online banking services</w:t>
      </w:r>
      <w:r w:rsidR="0046508F" w:rsidRPr="00FA161E">
        <w:rPr>
          <w:rFonts w:ascii="Times New Roman" w:hAnsi="Times New Roman" w:cs="Times New Roman"/>
          <w:sz w:val="24"/>
          <w:szCs w:val="24"/>
        </w:rPr>
        <w:t>.</w:t>
      </w:r>
    </w:p>
    <w:p w14:paraId="573E75AA" w14:textId="04E21A9F" w:rsidR="002B5610" w:rsidRPr="00FA161E" w:rsidRDefault="002B5610" w:rsidP="00DA3538">
      <w:pPr>
        <w:spacing w:line="276" w:lineRule="auto"/>
        <w:rPr>
          <w:rFonts w:ascii="Times New Roman" w:hAnsi="Times New Roman" w:cs="Times New Roman"/>
          <w:sz w:val="24"/>
          <w:szCs w:val="24"/>
        </w:rPr>
      </w:pPr>
      <w:r w:rsidRPr="00FA161E">
        <w:rPr>
          <w:rFonts w:ascii="Times New Roman" w:hAnsi="Times New Roman" w:cs="Times New Roman"/>
          <w:sz w:val="24"/>
          <w:szCs w:val="24"/>
        </w:rPr>
        <w:t>H</w:t>
      </w:r>
      <w:r w:rsidRPr="00FA161E">
        <w:rPr>
          <w:rFonts w:ascii="Times New Roman" w:hAnsi="Times New Roman" w:cs="Times New Roman"/>
          <w:sz w:val="24"/>
          <w:szCs w:val="24"/>
          <w:vertAlign w:val="subscript"/>
        </w:rPr>
        <w:t>1</w:t>
      </w:r>
      <w:r w:rsidRPr="00FA161E">
        <w:rPr>
          <w:rFonts w:ascii="Times New Roman" w:hAnsi="Times New Roman" w:cs="Times New Roman"/>
          <w:sz w:val="24"/>
          <w:szCs w:val="24"/>
        </w:rPr>
        <w:t xml:space="preserve">- Financial </w:t>
      </w:r>
      <w:r w:rsidR="00234A17" w:rsidRPr="00FA161E">
        <w:rPr>
          <w:rFonts w:ascii="Times New Roman" w:hAnsi="Times New Roman" w:cs="Times New Roman"/>
          <w:sz w:val="24"/>
          <w:szCs w:val="24"/>
        </w:rPr>
        <w:t>k</w:t>
      </w:r>
      <w:r w:rsidRPr="00FA161E">
        <w:rPr>
          <w:rFonts w:ascii="Times New Roman" w:hAnsi="Times New Roman" w:cs="Times New Roman"/>
          <w:sz w:val="24"/>
          <w:szCs w:val="24"/>
        </w:rPr>
        <w:t xml:space="preserve">nowledge has a positive effect on customers' online banking </w:t>
      </w:r>
      <w:proofErr w:type="spellStart"/>
      <w:r w:rsidR="00975507" w:rsidRPr="00FA161E">
        <w:rPr>
          <w:rFonts w:ascii="Times New Roman" w:hAnsi="Times New Roman" w:cs="Times New Roman"/>
          <w:sz w:val="24"/>
          <w:szCs w:val="24"/>
        </w:rPr>
        <w:t>behaviour</w:t>
      </w:r>
      <w:proofErr w:type="spellEnd"/>
    </w:p>
    <w:p w14:paraId="0A31A2B7" w14:textId="4FD9AC1C" w:rsidR="005E001F" w:rsidRPr="00FA161E" w:rsidRDefault="005E001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Hypothesis </w:t>
      </w:r>
      <w:r w:rsidR="0094259E" w:rsidRPr="00FA161E">
        <w:rPr>
          <w:rFonts w:ascii="Times New Roman" w:hAnsi="Times New Roman" w:cs="Times New Roman"/>
          <w:sz w:val="24"/>
          <w:szCs w:val="24"/>
        </w:rPr>
        <w:t>two</w:t>
      </w:r>
      <w:r w:rsidRPr="00FA161E">
        <w:rPr>
          <w:rFonts w:ascii="Times New Roman" w:hAnsi="Times New Roman" w:cs="Times New Roman"/>
          <w:sz w:val="24"/>
          <w:szCs w:val="24"/>
        </w:rPr>
        <w:t xml:space="preserve"> (H</w:t>
      </w:r>
      <w:r w:rsidRPr="00FA161E">
        <w:rPr>
          <w:rFonts w:ascii="Times New Roman" w:hAnsi="Times New Roman" w:cs="Times New Roman"/>
          <w:sz w:val="24"/>
          <w:szCs w:val="24"/>
          <w:vertAlign w:val="subscript"/>
        </w:rPr>
        <w:t>2</w:t>
      </w:r>
      <w:r w:rsidRPr="00FA161E">
        <w:rPr>
          <w:rFonts w:ascii="Times New Roman" w:hAnsi="Times New Roman" w:cs="Times New Roman"/>
          <w:sz w:val="24"/>
          <w:szCs w:val="24"/>
        </w:rPr>
        <w:t>)</w:t>
      </w:r>
    </w:p>
    <w:p w14:paraId="4214D881" w14:textId="0A5E6EF2" w:rsidR="001376AD" w:rsidRPr="00FA161E" w:rsidRDefault="001376AD"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Another important aspect of financial literacy is financial behavior. In this study, it is another independent variable that focuses on individuals’ ability to plan their spending and build a financial safety net (Xiao, Chen and Sun, 2015). By identifying the impact of financial behavior on customers’ adoption of online banking, the banking system will be able to better understand their behavior and make necessary changes. In this study, it is hypothesized that financial behavior has a positive impact on customers’ online banking </w:t>
      </w:r>
      <w:proofErr w:type="spellStart"/>
      <w:r w:rsidR="00975507" w:rsidRPr="00FA161E">
        <w:rPr>
          <w:rFonts w:ascii="Times New Roman" w:hAnsi="Times New Roman" w:cs="Times New Roman"/>
          <w:sz w:val="24"/>
          <w:szCs w:val="24"/>
        </w:rPr>
        <w:t>behaviour</w:t>
      </w:r>
      <w:proofErr w:type="spellEnd"/>
      <w:r w:rsidRPr="00FA161E">
        <w:rPr>
          <w:rFonts w:ascii="Times New Roman" w:hAnsi="Times New Roman" w:cs="Times New Roman"/>
          <w:sz w:val="24"/>
          <w:szCs w:val="24"/>
        </w:rPr>
        <w:t>.</w:t>
      </w:r>
    </w:p>
    <w:p w14:paraId="34C2B457" w14:textId="2F095A12" w:rsidR="001376AD" w:rsidRPr="00FA161E" w:rsidRDefault="001376AD" w:rsidP="00DA3538">
      <w:pPr>
        <w:spacing w:line="276" w:lineRule="auto"/>
        <w:rPr>
          <w:rFonts w:ascii="Times New Roman" w:hAnsi="Times New Roman" w:cs="Times New Roman"/>
          <w:sz w:val="24"/>
          <w:szCs w:val="24"/>
        </w:rPr>
      </w:pPr>
      <w:r w:rsidRPr="00FA161E">
        <w:rPr>
          <w:rFonts w:ascii="Times New Roman" w:hAnsi="Times New Roman" w:cs="Times New Roman"/>
          <w:sz w:val="24"/>
          <w:szCs w:val="24"/>
        </w:rPr>
        <w:lastRenderedPageBreak/>
        <w:t>H</w:t>
      </w:r>
      <w:r w:rsidRPr="00FA161E">
        <w:rPr>
          <w:rFonts w:ascii="Times New Roman" w:hAnsi="Times New Roman" w:cs="Times New Roman"/>
          <w:sz w:val="24"/>
          <w:szCs w:val="24"/>
          <w:vertAlign w:val="subscript"/>
        </w:rPr>
        <w:t>2</w:t>
      </w:r>
      <w:r w:rsidRPr="00FA161E">
        <w:rPr>
          <w:rFonts w:ascii="Times New Roman" w:hAnsi="Times New Roman" w:cs="Times New Roman"/>
          <w:sz w:val="24"/>
          <w:szCs w:val="24"/>
        </w:rPr>
        <w:t xml:space="preserve">- Financial </w:t>
      </w:r>
      <w:proofErr w:type="spellStart"/>
      <w:r w:rsidR="00234A17" w:rsidRPr="00FA161E">
        <w:rPr>
          <w:rFonts w:ascii="Times New Roman" w:hAnsi="Times New Roman" w:cs="Times New Roman"/>
          <w:sz w:val="24"/>
          <w:szCs w:val="24"/>
        </w:rPr>
        <w:t>b</w:t>
      </w:r>
      <w:r w:rsidRPr="00FA161E">
        <w:rPr>
          <w:rFonts w:ascii="Times New Roman" w:hAnsi="Times New Roman" w:cs="Times New Roman"/>
          <w:sz w:val="24"/>
          <w:szCs w:val="24"/>
        </w:rPr>
        <w:t>ehavoiur</w:t>
      </w:r>
      <w:proofErr w:type="spellEnd"/>
      <w:r w:rsidRPr="00FA161E">
        <w:rPr>
          <w:rFonts w:ascii="Times New Roman" w:hAnsi="Times New Roman" w:cs="Times New Roman"/>
          <w:sz w:val="24"/>
          <w:szCs w:val="24"/>
        </w:rPr>
        <w:t xml:space="preserve"> has a positive effect on customers' online banking </w:t>
      </w:r>
      <w:proofErr w:type="spellStart"/>
      <w:r w:rsidR="00975507" w:rsidRPr="00FA161E">
        <w:rPr>
          <w:rFonts w:ascii="Times New Roman" w:hAnsi="Times New Roman" w:cs="Times New Roman"/>
          <w:sz w:val="24"/>
          <w:szCs w:val="24"/>
        </w:rPr>
        <w:t>behaviour</w:t>
      </w:r>
      <w:proofErr w:type="spellEnd"/>
    </w:p>
    <w:p w14:paraId="4B29F0CF" w14:textId="77777777" w:rsidR="001376AD" w:rsidRPr="00FA161E" w:rsidRDefault="001376AD" w:rsidP="00DA3538">
      <w:pPr>
        <w:spacing w:line="276" w:lineRule="auto"/>
        <w:jc w:val="both"/>
        <w:rPr>
          <w:rFonts w:ascii="Times New Roman" w:hAnsi="Times New Roman" w:cs="Times New Roman"/>
          <w:sz w:val="24"/>
          <w:szCs w:val="24"/>
        </w:rPr>
      </w:pPr>
    </w:p>
    <w:p w14:paraId="41FD50B0" w14:textId="42153F3B" w:rsidR="000F657E" w:rsidRPr="00FA161E" w:rsidRDefault="000F657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Hypothesis </w:t>
      </w:r>
      <w:r w:rsidR="0094259E" w:rsidRPr="00FA161E">
        <w:rPr>
          <w:rFonts w:ascii="Times New Roman" w:hAnsi="Times New Roman" w:cs="Times New Roman"/>
          <w:sz w:val="24"/>
          <w:szCs w:val="24"/>
        </w:rPr>
        <w:t>three</w:t>
      </w:r>
      <w:r w:rsidRPr="00FA161E">
        <w:rPr>
          <w:rFonts w:ascii="Times New Roman" w:hAnsi="Times New Roman" w:cs="Times New Roman"/>
          <w:sz w:val="24"/>
          <w:szCs w:val="24"/>
        </w:rPr>
        <w:t xml:space="preserve"> (H</w:t>
      </w:r>
      <w:r w:rsidRPr="00FA161E">
        <w:rPr>
          <w:rFonts w:ascii="Times New Roman" w:hAnsi="Times New Roman" w:cs="Times New Roman"/>
          <w:sz w:val="24"/>
          <w:szCs w:val="24"/>
          <w:vertAlign w:val="subscript"/>
        </w:rPr>
        <w:t>3</w:t>
      </w:r>
      <w:r w:rsidRPr="00FA161E">
        <w:rPr>
          <w:rFonts w:ascii="Times New Roman" w:hAnsi="Times New Roman" w:cs="Times New Roman"/>
          <w:sz w:val="24"/>
          <w:szCs w:val="24"/>
        </w:rPr>
        <w:t>)</w:t>
      </w:r>
    </w:p>
    <w:p w14:paraId="09D0BA2C" w14:textId="27C71D3D" w:rsidR="0046508F" w:rsidRPr="00FA161E" w:rsidRDefault="00234A17"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attitudes have also become a strong factor influencing whether or not people use online banking</w:t>
      </w:r>
      <w:r w:rsidR="00A431FE" w:rsidRPr="00FA161E">
        <w:rPr>
          <w:rFonts w:ascii="Times New Roman" w:hAnsi="Times New Roman" w:cs="Times New Roman"/>
          <w:sz w:val="24"/>
          <w:szCs w:val="24"/>
        </w:rPr>
        <w:t xml:space="preserve">. </w:t>
      </w:r>
      <w:r w:rsidRPr="00FA161E">
        <w:rPr>
          <w:rFonts w:ascii="Times New Roman" w:hAnsi="Times New Roman" w:cs="Times New Roman"/>
          <w:sz w:val="24"/>
          <w:szCs w:val="24"/>
        </w:rPr>
        <w:t xml:space="preserve">If people have a somewhat negative attitude towards saving for their future, they are less inclined to do so, and their preference for traditional banking and modern banking facilities </w:t>
      </w:r>
      <w:r w:rsidR="00122232" w:rsidRPr="00FA161E">
        <w:rPr>
          <w:rFonts w:ascii="Times New Roman" w:hAnsi="Times New Roman" w:cs="Times New Roman"/>
          <w:sz w:val="24"/>
          <w:szCs w:val="24"/>
        </w:rPr>
        <w:t>determines</w:t>
      </w:r>
      <w:r w:rsidRPr="00FA161E">
        <w:rPr>
          <w:rFonts w:ascii="Times New Roman" w:hAnsi="Times New Roman" w:cs="Times New Roman"/>
          <w:sz w:val="24"/>
          <w:szCs w:val="24"/>
        </w:rPr>
        <w:t xml:space="preserve"> their use</w:t>
      </w:r>
      <w:r w:rsidR="00A431FE" w:rsidRPr="00FA161E">
        <w:rPr>
          <w:rFonts w:ascii="Times New Roman" w:hAnsi="Times New Roman" w:cs="Times New Roman"/>
          <w:sz w:val="24"/>
          <w:szCs w:val="24"/>
        </w:rPr>
        <w:t xml:space="preserve"> (OECD/INFE, 2023)</w:t>
      </w:r>
      <w:r w:rsidRPr="00FA161E">
        <w:rPr>
          <w:rFonts w:ascii="Times New Roman" w:hAnsi="Times New Roman" w:cs="Times New Roman"/>
          <w:sz w:val="24"/>
          <w:szCs w:val="24"/>
        </w:rPr>
        <w:t xml:space="preserve">. Accordingly, it is important to identify the impact of customers' financial attitudes on their online banking </w:t>
      </w:r>
      <w:proofErr w:type="spellStart"/>
      <w:r w:rsidR="00975507" w:rsidRPr="00FA161E">
        <w:rPr>
          <w:rFonts w:ascii="Times New Roman" w:hAnsi="Times New Roman" w:cs="Times New Roman"/>
          <w:sz w:val="24"/>
          <w:szCs w:val="24"/>
        </w:rPr>
        <w:t>behaviour</w:t>
      </w:r>
      <w:proofErr w:type="spellEnd"/>
      <w:r w:rsidRPr="00FA161E">
        <w:rPr>
          <w:rFonts w:ascii="Times New Roman" w:hAnsi="Times New Roman" w:cs="Times New Roman"/>
          <w:sz w:val="24"/>
          <w:szCs w:val="24"/>
        </w:rPr>
        <w:t>. Here, it is assumed that it has a positive effect.</w:t>
      </w:r>
    </w:p>
    <w:p w14:paraId="154D4705" w14:textId="2B731C58" w:rsidR="00234A17" w:rsidRPr="00FA161E" w:rsidRDefault="00234A17" w:rsidP="00DA3538">
      <w:pPr>
        <w:spacing w:line="276" w:lineRule="auto"/>
        <w:rPr>
          <w:rFonts w:ascii="Times New Roman" w:hAnsi="Times New Roman" w:cs="Times New Roman"/>
          <w:sz w:val="24"/>
          <w:szCs w:val="24"/>
        </w:rPr>
      </w:pPr>
      <w:r w:rsidRPr="00FA161E">
        <w:rPr>
          <w:rFonts w:ascii="Times New Roman" w:hAnsi="Times New Roman" w:cs="Times New Roman"/>
          <w:sz w:val="24"/>
          <w:szCs w:val="24"/>
        </w:rPr>
        <w:t>H</w:t>
      </w:r>
      <w:r w:rsidRPr="00FA161E">
        <w:rPr>
          <w:rFonts w:ascii="Times New Roman" w:hAnsi="Times New Roman" w:cs="Times New Roman"/>
          <w:sz w:val="24"/>
          <w:szCs w:val="24"/>
          <w:vertAlign w:val="subscript"/>
        </w:rPr>
        <w:t>3</w:t>
      </w:r>
      <w:r w:rsidRPr="00FA161E">
        <w:rPr>
          <w:rFonts w:ascii="Times New Roman" w:hAnsi="Times New Roman" w:cs="Times New Roman"/>
          <w:sz w:val="24"/>
          <w:szCs w:val="24"/>
        </w:rPr>
        <w:t xml:space="preserve">- Financial attitudes </w:t>
      </w:r>
      <w:r w:rsidR="00122232" w:rsidRPr="00FA161E">
        <w:rPr>
          <w:rFonts w:ascii="Times New Roman" w:hAnsi="Times New Roman" w:cs="Times New Roman"/>
          <w:sz w:val="24"/>
          <w:szCs w:val="24"/>
        </w:rPr>
        <w:t>have</w:t>
      </w:r>
      <w:r w:rsidRPr="00FA161E">
        <w:rPr>
          <w:rFonts w:ascii="Times New Roman" w:hAnsi="Times New Roman" w:cs="Times New Roman"/>
          <w:sz w:val="24"/>
          <w:szCs w:val="24"/>
        </w:rPr>
        <w:t xml:space="preserve"> a positive effect on customers' online banking </w:t>
      </w:r>
      <w:proofErr w:type="spellStart"/>
      <w:r w:rsidR="00975507" w:rsidRPr="00FA161E">
        <w:rPr>
          <w:rFonts w:ascii="Times New Roman" w:hAnsi="Times New Roman" w:cs="Times New Roman"/>
          <w:sz w:val="24"/>
          <w:szCs w:val="24"/>
        </w:rPr>
        <w:t>behaviour</w:t>
      </w:r>
      <w:proofErr w:type="spellEnd"/>
    </w:p>
    <w:p w14:paraId="14120653" w14:textId="77777777" w:rsidR="00234A17" w:rsidRPr="00FA161E" w:rsidRDefault="00234A17" w:rsidP="00DA3538">
      <w:pPr>
        <w:spacing w:line="276" w:lineRule="auto"/>
        <w:jc w:val="both"/>
        <w:rPr>
          <w:rFonts w:ascii="Times New Roman" w:hAnsi="Times New Roman" w:cs="Times New Roman"/>
          <w:b/>
          <w:bCs/>
          <w:sz w:val="24"/>
          <w:szCs w:val="24"/>
        </w:rPr>
      </w:pPr>
    </w:p>
    <w:p w14:paraId="2CF45B31" w14:textId="1A57C766" w:rsidR="002B716B" w:rsidRPr="00FA161E" w:rsidRDefault="00467436" w:rsidP="00DA3538">
      <w:pPr>
        <w:pStyle w:val="ListParagraph"/>
        <w:numPr>
          <w:ilvl w:val="0"/>
          <w:numId w:val="2"/>
        </w:num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Results and Discussion</w:t>
      </w:r>
    </w:p>
    <w:p w14:paraId="3E6D3D0E" w14:textId="1726C47D" w:rsidR="000769AA" w:rsidRPr="00FA161E" w:rsidRDefault="000769AA" w:rsidP="00DA3538">
      <w:pPr>
        <w:spacing w:line="276" w:lineRule="auto"/>
        <w:ind w:left="450" w:hanging="90"/>
        <w:jc w:val="both"/>
        <w:rPr>
          <w:rFonts w:ascii="Times New Roman" w:hAnsi="Times New Roman" w:cs="Times New Roman"/>
          <w:sz w:val="24"/>
          <w:szCs w:val="24"/>
        </w:rPr>
      </w:pPr>
      <w:r w:rsidRPr="00FA161E">
        <w:rPr>
          <w:rFonts w:ascii="Times New Roman" w:hAnsi="Times New Roman" w:cs="Times New Roman"/>
          <w:sz w:val="24"/>
          <w:szCs w:val="24"/>
        </w:rPr>
        <w:t xml:space="preserve">04.1 Descriptive analysis </w:t>
      </w:r>
    </w:p>
    <w:p w14:paraId="7849E89C" w14:textId="476D128B" w:rsidR="00EE1EFB" w:rsidRPr="00FA161E" w:rsidRDefault="00EE1EFB"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Through descriptive analysis, it is possible to get an understanding of the demographic factors of the people used as a sample for the research and the data related to customers'</w:t>
      </w:r>
      <w:r w:rsidR="00364123" w:rsidRPr="00FA161E">
        <w:rPr>
          <w:rFonts w:ascii="Times New Roman" w:hAnsi="Times New Roman" w:cs="Times New Roman"/>
          <w:sz w:val="24"/>
          <w:szCs w:val="24"/>
        </w:rPr>
        <w:t xml:space="preserve"> </w:t>
      </w:r>
      <w:r w:rsidRPr="00FA161E">
        <w:rPr>
          <w:rFonts w:ascii="Times New Roman" w:hAnsi="Times New Roman" w:cs="Times New Roman"/>
          <w:sz w:val="24"/>
          <w:szCs w:val="24"/>
        </w:rPr>
        <w:t xml:space="preserve">online banking </w:t>
      </w:r>
      <w:proofErr w:type="spellStart"/>
      <w:r w:rsidRPr="00FA161E">
        <w:rPr>
          <w:rFonts w:ascii="Times New Roman" w:hAnsi="Times New Roman" w:cs="Times New Roman"/>
          <w:sz w:val="24"/>
          <w:szCs w:val="24"/>
        </w:rPr>
        <w:t>behaviour</w:t>
      </w:r>
      <w:proofErr w:type="spellEnd"/>
      <w:r w:rsidRPr="00FA161E">
        <w:rPr>
          <w:rFonts w:ascii="Times New Roman" w:hAnsi="Times New Roman" w:cs="Times New Roman"/>
          <w:sz w:val="24"/>
          <w:szCs w:val="24"/>
        </w:rPr>
        <w:t>.</w:t>
      </w:r>
    </w:p>
    <w:p w14:paraId="574C7DC7" w14:textId="007A8B98" w:rsidR="00D23003" w:rsidRPr="00FA161E" w:rsidRDefault="00A9501B"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Table 01: Demographic and online banking </w:t>
      </w:r>
      <w:proofErr w:type="spellStart"/>
      <w:r w:rsidR="00975507" w:rsidRPr="00FA161E">
        <w:rPr>
          <w:rFonts w:ascii="Times New Roman" w:hAnsi="Times New Roman" w:cs="Times New Roman"/>
          <w:sz w:val="24"/>
          <w:szCs w:val="24"/>
        </w:rPr>
        <w:t>behaviour</w:t>
      </w:r>
      <w:proofErr w:type="spellEnd"/>
      <w:r w:rsidRPr="00FA161E">
        <w:rPr>
          <w:rFonts w:ascii="Times New Roman" w:hAnsi="Times New Roman" w:cs="Times New Roman"/>
          <w:sz w:val="24"/>
          <w:szCs w:val="24"/>
        </w:rPr>
        <w:t xml:space="preserve"> related data</w:t>
      </w:r>
    </w:p>
    <w:tbl>
      <w:tblPr>
        <w:tblStyle w:val="TableGrid"/>
        <w:tblW w:w="850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55"/>
        <w:gridCol w:w="1908"/>
        <w:gridCol w:w="1345"/>
      </w:tblGrid>
      <w:tr w:rsidR="00997A5E" w:rsidRPr="00FA161E" w14:paraId="3E673D44" w14:textId="728AAF00" w:rsidTr="00D61D74">
        <w:trPr>
          <w:trHeight w:val="269"/>
          <w:jc w:val="center"/>
        </w:trPr>
        <w:tc>
          <w:tcPr>
            <w:tcW w:w="5271" w:type="dxa"/>
            <w:tcBorders>
              <w:top w:val="single" w:sz="4" w:space="0" w:color="auto"/>
              <w:bottom w:val="single" w:sz="4" w:space="0" w:color="auto"/>
            </w:tcBorders>
          </w:tcPr>
          <w:p w14:paraId="480B5293" w14:textId="4C25084F" w:rsidR="00997A5E" w:rsidRPr="00FA161E" w:rsidRDefault="00997A5E" w:rsidP="00DA3538">
            <w:p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Description</w:t>
            </w:r>
          </w:p>
        </w:tc>
        <w:tc>
          <w:tcPr>
            <w:tcW w:w="1910" w:type="dxa"/>
            <w:tcBorders>
              <w:top w:val="single" w:sz="4" w:space="0" w:color="auto"/>
              <w:bottom w:val="single" w:sz="4" w:space="0" w:color="auto"/>
            </w:tcBorders>
          </w:tcPr>
          <w:p w14:paraId="756BAA0A" w14:textId="3CD9B2F3" w:rsidR="00997A5E" w:rsidRPr="00FA161E" w:rsidRDefault="00997A5E" w:rsidP="00DA3538">
            <w:p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Frequency</w:t>
            </w:r>
          </w:p>
        </w:tc>
        <w:tc>
          <w:tcPr>
            <w:tcW w:w="1327" w:type="dxa"/>
            <w:tcBorders>
              <w:top w:val="single" w:sz="4" w:space="0" w:color="auto"/>
              <w:bottom w:val="single" w:sz="4" w:space="0" w:color="auto"/>
            </w:tcBorders>
          </w:tcPr>
          <w:p w14:paraId="4D688557" w14:textId="38A7BEBA" w:rsidR="00997A5E" w:rsidRPr="00FA161E" w:rsidRDefault="00997A5E" w:rsidP="00DA3538">
            <w:p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Percentage</w:t>
            </w:r>
          </w:p>
        </w:tc>
      </w:tr>
      <w:tr w:rsidR="00997A5E" w:rsidRPr="00FA161E" w14:paraId="6BB681EF" w14:textId="3DD03BA3" w:rsidTr="00D61D74">
        <w:trPr>
          <w:trHeight w:val="269"/>
          <w:jc w:val="center"/>
        </w:trPr>
        <w:tc>
          <w:tcPr>
            <w:tcW w:w="8508" w:type="dxa"/>
            <w:gridSpan w:val="3"/>
            <w:tcBorders>
              <w:top w:val="single" w:sz="4" w:space="0" w:color="auto"/>
            </w:tcBorders>
          </w:tcPr>
          <w:p w14:paraId="788CBEAB" w14:textId="244AB01D"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b/>
                <w:bCs/>
                <w:sz w:val="24"/>
                <w:szCs w:val="24"/>
              </w:rPr>
              <w:t>Gender</w:t>
            </w:r>
          </w:p>
        </w:tc>
      </w:tr>
      <w:tr w:rsidR="00997A5E" w:rsidRPr="00FA161E" w14:paraId="4623774E" w14:textId="4A7B99E3" w:rsidTr="00D61D74">
        <w:trPr>
          <w:trHeight w:val="269"/>
          <w:jc w:val="center"/>
        </w:trPr>
        <w:tc>
          <w:tcPr>
            <w:tcW w:w="5271" w:type="dxa"/>
          </w:tcPr>
          <w:p w14:paraId="166AC050" w14:textId="48A7EF13"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Male</w:t>
            </w:r>
          </w:p>
        </w:tc>
        <w:tc>
          <w:tcPr>
            <w:tcW w:w="1910" w:type="dxa"/>
            <w:vAlign w:val="center"/>
          </w:tcPr>
          <w:p w14:paraId="18606C32" w14:textId="7805A584"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170</w:t>
            </w:r>
          </w:p>
        </w:tc>
        <w:tc>
          <w:tcPr>
            <w:tcW w:w="1327" w:type="dxa"/>
            <w:vAlign w:val="center"/>
          </w:tcPr>
          <w:p w14:paraId="02CB655F" w14:textId="7D8AB242"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44.5%</w:t>
            </w:r>
          </w:p>
        </w:tc>
      </w:tr>
      <w:tr w:rsidR="00997A5E" w:rsidRPr="00FA161E" w14:paraId="61EA5430" w14:textId="4FFCA110" w:rsidTr="00D61D74">
        <w:trPr>
          <w:trHeight w:val="122"/>
          <w:jc w:val="center"/>
        </w:trPr>
        <w:tc>
          <w:tcPr>
            <w:tcW w:w="5271" w:type="dxa"/>
          </w:tcPr>
          <w:p w14:paraId="226F128A" w14:textId="6D8B8F41"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Female</w:t>
            </w:r>
          </w:p>
        </w:tc>
        <w:tc>
          <w:tcPr>
            <w:tcW w:w="1910" w:type="dxa"/>
            <w:vAlign w:val="center"/>
          </w:tcPr>
          <w:p w14:paraId="1A26E9F6" w14:textId="2482C037"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212</w:t>
            </w:r>
          </w:p>
        </w:tc>
        <w:tc>
          <w:tcPr>
            <w:tcW w:w="1327" w:type="dxa"/>
            <w:vAlign w:val="center"/>
          </w:tcPr>
          <w:p w14:paraId="29BBBB75" w14:textId="47378989"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55.5%</w:t>
            </w:r>
          </w:p>
        </w:tc>
      </w:tr>
      <w:tr w:rsidR="00997A5E" w:rsidRPr="00FA161E" w14:paraId="7B9F3D5A" w14:textId="22133D6A" w:rsidTr="00D61D74">
        <w:trPr>
          <w:trHeight w:val="122"/>
          <w:jc w:val="center"/>
        </w:trPr>
        <w:tc>
          <w:tcPr>
            <w:tcW w:w="8508" w:type="dxa"/>
            <w:gridSpan w:val="3"/>
          </w:tcPr>
          <w:p w14:paraId="5727D10A" w14:textId="276970C6" w:rsidR="00997A5E" w:rsidRPr="00FA161E" w:rsidRDefault="00997A5E" w:rsidP="00DA3538">
            <w:pPr>
              <w:spacing w:line="276" w:lineRule="auto"/>
              <w:rPr>
                <w:rFonts w:ascii="Times New Roman" w:hAnsi="Times New Roman" w:cs="Times New Roman"/>
                <w:sz w:val="24"/>
                <w:szCs w:val="24"/>
              </w:rPr>
            </w:pPr>
            <w:r w:rsidRPr="00FA161E">
              <w:rPr>
                <w:rFonts w:ascii="Times New Roman" w:hAnsi="Times New Roman" w:cs="Times New Roman"/>
                <w:b/>
                <w:bCs/>
                <w:sz w:val="24"/>
                <w:szCs w:val="24"/>
              </w:rPr>
              <w:t>No of Banks</w:t>
            </w:r>
          </w:p>
        </w:tc>
      </w:tr>
      <w:tr w:rsidR="00997A5E" w:rsidRPr="00FA161E" w14:paraId="2FAEA44D" w14:textId="2D8B5C0D" w:rsidTr="00D61D74">
        <w:trPr>
          <w:trHeight w:val="269"/>
          <w:jc w:val="center"/>
        </w:trPr>
        <w:tc>
          <w:tcPr>
            <w:tcW w:w="5271" w:type="dxa"/>
          </w:tcPr>
          <w:p w14:paraId="7A06D12F" w14:textId="1E03AB46"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One Bank</w:t>
            </w:r>
          </w:p>
        </w:tc>
        <w:tc>
          <w:tcPr>
            <w:tcW w:w="1910" w:type="dxa"/>
            <w:vAlign w:val="center"/>
          </w:tcPr>
          <w:p w14:paraId="7293EB16" w14:textId="77584CCE"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207</w:t>
            </w:r>
          </w:p>
        </w:tc>
        <w:tc>
          <w:tcPr>
            <w:tcW w:w="1327" w:type="dxa"/>
            <w:vAlign w:val="center"/>
          </w:tcPr>
          <w:p w14:paraId="56573C62" w14:textId="295622BA" w:rsidR="00997A5E" w:rsidRPr="00FA161E" w:rsidRDefault="00482A8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54.19%</w:t>
            </w:r>
          </w:p>
        </w:tc>
      </w:tr>
      <w:tr w:rsidR="00997A5E" w:rsidRPr="00FA161E" w14:paraId="258E1AC6" w14:textId="6BB45763" w:rsidTr="00D61D74">
        <w:trPr>
          <w:trHeight w:val="269"/>
          <w:jc w:val="center"/>
        </w:trPr>
        <w:tc>
          <w:tcPr>
            <w:tcW w:w="5271" w:type="dxa"/>
          </w:tcPr>
          <w:p w14:paraId="4D5FB310" w14:textId="0DCE5D3F"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Two Banks</w:t>
            </w:r>
          </w:p>
        </w:tc>
        <w:tc>
          <w:tcPr>
            <w:tcW w:w="1910" w:type="dxa"/>
            <w:vAlign w:val="center"/>
          </w:tcPr>
          <w:p w14:paraId="6B653ACF" w14:textId="044D6058"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159</w:t>
            </w:r>
          </w:p>
        </w:tc>
        <w:tc>
          <w:tcPr>
            <w:tcW w:w="1327" w:type="dxa"/>
            <w:vAlign w:val="center"/>
          </w:tcPr>
          <w:p w14:paraId="00895E5D" w14:textId="27D77EB6" w:rsidR="00997A5E" w:rsidRPr="00FA161E" w:rsidRDefault="00482A8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41.62%</w:t>
            </w:r>
          </w:p>
        </w:tc>
      </w:tr>
      <w:tr w:rsidR="00997A5E" w:rsidRPr="00FA161E" w14:paraId="6765B664" w14:textId="30F5D0C1" w:rsidTr="00D61D74">
        <w:trPr>
          <w:trHeight w:val="269"/>
          <w:jc w:val="center"/>
        </w:trPr>
        <w:tc>
          <w:tcPr>
            <w:tcW w:w="5271" w:type="dxa"/>
          </w:tcPr>
          <w:p w14:paraId="14E594D4" w14:textId="40DBF1EF"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Three Banks</w:t>
            </w:r>
          </w:p>
        </w:tc>
        <w:tc>
          <w:tcPr>
            <w:tcW w:w="1910" w:type="dxa"/>
            <w:vAlign w:val="center"/>
          </w:tcPr>
          <w:p w14:paraId="468B41BC" w14:textId="694E1B50"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13</w:t>
            </w:r>
          </w:p>
        </w:tc>
        <w:tc>
          <w:tcPr>
            <w:tcW w:w="1327" w:type="dxa"/>
            <w:vAlign w:val="center"/>
          </w:tcPr>
          <w:p w14:paraId="61565414" w14:textId="04862FD7" w:rsidR="00997A5E" w:rsidRPr="00FA161E" w:rsidRDefault="00482A8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3.40%</w:t>
            </w:r>
          </w:p>
        </w:tc>
      </w:tr>
      <w:tr w:rsidR="00997A5E" w:rsidRPr="00FA161E" w14:paraId="7AC42CF2" w14:textId="47E4720C" w:rsidTr="00D61D74">
        <w:trPr>
          <w:trHeight w:val="269"/>
          <w:jc w:val="center"/>
        </w:trPr>
        <w:tc>
          <w:tcPr>
            <w:tcW w:w="5271" w:type="dxa"/>
          </w:tcPr>
          <w:p w14:paraId="0A417437" w14:textId="50DD3291"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More Than Three Banks</w:t>
            </w:r>
          </w:p>
        </w:tc>
        <w:tc>
          <w:tcPr>
            <w:tcW w:w="1910" w:type="dxa"/>
            <w:vAlign w:val="center"/>
          </w:tcPr>
          <w:p w14:paraId="0C141DB4" w14:textId="21C24F01"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03</w:t>
            </w:r>
          </w:p>
        </w:tc>
        <w:tc>
          <w:tcPr>
            <w:tcW w:w="1327" w:type="dxa"/>
            <w:vAlign w:val="center"/>
          </w:tcPr>
          <w:p w14:paraId="21F81260" w14:textId="5379D8FC" w:rsidR="00997A5E" w:rsidRPr="00FA161E" w:rsidRDefault="00482A8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0.78%</w:t>
            </w:r>
          </w:p>
        </w:tc>
      </w:tr>
      <w:tr w:rsidR="00997A5E" w:rsidRPr="00FA161E" w14:paraId="6ED688AA" w14:textId="44E5A273" w:rsidTr="00D61D74">
        <w:trPr>
          <w:trHeight w:val="269"/>
          <w:jc w:val="center"/>
        </w:trPr>
        <w:tc>
          <w:tcPr>
            <w:tcW w:w="8508" w:type="dxa"/>
            <w:gridSpan w:val="3"/>
          </w:tcPr>
          <w:p w14:paraId="3895EABF" w14:textId="5E685D10" w:rsidR="00997A5E" w:rsidRPr="00FA161E" w:rsidRDefault="00997A5E" w:rsidP="00DA3538">
            <w:pPr>
              <w:spacing w:line="276" w:lineRule="auto"/>
              <w:rPr>
                <w:rFonts w:ascii="Times New Roman" w:hAnsi="Times New Roman" w:cs="Times New Roman"/>
                <w:sz w:val="24"/>
                <w:szCs w:val="24"/>
              </w:rPr>
            </w:pPr>
            <w:r w:rsidRPr="00FA161E">
              <w:rPr>
                <w:rFonts w:ascii="Times New Roman" w:hAnsi="Times New Roman" w:cs="Times New Roman"/>
                <w:b/>
                <w:bCs/>
                <w:sz w:val="24"/>
                <w:szCs w:val="24"/>
              </w:rPr>
              <w:t>Reasons for Choosing Online Banking Facilities</w:t>
            </w:r>
          </w:p>
        </w:tc>
      </w:tr>
      <w:tr w:rsidR="00997A5E" w:rsidRPr="00FA161E" w14:paraId="59C4FBBF" w14:textId="6A5B7A79" w:rsidTr="00D61D74">
        <w:trPr>
          <w:trHeight w:val="245"/>
          <w:jc w:val="center"/>
        </w:trPr>
        <w:tc>
          <w:tcPr>
            <w:tcW w:w="5271" w:type="dxa"/>
          </w:tcPr>
          <w:p w14:paraId="733811DD" w14:textId="50E9CF39"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Brand Name   </w:t>
            </w:r>
          </w:p>
        </w:tc>
        <w:tc>
          <w:tcPr>
            <w:tcW w:w="1910" w:type="dxa"/>
            <w:vAlign w:val="center"/>
          </w:tcPr>
          <w:p w14:paraId="49122FEA" w14:textId="5FD1E08F"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221</w:t>
            </w:r>
          </w:p>
        </w:tc>
        <w:tc>
          <w:tcPr>
            <w:tcW w:w="1327" w:type="dxa"/>
            <w:vAlign w:val="center"/>
          </w:tcPr>
          <w:p w14:paraId="52767309" w14:textId="280599F1" w:rsidR="00997A5E" w:rsidRPr="00FA161E" w:rsidRDefault="007E4656"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57.85%</w:t>
            </w:r>
          </w:p>
        </w:tc>
      </w:tr>
      <w:tr w:rsidR="00997A5E" w:rsidRPr="00FA161E" w14:paraId="7FDBC499" w14:textId="2527FC82" w:rsidTr="00D61D74">
        <w:trPr>
          <w:trHeight w:val="269"/>
          <w:jc w:val="center"/>
        </w:trPr>
        <w:tc>
          <w:tcPr>
            <w:tcW w:w="5271" w:type="dxa"/>
          </w:tcPr>
          <w:p w14:paraId="48BB6B69" w14:textId="34BFA2C9"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Better Service   </w:t>
            </w:r>
          </w:p>
        </w:tc>
        <w:tc>
          <w:tcPr>
            <w:tcW w:w="1910" w:type="dxa"/>
            <w:vAlign w:val="center"/>
          </w:tcPr>
          <w:p w14:paraId="59146E63" w14:textId="2AFF0BDC"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329</w:t>
            </w:r>
          </w:p>
        </w:tc>
        <w:tc>
          <w:tcPr>
            <w:tcW w:w="1327" w:type="dxa"/>
            <w:vAlign w:val="center"/>
          </w:tcPr>
          <w:p w14:paraId="0A0ED1B5" w14:textId="0B72A318" w:rsidR="00997A5E" w:rsidRPr="00FA161E" w:rsidRDefault="007E4656"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86.12%</w:t>
            </w:r>
          </w:p>
        </w:tc>
      </w:tr>
      <w:tr w:rsidR="00997A5E" w:rsidRPr="00FA161E" w14:paraId="4EB03B9B" w14:textId="758FD55B" w:rsidTr="00D61D74">
        <w:trPr>
          <w:trHeight w:val="255"/>
          <w:jc w:val="center"/>
        </w:trPr>
        <w:tc>
          <w:tcPr>
            <w:tcW w:w="5271" w:type="dxa"/>
          </w:tcPr>
          <w:p w14:paraId="48F57777" w14:textId="36D4D422"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Convenience    </w:t>
            </w:r>
          </w:p>
        </w:tc>
        <w:tc>
          <w:tcPr>
            <w:tcW w:w="1910" w:type="dxa"/>
            <w:vAlign w:val="center"/>
          </w:tcPr>
          <w:p w14:paraId="0BF4F038" w14:textId="20F97791"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380</w:t>
            </w:r>
          </w:p>
        </w:tc>
        <w:tc>
          <w:tcPr>
            <w:tcW w:w="1327" w:type="dxa"/>
            <w:vAlign w:val="center"/>
          </w:tcPr>
          <w:p w14:paraId="29F904A3" w14:textId="15F8BF8B" w:rsidR="00997A5E" w:rsidRPr="00FA161E" w:rsidRDefault="00AC2638"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99.47%</w:t>
            </w:r>
          </w:p>
        </w:tc>
      </w:tr>
      <w:tr w:rsidR="00997A5E" w:rsidRPr="00FA161E" w14:paraId="7494C52A" w14:textId="5133AF5D" w:rsidTr="00D61D74">
        <w:trPr>
          <w:trHeight w:val="269"/>
          <w:jc w:val="center"/>
        </w:trPr>
        <w:tc>
          <w:tcPr>
            <w:tcW w:w="5271" w:type="dxa"/>
            <w:tcBorders>
              <w:bottom w:val="single" w:sz="4" w:space="0" w:color="auto"/>
            </w:tcBorders>
          </w:tcPr>
          <w:p w14:paraId="34EC10AB" w14:textId="1DDAF166"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Reliability         </w:t>
            </w:r>
          </w:p>
        </w:tc>
        <w:tc>
          <w:tcPr>
            <w:tcW w:w="1910" w:type="dxa"/>
            <w:tcBorders>
              <w:bottom w:val="single" w:sz="4" w:space="0" w:color="auto"/>
            </w:tcBorders>
            <w:vAlign w:val="center"/>
          </w:tcPr>
          <w:p w14:paraId="5F485293" w14:textId="15B944AB"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241</w:t>
            </w:r>
          </w:p>
        </w:tc>
        <w:tc>
          <w:tcPr>
            <w:tcW w:w="1327" w:type="dxa"/>
            <w:tcBorders>
              <w:bottom w:val="single" w:sz="4" w:space="0" w:color="auto"/>
            </w:tcBorders>
            <w:vAlign w:val="center"/>
          </w:tcPr>
          <w:p w14:paraId="46DB6DEF" w14:textId="428D7B73" w:rsidR="00997A5E" w:rsidRPr="00FA161E" w:rsidRDefault="00AC2638"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63.08%</w:t>
            </w:r>
          </w:p>
        </w:tc>
      </w:tr>
      <w:tr w:rsidR="00997A5E" w:rsidRPr="00FA161E" w14:paraId="03E33412" w14:textId="6B1539EC" w:rsidTr="00D61D74">
        <w:trPr>
          <w:trHeight w:val="269"/>
          <w:jc w:val="center"/>
        </w:trPr>
        <w:tc>
          <w:tcPr>
            <w:tcW w:w="5271" w:type="dxa"/>
            <w:tcBorders>
              <w:top w:val="single" w:sz="4" w:space="0" w:color="auto"/>
              <w:bottom w:val="single" w:sz="4" w:space="0" w:color="auto"/>
            </w:tcBorders>
          </w:tcPr>
          <w:p w14:paraId="6F87DEB9" w14:textId="736B8FBF"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Time Savings</w:t>
            </w:r>
          </w:p>
        </w:tc>
        <w:tc>
          <w:tcPr>
            <w:tcW w:w="1910" w:type="dxa"/>
            <w:tcBorders>
              <w:top w:val="single" w:sz="4" w:space="0" w:color="auto"/>
              <w:bottom w:val="single" w:sz="4" w:space="0" w:color="auto"/>
            </w:tcBorders>
            <w:vAlign w:val="center"/>
          </w:tcPr>
          <w:p w14:paraId="4A784B07" w14:textId="6D5E722D"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379</w:t>
            </w:r>
          </w:p>
        </w:tc>
        <w:tc>
          <w:tcPr>
            <w:tcW w:w="1327" w:type="dxa"/>
            <w:tcBorders>
              <w:top w:val="single" w:sz="4" w:space="0" w:color="auto"/>
              <w:bottom w:val="single" w:sz="4" w:space="0" w:color="auto"/>
            </w:tcBorders>
            <w:vAlign w:val="center"/>
          </w:tcPr>
          <w:p w14:paraId="285BF33E" w14:textId="60941A5F" w:rsidR="00997A5E" w:rsidRPr="00FA161E" w:rsidRDefault="00AC2638"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99.21%</w:t>
            </w:r>
          </w:p>
        </w:tc>
      </w:tr>
      <w:tr w:rsidR="00997A5E" w:rsidRPr="00FA161E" w14:paraId="6A139C48" w14:textId="6A8F6990" w:rsidTr="00D61D74">
        <w:trPr>
          <w:trHeight w:val="269"/>
          <w:jc w:val="center"/>
        </w:trPr>
        <w:tc>
          <w:tcPr>
            <w:tcW w:w="5271" w:type="dxa"/>
            <w:tcBorders>
              <w:top w:val="single" w:sz="4" w:space="0" w:color="auto"/>
              <w:bottom w:val="single" w:sz="4" w:space="0" w:color="auto"/>
            </w:tcBorders>
          </w:tcPr>
          <w:p w14:paraId="56BB95C0" w14:textId="00768D59"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Other</w:t>
            </w:r>
          </w:p>
        </w:tc>
        <w:tc>
          <w:tcPr>
            <w:tcW w:w="1910" w:type="dxa"/>
            <w:tcBorders>
              <w:top w:val="single" w:sz="4" w:space="0" w:color="auto"/>
              <w:bottom w:val="single" w:sz="4" w:space="0" w:color="auto"/>
            </w:tcBorders>
            <w:vAlign w:val="center"/>
          </w:tcPr>
          <w:p w14:paraId="756CCD79" w14:textId="5B4F2913"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78</w:t>
            </w:r>
          </w:p>
        </w:tc>
        <w:tc>
          <w:tcPr>
            <w:tcW w:w="1327" w:type="dxa"/>
            <w:tcBorders>
              <w:top w:val="single" w:sz="4" w:space="0" w:color="auto"/>
              <w:bottom w:val="single" w:sz="4" w:space="0" w:color="auto"/>
            </w:tcBorders>
            <w:vAlign w:val="center"/>
          </w:tcPr>
          <w:p w14:paraId="1AD1A390" w14:textId="4D6556CC" w:rsidR="00997A5E" w:rsidRPr="00FA161E" w:rsidRDefault="00AC2638"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20.41%</w:t>
            </w:r>
          </w:p>
        </w:tc>
      </w:tr>
    </w:tbl>
    <w:p w14:paraId="0784524C" w14:textId="1F1ACEAF" w:rsidR="0047787E" w:rsidRPr="00FA161E" w:rsidRDefault="000A3FC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63614C29"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 xml:space="preserve">Based on the sample distribution, the majority of respondents were female, representing 55.5% of the total sample, while male respondents accounted for 45.5%. With regard to bank account ownership, most respondents indicated a preference for maintaining their financial activities with a single banking institution. Approximately 54.19% of respondents reported holding all </w:t>
      </w:r>
      <w:r w:rsidRPr="005C3791">
        <w:rPr>
          <w:rFonts w:ascii="Times New Roman" w:hAnsi="Times New Roman" w:cs="Times New Roman"/>
          <w:sz w:val="24"/>
          <w:szCs w:val="24"/>
        </w:rPr>
        <w:lastRenderedPageBreak/>
        <w:t>their accounts within one bank, whereas 41.62% maintained accounts in two different banks. Consequently, nearly 95% of the respondents preferred not to maintain accounts in more than two banks simultaneously. Only a small proportion, approximately 3% of respondents, indicated an interest in holding accounts across multiple banking institutions.</w:t>
      </w:r>
    </w:p>
    <w:p w14:paraId="26B3BA5B"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When examining the reasons for adopting online banking services, convenience and time savings emerged as the primary motivating factors among respondents. The findings indicate that these two aspects play a significant role in encouraging customers to use online banking facilities. In addition, approximately 86% of respondents believed that online banking services provide better service quality, making it the second most influential factor. Furthermore, reliability and brand reputation were also identified as important determinants influencing the adoption of online banking services, with 63% and 57% of respondents respectively indicating these factors as key reasons for their usage of online banking.</w:t>
      </w:r>
    </w:p>
    <w:p w14:paraId="41BAD192" w14:textId="188BD600" w:rsidR="003B425A" w:rsidRPr="00FA161E" w:rsidRDefault="000769AA" w:rsidP="00DA3538">
      <w:pPr>
        <w:spacing w:line="276" w:lineRule="auto"/>
        <w:ind w:left="360"/>
        <w:jc w:val="both"/>
        <w:rPr>
          <w:rFonts w:ascii="Times New Roman" w:hAnsi="Times New Roman" w:cs="Times New Roman"/>
          <w:sz w:val="24"/>
          <w:szCs w:val="24"/>
        </w:rPr>
      </w:pPr>
      <w:r w:rsidRPr="00FA161E">
        <w:rPr>
          <w:rFonts w:ascii="Times New Roman" w:hAnsi="Times New Roman" w:cs="Times New Roman"/>
          <w:sz w:val="24"/>
          <w:szCs w:val="24"/>
        </w:rPr>
        <w:t xml:space="preserve">04.2 </w:t>
      </w:r>
      <w:r w:rsidR="003B425A" w:rsidRPr="00FA161E">
        <w:rPr>
          <w:rFonts w:ascii="Times New Roman" w:hAnsi="Times New Roman" w:cs="Times New Roman"/>
          <w:sz w:val="24"/>
          <w:szCs w:val="24"/>
        </w:rPr>
        <w:t xml:space="preserve">Reliability Analysis </w:t>
      </w:r>
    </w:p>
    <w:p w14:paraId="5FC3754E" w14:textId="2901202B" w:rsidR="00D31F77" w:rsidRPr="00FA161E"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 xml:space="preserve">Reliability analysis is an important step in data analysis as it evaluates the consistency and dependability of the data, thereby ensuring the accuracy and credibility of the research findings. In this study, Cronbach’s alpha coefficient was used to assess the internal consistency of the scale items employed in the analysis. In general, </w:t>
      </w:r>
      <w:r w:rsidR="00122232" w:rsidRPr="004D3660">
        <w:rPr>
          <w:rFonts w:ascii="Times New Roman" w:hAnsi="Times New Roman" w:cs="Times New Roman"/>
          <w:sz w:val="24"/>
          <w:szCs w:val="24"/>
        </w:rPr>
        <w:t>Cronbach’s</w:t>
      </w:r>
      <w:r w:rsidRPr="004D3660">
        <w:rPr>
          <w:rFonts w:ascii="Times New Roman" w:hAnsi="Times New Roman" w:cs="Times New Roman"/>
          <w:sz w:val="24"/>
          <w:szCs w:val="24"/>
        </w:rPr>
        <w:t xml:space="preserve"> alpha value greater than 0.70 is considered acceptable and indicates that the measurement scale is reliable. The results of this study show that </w:t>
      </w:r>
      <w:r w:rsidR="00122232" w:rsidRPr="004D3660">
        <w:rPr>
          <w:rFonts w:ascii="Times New Roman" w:hAnsi="Times New Roman" w:cs="Times New Roman"/>
          <w:sz w:val="24"/>
          <w:szCs w:val="24"/>
        </w:rPr>
        <w:t>Cronbach’s</w:t>
      </w:r>
      <w:r w:rsidRPr="004D3660">
        <w:rPr>
          <w:rFonts w:ascii="Times New Roman" w:hAnsi="Times New Roman" w:cs="Times New Roman"/>
          <w:sz w:val="24"/>
          <w:szCs w:val="24"/>
        </w:rPr>
        <w:t xml:space="preserve"> alpha values for the dimensions used exceed 0.80, indicating a high level of internal consistency among the scale items. Therefore, it can be concluded that the data collected for this study demonstrate strong reliability and are appropriate for use in further statistical analysis.</w:t>
      </w:r>
    </w:p>
    <w:p w14:paraId="60E7084B" w14:textId="3C4432FA" w:rsidR="00D31F77" w:rsidRPr="00FA161E" w:rsidRDefault="003B425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Table </w:t>
      </w:r>
      <w:r w:rsidR="005062BF" w:rsidRPr="00FA161E">
        <w:rPr>
          <w:rFonts w:ascii="Times New Roman" w:hAnsi="Times New Roman" w:cs="Times New Roman"/>
          <w:sz w:val="24"/>
          <w:szCs w:val="24"/>
        </w:rPr>
        <w:t>2</w:t>
      </w:r>
      <w:r w:rsidRPr="00FA161E">
        <w:rPr>
          <w:rFonts w:ascii="Times New Roman" w:hAnsi="Times New Roman" w:cs="Times New Roman"/>
          <w:sz w:val="24"/>
          <w:szCs w:val="24"/>
        </w:rPr>
        <w:t>. Reliability analysis.</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55"/>
        <w:gridCol w:w="2055"/>
        <w:gridCol w:w="1635"/>
      </w:tblGrid>
      <w:tr w:rsidR="003B425A" w:rsidRPr="00FA161E" w14:paraId="4C3E3B5A" w14:textId="77777777" w:rsidTr="00D61D74">
        <w:trPr>
          <w:jc w:val="center"/>
        </w:trPr>
        <w:tc>
          <w:tcPr>
            <w:tcW w:w="3955" w:type="dxa"/>
            <w:tcBorders>
              <w:top w:val="single" w:sz="4" w:space="0" w:color="auto"/>
              <w:bottom w:val="single" w:sz="4" w:space="0" w:color="auto"/>
            </w:tcBorders>
          </w:tcPr>
          <w:p w14:paraId="212A57CD" w14:textId="2722C749" w:rsidR="003B425A" w:rsidRPr="00FA161E" w:rsidRDefault="003B425A" w:rsidP="00DA3538">
            <w:pPr>
              <w:spacing w:line="276" w:lineRule="auto"/>
              <w:jc w:val="center"/>
              <w:rPr>
                <w:rFonts w:ascii="Times New Roman" w:hAnsi="Times New Roman" w:cs="Times New Roman"/>
                <w:b/>
                <w:bCs/>
                <w:sz w:val="24"/>
                <w:szCs w:val="24"/>
              </w:rPr>
            </w:pPr>
            <w:r w:rsidRPr="00FA161E">
              <w:rPr>
                <w:rFonts w:ascii="Times New Roman" w:hAnsi="Times New Roman" w:cs="Times New Roman"/>
                <w:b/>
                <w:bCs/>
                <w:sz w:val="24"/>
                <w:szCs w:val="24"/>
              </w:rPr>
              <w:t>Variable</w:t>
            </w:r>
          </w:p>
        </w:tc>
        <w:tc>
          <w:tcPr>
            <w:tcW w:w="2055" w:type="dxa"/>
            <w:tcBorders>
              <w:top w:val="single" w:sz="4" w:space="0" w:color="auto"/>
              <w:bottom w:val="single" w:sz="4" w:space="0" w:color="auto"/>
            </w:tcBorders>
          </w:tcPr>
          <w:p w14:paraId="70770945" w14:textId="7C43F224" w:rsidR="003B425A" w:rsidRPr="00FA161E" w:rsidRDefault="003B425A" w:rsidP="00DA3538">
            <w:pPr>
              <w:spacing w:line="276" w:lineRule="auto"/>
              <w:jc w:val="center"/>
              <w:rPr>
                <w:rFonts w:ascii="Times New Roman" w:hAnsi="Times New Roman" w:cs="Times New Roman"/>
                <w:b/>
                <w:bCs/>
                <w:sz w:val="24"/>
                <w:szCs w:val="24"/>
              </w:rPr>
            </w:pPr>
            <w:r w:rsidRPr="00FA161E">
              <w:rPr>
                <w:rFonts w:ascii="Times New Roman" w:hAnsi="Times New Roman" w:cs="Times New Roman"/>
                <w:b/>
                <w:bCs/>
                <w:sz w:val="24"/>
                <w:szCs w:val="24"/>
              </w:rPr>
              <w:t>Cronbach’s Alpha</w:t>
            </w:r>
          </w:p>
        </w:tc>
        <w:tc>
          <w:tcPr>
            <w:tcW w:w="1635" w:type="dxa"/>
            <w:tcBorders>
              <w:top w:val="single" w:sz="4" w:space="0" w:color="auto"/>
              <w:bottom w:val="single" w:sz="4" w:space="0" w:color="auto"/>
            </w:tcBorders>
          </w:tcPr>
          <w:p w14:paraId="21AB85F1" w14:textId="565E3204" w:rsidR="003B425A" w:rsidRPr="00FA161E" w:rsidRDefault="003B425A" w:rsidP="00DA3538">
            <w:pPr>
              <w:spacing w:line="276" w:lineRule="auto"/>
              <w:jc w:val="center"/>
              <w:rPr>
                <w:rFonts w:ascii="Times New Roman" w:hAnsi="Times New Roman" w:cs="Times New Roman"/>
                <w:b/>
                <w:bCs/>
                <w:sz w:val="24"/>
                <w:szCs w:val="24"/>
              </w:rPr>
            </w:pPr>
            <w:r w:rsidRPr="00FA161E">
              <w:rPr>
                <w:rFonts w:ascii="Times New Roman" w:hAnsi="Times New Roman" w:cs="Times New Roman"/>
                <w:b/>
                <w:bCs/>
                <w:sz w:val="24"/>
                <w:szCs w:val="24"/>
              </w:rPr>
              <w:t>No. of Item</w:t>
            </w:r>
          </w:p>
        </w:tc>
      </w:tr>
      <w:tr w:rsidR="003B425A" w:rsidRPr="00FA161E" w14:paraId="0B7B4223" w14:textId="77777777" w:rsidTr="00D61D74">
        <w:trPr>
          <w:jc w:val="center"/>
        </w:trPr>
        <w:tc>
          <w:tcPr>
            <w:tcW w:w="3955" w:type="dxa"/>
            <w:tcBorders>
              <w:top w:val="single" w:sz="4" w:space="0" w:color="auto"/>
            </w:tcBorders>
          </w:tcPr>
          <w:p w14:paraId="0A77CC82" w14:textId="2C9433AC" w:rsidR="003B425A" w:rsidRPr="00FA161E" w:rsidRDefault="003B425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Knowledge</w:t>
            </w:r>
          </w:p>
        </w:tc>
        <w:tc>
          <w:tcPr>
            <w:tcW w:w="2055" w:type="dxa"/>
            <w:tcBorders>
              <w:top w:val="single" w:sz="4" w:space="0" w:color="auto"/>
            </w:tcBorders>
          </w:tcPr>
          <w:p w14:paraId="30ED3E6A" w14:textId="0A902ED8" w:rsidR="003B425A" w:rsidRPr="00FA161E" w:rsidRDefault="003B425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0.817</w:t>
            </w:r>
          </w:p>
        </w:tc>
        <w:tc>
          <w:tcPr>
            <w:tcW w:w="1635" w:type="dxa"/>
            <w:tcBorders>
              <w:top w:val="single" w:sz="4" w:space="0" w:color="auto"/>
            </w:tcBorders>
          </w:tcPr>
          <w:p w14:paraId="18804246" w14:textId="5861D176" w:rsidR="003B425A" w:rsidRPr="00FA161E" w:rsidRDefault="003B425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8</w:t>
            </w:r>
          </w:p>
        </w:tc>
      </w:tr>
      <w:tr w:rsidR="003B425A" w:rsidRPr="00FA161E" w14:paraId="25EA7A7F" w14:textId="77777777" w:rsidTr="00D61D74">
        <w:trPr>
          <w:jc w:val="center"/>
        </w:trPr>
        <w:tc>
          <w:tcPr>
            <w:tcW w:w="3955" w:type="dxa"/>
          </w:tcPr>
          <w:p w14:paraId="12A4EFDD" w14:textId="4233C583" w:rsidR="003B425A" w:rsidRPr="00FA161E" w:rsidRDefault="003B425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Financial </w:t>
            </w:r>
            <w:proofErr w:type="spellStart"/>
            <w:r w:rsidRPr="00FA161E">
              <w:rPr>
                <w:rFonts w:ascii="Times New Roman" w:hAnsi="Times New Roman" w:cs="Times New Roman"/>
                <w:sz w:val="24"/>
                <w:szCs w:val="24"/>
              </w:rPr>
              <w:t>Behaviour</w:t>
            </w:r>
            <w:proofErr w:type="spellEnd"/>
          </w:p>
        </w:tc>
        <w:tc>
          <w:tcPr>
            <w:tcW w:w="2055" w:type="dxa"/>
          </w:tcPr>
          <w:p w14:paraId="5C92BF22" w14:textId="1BB609D6" w:rsidR="003B425A" w:rsidRPr="00FA161E" w:rsidRDefault="003B425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0.877</w:t>
            </w:r>
          </w:p>
        </w:tc>
        <w:tc>
          <w:tcPr>
            <w:tcW w:w="1635" w:type="dxa"/>
          </w:tcPr>
          <w:p w14:paraId="04BB70FE" w14:textId="78311363" w:rsidR="003B425A" w:rsidRPr="00FA161E" w:rsidRDefault="003B425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12</w:t>
            </w:r>
          </w:p>
        </w:tc>
      </w:tr>
      <w:tr w:rsidR="003B425A" w:rsidRPr="00FA161E" w14:paraId="15DAC5A9" w14:textId="77777777" w:rsidTr="00D61D74">
        <w:trPr>
          <w:jc w:val="center"/>
        </w:trPr>
        <w:tc>
          <w:tcPr>
            <w:tcW w:w="3955" w:type="dxa"/>
            <w:tcBorders>
              <w:bottom w:val="single" w:sz="4" w:space="0" w:color="auto"/>
            </w:tcBorders>
          </w:tcPr>
          <w:p w14:paraId="2F6A12C9" w14:textId="17AA3A5B" w:rsidR="003B425A" w:rsidRPr="00FA161E" w:rsidRDefault="003B425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Attitudes</w:t>
            </w:r>
          </w:p>
        </w:tc>
        <w:tc>
          <w:tcPr>
            <w:tcW w:w="2055" w:type="dxa"/>
            <w:tcBorders>
              <w:bottom w:val="single" w:sz="4" w:space="0" w:color="auto"/>
            </w:tcBorders>
          </w:tcPr>
          <w:p w14:paraId="135F68C9" w14:textId="5B87EAFE" w:rsidR="003B425A" w:rsidRPr="00FA161E" w:rsidRDefault="00B64D8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0.940</w:t>
            </w:r>
          </w:p>
        </w:tc>
        <w:tc>
          <w:tcPr>
            <w:tcW w:w="1635" w:type="dxa"/>
            <w:tcBorders>
              <w:bottom w:val="single" w:sz="4" w:space="0" w:color="auto"/>
            </w:tcBorders>
          </w:tcPr>
          <w:p w14:paraId="4E43B099" w14:textId="64E75651" w:rsidR="003B425A" w:rsidRPr="00FA161E" w:rsidRDefault="003B425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10</w:t>
            </w:r>
          </w:p>
        </w:tc>
      </w:tr>
      <w:tr w:rsidR="003B425A" w:rsidRPr="00FA161E" w14:paraId="269059FB" w14:textId="77777777" w:rsidTr="00D61D74">
        <w:trPr>
          <w:jc w:val="center"/>
        </w:trPr>
        <w:tc>
          <w:tcPr>
            <w:tcW w:w="3955" w:type="dxa"/>
            <w:tcBorders>
              <w:top w:val="single" w:sz="4" w:space="0" w:color="auto"/>
              <w:bottom w:val="single" w:sz="4" w:space="0" w:color="auto"/>
            </w:tcBorders>
          </w:tcPr>
          <w:p w14:paraId="04DDA357" w14:textId="2D1AB973" w:rsidR="003B425A" w:rsidRPr="00FA161E" w:rsidRDefault="00B64D8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Customers’ Online Banking </w:t>
            </w:r>
            <w:proofErr w:type="spellStart"/>
            <w:r w:rsidRPr="00FA161E">
              <w:rPr>
                <w:rFonts w:ascii="Times New Roman" w:hAnsi="Times New Roman" w:cs="Times New Roman"/>
                <w:sz w:val="24"/>
                <w:szCs w:val="24"/>
              </w:rPr>
              <w:t>Bahaviour</w:t>
            </w:r>
            <w:proofErr w:type="spellEnd"/>
          </w:p>
        </w:tc>
        <w:tc>
          <w:tcPr>
            <w:tcW w:w="2055" w:type="dxa"/>
            <w:tcBorders>
              <w:top w:val="single" w:sz="4" w:space="0" w:color="auto"/>
              <w:bottom w:val="single" w:sz="4" w:space="0" w:color="auto"/>
            </w:tcBorders>
          </w:tcPr>
          <w:p w14:paraId="45CFE3E6" w14:textId="6CE59C67" w:rsidR="003B425A" w:rsidRPr="00FA161E" w:rsidRDefault="00B64D8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0.950</w:t>
            </w:r>
          </w:p>
        </w:tc>
        <w:tc>
          <w:tcPr>
            <w:tcW w:w="1635" w:type="dxa"/>
            <w:tcBorders>
              <w:top w:val="single" w:sz="4" w:space="0" w:color="auto"/>
              <w:bottom w:val="single" w:sz="4" w:space="0" w:color="auto"/>
            </w:tcBorders>
          </w:tcPr>
          <w:p w14:paraId="5366B73C" w14:textId="1481A673" w:rsidR="003B425A" w:rsidRPr="00FA161E" w:rsidRDefault="00B64D8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29</w:t>
            </w:r>
          </w:p>
        </w:tc>
      </w:tr>
    </w:tbl>
    <w:p w14:paraId="1F646442" w14:textId="27885B23"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26D7E606" w14:textId="77777777" w:rsidR="00D31F77" w:rsidRPr="00FA161E" w:rsidRDefault="00D31F77" w:rsidP="00DA3538">
      <w:pPr>
        <w:spacing w:line="276" w:lineRule="auto"/>
        <w:jc w:val="both"/>
        <w:rPr>
          <w:rFonts w:ascii="Times New Roman" w:hAnsi="Times New Roman" w:cs="Times New Roman"/>
          <w:sz w:val="24"/>
          <w:szCs w:val="24"/>
        </w:rPr>
      </w:pPr>
    </w:p>
    <w:p w14:paraId="7466E87A"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Factor analysis is a statistical technique used to identify the underlying factors that explain the relationships among observed variables. In this study, factor analysis was employed to determine the most significant factors influencing customers’ online banking behavior, specifically financial knowledge, financial behavior, and financial attitude.</w:t>
      </w:r>
    </w:p>
    <w:p w14:paraId="2AF18BBB" w14:textId="32CAF64D"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 xml:space="preserve">To evaluate the suitability of the data for factor analysis, the Kaiser–Meyer–Olkin (KMO) measure and Bartlett’s test of sphericity were applied. The KMO </w:t>
      </w:r>
      <w:r w:rsidR="00122232" w:rsidRPr="004D3660">
        <w:rPr>
          <w:rFonts w:ascii="Times New Roman" w:hAnsi="Times New Roman" w:cs="Times New Roman"/>
          <w:sz w:val="24"/>
          <w:szCs w:val="24"/>
        </w:rPr>
        <w:t>statistics assess</w:t>
      </w:r>
      <w:r w:rsidRPr="004D3660">
        <w:rPr>
          <w:rFonts w:ascii="Times New Roman" w:hAnsi="Times New Roman" w:cs="Times New Roman"/>
          <w:sz w:val="24"/>
          <w:szCs w:val="24"/>
        </w:rPr>
        <w:t xml:space="preserve"> the adequacy of the sample for conducting factor analysis by measuring the proportion of variance among variables that may be common variance. The KMO value ranges from 0 to 1, where values </w:t>
      </w:r>
      <w:r w:rsidRPr="004D3660">
        <w:rPr>
          <w:rFonts w:ascii="Times New Roman" w:hAnsi="Times New Roman" w:cs="Times New Roman"/>
          <w:sz w:val="24"/>
          <w:szCs w:val="24"/>
        </w:rPr>
        <w:lastRenderedPageBreak/>
        <w:t xml:space="preserve">between 0.5 and 0.7 indicate a moderate level of adequacy, values above 0.7 are considered good, and values exceeding 0.9 represent an excellent level of sampling adequacy (Islam et al., 2019; </w:t>
      </w:r>
      <w:proofErr w:type="spellStart"/>
      <w:r w:rsidRPr="004D3660">
        <w:rPr>
          <w:rFonts w:ascii="Times New Roman" w:hAnsi="Times New Roman" w:cs="Times New Roman"/>
          <w:sz w:val="24"/>
          <w:szCs w:val="24"/>
        </w:rPr>
        <w:t>Kweyu</w:t>
      </w:r>
      <w:proofErr w:type="spellEnd"/>
      <w:r w:rsidRPr="004D3660">
        <w:rPr>
          <w:rFonts w:ascii="Times New Roman" w:hAnsi="Times New Roman" w:cs="Times New Roman"/>
          <w:sz w:val="24"/>
          <w:szCs w:val="24"/>
        </w:rPr>
        <w:t xml:space="preserve"> &amp; </w:t>
      </w:r>
      <w:proofErr w:type="spellStart"/>
      <w:r w:rsidRPr="004D3660">
        <w:rPr>
          <w:rFonts w:ascii="Times New Roman" w:hAnsi="Times New Roman" w:cs="Times New Roman"/>
          <w:sz w:val="24"/>
          <w:szCs w:val="24"/>
        </w:rPr>
        <w:t>Ngare</w:t>
      </w:r>
      <w:proofErr w:type="spellEnd"/>
      <w:r w:rsidRPr="004D3660">
        <w:rPr>
          <w:rFonts w:ascii="Times New Roman" w:hAnsi="Times New Roman" w:cs="Times New Roman"/>
          <w:sz w:val="24"/>
          <w:szCs w:val="24"/>
        </w:rPr>
        <w:t>, 2013).</w:t>
      </w:r>
    </w:p>
    <w:p w14:paraId="619E9812" w14:textId="77777777" w:rsidR="00D61D74" w:rsidRPr="00FA161E" w:rsidRDefault="00D61D74" w:rsidP="00DA3538">
      <w:pPr>
        <w:spacing w:line="276" w:lineRule="auto"/>
        <w:jc w:val="both"/>
        <w:rPr>
          <w:rFonts w:ascii="Times New Roman" w:hAnsi="Times New Roman" w:cs="Times New Roman"/>
          <w:sz w:val="24"/>
          <w:szCs w:val="24"/>
        </w:rPr>
      </w:pPr>
    </w:p>
    <w:p w14:paraId="1E8FD380" w14:textId="534F54AF" w:rsidR="00D050C7" w:rsidRPr="00FA161E" w:rsidRDefault="000769AA" w:rsidP="00DA3538">
      <w:pPr>
        <w:spacing w:line="276" w:lineRule="auto"/>
        <w:ind w:left="450" w:hanging="90"/>
        <w:jc w:val="both"/>
        <w:rPr>
          <w:rFonts w:ascii="Times New Roman" w:hAnsi="Times New Roman" w:cs="Times New Roman"/>
          <w:sz w:val="24"/>
          <w:szCs w:val="24"/>
        </w:rPr>
      </w:pPr>
      <w:r w:rsidRPr="00FA161E">
        <w:rPr>
          <w:rFonts w:ascii="Times New Roman" w:hAnsi="Times New Roman" w:cs="Times New Roman"/>
          <w:sz w:val="24"/>
          <w:szCs w:val="24"/>
        </w:rPr>
        <w:t>04.3 Factor Analysis</w:t>
      </w:r>
    </w:p>
    <w:p w14:paraId="4D593F8D" w14:textId="2F20F342" w:rsidR="00D050C7" w:rsidRPr="00FA161E" w:rsidRDefault="00D050C7"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Table </w:t>
      </w:r>
      <w:r w:rsidR="005062BF" w:rsidRPr="00FA161E">
        <w:rPr>
          <w:rFonts w:ascii="Times New Roman" w:hAnsi="Times New Roman" w:cs="Times New Roman"/>
          <w:sz w:val="24"/>
          <w:szCs w:val="24"/>
        </w:rPr>
        <w:t>3</w:t>
      </w:r>
      <w:r w:rsidRPr="00FA161E">
        <w:rPr>
          <w:rFonts w:ascii="Times New Roman" w:hAnsi="Times New Roman" w:cs="Times New Roman"/>
          <w:sz w:val="24"/>
          <w:szCs w:val="24"/>
        </w:rPr>
        <w:t>. Factor analysis</w:t>
      </w:r>
    </w:p>
    <w:tbl>
      <w:tblPr>
        <w:tblStyle w:val="TableGrid"/>
        <w:tblW w:w="947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75"/>
        <w:gridCol w:w="2970"/>
        <w:gridCol w:w="2730"/>
      </w:tblGrid>
      <w:tr w:rsidR="00E85CBC" w:rsidRPr="00FA161E" w14:paraId="3043B939" w14:textId="77777777" w:rsidTr="00D050C7">
        <w:trPr>
          <w:trHeight w:val="938"/>
        </w:trPr>
        <w:tc>
          <w:tcPr>
            <w:tcW w:w="3775" w:type="dxa"/>
            <w:tcBorders>
              <w:top w:val="single" w:sz="4" w:space="0" w:color="auto"/>
              <w:bottom w:val="single" w:sz="4" w:space="0" w:color="auto"/>
            </w:tcBorders>
          </w:tcPr>
          <w:p w14:paraId="47990533" w14:textId="77777777" w:rsidR="00D050C7" w:rsidRPr="00FA161E" w:rsidRDefault="00D050C7" w:rsidP="00DA3538">
            <w:pPr>
              <w:spacing w:line="276" w:lineRule="auto"/>
              <w:jc w:val="center"/>
              <w:rPr>
                <w:rFonts w:ascii="Times New Roman" w:hAnsi="Times New Roman" w:cs="Times New Roman"/>
                <w:b/>
                <w:bCs/>
                <w:sz w:val="24"/>
                <w:szCs w:val="24"/>
              </w:rPr>
            </w:pPr>
            <w:r w:rsidRPr="00FA161E">
              <w:rPr>
                <w:rFonts w:ascii="Times New Roman" w:hAnsi="Times New Roman" w:cs="Times New Roman"/>
                <w:b/>
                <w:bCs/>
                <w:sz w:val="24"/>
                <w:szCs w:val="24"/>
              </w:rPr>
              <w:t>Variable</w:t>
            </w:r>
          </w:p>
        </w:tc>
        <w:tc>
          <w:tcPr>
            <w:tcW w:w="2970" w:type="dxa"/>
            <w:tcBorders>
              <w:top w:val="single" w:sz="4" w:space="0" w:color="auto"/>
              <w:bottom w:val="single" w:sz="4" w:space="0" w:color="auto"/>
            </w:tcBorders>
          </w:tcPr>
          <w:p w14:paraId="54694A32" w14:textId="0B567AA9" w:rsidR="00D050C7" w:rsidRPr="00FA161E" w:rsidRDefault="00D050C7" w:rsidP="00DA3538">
            <w:pPr>
              <w:spacing w:line="276" w:lineRule="auto"/>
              <w:jc w:val="center"/>
              <w:rPr>
                <w:rFonts w:ascii="Times New Roman" w:hAnsi="Times New Roman" w:cs="Times New Roman"/>
                <w:b/>
                <w:bCs/>
                <w:sz w:val="24"/>
                <w:szCs w:val="24"/>
              </w:rPr>
            </w:pPr>
            <w:r w:rsidRPr="00FA161E">
              <w:rPr>
                <w:rFonts w:ascii="Times New Roman" w:hAnsi="Times New Roman" w:cs="Times New Roman"/>
                <w:b/>
                <w:bCs/>
                <w:sz w:val="24"/>
                <w:szCs w:val="24"/>
              </w:rPr>
              <w:t>Kaiser-Meyer-Olkin Test (KMO Test)</w:t>
            </w:r>
          </w:p>
        </w:tc>
        <w:tc>
          <w:tcPr>
            <w:tcW w:w="2730" w:type="dxa"/>
            <w:tcBorders>
              <w:top w:val="single" w:sz="4" w:space="0" w:color="auto"/>
              <w:bottom w:val="single" w:sz="4" w:space="0" w:color="auto"/>
            </w:tcBorders>
          </w:tcPr>
          <w:p w14:paraId="665043BE" w14:textId="2A72CEE2" w:rsidR="00D050C7" w:rsidRPr="00FA161E" w:rsidRDefault="00D050C7" w:rsidP="00DA3538">
            <w:pPr>
              <w:spacing w:line="276" w:lineRule="auto"/>
              <w:jc w:val="center"/>
              <w:rPr>
                <w:rFonts w:ascii="Times New Roman" w:hAnsi="Times New Roman" w:cs="Times New Roman"/>
                <w:b/>
                <w:bCs/>
                <w:sz w:val="24"/>
                <w:szCs w:val="24"/>
              </w:rPr>
            </w:pPr>
            <w:r w:rsidRPr="00FA161E">
              <w:rPr>
                <w:rFonts w:ascii="Times New Roman" w:hAnsi="Times New Roman" w:cs="Times New Roman"/>
                <w:b/>
                <w:bCs/>
                <w:sz w:val="24"/>
                <w:szCs w:val="24"/>
              </w:rPr>
              <w:t>Bartlett’s test (Sig.)</w:t>
            </w:r>
          </w:p>
        </w:tc>
      </w:tr>
      <w:tr w:rsidR="00E85CBC" w:rsidRPr="00FA161E" w14:paraId="71D65DC4" w14:textId="77777777" w:rsidTr="00D050C7">
        <w:trPr>
          <w:trHeight w:val="307"/>
        </w:trPr>
        <w:tc>
          <w:tcPr>
            <w:tcW w:w="3775" w:type="dxa"/>
            <w:tcBorders>
              <w:top w:val="single" w:sz="4" w:space="0" w:color="auto"/>
            </w:tcBorders>
          </w:tcPr>
          <w:p w14:paraId="31259A72" w14:textId="77777777" w:rsidR="00D050C7" w:rsidRPr="00FA161E" w:rsidRDefault="00D050C7"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Knowledge</w:t>
            </w:r>
          </w:p>
        </w:tc>
        <w:tc>
          <w:tcPr>
            <w:tcW w:w="2970" w:type="dxa"/>
            <w:tcBorders>
              <w:top w:val="single" w:sz="4" w:space="0" w:color="auto"/>
            </w:tcBorders>
          </w:tcPr>
          <w:p w14:paraId="0AA2DFFC" w14:textId="5369848E" w:rsidR="00D050C7" w:rsidRPr="00FA161E" w:rsidRDefault="00D050C7"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w:t>
            </w:r>
            <w:r w:rsidR="000A153F" w:rsidRPr="00FA161E">
              <w:rPr>
                <w:rFonts w:ascii="Times New Roman" w:hAnsi="Times New Roman" w:cs="Times New Roman"/>
                <w:sz w:val="24"/>
                <w:szCs w:val="24"/>
              </w:rPr>
              <w:t>717</w:t>
            </w:r>
          </w:p>
        </w:tc>
        <w:tc>
          <w:tcPr>
            <w:tcW w:w="2730" w:type="dxa"/>
            <w:tcBorders>
              <w:top w:val="single" w:sz="4" w:space="0" w:color="auto"/>
            </w:tcBorders>
          </w:tcPr>
          <w:p w14:paraId="25776E7C" w14:textId="39AF53B8" w:rsidR="00D050C7" w:rsidRPr="00FA161E" w:rsidRDefault="000A153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0.000</w:t>
            </w:r>
          </w:p>
        </w:tc>
      </w:tr>
      <w:tr w:rsidR="000A153F" w:rsidRPr="00FA161E" w14:paraId="216A7EDC" w14:textId="77777777" w:rsidTr="00D050C7">
        <w:trPr>
          <w:trHeight w:val="307"/>
        </w:trPr>
        <w:tc>
          <w:tcPr>
            <w:tcW w:w="3775" w:type="dxa"/>
          </w:tcPr>
          <w:p w14:paraId="47D8166C" w14:textId="77777777" w:rsidR="000A153F" w:rsidRPr="00FA161E" w:rsidRDefault="000A153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Financial </w:t>
            </w:r>
            <w:proofErr w:type="spellStart"/>
            <w:r w:rsidRPr="00FA161E">
              <w:rPr>
                <w:rFonts w:ascii="Times New Roman" w:hAnsi="Times New Roman" w:cs="Times New Roman"/>
                <w:sz w:val="24"/>
                <w:szCs w:val="24"/>
              </w:rPr>
              <w:t>Behaviour</w:t>
            </w:r>
            <w:proofErr w:type="spellEnd"/>
          </w:p>
        </w:tc>
        <w:tc>
          <w:tcPr>
            <w:tcW w:w="2970" w:type="dxa"/>
          </w:tcPr>
          <w:p w14:paraId="47E10E91" w14:textId="4877CD64" w:rsidR="000A153F" w:rsidRPr="00FA161E" w:rsidRDefault="000A153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0.844</w:t>
            </w:r>
          </w:p>
        </w:tc>
        <w:tc>
          <w:tcPr>
            <w:tcW w:w="2730" w:type="dxa"/>
          </w:tcPr>
          <w:p w14:paraId="1FF8A8A5" w14:textId="71BD2553" w:rsidR="000A153F" w:rsidRPr="00FA161E" w:rsidRDefault="000A153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0.000</w:t>
            </w:r>
          </w:p>
        </w:tc>
      </w:tr>
      <w:tr w:rsidR="00E85CBC" w:rsidRPr="00FA161E" w14:paraId="6B86388B" w14:textId="77777777" w:rsidTr="00D050C7">
        <w:trPr>
          <w:trHeight w:val="307"/>
        </w:trPr>
        <w:tc>
          <w:tcPr>
            <w:tcW w:w="3775" w:type="dxa"/>
            <w:tcBorders>
              <w:bottom w:val="single" w:sz="4" w:space="0" w:color="auto"/>
            </w:tcBorders>
          </w:tcPr>
          <w:p w14:paraId="0D918B40" w14:textId="77777777" w:rsidR="000A153F" w:rsidRPr="00FA161E" w:rsidRDefault="000A153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Attitudes</w:t>
            </w:r>
          </w:p>
        </w:tc>
        <w:tc>
          <w:tcPr>
            <w:tcW w:w="2970" w:type="dxa"/>
            <w:tcBorders>
              <w:bottom w:val="single" w:sz="4" w:space="0" w:color="auto"/>
            </w:tcBorders>
          </w:tcPr>
          <w:p w14:paraId="2397DB1C" w14:textId="13E70656" w:rsidR="000A153F" w:rsidRPr="00FA161E" w:rsidRDefault="000A153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0.900</w:t>
            </w:r>
          </w:p>
        </w:tc>
        <w:tc>
          <w:tcPr>
            <w:tcW w:w="2730" w:type="dxa"/>
            <w:tcBorders>
              <w:bottom w:val="single" w:sz="4" w:space="0" w:color="auto"/>
            </w:tcBorders>
          </w:tcPr>
          <w:p w14:paraId="13BD983E" w14:textId="44F0E738" w:rsidR="000A153F" w:rsidRPr="00FA161E" w:rsidRDefault="000A153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0.000</w:t>
            </w:r>
          </w:p>
        </w:tc>
      </w:tr>
      <w:tr w:rsidR="00E85CBC" w:rsidRPr="00FA161E" w14:paraId="09FCFF3F" w14:textId="77777777" w:rsidTr="00D050C7">
        <w:trPr>
          <w:trHeight w:val="307"/>
        </w:trPr>
        <w:tc>
          <w:tcPr>
            <w:tcW w:w="3775" w:type="dxa"/>
            <w:tcBorders>
              <w:top w:val="single" w:sz="4" w:space="0" w:color="auto"/>
              <w:bottom w:val="single" w:sz="4" w:space="0" w:color="auto"/>
            </w:tcBorders>
          </w:tcPr>
          <w:p w14:paraId="17342B47" w14:textId="77777777" w:rsidR="000A153F" w:rsidRPr="00FA161E" w:rsidRDefault="000A153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Customers’ Online Banking </w:t>
            </w:r>
            <w:proofErr w:type="spellStart"/>
            <w:r w:rsidRPr="00FA161E">
              <w:rPr>
                <w:rFonts w:ascii="Times New Roman" w:hAnsi="Times New Roman" w:cs="Times New Roman"/>
                <w:sz w:val="24"/>
                <w:szCs w:val="24"/>
              </w:rPr>
              <w:t>Bahaviour</w:t>
            </w:r>
            <w:proofErr w:type="spellEnd"/>
          </w:p>
        </w:tc>
        <w:tc>
          <w:tcPr>
            <w:tcW w:w="2970" w:type="dxa"/>
            <w:tcBorders>
              <w:top w:val="single" w:sz="4" w:space="0" w:color="auto"/>
              <w:bottom w:val="single" w:sz="4" w:space="0" w:color="auto"/>
            </w:tcBorders>
          </w:tcPr>
          <w:p w14:paraId="476D0328" w14:textId="0ECD88CD" w:rsidR="000A153F" w:rsidRPr="00FA161E" w:rsidRDefault="000A153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0.921</w:t>
            </w:r>
          </w:p>
        </w:tc>
        <w:tc>
          <w:tcPr>
            <w:tcW w:w="2730" w:type="dxa"/>
            <w:tcBorders>
              <w:top w:val="single" w:sz="4" w:space="0" w:color="auto"/>
              <w:bottom w:val="single" w:sz="4" w:space="0" w:color="auto"/>
            </w:tcBorders>
          </w:tcPr>
          <w:p w14:paraId="3C1EF07F" w14:textId="6E1FEB16" w:rsidR="000A153F" w:rsidRPr="00FA161E" w:rsidRDefault="000A153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0.000</w:t>
            </w:r>
          </w:p>
        </w:tc>
      </w:tr>
    </w:tbl>
    <w:p w14:paraId="6BC0EB6D" w14:textId="3935D343"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7875B77F"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Based on the results obtained, both the independent variables and the dependent variable used in this study are suitable for factor analysis. This conclusion is supported by the Kaiser–Meyer–Olkin (KMO) values, which are greater than 0.70 for all variables, indicating adequate sampling suitability for conducting factor analysis.</w:t>
      </w:r>
    </w:p>
    <w:p w14:paraId="570D6943"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Furthermore, the results of Bartlett’s test of sphericity show that the p-value for all four variables is 0.000, which is lower than the significance level (α = 0.05). This indicates that a statistically significant correlation exists among the variables. Therefore, the results confirm that the dataset is appropriate for factor analysis, and the relationships between customers’ online banking behavior and the factors influencing it can be effectively examined based on the collected data.</w:t>
      </w:r>
    </w:p>
    <w:p w14:paraId="7B137932" w14:textId="760418D8" w:rsidR="000769AA" w:rsidRPr="00FA161E" w:rsidRDefault="000769AA" w:rsidP="00DA3538">
      <w:pPr>
        <w:spacing w:line="276" w:lineRule="auto"/>
        <w:ind w:left="450"/>
        <w:jc w:val="both"/>
        <w:rPr>
          <w:rFonts w:ascii="Times New Roman" w:hAnsi="Times New Roman" w:cs="Times New Roman"/>
          <w:sz w:val="24"/>
          <w:szCs w:val="24"/>
        </w:rPr>
      </w:pPr>
      <w:r w:rsidRPr="00FA161E">
        <w:rPr>
          <w:rFonts w:ascii="Times New Roman" w:hAnsi="Times New Roman" w:cs="Times New Roman"/>
          <w:sz w:val="24"/>
          <w:szCs w:val="24"/>
        </w:rPr>
        <w:t xml:space="preserve">04.4 Multiple linear regression </w:t>
      </w:r>
    </w:p>
    <w:p w14:paraId="3A969503" w14:textId="0810C938" w:rsidR="004E2527" w:rsidRPr="00FA161E"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Multiple linear regression analysis was performed to identify the independent variables that influence customers’ online banking behavior. In this analysis, the dependent variable was constructed using the average score of respondents’ answers to the questions related to online banking behavior. The independent variables included financial knowledge, financial behavior, and financial attitude. Based on these variables, the regression analysis was conducted and the results are presented as follows.</w:t>
      </w:r>
    </w:p>
    <w:tbl>
      <w:tblPr>
        <w:tblpPr w:leftFromText="180" w:rightFromText="180" w:vertAnchor="text" w:horzAnchor="margin" w:tblpXSpec="center" w:tblpY="882"/>
        <w:tblW w:w="7296"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95"/>
        <w:gridCol w:w="1009"/>
        <w:gridCol w:w="1085"/>
        <w:gridCol w:w="1469"/>
        <w:gridCol w:w="1469"/>
        <w:gridCol w:w="1469"/>
      </w:tblGrid>
      <w:tr w:rsidR="00BD389A" w:rsidRPr="00FA161E" w14:paraId="0693898F" w14:textId="77777777" w:rsidTr="005062BF">
        <w:trPr>
          <w:cantSplit/>
        </w:trPr>
        <w:tc>
          <w:tcPr>
            <w:tcW w:w="795" w:type="dxa"/>
            <w:shd w:val="clear" w:color="auto" w:fill="FFFFFF"/>
            <w:vAlign w:val="bottom"/>
          </w:tcPr>
          <w:p w14:paraId="045AEDF8"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Model</w:t>
            </w:r>
          </w:p>
        </w:tc>
        <w:tc>
          <w:tcPr>
            <w:tcW w:w="1009" w:type="dxa"/>
            <w:shd w:val="clear" w:color="auto" w:fill="FFFFFF"/>
            <w:vAlign w:val="bottom"/>
          </w:tcPr>
          <w:p w14:paraId="2F67EFC1"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R</w:t>
            </w:r>
          </w:p>
        </w:tc>
        <w:tc>
          <w:tcPr>
            <w:tcW w:w="1085" w:type="dxa"/>
            <w:shd w:val="clear" w:color="auto" w:fill="FFFFFF"/>
            <w:vAlign w:val="bottom"/>
          </w:tcPr>
          <w:p w14:paraId="41657C7B"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R Square</w:t>
            </w:r>
          </w:p>
        </w:tc>
        <w:tc>
          <w:tcPr>
            <w:tcW w:w="1469" w:type="dxa"/>
            <w:shd w:val="clear" w:color="auto" w:fill="FFFFFF"/>
            <w:vAlign w:val="bottom"/>
          </w:tcPr>
          <w:p w14:paraId="6D654B74" w14:textId="77777777" w:rsidR="00BD389A" w:rsidRPr="00FA161E" w:rsidRDefault="00BD389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Adjusted R Square</w:t>
            </w:r>
          </w:p>
        </w:tc>
        <w:tc>
          <w:tcPr>
            <w:tcW w:w="1469" w:type="dxa"/>
            <w:shd w:val="clear" w:color="auto" w:fill="FFFFFF"/>
            <w:vAlign w:val="bottom"/>
          </w:tcPr>
          <w:p w14:paraId="620C9A00" w14:textId="77777777" w:rsidR="00BD389A" w:rsidRPr="00FA161E" w:rsidRDefault="00BD389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Std. Error of the Estimate</w:t>
            </w:r>
          </w:p>
        </w:tc>
        <w:tc>
          <w:tcPr>
            <w:tcW w:w="1469" w:type="dxa"/>
            <w:shd w:val="clear" w:color="auto" w:fill="FFFFFF"/>
            <w:vAlign w:val="bottom"/>
          </w:tcPr>
          <w:p w14:paraId="187CCB64" w14:textId="7428024D" w:rsidR="00BD389A" w:rsidRPr="00FA161E" w:rsidRDefault="00BD389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Durbin</w:t>
            </w:r>
            <w:proofErr w:type="gramStart"/>
            <w:r w:rsidRPr="00FA161E">
              <w:rPr>
                <w:rFonts w:ascii="Times New Roman" w:hAnsi="Times New Roman" w:cs="Times New Roman"/>
                <w:sz w:val="24"/>
                <w:szCs w:val="24"/>
              </w:rPr>
              <w:t>-</w:t>
            </w:r>
            <w:r w:rsidR="00E85CAF" w:rsidRPr="00FA161E">
              <w:rPr>
                <w:rFonts w:ascii="Times New Roman" w:hAnsi="Times New Roman" w:cs="Times New Roman"/>
                <w:sz w:val="24"/>
                <w:szCs w:val="24"/>
              </w:rPr>
              <w:t xml:space="preserve">  </w:t>
            </w:r>
            <w:r w:rsidRPr="00FA161E">
              <w:rPr>
                <w:rFonts w:ascii="Times New Roman" w:hAnsi="Times New Roman" w:cs="Times New Roman"/>
                <w:sz w:val="24"/>
                <w:szCs w:val="24"/>
              </w:rPr>
              <w:t>Watson</w:t>
            </w:r>
            <w:proofErr w:type="gramEnd"/>
          </w:p>
        </w:tc>
      </w:tr>
      <w:tr w:rsidR="00BD389A" w:rsidRPr="00FA161E" w14:paraId="7515FBD9" w14:textId="77777777" w:rsidTr="005062BF">
        <w:trPr>
          <w:cantSplit/>
        </w:trPr>
        <w:tc>
          <w:tcPr>
            <w:tcW w:w="795" w:type="dxa"/>
            <w:shd w:val="clear" w:color="auto" w:fill="FFFFFF"/>
          </w:tcPr>
          <w:p w14:paraId="6510D856"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1</w:t>
            </w:r>
          </w:p>
        </w:tc>
        <w:tc>
          <w:tcPr>
            <w:tcW w:w="1009" w:type="dxa"/>
            <w:shd w:val="clear" w:color="auto" w:fill="FFFFFF"/>
            <w:vAlign w:val="center"/>
          </w:tcPr>
          <w:p w14:paraId="52484D95"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.801</w:t>
            </w:r>
            <w:r w:rsidRPr="00FA161E">
              <w:rPr>
                <w:rFonts w:ascii="Times New Roman" w:hAnsi="Times New Roman" w:cs="Times New Roman"/>
                <w:sz w:val="24"/>
                <w:szCs w:val="24"/>
                <w:vertAlign w:val="superscript"/>
              </w:rPr>
              <w:t>a</w:t>
            </w:r>
          </w:p>
        </w:tc>
        <w:tc>
          <w:tcPr>
            <w:tcW w:w="1085" w:type="dxa"/>
            <w:shd w:val="clear" w:color="auto" w:fill="FFFFFF"/>
            <w:vAlign w:val="center"/>
          </w:tcPr>
          <w:p w14:paraId="3AD52E03"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.641</w:t>
            </w:r>
          </w:p>
        </w:tc>
        <w:tc>
          <w:tcPr>
            <w:tcW w:w="1469" w:type="dxa"/>
            <w:shd w:val="clear" w:color="auto" w:fill="FFFFFF"/>
            <w:vAlign w:val="center"/>
          </w:tcPr>
          <w:p w14:paraId="1F52FD9C"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.638</w:t>
            </w:r>
          </w:p>
        </w:tc>
        <w:tc>
          <w:tcPr>
            <w:tcW w:w="1469" w:type="dxa"/>
            <w:shd w:val="clear" w:color="auto" w:fill="FFFFFF"/>
            <w:vAlign w:val="center"/>
          </w:tcPr>
          <w:p w14:paraId="4DD81F50"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.4681</w:t>
            </w:r>
          </w:p>
        </w:tc>
        <w:tc>
          <w:tcPr>
            <w:tcW w:w="1469" w:type="dxa"/>
            <w:shd w:val="clear" w:color="auto" w:fill="FFFFFF"/>
            <w:vAlign w:val="center"/>
          </w:tcPr>
          <w:p w14:paraId="77363180"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1.138</w:t>
            </w:r>
          </w:p>
        </w:tc>
      </w:tr>
    </w:tbl>
    <w:p w14:paraId="68DC567B" w14:textId="324EB3B8" w:rsidR="005062BF" w:rsidRPr="00FA161E" w:rsidRDefault="005062BF" w:rsidP="00DA3538">
      <w:pPr>
        <w:spacing w:line="276" w:lineRule="auto"/>
        <w:jc w:val="both"/>
        <w:rPr>
          <w:rFonts w:ascii="Times New Roman" w:hAnsi="Times New Roman" w:cs="Times New Roman"/>
          <w:sz w:val="24"/>
          <w:szCs w:val="24"/>
        </w:rPr>
      </w:pPr>
      <w:bookmarkStart w:id="1" w:name="_Hlk186478501"/>
      <w:r w:rsidRPr="00FA161E">
        <w:rPr>
          <w:rFonts w:ascii="Times New Roman" w:hAnsi="Times New Roman" w:cs="Times New Roman"/>
          <w:sz w:val="24"/>
          <w:szCs w:val="24"/>
        </w:rPr>
        <w:t>Table 4. Model Summary</w:t>
      </w:r>
    </w:p>
    <w:bookmarkEnd w:id="1"/>
    <w:p w14:paraId="735B98C8" w14:textId="77777777" w:rsidR="005062BF" w:rsidRPr="00FA161E" w:rsidRDefault="005062BF" w:rsidP="00DA3538">
      <w:pPr>
        <w:spacing w:line="276" w:lineRule="auto"/>
        <w:jc w:val="both"/>
        <w:rPr>
          <w:rFonts w:ascii="Times New Roman" w:hAnsi="Times New Roman" w:cs="Times New Roman"/>
          <w:sz w:val="24"/>
          <w:szCs w:val="24"/>
        </w:rPr>
      </w:pPr>
    </w:p>
    <w:p w14:paraId="710D6416" w14:textId="77777777" w:rsidR="005062BF" w:rsidRPr="00FA161E" w:rsidRDefault="005062BF" w:rsidP="00DA3538">
      <w:pPr>
        <w:spacing w:line="276" w:lineRule="auto"/>
        <w:jc w:val="both"/>
        <w:rPr>
          <w:rFonts w:ascii="Times New Roman" w:hAnsi="Times New Roman" w:cs="Times New Roman"/>
          <w:sz w:val="24"/>
          <w:szCs w:val="24"/>
        </w:rPr>
      </w:pPr>
    </w:p>
    <w:p w14:paraId="1C6BB94E" w14:textId="77777777" w:rsidR="005062BF" w:rsidRPr="00FA161E" w:rsidRDefault="005062BF" w:rsidP="00DA3538">
      <w:pPr>
        <w:spacing w:line="276" w:lineRule="auto"/>
        <w:jc w:val="both"/>
        <w:rPr>
          <w:rFonts w:ascii="Times New Roman" w:hAnsi="Times New Roman" w:cs="Times New Roman"/>
          <w:sz w:val="24"/>
          <w:szCs w:val="24"/>
        </w:rPr>
      </w:pPr>
    </w:p>
    <w:p w14:paraId="717E4B22" w14:textId="77777777" w:rsidR="00BD389A" w:rsidRPr="00FA161E" w:rsidRDefault="00BD389A" w:rsidP="00DA3538">
      <w:pPr>
        <w:spacing w:line="276" w:lineRule="auto"/>
        <w:jc w:val="both"/>
        <w:rPr>
          <w:rFonts w:ascii="Times New Roman" w:hAnsi="Times New Roman" w:cs="Times New Roman"/>
          <w:sz w:val="24"/>
          <w:szCs w:val="24"/>
        </w:rPr>
      </w:pPr>
    </w:p>
    <w:p w14:paraId="50A9B7AE" w14:textId="6A1B99DA"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lastRenderedPageBreak/>
        <w:t>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5C0C24F0"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This table illustrates the goodness of fit of the estimated regression model. The multivariate correlation coefficient (R) is reported as 0.801, indicating a strong positive relationship between the dependent variable and the set of independent variables, as values greater than 0.70 generally suggest a strong correlation.</w:t>
      </w:r>
    </w:p>
    <w:p w14:paraId="58F1F270"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The coefficient of determination (R²) is 0.641, which represents the proportion of variance in the dependent variable explained by the independent variables included in the model. Accordingly, the independent variables account for approximately 64% of the variation in customers’ online banking behavior.</w:t>
      </w:r>
    </w:p>
    <w:p w14:paraId="54EE9811"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The Adjusted R² value, which provides a more accurate estimate by adjusting for the number of predictors in the model, is reported as 0.638. This indicates that about 63.8% of the variation in the dependent variable is explained by the model after accounting for the number of independent variables. Since the difference between the R² value and the Adjusted R² value is minimal, it suggests that the model does not suffer from overfitting and can therefore be considered appropriate for explaining the relationship between the variables.</w:t>
      </w:r>
    </w:p>
    <w:p w14:paraId="3CCCAC80" w14:textId="3852B7EB" w:rsidR="006D09B0"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Table 5. Anova</w:t>
      </w:r>
    </w:p>
    <w:tbl>
      <w:tblPr>
        <w:tblW w:w="8014"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823"/>
        <w:gridCol w:w="1284"/>
        <w:gridCol w:w="1469"/>
        <w:gridCol w:w="1010"/>
        <w:gridCol w:w="1408"/>
        <w:gridCol w:w="1010"/>
        <w:gridCol w:w="1010"/>
      </w:tblGrid>
      <w:tr w:rsidR="006D09B0" w:rsidRPr="00FA161E" w14:paraId="61185F53" w14:textId="77777777" w:rsidTr="005062BF">
        <w:trPr>
          <w:cantSplit/>
          <w:jc w:val="center"/>
        </w:trPr>
        <w:tc>
          <w:tcPr>
            <w:tcW w:w="2107" w:type="dxa"/>
            <w:gridSpan w:val="2"/>
            <w:shd w:val="clear" w:color="auto" w:fill="FFFFFF"/>
            <w:vAlign w:val="bottom"/>
          </w:tcPr>
          <w:p w14:paraId="45603978"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Model</w:t>
            </w:r>
          </w:p>
        </w:tc>
        <w:tc>
          <w:tcPr>
            <w:tcW w:w="1469" w:type="dxa"/>
            <w:shd w:val="clear" w:color="auto" w:fill="FFFFFF"/>
            <w:vAlign w:val="bottom"/>
          </w:tcPr>
          <w:p w14:paraId="17897D2C"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Sum of Squares</w:t>
            </w:r>
          </w:p>
        </w:tc>
        <w:tc>
          <w:tcPr>
            <w:tcW w:w="1010" w:type="dxa"/>
            <w:shd w:val="clear" w:color="auto" w:fill="FFFFFF"/>
            <w:vAlign w:val="bottom"/>
          </w:tcPr>
          <w:p w14:paraId="1093CCE4"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df</w:t>
            </w:r>
          </w:p>
        </w:tc>
        <w:tc>
          <w:tcPr>
            <w:tcW w:w="1408" w:type="dxa"/>
            <w:shd w:val="clear" w:color="auto" w:fill="FFFFFF"/>
            <w:vAlign w:val="bottom"/>
          </w:tcPr>
          <w:p w14:paraId="1127FA62"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Mean Square</w:t>
            </w:r>
          </w:p>
        </w:tc>
        <w:tc>
          <w:tcPr>
            <w:tcW w:w="1010" w:type="dxa"/>
            <w:shd w:val="clear" w:color="auto" w:fill="FFFFFF"/>
            <w:vAlign w:val="bottom"/>
          </w:tcPr>
          <w:p w14:paraId="45BD33E1"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w:t>
            </w:r>
          </w:p>
        </w:tc>
        <w:tc>
          <w:tcPr>
            <w:tcW w:w="1010" w:type="dxa"/>
            <w:shd w:val="clear" w:color="auto" w:fill="FFFFFF"/>
            <w:vAlign w:val="bottom"/>
          </w:tcPr>
          <w:p w14:paraId="067C1403"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Sig.</w:t>
            </w:r>
          </w:p>
        </w:tc>
      </w:tr>
      <w:tr w:rsidR="006D09B0" w:rsidRPr="00FA161E" w14:paraId="665AB9F6" w14:textId="77777777" w:rsidTr="005062BF">
        <w:trPr>
          <w:cantSplit/>
          <w:jc w:val="center"/>
        </w:trPr>
        <w:tc>
          <w:tcPr>
            <w:tcW w:w="823" w:type="dxa"/>
            <w:vMerge w:val="restart"/>
            <w:shd w:val="clear" w:color="auto" w:fill="FFFFFF"/>
          </w:tcPr>
          <w:p w14:paraId="7F0DE1BE"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1</w:t>
            </w:r>
          </w:p>
        </w:tc>
        <w:tc>
          <w:tcPr>
            <w:tcW w:w="1284" w:type="dxa"/>
            <w:shd w:val="clear" w:color="auto" w:fill="FFFFFF"/>
          </w:tcPr>
          <w:p w14:paraId="529A3A1F"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Regression</w:t>
            </w:r>
          </w:p>
        </w:tc>
        <w:tc>
          <w:tcPr>
            <w:tcW w:w="1469" w:type="dxa"/>
            <w:shd w:val="clear" w:color="auto" w:fill="FFFFFF"/>
            <w:vAlign w:val="center"/>
          </w:tcPr>
          <w:p w14:paraId="01B49A19"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148.038</w:t>
            </w:r>
          </w:p>
        </w:tc>
        <w:tc>
          <w:tcPr>
            <w:tcW w:w="1010" w:type="dxa"/>
            <w:shd w:val="clear" w:color="auto" w:fill="FFFFFF"/>
            <w:vAlign w:val="center"/>
          </w:tcPr>
          <w:p w14:paraId="0888549A"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3</w:t>
            </w:r>
          </w:p>
        </w:tc>
        <w:tc>
          <w:tcPr>
            <w:tcW w:w="1408" w:type="dxa"/>
            <w:shd w:val="clear" w:color="auto" w:fill="FFFFFF"/>
            <w:vAlign w:val="center"/>
          </w:tcPr>
          <w:p w14:paraId="71224F2B"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49.346</w:t>
            </w:r>
          </w:p>
        </w:tc>
        <w:tc>
          <w:tcPr>
            <w:tcW w:w="1010" w:type="dxa"/>
            <w:shd w:val="clear" w:color="auto" w:fill="FFFFFF"/>
            <w:vAlign w:val="center"/>
          </w:tcPr>
          <w:p w14:paraId="4C44106F"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225.179</w:t>
            </w:r>
          </w:p>
        </w:tc>
        <w:tc>
          <w:tcPr>
            <w:tcW w:w="1010" w:type="dxa"/>
            <w:shd w:val="clear" w:color="auto" w:fill="FFFFFF"/>
            <w:vAlign w:val="center"/>
          </w:tcPr>
          <w:p w14:paraId="6A374B90"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.000</w:t>
            </w:r>
            <w:r w:rsidRPr="00FA161E">
              <w:rPr>
                <w:rFonts w:ascii="Times New Roman" w:hAnsi="Times New Roman" w:cs="Times New Roman"/>
                <w:sz w:val="24"/>
                <w:szCs w:val="24"/>
                <w:vertAlign w:val="superscript"/>
              </w:rPr>
              <w:t>b</w:t>
            </w:r>
          </w:p>
        </w:tc>
      </w:tr>
      <w:tr w:rsidR="006D09B0" w:rsidRPr="00FA161E" w14:paraId="75A61BAC" w14:textId="77777777" w:rsidTr="005062BF">
        <w:trPr>
          <w:cantSplit/>
          <w:jc w:val="center"/>
        </w:trPr>
        <w:tc>
          <w:tcPr>
            <w:tcW w:w="823" w:type="dxa"/>
            <w:vMerge/>
            <w:shd w:val="clear" w:color="auto" w:fill="FFFFFF"/>
          </w:tcPr>
          <w:p w14:paraId="419D0CBA" w14:textId="77777777" w:rsidR="006D09B0" w:rsidRPr="00FA161E" w:rsidRDefault="006D09B0" w:rsidP="00DA3538">
            <w:pPr>
              <w:spacing w:line="276" w:lineRule="auto"/>
              <w:jc w:val="both"/>
              <w:rPr>
                <w:rFonts w:ascii="Times New Roman" w:hAnsi="Times New Roman" w:cs="Times New Roman"/>
                <w:sz w:val="24"/>
                <w:szCs w:val="24"/>
              </w:rPr>
            </w:pPr>
          </w:p>
        </w:tc>
        <w:tc>
          <w:tcPr>
            <w:tcW w:w="1284" w:type="dxa"/>
            <w:shd w:val="clear" w:color="auto" w:fill="FFFFFF"/>
          </w:tcPr>
          <w:p w14:paraId="40FE06CC"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Residual</w:t>
            </w:r>
          </w:p>
        </w:tc>
        <w:tc>
          <w:tcPr>
            <w:tcW w:w="1469" w:type="dxa"/>
            <w:shd w:val="clear" w:color="auto" w:fill="FFFFFF"/>
            <w:vAlign w:val="center"/>
          </w:tcPr>
          <w:p w14:paraId="6C57A808"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82.836</w:t>
            </w:r>
          </w:p>
        </w:tc>
        <w:tc>
          <w:tcPr>
            <w:tcW w:w="1010" w:type="dxa"/>
            <w:shd w:val="clear" w:color="auto" w:fill="FFFFFF"/>
            <w:vAlign w:val="center"/>
          </w:tcPr>
          <w:p w14:paraId="79D638A2"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378</w:t>
            </w:r>
          </w:p>
        </w:tc>
        <w:tc>
          <w:tcPr>
            <w:tcW w:w="1408" w:type="dxa"/>
            <w:shd w:val="clear" w:color="auto" w:fill="FFFFFF"/>
            <w:vAlign w:val="center"/>
          </w:tcPr>
          <w:p w14:paraId="2A479743"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.219</w:t>
            </w:r>
          </w:p>
        </w:tc>
        <w:tc>
          <w:tcPr>
            <w:tcW w:w="1010" w:type="dxa"/>
            <w:shd w:val="clear" w:color="auto" w:fill="FFFFFF"/>
            <w:vAlign w:val="center"/>
          </w:tcPr>
          <w:p w14:paraId="1782BB49" w14:textId="77777777" w:rsidR="006D09B0" w:rsidRPr="00FA161E" w:rsidRDefault="006D09B0" w:rsidP="00DA3538">
            <w:pPr>
              <w:spacing w:line="276" w:lineRule="auto"/>
              <w:jc w:val="both"/>
              <w:rPr>
                <w:rFonts w:ascii="Times New Roman" w:hAnsi="Times New Roman" w:cs="Times New Roman"/>
                <w:sz w:val="24"/>
                <w:szCs w:val="24"/>
              </w:rPr>
            </w:pPr>
          </w:p>
        </w:tc>
        <w:tc>
          <w:tcPr>
            <w:tcW w:w="1010" w:type="dxa"/>
            <w:shd w:val="clear" w:color="auto" w:fill="FFFFFF"/>
            <w:vAlign w:val="center"/>
          </w:tcPr>
          <w:p w14:paraId="0D57A01C" w14:textId="77777777" w:rsidR="006D09B0" w:rsidRPr="00FA161E" w:rsidRDefault="006D09B0" w:rsidP="00DA3538">
            <w:pPr>
              <w:spacing w:line="276" w:lineRule="auto"/>
              <w:jc w:val="both"/>
              <w:rPr>
                <w:rFonts w:ascii="Times New Roman" w:hAnsi="Times New Roman" w:cs="Times New Roman"/>
                <w:sz w:val="24"/>
                <w:szCs w:val="24"/>
              </w:rPr>
            </w:pPr>
          </w:p>
        </w:tc>
      </w:tr>
      <w:tr w:rsidR="006D09B0" w:rsidRPr="00FA161E" w14:paraId="01BF01D8" w14:textId="77777777" w:rsidTr="005062BF">
        <w:trPr>
          <w:cantSplit/>
          <w:jc w:val="center"/>
        </w:trPr>
        <w:tc>
          <w:tcPr>
            <w:tcW w:w="823" w:type="dxa"/>
            <w:vMerge/>
            <w:shd w:val="clear" w:color="auto" w:fill="FFFFFF"/>
          </w:tcPr>
          <w:p w14:paraId="00809CF5" w14:textId="77777777" w:rsidR="006D09B0" w:rsidRPr="00FA161E" w:rsidRDefault="006D09B0" w:rsidP="00DA3538">
            <w:pPr>
              <w:spacing w:line="276" w:lineRule="auto"/>
              <w:jc w:val="both"/>
              <w:rPr>
                <w:rFonts w:ascii="Times New Roman" w:hAnsi="Times New Roman" w:cs="Times New Roman"/>
                <w:sz w:val="24"/>
                <w:szCs w:val="24"/>
              </w:rPr>
            </w:pPr>
          </w:p>
        </w:tc>
        <w:tc>
          <w:tcPr>
            <w:tcW w:w="1284" w:type="dxa"/>
            <w:shd w:val="clear" w:color="auto" w:fill="FFFFFF"/>
          </w:tcPr>
          <w:p w14:paraId="61122610"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Total</w:t>
            </w:r>
          </w:p>
        </w:tc>
        <w:tc>
          <w:tcPr>
            <w:tcW w:w="1469" w:type="dxa"/>
            <w:shd w:val="clear" w:color="auto" w:fill="FFFFFF"/>
            <w:vAlign w:val="center"/>
          </w:tcPr>
          <w:p w14:paraId="104B2376"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230.874</w:t>
            </w:r>
          </w:p>
        </w:tc>
        <w:tc>
          <w:tcPr>
            <w:tcW w:w="1010" w:type="dxa"/>
            <w:shd w:val="clear" w:color="auto" w:fill="FFFFFF"/>
            <w:vAlign w:val="center"/>
          </w:tcPr>
          <w:p w14:paraId="2D9C172C"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381</w:t>
            </w:r>
          </w:p>
        </w:tc>
        <w:tc>
          <w:tcPr>
            <w:tcW w:w="1408" w:type="dxa"/>
            <w:shd w:val="clear" w:color="auto" w:fill="FFFFFF"/>
            <w:vAlign w:val="center"/>
          </w:tcPr>
          <w:p w14:paraId="5831BA64" w14:textId="77777777" w:rsidR="006D09B0" w:rsidRPr="00FA161E" w:rsidRDefault="006D09B0" w:rsidP="00DA3538">
            <w:pPr>
              <w:spacing w:line="276" w:lineRule="auto"/>
              <w:jc w:val="both"/>
              <w:rPr>
                <w:rFonts w:ascii="Times New Roman" w:hAnsi="Times New Roman" w:cs="Times New Roman"/>
                <w:sz w:val="24"/>
                <w:szCs w:val="24"/>
              </w:rPr>
            </w:pPr>
          </w:p>
        </w:tc>
        <w:tc>
          <w:tcPr>
            <w:tcW w:w="1010" w:type="dxa"/>
            <w:shd w:val="clear" w:color="auto" w:fill="FFFFFF"/>
            <w:vAlign w:val="center"/>
          </w:tcPr>
          <w:p w14:paraId="06C86C24" w14:textId="77777777" w:rsidR="006D09B0" w:rsidRPr="00FA161E" w:rsidRDefault="006D09B0" w:rsidP="00DA3538">
            <w:pPr>
              <w:spacing w:line="276" w:lineRule="auto"/>
              <w:jc w:val="both"/>
              <w:rPr>
                <w:rFonts w:ascii="Times New Roman" w:hAnsi="Times New Roman" w:cs="Times New Roman"/>
                <w:sz w:val="24"/>
                <w:szCs w:val="24"/>
              </w:rPr>
            </w:pPr>
          </w:p>
        </w:tc>
        <w:tc>
          <w:tcPr>
            <w:tcW w:w="1010" w:type="dxa"/>
            <w:shd w:val="clear" w:color="auto" w:fill="FFFFFF"/>
            <w:vAlign w:val="center"/>
          </w:tcPr>
          <w:p w14:paraId="51E96470" w14:textId="77777777" w:rsidR="006D09B0" w:rsidRPr="00FA161E" w:rsidRDefault="006D09B0" w:rsidP="00DA3538">
            <w:pPr>
              <w:spacing w:line="276" w:lineRule="auto"/>
              <w:jc w:val="both"/>
              <w:rPr>
                <w:rFonts w:ascii="Times New Roman" w:hAnsi="Times New Roman" w:cs="Times New Roman"/>
                <w:sz w:val="24"/>
                <w:szCs w:val="24"/>
              </w:rPr>
            </w:pPr>
          </w:p>
        </w:tc>
      </w:tr>
    </w:tbl>
    <w:p w14:paraId="12D38C88" w14:textId="14938A52"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01B5C74C" w14:textId="77777777" w:rsidR="006D09B0" w:rsidRPr="00FA161E" w:rsidRDefault="006D09B0" w:rsidP="00DA3538">
      <w:pPr>
        <w:spacing w:line="276" w:lineRule="auto"/>
        <w:jc w:val="both"/>
        <w:rPr>
          <w:rFonts w:ascii="Times New Roman" w:hAnsi="Times New Roman" w:cs="Times New Roman"/>
          <w:sz w:val="24"/>
          <w:szCs w:val="24"/>
        </w:rPr>
      </w:pPr>
    </w:p>
    <w:p w14:paraId="3B1C4310"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The ANOVA table presents the overall statistical significance of the regression model. It is used to determine whether the independent variables, as a group, significantly explain the variation in the dependent variable. In other words, the test examines whether at least one of the independent variables has a statistically significant effect on the dependent variable.</w:t>
      </w:r>
    </w:p>
    <w:p w14:paraId="46458BCA" w14:textId="5417E138"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 xml:space="preserve">The significance level (Sig.) is used to evaluate this relationship. In this study, a </w:t>
      </w:r>
      <w:r w:rsidR="00122232" w:rsidRPr="004D3660">
        <w:rPr>
          <w:rFonts w:ascii="Times New Roman" w:hAnsi="Times New Roman" w:cs="Times New Roman"/>
          <w:sz w:val="24"/>
          <w:szCs w:val="24"/>
        </w:rPr>
        <w:t>significant</w:t>
      </w:r>
      <w:r w:rsidRPr="004D3660">
        <w:rPr>
          <w:rFonts w:ascii="Times New Roman" w:hAnsi="Times New Roman" w:cs="Times New Roman"/>
          <w:sz w:val="24"/>
          <w:szCs w:val="24"/>
        </w:rPr>
        <w:t xml:space="preserve"> threshold of 5% (α = 0.05) is applied. Therefore, for the model to be considered statistically significant, the p-value should be lower than 0.05. The results show that the significance value of the model is 0.000, which is less than the threshold level (0.000 &lt; 0.05). This indicates that the regression model is statistically significant and confirms that the independent variables included in the model collectively have a significant influence on the dependent variable.</w:t>
      </w:r>
    </w:p>
    <w:p w14:paraId="5D060C26" w14:textId="23FC84E5"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Table 6. </w:t>
      </w:r>
      <w:r w:rsidR="003D2D8C" w:rsidRPr="00FA161E">
        <w:rPr>
          <w:rFonts w:ascii="Times New Roman" w:hAnsi="Times New Roman" w:cs="Times New Roman"/>
          <w:sz w:val="24"/>
          <w:szCs w:val="24"/>
        </w:rPr>
        <w:t>Coefficients</w:t>
      </w:r>
    </w:p>
    <w:tbl>
      <w:tblPr>
        <w:tblpPr w:leftFromText="180" w:rightFromText="180" w:vertAnchor="text" w:horzAnchor="margin" w:tblpY="291"/>
        <w:tblW w:w="8789"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97"/>
        <w:gridCol w:w="1286"/>
        <w:gridCol w:w="1451"/>
        <w:gridCol w:w="1453"/>
        <w:gridCol w:w="1602"/>
        <w:gridCol w:w="1100"/>
        <w:gridCol w:w="1100"/>
      </w:tblGrid>
      <w:tr w:rsidR="005062BF" w:rsidRPr="00FA161E" w14:paraId="04A6C370" w14:textId="77777777" w:rsidTr="005062BF">
        <w:trPr>
          <w:cantSplit/>
          <w:trHeight w:val="633"/>
        </w:trPr>
        <w:tc>
          <w:tcPr>
            <w:tcW w:w="2083" w:type="dxa"/>
            <w:gridSpan w:val="2"/>
            <w:vMerge w:val="restart"/>
            <w:shd w:val="clear" w:color="auto" w:fill="FFFFFF"/>
            <w:vAlign w:val="bottom"/>
          </w:tcPr>
          <w:p w14:paraId="18203F9B"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lastRenderedPageBreak/>
              <w:t>Model</w:t>
            </w:r>
          </w:p>
        </w:tc>
        <w:tc>
          <w:tcPr>
            <w:tcW w:w="2904" w:type="dxa"/>
            <w:gridSpan w:val="2"/>
            <w:shd w:val="clear" w:color="auto" w:fill="FFFFFF"/>
            <w:vAlign w:val="bottom"/>
          </w:tcPr>
          <w:p w14:paraId="2834E671"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Unstandardized Coefficients</w:t>
            </w:r>
          </w:p>
        </w:tc>
        <w:tc>
          <w:tcPr>
            <w:tcW w:w="1602" w:type="dxa"/>
            <w:shd w:val="clear" w:color="auto" w:fill="FFFFFF"/>
            <w:vAlign w:val="bottom"/>
          </w:tcPr>
          <w:p w14:paraId="10793B52"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Standardized Coefficients</w:t>
            </w:r>
          </w:p>
        </w:tc>
        <w:tc>
          <w:tcPr>
            <w:tcW w:w="1100" w:type="dxa"/>
            <w:vMerge w:val="restart"/>
            <w:shd w:val="clear" w:color="auto" w:fill="FFFFFF"/>
            <w:vAlign w:val="bottom"/>
          </w:tcPr>
          <w:p w14:paraId="15E56A18"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T</w:t>
            </w:r>
          </w:p>
        </w:tc>
        <w:tc>
          <w:tcPr>
            <w:tcW w:w="1100" w:type="dxa"/>
            <w:vMerge w:val="restart"/>
            <w:shd w:val="clear" w:color="auto" w:fill="FFFFFF"/>
            <w:vAlign w:val="bottom"/>
          </w:tcPr>
          <w:p w14:paraId="1D23E221"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Sig.</w:t>
            </w:r>
          </w:p>
        </w:tc>
      </w:tr>
      <w:tr w:rsidR="005062BF" w:rsidRPr="00FA161E" w14:paraId="0572683F" w14:textId="77777777" w:rsidTr="005062BF">
        <w:trPr>
          <w:cantSplit/>
          <w:trHeight w:val="116"/>
        </w:trPr>
        <w:tc>
          <w:tcPr>
            <w:tcW w:w="2083" w:type="dxa"/>
            <w:gridSpan w:val="2"/>
            <w:vMerge/>
            <w:shd w:val="clear" w:color="auto" w:fill="FFFFFF"/>
            <w:vAlign w:val="bottom"/>
          </w:tcPr>
          <w:p w14:paraId="0CA4630D" w14:textId="77777777" w:rsidR="005062BF" w:rsidRPr="00FA161E" w:rsidRDefault="005062BF" w:rsidP="00DA3538">
            <w:pPr>
              <w:spacing w:line="276" w:lineRule="auto"/>
              <w:jc w:val="both"/>
              <w:rPr>
                <w:rFonts w:ascii="Times New Roman" w:hAnsi="Times New Roman" w:cs="Times New Roman"/>
                <w:sz w:val="24"/>
                <w:szCs w:val="24"/>
              </w:rPr>
            </w:pPr>
          </w:p>
        </w:tc>
        <w:tc>
          <w:tcPr>
            <w:tcW w:w="1451" w:type="dxa"/>
            <w:shd w:val="clear" w:color="auto" w:fill="FFFFFF"/>
            <w:vAlign w:val="bottom"/>
          </w:tcPr>
          <w:p w14:paraId="1978A884"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B</w:t>
            </w:r>
          </w:p>
        </w:tc>
        <w:tc>
          <w:tcPr>
            <w:tcW w:w="1453" w:type="dxa"/>
            <w:shd w:val="clear" w:color="auto" w:fill="FFFFFF"/>
            <w:vAlign w:val="bottom"/>
          </w:tcPr>
          <w:p w14:paraId="44E58BAC"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Std. Error</w:t>
            </w:r>
          </w:p>
        </w:tc>
        <w:tc>
          <w:tcPr>
            <w:tcW w:w="1602" w:type="dxa"/>
            <w:shd w:val="clear" w:color="auto" w:fill="FFFFFF"/>
            <w:vAlign w:val="bottom"/>
          </w:tcPr>
          <w:p w14:paraId="352C1668"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Beta</w:t>
            </w:r>
          </w:p>
        </w:tc>
        <w:tc>
          <w:tcPr>
            <w:tcW w:w="1100" w:type="dxa"/>
            <w:vMerge/>
            <w:shd w:val="clear" w:color="auto" w:fill="FFFFFF"/>
            <w:vAlign w:val="bottom"/>
          </w:tcPr>
          <w:p w14:paraId="77647436" w14:textId="77777777" w:rsidR="005062BF" w:rsidRPr="00FA161E" w:rsidRDefault="005062BF" w:rsidP="00DA3538">
            <w:pPr>
              <w:spacing w:line="276" w:lineRule="auto"/>
              <w:jc w:val="both"/>
              <w:rPr>
                <w:rFonts w:ascii="Times New Roman" w:hAnsi="Times New Roman" w:cs="Times New Roman"/>
                <w:sz w:val="24"/>
                <w:szCs w:val="24"/>
              </w:rPr>
            </w:pPr>
          </w:p>
        </w:tc>
        <w:tc>
          <w:tcPr>
            <w:tcW w:w="1100" w:type="dxa"/>
            <w:vMerge/>
            <w:shd w:val="clear" w:color="auto" w:fill="FFFFFF"/>
            <w:vAlign w:val="bottom"/>
          </w:tcPr>
          <w:p w14:paraId="63CB330D" w14:textId="77777777" w:rsidR="005062BF" w:rsidRPr="00FA161E" w:rsidRDefault="005062BF" w:rsidP="00DA3538">
            <w:pPr>
              <w:spacing w:line="276" w:lineRule="auto"/>
              <w:jc w:val="both"/>
              <w:rPr>
                <w:rFonts w:ascii="Times New Roman" w:hAnsi="Times New Roman" w:cs="Times New Roman"/>
                <w:sz w:val="24"/>
                <w:szCs w:val="24"/>
              </w:rPr>
            </w:pPr>
          </w:p>
        </w:tc>
      </w:tr>
      <w:tr w:rsidR="005062BF" w:rsidRPr="00FA161E" w14:paraId="043D4C6F" w14:textId="77777777" w:rsidTr="005062BF">
        <w:trPr>
          <w:cantSplit/>
          <w:trHeight w:val="377"/>
        </w:trPr>
        <w:tc>
          <w:tcPr>
            <w:tcW w:w="797" w:type="dxa"/>
            <w:vMerge w:val="restart"/>
            <w:shd w:val="clear" w:color="auto" w:fill="FFFFFF"/>
          </w:tcPr>
          <w:p w14:paraId="1115E94B"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1</w:t>
            </w:r>
          </w:p>
        </w:tc>
        <w:tc>
          <w:tcPr>
            <w:tcW w:w="1286" w:type="dxa"/>
            <w:shd w:val="clear" w:color="auto" w:fill="FFFFFF"/>
          </w:tcPr>
          <w:p w14:paraId="10A3A2C3"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(Constant)</w:t>
            </w:r>
          </w:p>
        </w:tc>
        <w:tc>
          <w:tcPr>
            <w:tcW w:w="1451" w:type="dxa"/>
            <w:shd w:val="clear" w:color="auto" w:fill="FFFFFF"/>
            <w:vAlign w:val="center"/>
          </w:tcPr>
          <w:p w14:paraId="70A7D560"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.911</w:t>
            </w:r>
          </w:p>
        </w:tc>
        <w:tc>
          <w:tcPr>
            <w:tcW w:w="1453" w:type="dxa"/>
            <w:shd w:val="clear" w:color="auto" w:fill="FFFFFF"/>
            <w:vAlign w:val="center"/>
          </w:tcPr>
          <w:p w14:paraId="71B1A91A"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.106</w:t>
            </w:r>
          </w:p>
        </w:tc>
        <w:tc>
          <w:tcPr>
            <w:tcW w:w="1602" w:type="dxa"/>
            <w:shd w:val="clear" w:color="auto" w:fill="FFFFFF"/>
            <w:vAlign w:val="center"/>
          </w:tcPr>
          <w:p w14:paraId="47B13392" w14:textId="77777777" w:rsidR="005062BF" w:rsidRPr="00FA161E" w:rsidRDefault="005062BF" w:rsidP="00DA3538">
            <w:pPr>
              <w:spacing w:line="276" w:lineRule="auto"/>
              <w:jc w:val="both"/>
              <w:rPr>
                <w:rFonts w:ascii="Times New Roman" w:hAnsi="Times New Roman" w:cs="Times New Roman"/>
                <w:sz w:val="24"/>
                <w:szCs w:val="24"/>
              </w:rPr>
            </w:pPr>
          </w:p>
        </w:tc>
        <w:tc>
          <w:tcPr>
            <w:tcW w:w="1100" w:type="dxa"/>
            <w:shd w:val="clear" w:color="auto" w:fill="FFFFFF"/>
            <w:vAlign w:val="center"/>
          </w:tcPr>
          <w:p w14:paraId="74143BE2"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8.612</w:t>
            </w:r>
          </w:p>
        </w:tc>
        <w:tc>
          <w:tcPr>
            <w:tcW w:w="1100" w:type="dxa"/>
            <w:shd w:val="clear" w:color="auto" w:fill="FFFFFF"/>
            <w:vAlign w:val="center"/>
          </w:tcPr>
          <w:p w14:paraId="474A30C2"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.000</w:t>
            </w:r>
          </w:p>
        </w:tc>
      </w:tr>
      <w:tr w:rsidR="005062BF" w:rsidRPr="00FA161E" w14:paraId="5731DAA9" w14:textId="77777777" w:rsidTr="005062BF">
        <w:trPr>
          <w:cantSplit/>
          <w:trHeight w:val="116"/>
        </w:trPr>
        <w:tc>
          <w:tcPr>
            <w:tcW w:w="797" w:type="dxa"/>
            <w:vMerge/>
            <w:shd w:val="clear" w:color="auto" w:fill="FFFFFF"/>
          </w:tcPr>
          <w:p w14:paraId="3EA9FC84" w14:textId="77777777" w:rsidR="005062BF" w:rsidRPr="00FA161E" w:rsidRDefault="005062BF" w:rsidP="00DA3538">
            <w:pPr>
              <w:spacing w:line="276" w:lineRule="auto"/>
              <w:jc w:val="both"/>
              <w:rPr>
                <w:rFonts w:ascii="Times New Roman" w:hAnsi="Times New Roman" w:cs="Times New Roman"/>
                <w:sz w:val="24"/>
                <w:szCs w:val="24"/>
              </w:rPr>
            </w:pPr>
          </w:p>
        </w:tc>
        <w:tc>
          <w:tcPr>
            <w:tcW w:w="1286" w:type="dxa"/>
            <w:shd w:val="clear" w:color="auto" w:fill="FFFFFF"/>
          </w:tcPr>
          <w:p w14:paraId="1A4924A7"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Knowledge</w:t>
            </w:r>
          </w:p>
        </w:tc>
        <w:tc>
          <w:tcPr>
            <w:tcW w:w="1451" w:type="dxa"/>
            <w:shd w:val="clear" w:color="auto" w:fill="FFFFFF"/>
            <w:vAlign w:val="center"/>
          </w:tcPr>
          <w:p w14:paraId="030FE633"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.189</w:t>
            </w:r>
          </w:p>
        </w:tc>
        <w:tc>
          <w:tcPr>
            <w:tcW w:w="1453" w:type="dxa"/>
            <w:shd w:val="clear" w:color="auto" w:fill="FFFFFF"/>
            <w:vAlign w:val="center"/>
          </w:tcPr>
          <w:p w14:paraId="13FEE99A"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.040</w:t>
            </w:r>
          </w:p>
        </w:tc>
        <w:tc>
          <w:tcPr>
            <w:tcW w:w="1602" w:type="dxa"/>
            <w:shd w:val="clear" w:color="auto" w:fill="FFFFFF"/>
            <w:vAlign w:val="center"/>
          </w:tcPr>
          <w:p w14:paraId="35547FD5"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.204</w:t>
            </w:r>
          </w:p>
        </w:tc>
        <w:tc>
          <w:tcPr>
            <w:tcW w:w="1100" w:type="dxa"/>
            <w:shd w:val="clear" w:color="auto" w:fill="FFFFFF"/>
            <w:vAlign w:val="center"/>
          </w:tcPr>
          <w:p w14:paraId="05B8D26B"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4.768</w:t>
            </w:r>
          </w:p>
        </w:tc>
        <w:tc>
          <w:tcPr>
            <w:tcW w:w="1100" w:type="dxa"/>
            <w:shd w:val="clear" w:color="auto" w:fill="FFFFFF"/>
            <w:vAlign w:val="center"/>
          </w:tcPr>
          <w:p w14:paraId="1E6D03A7"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.000</w:t>
            </w:r>
          </w:p>
        </w:tc>
      </w:tr>
      <w:tr w:rsidR="005062BF" w:rsidRPr="00FA161E" w14:paraId="13C98505" w14:textId="77777777" w:rsidTr="005062BF">
        <w:trPr>
          <w:cantSplit/>
          <w:trHeight w:val="116"/>
        </w:trPr>
        <w:tc>
          <w:tcPr>
            <w:tcW w:w="797" w:type="dxa"/>
            <w:vMerge/>
            <w:shd w:val="clear" w:color="auto" w:fill="FFFFFF"/>
          </w:tcPr>
          <w:p w14:paraId="2E9E59B1" w14:textId="77777777" w:rsidR="005062BF" w:rsidRPr="00FA161E" w:rsidRDefault="005062BF" w:rsidP="00DA3538">
            <w:pPr>
              <w:spacing w:line="276" w:lineRule="auto"/>
              <w:jc w:val="both"/>
              <w:rPr>
                <w:rFonts w:ascii="Times New Roman" w:hAnsi="Times New Roman" w:cs="Times New Roman"/>
                <w:sz w:val="24"/>
                <w:szCs w:val="24"/>
              </w:rPr>
            </w:pPr>
          </w:p>
        </w:tc>
        <w:tc>
          <w:tcPr>
            <w:tcW w:w="1286" w:type="dxa"/>
            <w:shd w:val="clear" w:color="auto" w:fill="FFFFFF"/>
          </w:tcPr>
          <w:p w14:paraId="0BE39C0B"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Financial </w:t>
            </w:r>
            <w:proofErr w:type="spellStart"/>
            <w:r w:rsidRPr="00FA161E">
              <w:rPr>
                <w:rFonts w:ascii="Times New Roman" w:hAnsi="Times New Roman" w:cs="Times New Roman"/>
                <w:sz w:val="24"/>
                <w:szCs w:val="24"/>
              </w:rPr>
              <w:t>Behaviour</w:t>
            </w:r>
            <w:proofErr w:type="spellEnd"/>
          </w:p>
        </w:tc>
        <w:tc>
          <w:tcPr>
            <w:tcW w:w="1451" w:type="dxa"/>
            <w:shd w:val="clear" w:color="auto" w:fill="FFFFFF"/>
            <w:vAlign w:val="center"/>
          </w:tcPr>
          <w:p w14:paraId="35E60313"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.204</w:t>
            </w:r>
          </w:p>
        </w:tc>
        <w:tc>
          <w:tcPr>
            <w:tcW w:w="1453" w:type="dxa"/>
            <w:shd w:val="clear" w:color="auto" w:fill="FFFFFF"/>
            <w:vAlign w:val="center"/>
          </w:tcPr>
          <w:p w14:paraId="5410C8C4"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.052</w:t>
            </w:r>
          </w:p>
        </w:tc>
        <w:tc>
          <w:tcPr>
            <w:tcW w:w="1602" w:type="dxa"/>
            <w:shd w:val="clear" w:color="auto" w:fill="FFFFFF"/>
            <w:vAlign w:val="center"/>
          </w:tcPr>
          <w:p w14:paraId="22F2F161"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.216</w:t>
            </w:r>
          </w:p>
        </w:tc>
        <w:tc>
          <w:tcPr>
            <w:tcW w:w="1100" w:type="dxa"/>
            <w:shd w:val="clear" w:color="auto" w:fill="FFFFFF"/>
            <w:vAlign w:val="center"/>
          </w:tcPr>
          <w:p w14:paraId="5D22D879"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3.912</w:t>
            </w:r>
          </w:p>
        </w:tc>
        <w:tc>
          <w:tcPr>
            <w:tcW w:w="1100" w:type="dxa"/>
            <w:shd w:val="clear" w:color="auto" w:fill="FFFFFF"/>
            <w:vAlign w:val="center"/>
          </w:tcPr>
          <w:p w14:paraId="1CD789AD"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.000</w:t>
            </w:r>
          </w:p>
        </w:tc>
      </w:tr>
      <w:tr w:rsidR="005062BF" w:rsidRPr="00FA161E" w14:paraId="5F7961AD" w14:textId="77777777" w:rsidTr="005062BF">
        <w:trPr>
          <w:cantSplit/>
          <w:trHeight w:val="116"/>
        </w:trPr>
        <w:tc>
          <w:tcPr>
            <w:tcW w:w="797" w:type="dxa"/>
            <w:vMerge/>
            <w:shd w:val="clear" w:color="auto" w:fill="FFFFFF"/>
          </w:tcPr>
          <w:p w14:paraId="3500DC1F" w14:textId="77777777" w:rsidR="005062BF" w:rsidRPr="00FA161E" w:rsidRDefault="005062BF" w:rsidP="00DA3538">
            <w:pPr>
              <w:spacing w:line="276" w:lineRule="auto"/>
              <w:jc w:val="both"/>
              <w:rPr>
                <w:rFonts w:ascii="Times New Roman" w:hAnsi="Times New Roman" w:cs="Times New Roman"/>
                <w:sz w:val="24"/>
                <w:szCs w:val="24"/>
              </w:rPr>
            </w:pPr>
          </w:p>
        </w:tc>
        <w:tc>
          <w:tcPr>
            <w:tcW w:w="1286" w:type="dxa"/>
            <w:shd w:val="clear" w:color="auto" w:fill="FFFFFF"/>
          </w:tcPr>
          <w:p w14:paraId="7D0959CA"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Attitudes</w:t>
            </w:r>
          </w:p>
        </w:tc>
        <w:tc>
          <w:tcPr>
            <w:tcW w:w="1451" w:type="dxa"/>
            <w:shd w:val="clear" w:color="auto" w:fill="FFFFFF"/>
            <w:vAlign w:val="center"/>
          </w:tcPr>
          <w:p w14:paraId="6AC693FD"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.340</w:t>
            </w:r>
          </w:p>
        </w:tc>
        <w:tc>
          <w:tcPr>
            <w:tcW w:w="1453" w:type="dxa"/>
            <w:shd w:val="clear" w:color="auto" w:fill="FFFFFF"/>
            <w:vAlign w:val="center"/>
          </w:tcPr>
          <w:p w14:paraId="5F28499E"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.042</w:t>
            </w:r>
          </w:p>
        </w:tc>
        <w:tc>
          <w:tcPr>
            <w:tcW w:w="1602" w:type="dxa"/>
            <w:shd w:val="clear" w:color="auto" w:fill="FFFFFF"/>
            <w:vAlign w:val="center"/>
          </w:tcPr>
          <w:p w14:paraId="279D2437"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.458</w:t>
            </w:r>
          </w:p>
        </w:tc>
        <w:tc>
          <w:tcPr>
            <w:tcW w:w="1100" w:type="dxa"/>
            <w:shd w:val="clear" w:color="auto" w:fill="FFFFFF"/>
            <w:vAlign w:val="center"/>
          </w:tcPr>
          <w:p w14:paraId="52832872"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8.121</w:t>
            </w:r>
          </w:p>
        </w:tc>
        <w:tc>
          <w:tcPr>
            <w:tcW w:w="1100" w:type="dxa"/>
            <w:shd w:val="clear" w:color="auto" w:fill="FFFFFF"/>
            <w:vAlign w:val="center"/>
          </w:tcPr>
          <w:p w14:paraId="0CB38EC9"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.000</w:t>
            </w:r>
          </w:p>
        </w:tc>
      </w:tr>
    </w:tbl>
    <w:p w14:paraId="24A4B024" w14:textId="77777777" w:rsidR="005062BF" w:rsidRPr="00FA161E" w:rsidRDefault="005062BF" w:rsidP="00DA3538">
      <w:pPr>
        <w:spacing w:line="276" w:lineRule="auto"/>
        <w:jc w:val="both"/>
        <w:rPr>
          <w:rFonts w:ascii="Times New Roman" w:hAnsi="Times New Roman" w:cs="Times New Roman"/>
          <w:sz w:val="24"/>
          <w:szCs w:val="24"/>
        </w:rPr>
      </w:pPr>
    </w:p>
    <w:p w14:paraId="6800D5F1" w14:textId="366EE2FA" w:rsidR="006D09B0"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029FE8B6" w14:textId="77777777" w:rsidR="00516231" w:rsidRPr="00FA161E" w:rsidRDefault="00516231" w:rsidP="00DA3538">
      <w:pPr>
        <w:spacing w:line="276" w:lineRule="auto"/>
        <w:jc w:val="both"/>
        <w:rPr>
          <w:rFonts w:ascii="Times New Roman" w:hAnsi="Times New Roman" w:cs="Times New Roman"/>
          <w:sz w:val="24"/>
          <w:szCs w:val="24"/>
        </w:rPr>
      </w:pPr>
    </w:p>
    <w:p w14:paraId="11E4E4E9" w14:textId="77777777" w:rsidR="00516231" w:rsidRPr="00FA161E" w:rsidRDefault="00516231" w:rsidP="00DA3538">
      <w:pPr>
        <w:spacing w:line="276" w:lineRule="auto"/>
        <w:jc w:val="both"/>
        <w:rPr>
          <w:rFonts w:ascii="Times New Roman" w:hAnsi="Times New Roman" w:cs="Times New Roman"/>
          <w:sz w:val="24"/>
          <w:szCs w:val="24"/>
        </w:rPr>
      </w:pPr>
    </w:p>
    <w:p w14:paraId="2DFF3A94" w14:textId="77777777" w:rsid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Based on the results presented in the table, the individual significance of each independent variable can be determined using the significance (Sig.) values. In this analysis, the independent variables considered are financial knowledge, financial behavior, and financial attitude. The significance values associated with each variable were examined to evaluate their individual impact on customers’ online banking behavior. Accordingly, these results were used to test the hypotheses formulated in the study.</w:t>
      </w:r>
    </w:p>
    <w:p w14:paraId="636ACA61" w14:textId="4D0AAF98" w:rsidR="00997DB3" w:rsidRPr="00FA161E" w:rsidRDefault="00997DB3" w:rsidP="00DA3538">
      <w:pPr>
        <w:spacing w:line="276" w:lineRule="auto"/>
        <w:rPr>
          <w:rFonts w:ascii="Times New Roman" w:hAnsi="Times New Roman" w:cs="Times New Roman"/>
          <w:sz w:val="24"/>
          <w:szCs w:val="24"/>
        </w:rPr>
      </w:pPr>
      <w:r w:rsidRPr="00FA161E">
        <w:rPr>
          <w:rFonts w:ascii="Times New Roman" w:hAnsi="Times New Roman" w:cs="Times New Roman"/>
          <w:sz w:val="24"/>
          <w:szCs w:val="24"/>
        </w:rPr>
        <w:t>H</w:t>
      </w:r>
      <w:r w:rsidRPr="00FA161E">
        <w:rPr>
          <w:rFonts w:ascii="Times New Roman" w:hAnsi="Times New Roman" w:cs="Times New Roman"/>
          <w:sz w:val="24"/>
          <w:szCs w:val="24"/>
          <w:vertAlign w:val="subscript"/>
        </w:rPr>
        <w:t>1</w:t>
      </w:r>
      <w:r w:rsidRPr="00FA161E">
        <w:rPr>
          <w:rFonts w:ascii="Times New Roman" w:hAnsi="Times New Roman" w:cs="Times New Roman"/>
          <w:sz w:val="24"/>
          <w:szCs w:val="24"/>
        </w:rPr>
        <w:t xml:space="preserve">- Financial knowledge has a positive effect on customers' online banking </w:t>
      </w:r>
      <w:proofErr w:type="spellStart"/>
      <w:r w:rsidR="00975507" w:rsidRPr="00FA161E">
        <w:rPr>
          <w:rFonts w:ascii="Times New Roman" w:hAnsi="Times New Roman" w:cs="Times New Roman"/>
          <w:sz w:val="24"/>
          <w:szCs w:val="24"/>
        </w:rPr>
        <w:t>behaviour</w:t>
      </w:r>
      <w:proofErr w:type="spellEnd"/>
    </w:p>
    <w:p w14:paraId="69B6396C"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The significance values presented in the coefficients table indicate the statistical significance of each independent variable. The significance value associated with the variable financial knowledge is 0.000, which is lower than the selected significance level of 0.05 (0.000 &lt; 0.05). Therefore, the null hypothesis stating that financial knowledge has no positive effect on customers’ online banking behavior is rejected. This result indicates that financial knowledge has a statistically significant positive relationship with customers’ online banking behavior.</w:t>
      </w:r>
    </w:p>
    <w:p w14:paraId="0EC5C9C4"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H2: Financial behavior has a positive effect on customers’ online banking behavior.</w:t>
      </w:r>
    </w:p>
    <w:p w14:paraId="54DA1C66" w14:textId="5206CB95"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 xml:space="preserve">According to the regression results, the significance value for financial behavior is also 0.000. Since this value is less than 0.05 (0.000 &lt; 0.05), the null hypothesis is </w:t>
      </w:r>
      <w:r w:rsidR="00122232" w:rsidRPr="004D3660">
        <w:rPr>
          <w:rFonts w:ascii="Times New Roman" w:hAnsi="Times New Roman" w:cs="Times New Roman"/>
          <w:sz w:val="24"/>
          <w:szCs w:val="24"/>
        </w:rPr>
        <w:t>rejected,</w:t>
      </w:r>
      <w:r w:rsidRPr="004D3660">
        <w:rPr>
          <w:rFonts w:ascii="Times New Roman" w:hAnsi="Times New Roman" w:cs="Times New Roman"/>
          <w:sz w:val="24"/>
          <w:szCs w:val="24"/>
        </w:rPr>
        <w:t xml:space="preserve"> and the alternative hypothesis is accepted. This finding confirms that customers’ financial behavior has a significant positive effect on their online banking behavior.</w:t>
      </w:r>
    </w:p>
    <w:p w14:paraId="4E8057BC"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H3: Financial attitudes have a positive effect on customers’ online banking behavior.</w:t>
      </w:r>
    </w:p>
    <w:p w14:paraId="2CB2A99B"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 xml:space="preserve">The significance value related to financial attitudes is 0.000, which is also below the significance threshold of 0.05 (0.000 &lt; 0.05). Therefore, the null hypothesis is rejected. This </w:t>
      </w:r>
      <w:r w:rsidRPr="004D3660">
        <w:rPr>
          <w:rFonts w:ascii="Times New Roman" w:hAnsi="Times New Roman" w:cs="Times New Roman"/>
          <w:sz w:val="24"/>
          <w:szCs w:val="24"/>
        </w:rPr>
        <w:lastRenderedPageBreak/>
        <w:t>indicates that customers’ financial attitudes significantly influence their online banking behavior.</w:t>
      </w:r>
    </w:p>
    <w:p w14:paraId="5D215EC5"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The Unstandardized Coefficients (B) column in the regression output indicates the extent to which the dependent variable changes when an independent variable increases by one unit, while other variables remain constant. The values can be either positive or negative, depending on the direction of the relationship.</w:t>
      </w:r>
    </w:p>
    <w:p w14:paraId="643DA5FF"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The regression results show that all independent variables have a positive effect on customers’ online banking behavior. Specifically, a one-unit increase in financial knowledge leads to an increase of 0.189 units in online banking behavior. Similarly, a one-unit increase in financial behavior results in an increase of 0.204 units in online banking behavior. In addition, a one-unit increase in financial attitudes leads to an increase of 0.340 units in customers’ online banking behavior.</w:t>
      </w:r>
    </w:p>
    <w:p w14:paraId="2C162033"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Based on these coefficients, the regression equation representing the relationship between financial literacy dimensions and customers’ online banking behavior can be formulated.</w:t>
      </w:r>
    </w:p>
    <w:p w14:paraId="2C8B19CD" w14:textId="42CF3884" w:rsidR="00134287" w:rsidRPr="00FA161E" w:rsidRDefault="00134287"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 xml:space="preserve">Y –customers’ online banking </w:t>
      </w:r>
      <w:proofErr w:type="spellStart"/>
      <w:r w:rsidRPr="00FA161E">
        <w:rPr>
          <w:rFonts w:ascii="Times New Roman" w:hAnsi="Times New Roman" w:cs="Times New Roman"/>
          <w:sz w:val="24"/>
          <w:szCs w:val="24"/>
        </w:rPr>
        <w:t>behaviour</w:t>
      </w:r>
      <w:proofErr w:type="spellEnd"/>
    </w:p>
    <w:p w14:paraId="6F69A1EA" w14:textId="4C5F48BF" w:rsidR="00134287" w:rsidRPr="00FA161E" w:rsidRDefault="00134287"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X</w:t>
      </w:r>
      <w:r w:rsidRPr="00FA161E">
        <w:rPr>
          <w:rFonts w:ascii="Times New Roman" w:hAnsi="Times New Roman" w:cs="Times New Roman"/>
          <w:sz w:val="24"/>
          <w:szCs w:val="24"/>
          <w:vertAlign w:val="subscript"/>
        </w:rPr>
        <w:t>1</w:t>
      </w:r>
      <w:r w:rsidRPr="00FA161E">
        <w:rPr>
          <w:rFonts w:ascii="Times New Roman" w:hAnsi="Times New Roman" w:cs="Times New Roman"/>
          <w:sz w:val="24"/>
          <w:szCs w:val="24"/>
        </w:rPr>
        <w:t xml:space="preserve"> – Financial knowledge (K)</w:t>
      </w:r>
    </w:p>
    <w:p w14:paraId="4275830C" w14:textId="76F09F77" w:rsidR="00134287" w:rsidRPr="00FA161E" w:rsidRDefault="00134287"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X</w:t>
      </w:r>
      <w:r w:rsidRPr="00FA161E">
        <w:rPr>
          <w:rFonts w:ascii="Times New Roman" w:hAnsi="Times New Roman" w:cs="Times New Roman"/>
          <w:sz w:val="24"/>
          <w:szCs w:val="24"/>
          <w:vertAlign w:val="subscript"/>
        </w:rPr>
        <w:t xml:space="preserve">2 </w:t>
      </w:r>
      <w:r w:rsidRPr="00FA161E">
        <w:rPr>
          <w:rFonts w:ascii="Times New Roman" w:hAnsi="Times New Roman" w:cs="Times New Roman"/>
          <w:sz w:val="24"/>
          <w:szCs w:val="24"/>
        </w:rPr>
        <w:t xml:space="preserve">– Financial </w:t>
      </w:r>
      <w:proofErr w:type="spellStart"/>
      <w:r w:rsidRPr="00FA161E">
        <w:rPr>
          <w:rFonts w:ascii="Times New Roman" w:hAnsi="Times New Roman" w:cs="Times New Roman"/>
          <w:sz w:val="24"/>
          <w:szCs w:val="24"/>
        </w:rPr>
        <w:t>bahaviour</w:t>
      </w:r>
      <w:proofErr w:type="spellEnd"/>
      <w:r w:rsidRPr="00FA161E">
        <w:rPr>
          <w:rFonts w:ascii="Times New Roman" w:hAnsi="Times New Roman" w:cs="Times New Roman"/>
          <w:sz w:val="24"/>
          <w:szCs w:val="24"/>
        </w:rPr>
        <w:t xml:space="preserve"> (B)</w:t>
      </w:r>
    </w:p>
    <w:p w14:paraId="313132B6" w14:textId="3E8350CE" w:rsidR="00134287" w:rsidRPr="00FA161E" w:rsidRDefault="00134287"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X</w:t>
      </w:r>
      <w:r w:rsidRPr="00FA161E">
        <w:rPr>
          <w:rFonts w:ascii="Times New Roman" w:hAnsi="Times New Roman" w:cs="Times New Roman"/>
          <w:sz w:val="24"/>
          <w:szCs w:val="24"/>
          <w:vertAlign w:val="subscript"/>
        </w:rPr>
        <w:t>3</w:t>
      </w:r>
      <w:r w:rsidRPr="00FA161E">
        <w:rPr>
          <w:rFonts w:ascii="Times New Roman" w:hAnsi="Times New Roman" w:cs="Times New Roman"/>
          <w:sz w:val="24"/>
          <w:szCs w:val="24"/>
        </w:rPr>
        <w:t xml:space="preserve"> – Financial attitudes (A)</w:t>
      </w:r>
    </w:p>
    <w:p w14:paraId="4B406935" w14:textId="13D51018" w:rsidR="00134287" w:rsidRPr="00FA161E" w:rsidRDefault="00134287"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Y = b</w:t>
      </w:r>
      <w:r w:rsidRPr="00FA161E">
        <w:rPr>
          <w:rFonts w:ascii="Times New Roman" w:hAnsi="Times New Roman" w:cs="Times New Roman"/>
          <w:sz w:val="24"/>
          <w:szCs w:val="24"/>
          <w:vertAlign w:val="subscript"/>
        </w:rPr>
        <w:t>0</w:t>
      </w:r>
      <w:r w:rsidRPr="00FA161E">
        <w:rPr>
          <w:rFonts w:ascii="Times New Roman" w:hAnsi="Times New Roman" w:cs="Times New Roman"/>
          <w:sz w:val="24"/>
          <w:szCs w:val="24"/>
        </w:rPr>
        <w:t xml:space="preserve"> + b</w:t>
      </w:r>
      <w:r w:rsidRPr="00FA161E">
        <w:rPr>
          <w:rFonts w:ascii="Times New Roman" w:hAnsi="Times New Roman" w:cs="Times New Roman"/>
          <w:sz w:val="24"/>
          <w:szCs w:val="24"/>
          <w:vertAlign w:val="subscript"/>
        </w:rPr>
        <w:t>1</w:t>
      </w:r>
      <w:r w:rsidRPr="00FA161E">
        <w:rPr>
          <w:rFonts w:ascii="Times New Roman" w:hAnsi="Times New Roman" w:cs="Times New Roman"/>
          <w:sz w:val="24"/>
          <w:szCs w:val="24"/>
        </w:rPr>
        <w:t>X</w:t>
      </w:r>
      <w:r w:rsidRPr="00FA161E">
        <w:rPr>
          <w:rFonts w:ascii="Times New Roman" w:hAnsi="Times New Roman" w:cs="Times New Roman"/>
          <w:sz w:val="24"/>
          <w:szCs w:val="24"/>
          <w:vertAlign w:val="subscript"/>
        </w:rPr>
        <w:t>1</w:t>
      </w:r>
      <w:r w:rsidRPr="00FA161E">
        <w:rPr>
          <w:rFonts w:ascii="Times New Roman" w:hAnsi="Times New Roman" w:cs="Times New Roman"/>
          <w:sz w:val="24"/>
          <w:szCs w:val="24"/>
        </w:rPr>
        <w:t xml:space="preserve"> + b</w:t>
      </w:r>
      <w:r w:rsidRPr="00FA161E">
        <w:rPr>
          <w:rFonts w:ascii="Times New Roman" w:hAnsi="Times New Roman" w:cs="Times New Roman"/>
          <w:sz w:val="24"/>
          <w:szCs w:val="24"/>
          <w:vertAlign w:val="subscript"/>
        </w:rPr>
        <w:t>2</w:t>
      </w:r>
      <w:r w:rsidRPr="00FA161E">
        <w:rPr>
          <w:rFonts w:ascii="Times New Roman" w:hAnsi="Times New Roman" w:cs="Times New Roman"/>
          <w:sz w:val="24"/>
          <w:szCs w:val="24"/>
        </w:rPr>
        <w:t>X</w:t>
      </w:r>
      <w:r w:rsidRPr="00FA161E">
        <w:rPr>
          <w:rFonts w:ascii="Times New Roman" w:hAnsi="Times New Roman" w:cs="Times New Roman"/>
          <w:sz w:val="24"/>
          <w:szCs w:val="24"/>
          <w:vertAlign w:val="subscript"/>
        </w:rPr>
        <w:t>2</w:t>
      </w:r>
      <w:r w:rsidRPr="00FA161E">
        <w:rPr>
          <w:rFonts w:ascii="Times New Roman" w:hAnsi="Times New Roman" w:cs="Times New Roman"/>
          <w:sz w:val="24"/>
          <w:szCs w:val="24"/>
        </w:rPr>
        <w:t xml:space="preserve"> + b</w:t>
      </w:r>
      <w:r w:rsidRPr="00FA161E">
        <w:rPr>
          <w:rFonts w:ascii="Times New Roman" w:hAnsi="Times New Roman" w:cs="Times New Roman"/>
          <w:sz w:val="24"/>
          <w:szCs w:val="24"/>
          <w:vertAlign w:val="subscript"/>
        </w:rPr>
        <w:t>3</w:t>
      </w:r>
      <w:r w:rsidRPr="00FA161E">
        <w:rPr>
          <w:rFonts w:ascii="Times New Roman" w:hAnsi="Times New Roman" w:cs="Times New Roman"/>
          <w:sz w:val="24"/>
          <w:szCs w:val="24"/>
        </w:rPr>
        <w:t>X</w:t>
      </w:r>
      <w:r w:rsidRPr="00FA161E">
        <w:rPr>
          <w:rFonts w:ascii="Times New Roman" w:hAnsi="Times New Roman" w:cs="Times New Roman"/>
          <w:sz w:val="24"/>
          <w:szCs w:val="24"/>
          <w:vertAlign w:val="subscript"/>
        </w:rPr>
        <w:t>3</w:t>
      </w:r>
      <w:r w:rsidRPr="00FA161E">
        <w:rPr>
          <w:rFonts w:ascii="Times New Roman" w:hAnsi="Times New Roman" w:cs="Times New Roman"/>
          <w:sz w:val="24"/>
          <w:szCs w:val="24"/>
        </w:rPr>
        <w:t xml:space="preserve"> </w:t>
      </w:r>
    </w:p>
    <w:p w14:paraId="2D04FE1B" w14:textId="7635175F" w:rsidR="00516231" w:rsidRPr="00FA161E" w:rsidRDefault="00134287" w:rsidP="00DA3538">
      <w:pPr>
        <w:spacing w:before="120" w:after="120" w:line="276" w:lineRule="auto"/>
        <w:jc w:val="both"/>
        <w:rPr>
          <w:rFonts w:ascii="Times New Roman" w:hAnsi="Times New Roman" w:cs="Times New Roman"/>
          <w:sz w:val="24"/>
          <w:szCs w:val="24"/>
        </w:rPr>
      </w:pPr>
      <w:r w:rsidRPr="00FA161E">
        <w:rPr>
          <w:rFonts w:ascii="Times New Roman" w:hAnsi="Times New Roman" w:cs="Times New Roman"/>
          <w:sz w:val="24"/>
          <w:szCs w:val="24"/>
        </w:rPr>
        <w:t>Y = 0</w:t>
      </w:r>
      <w:r w:rsidRPr="00FA161E">
        <w:rPr>
          <w:rFonts w:ascii="Times New Roman" w:hAnsi="Times New Roman" w:cs="Times New Roman"/>
          <w:color w:val="000000"/>
          <w:sz w:val="24"/>
          <w:szCs w:val="24"/>
          <w:lang w:bidi="si-LK"/>
        </w:rPr>
        <w:t>.</w:t>
      </w:r>
      <w:r w:rsidR="00077E20" w:rsidRPr="00FA161E">
        <w:rPr>
          <w:rFonts w:ascii="Times New Roman" w:hAnsi="Times New Roman" w:cs="Times New Roman"/>
          <w:color w:val="000000"/>
          <w:sz w:val="24"/>
          <w:szCs w:val="24"/>
          <w:lang w:bidi="si-LK"/>
        </w:rPr>
        <w:t>911</w:t>
      </w:r>
      <w:r w:rsidRPr="00FA161E">
        <w:rPr>
          <w:rFonts w:ascii="Times New Roman" w:hAnsi="Times New Roman" w:cs="Times New Roman"/>
          <w:sz w:val="24"/>
          <w:szCs w:val="24"/>
        </w:rPr>
        <w:t xml:space="preserve"> + 0</w:t>
      </w:r>
      <w:r w:rsidRPr="00FA161E">
        <w:rPr>
          <w:rFonts w:ascii="Times New Roman" w:hAnsi="Times New Roman" w:cs="Times New Roman"/>
          <w:color w:val="000000"/>
          <w:sz w:val="24"/>
          <w:szCs w:val="24"/>
          <w:lang w:bidi="si-LK"/>
        </w:rPr>
        <w:t>.</w:t>
      </w:r>
      <w:r w:rsidR="00077E20" w:rsidRPr="00FA161E">
        <w:rPr>
          <w:rFonts w:ascii="Times New Roman" w:hAnsi="Times New Roman" w:cs="Times New Roman"/>
          <w:color w:val="000000"/>
          <w:sz w:val="24"/>
          <w:szCs w:val="24"/>
          <w:lang w:bidi="si-LK"/>
        </w:rPr>
        <w:t xml:space="preserve"> 189</w:t>
      </w:r>
      <w:r w:rsidR="00077E20" w:rsidRPr="00FA161E">
        <w:rPr>
          <w:rFonts w:ascii="Times New Roman" w:hAnsi="Times New Roman" w:cs="Times New Roman"/>
          <w:sz w:val="24"/>
          <w:szCs w:val="24"/>
        </w:rPr>
        <w:t>K</w:t>
      </w:r>
      <w:r w:rsidRPr="00FA161E">
        <w:rPr>
          <w:rFonts w:ascii="Times New Roman" w:hAnsi="Times New Roman" w:cs="Times New Roman"/>
          <w:sz w:val="24"/>
          <w:szCs w:val="24"/>
        </w:rPr>
        <w:t xml:space="preserve"> + 0</w:t>
      </w:r>
      <w:r w:rsidRPr="00FA161E">
        <w:rPr>
          <w:rFonts w:ascii="Times New Roman" w:hAnsi="Times New Roman" w:cs="Times New Roman"/>
          <w:color w:val="000000"/>
          <w:sz w:val="24"/>
          <w:szCs w:val="24"/>
          <w:lang w:bidi="si-LK"/>
        </w:rPr>
        <w:t>.</w:t>
      </w:r>
      <w:r w:rsidR="00077E20" w:rsidRPr="00FA161E">
        <w:rPr>
          <w:rFonts w:ascii="Times New Roman" w:hAnsi="Times New Roman" w:cs="Times New Roman"/>
          <w:color w:val="000000"/>
          <w:sz w:val="24"/>
          <w:szCs w:val="24"/>
          <w:lang w:bidi="si-LK"/>
        </w:rPr>
        <w:t xml:space="preserve"> 204</w:t>
      </w:r>
      <w:r w:rsidR="00077E20" w:rsidRPr="00FA161E">
        <w:rPr>
          <w:rFonts w:ascii="Times New Roman" w:hAnsi="Times New Roman" w:cs="Times New Roman"/>
          <w:sz w:val="24"/>
          <w:szCs w:val="24"/>
        </w:rPr>
        <w:t>B</w:t>
      </w:r>
      <w:r w:rsidRPr="00FA161E">
        <w:rPr>
          <w:rFonts w:ascii="Times New Roman" w:hAnsi="Times New Roman" w:cs="Times New Roman"/>
          <w:sz w:val="24"/>
          <w:szCs w:val="24"/>
        </w:rPr>
        <w:t>+ 0</w:t>
      </w:r>
      <w:r w:rsidRPr="00FA161E">
        <w:rPr>
          <w:rFonts w:ascii="Times New Roman" w:hAnsi="Times New Roman" w:cs="Times New Roman"/>
          <w:color w:val="000000"/>
          <w:sz w:val="24"/>
          <w:szCs w:val="24"/>
          <w:lang w:bidi="si-LK"/>
        </w:rPr>
        <w:t>.</w:t>
      </w:r>
      <w:r w:rsidR="00077E20" w:rsidRPr="00FA161E">
        <w:rPr>
          <w:rFonts w:ascii="Times New Roman" w:hAnsi="Times New Roman" w:cs="Times New Roman"/>
          <w:color w:val="000000"/>
          <w:sz w:val="24"/>
          <w:szCs w:val="24"/>
          <w:lang w:bidi="si-LK"/>
        </w:rPr>
        <w:t xml:space="preserve"> 340</w:t>
      </w:r>
      <w:r w:rsidR="00077E20" w:rsidRPr="00FA161E">
        <w:rPr>
          <w:rFonts w:ascii="Times New Roman" w:hAnsi="Times New Roman" w:cs="Times New Roman"/>
          <w:sz w:val="24"/>
          <w:szCs w:val="24"/>
        </w:rPr>
        <w:t>A.</w:t>
      </w:r>
    </w:p>
    <w:p w14:paraId="04696AB6" w14:textId="77777777" w:rsidR="00505061" w:rsidRPr="00FA161E" w:rsidRDefault="00505061" w:rsidP="00DA3538">
      <w:pPr>
        <w:autoSpaceDE w:val="0"/>
        <w:autoSpaceDN w:val="0"/>
        <w:adjustRightInd w:val="0"/>
        <w:spacing w:after="0" w:line="276" w:lineRule="auto"/>
        <w:jc w:val="both"/>
        <w:rPr>
          <w:rFonts w:ascii="Times New Roman" w:hAnsi="Times New Roman" w:cs="Times New Roman"/>
          <w:sz w:val="24"/>
          <w:szCs w:val="24"/>
          <w:lang w:bidi="si-LK"/>
        </w:rPr>
      </w:pPr>
    </w:p>
    <w:p w14:paraId="476EAA59" w14:textId="7D84EAFC" w:rsidR="00505061" w:rsidRPr="00FA161E" w:rsidRDefault="00505061" w:rsidP="00DA3538">
      <w:pPr>
        <w:autoSpaceDE w:val="0"/>
        <w:autoSpaceDN w:val="0"/>
        <w:adjustRightInd w:val="0"/>
        <w:spacing w:after="0" w:line="276" w:lineRule="auto"/>
        <w:jc w:val="both"/>
        <w:rPr>
          <w:rFonts w:ascii="Times New Roman" w:hAnsi="Times New Roman" w:cs="Times New Roman"/>
          <w:sz w:val="24"/>
          <w:szCs w:val="24"/>
          <w:lang w:bidi="si-LK"/>
        </w:rPr>
      </w:pPr>
      <w:r w:rsidRPr="00FA161E">
        <w:rPr>
          <w:rFonts w:ascii="Times New Roman" w:hAnsi="Times New Roman" w:cs="Times New Roman"/>
          <w:sz w:val="24"/>
          <w:szCs w:val="24"/>
          <w:lang w:bidi="si-LK"/>
        </w:rPr>
        <w:t>04.5 Binary logistic regression</w:t>
      </w:r>
    </w:p>
    <w:p w14:paraId="5F5474E4" w14:textId="3CA301E2" w:rsidR="00E76577" w:rsidRPr="00FA161E" w:rsidRDefault="00C81A4E" w:rsidP="00DA3538">
      <w:pPr>
        <w:autoSpaceDE w:val="0"/>
        <w:autoSpaceDN w:val="0"/>
        <w:adjustRightInd w:val="0"/>
        <w:spacing w:after="0" w:line="276" w:lineRule="auto"/>
        <w:jc w:val="both"/>
        <w:rPr>
          <w:rFonts w:ascii="Times New Roman" w:hAnsi="Times New Roman" w:cs="Times New Roman"/>
          <w:sz w:val="24"/>
          <w:szCs w:val="24"/>
          <w:lang w:bidi="si-LK"/>
        </w:rPr>
      </w:pPr>
      <w:r w:rsidRPr="00FA161E">
        <w:rPr>
          <w:rFonts w:ascii="Times New Roman" w:hAnsi="Times New Roman" w:cs="Times New Roman"/>
          <w:sz w:val="24"/>
          <w:szCs w:val="24"/>
          <w:lang w:bidi="si-LK"/>
        </w:rPr>
        <w:t>Based on the collected data a binary logistic regression was conducted to study how financial literacy affects online banking behavior of customers</w:t>
      </w:r>
    </w:p>
    <w:p w14:paraId="1BFDFF62" w14:textId="77777777" w:rsidR="00E51DB7" w:rsidRPr="00FA161E" w:rsidRDefault="00E51DB7" w:rsidP="00DA3538">
      <w:pPr>
        <w:autoSpaceDE w:val="0"/>
        <w:autoSpaceDN w:val="0"/>
        <w:adjustRightInd w:val="0"/>
        <w:spacing w:after="0" w:line="276" w:lineRule="auto"/>
        <w:jc w:val="both"/>
        <w:rPr>
          <w:rFonts w:ascii="Times New Roman" w:hAnsi="Times New Roman" w:cs="Times New Roman"/>
          <w:sz w:val="24"/>
          <w:szCs w:val="24"/>
          <w:lang w:bidi="si-LK"/>
        </w:rPr>
      </w:pPr>
    </w:p>
    <w:p w14:paraId="0860ECFF" w14:textId="58668F95" w:rsidR="00E51DB7" w:rsidRPr="00FA161E" w:rsidRDefault="00E51DB7"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Table 7. </w:t>
      </w:r>
      <w:r w:rsidR="00360A3E" w:rsidRPr="00FA161E">
        <w:rPr>
          <w:rFonts w:ascii="Times New Roman" w:hAnsi="Times New Roman" w:cs="Times New Roman"/>
          <w:color w:val="000000"/>
          <w:sz w:val="24"/>
          <w:szCs w:val="24"/>
          <w:lang w:bidi="si-LK"/>
        </w:rPr>
        <w:t>Dependent Variable Encoding</w:t>
      </w:r>
    </w:p>
    <w:p w14:paraId="368C255C" w14:textId="77777777" w:rsidR="00E76577" w:rsidRPr="00FA161E" w:rsidRDefault="00E76577" w:rsidP="00DA3538">
      <w:pPr>
        <w:spacing w:line="276" w:lineRule="auto"/>
        <w:jc w:val="both"/>
        <w:rPr>
          <w:rFonts w:ascii="Times New Roman" w:hAnsi="Times New Roman" w:cs="Times New Roman"/>
          <w:sz w:val="24"/>
          <w:szCs w:val="24"/>
        </w:rPr>
      </w:pPr>
    </w:p>
    <w:tbl>
      <w:tblPr>
        <w:tblW w:w="3959"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001"/>
        <w:gridCol w:w="1958"/>
      </w:tblGrid>
      <w:tr w:rsidR="002E773E" w:rsidRPr="00FA161E" w14:paraId="34EF5836" w14:textId="77777777" w:rsidTr="005062BF">
        <w:trPr>
          <w:cantSplit/>
          <w:trHeight w:val="532"/>
          <w:jc w:val="center"/>
        </w:trPr>
        <w:tc>
          <w:tcPr>
            <w:tcW w:w="2001" w:type="dxa"/>
            <w:shd w:val="clear" w:color="auto" w:fill="FFFFFF"/>
            <w:vAlign w:val="center"/>
          </w:tcPr>
          <w:p w14:paraId="0DCBCB33" w14:textId="77777777" w:rsidR="002E773E" w:rsidRPr="00FA161E" w:rsidRDefault="002E773E"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Original Value</w:t>
            </w:r>
          </w:p>
        </w:tc>
        <w:tc>
          <w:tcPr>
            <w:tcW w:w="1958" w:type="dxa"/>
            <w:shd w:val="clear" w:color="auto" w:fill="FFFFFF"/>
            <w:vAlign w:val="center"/>
          </w:tcPr>
          <w:p w14:paraId="5E3F1401" w14:textId="77777777" w:rsidR="002E773E" w:rsidRPr="00FA161E" w:rsidRDefault="002E773E"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Internal Value</w:t>
            </w:r>
          </w:p>
        </w:tc>
      </w:tr>
      <w:tr w:rsidR="002E773E" w:rsidRPr="00FA161E" w14:paraId="6395D6C1" w14:textId="77777777" w:rsidTr="005062BF">
        <w:trPr>
          <w:cantSplit/>
          <w:trHeight w:val="266"/>
          <w:jc w:val="center"/>
        </w:trPr>
        <w:tc>
          <w:tcPr>
            <w:tcW w:w="2001" w:type="dxa"/>
            <w:shd w:val="clear" w:color="auto" w:fill="FFFFFF"/>
            <w:vAlign w:val="center"/>
          </w:tcPr>
          <w:p w14:paraId="5D17CE08" w14:textId="77777777" w:rsidR="002E773E" w:rsidRPr="00FA161E" w:rsidRDefault="002E773E"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Law</w:t>
            </w:r>
          </w:p>
        </w:tc>
        <w:tc>
          <w:tcPr>
            <w:tcW w:w="1958" w:type="dxa"/>
            <w:shd w:val="clear" w:color="auto" w:fill="FFFFFF"/>
            <w:vAlign w:val="center"/>
          </w:tcPr>
          <w:p w14:paraId="7547EE82" w14:textId="77777777" w:rsidR="002E773E" w:rsidRPr="00FA161E" w:rsidRDefault="002E773E"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0</w:t>
            </w:r>
          </w:p>
        </w:tc>
      </w:tr>
      <w:tr w:rsidR="002E773E" w:rsidRPr="00FA161E" w14:paraId="6A89C474" w14:textId="77777777" w:rsidTr="005062BF">
        <w:trPr>
          <w:cantSplit/>
          <w:trHeight w:val="253"/>
          <w:jc w:val="center"/>
        </w:trPr>
        <w:tc>
          <w:tcPr>
            <w:tcW w:w="2001" w:type="dxa"/>
            <w:shd w:val="clear" w:color="auto" w:fill="FFFFFF"/>
            <w:vAlign w:val="center"/>
          </w:tcPr>
          <w:p w14:paraId="065C88C0" w14:textId="77777777" w:rsidR="002E773E" w:rsidRPr="00FA161E" w:rsidRDefault="002E773E"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High</w:t>
            </w:r>
          </w:p>
        </w:tc>
        <w:tc>
          <w:tcPr>
            <w:tcW w:w="1958" w:type="dxa"/>
            <w:shd w:val="clear" w:color="auto" w:fill="FFFFFF"/>
            <w:vAlign w:val="center"/>
          </w:tcPr>
          <w:p w14:paraId="26F6F10A" w14:textId="77777777" w:rsidR="002E773E" w:rsidRPr="00FA161E" w:rsidRDefault="002E773E"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1</w:t>
            </w:r>
          </w:p>
        </w:tc>
      </w:tr>
    </w:tbl>
    <w:p w14:paraId="42427C58" w14:textId="28D84DDE" w:rsidR="002E773E" w:rsidRPr="00FA161E" w:rsidRDefault="005062BF" w:rsidP="00DA3538">
      <w:pPr>
        <w:autoSpaceDE w:val="0"/>
        <w:autoSpaceDN w:val="0"/>
        <w:adjustRightInd w:val="0"/>
        <w:spacing w:after="0" w:line="276" w:lineRule="auto"/>
        <w:ind w:left="2160"/>
        <w:jc w:val="both"/>
        <w:rPr>
          <w:rFonts w:ascii="Times New Roman" w:hAnsi="Times New Roman" w:cs="Times New Roman"/>
          <w:sz w:val="24"/>
          <w:szCs w:val="24"/>
        </w:rPr>
      </w:pPr>
      <w:r w:rsidRPr="00FA161E">
        <w:rPr>
          <w:rFonts w:ascii="Times New Roman" w:hAnsi="Times New Roman" w:cs="Times New Roman"/>
          <w:sz w:val="24"/>
          <w:szCs w:val="24"/>
        </w:rPr>
        <w:t>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3A13DB0E" w14:textId="77777777" w:rsidR="00E51DB7" w:rsidRPr="00FA161E" w:rsidRDefault="00E51DB7" w:rsidP="00DA3538">
      <w:pPr>
        <w:autoSpaceDE w:val="0"/>
        <w:autoSpaceDN w:val="0"/>
        <w:adjustRightInd w:val="0"/>
        <w:spacing w:after="0" w:line="276" w:lineRule="auto"/>
        <w:ind w:left="2160"/>
        <w:jc w:val="both"/>
        <w:rPr>
          <w:rFonts w:ascii="Times New Roman" w:hAnsi="Times New Roman" w:cs="Times New Roman"/>
          <w:sz w:val="24"/>
          <w:szCs w:val="24"/>
          <w:lang w:bidi="si-LK"/>
        </w:rPr>
      </w:pPr>
    </w:p>
    <w:p w14:paraId="7A518122" w14:textId="2D7AAF28" w:rsidR="00784E83" w:rsidRPr="00784E83" w:rsidRDefault="00784E83" w:rsidP="00DA3538">
      <w:pPr>
        <w:spacing w:line="276" w:lineRule="auto"/>
        <w:jc w:val="both"/>
        <w:rPr>
          <w:rFonts w:ascii="Times New Roman" w:hAnsi="Times New Roman" w:cs="Times New Roman"/>
          <w:sz w:val="24"/>
          <w:szCs w:val="24"/>
        </w:rPr>
      </w:pPr>
      <w:r w:rsidRPr="00784E83">
        <w:rPr>
          <w:rFonts w:ascii="Times New Roman" w:hAnsi="Times New Roman" w:cs="Times New Roman"/>
          <w:sz w:val="24"/>
          <w:szCs w:val="24"/>
        </w:rPr>
        <w:t xml:space="preserve">This table presents the categorization of the dependent variable used in the study. In this research, customers’ online banking behavior is considered the dependent variable. According to the classification used in the analysis, </w:t>
      </w:r>
      <w:r w:rsidR="00122232" w:rsidRPr="00784E83">
        <w:rPr>
          <w:rFonts w:ascii="Times New Roman" w:hAnsi="Times New Roman" w:cs="Times New Roman"/>
          <w:sz w:val="24"/>
          <w:szCs w:val="24"/>
        </w:rPr>
        <w:t>value</w:t>
      </w:r>
      <w:r w:rsidRPr="00784E83">
        <w:rPr>
          <w:rFonts w:ascii="Times New Roman" w:hAnsi="Times New Roman" w:cs="Times New Roman"/>
          <w:sz w:val="24"/>
          <w:szCs w:val="24"/>
        </w:rPr>
        <w:t xml:space="preserve"> 0 represents a lower level of online banking behavior, while </w:t>
      </w:r>
      <w:r w:rsidR="00122232" w:rsidRPr="00122232">
        <w:rPr>
          <w:rFonts w:ascii="Times New Roman" w:hAnsi="Times New Roman" w:cs="Times New Roman"/>
          <w:sz w:val="24"/>
          <w:szCs w:val="24"/>
        </w:rPr>
        <w:t>value</w:t>
      </w:r>
      <w:r w:rsidRPr="00784E83">
        <w:rPr>
          <w:rFonts w:ascii="Times New Roman" w:hAnsi="Times New Roman" w:cs="Times New Roman"/>
          <w:sz w:val="24"/>
          <w:szCs w:val="24"/>
        </w:rPr>
        <w:t xml:space="preserve"> 1 indicates a higher level of online banking behavior among customers.</w:t>
      </w:r>
    </w:p>
    <w:p w14:paraId="23D3FED9" w14:textId="77777777" w:rsidR="00784E83" w:rsidRPr="00784E83" w:rsidRDefault="00784E83" w:rsidP="00DA3538">
      <w:pPr>
        <w:spacing w:line="276" w:lineRule="auto"/>
        <w:jc w:val="both"/>
        <w:rPr>
          <w:rFonts w:ascii="Times New Roman" w:hAnsi="Times New Roman" w:cs="Times New Roman"/>
          <w:sz w:val="24"/>
          <w:szCs w:val="24"/>
        </w:rPr>
      </w:pPr>
      <w:r w:rsidRPr="00784E83">
        <w:rPr>
          <w:rFonts w:ascii="Times New Roman" w:hAnsi="Times New Roman" w:cs="Times New Roman"/>
          <w:sz w:val="24"/>
          <w:szCs w:val="24"/>
        </w:rPr>
        <w:lastRenderedPageBreak/>
        <w:t xml:space="preserve">The categorization was performed based on the average scores obtained from respondents’ answers to the online banking behavior-related questions. A total of 29 Likert scale questions were used to measure this variable, and the average value of the responses was calculated for each respondent. Based on these average scores, the respondents were categorized into two groups representing lower and higher levels of online banking behavior. According to </w:t>
      </w:r>
      <w:proofErr w:type="spellStart"/>
      <w:r w:rsidRPr="00784E83">
        <w:rPr>
          <w:rFonts w:ascii="Times New Roman" w:hAnsi="Times New Roman" w:cs="Times New Roman"/>
          <w:sz w:val="24"/>
          <w:szCs w:val="24"/>
        </w:rPr>
        <w:t>Jegatheesparan</w:t>
      </w:r>
      <w:proofErr w:type="spellEnd"/>
      <w:r w:rsidRPr="00784E83">
        <w:rPr>
          <w:rFonts w:ascii="Times New Roman" w:hAnsi="Times New Roman" w:cs="Times New Roman"/>
          <w:sz w:val="24"/>
          <w:szCs w:val="24"/>
        </w:rPr>
        <w:t xml:space="preserve"> (2020), the score ranges used to classify online banking behavior are as follows:</w:t>
      </w:r>
    </w:p>
    <w:p w14:paraId="6F5207E8" w14:textId="77777777" w:rsidR="002E773E" w:rsidRPr="00FA161E" w:rsidRDefault="002E773E"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 xml:space="preserve">1.0 ≤ X ≤ 2.5: Lower level online banking usage </w:t>
      </w:r>
    </w:p>
    <w:p w14:paraId="390634F6" w14:textId="77777777" w:rsidR="002E773E" w:rsidRPr="00FA161E" w:rsidRDefault="002E773E"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 xml:space="preserve">2.5 &lt; X ≤ 3.5: Moderate level online banking usage </w:t>
      </w:r>
    </w:p>
    <w:p w14:paraId="3E2A8793" w14:textId="77777777" w:rsidR="002E773E" w:rsidRPr="00FA161E" w:rsidRDefault="002E773E"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 xml:space="preserve">3.5 &lt; X ≤ 5.0: Higher level online banking usage </w:t>
      </w:r>
    </w:p>
    <w:p w14:paraId="009FF3D0" w14:textId="436F1500" w:rsidR="002E773E" w:rsidRPr="00FA161E" w:rsidRDefault="00E5505B"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Based on the above classification, since it is necessary to conduct a binary logistic regression, the </w:t>
      </w:r>
      <w:proofErr w:type="spellStart"/>
      <w:r w:rsidRPr="00FA161E">
        <w:rPr>
          <w:rFonts w:ascii="Times New Roman" w:hAnsi="Times New Roman" w:cs="Times New Roman"/>
          <w:sz w:val="24"/>
          <w:szCs w:val="24"/>
        </w:rPr>
        <w:t>avarege</w:t>
      </w:r>
      <w:proofErr w:type="spellEnd"/>
      <w:r w:rsidRPr="00FA161E">
        <w:rPr>
          <w:rFonts w:ascii="Times New Roman" w:hAnsi="Times New Roman" w:cs="Times New Roman"/>
          <w:sz w:val="24"/>
          <w:szCs w:val="24"/>
        </w:rPr>
        <w:t xml:space="preserve"> value was classified as follows in this research.</w:t>
      </w:r>
    </w:p>
    <w:p w14:paraId="13592B23" w14:textId="77777777" w:rsidR="002E773E" w:rsidRPr="00FA161E" w:rsidRDefault="002E773E"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 xml:space="preserve"> X ≤ 2.5: Lower level online banking behavior</w:t>
      </w:r>
    </w:p>
    <w:p w14:paraId="1613A45B" w14:textId="4AFABC8A" w:rsidR="00E51DB7" w:rsidRDefault="002E773E"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2.6 &lt; X ≤ 5.0: Higher level online banking behavior</w:t>
      </w:r>
    </w:p>
    <w:p w14:paraId="6720B213" w14:textId="1D99C52F" w:rsidR="00E51DB7" w:rsidRPr="00FA161E" w:rsidRDefault="00E51DB7"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Table 8. </w:t>
      </w:r>
      <w:r w:rsidR="00FA161E" w:rsidRPr="00FA161E">
        <w:rPr>
          <w:rFonts w:ascii="Times New Roman" w:hAnsi="Times New Roman" w:cs="Times New Roman"/>
          <w:color w:val="000000"/>
          <w:sz w:val="24"/>
          <w:szCs w:val="24"/>
          <w:lang w:bidi="si-LK"/>
        </w:rPr>
        <w:t>Variables in the Equation</w:t>
      </w:r>
    </w:p>
    <w:p w14:paraId="59B382A7" w14:textId="77777777" w:rsidR="00E51DB7" w:rsidRPr="00FA161E" w:rsidRDefault="00E51DB7" w:rsidP="00DA3538">
      <w:pPr>
        <w:autoSpaceDE w:val="0"/>
        <w:autoSpaceDN w:val="0"/>
        <w:adjustRightInd w:val="0"/>
        <w:spacing w:after="0" w:line="276" w:lineRule="auto"/>
        <w:jc w:val="both"/>
        <w:rPr>
          <w:rFonts w:ascii="Times New Roman" w:hAnsi="Times New Roman" w:cs="Times New Roman"/>
          <w:sz w:val="24"/>
          <w:szCs w:val="24"/>
          <w:lang w:bidi="si-LK"/>
        </w:rPr>
      </w:pPr>
    </w:p>
    <w:tbl>
      <w:tblPr>
        <w:tblW w:w="10412"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828"/>
        <w:gridCol w:w="1534"/>
        <w:gridCol w:w="912"/>
        <w:gridCol w:w="913"/>
        <w:gridCol w:w="913"/>
        <w:gridCol w:w="913"/>
        <w:gridCol w:w="913"/>
        <w:gridCol w:w="1175"/>
        <w:gridCol w:w="982"/>
        <w:gridCol w:w="1329"/>
      </w:tblGrid>
      <w:tr w:rsidR="002D263B" w:rsidRPr="00FA161E" w14:paraId="516D14DF" w14:textId="77777777" w:rsidTr="00FA161E">
        <w:trPr>
          <w:cantSplit/>
          <w:trHeight w:val="314"/>
          <w:jc w:val="center"/>
        </w:trPr>
        <w:tc>
          <w:tcPr>
            <w:tcW w:w="2362" w:type="dxa"/>
            <w:gridSpan w:val="2"/>
            <w:vMerge w:val="restart"/>
            <w:shd w:val="clear" w:color="auto" w:fill="FFFFFF"/>
            <w:vAlign w:val="center"/>
          </w:tcPr>
          <w:p w14:paraId="7C102C3B"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sz w:val="24"/>
                <w:szCs w:val="24"/>
                <w:lang w:bidi="si-LK"/>
              </w:rPr>
            </w:pPr>
          </w:p>
        </w:tc>
        <w:tc>
          <w:tcPr>
            <w:tcW w:w="912" w:type="dxa"/>
            <w:vMerge w:val="restart"/>
            <w:shd w:val="clear" w:color="auto" w:fill="FFFFFF"/>
            <w:vAlign w:val="center"/>
          </w:tcPr>
          <w:p w14:paraId="137DC2EE"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B</w:t>
            </w:r>
          </w:p>
        </w:tc>
        <w:tc>
          <w:tcPr>
            <w:tcW w:w="913" w:type="dxa"/>
            <w:vMerge w:val="restart"/>
            <w:shd w:val="clear" w:color="auto" w:fill="FFFFFF"/>
            <w:vAlign w:val="center"/>
          </w:tcPr>
          <w:p w14:paraId="5AABE2BA"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S.E.</w:t>
            </w:r>
          </w:p>
        </w:tc>
        <w:tc>
          <w:tcPr>
            <w:tcW w:w="913" w:type="dxa"/>
            <w:vMerge w:val="restart"/>
            <w:shd w:val="clear" w:color="auto" w:fill="FFFFFF"/>
            <w:vAlign w:val="center"/>
          </w:tcPr>
          <w:p w14:paraId="0F25D13D"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Wald</w:t>
            </w:r>
          </w:p>
        </w:tc>
        <w:tc>
          <w:tcPr>
            <w:tcW w:w="913" w:type="dxa"/>
            <w:vMerge w:val="restart"/>
            <w:shd w:val="clear" w:color="auto" w:fill="FFFFFF"/>
            <w:vAlign w:val="center"/>
          </w:tcPr>
          <w:p w14:paraId="38D8D891"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df</w:t>
            </w:r>
          </w:p>
        </w:tc>
        <w:tc>
          <w:tcPr>
            <w:tcW w:w="913" w:type="dxa"/>
            <w:vMerge w:val="restart"/>
            <w:shd w:val="clear" w:color="auto" w:fill="FFFFFF"/>
            <w:vAlign w:val="center"/>
          </w:tcPr>
          <w:p w14:paraId="71F9107C"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Sig.</w:t>
            </w:r>
          </w:p>
        </w:tc>
        <w:tc>
          <w:tcPr>
            <w:tcW w:w="1175" w:type="dxa"/>
            <w:vMerge w:val="restart"/>
            <w:shd w:val="clear" w:color="auto" w:fill="FFFFFF"/>
            <w:vAlign w:val="center"/>
          </w:tcPr>
          <w:p w14:paraId="7AFA4EC4"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Exp(B)</w:t>
            </w:r>
          </w:p>
        </w:tc>
        <w:tc>
          <w:tcPr>
            <w:tcW w:w="2311" w:type="dxa"/>
            <w:gridSpan w:val="2"/>
            <w:shd w:val="clear" w:color="auto" w:fill="FFFFFF"/>
            <w:vAlign w:val="center"/>
          </w:tcPr>
          <w:p w14:paraId="6FACC0CB"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 xml:space="preserve">95% </w:t>
            </w:r>
            <w:proofErr w:type="spellStart"/>
            <w:r w:rsidRPr="00FA161E">
              <w:rPr>
                <w:rFonts w:ascii="Times New Roman" w:hAnsi="Times New Roman" w:cs="Times New Roman"/>
                <w:color w:val="000000"/>
                <w:sz w:val="24"/>
                <w:szCs w:val="24"/>
                <w:lang w:bidi="si-LK"/>
              </w:rPr>
              <w:t>C.I.for</w:t>
            </w:r>
            <w:proofErr w:type="spellEnd"/>
            <w:r w:rsidRPr="00FA161E">
              <w:rPr>
                <w:rFonts w:ascii="Times New Roman" w:hAnsi="Times New Roman" w:cs="Times New Roman"/>
                <w:color w:val="000000"/>
                <w:sz w:val="24"/>
                <w:szCs w:val="24"/>
                <w:lang w:bidi="si-LK"/>
              </w:rPr>
              <w:t xml:space="preserve"> EXP(B)</w:t>
            </w:r>
          </w:p>
        </w:tc>
      </w:tr>
      <w:tr w:rsidR="002D263B" w:rsidRPr="00FA161E" w14:paraId="18C51AFB" w14:textId="77777777" w:rsidTr="00FA161E">
        <w:trPr>
          <w:cantSplit/>
          <w:trHeight w:val="359"/>
          <w:jc w:val="center"/>
        </w:trPr>
        <w:tc>
          <w:tcPr>
            <w:tcW w:w="2362" w:type="dxa"/>
            <w:gridSpan w:val="2"/>
            <w:vMerge/>
            <w:shd w:val="clear" w:color="auto" w:fill="FFFFFF"/>
            <w:vAlign w:val="center"/>
          </w:tcPr>
          <w:p w14:paraId="60C682DB"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912" w:type="dxa"/>
            <w:vMerge/>
            <w:shd w:val="clear" w:color="auto" w:fill="FFFFFF"/>
            <w:vAlign w:val="center"/>
          </w:tcPr>
          <w:p w14:paraId="3A96EF37"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913" w:type="dxa"/>
            <w:vMerge/>
            <w:shd w:val="clear" w:color="auto" w:fill="FFFFFF"/>
            <w:vAlign w:val="center"/>
          </w:tcPr>
          <w:p w14:paraId="4B63DAC9"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913" w:type="dxa"/>
            <w:vMerge/>
            <w:shd w:val="clear" w:color="auto" w:fill="FFFFFF"/>
            <w:vAlign w:val="center"/>
          </w:tcPr>
          <w:p w14:paraId="50CD27A3"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913" w:type="dxa"/>
            <w:vMerge/>
            <w:shd w:val="clear" w:color="auto" w:fill="FFFFFF"/>
            <w:vAlign w:val="center"/>
          </w:tcPr>
          <w:p w14:paraId="69767127"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913" w:type="dxa"/>
            <w:vMerge/>
            <w:shd w:val="clear" w:color="auto" w:fill="FFFFFF"/>
            <w:vAlign w:val="center"/>
          </w:tcPr>
          <w:p w14:paraId="7FDFD64E"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1175" w:type="dxa"/>
            <w:vMerge/>
            <w:shd w:val="clear" w:color="auto" w:fill="FFFFFF"/>
            <w:vAlign w:val="center"/>
          </w:tcPr>
          <w:p w14:paraId="492D792E"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982" w:type="dxa"/>
            <w:shd w:val="clear" w:color="auto" w:fill="FFFFFF"/>
            <w:vAlign w:val="center"/>
          </w:tcPr>
          <w:p w14:paraId="708EA383"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Lower</w:t>
            </w:r>
          </w:p>
        </w:tc>
        <w:tc>
          <w:tcPr>
            <w:tcW w:w="1329" w:type="dxa"/>
            <w:shd w:val="clear" w:color="auto" w:fill="FFFFFF"/>
            <w:vAlign w:val="center"/>
          </w:tcPr>
          <w:p w14:paraId="2B23D592"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Upper</w:t>
            </w:r>
          </w:p>
        </w:tc>
      </w:tr>
      <w:tr w:rsidR="002D263B" w:rsidRPr="00FA161E" w14:paraId="115AAE11" w14:textId="77777777" w:rsidTr="00FA161E">
        <w:trPr>
          <w:cantSplit/>
          <w:trHeight w:val="314"/>
          <w:jc w:val="center"/>
        </w:trPr>
        <w:tc>
          <w:tcPr>
            <w:tcW w:w="828" w:type="dxa"/>
            <w:vMerge w:val="restart"/>
            <w:shd w:val="clear" w:color="auto" w:fill="FFFFFF"/>
            <w:vAlign w:val="center"/>
          </w:tcPr>
          <w:p w14:paraId="5CA8D9F6"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Step 1</w:t>
            </w:r>
            <w:r w:rsidRPr="00FA161E">
              <w:rPr>
                <w:rFonts w:ascii="Times New Roman" w:hAnsi="Times New Roman" w:cs="Times New Roman"/>
                <w:color w:val="000000"/>
                <w:sz w:val="24"/>
                <w:szCs w:val="24"/>
                <w:vertAlign w:val="superscript"/>
                <w:lang w:bidi="si-LK"/>
              </w:rPr>
              <w:t>a</w:t>
            </w:r>
          </w:p>
        </w:tc>
        <w:tc>
          <w:tcPr>
            <w:tcW w:w="1534" w:type="dxa"/>
            <w:shd w:val="clear" w:color="auto" w:fill="FFFFFF"/>
            <w:vAlign w:val="center"/>
          </w:tcPr>
          <w:p w14:paraId="54BE96D8"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Financial Literacy</w:t>
            </w:r>
          </w:p>
        </w:tc>
        <w:tc>
          <w:tcPr>
            <w:tcW w:w="912" w:type="dxa"/>
            <w:shd w:val="clear" w:color="auto" w:fill="FFFFFF"/>
            <w:vAlign w:val="center"/>
          </w:tcPr>
          <w:p w14:paraId="2EADCC90"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13.118</w:t>
            </w:r>
          </w:p>
        </w:tc>
        <w:tc>
          <w:tcPr>
            <w:tcW w:w="913" w:type="dxa"/>
            <w:shd w:val="clear" w:color="auto" w:fill="FFFFFF"/>
            <w:vAlign w:val="center"/>
          </w:tcPr>
          <w:p w14:paraId="5C8D7FF6"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2.820</w:t>
            </w:r>
          </w:p>
        </w:tc>
        <w:tc>
          <w:tcPr>
            <w:tcW w:w="913" w:type="dxa"/>
            <w:shd w:val="clear" w:color="auto" w:fill="FFFFFF"/>
            <w:vAlign w:val="center"/>
          </w:tcPr>
          <w:p w14:paraId="3B72DD6E"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21.638</w:t>
            </w:r>
          </w:p>
        </w:tc>
        <w:tc>
          <w:tcPr>
            <w:tcW w:w="913" w:type="dxa"/>
            <w:shd w:val="clear" w:color="auto" w:fill="FFFFFF"/>
            <w:vAlign w:val="center"/>
          </w:tcPr>
          <w:p w14:paraId="40A58F5D"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1</w:t>
            </w:r>
          </w:p>
        </w:tc>
        <w:tc>
          <w:tcPr>
            <w:tcW w:w="913" w:type="dxa"/>
            <w:shd w:val="clear" w:color="auto" w:fill="FFFFFF"/>
            <w:vAlign w:val="center"/>
          </w:tcPr>
          <w:p w14:paraId="2A79CACA"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.000</w:t>
            </w:r>
          </w:p>
        </w:tc>
        <w:tc>
          <w:tcPr>
            <w:tcW w:w="1175" w:type="dxa"/>
            <w:shd w:val="clear" w:color="auto" w:fill="FFFFFF"/>
            <w:vAlign w:val="center"/>
          </w:tcPr>
          <w:p w14:paraId="1D655F5B"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497705.194</w:t>
            </w:r>
          </w:p>
        </w:tc>
        <w:tc>
          <w:tcPr>
            <w:tcW w:w="982" w:type="dxa"/>
            <w:shd w:val="clear" w:color="auto" w:fill="FFFFFF"/>
            <w:vAlign w:val="center"/>
          </w:tcPr>
          <w:p w14:paraId="5507F3D5"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1979.575</w:t>
            </w:r>
          </w:p>
        </w:tc>
        <w:tc>
          <w:tcPr>
            <w:tcW w:w="1329" w:type="dxa"/>
            <w:shd w:val="clear" w:color="auto" w:fill="FFFFFF"/>
            <w:vAlign w:val="center"/>
          </w:tcPr>
          <w:p w14:paraId="2D22210D"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125133180.011</w:t>
            </w:r>
          </w:p>
        </w:tc>
      </w:tr>
      <w:tr w:rsidR="002D263B" w:rsidRPr="00FA161E" w14:paraId="767351B9" w14:textId="77777777" w:rsidTr="00FA161E">
        <w:trPr>
          <w:cantSplit/>
          <w:trHeight w:val="359"/>
          <w:jc w:val="center"/>
        </w:trPr>
        <w:tc>
          <w:tcPr>
            <w:tcW w:w="828" w:type="dxa"/>
            <w:vMerge/>
            <w:shd w:val="clear" w:color="auto" w:fill="FFFFFF"/>
            <w:vAlign w:val="center"/>
          </w:tcPr>
          <w:p w14:paraId="5ED47A72"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1534" w:type="dxa"/>
            <w:shd w:val="clear" w:color="auto" w:fill="FFFFFF"/>
            <w:vAlign w:val="center"/>
          </w:tcPr>
          <w:p w14:paraId="186A5111"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Constant</w:t>
            </w:r>
          </w:p>
        </w:tc>
        <w:tc>
          <w:tcPr>
            <w:tcW w:w="912" w:type="dxa"/>
            <w:shd w:val="clear" w:color="auto" w:fill="FFFFFF"/>
            <w:vAlign w:val="center"/>
          </w:tcPr>
          <w:p w14:paraId="41B4B0FF"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-32.903</w:t>
            </w:r>
          </w:p>
        </w:tc>
        <w:tc>
          <w:tcPr>
            <w:tcW w:w="913" w:type="dxa"/>
            <w:shd w:val="clear" w:color="auto" w:fill="FFFFFF"/>
            <w:vAlign w:val="center"/>
          </w:tcPr>
          <w:p w14:paraId="4BF70CD7"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6.772</w:t>
            </w:r>
          </w:p>
        </w:tc>
        <w:tc>
          <w:tcPr>
            <w:tcW w:w="913" w:type="dxa"/>
            <w:shd w:val="clear" w:color="auto" w:fill="FFFFFF"/>
            <w:vAlign w:val="center"/>
          </w:tcPr>
          <w:p w14:paraId="5FB464A7"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23.605</w:t>
            </w:r>
          </w:p>
        </w:tc>
        <w:tc>
          <w:tcPr>
            <w:tcW w:w="913" w:type="dxa"/>
            <w:shd w:val="clear" w:color="auto" w:fill="FFFFFF"/>
            <w:vAlign w:val="center"/>
          </w:tcPr>
          <w:p w14:paraId="26863EA0"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1</w:t>
            </w:r>
          </w:p>
        </w:tc>
        <w:tc>
          <w:tcPr>
            <w:tcW w:w="913" w:type="dxa"/>
            <w:shd w:val="clear" w:color="auto" w:fill="FFFFFF"/>
            <w:vAlign w:val="center"/>
          </w:tcPr>
          <w:p w14:paraId="071D3F71"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.000</w:t>
            </w:r>
          </w:p>
        </w:tc>
        <w:tc>
          <w:tcPr>
            <w:tcW w:w="1175" w:type="dxa"/>
            <w:shd w:val="clear" w:color="auto" w:fill="FFFFFF"/>
            <w:vAlign w:val="center"/>
          </w:tcPr>
          <w:p w14:paraId="08179830"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.000</w:t>
            </w:r>
          </w:p>
        </w:tc>
        <w:tc>
          <w:tcPr>
            <w:tcW w:w="982" w:type="dxa"/>
            <w:shd w:val="clear" w:color="auto" w:fill="FFFFFF"/>
            <w:vAlign w:val="center"/>
          </w:tcPr>
          <w:p w14:paraId="0C361D84"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sz w:val="24"/>
                <w:szCs w:val="24"/>
                <w:lang w:bidi="si-LK"/>
              </w:rPr>
            </w:pPr>
          </w:p>
        </w:tc>
        <w:tc>
          <w:tcPr>
            <w:tcW w:w="1329" w:type="dxa"/>
            <w:shd w:val="clear" w:color="auto" w:fill="FFFFFF"/>
            <w:vAlign w:val="center"/>
          </w:tcPr>
          <w:p w14:paraId="13170DA6"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sz w:val="24"/>
                <w:szCs w:val="24"/>
                <w:lang w:bidi="si-LK"/>
              </w:rPr>
            </w:pPr>
          </w:p>
        </w:tc>
      </w:tr>
    </w:tbl>
    <w:p w14:paraId="3CEEA8E4" w14:textId="77777777" w:rsidR="002D263B" w:rsidRPr="00FA161E" w:rsidRDefault="002D263B" w:rsidP="00DA3538">
      <w:pPr>
        <w:autoSpaceDE w:val="0"/>
        <w:autoSpaceDN w:val="0"/>
        <w:adjustRightInd w:val="0"/>
        <w:spacing w:after="0" w:line="276" w:lineRule="auto"/>
        <w:jc w:val="both"/>
        <w:rPr>
          <w:rFonts w:ascii="Times New Roman" w:hAnsi="Times New Roman" w:cs="Times New Roman"/>
          <w:sz w:val="24"/>
          <w:szCs w:val="24"/>
          <w:lang w:bidi="si-LK"/>
        </w:rPr>
      </w:pPr>
    </w:p>
    <w:p w14:paraId="116BB39D" w14:textId="047E5C13" w:rsidR="00E51DB7" w:rsidRPr="00FA161E" w:rsidRDefault="00E51DB7"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7D79E78B" w14:textId="77777777" w:rsidR="000C4715" w:rsidRPr="000C4715" w:rsidRDefault="000C4715" w:rsidP="00DA3538">
      <w:pPr>
        <w:spacing w:line="276" w:lineRule="auto"/>
        <w:jc w:val="both"/>
        <w:rPr>
          <w:rFonts w:ascii="Times New Roman" w:hAnsi="Times New Roman" w:cs="Times New Roman"/>
          <w:sz w:val="24"/>
          <w:szCs w:val="24"/>
        </w:rPr>
      </w:pPr>
      <w:r w:rsidRPr="000C4715">
        <w:rPr>
          <w:rFonts w:ascii="Times New Roman" w:hAnsi="Times New Roman" w:cs="Times New Roman"/>
          <w:sz w:val="24"/>
          <w:szCs w:val="24"/>
        </w:rPr>
        <w:t>This table presents the contribution of the independent variable to the model as well as its statistical significance. The Wald test shown in the table is used to determine the statistical significance of each independent variable. The Sig. column represents the probability value associated with this test. According to the results, the independent variable financial literacy is statistically significant (p = 0.000).</w:t>
      </w:r>
    </w:p>
    <w:p w14:paraId="48B4BC8D" w14:textId="77777777" w:rsidR="000C4715" w:rsidRPr="000C4715" w:rsidRDefault="000C4715" w:rsidP="00DA3538">
      <w:pPr>
        <w:spacing w:line="276" w:lineRule="auto"/>
        <w:jc w:val="both"/>
        <w:rPr>
          <w:rFonts w:ascii="Times New Roman" w:hAnsi="Times New Roman" w:cs="Times New Roman"/>
          <w:sz w:val="24"/>
          <w:szCs w:val="24"/>
        </w:rPr>
      </w:pPr>
      <w:r w:rsidRPr="000C4715">
        <w:rPr>
          <w:rFonts w:ascii="Times New Roman" w:hAnsi="Times New Roman" w:cs="Times New Roman"/>
          <w:sz w:val="24"/>
          <w:szCs w:val="24"/>
        </w:rPr>
        <w:t>Based on these results, the hypothesis regarding the relationship between financial literacy and online banking behavior can be tested.</w:t>
      </w:r>
    </w:p>
    <w:p w14:paraId="58B24D34" w14:textId="77777777" w:rsidR="000C4715" w:rsidRPr="000C4715" w:rsidRDefault="000C4715" w:rsidP="00DA3538">
      <w:pPr>
        <w:spacing w:line="276" w:lineRule="auto"/>
        <w:ind w:left="630"/>
        <w:rPr>
          <w:rFonts w:ascii="Times New Roman" w:hAnsi="Times New Roman" w:cs="Times New Roman"/>
          <w:sz w:val="24"/>
          <w:szCs w:val="24"/>
        </w:rPr>
      </w:pPr>
      <w:r w:rsidRPr="000C4715">
        <w:rPr>
          <w:rFonts w:ascii="Times New Roman" w:hAnsi="Times New Roman" w:cs="Times New Roman"/>
          <w:sz w:val="24"/>
          <w:szCs w:val="24"/>
        </w:rPr>
        <w:t>H0a: Customers’ financial literacy does not affect online banking behavior.</w:t>
      </w:r>
      <w:r w:rsidRPr="000C4715">
        <w:rPr>
          <w:rFonts w:ascii="Times New Roman" w:hAnsi="Times New Roman" w:cs="Times New Roman"/>
          <w:sz w:val="24"/>
          <w:szCs w:val="24"/>
        </w:rPr>
        <w:br/>
        <w:t>H1a: Customers’ financial literacy affects online banking behavior.</w:t>
      </w:r>
    </w:p>
    <w:p w14:paraId="4B48B7E1" w14:textId="6A529F47" w:rsidR="000C4715" w:rsidRPr="000C4715" w:rsidRDefault="000C4715" w:rsidP="00DA3538">
      <w:pPr>
        <w:spacing w:line="276" w:lineRule="auto"/>
        <w:jc w:val="both"/>
        <w:rPr>
          <w:rFonts w:ascii="Times New Roman" w:hAnsi="Times New Roman" w:cs="Times New Roman"/>
          <w:sz w:val="24"/>
          <w:szCs w:val="24"/>
        </w:rPr>
      </w:pPr>
      <w:r w:rsidRPr="000C4715">
        <w:rPr>
          <w:rFonts w:ascii="Times New Roman" w:hAnsi="Times New Roman" w:cs="Times New Roman"/>
          <w:sz w:val="24"/>
          <w:szCs w:val="24"/>
        </w:rPr>
        <w:t xml:space="preserve">Since the p-value is less than 0.05, the null hypothesis is </w:t>
      </w:r>
      <w:r w:rsidR="00122232" w:rsidRPr="000C4715">
        <w:rPr>
          <w:rFonts w:ascii="Times New Roman" w:hAnsi="Times New Roman" w:cs="Times New Roman"/>
          <w:sz w:val="24"/>
          <w:szCs w:val="24"/>
        </w:rPr>
        <w:t>rejected,</w:t>
      </w:r>
      <w:r w:rsidRPr="000C4715">
        <w:rPr>
          <w:rFonts w:ascii="Times New Roman" w:hAnsi="Times New Roman" w:cs="Times New Roman"/>
          <w:sz w:val="24"/>
          <w:szCs w:val="24"/>
        </w:rPr>
        <w:t xml:space="preserve"> and the alternative hypothesis is accepted. Therefore, it can be concluded that customers’ financial literacy has a significant effect on their online banking behavior.</w:t>
      </w:r>
    </w:p>
    <w:p w14:paraId="3FC31379" w14:textId="77777777" w:rsidR="000C4715" w:rsidRPr="000C4715" w:rsidRDefault="000C4715" w:rsidP="00DA3538">
      <w:pPr>
        <w:spacing w:line="276" w:lineRule="auto"/>
        <w:jc w:val="both"/>
        <w:rPr>
          <w:rFonts w:ascii="Times New Roman" w:hAnsi="Times New Roman" w:cs="Times New Roman"/>
          <w:sz w:val="24"/>
          <w:szCs w:val="24"/>
        </w:rPr>
      </w:pPr>
      <w:r w:rsidRPr="000C4715">
        <w:rPr>
          <w:rFonts w:ascii="Times New Roman" w:hAnsi="Times New Roman" w:cs="Times New Roman"/>
          <w:sz w:val="24"/>
          <w:szCs w:val="24"/>
        </w:rPr>
        <w:t>The coefficients in the logistic regression model are expressed in log-odds units. The results indicate that a one-unit increase in customers’ financial literacy increases the log-odds of engaging in online banking behavior by 13.118 units.</w:t>
      </w:r>
    </w:p>
    <w:p w14:paraId="39CECF8A" w14:textId="77777777" w:rsidR="000C4715" w:rsidRPr="000C4715" w:rsidRDefault="000C4715" w:rsidP="00DA3538">
      <w:pPr>
        <w:spacing w:line="276" w:lineRule="auto"/>
        <w:jc w:val="both"/>
        <w:rPr>
          <w:rFonts w:ascii="Times New Roman" w:hAnsi="Times New Roman" w:cs="Times New Roman"/>
          <w:sz w:val="24"/>
          <w:szCs w:val="24"/>
        </w:rPr>
      </w:pPr>
      <w:r w:rsidRPr="000C4715">
        <w:rPr>
          <w:rFonts w:ascii="Times New Roman" w:hAnsi="Times New Roman" w:cs="Times New Roman"/>
          <w:sz w:val="24"/>
          <w:szCs w:val="24"/>
        </w:rPr>
        <w:lastRenderedPageBreak/>
        <w:t>In this study, binary logistic regression analysis was conducted to determine whether differences exist in online banking behavior based on customers’ financial literacy levels. The results show that the overall model is statistically significant compared with the null model (p &lt; 0.001). The model explains 95% of the variance in online banking behavior based on the Nagelkerke R² value and correctly classifies 99% of the cases. Furthermore, the independent variable financial literacy is statistically significant (β = 13.118; p = 0.000).</w:t>
      </w:r>
    </w:p>
    <w:p w14:paraId="4DFCBF04" w14:textId="77777777" w:rsidR="000C4715" w:rsidRPr="000C4715" w:rsidRDefault="000C4715" w:rsidP="00DA3538">
      <w:pPr>
        <w:spacing w:line="276" w:lineRule="auto"/>
        <w:jc w:val="both"/>
        <w:rPr>
          <w:rFonts w:ascii="Times New Roman" w:hAnsi="Times New Roman" w:cs="Times New Roman"/>
          <w:sz w:val="24"/>
          <w:szCs w:val="24"/>
        </w:rPr>
      </w:pPr>
      <w:r w:rsidRPr="000C4715">
        <w:rPr>
          <w:rFonts w:ascii="Times New Roman" w:hAnsi="Times New Roman" w:cs="Times New Roman"/>
          <w:sz w:val="24"/>
          <w:szCs w:val="24"/>
        </w:rPr>
        <w:t>Accordingly, the findings indicate that an increase in customers’ financial literacy leads to a higher likelihood of engaging in online banking behavior. Based on these results, the logistic regression equation for the model can be expressed as follows.</w:t>
      </w:r>
    </w:p>
    <w:p w14:paraId="7414142A" w14:textId="77777777" w:rsidR="00671350" w:rsidRPr="00FA161E" w:rsidRDefault="00671350" w:rsidP="00DA3538">
      <w:pPr>
        <w:spacing w:line="276" w:lineRule="auto"/>
        <w:ind w:left="720"/>
        <w:jc w:val="both"/>
        <w:rPr>
          <w:rFonts w:ascii="Times New Roman" w:eastAsiaTheme="minorEastAsia" w:hAnsi="Times New Roman" w:cs="Times New Roman"/>
          <w:sz w:val="24"/>
          <w:szCs w:val="24"/>
        </w:rPr>
      </w:pPr>
      <w:r w:rsidRPr="00FA161E">
        <w:rPr>
          <w:rFonts w:ascii="Times New Roman" w:hAnsi="Times New Roman" w:cs="Times New Roman"/>
          <w:sz w:val="24"/>
          <w:szCs w:val="24"/>
        </w:rPr>
        <w:t xml:space="preserve">Customer online banking </w:t>
      </w:r>
      <w:proofErr w:type="spellStart"/>
      <w:r w:rsidRPr="00FA161E">
        <w:rPr>
          <w:rFonts w:ascii="Times New Roman" w:hAnsi="Times New Roman" w:cs="Times New Roman"/>
          <w:sz w:val="24"/>
          <w:szCs w:val="24"/>
        </w:rPr>
        <w:t>Behaviour</w:t>
      </w:r>
      <w:proofErr w:type="spellEnd"/>
      <w:r w:rsidRPr="00FA161E">
        <w:rPr>
          <w:rFonts w:ascii="Times New Roman" w:hAnsi="Times New Roman" w:cs="Times New Roman"/>
          <w:sz w:val="24"/>
          <w:szCs w:val="24"/>
        </w:rPr>
        <w:t xml:space="preserve"> = Constant </w:t>
      </w:r>
      <m:oMath>
        <m:r>
          <w:rPr>
            <w:rFonts w:ascii="Cambria Math" w:hAnsi="Cambria Math" w:cs="Times New Roman"/>
            <w:sz w:val="24"/>
            <w:szCs w:val="24"/>
          </w:rPr>
          <m:t>±</m:t>
        </m:r>
      </m:oMath>
      <w:r w:rsidRPr="00FA161E">
        <w:rPr>
          <w:rFonts w:ascii="Times New Roman" w:eastAsiaTheme="minorEastAsia" w:hAnsi="Times New Roman" w:cs="Times New Roman"/>
          <w:sz w:val="24"/>
          <w:szCs w:val="24"/>
        </w:rPr>
        <w:t xml:space="preserve"> Financial Literacy</w:t>
      </w:r>
    </w:p>
    <w:p w14:paraId="41568F29" w14:textId="77777777" w:rsidR="00671350" w:rsidRDefault="00671350" w:rsidP="00DA3538">
      <w:pPr>
        <w:spacing w:line="276" w:lineRule="auto"/>
        <w:ind w:left="720"/>
        <w:jc w:val="both"/>
        <w:rPr>
          <w:rFonts w:ascii="Times New Roman" w:hAnsi="Times New Roman" w:cs="Times New Roman"/>
          <w:color w:val="000000"/>
          <w:sz w:val="24"/>
          <w:szCs w:val="24"/>
          <w:lang w:bidi="si-LK"/>
        </w:rPr>
      </w:pPr>
      <w:r w:rsidRPr="00FA161E">
        <w:rPr>
          <w:rFonts w:ascii="Times New Roman" w:hAnsi="Times New Roman" w:cs="Times New Roman"/>
          <w:sz w:val="24"/>
          <w:szCs w:val="24"/>
        </w:rPr>
        <w:t xml:space="preserve">Customer online banking </w:t>
      </w:r>
      <w:proofErr w:type="spellStart"/>
      <w:r w:rsidRPr="00FA161E">
        <w:rPr>
          <w:rFonts w:ascii="Times New Roman" w:hAnsi="Times New Roman" w:cs="Times New Roman"/>
          <w:sz w:val="24"/>
          <w:szCs w:val="24"/>
        </w:rPr>
        <w:t>Behaviour</w:t>
      </w:r>
      <w:proofErr w:type="spellEnd"/>
      <w:r w:rsidRPr="00FA161E">
        <w:rPr>
          <w:rFonts w:ascii="Times New Roman" w:hAnsi="Times New Roman" w:cs="Times New Roman"/>
          <w:sz w:val="24"/>
          <w:szCs w:val="24"/>
        </w:rPr>
        <w:t xml:space="preserve"> = </w:t>
      </w:r>
      <w:r w:rsidRPr="00FA161E">
        <w:rPr>
          <w:rFonts w:ascii="Times New Roman" w:hAnsi="Times New Roman" w:cs="Times New Roman"/>
          <w:color w:val="000000"/>
          <w:sz w:val="24"/>
          <w:szCs w:val="24"/>
          <w:lang w:bidi="si-LK"/>
        </w:rPr>
        <w:t>-32.903 + 13.118</w:t>
      </w:r>
    </w:p>
    <w:p w14:paraId="382224A5" w14:textId="77777777" w:rsidR="00B97AEE" w:rsidRPr="00FA161E" w:rsidRDefault="00B97AEE" w:rsidP="00DA3538">
      <w:pPr>
        <w:spacing w:line="276" w:lineRule="auto"/>
        <w:ind w:left="720"/>
        <w:jc w:val="both"/>
        <w:rPr>
          <w:rFonts w:ascii="Times New Roman" w:hAnsi="Times New Roman" w:cs="Times New Roman"/>
          <w:sz w:val="24"/>
          <w:szCs w:val="24"/>
        </w:rPr>
      </w:pPr>
    </w:p>
    <w:p w14:paraId="4FB94B46" w14:textId="77777777" w:rsidR="008B65EB" w:rsidRPr="00FA161E" w:rsidRDefault="008B65EB" w:rsidP="00DA3538">
      <w:pPr>
        <w:spacing w:line="276" w:lineRule="auto"/>
        <w:jc w:val="both"/>
        <w:rPr>
          <w:rFonts w:ascii="Times New Roman" w:hAnsi="Times New Roman" w:cs="Times New Roman"/>
          <w:sz w:val="24"/>
          <w:szCs w:val="24"/>
        </w:rPr>
      </w:pPr>
    </w:p>
    <w:p w14:paraId="3E24A579" w14:textId="45D2C20F" w:rsidR="008B65EB" w:rsidRPr="00FA161E" w:rsidRDefault="008B65EB" w:rsidP="00DA3538">
      <w:pPr>
        <w:pStyle w:val="ListParagraph"/>
        <w:numPr>
          <w:ilvl w:val="0"/>
          <w:numId w:val="2"/>
        </w:num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Conclusion</w:t>
      </w:r>
    </w:p>
    <w:p w14:paraId="638C70ED" w14:textId="446ACD86" w:rsidR="00E07CD8" w:rsidRPr="00FA161E" w:rsidRDefault="008B65EB"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This study confirms that financial literacy significantly influences </w:t>
      </w:r>
      <w:r w:rsidR="002F0F1D" w:rsidRPr="00FA161E">
        <w:rPr>
          <w:rFonts w:ascii="Times New Roman" w:hAnsi="Times New Roman" w:cs="Times New Roman"/>
          <w:sz w:val="24"/>
          <w:szCs w:val="24"/>
        </w:rPr>
        <w:t>c</w:t>
      </w:r>
      <w:r w:rsidR="002F0F1D">
        <w:rPr>
          <w:rFonts w:ascii="Times New Roman" w:hAnsi="Times New Roman" w:cs="Times New Roman"/>
          <w:sz w:val="24"/>
          <w:szCs w:val="24"/>
        </w:rPr>
        <w:t>ustome</w:t>
      </w:r>
      <w:r w:rsidR="002F0F1D" w:rsidRPr="00FA161E">
        <w:rPr>
          <w:rFonts w:ascii="Times New Roman" w:hAnsi="Times New Roman" w:cs="Times New Roman"/>
          <w:sz w:val="24"/>
          <w:szCs w:val="24"/>
        </w:rPr>
        <w:t>rs</w:t>
      </w:r>
      <w:r w:rsidRPr="00FA161E">
        <w:rPr>
          <w:rFonts w:ascii="Times New Roman" w:hAnsi="Times New Roman" w:cs="Times New Roman"/>
          <w:sz w:val="24"/>
          <w:szCs w:val="24"/>
        </w:rPr>
        <w:t xml:space="preserve">' online banking behavior in the </w:t>
      </w:r>
      <w:proofErr w:type="spellStart"/>
      <w:r w:rsidRPr="00FA161E">
        <w:rPr>
          <w:rFonts w:ascii="Times New Roman" w:hAnsi="Times New Roman" w:cs="Times New Roman"/>
          <w:sz w:val="24"/>
          <w:szCs w:val="24"/>
        </w:rPr>
        <w:t>Balangoda</w:t>
      </w:r>
      <w:proofErr w:type="spellEnd"/>
      <w:r w:rsidRPr="00FA161E">
        <w:rPr>
          <w:rFonts w:ascii="Times New Roman" w:hAnsi="Times New Roman" w:cs="Times New Roman"/>
          <w:sz w:val="24"/>
          <w:szCs w:val="24"/>
        </w:rPr>
        <w:t xml:space="preserve"> Divisional Secretariat Division, Sri Lanka. The findings indicate that higher levels of financial literacy empower individuals to engage more effectively with online banking services. As observed in previous studies (</w:t>
      </w:r>
      <w:proofErr w:type="spellStart"/>
      <w:r w:rsidRPr="00FA161E">
        <w:rPr>
          <w:rFonts w:ascii="Times New Roman" w:hAnsi="Times New Roman" w:cs="Times New Roman"/>
          <w:sz w:val="24"/>
          <w:szCs w:val="24"/>
        </w:rPr>
        <w:t>Andreou</w:t>
      </w:r>
      <w:proofErr w:type="spellEnd"/>
      <w:r w:rsidRPr="00FA161E">
        <w:rPr>
          <w:rFonts w:ascii="Times New Roman" w:hAnsi="Times New Roman" w:cs="Times New Roman"/>
          <w:sz w:val="24"/>
          <w:szCs w:val="24"/>
        </w:rPr>
        <w:t xml:space="preserve"> &amp; </w:t>
      </w:r>
      <w:proofErr w:type="spellStart"/>
      <w:r w:rsidRPr="00FA161E">
        <w:rPr>
          <w:rFonts w:ascii="Times New Roman" w:hAnsi="Times New Roman" w:cs="Times New Roman"/>
          <w:sz w:val="24"/>
          <w:szCs w:val="24"/>
        </w:rPr>
        <w:t>Anyfantaki</w:t>
      </w:r>
      <w:proofErr w:type="spellEnd"/>
      <w:r w:rsidRPr="00FA161E">
        <w:rPr>
          <w:rFonts w:ascii="Times New Roman" w:hAnsi="Times New Roman" w:cs="Times New Roman"/>
          <w:sz w:val="24"/>
          <w:szCs w:val="24"/>
        </w:rPr>
        <w:t>, 20</w:t>
      </w:r>
      <w:r w:rsidR="00EF305C" w:rsidRPr="00FA161E">
        <w:rPr>
          <w:rFonts w:ascii="Times New Roman" w:hAnsi="Times New Roman" w:cs="Times New Roman"/>
          <w:sz w:val="24"/>
          <w:szCs w:val="24"/>
        </w:rPr>
        <w:t>20</w:t>
      </w:r>
      <w:r w:rsidRPr="00FA161E">
        <w:rPr>
          <w:rFonts w:ascii="Times New Roman" w:hAnsi="Times New Roman" w:cs="Times New Roman"/>
          <w:sz w:val="24"/>
          <w:szCs w:val="24"/>
        </w:rPr>
        <w:t xml:space="preserve">), financially literate individuals are better equipped to navigate </w:t>
      </w:r>
      <w:r w:rsidR="00665B13" w:rsidRPr="00FA161E">
        <w:rPr>
          <w:rFonts w:ascii="Times New Roman" w:hAnsi="Times New Roman" w:cs="Times New Roman"/>
          <w:sz w:val="24"/>
          <w:szCs w:val="24"/>
        </w:rPr>
        <w:t>online banking facilities</w:t>
      </w:r>
      <w:r w:rsidRPr="00FA161E">
        <w:rPr>
          <w:rFonts w:ascii="Times New Roman" w:hAnsi="Times New Roman" w:cs="Times New Roman"/>
          <w:sz w:val="24"/>
          <w:szCs w:val="24"/>
        </w:rPr>
        <w:t>, enhancing their ability to manage transactions conveniently and efficiently</w:t>
      </w:r>
      <w:r w:rsidR="002B716B" w:rsidRPr="00FA161E">
        <w:rPr>
          <w:rFonts w:ascii="Times New Roman" w:hAnsi="Times New Roman" w:cs="Times New Roman"/>
          <w:sz w:val="24"/>
          <w:szCs w:val="24"/>
        </w:rPr>
        <w:t xml:space="preserve">. </w:t>
      </w:r>
    </w:p>
    <w:p w14:paraId="12E92D63" w14:textId="195F35C0" w:rsidR="00CE6D09" w:rsidRPr="00FA161E" w:rsidRDefault="00CE6D09"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According to the research results, it is clear that there is a positive relationship with the dependent variable, financial knowledge, financial behavior, and financial attitudes, which were used as independent variables in the multiple linear regression analysis. Accordingly, it is important to take measures to directly increase the financial knowledge, behavior, and attitudes of customers in situations where it is expected to increase the </w:t>
      </w:r>
      <w:proofErr w:type="spellStart"/>
      <w:r w:rsidRPr="00FA161E">
        <w:rPr>
          <w:rFonts w:ascii="Times New Roman" w:hAnsi="Times New Roman" w:cs="Times New Roman"/>
          <w:sz w:val="24"/>
          <w:szCs w:val="24"/>
        </w:rPr>
        <w:t>bahaviour</w:t>
      </w:r>
      <w:proofErr w:type="spellEnd"/>
      <w:r w:rsidRPr="00FA161E">
        <w:rPr>
          <w:rFonts w:ascii="Times New Roman" w:hAnsi="Times New Roman" w:cs="Times New Roman"/>
          <w:sz w:val="24"/>
          <w:szCs w:val="24"/>
        </w:rPr>
        <w:t xml:space="preserve"> of online banking by customers. Also, the results of the binary logistic regression analysis show that an increase in financial literacy leads to a significant improvement in the use of online banking and reflects a strong positive relationship between the two variables. Hence, it is clear that the impact of the components of financial literacy, financial knowledge, behavior, and attitudes on the online banking behavior of customers individually or when it is considered as a whole as financial literacy, has a high positive impact. </w:t>
      </w:r>
    </w:p>
    <w:p w14:paraId="1D0260A9" w14:textId="31422C50" w:rsidR="008B65EB" w:rsidRPr="00FA161E" w:rsidRDefault="008B65EB"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This study contributes to the literature by addressing a key research gap</w:t>
      </w:r>
      <w:r w:rsidR="00D70946" w:rsidRPr="00FA161E">
        <w:rPr>
          <w:rFonts w:ascii="Times New Roman" w:hAnsi="Times New Roman" w:cs="Times New Roman"/>
          <w:sz w:val="24"/>
          <w:szCs w:val="24"/>
        </w:rPr>
        <w:t xml:space="preserve"> </w:t>
      </w:r>
      <w:r w:rsidRPr="00FA161E">
        <w:rPr>
          <w:rFonts w:ascii="Times New Roman" w:hAnsi="Times New Roman" w:cs="Times New Roman"/>
          <w:sz w:val="24"/>
          <w:szCs w:val="24"/>
        </w:rPr>
        <w:t>how financial literacy affects online banking behavior</w:t>
      </w:r>
      <w:r w:rsidR="0047479A" w:rsidRPr="00FA161E">
        <w:rPr>
          <w:rFonts w:ascii="Times New Roman" w:hAnsi="Times New Roman" w:cs="Times New Roman"/>
          <w:sz w:val="24"/>
          <w:szCs w:val="24"/>
        </w:rPr>
        <w:t xml:space="preserve">. </w:t>
      </w:r>
      <w:proofErr w:type="spellStart"/>
      <w:r w:rsidRPr="00FA161E">
        <w:rPr>
          <w:rFonts w:ascii="Times New Roman" w:hAnsi="Times New Roman" w:cs="Times New Roman"/>
          <w:sz w:val="24"/>
          <w:szCs w:val="24"/>
        </w:rPr>
        <w:t>Balangoda</w:t>
      </w:r>
      <w:proofErr w:type="spellEnd"/>
      <w:r w:rsidRPr="00FA161E">
        <w:rPr>
          <w:rFonts w:ascii="Times New Roman" w:hAnsi="Times New Roman" w:cs="Times New Roman"/>
          <w:sz w:val="24"/>
          <w:szCs w:val="24"/>
        </w:rPr>
        <w:t>, with its steady but slower technological development, represents a region where financial literacy can play a transformative role in increasing the use of digital financial services. For banks, the research emphasizes the importance of developing educational programs to increase awareness and comfort with online banking platforms (Gautam &amp; Devkota, 2020</w:t>
      </w:r>
      <w:r w:rsidR="002B716B" w:rsidRPr="00FA161E">
        <w:rPr>
          <w:rFonts w:ascii="Times New Roman" w:hAnsi="Times New Roman" w:cs="Times New Roman"/>
          <w:sz w:val="24"/>
          <w:szCs w:val="24"/>
        </w:rPr>
        <w:t>)</w:t>
      </w:r>
      <w:r w:rsidRPr="00FA161E">
        <w:rPr>
          <w:rFonts w:ascii="Times New Roman" w:hAnsi="Times New Roman" w:cs="Times New Roman"/>
          <w:sz w:val="24"/>
          <w:szCs w:val="24"/>
        </w:rPr>
        <w:t>. For policymakers, the results provide valuable evidence to guide efforts toward enhancing financial inclusion through literacy programs aligned with national goals (OECD, 2018)​</w:t>
      </w:r>
      <w:r w:rsidR="002B716B" w:rsidRPr="00FA161E">
        <w:rPr>
          <w:rFonts w:ascii="Times New Roman" w:hAnsi="Times New Roman" w:cs="Times New Roman"/>
          <w:sz w:val="24"/>
          <w:szCs w:val="24"/>
        </w:rPr>
        <w:t>.</w:t>
      </w:r>
    </w:p>
    <w:p w14:paraId="7F42FED8" w14:textId="224A4C3B" w:rsidR="008B65EB" w:rsidRDefault="00D70946"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lastRenderedPageBreak/>
        <w:t xml:space="preserve">Also, </w:t>
      </w:r>
      <w:r w:rsidR="00A84DDF" w:rsidRPr="00FA161E">
        <w:rPr>
          <w:rFonts w:ascii="Times New Roman" w:hAnsi="Times New Roman" w:cs="Times New Roman"/>
          <w:sz w:val="24"/>
          <w:szCs w:val="24"/>
        </w:rPr>
        <w:t>these findings</w:t>
      </w:r>
      <w:r w:rsidR="008B65EB" w:rsidRPr="00FA161E">
        <w:rPr>
          <w:rFonts w:ascii="Times New Roman" w:hAnsi="Times New Roman" w:cs="Times New Roman"/>
          <w:sz w:val="24"/>
          <w:szCs w:val="24"/>
        </w:rPr>
        <w:t xml:space="preserve"> demonstrate that promoting financial literacy is essential to drive the adoption of online banking and achieve broader financial inclusion in Sri Lanka. By empowering </w:t>
      </w:r>
      <w:r w:rsidR="002F0F1D" w:rsidRPr="00FA161E">
        <w:rPr>
          <w:rFonts w:ascii="Times New Roman" w:hAnsi="Times New Roman" w:cs="Times New Roman"/>
          <w:sz w:val="24"/>
          <w:szCs w:val="24"/>
        </w:rPr>
        <w:t>c</w:t>
      </w:r>
      <w:r w:rsidR="002F0F1D">
        <w:rPr>
          <w:rFonts w:ascii="Times New Roman" w:hAnsi="Times New Roman" w:cs="Times New Roman"/>
          <w:sz w:val="24"/>
          <w:szCs w:val="24"/>
        </w:rPr>
        <w:t>ustome</w:t>
      </w:r>
      <w:r w:rsidR="002F0F1D" w:rsidRPr="00FA161E">
        <w:rPr>
          <w:rFonts w:ascii="Times New Roman" w:hAnsi="Times New Roman" w:cs="Times New Roman"/>
          <w:sz w:val="24"/>
          <w:szCs w:val="24"/>
        </w:rPr>
        <w:t xml:space="preserve">rs </w:t>
      </w:r>
      <w:r w:rsidR="008B65EB" w:rsidRPr="00FA161E">
        <w:rPr>
          <w:rFonts w:ascii="Times New Roman" w:hAnsi="Times New Roman" w:cs="Times New Roman"/>
          <w:sz w:val="24"/>
          <w:szCs w:val="24"/>
        </w:rPr>
        <w:t xml:space="preserve">to make informed financial decisions, banks can improve service accessibility, reduce operational costs, and enhance customer satisfaction. Ultimately, increasing financial literacy will not only expand the usage of </w:t>
      </w:r>
      <w:r w:rsidR="00B5656A" w:rsidRPr="00FA161E">
        <w:rPr>
          <w:rFonts w:ascii="Times New Roman" w:hAnsi="Times New Roman" w:cs="Times New Roman"/>
          <w:sz w:val="24"/>
          <w:szCs w:val="24"/>
        </w:rPr>
        <w:t>online banking facilities</w:t>
      </w:r>
      <w:r w:rsidR="008B65EB" w:rsidRPr="00FA161E">
        <w:rPr>
          <w:rFonts w:ascii="Times New Roman" w:hAnsi="Times New Roman" w:cs="Times New Roman"/>
          <w:sz w:val="24"/>
          <w:szCs w:val="24"/>
        </w:rPr>
        <w:t xml:space="preserve"> but also contribute to creating a financially inclusive society in Sri Lanka, where individuals from all regions and demographics can benefit from online banking.</w:t>
      </w:r>
    </w:p>
    <w:p w14:paraId="4974F975" w14:textId="77777777" w:rsidR="00D96C9F" w:rsidRPr="00D96C9F" w:rsidRDefault="00D96C9F" w:rsidP="00D96C9F">
      <w:pPr>
        <w:spacing w:line="276" w:lineRule="auto"/>
        <w:jc w:val="both"/>
        <w:rPr>
          <w:rFonts w:ascii="Times New Roman" w:hAnsi="Times New Roman" w:cs="Times New Roman"/>
          <w:sz w:val="24"/>
          <w:szCs w:val="24"/>
        </w:rPr>
      </w:pPr>
      <w:r w:rsidRPr="00D96C9F">
        <w:rPr>
          <w:rFonts w:ascii="Times New Roman" w:hAnsi="Times New Roman" w:cs="Times New Roman"/>
          <w:sz w:val="24"/>
          <w:szCs w:val="24"/>
        </w:rPr>
        <w:t>COMPETING INTERESTS DISCLAIMER:</w:t>
      </w:r>
    </w:p>
    <w:p w14:paraId="2792CBA8" w14:textId="77777777" w:rsidR="00D96C9F" w:rsidRPr="00D96C9F" w:rsidRDefault="00D96C9F" w:rsidP="00D96C9F">
      <w:pPr>
        <w:spacing w:line="276" w:lineRule="auto"/>
        <w:jc w:val="both"/>
        <w:rPr>
          <w:rFonts w:ascii="Times New Roman" w:hAnsi="Times New Roman" w:cs="Times New Roman"/>
          <w:sz w:val="24"/>
          <w:szCs w:val="24"/>
        </w:rPr>
      </w:pPr>
      <w:r w:rsidRPr="00D96C9F">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59BB0D1" w14:textId="77777777" w:rsidR="00D96C9F" w:rsidRPr="00D96C9F" w:rsidRDefault="00D96C9F" w:rsidP="00D96C9F">
      <w:pPr>
        <w:spacing w:line="276" w:lineRule="auto"/>
        <w:jc w:val="both"/>
        <w:rPr>
          <w:rFonts w:ascii="Times New Roman" w:hAnsi="Times New Roman" w:cs="Times New Roman"/>
          <w:sz w:val="24"/>
          <w:szCs w:val="24"/>
        </w:rPr>
      </w:pPr>
    </w:p>
    <w:p w14:paraId="525FF23F" w14:textId="77777777" w:rsidR="00CD7007" w:rsidRPr="00A428E0" w:rsidRDefault="00CD7007" w:rsidP="00CD7007">
      <w:pPr>
        <w:spacing w:after="0" w:line="240" w:lineRule="auto"/>
        <w:rPr>
          <w:rFonts w:ascii="Arial" w:eastAsia="Calibri" w:hAnsi="Arial" w:cs="Arial"/>
          <w:b/>
        </w:rPr>
      </w:pPr>
      <w:r w:rsidRPr="00A428E0">
        <w:rPr>
          <w:rFonts w:ascii="Arial" w:eastAsia="Calibri" w:hAnsi="Arial" w:cs="Arial"/>
          <w:b/>
        </w:rPr>
        <w:t>Disclaimer (Artificial intelligence)</w:t>
      </w:r>
    </w:p>
    <w:p w14:paraId="793F48D3" w14:textId="45DD4CA1" w:rsidR="00894210" w:rsidRPr="00894210" w:rsidRDefault="00CD7007" w:rsidP="00CD7007">
      <w:pPr>
        <w:spacing w:after="0" w:line="240" w:lineRule="auto"/>
        <w:rPr>
          <w:rFonts w:ascii="Arial" w:eastAsia="Calibri" w:hAnsi="Arial" w:cs="Arial"/>
        </w:rPr>
      </w:pPr>
      <w:r w:rsidRPr="00CD7007">
        <w:rPr>
          <w:rFonts w:ascii="Arial" w:eastAsia="Calibri" w:hAnsi="Arial" w:cs="Arial"/>
        </w:rPr>
        <w:t>Author(s) hereby declare that NO generative AI technologies such as Large Language Models (</w:t>
      </w:r>
      <w:proofErr w:type="spellStart"/>
      <w:r w:rsidRPr="00CD7007">
        <w:rPr>
          <w:rFonts w:ascii="Arial" w:eastAsia="Calibri" w:hAnsi="Arial" w:cs="Arial"/>
        </w:rPr>
        <w:t>ChatGPT</w:t>
      </w:r>
      <w:proofErr w:type="spellEnd"/>
      <w:r w:rsidRPr="00CD7007">
        <w:rPr>
          <w:rFonts w:ascii="Arial" w:eastAsia="Calibri" w:hAnsi="Arial" w:cs="Arial"/>
        </w:rPr>
        <w:t>, COPILOT, etc.) and text-to-image generators have been used during the writing or editing of this manuscript.</w:t>
      </w:r>
    </w:p>
    <w:p w14:paraId="0BD9C895" w14:textId="77777777" w:rsidR="00894210" w:rsidRPr="00894210" w:rsidRDefault="00894210" w:rsidP="00894210">
      <w:pPr>
        <w:spacing w:after="0" w:line="240" w:lineRule="auto"/>
        <w:rPr>
          <w:rFonts w:ascii="Arial" w:eastAsia="Calibri" w:hAnsi="Arial" w:cs="Arial"/>
        </w:rPr>
      </w:pPr>
    </w:p>
    <w:p w14:paraId="42D82C6E" w14:textId="77777777" w:rsidR="008B65EB" w:rsidRPr="00FA161E" w:rsidRDefault="008B65EB" w:rsidP="00DA3538">
      <w:pPr>
        <w:spacing w:line="276" w:lineRule="auto"/>
        <w:jc w:val="both"/>
        <w:rPr>
          <w:rFonts w:ascii="Times New Roman" w:hAnsi="Times New Roman" w:cs="Times New Roman"/>
          <w:sz w:val="24"/>
          <w:szCs w:val="24"/>
        </w:rPr>
      </w:pPr>
    </w:p>
    <w:p w14:paraId="57501DD6" w14:textId="187076BC" w:rsidR="002E773E" w:rsidRPr="00FA161E" w:rsidRDefault="0035724C" w:rsidP="00DA3538">
      <w:p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References</w:t>
      </w:r>
    </w:p>
    <w:p w14:paraId="0B75677A"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Abubakar, M., Zailani, B. M., Muhammad, A., &amp; Auwal, A. M. (2021). Potential of adopting a resilient safety culture toward improving the safety performance of construction organizations in Nigeria. </w:t>
      </w:r>
      <w:r w:rsidRPr="00FA161E">
        <w:rPr>
          <w:rFonts w:ascii="Times New Roman" w:hAnsi="Times New Roman" w:cs="Times New Roman"/>
          <w:i/>
          <w:iCs/>
          <w:sz w:val="24"/>
          <w:szCs w:val="24"/>
        </w:rPr>
        <w:t>Journal of Engineering, Design and Technology</w:t>
      </w:r>
      <w:r w:rsidRPr="00FA161E">
        <w:rPr>
          <w:rFonts w:ascii="Times New Roman" w:hAnsi="Times New Roman" w:cs="Times New Roman"/>
          <w:sz w:val="24"/>
          <w:szCs w:val="24"/>
        </w:rPr>
        <w:t xml:space="preserve">. </w:t>
      </w:r>
      <w:hyperlink r:id="rId7" w:tgtFrame="_new" w:history="1">
        <w:r w:rsidRPr="00FA161E">
          <w:rPr>
            <w:rStyle w:val="Hyperlink"/>
            <w:rFonts w:ascii="Times New Roman" w:hAnsi="Times New Roman" w:cs="Times New Roman"/>
            <w:sz w:val="24"/>
            <w:szCs w:val="24"/>
          </w:rPr>
          <w:t>https://doi.org/10.1108/JEDT-09-2020-0354</w:t>
        </w:r>
      </w:hyperlink>
    </w:p>
    <w:p w14:paraId="320F62FA" w14:textId="77777777" w:rsidR="0035724C" w:rsidRPr="00FA161E" w:rsidRDefault="0035724C" w:rsidP="00DA3538">
      <w:pPr>
        <w:spacing w:line="276" w:lineRule="auto"/>
        <w:ind w:left="720" w:hanging="360"/>
        <w:jc w:val="both"/>
        <w:rPr>
          <w:rFonts w:ascii="Times New Roman" w:hAnsi="Times New Roman" w:cs="Times New Roman"/>
          <w:sz w:val="24"/>
          <w:szCs w:val="24"/>
        </w:rPr>
      </w:pPr>
      <w:proofErr w:type="spellStart"/>
      <w:r w:rsidRPr="00FA161E">
        <w:rPr>
          <w:rFonts w:ascii="Times New Roman" w:hAnsi="Times New Roman" w:cs="Times New Roman"/>
          <w:sz w:val="24"/>
          <w:szCs w:val="24"/>
        </w:rPr>
        <w:t>Agabalinda</w:t>
      </w:r>
      <w:proofErr w:type="spellEnd"/>
      <w:r w:rsidRPr="00FA161E">
        <w:rPr>
          <w:rFonts w:ascii="Times New Roman" w:hAnsi="Times New Roman" w:cs="Times New Roman"/>
          <w:sz w:val="24"/>
          <w:szCs w:val="24"/>
        </w:rPr>
        <w:t xml:space="preserve">, C., &amp; </w:t>
      </w:r>
      <w:proofErr w:type="spellStart"/>
      <w:r w:rsidRPr="00FA161E">
        <w:rPr>
          <w:rFonts w:ascii="Times New Roman" w:hAnsi="Times New Roman" w:cs="Times New Roman"/>
          <w:sz w:val="24"/>
          <w:szCs w:val="24"/>
        </w:rPr>
        <w:t>Ndi</w:t>
      </w:r>
      <w:proofErr w:type="spellEnd"/>
      <w:r w:rsidRPr="00FA161E">
        <w:rPr>
          <w:rFonts w:ascii="Times New Roman" w:hAnsi="Times New Roman" w:cs="Times New Roman"/>
          <w:sz w:val="24"/>
          <w:szCs w:val="24"/>
        </w:rPr>
        <w:t xml:space="preserve"> </w:t>
      </w:r>
      <w:proofErr w:type="spellStart"/>
      <w:r w:rsidRPr="00FA161E">
        <w:rPr>
          <w:rFonts w:ascii="Times New Roman" w:hAnsi="Times New Roman" w:cs="Times New Roman"/>
          <w:sz w:val="24"/>
          <w:szCs w:val="24"/>
        </w:rPr>
        <w:t>Isoh</w:t>
      </w:r>
      <w:proofErr w:type="spellEnd"/>
      <w:r w:rsidRPr="00FA161E">
        <w:rPr>
          <w:rFonts w:ascii="Times New Roman" w:hAnsi="Times New Roman" w:cs="Times New Roman"/>
          <w:sz w:val="24"/>
          <w:szCs w:val="24"/>
        </w:rPr>
        <w:t xml:space="preserve">, A. V. (2020). The impact of financial literacy on financial preparedness for retirement in the small and medium enterprises sector in Uganda. </w:t>
      </w:r>
      <w:r w:rsidRPr="00FA161E">
        <w:rPr>
          <w:rFonts w:ascii="Times New Roman" w:hAnsi="Times New Roman" w:cs="Times New Roman"/>
          <w:i/>
          <w:iCs/>
          <w:sz w:val="24"/>
          <w:szCs w:val="24"/>
        </w:rPr>
        <w:t>International Journal of Applied Behavioral Economics, 9</w:t>
      </w:r>
      <w:r w:rsidRPr="00FA161E">
        <w:rPr>
          <w:rFonts w:ascii="Times New Roman" w:hAnsi="Times New Roman" w:cs="Times New Roman"/>
          <w:sz w:val="24"/>
          <w:szCs w:val="24"/>
        </w:rPr>
        <w:t>(3), 26–41.</w:t>
      </w:r>
    </w:p>
    <w:p w14:paraId="1354D861"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Amatucci, F. M., &amp; Crawley, D. C. (2011). Financial self-efficacy among women entrepreneurs. </w:t>
      </w:r>
      <w:r w:rsidRPr="00FA161E">
        <w:rPr>
          <w:rFonts w:ascii="Times New Roman" w:hAnsi="Times New Roman" w:cs="Times New Roman"/>
          <w:i/>
          <w:iCs/>
          <w:sz w:val="24"/>
          <w:szCs w:val="24"/>
        </w:rPr>
        <w:t>International Journal of Gender and Entrepreneurship, 3</w:t>
      </w:r>
      <w:r w:rsidRPr="00FA161E">
        <w:rPr>
          <w:rFonts w:ascii="Times New Roman" w:hAnsi="Times New Roman" w:cs="Times New Roman"/>
          <w:sz w:val="24"/>
          <w:szCs w:val="24"/>
        </w:rPr>
        <w:t>(1), 23–37.</w:t>
      </w:r>
    </w:p>
    <w:p w14:paraId="38FDC69F"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Andreou, P. C., &amp; </w:t>
      </w:r>
      <w:proofErr w:type="spellStart"/>
      <w:r w:rsidRPr="00FA161E">
        <w:rPr>
          <w:rFonts w:ascii="Times New Roman" w:hAnsi="Times New Roman" w:cs="Times New Roman"/>
          <w:sz w:val="24"/>
          <w:szCs w:val="24"/>
        </w:rPr>
        <w:t>Anyfantaki</w:t>
      </w:r>
      <w:proofErr w:type="spellEnd"/>
      <w:r w:rsidRPr="00FA161E">
        <w:rPr>
          <w:rFonts w:ascii="Times New Roman" w:hAnsi="Times New Roman" w:cs="Times New Roman"/>
          <w:sz w:val="24"/>
          <w:szCs w:val="24"/>
        </w:rPr>
        <w:t xml:space="preserve">, S. (2020). Financial literacy and its influence on internet banking </w:t>
      </w:r>
      <w:proofErr w:type="spellStart"/>
      <w:r w:rsidRPr="00FA161E">
        <w:rPr>
          <w:rFonts w:ascii="Times New Roman" w:hAnsi="Times New Roman" w:cs="Times New Roman"/>
          <w:sz w:val="24"/>
          <w:szCs w:val="24"/>
        </w:rPr>
        <w:t>behaviour</w:t>
      </w:r>
      <w:proofErr w:type="spellEnd"/>
      <w:r w:rsidRPr="00FA161E">
        <w:rPr>
          <w:rFonts w:ascii="Times New Roman" w:hAnsi="Times New Roman" w:cs="Times New Roman"/>
          <w:sz w:val="24"/>
          <w:szCs w:val="24"/>
        </w:rPr>
        <w:t xml:space="preserve">. </w:t>
      </w:r>
      <w:r w:rsidRPr="00FA161E">
        <w:rPr>
          <w:rFonts w:ascii="Times New Roman" w:hAnsi="Times New Roman" w:cs="Times New Roman"/>
          <w:i/>
          <w:iCs/>
          <w:sz w:val="24"/>
          <w:szCs w:val="24"/>
        </w:rPr>
        <w:t>International Journal of Consumer Studies, 39</w:t>
      </w:r>
      <w:r w:rsidRPr="00FA161E">
        <w:rPr>
          <w:rFonts w:ascii="Times New Roman" w:hAnsi="Times New Roman" w:cs="Times New Roman"/>
          <w:sz w:val="24"/>
          <w:szCs w:val="24"/>
        </w:rPr>
        <w:t>(4), 1–41.</w:t>
      </w:r>
    </w:p>
    <w:p w14:paraId="7AB9A33D"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Atkinson, A., &amp; Messy, F.A. (2012). Measuring financial literacy: Results of the OECD/International Network on Financial Education (INFE) pilot study. </w:t>
      </w:r>
      <w:r w:rsidRPr="00FA161E">
        <w:rPr>
          <w:rFonts w:ascii="Times New Roman" w:hAnsi="Times New Roman" w:cs="Times New Roman"/>
          <w:i/>
          <w:iCs/>
          <w:sz w:val="24"/>
          <w:szCs w:val="24"/>
        </w:rPr>
        <w:t>OECD Publishing</w:t>
      </w:r>
      <w:r w:rsidRPr="00FA161E">
        <w:rPr>
          <w:rFonts w:ascii="Times New Roman" w:hAnsi="Times New Roman" w:cs="Times New Roman"/>
          <w:sz w:val="24"/>
          <w:szCs w:val="24"/>
        </w:rPr>
        <w:t>.</w:t>
      </w:r>
    </w:p>
    <w:p w14:paraId="3EB8676D"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Bandura, A. (1977). </w:t>
      </w:r>
      <w:r w:rsidRPr="00FA161E">
        <w:rPr>
          <w:rFonts w:ascii="Times New Roman" w:hAnsi="Times New Roman" w:cs="Times New Roman"/>
          <w:i/>
          <w:iCs/>
          <w:sz w:val="24"/>
          <w:szCs w:val="24"/>
        </w:rPr>
        <w:t>Social learning theory</w:t>
      </w:r>
      <w:r w:rsidRPr="00FA161E">
        <w:rPr>
          <w:rFonts w:ascii="Times New Roman" w:hAnsi="Times New Roman" w:cs="Times New Roman"/>
          <w:sz w:val="24"/>
          <w:szCs w:val="24"/>
        </w:rPr>
        <w:t>. Prentice-Hall.</w:t>
      </w:r>
    </w:p>
    <w:p w14:paraId="43649BA3"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Bandura, A. (1986). </w:t>
      </w:r>
      <w:r w:rsidRPr="00FA161E">
        <w:rPr>
          <w:rFonts w:ascii="Times New Roman" w:hAnsi="Times New Roman" w:cs="Times New Roman"/>
          <w:i/>
          <w:iCs/>
          <w:sz w:val="24"/>
          <w:szCs w:val="24"/>
        </w:rPr>
        <w:t>Social foundations of thought and action</w:t>
      </w:r>
      <w:r w:rsidRPr="00FA161E">
        <w:rPr>
          <w:rFonts w:ascii="Times New Roman" w:hAnsi="Times New Roman" w:cs="Times New Roman"/>
          <w:sz w:val="24"/>
          <w:szCs w:val="24"/>
        </w:rPr>
        <w:t>. Upper Saddle River, NJ: Prentice-Hall.</w:t>
      </w:r>
    </w:p>
    <w:p w14:paraId="05B38A4B"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Bandura, A., &amp; Walters, R. H. (1963). </w:t>
      </w:r>
      <w:r w:rsidRPr="00FA161E">
        <w:rPr>
          <w:rFonts w:ascii="Times New Roman" w:hAnsi="Times New Roman" w:cs="Times New Roman"/>
          <w:i/>
          <w:iCs/>
          <w:sz w:val="24"/>
          <w:szCs w:val="24"/>
        </w:rPr>
        <w:t>Social learning and personality development</w:t>
      </w:r>
      <w:r w:rsidRPr="00FA161E">
        <w:rPr>
          <w:rFonts w:ascii="Times New Roman" w:hAnsi="Times New Roman" w:cs="Times New Roman"/>
          <w:sz w:val="24"/>
          <w:szCs w:val="24"/>
        </w:rPr>
        <w:t>. Holt, Rinehart, and Winston.</w:t>
      </w:r>
    </w:p>
    <w:p w14:paraId="53CD1D10"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lastRenderedPageBreak/>
        <w:t xml:space="preserve">Campbell, J. Y. (2006). Household finance. </w:t>
      </w:r>
      <w:r w:rsidRPr="00FA161E">
        <w:rPr>
          <w:rFonts w:ascii="Times New Roman" w:hAnsi="Times New Roman" w:cs="Times New Roman"/>
          <w:i/>
          <w:iCs/>
          <w:sz w:val="24"/>
          <w:szCs w:val="24"/>
        </w:rPr>
        <w:t>Journal of Finance, 61</w:t>
      </w:r>
      <w:r w:rsidRPr="00FA161E">
        <w:rPr>
          <w:rFonts w:ascii="Times New Roman" w:hAnsi="Times New Roman" w:cs="Times New Roman"/>
          <w:sz w:val="24"/>
          <w:szCs w:val="24"/>
        </w:rPr>
        <w:t xml:space="preserve">, 1553–1604. </w:t>
      </w:r>
      <w:hyperlink r:id="rId8" w:tgtFrame="_new" w:history="1">
        <w:r w:rsidRPr="00FA161E">
          <w:rPr>
            <w:rStyle w:val="Hyperlink"/>
            <w:rFonts w:ascii="Times New Roman" w:hAnsi="Times New Roman" w:cs="Times New Roman"/>
            <w:sz w:val="24"/>
            <w:szCs w:val="24"/>
          </w:rPr>
          <w:t>https://doi.org/10.1111/j.1540-6261.2006.00883.x</w:t>
        </w:r>
      </w:hyperlink>
    </w:p>
    <w:p w14:paraId="7EE0C307"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Central Bank Annual Report, 2018.</w:t>
      </w:r>
    </w:p>
    <w:p w14:paraId="0FA6EA0B"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Central Bank of Sri Lanka. (2021). </w:t>
      </w:r>
      <w:r w:rsidRPr="00FA161E">
        <w:rPr>
          <w:rFonts w:ascii="Times New Roman" w:hAnsi="Times New Roman" w:cs="Times New Roman"/>
          <w:i/>
          <w:iCs/>
          <w:sz w:val="24"/>
          <w:szCs w:val="24"/>
        </w:rPr>
        <w:t>Financial literacy survey Sri Lanka, 2021</w:t>
      </w:r>
      <w:r w:rsidRPr="00FA161E">
        <w:rPr>
          <w:rFonts w:ascii="Times New Roman" w:hAnsi="Times New Roman" w:cs="Times New Roman"/>
          <w:sz w:val="24"/>
          <w:szCs w:val="24"/>
        </w:rPr>
        <w:t xml:space="preserve">. Retrieved from </w:t>
      </w:r>
      <w:hyperlink r:id="rId9" w:tgtFrame="_new" w:history="1">
        <w:r w:rsidRPr="00FA161E">
          <w:rPr>
            <w:rStyle w:val="Hyperlink"/>
            <w:rFonts w:ascii="Times New Roman" w:hAnsi="Times New Roman" w:cs="Times New Roman"/>
            <w:sz w:val="24"/>
            <w:szCs w:val="24"/>
          </w:rPr>
          <w:t>https://www.cbsl.gov.lk/sites/default/files/cbslweb_documents/financial_literacy_servey_sri_lanka_2021_e.pdf</w:t>
        </w:r>
      </w:hyperlink>
    </w:p>
    <w:p w14:paraId="116D5D46"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Coff, R., &amp; </w:t>
      </w:r>
      <w:proofErr w:type="spellStart"/>
      <w:r w:rsidRPr="00FA161E">
        <w:rPr>
          <w:rFonts w:ascii="Times New Roman" w:hAnsi="Times New Roman" w:cs="Times New Roman"/>
          <w:sz w:val="24"/>
          <w:szCs w:val="24"/>
        </w:rPr>
        <w:t>Kryscynski</w:t>
      </w:r>
      <w:proofErr w:type="spellEnd"/>
      <w:r w:rsidRPr="00FA161E">
        <w:rPr>
          <w:rFonts w:ascii="Times New Roman" w:hAnsi="Times New Roman" w:cs="Times New Roman"/>
          <w:sz w:val="24"/>
          <w:szCs w:val="24"/>
        </w:rPr>
        <w:t xml:space="preserve">, D. (2011). Invited editorial: Drilling for micro-foundations of human capital–based competitive advantages [Editorial]. </w:t>
      </w:r>
      <w:r w:rsidRPr="00FA161E">
        <w:rPr>
          <w:rFonts w:ascii="Times New Roman" w:hAnsi="Times New Roman" w:cs="Times New Roman"/>
          <w:i/>
          <w:iCs/>
          <w:sz w:val="24"/>
          <w:szCs w:val="24"/>
        </w:rPr>
        <w:t>Journal of Management, 37</w:t>
      </w:r>
      <w:r w:rsidRPr="00FA161E">
        <w:rPr>
          <w:rFonts w:ascii="Times New Roman" w:hAnsi="Times New Roman" w:cs="Times New Roman"/>
          <w:sz w:val="24"/>
          <w:szCs w:val="24"/>
        </w:rPr>
        <w:t xml:space="preserve">(5), 1429–1443. </w:t>
      </w:r>
      <w:hyperlink r:id="rId10" w:tgtFrame="_new" w:history="1">
        <w:r w:rsidRPr="00FA161E">
          <w:rPr>
            <w:rStyle w:val="Hyperlink"/>
            <w:rFonts w:ascii="Times New Roman" w:hAnsi="Times New Roman" w:cs="Times New Roman"/>
            <w:sz w:val="24"/>
            <w:szCs w:val="24"/>
          </w:rPr>
          <w:t>https://doi.org/10.1177/0149206310397772</w:t>
        </w:r>
      </w:hyperlink>
    </w:p>
    <w:p w14:paraId="2B9FFF87"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Davenport, T. O. (1999). </w:t>
      </w:r>
      <w:r w:rsidRPr="00FA161E">
        <w:rPr>
          <w:rFonts w:ascii="Times New Roman" w:hAnsi="Times New Roman" w:cs="Times New Roman"/>
          <w:i/>
          <w:iCs/>
          <w:sz w:val="24"/>
          <w:szCs w:val="24"/>
        </w:rPr>
        <w:t>Human capital: What it is and why people invest it</w:t>
      </w:r>
      <w:r w:rsidRPr="00FA161E">
        <w:rPr>
          <w:rFonts w:ascii="Times New Roman" w:hAnsi="Times New Roman" w:cs="Times New Roman"/>
          <w:sz w:val="24"/>
          <w:szCs w:val="24"/>
        </w:rPr>
        <w:t xml:space="preserve"> (Illustrated ed.). Wiley.</w:t>
      </w:r>
    </w:p>
    <w:p w14:paraId="341AA141"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Department of Census and Statistics. (2012). </w:t>
      </w:r>
      <w:r w:rsidRPr="00FA161E">
        <w:rPr>
          <w:rFonts w:ascii="Times New Roman" w:hAnsi="Times New Roman" w:cs="Times New Roman"/>
          <w:i/>
          <w:iCs/>
          <w:sz w:val="24"/>
          <w:szCs w:val="24"/>
        </w:rPr>
        <w:t>Census of population and housing: Sri Lanka 2012</w:t>
      </w:r>
      <w:r w:rsidRPr="00FA161E">
        <w:rPr>
          <w:rFonts w:ascii="Times New Roman" w:hAnsi="Times New Roman" w:cs="Times New Roman"/>
          <w:sz w:val="24"/>
          <w:szCs w:val="24"/>
        </w:rPr>
        <w:t>. Department of Census and Statistics, Sri Lanka.</w:t>
      </w:r>
    </w:p>
    <w:p w14:paraId="7CA911D4"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Dew, J., &amp; Xiao, J. J. (2013). The Financial Management Behavior Scale: Development and validation. </w:t>
      </w:r>
      <w:r w:rsidRPr="00FA161E">
        <w:rPr>
          <w:rFonts w:ascii="Times New Roman" w:hAnsi="Times New Roman" w:cs="Times New Roman"/>
          <w:i/>
          <w:iCs/>
          <w:sz w:val="24"/>
          <w:szCs w:val="24"/>
        </w:rPr>
        <w:t>Journal of Financial Counseling and Planning, 24</w:t>
      </w:r>
      <w:r w:rsidRPr="00FA161E">
        <w:rPr>
          <w:rFonts w:ascii="Times New Roman" w:hAnsi="Times New Roman" w:cs="Times New Roman"/>
          <w:sz w:val="24"/>
          <w:szCs w:val="24"/>
        </w:rPr>
        <w:t>(2), 43–59.</w:t>
      </w:r>
    </w:p>
    <w:p w14:paraId="7D1DDC56"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Gautam, D. K., &amp; Sah, G. K. (2023). Online banking service practices and its impact on e-customer satisfaction and e-customer loyalty in developing country of South Asia—Nepal. </w:t>
      </w:r>
      <w:r w:rsidRPr="00FA161E">
        <w:rPr>
          <w:rFonts w:ascii="Times New Roman" w:hAnsi="Times New Roman" w:cs="Times New Roman"/>
          <w:i/>
          <w:iCs/>
          <w:sz w:val="24"/>
          <w:szCs w:val="24"/>
        </w:rPr>
        <w:t>SAGE Open, 13</w:t>
      </w:r>
      <w:r w:rsidRPr="00FA161E">
        <w:rPr>
          <w:rFonts w:ascii="Times New Roman" w:hAnsi="Times New Roman" w:cs="Times New Roman"/>
          <w:sz w:val="24"/>
          <w:szCs w:val="24"/>
        </w:rPr>
        <w:t xml:space="preserve">(3). </w:t>
      </w:r>
      <w:hyperlink r:id="rId11" w:tgtFrame="_new" w:history="1">
        <w:r w:rsidRPr="00FA161E">
          <w:rPr>
            <w:rStyle w:val="Hyperlink"/>
            <w:rFonts w:ascii="Times New Roman" w:hAnsi="Times New Roman" w:cs="Times New Roman"/>
            <w:sz w:val="24"/>
            <w:szCs w:val="24"/>
          </w:rPr>
          <w:t>https://doi.org/10.1177/21582440231197495</w:t>
        </w:r>
      </w:hyperlink>
    </w:p>
    <w:p w14:paraId="7D9AC5DA"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Gutter, M. S., Garrison, S. T., &amp; Copur, Z. (2010). Social learning opportunities and the financial behaviors of college students. </w:t>
      </w:r>
      <w:r w:rsidRPr="00FA161E">
        <w:rPr>
          <w:rFonts w:ascii="Times New Roman" w:hAnsi="Times New Roman" w:cs="Times New Roman"/>
          <w:i/>
          <w:iCs/>
          <w:sz w:val="24"/>
          <w:szCs w:val="24"/>
        </w:rPr>
        <w:t>Family and Consumer Sciences Research Journal, 38</w:t>
      </w:r>
      <w:r w:rsidRPr="00FA161E">
        <w:rPr>
          <w:rFonts w:ascii="Times New Roman" w:hAnsi="Times New Roman" w:cs="Times New Roman"/>
          <w:sz w:val="24"/>
          <w:szCs w:val="24"/>
        </w:rPr>
        <w:t xml:space="preserve">(4), 387–404. </w:t>
      </w:r>
      <w:hyperlink r:id="rId12" w:tgtFrame="_new" w:history="1">
        <w:r w:rsidRPr="00FA161E">
          <w:rPr>
            <w:rStyle w:val="Hyperlink"/>
            <w:rFonts w:ascii="Times New Roman" w:hAnsi="Times New Roman" w:cs="Times New Roman"/>
            <w:sz w:val="24"/>
            <w:szCs w:val="24"/>
          </w:rPr>
          <w:t>https://doi.org/10.1111/j.1552-3934.2010.00034.x</w:t>
        </w:r>
      </w:hyperlink>
    </w:p>
    <w:p w14:paraId="1C648553" w14:textId="71C0B723"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Islam, S., Islam, M. F., &amp; Zannat, N. E. (2023). Behavioral intention to use online for shopping in Bangladesh: A technology acceptance model analysis. </w:t>
      </w:r>
      <w:r w:rsidRPr="00FA161E">
        <w:rPr>
          <w:rFonts w:ascii="Times New Roman" w:hAnsi="Times New Roman" w:cs="Times New Roman"/>
          <w:i/>
          <w:iCs/>
          <w:sz w:val="24"/>
          <w:szCs w:val="24"/>
        </w:rPr>
        <w:t>SAGE Open, 13</w:t>
      </w:r>
      <w:r w:rsidRPr="00FA161E">
        <w:rPr>
          <w:rFonts w:ascii="Times New Roman" w:hAnsi="Times New Roman" w:cs="Times New Roman"/>
          <w:sz w:val="24"/>
          <w:szCs w:val="24"/>
        </w:rPr>
        <w:t xml:space="preserve">(3), 1–19. </w:t>
      </w:r>
      <w:hyperlink r:id="rId13" w:history="1">
        <w:r w:rsidRPr="00FA161E">
          <w:rPr>
            <w:rStyle w:val="Hyperlink"/>
            <w:rFonts w:ascii="Times New Roman" w:hAnsi="Times New Roman" w:cs="Times New Roman"/>
            <w:sz w:val="24"/>
            <w:szCs w:val="24"/>
          </w:rPr>
          <w:t>https://doi.org/10.1177/21582440231197495</w:t>
        </w:r>
      </w:hyperlink>
    </w:p>
    <w:p w14:paraId="575B88A2"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Mahdavi, G., Monfared Maharlouie, M., Sarikhani, M., &amp; Ebrahimi, F. (2012). The impact of institutional ownership on risk-taking behaviors. </w:t>
      </w:r>
      <w:r w:rsidRPr="00FA161E">
        <w:rPr>
          <w:rFonts w:ascii="Times New Roman" w:hAnsi="Times New Roman" w:cs="Times New Roman"/>
          <w:i/>
          <w:iCs/>
          <w:sz w:val="24"/>
          <w:szCs w:val="24"/>
        </w:rPr>
        <w:t>African Journal of Business Management, 6</w:t>
      </w:r>
      <w:r w:rsidRPr="00FA161E">
        <w:rPr>
          <w:rFonts w:ascii="Times New Roman" w:hAnsi="Times New Roman" w:cs="Times New Roman"/>
          <w:sz w:val="24"/>
          <w:szCs w:val="24"/>
        </w:rPr>
        <w:t>(12), 4488–4495.</w:t>
      </w:r>
    </w:p>
    <w:p w14:paraId="6D9593A1"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McConnell, A. R., Rydell, R. J., &amp; Brown, C. M. (2009). On the experience of self-relevant feedback: How self-concept organization influences affective responses and self-evaluations. </w:t>
      </w:r>
      <w:r w:rsidRPr="00FA161E">
        <w:rPr>
          <w:rFonts w:ascii="Times New Roman" w:hAnsi="Times New Roman" w:cs="Times New Roman"/>
          <w:i/>
          <w:iCs/>
          <w:sz w:val="24"/>
          <w:szCs w:val="24"/>
        </w:rPr>
        <w:t>Journal of Experimental Social Psychology, 45</w:t>
      </w:r>
      <w:r w:rsidRPr="00FA161E">
        <w:rPr>
          <w:rFonts w:ascii="Times New Roman" w:hAnsi="Times New Roman" w:cs="Times New Roman"/>
          <w:sz w:val="24"/>
          <w:szCs w:val="24"/>
        </w:rPr>
        <w:t>, 695–707.</w:t>
      </w:r>
    </w:p>
    <w:p w14:paraId="1E4D6D18"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McLeod, S. A. (2016). Bandura—Social learning theory. Retrieved from </w:t>
      </w:r>
      <w:hyperlink r:id="rId14" w:tgtFrame="_new" w:history="1">
        <w:r w:rsidRPr="00FA161E">
          <w:rPr>
            <w:rStyle w:val="Hyperlink"/>
            <w:rFonts w:ascii="Times New Roman" w:hAnsi="Times New Roman" w:cs="Times New Roman"/>
            <w:sz w:val="24"/>
            <w:szCs w:val="24"/>
          </w:rPr>
          <w:t>http://www.simplypsychology.org/bandura.html</w:t>
        </w:r>
      </w:hyperlink>
    </w:p>
    <w:p w14:paraId="1B5EF0E3"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Muizzuddin, M., </w:t>
      </w:r>
      <w:proofErr w:type="spellStart"/>
      <w:r w:rsidRPr="00FA161E">
        <w:rPr>
          <w:rFonts w:ascii="Times New Roman" w:hAnsi="Times New Roman" w:cs="Times New Roman"/>
          <w:sz w:val="24"/>
          <w:szCs w:val="24"/>
        </w:rPr>
        <w:t>Ghasarma</w:t>
      </w:r>
      <w:proofErr w:type="spellEnd"/>
      <w:r w:rsidRPr="00FA161E">
        <w:rPr>
          <w:rFonts w:ascii="Times New Roman" w:hAnsi="Times New Roman" w:cs="Times New Roman"/>
          <w:sz w:val="24"/>
          <w:szCs w:val="24"/>
        </w:rPr>
        <w:t xml:space="preserve">, R., Adam, M., &amp; others. (2017). Financial literacy: Strategies and concepts in understanding financial planning with self-efficacy theory and goal-setting theory of motivation approach. </w:t>
      </w:r>
      <w:r w:rsidRPr="00FA161E">
        <w:rPr>
          <w:rFonts w:ascii="Times New Roman" w:hAnsi="Times New Roman" w:cs="Times New Roman"/>
          <w:i/>
          <w:iCs/>
          <w:sz w:val="24"/>
          <w:szCs w:val="24"/>
        </w:rPr>
        <w:t>International Journal of Economics and Financial Issues, 7</w:t>
      </w:r>
      <w:r w:rsidRPr="00FA161E">
        <w:rPr>
          <w:rFonts w:ascii="Times New Roman" w:hAnsi="Times New Roman" w:cs="Times New Roman"/>
          <w:sz w:val="24"/>
          <w:szCs w:val="24"/>
        </w:rPr>
        <w:t>(4), 182–188.</w:t>
      </w:r>
    </w:p>
    <w:p w14:paraId="244BECAA"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lastRenderedPageBreak/>
        <w:t xml:space="preserve">Naeem, M., Jawaid, S. T., &amp; Mustafa, S. (2023). Evolution of modified TAM associated with e-banking services adoption: A systematic PRISMA review from 1975 to 2021. </w:t>
      </w:r>
      <w:r w:rsidRPr="00FA161E">
        <w:rPr>
          <w:rFonts w:ascii="Times New Roman" w:hAnsi="Times New Roman" w:cs="Times New Roman"/>
          <w:i/>
          <w:iCs/>
          <w:sz w:val="24"/>
          <w:szCs w:val="24"/>
        </w:rPr>
        <w:t>Journal of Modelling in Management, 18</w:t>
      </w:r>
      <w:r w:rsidRPr="00FA161E">
        <w:rPr>
          <w:rFonts w:ascii="Times New Roman" w:hAnsi="Times New Roman" w:cs="Times New Roman"/>
          <w:sz w:val="24"/>
          <w:szCs w:val="24"/>
        </w:rPr>
        <w:t>(3), 942–972.</w:t>
      </w:r>
    </w:p>
    <w:p w14:paraId="0FC2F214"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Nedumaran, G., &amp; </w:t>
      </w:r>
      <w:proofErr w:type="spellStart"/>
      <w:r w:rsidRPr="00FA161E">
        <w:rPr>
          <w:rFonts w:ascii="Times New Roman" w:hAnsi="Times New Roman" w:cs="Times New Roman"/>
          <w:sz w:val="24"/>
          <w:szCs w:val="24"/>
        </w:rPr>
        <w:t>Baladevi</w:t>
      </w:r>
      <w:proofErr w:type="spellEnd"/>
      <w:r w:rsidRPr="00FA161E">
        <w:rPr>
          <w:rFonts w:ascii="Times New Roman" w:hAnsi="Times New Roman" w:cs="Times New Roman"/>
          <w:sz w:val="24"/>
          <w:szCs w:val="24"/>
        </w:rPr>
        <w:t xml:space="preserve">, M. (2018). Pros and cons of online banking services. </w:t>
      </w:r>
      <w:r w:rsidRPr="00FA161E">
        <w:rPr>
          <w:rFonts w:ascii="Times New Roman" w:hAnsi="Times New Roman" w:cs="Times New Roman"/>
          <w:i/>
          <w:iCs/>
          <w:sz w:val="24"/>
          <w:szCs w:val="24"/>
        </w:rPr>
        <w:t>Bodhi International Journal of Research in Humanities, Arts and Science, 2</w:t>
      </w:r>
      <w:r w:rsidRPr="00FA161E">
        <w:rPr>
          <w:rFonts w:ascii="Times New Roman" w:hAnsi="Times New Roman" w:cs="Times New Roman"/>
          <w:sz w:val="24"/>
          <w:szCs w:val="24"/>
        </w:rPr>
        <w:t>(Special Issue 13), 106–109.</w:t>
      </w:r>
    </w:p>
    <w:p w14:paraId="44CDA535" w14:textId="77777777" w:rsidR="0035724C" w:rsidRPr="00FA161E" w:rsidRDefault="0035724C" w:rsidP="00DA3538">
      <w:pPr>
        <w:spacing w:line="276" w:lineRule="auto"/>
        <w:ind w:left="720" w:hanging="360"/>
        <w:jc w:val="both"/>
        <w:rPr>
          <w:rFonts w:ascii="Times New Roman" w:hAnsi="Times New Roman" w:cs="Times New Roman"/>
          <w:sz w:val="24"/>
          <w:szCs w:val="24"/>
        </w:rPr>
      </w:pPr>
      <w:proofErr w:type="spellStart"/>
      <w:r w:rsidRPr="00FA161E">
        <w:rPr>
          <w:rFonts w:ascii="Times New Roman" w:hAnsi="Times New Roman" w:cs="Times New Roman"/>
          <w:sz w:val="24"/>
          <w:szCs w:val="24"/>
        </w:rPr>
        <w:t>Nethananthan</w:t>
      </w:r>
      <w:proofErr w:type="spellEnd"/>
      <w:r w:rsidRPr="00FA161E">
        <w:rPr>
          <w:rFonts w:ascii="Times New Roman" w:hAnsi="Times New Roman" w:cs="Times New Roman"/>
          <w:sz w:val="24"/>
          <w:szCs w:val="24"/>
        </w:rPr>
        <w:t xml:space="preserve">, S., &amp; </w:t>
      </w:r>
      <w:proofErr w:type="spellStart"/>
      <w:r w:rsidRPr="00FA161E">
        <w:rPr>
          <w:rFonts w:ascii="Times New Roman" w:hAnsi="Times New Roman" w:cs="Times New Roman"/>
          <w:sz w:val="24"/>
          <w:szCs w:val="24"/>
        </w:rPr>
        <w:t>Shanmugathas</w:t>
      </w:r>
      <w:proofErr w:type="spellEnd"/>
      <w:r w:rsidRPr="00FA161E">
        <w:rPr>
          <w:rFonts w:ascii="Times New Roman" w:hAnsi="Times New Roman" w:cs="Times New Roman"/>
          <w:sz w:val="24"/>
          <w:szCs w:val="24"/>
        </w:rPr>
        <w:t xml:space="preserve">, S. (2018). Exploring the factors influencing adoption of internet banking in Jaffna District. </w:t>
      </w:r>
      <w:r w:rsidRPr="00FA161E">
        <w:rPr>
          <w:rFonts w:ascii="Times New Roman" w:hAnsi="Times New Roman" w:cs="Times New Roman"/>
          <w:i/>
          <w:iCs/>
          <w:sz w:val="24"/>
          <w:szCs w:val="24"/>
        </w:rPr>
        <w:t>International Journal of Recent Scientific Research, 9</w:t>
      </w:r>
      <w:r w:rsidRPr="00FA161E">
        <w:rPr>
          <w:rFonts w:ascii="Times New Roman" w:hAnsi="Times New Roman" w:cs="Times New Roman"/>
          <w:sz w:val="24"/>
          <w:szCs w:val="24"/>
        </w:rPr>
        <w:t>(4L), 26404–26415.</w:t>
      </w:r>
    </w:p>
    <w:p w14:paraId="2047C815"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OECD/INFE. (2023). </w:t>
      </w:r>
      <w:r w:rsidRPr="00FA161E">
        <w:rPr>
          <w:rFonts w:ascii="Times New Roman" w:hAnsi="Times New Roman" w:cs="Times New Roman"/>
          <w:i/>
          <w:iCs/>
          <w:sz w:val="24"/>
          <w:szCs w:val="24"/>
        </w:rPr>
        <w:t>OECD/INFE 2023 international survey of adult financial literacy</w:t>
      </w:r>
      <w:r w:rsidRPr="00FA161E">
        <w:rPr>
          <w:rFonts w:ascii="Times New Roman" w:hAnsi="Times New Roman" w:cs="Times New Roman"/>
          <w:sz w:val="24"/>
          <w:szCs w:val="24"/>
        </w:rPr>
        <w:t>. OECD Publishing.</w:t>
      </w:r>
    </w:p>
    <w:p w14:paraId="7CD3A1B2"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OECD. (2018). </w:t>
      </w:r>
      <w:r w:rsidRPr="00FA161E">
        <w:rPr>
          <w:rFonts w:ascii="Times New Roman" w:hAnsi="Times New Roman" w:cs="Times New Roman"/>
          <w:i/>
          <w:iCs/>
          <w:sz w:val="24"/>
          <w:szCs w:val="24"/>
        </w:rPr>
        <w:t>PISA 2018 assessment and analytical framework.</w:t>
      </w:r>
      <w:r w:rsidRPr="00FA161E">
        <w:rPr>
          <w:rFonts w:ascii="Times New Roman" w:hAnsi="Times New Roman" w:cs="Times New Roman"/>
          <w:sz w:val="24"/>
          <w:szCs w:val="24"/>
        </w:rPr>
        <w:t xml:space="preserve"> </w:t>
      </w:r>
      <w:proofErr w:type="spellStart"/>
      <w:r w:rsidRPr="00FA161E">
        <w:rPr>
          <w:rFonts w:ascii="Times New Roman" w:hAnsi="Times New Roman" w:cs="Times New Roman"/>
          <w:sz w:val="24"/>
          <w:szCs w:val="24"/>
        </w:rPr>
        <w:t>Organisation</w:t>
      </w:r>
      <w:proofErr w:type="spellEnd"/>
      <w:r w:rsidRPr="00FA161E">
        <w:rPr>
          <w:rFonts w:ascii="Times New Roman" w:hAnsi="Times New Roman" w:cs="Times New Roman"/>
          <w:sz w:val="24"/>
          <w:szCs w:val="24"/>
        </w:rPr>
        <w:t xml:space="preserve"> for Economic Co-operation and Development.</w:t>
      </w:r>
    </w:p>
    <w:p w14:paraId="5DEF2239"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Pinto, A. C. Q., Cordeiro, M. C. R., &amp; De Andrade, S. R. M. (2005). </w:t>
      </w:r>
      <w:r w:rsidRPr="00FA161E">
        <w:rPr>
          <w:rFonts w:ascii="Times New Roman" w:hAnsi="Times New Roman" w:cs="Times New Roman"/>
          <w:i/>
          <w:iCs/>
          <w:sz w:val="24"/>
          <w:szCs w:val="24"/>
        </w:rPr>
        <w:t>Annona species</w:t>
      </w:r>
      <w:r w:rsidRPr="00FA161E">
        <w:rPr>
          <w:rFonts w:ascii="Times New Roman" w:hAnsi="Times New Roman" w:cs="Times New Roman"/>
          <w:sz w:val="24"/>
          <w:szCs w:val="24"/>
        </w:rPr>
        <w:t xml:space="preserve">. International Centre for </w:t>
      </w:r>
      <w:proofErr w:type="spellStart"/>
      <w:r w:rsidRPr="00FA161E">
        <w:rPr>
          <w:rFonts w:ascii="Times New Roman" w:hAnsi="Times New Roman" w:cs="Times New Roman"/>
          <w:sz w:val="24"/>
          <w:szCs w:val="24"/>
        </w:rPr>
        <w:t>Underutilised</w:t>
      </w:r>
      <w:proofErr w:type="spellEnd"/>
      <w:r w:rsidRPr="00FA161E">
        <w:rPr>
          <w:rFonts w:ascii="Times New Roman" w:hAnsi="Times New Roman" w:cs="Times New Roman"/>
          <w:sz w:val="24"/>
          <w:szCs w:val="24"/>
        </w:rPr>
        <w:t xml:space="preserve"> Crops, University of Southampton.</w:t>
      </w:r>
    </w:p>
    <w:p w14:paraId="3A00C896"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Rahim, S., Murshed, M., Umarbeyli, S., </w:t>
      </w:r>
      <w:proofErr w:type="spellStart"/>
      <w:r w:rsidRPr="00FA161E">
        <w:rPr>
          <w:rFonts w:ascii="Times New Roman" w:hAnsi="Times New Roman" w:cs="Times New Roman"/>
          <w:sz w:val="24"/>
          <w:szCs w:val="24"/>
        </w:rPr>
        <w:t>Kirikkale</w:t>
      </w:r>
      <w:proofErr w:type="spellEnd"/>
      <w:r w:rsidRPr="00FA161E">
        <w:rPr>
          <w:rFonts w:ascii="Times New Roman" w:hAnsi="Times New Roman" w:cs="Times New Roman"/>
          <w:sz w:val="24"/>
          <w:szCs w:val="24"/>
        </w:rPr>
        <w:t xml:space="preserve">, D., Ahmad, M., Tufail, M., &amp; Wahab, S. (2021). Do natural resources abundance and human capital development promote economic growth? A study on the resource curse hypothesis in Next Eleven countries. </w:t>
      </w:r>
      <w:r w:rsidRPr="00FA161E">
        <w:rPr>
          <w:rFonts w:ascii="Times New Roman" w:hAnsi="Times New Roman" w:cs="Times New Roman"/>
          <w:i/>
          <w:iCs/>
          <w:sz w:val="24"/>
          <w:szCs w:val="24"/>
        </w:rPr>
        <w:t>Resources and Environment</w:t>
      </w:r>
      <w:r w:rsidRPr="00FA161E">
        <w:rPr>
          <w:rFonts w:ascii="Times New Roman" w:hAnsi="Times New Roman" w:cs="Times New Roman"/>
          <w:sz w:val="24"/>
          <w:szCs w:val="24"/>
        </w:rPr>
        <w:t xml:space="preserve">. Retrieved from </w:t>
      </w:r>
      <w:hyperlink r:id="rId15" w:tgtFrame="_new" w:history="1">
        <w:r w:rsidRPr="00FA161E">
          <w:rPr>
            <w:rStyle w:val="Hyperlink"/>
            <w:rFonts w:ascii="Times New Roman" w:hAnsi="Times New Roman" w:cs="Times New Roman"/>
            <w:sz w:val="24"/>
            <w:szCs w:val="24"/>
          </w:rPr>
          <w:t>https://www.elsevier.com/locate/resenv</w:t>
        </w:r>
      </w:hyperlink>
    </w:p>
    <w:p w14:paraId="4B1C0134" w14:textId="77777777" w:rsidR="0035724C" w:rsidRPr="00FA161E" w:rsidRDefault="0035724C" w:rsidP="00DA3538">
      <w:pPr>
        <w:spacing w:line="276" w:lineRule="auto"/>
        <w:ind w:left="720" w:hanging="360"/>
        <w:jc w:val="both"/>
        <w:rPr>
          <w:rFonts w:ascii="Times New Roman" w:hAnsi="Times New Roman" w:cs="Times New Roman"/>
          <w:sz w:val="24"/>
          <w:szCs w:val="24"/>
        </w:rPr>
      </w:pPr>
      <w:proofErr w:type="spellStart"/>
      <w:r w:rsidRPr="00FA161E">
        <w:rPr>
          <w:rFonts w:ascii="Times New Roman" w:hAnsi="Times New Roman" w:cs="Times New Roman"/>
          <w:sz w:val="24"/>
          <w:szCs w:val="24"/>
        </w:rPr>
        <w:t>Satoto</w:t>
      </w:r>
      <w:proofErr w:type="spellEnd"/>
      <w:r w:rsidRPr="00FA161E">
        <w:rPr>
          <w:rFonts w:ascii="Times New Roman" w:hAnsi="Times New Roman" w:cs="Times New Roman"/>
          <w:sz w:val="24"/>
          <w:szCs w:val="24"/>
        </w:rPr>
        <w:t xml:space="preserve">, S. H., Kurniawan, H. N., &amp; Putra, H. (2021). The effect of financial literacy and other determinants on the intention to use electronic money: Consumer behavior as a variable mediation. </w:t>
      </w:r>
      <w:r w:rsidRPr="00FA161E">
        <w:rPr>
          <w:rFonts w:ascii="Times New Roman" w:hAnsi="Times New Roman" w:cs="Times New Roman"/>
          <w:i/>
          <w:iCs/>
          <w:sz w:val="24"/>
          <w:szCs w:val="24"/>
        </w:rPr>
        <w:t>International Journal of Applied Business and International Management, 6</w:t>
      </w:r>
      <w:r w:rsidRPr="00FA161E">
        <w:rPr>
          <w:rFonts w:ascii="Times New Roman" w:hAnsi="Times New Roman" w:cs="Times New Roman"/>
          <w:sz w:val="24"/>
          <w:szCs w:val="24"/>
        </w:rPr>
        <w:t>(3), 23–34.</w:t>
      </w:r>
    </w:p>
    <w:p w14:paraId="0C66F226" w14:textId="77777777" w:rsidR="0035724C" w:rsidRPr="00FA161E" w:rsidRDefault="0035724C" w:rsidP="00DA3538">
      <w:pPr>
        <w:spacing w:line="276" w:lineRule="auto"/>
        <w:ind w:left="720" w:hanging="360"/>
        <w:jc w:val="both"/>
        <w:rPr>
          <w:rFonts w:ascii="Times New Roman" w:hAnsi="Times New Roman" w:cs="Times New Roman"/>
          <w:sz w:val="24"/>
          <w:szCs w:val="24"/>
        </w:rPr>
      </w:pPr>
      <w:proofErr w:type="spellStart"/>
      <w:r w:rsidRPr="00FA161E">
        <w:rPr>
          <w:rFonts w:ascii="Times New Roman" w:hAnsi="Times New Roman" w:cs="Times New Roman"/>
          <w:sz w:val="24"/>
          <w:szCs w:val="24"/>
        </w:rPr>
        <w:t>Servon</w:t>
      </w:r>
      <w:proofErr w:type="spellEnd"/>
      <w:r w:rsidRPr="00FA161E">
        <w:rPr>
          <w:rFonts w:ascii="Times New Roman" w:hAnsi="Times New Roman" w:cs="Times New Roman"/>
          <w:sz w:val="24"/>
          <w:szCs w:val="24"/>
        </w:rPr>
        <w:t xml:space="preserve">, L., &amp; Kaestner, R. (2008). Consumer financial literacy and the impact of online banking on the financial behavior of lower-income bank customers. </w:t>
      </w:r>
      <w:r w:rsidRPr="00FA161E">
        <w:rPr>
          <w:rFonts w:ascii="Times New Roman" w:hAnsi="Times New Roman" w:cs="Times New Roman"/>
          <w:i/>
          <w:iCs/>
          <w:sz w:val="24"/>
          <w:szCs w:val="24"/>
        </w:rPr>
        <w:t>Journal of Consumer Affairs, 42</w:t>
      </w:r>
      <w:r w:rsidRPr="00FA161E">
        <w:rPr>
          <w:rFonts w:ascii="Times New Roman" w:hAnsi="Times New Roman" w:cs="Times New Roman"/>
          <w:sz w:val="24"/>
          <w:szCs w:val="24"/>
        </w:rPr>
        <w:t>(2), 271–305.</w:t>
      </w:r>
    </w:p>
    <w:p w14:paraId="64644F81"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Shaikh, A. A., &amp; </w:t>
      </w:r>
      <w:proofErr w:type="spellStart"/>
      <w:r w:rsidRPr="00FA161E">
        <w:rPr>
          <w:rFonts w:ascii="Times New Roman" w:hAnsi="Times New Roman" w:cs="Times New Roman"/>
          <w:sz w:val="24"/>
          <w:szCs w:val="24"/>
        </w:rPr>
        <w:t>Karjaluoto</w:t>
      </w:r>
      <w:proofErr w:type="spellEnd"/>
      <w:r w:rsidRPr="00FA161E">
        <w:rPr>
          <w:rFonts w:ascii="Times New Roman" w:hAnsi="Times New Roman" w:cs="Times New Roman"/>
          <w:sz w:val="24"/>
          <w:szCs w:val="24"/>
        </w:rPr>
        <w:t xml:space="preserve">, H. (2015). Mobile banking adoption: A literature review. </w:t>
      </w:r>
      <w:r w:rsidRPr="00FA161E">
        <w:rPr>
          <w:rFonts w:ascii="Times New Roman" w:hAnsi="Times New Roman" w:cs="Times New Roman"/>
          <w:i/>
          <w:iCs/>
          <w:sz w:val="24"/>
          <w:szCs w:val="24"/>
        </w:rPr>
        <w:t>Telematics and Informatics, 32</w:t>
      </w:r>
      <w:r w:rsidRPr="00FA161E">
        <w:rPr>
          <w:rFonts w:ascii="Times New Roman" w:hAnsi="Times New Roman" w:cs="Times New Roman"/>
          <w:sz w:val="24"/>
          <w:szCs w:val="24"/>
        </w:rPr>
        <w:t xml:space="preserve">, 129–142. </w:t>
      </w:r>
      <w:hyperlink r:id="rId16" w:tgtFrame="_new" w:history="1">
        <w:r w:rsidRPr="00FA161E">
          <w:rPr>
            <w:rStyle w:val="Hyperlink"/>
            <w:rFonts w:ascii="Times New Roman" w:hAnsi="Times New Roman" w:cs="Times New Roman"/>
            <w:sz w:val="24"/>
            <w:szCs w:val="24"/>
          </w:rPr>
          <w:t>https://doi.org/10.1016/j.tele.2014.05.003</w:t>
        </w:r>
      </w:hyperlink>
    </w:p>
    <w:p w14:paraId="774AEE70"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Thomas, H., Smith, R. R., &amp; Diez, F. (2013). </w:t>
      </w:r>
      <w:r w:rsidRPr="00FA161E">
        <w:rPr>
          <w:rFonts w:ascii="Times New Roman" w:hAnsi="Times New Roman" w:cs="Times New Roman"/>
          <w:i/>
          <w:iCs/>
          <w:sz w:val="24"/>
          <w:szCs w:val="24"/>
        </w:rPr>
        <w:t>Human capital and global business strategy</w:t>
      </w:r>
      <w:r w:rsidRPr="00FA161E">
        <w:rPr>
          <w:rFonts w:ascii="Times New Roman" w:hAnsi="Times New Roman" w:cs="Times New Roman"/>
          <w:sz w:val="24"/>
          <w:szCs w:val="24"/>
        </w:rPr>
        <w:t xml:space="preserve">. Cambridge University Press. </w:t>
      </w:r>
      <w:hyperlink r:id="rId17" w:tgtFrame="_new" w:history="1">
        <w:r w:rsidRPr="00FA161E">
          <w:rPr>
            <w:rStyle w:val="Hyperlink"/>
            <w:rFonts w:ascii="Times New Roman" w:hAnsi="Times New Roman" w:cs="Times New Roman"/>
            <w:sz w:val="24"/>
            <w:szCs w:val="24"/>
          </w:rPr>
          <w:t>https://doi.org/10.1017/CBO9781139519380</w:t>
        </w:r>
      </w:hyperlink>
    </w:p>
    <w:p w14:paraId="10AA3215" w14:textId="77777777" w:rsidR="0035724C" w:rsidRPr="00FA161E" w:rsidRDefault="0035724C" w:rsidP="00DA3538">
      <w:pPr>
        <w:spacing w:line="276" w:lineRule="auto"/>
        <w:ind w:left="720" w:hanging="360"/>
        <w:jc w:val="both"/>
        <w:rPr>
          <w:rFonts w:ascii="Times New Roman" w:hAnsi="Times New Roman" w:cs="Times New Roman"/>
          <w:sz w:val="24"/>
          <w:szCs w:val="24"/>
        </w:rPr>
      </w:pPr>
      <w:proofErr w:type="spellStart"/>
      <w:r w:rsidRPr="00FA161E">
        <w:rPr>
          <w:rFonts w:ascii="Times New Roman" w:hAnsi="Times New Roman" w:cs="Times New Roman"/>
          <w:sz w:val="24"/>
          <w:szCs w:val="24"/>
        </w:rPr>
        <w:t>Unyathanakorn</w:t>
      </w:r>
      <w:proofErr w:type="spellEnd"/>
      <w:r w:rsidRPr="00FA161E">
        <w:rPr>
          <w:rFonts w:ascii="Times New Roman" w:hAnsi="Times New Roman" w:cs="Times New Roman"/>
          <w:sz w:val="24"/>
          <w:szCs w:val="24"/>
        </w:rPr>
        <w:t xml:space="preserve">, K., &amp; </w:t>
      </w:r>
      <w:proofErr w:type="spellStart"/>
      <w:r w:rsidRPr="00FA161E">
        <w:rPr>
          <w:rFonts w:ascii="Times New Roman" w:hAnsi="Times New Roman" w:cs="Times New Roman"/>
          <w:sz w:val="24"/>
          <w:szCs w:val="24"/>
        </w:rPr>
        <w:t>Rompho</w:t>
      </w:r>
      <w:proofErr w:type="spellEnd"/>
      <w:r w:rsidRPr="00FA161E">
        <w:rPr>
          <w:rFonts w:ascii="Times New Roman" w:hAnsi="Times New Roman" w:cs="Times New Roman"/>
          <w:sz w:val="24"/>
          <w:szCs w:val="24"/>
        </w:rPr>
        <w:t xml:space="preserve">, N. (2014). Factors affecting customer satisfaction in online banking service. </w:t>
      </w:r>
      <w:r w:rsidRPr="00FA161E">
        <w:rPr>
          <w:rFonts w:ascii="Times New Roman" w:hAnsi="Times New Roman" w:cs="Times New Roman"/>
          <w:i/>
          <w:iCs/>
          <w:sz w:val="24"/>
          <w:szCs w:val="24"/>
        </w:rPr>
        <w:t>Journal of Marketing Development and Competitiveness, 8</w:t>
      </w:r>
      <w:r w:rsidRPr="00FA161E">
        <w:rPr>
          <w:rFonts w:ascii="Times New Roman" w:hAnsi="Times New Roman" w:cs="Times New Roman"/>
          <w:sz w:val="24"/>
          <w:szCs w:val="24"/>
        </w:rPr>
        <w:t>(2), 50–60.</w:t>
      </w:r>
    </w:p>
    <w:p w14:paraId="6C4FF89D" w14:textId="77777777" w:rsidR="0035724C" w:rsidRPr="00FA161E" w:rsidRDefault="0035724C" w:rsidP="00DA3538">
      <w:pPr>
        <w:spacing w:line="276" w:lineRule="auto"/>
        <w:ind w:left="720" w:hanging="360"/>
        <w:jc w:val="both"/>
        <w:rPr>
          <w:rFonts w:ascii="Times New Roman" w:hAnsi="Times New Roman" w:cs="Times New Roman"/>
          <w:sz w:val="24"/>
          <w:szCs w:val="24"/>
        </w:rPr>
      </w:pPr>
      <w:proofErr w:type="spellStart"/>
      <w:r w:rsidRPr="00FA161E">
        <w:rPr>
          <w:rFonts w:ascii="Times New Roman" w:hAnsi="Times New Roman" w:cs="Times New Roman"/>
          <w:sz w:val="24"/>
          <w:szCs w:val="24"/>
        </w:rPr>
        <w:t>Weyu</w:t>
      </w:r>
      <w:proofErr w:type="spellEnd"/>
      <w:r w:rsidRPr="00FA161E">
        <w:rPr>
          <w:rFonts w:ascii="Times New Roman" w:hAnsi="Times New Roman" w:cs="Times New Roman"/>
          <w:sz w:val="24"/>
          <w:szCs w:val="24"/>
        </w:rPr>
        <w:t xml:space="preserve">, M., &amp; </w:t>
      </w:r>
      <w:proofErr w:type="spellStart"/>
      <w:r w:rsidRPr="00FA161E">
        <w:rPr>
          <w:rFonts w:ascii="Times New Roman" w:hAnsi="Times New Roman" w:cs="Times New Roman"/>
          <w:sz w:val="24"/>
          <w:szCs w:val="24"/>
        </w:rPr>
        <w:t>Ngare</w:t>
      </w:r>
      <w:proofErr w:type="spellEnd"/>
      <w:r w:rsidRPr="00FA161E">
        <w:rPr>
          <w:rFonts w:ascii="Times New Roman" w:hAnsi="Times New Roman" w:cs="Times New Roman"/>
          <w:sz w:val="24"/>
          <w:szCs w:val="24"/>
        </w:rPr>
        <w:t xml:space="preserve">, P. (2013). Factor analysis of customers' perception of mobile banking services in Kenya. </w:t>
      </w:r>
      <w:r w:rsidRPr="00FA161E">
        <w:rPr>
          <w:rFonts w:ascii="Times New Roman" w:hAnsi="Times New Roman" w:cs="Times New Roman"/>
          <w:i/>
          <w:iCs/>
          <w:sz w:val="24"/>
          <w:szCs w:val="24"/>
        </w:rPr>
        <w:t>Journal of Emerging Trends in Economics and Management Sciences, 5</w:t>
      </w:r>
      <w:r w:rsidRPr="00FA161E">
        <w:rPr>
          <w:rFonts w:ascii="Times New Roman" w:hAnsi="Times New Roman" w:cs="Times New Roman"/>
          <w:sz w:val="24"/>
          <w:szCs w:val="24"/>
        </w:rPr>
        <w:t>(1), 1–8.</w:t>
      </w:r>
    </w:p>
    <w:p w14:paraId="53018696"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Xiao, J. J., Chen, C., &amp; Sun, L. (2015). Age differences in consumer financial capability. </w:t>
      </w:r>
      <w:r w:rsidRPr="00FA161E">
        <w:rPr>
          <w:rFonts w:ascii="Times New Roman" w:hAnsi="Times New Roman" w:cs="Times New Roman"/>
          <w:i/>
          <w:iCs/>
          <w:sz w:val="24"/>
          <w:szCs w:val="24"/>
        </w:rPr>
        <w:t>International Journal of Consumer Studies, 39</w:t>
      </w:r>
      <w:r w:rsidRPr="00FA161E">
        <w:rPr>
          <w:rFonts w:ascii="Times New Roman" w:hAnsi="Times New Roman" w:cs="Times New Roman"/>
          <w:sz w:val="24"/>
          <w:szCs w:val="24"/>
        </w:rPr>
        <w:t>(4), 1–30.</w:t>
      </w:r>
    </w:p>
    <w:p w14:paraId="7C950387" w14:textId="77777777" w:rsidR="0035724C" w:rsidRPr="006173BE" w:rsidRDefault="0035724C" w:rsidP="00DA3538">
      <w:pPr>
        <w:spacing w:line="276" w:lineRule="auto"/>
        <w:ind w:left="720" w:hanging="360"/>
        <w:jc w:val="both"/>
        <w:rPr>
          <w:rFonts w:ascii="Times New Roman" w:hAnsi="Times New Roman" w:cs="Times New Roman"/>
          <w:sz w:val="24"/>
          <w:szCs w:val="24"/>
        </w:rPr>
      </w:pPr>
      <w:proofErr w:type="spellStart"/>
      <w:r w:rsidRPr="00FA161E">
        <w:rPr>
          <w:rFonts w:ascii="Times New Roman" w:hAnsi="Times New Roman" w:cs="Times New Roman"/>
          <w:sz w:val="24"/>
          <w:szCs w:val="24"/>
        </w:rPr>
        <w:lastRenderedPageBreak/>
        <w:t>Yugandhara</w:t>
      </w:r>
      <w:proofErr w:type="spellEnd"/>
      <w:r w:rsidRPr="00FA161E">
        <w:rPr>
          <w:rFonts w:ascii="Times New Roman" w:hAnsi="Times New Roman" w:cs="Times New Roman"/>
          <w:sz w:val="24"/>
          <w:szCs w:val="24"/>
        </w:rPr>
        <w:t xml:space="preserve">, R. Y. (2023). Online gambling &amp; betting market scope &amp; outlook 2023. </w:t>
      </w:r>
      <w:r w:rsidRPr="00FA161E">
        <w:rPr>
          <w:rFonts w:ascii="Times New Roman" w:hAnsi="Times New Roman" w:cs="Times New Roman"/>
          <w:i/>
          <w:iCs/>
          <w:sz w:val="24"/>
          <w:szCs w:val="24"/>
        </w:rPr>
        <w:t>Online gambling &amp; betting market size and share report 2023</w:t>
      </w:r>
      <w:r w:rsidRPr="00FA161E">
        <w:rPr>
          <w:rFonts w:ascii="Times New Roman" w:hAnsi="Times New Roman" w:cs="Times New Roman"/>
          <w:sz w:val="24"/>
          <w:szCs w:val="24"/>
        </w:rPr>
        <w:t xml:space="preserve">. Retrieved from </w:t>
      </w:r>
      <w:hyperlink r:id="rId18" w:tgtFrame="_new" w:history="1">
        <w:r w:rsidRPr="00FA161E">
          <w:rPr>
            <w:rStyle w:val="Hyperlink"/>
            <w:rFonts w:ascii="Times New Roman" w:hAnsi="Times New Roman" w:cs="Times New Roman"/>
            <w:sz w:val="24"/>
            <w:szCs w:val="24"/>
          </w:rPr>
          <w:t>https://www.researchgate.net/publication/373143396_Online_Gambling_Betting_Market_Size_and_Share_Report_2023</w:t>
        </w:r>
      </w:hyperlink>
    </w:p>
    <w:p w14:paraId="7BB5467A" w14:textId="77777777" w:rsidR="0035724C" w:rsidRPr="006173BE" w:rsidRDefault="0035724C" w:rsidP="00DA3538">
      <w:pPr>
        <w:spacing w:line="276" w:lineRule="auto"/>
        <w:ind w:left="720" w:hanging="360"/>
        <w:rPr>
          <w:rFonts w:ascii="Times New Roman" w:hAnsi="Times New Roman" w:cs="Times New Roman"/>
          <w:sz w:val="24"/>
          <w:szCs w:val="24"/>
        </w:rPr>
      </w:pPr>
    </w:p>
    <w:p w14:paraId="4F36FC2F" w14:textId="77777777" w:rsidR="0035724C" w:rsidRPr="00E737F2" w:rsidRDefault="0035724C" w:rsidP="00DA3538">
      <w:pPr>
        <w:spacing w:line="276" w:lineRule="auto"/>
        <w:jc w:val="both"/>
        <w:rPr>
          <w:rFonts w:ascii="Times New Roman" w:hAnsi="Times New Roman" w:cs="Times New Roman"/>
          <w:sz w:val="24"/>
          <w:szCs w:val="24"/>
        </w:rPr>
      </w:pPr>
    </w:p>
    <w:sectPr w:rsidR="0035724C" w:rsidRPr="00E737F2" w:rsidSect="00534356">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62DBF" w14:textId="77777777" w:rsidR="005601A8" w:rsidRDefault="005601A8" w:rsidP="00E46BDC">
      <w:pPr>
        <w:spacing w:after="0" w:line="240" w:lineRule="auto"/>
      </w:pPr>
      <w:r>
        <w:separator/>
      </w:r>
    </w:p>
  </w:endnote>
  <w:endnote w:type="continuationSeparator" w:id="0">
    <w:p w14:paraId="5AD698F4" w14:textId="77777777" w:rsidR="005601A8" w:rsidRDefault="005601A8" w:rsidP="00E46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Iskoola Pota">
    <w:charset w:val="00"/>
    <w:family w:val="swiss"/>
    <w:pitch w:val="variable"/>
    <w:sig w:usb0="00000003" w:usb1="00000000" w:usb2="000002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052F6" w14:textId="77777777" w:rsidR="00E46BDC" w:rsidRDefault="00E46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C744E" w14:textId="77777777" w:rsidR="00E46BDC" w:rsidRDefault="00E46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3A5F7" w14:textId="77777777" w:rsidR="00E46BDC" w:rsidRDefault="00E46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97D55" w14:textId="77777777" w:rsidR="005601A8" w:rsidRDefault="005601A8" w:rsidP="00E46BDC">
      <w:pPr>
        <w:spacing w:after="0" w:line="240" w:lineRule="auto"/>
      </w:pPr>
      <w:r>
        <w:separator/>
      </w:r>
    </w:p>
  </w:footnote>
  <w:footnote w:type="continuationSeparator" w:id="0">
    <w:p w14:paraId="671ECFA7" w14:textId="77777777" w:rsidR="005601A8" w:rsidRDefault="005601A8" w:rsidP="00E46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1760D" w14:textId="00F249AF" w:rsidR="00E46BDC" w:rsidRDefault="005601A8">
    <w:pPr>
      <w:pStyle w:val="Header"/>
    </w:pPr>
    <w:r>
      <w:rPr>
        <w:noProof/>
      </w:rPr>
      <w:pict w14:anchorId="2AB51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893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6D1FF" w14:textId="7CE8EA9D" w:rsidR="00E46BDC" w:rsidRDefault="005601A8">
    <w:pPr>
      <w:pStyle w:val="Header"/>
    </w:pPr>
    <w:r>
      <w:rPr>
        <w:noProof/>
      </w:rPr>
      <w:pict w14:anchorId="62EB6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893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C4784" w14:textId="6A68D1E2" w:rsidR="00E46BDC" w:rsidRDefault="005601A8">
    <w:pPr>
      <w:pStyle w:val="Header"/>
    </w:pPr>
    <w:r>
      <w:rPr>
        <w:noProof/>
      </w:rPr>
      <w:pict w14:anchorId="6D40C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893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7355B"/>
    <w:multiLevelType w:val="multilevel"/>
    <w:tmpl w:val="1D4C3F98"/>
    <w:lvl w:ilvl="0">
      <w:start w:val="1"/>
      <w:numFmt w:val="decimalZero"/>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F2D3B0A"/>
    <w:multiLevelType w:val="hybridMultilevel"/>
    <w:tmpl w:val="9E28D1CE"/>
    <w:lvl w:ilvl="0" w:tplc="44C46C6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CxMDE0MDQzMjCwsDRR0lEKTi0uzszPAykwrAUAAGMVqCwAAAA="/>
  </w:docVars>
  <w:rsids>
    <w:rsidRoot w:val="006900CC"/>
    <w:rsid w:val="00002764"/>
    <w:rsid w:val="000121BE"/>
    <w:rsid w:val="000134ED"/>
    <w:rsid w:val="0001780A"/>
    <w:rsid w:val="00023018"/>
    <w:rsid w:val="00034029"/>
    <w:rsid w:val="00040046"/>
    <w:rsid w:val="0004476E"/>
    <w:rsid w:val="0005163B"/>
    <w:rsid w:val="000769AA"/>
    <w:rsid w:val="00077E20"/>
    <w:rsid w:val="00094891"/>
    <w:rsid w:val="00097BC7"/>
    <w:rsid w:val="000A153F"/>
    <w:rsid w:val="000A3FCF"/>
    <w:rsid w:val="000B419E"/>
    <w:rsid w:val="000C4715"/>
    <w:rsid w:val="000D1B45"/>
    <w:rsid w:val="000F657E"/>
    <w:rsid w:val="00116AAD"/>
    <w:rsid w:val="00122232"/>
    <w:rsid w:val="00134287"/>
    <w:rsid w:val="001376AD"/>
    <w:rsid w:val="00141E12"/>
    <w:rsid w:val="00142062"/>
    <w:rsid w:val="00144E37"/>
    <w:rsid w:val="001570F7"/>
    <w:rsid w:val="001951B5"/>
    <w:rsid w:val="001965E6"/>
    <w:rsid w:val="001B2F93"/>
    <w:rsid w:val="001B7C18"/>
    <w:rsid w:val="001C1481"/>
    <w:rsid w:val="001C27E0"/>
    <w:rsid w:val="001E5AC9"/>
    <w:rsid w:val="001E755C"/>
    <w:rsid w:val="001F61B0"/>
    <w:rsid w:val="00203A3E"/>
    <w:rsid w:val="0022216A"/>
    <w:rsid w:val="002230B7"/>
    <w:rsid w:val="002241F2"/>
    <w:rsid w:val="00234A17"/>
    <w:rsid w:val="00287962"/>
    <w:rsid w:val="002A03FB"/>
    <w:rsid w:val="002A350C"/>
    <w:rsid w:val="002A361A"/>
    <w:rsid w:val="002A59A1"/>
    <w:rsid w:val="002A76B7"/>
    <w:rsid w:val="002B1A01"/>
    <w:rsid w:val="002B5610"/>
    <w:rsid w:val="002B716B"/>
    <w:rsid w:val="002C2689"/>
    <w:rsid w:val="002C29A6"/>
    <w:rsid w:val="002D263B"/>
    <w:rsid w:val="002E773E"/>
    <w:rsid w:val="002F0F1D"/>
    <w:rsid w:val="00306A5E"/>
    <w:rsid w:val="00342100"/>
    <w:rsid w:val="00342763"/>
    <w:rsid w:val="0035724C"/>
    <w:rsid w:val="00360A3E"/>
    <w:rsid w:val="00364123"/>
    <w:rsid w:val="0037056A"/>
    <w:rsid w:val="00371154"/>
    <w:rsid w:val="00372B8F"/>
    <w:rsid w:val="00383635"/>
    <w:rsid w:val="00392AAC"/>
    <w:rsid w:val="0039510D"/>
    <w:rsid w:val="003B425A"/>
    <w:rsid w:val="003D2D8C"/>
    <w:rsid w:val="00405FFE"/>
    <w:rsid w:val="00423AC5"/>
    <w:rsid w:val="00433163"/>
    <w:rsid w:val="0044213A"/>
    <w:rsid w:val="00444AA3"/>
    <w:rsid w:val="0046104F"/>
    <w:rsid w:val="00464BD5"/>
    <w:rsid w:val="0046508F"/>
    <w:rsid w:val="00467436"/>
    <w:rsid w:val="0047479A"/>
    <w:rsid w:val="0047787E"/>
    <w:rsid w:val="00480563"/>
    <w:rsid w:val="00482A8A"/>
    <w:rsid w:val="0048662F"/>
    <w:rsid w:val="0048784A"/>
    <w:rsid w:val="004D0D47"/>
    <w:rsid w:val="004D1FA3"/>
    <w:rsid w:val="004D3660"/>
    <w:rsid w:val="004D54F5"/>
    <w:rsid w:val="004D5E1F"/>
    <w:rsid w:val="004E2527"/>
    <w:rsid w:val="00501984"/>
    <w:rsid w:val="00505061"/>
    <w:rsid w:val="00505D9F"/>
    <w:rsid w:val="005062BF"/>
    <w:rsid w:val="00513168"/>
    <w:rsid w:val="00516231"/>
    <w:rsid w:val="0051658A"/>
    <w:rsid w:val="00534356"/>
    <w:rsid w:val="005358F1"/>
    <w:rsid w:val="00551482"/>
    <w:rsid w:val="005601A8"/>
    <w:rsid w:val="00566B4B"/>
    <w:rsid w:val="00573FB5"/>
    <w:rsid w:val="00583A93"/>
    <w:rsid w:val="00586F0F"/>
    <w:rsid w:val="005A030D"/>
    <w:rsid w:val="005C3791"/>
    <w:rsid w:val="005C6DC1"/>
    <w:rsid w:val="005D2476"/>
    <w:rsid w:val="005E001F"/>
    <w:rsid w:val="005E5410"/>
    <w:rsid w:val="005F6D8A"/>
    <w:rsid w:val="00603F88"/>
    <w:rsid w:val="0060571E"/>
    <w:rsid w:val="00617329"/>
    <w:rsid w:val="006242DD"/>
    <w:rsid w:val="0063712B"/>
    <w:rsid w:val="00665B13"/>
    <w:rsid w:val="0067092F"/>
    <w:rsid w:val="00671350"/>
    <w:rsid w:val="00677A70"/>
    <w:rsid w:val="006900CC"/>
    <w:rsid w:val="00691955"/>
    <w:rsid w:val="0069281F"/>
    <w:rsid w:val="006A1EBB"/>
    <w:rsid w:val="006C433C"/>
    <w:rsid w:val="006C7963"/>
    <w:rsid w:val="006C7FE0"/>
    <w:rsid w:val="006D09B0"/>
    <w:rsid w:val="006D1FA4"/>
    <w:rsid w:val="006E0429"/>
    <w:rsid w:val="006E3EB0"/>
    <w:rsid w:val="006F685E"/>
    <w:rsid w:val="006F6BF9"/>
    <w:rsid w:val="00722112"/>
    <w:rsid w:val="007409BE"/>
    <w:rsid w:val="00741958"/>
    <w:rsid w:val="007433CB"/>
    <w:rsid w:val="00782A33"/>
    <w:rsid w:val="00784E83"/>
    <w:rsid w:val="00797D5D"/>
    <w:rsid w:val="007A0E8F"/>
    <w:rsid w:val="007C4924"/>
    <w:rsid w:val="007C498C"/>
    <w:rsid w:val="007E4656"/>
    <w:rsid w:val="007F317A"/>
    <w:rsid w:val="007F5D2C"/>
    <w:rsid w:val="00800F64"/>
    <w:rsid w:val="00812143"/>
    <w:rsid w:val="008361BE"/>
    <w:rsid w:val="00836437"/>
    <w:rsid w:val="008474F4"/>
    <w:rsid w:val="00860B92"/>
    <w:rsid w:val="00894210"/>
    <w:rsid w:val="00896B7F"/>
    <w:rsid w:val="008B4258"/>
    <w:rsid w:val="008B45C9"/>
    <w:rsid w:val="008B65EB"/>
    <w:rsid w:val="008D40C9"/>
    <w:rsid w:val="008E0DF5"/>
    <w:rsid w:val="00906865"/>
    <w:rsid w:val="00916089"/>
    <w:rsid w:val="0094259E"/>
    <w:rsid w:val="009428E6"/>
    <w:rsid w:val="00943D62"/>
    <w:rsid w:val="00967B49"/>
    <w:rsid w:val="00975507"/>
    <w:rsid w:val="009775E2"/>
    <w:rsid w:val="00982E93"/>
    <w:rsid w:val="0098593F"/>
    <w:rsid w:val="00997A5E"/>
    <w:rsid w:val="00997DB3"/>
    <w:rsid w:val="009B5C5F"/>
    <w:rsid w:val="009B7A6C"/>
    <w:rsid w:val="009C4386"/>
    <w:rsid w:val="009C4C93"/>
    <w:rsid w:val="009C7A72"/>
    <w:rsid w:val="009C7D92"/>
    <w:rsid w:val="009F3D67"/>
    <w:rsid w:val="00A008C8"/>
    <w:rsid w:val="00A22C3E"/>
    <w:rsid w:val="00A337D7"/>
    <w:rsid w:val="00A35F67"/>
    <w:rsid w:val="00A428E0"/>
    <w:rsid w:val="00A431FE"/>
    <w:rsid w:val="00A610CD"/>
    <w:rsid w:val="00A84DDF"/>
    <w:rsid w:val="00A9501B"/>
    <w:rsid w:val="00AA7D9E"/>
    <w:rsid w:val="00AB5A90"/>
    <w:rsid w:val="00AC2638"/>
    <w:rsid w:val="00AC685B"/>
    <w:rsid w:val="00AD0980"/>
    <w:rsid w:val="00AD1CDF"/>
    <w:rsid w:val="00AF440C"/>
    <w:rsid w:val="00AF7630"/>
    <w:rsid w:val="00B04502"/>
    <w:rsid w:val="00B205BE"/>
    <w:rsid w:val="00B215CC"/>
    <w:rsid w:val="00B24CE3"/>
    <w:rsid w:val="00B266E0"/>
    <w:rsid w:val="00B43BB0"/>
    <w:rsid w:val="00B53B1C"/>
    <w:rsid w:val="00B5656A"/>
    <w:rsid w:val="00B612C3"/>
    <w:rsid w:val="00B63E03"/>
    <w:rsid w:val="00B64D8F"/>
    <w:rsid w:val="00B97AEE"/>
    <w:rsid w:val="00BA09E8"/>
    <w:rsid w:val="00BB2092"/>
    <w:rsid w:val="00BB230A"/>
    <w:rsid w:val="00BB310E"/>
    <w:rsid w:val="00BB7809"/>
    <w:rsid w:val="00BC1423"/>
    <w:rsid w:val="00BC272A"/>
    <w:rsid w:val="00BC4253"/>
    <w:rsid w:val="00BD389A"/>
    <w:rsid w:val="00BD4769"/>
    <w:rsid w:val="00BF3D59"/>
    <w:rsid w:val="00C22E2C"/>
    <w:rsid w:val="00C32F38"/>
    <w:rsid w:val="00C42B82"/>
    <w:rsid w:val="00C66861"/>
    <w:rsid w:val="00C72E6A"/>
    <w:rsid w:val="00C81A4E"/>
    <w:rsid w:val="00C843CA"/>
    <w:rsid w:val="00C95F6C"/>
    <w:rsid w:val="00CB43B6"/>
    <w:rsid w:val="00CD64FB"/>
    <w:rsid w:val="00CD7007"/>
    <w:rsid w:val="00CE2E58"/>
    <w:rsid w:val="00CE6D09"/>
    <w:rsid w:val="00CE7ED7"/>
    <w:rsid w:val="00CF1B60"/>
    <w:rsid w:val="00CF33E7"/>
    <w:rsid w:val="00D01DFB"/>
    <w:rsid w:val="00D050C7"/>
    <w:rsid w:val="00D23003"/>
    <w:rsid w:val="00D31F77"/>
    <w:rsid w:val="00D53313"/>
    <w:rsid w:val="00D55FE5"/>
    <w:rsid w:val="00D61D74"/>
    <w:rsid w:val="00D62604"/>
    <w:rsid w:val="00D70946"/>
    <w:rsid w:val="00D735EB"/>
    <w:rsid w:val="00D872EB"/>
    <w:rsid w:val="00D945E1"/>
    <w:rsid w:val="00D958DE"/>
    <w:rsid w:val="00D96C9F"/>
    <w:rsid w:val="00D96D22"/>
    <w:rsid w:val="00DA00E0"/>
    <w:rsid w:val="00DA3538"/>
    <w:rsid w:val="00DB79F7"/>
    <w:rsid w:val="00DB7A02"/>
    <w:rsid w:val="00DE06B2"/>
    <w:rsid w:val="00DE6937"/>
    <w:rsid w:val="00E07CD8"/>
    <w:rsid w:val="00E46BDC"/>
    <w:rsid w:val="00E51DB7"/>
    <w:rsid w:val="00E5505B"/>
    <w:rsid w:val="00E62D72"/>
    <w:rsid w:val="00E679E6"/>
    <w:rsid w:val="00E737F2"/>
    <w:rsid w:val="00E76577"/>
    <w:rsid w:val="00E77F52"/>
    <w:rsid w:val="00E85CAF"/>
    <w:rsid w:val="00E85CBC"/>
    <w:rsid w:val="00EA0DFF"/>
    <w:rsid w:val="00EC000A"/>
    <w:rsid w:val="00EC2EFA"/>
    <w:rsid w:val="00EC70F1"/>
    <w:rsid w:val="00EE1EFB"/>
    <w:rsid w:val="00EE6BAF"/>
    <w:rsid w:val="00EF305C"/>
    <w:rsid w:val="00EF580E"/>
    <w:rsid w:val="00EF7A31"/>
    <w:rsid w:val="00F0272C"/>
    <w:rsid w:val="00F31F64"/>
    <w:rsid w:val="00F440F3"/>
    <w:rsid w:val="00F44173"/>
    <w:rsid w:val="00F47E57"/>
    <w:rsid w:val="00F61984"/>
    <w:rsid w:val="00F62E48"/>
    <w:rsid w:val="00F930BE"/>
    <w:rsid w:val="00FA14EC"/>
    <w:rsid w:val="00FA161E"/>
    <w:rsid w:val="00FA5D92"/>
    <w:rsid w:val="00FC46C0"/>
    <w:rsid w:val="00FD2C40"/>
    <w:rsid w:val="00FD6E1D"/>
    <w:rsid w:val="00FE780E"/>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13B44"/>
  <w15:chartTrackingRefBased/>
  <w15:docId w15:val="{04838C06-2E9F-43FB-8B26-BA804D4A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0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900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900C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900C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900C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90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0C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900C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900C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900C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900C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90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0CC"/>
    <w:rPr>
      <w:rFonts w:eastAsiaTheme="majorEastAsia" w:cstheme="majorBidi"/>
      <w:color w:val="272727" w:themeColor="text1" w:themeTint="D8"/>
    </w:rPr>
  </w:style>
  <w:style w:type="paragraph" w:styleId="Title">
    <w:name w:val="Title"/>
    <w:basedOn w:val="Normal"/>
    <w:next w:val="Normal"/>
    <w:link w:val="TitleChar"/>
    <w:uiPriority w:val="10"/>
    <w:qFormat/>
    <w:rsid w:val="00690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0CC"/>
    <w:pPr>
      <w:spacing w:before="160"/>
      <w:jc w:val="center"/>
    </w:pPr>
    <w:rPr>
      <w:i/>
      <w:iCs/>
      <w:color w:val="404040" w:themeColor="text1" w:themeTint="BF"/>
    </w:rPr>
  </w:style>
  <w:style w:type="character" w:customStyle="1" w:styleId="QuoteChar">
    <w:name w:val="Quote Char"/>
    <w:basedOn w:val="DefaultParagraphFont"/>
    <w:link w:val="Quote"/>
    <w:uiPriority w:val="29"/>
    <w:rsid w:val="006900CC"/>
    <w:rPr>
      <w:i/>
      <w:iCs/>
      <w:color w:val="404040" w:themeColor="text1" w:themeTint="BF"/>
    </w:rPr>
  </w:style>
  <w:style w:type="paragraph" w:styleId="ListParagraph">
    <w:name w:val="List Paragraph"/>
    <w:basedOn w:val="Normal"/>
    <w:uiPriority w:val="34"/>
    <w:qFormat/>
    <w:rsid w:val="006900CC"/>
    <w:pPr>
      <w:ind w:left="720"/>
      <w:contextualSpacing/>
    </w:pPr>
  </w:style>
  <w:style w:type="character" w:styleId="IntenseEmphasis">
    <w:name w:val="Intense Emphasis"/>
    <w:basedOn w:val="DefaultParagraphFont"/>
    <w:uiPriority w:val="21"/>
    <w:qFormat/>
    <w:rsid w:val="006900CC"/>
    <w:rPr>
      <w:i/>
      <w:iCs/>
      <w:color w:val="2E74B5" w:themeColor="accent1" w:themeShade="BF"/>
    </w:rPr>
  </w:style>
  <w:style w:type="paragraph" w:styleId="IntenseQuote">
    <w:name w:val="Intense Quote"/>
    <w:basedOn w:val="Normal"/>
    <w:next w:val="Normal"/>
    <w:link w:val="IntenseQuoteChar"/>
    <w:uiPriority w:val="30"/>
    <w:qFormat/>
    <w:rsid w:val="006900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900CC"/>
    <w:rPr>
      <w:i/>
      <w:iCs/>
      <w:color w:val="2E74B5" w:themeColor="accent1" w:themeShade="BF"/>
    </w:rPr>
  </w:style>
  <w:style w:type="character" w:styleId="IntenseReference">
    <w:name w:val="Intense Reference"/>
    <w:basedOn w:val="DefaultParagraphFont"/>
    <w:uiPriority w:val="32"/>
    <w:qFormat/>
    <w:rsid w:val="006900CC"/>
    <w:rPr>
      <w:b/>
      <w:bCs/>
      <w:smallCaps/>
      <w:color w:val="2E74B5" w:themeColor="accent1" w:themeShade="BF"/>
      <w:spacing w:val="5"/>
    </w:rPr>
  </w:style>
  <w:style w:type="paragraph" w:styleId="Caption">
    <w:name w:val="caption"/>
    <w:basedOn w:val="Normal"/>
    <w:next w:val="Normal"/>
    <w:uiPriority w:val="35"/>
    <w:unhideWhenUsed/>
    <w:qFormat/>
    <w:rsid w:val="0047787E"/>
    <w:pPr>
      <w:spacing w:after="200" w:line="240" w:lineRule="auto"/>
    </w:pPr>
    <w:rPr>
      <w:i/>
      <w:iCs/>
      <w:color w:val="44546A" w:themeColor="text2"/>
      <w:sz w:val="18"/>
      <w:szCs w:val="18"/>
      <w:lang w:val="en-GB" w:bidi="si-LK"/>
    </w:rPr>
  </w:style>
  <w:style w:type="table" w:styleId="TableGrid">
    <w:name w:val="Table Grid"/>
    <w:basedOn w:val="TableNormal"/>
    <w:uiPriority w:val="39"/>
    <w:rsid w:val="00D23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231"/>
    <w:pPr>
      <w:autoSpaceDE w:val="0"/>
      <w:autoSpaceDN w:val="0"/>
      <w:adjustRightInd w:val="0"/>
      <w:spacing w:after="0" w:line="240" w:lineRule="auto"/>
    </w:pPr>
    <w:rPr>
      <w:rFonts w:ascii="Times New Roman" w:hAnsi="Times New Roman" w:cs="Times New Roman"/>
      <w:color w:val="000000"/>
      <w:kern w:val="0"/>
      <w:sz w:val="24"/>
      <w:szCs w:val="24"/>
      <w:lang w:bidi="si-LK"/>
      <w14:ligatures w14:val="none"/>
    </w:rPr>
  </w:style>
  <w:style w:type="character" w:styleId="Hyperlink">
    <w:name w:val="Hyperlink"/>
    <w:basedOn w:val="DefaultParagraphFont"/>
    <w:uiPriority w:val="99"/>
    <w:unhideWhenUsed/>
    <w:rsid w:val="0035724C"/>
    <w:rPr>
      <w:color w:val="0563C1" w:themeColor="hyperlink"/>
      <w:u w:val="single"/>
    </w:rPr>
  </w:style>
  <w:style w:type="paragraph" w:styleId="NormalWeb">
    <w:name w:val="Normal (Web)"/>
    <w:basedOn w:val="Normal"/>
    <w:uiPriority w:val="99"/>
    <w:semiHidden/>
    <w:unhideWhenUsed/>
    <w:rsid w:val="005C3791"/>
    <w:pPr>
      <w:spacing w:before="100" w:beforeAutospacing="1" w:after="100" w:afterAutospacing="1" w:line="240" w:lineRule="auto"/>
    </w:pPr>
    <w:rPr>
      <w:rFonts w:ascii="Times New Roman" w:eastAsia="Times New Roman" w:hAnsi="Times New Roman" w:cs="Times New Roman"/>
      <w:kern w:val="0"/>
      <w:sz w:val="24"/>
      <w:szCs w:val="24"/>
      <w:lang w:bidi="si-LK"/>
      <w14:ligatures w14:val="none"/>
    </w:rPr>
  </w:style>
  <w:style w:type="character" w:customStyle="1" w:styleId="bzpyqfadein">
    <w:name w:val="bz_pyq_fadein"/>
    <w:basedOn w:val="DefaultParagraphFont"/>
    <w:rsid w:val="005C3791"/>
  </w:style>
  <w:style w:type="character" w:styleId="UnresolvedMention">
    <w:name w:val="Unresolved Mention"/>
    <w:basedOn w:val="DefaultParagraphFont"/>
    <w:uiPriority w:val="99"/>
    <w:semiHidden/>
    <w:unhideWhenUsed/>
    <w:rsid w:val="00D96C9F"/>
    <w:rPr>
      <w:color w:val="605E5C"/>
      <w:shd w:val="clear" w:color="auto" w:fill="E1DFDD"/>
    </w:rPr>
  </w:style>
  <w:style w:type="paragraph" w:styleId="Header">
    <w:name w:val="header"/>
    <w:basedOn w:val="Normal"/>
    <w:link w:val="HeaderChar"/>
    <w:uiPriority w:val="99"/>
    <w:unhideWhenUsed/>
    <w:rsid w:val="00E46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DC"/>
  </w:style>
  <w:style w:type="paragraph" w:styleId="Footer">
    <w:name w:val="footer"/>
    <w:basedOn w:val="Normal"/>
    <w:link w:val="FooterChar"/>
    <w:uiPriority w:val="99"/>
    <w:unhideWhenUsed/>
    <w:rsid w:val="00E46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DC"/>
  </w:style>
  <w:style w:type="character" w:customStyle="1" w:styleId="whitespace-normal">
    <w:name w:val="whitespace-normal"/>
    <w:basedOn w:val="DefaultParagraphFont"/>
    <w:rsid w:val="00FD2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29305">
      <w:bodyDiv w:val="1"/>
      <w:marLeft w:val="0"/>
      <w:marRight w:val="0"/>
      <w:marTop w:val="0"/>
      <w:marBottom w:val="0"/>
      <w:divBdr>
        <w:top w:val="none" w:sz="0" w:space="0" w:color="auto"/>
        <w:left w:val="none" w:sz="0" w:space="0" w:color="auto"/>
        <w:bottom w:val="none" w:sz="0" w:space="0" w:color="auto"/>
        <w:right w:val="none" w:sz="0" w:space="0" w:color="auto"/>
      </w:divBdr>
    </w:div>
    <w:div w:id="382220295">
      <w:bodyDiv w:val="1"/>
      <w:marLeft w:val="0"/>
      <w:marRight w:val="0"/>
      <w:marTop w:val="0"/>
      <w:marBottom w:val="0"/>
      <w:divBdr>
        <w:top w:val="none" w:sz="0" w:space="0" w:color="auto"/>
        <w:left w:val="none" w:sz="0" w:space="0" w:color="auto"/>
        <w:bottom w:val="none" w:sz="0" w:space="0" w:color="auto"/>
        <w:right w:val="none" w:sz="0" w:space="0" w:color="auto"/>
      </w:divBdr>
    </w:div>
    <w:div w:id="707755019">
      <w:bodyDiv w:val="1"/>
      <w:marLeft w:val="0"/>
      <w:marRight w:val="0"/>
      <w:marTop w:val="0"/>
      <w:marBottom w:val="0"/>
      <w:divBdr>
        <w:top w:val="none" w:sz="0" w:space="0" w:color="auto"/>
        <w:left w:val="none" w:sz="0" w:space="0" w:color="auto"/>
        <w:bottom w:val="none" w:sz="0" w:space="0" w:color="auto"/>
        <w:right w:val="none" w:sz="0" w:space="0" w:color="auto"/>
      </w:divBdr>
    </w:div>
    <w:div w:id="1139688160">
      <w:bodyDiv w:val="1"/>
      <w:marLeft w:val="0"/>
      <w:marRight w:val="0"/>
      <w:marTop w:val="0"/>
      <w:marBottom w:val="0"/>
      <w:divBdr>
        <w:top w:val="none" w:sz="0" w:space="0" w:color="auto"/>
        <w:left w:val="none" w:sz="0" w:space="0" w:color="auto"/>
        <w:bottom w:val="none" w:sz="0" w:space="0" w:color="auto"/>
        <w:right w:val="none" w:sz="0" w:space="0" w:color="auto"/>
      </w:divBdr>
    </w:div>
    <w:div w:id="157026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540-6261.2006.00883.x" TargetMode="External"/><Relationship Id="rId13" Type="http://schemas.openxmlformats.org/officeDocument/2006/relationships/hyperlink" Target="https://doi.org/10.1177/21582440231197495" TargetMode="External"/><Relationship Id="rId18" Type="http://schemas.openxmlformats.org/officeDocument/2006/relationships/hyperlink" Target="https://www.researchgate.net/publication/373143396_Online_Gambling_Betting_Market_Size_and_Share_Report_202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1108/JEDT-09-2020-0354" TargetMode="External"/><Relationship Id="rId12" Type="http://schemas.openxmlformats.org/officeDocument/2006/relationships/hyperlink" Target="https://doi.org/10.1111/j.1552-3934.2010.00034.x" TargetMode="External"/><Relationship Id="rId17" Type="http://schemas.openxmlformats.org/officeDocument/2006/relationships/hyperlink" Target="https://doi.org/10.1017/CBO978113951938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tele.2014.05.00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21582440231197495"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elsevier.com/locate/resenv" TargetMode="External"/><Relationship Id="rId23" Type="http://schemas.openxmlformats.org/officeDocument/2006/relationships/header" Target="header3.xml"/><Relationship Id="rId10" Type="http://schemas.openxmlformats.org/officeDocument/2006/relationships/hyperlink" Target="https://doi.org/10.1177/014920631039777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bsl.gov.lk/sites/default/files/cbslweb_documents/financial_literacy_servey_sri_lanka_2021_e.pdf" TargetMode="External"/><Relationship Id="rId14" Type="http://schemas.openxmlformats.org/officeDocument/2006/relationships/hyperlink" Target="http://www.simplypsychology.org/bandura.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23</Pages>
  <Words>9232</Words>
  <Characters>52629</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Samadhi Abhisheka</dc:creator>
  <cp:keywords/>
  <dc:description/>
  <cp:lastModifiedBy>SDI 1020</cp:lastModifiedBy>
  <cp:revision>40</cp:revision>
  <dcterms:created xsi:type="dcterms:W3CDTF">2024-12-30T13:35:00Z</dcterms:created>
  <dcterms:modified xsi:type="dcterms:W3CDTF">2026-03-20T12:51:00Z</dcterms:modified>
</cp:coreProperties>
</file>