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02AE2" w14:textId="16C003DD" w:rsidR="00470239" w:rsidRPr="00470239" w:rsidRDefault="00470239" w:rsidP="00177EB3">
      <w:pPr>
        <w:pStyle w:val="BodyText"/>
        <w:spacing w:before="10"/>
        <w:jc w:val="center"/>
        <w:rPr>
          <w:b/>
          <w:i/>
          <w:szCs w:val="22"/>
        </w:rPr>
      </w:pPr>
      <w:r w:rsidRPr="00470239">
        <w:rPr>
          <w:b/>
          <w:i/>
          <w:szCs w:val="22"/>
          <w:highlight w:val="yellow"/>
        </w:rPr>
        <w:t>Original Research Article</w:t>
      </w:r>
    </w:p>
    <w:p w14:paraId="69C0E4CB" w14:textId="77777777" w:rsidR="00470239" w:rsidRDefault="00470239" w:rsidP="00177EB3">
      <w:pPr>
        <w:pStyle w:val="BodyText"/>
        <w:spacing w:before="10"/>
        <w:jc w:val="center"/>
        <w:rPr>
          <w:b/>
          <w:iCs/>
          <w:szCs w:val="22"/>
        </w:rPr>
      </w:pPr>
    </w:p>
    <w:p w14:paraId="227F277F" w14:textId="7E1EDEF7" w:rsidR="00177EB3" w:rsidRPr="00470239" w:rsidRDefault="00470239" w:rsidP="00470239">
      <w:pPr>
        <w:pStyle w:val="BodyText"/>
        <w:spacing w:before="10"/>
        <w:jc w:val="center"/>
        <w:rPr>
          <w:b/>
          <w:i/>
          <w:sz w:val="22"/>
          <w:szCs w:val="24"/>
        </w:rPr>
      </w:pPr>
      <w:r w:rsidRPr="00470239">
        <w:rPr>
          <w:b/>
          <w:iCs/>
          <w:sz w:val="24"/>
          <w:szCs w:val="28"/>
          <w:highlight w:val="yellow"/>
        </w:rPr>
        <w:t>Accountability, Transparency, Regional Financial Performance, and Poverty in North Sumatra: The Moderating Role of Economic Growth</w:t>
      </w:r>
    </w:p>
    <w:p w14:paraId="77C197DE" w14:textId="36784865" w:rsidR="00EF5863" w:rsidRDefault="00EF5863" w:rsidP="00B82C34">
      <w:pPr>
        <w:pStyle w:val="BodyText"/>
        <w:ind w:left="142" w:firstLine="426"/>
        <w:rPr>
          <w:i/>
          <w:sz w:val="22"/>
        </w:rPr>
      </w:pPr>
    </w:p>
    <w:p w14:paraId="3F7E0CC7" w14:textId="77777777" w:rsidR="00991EFB" w:rsidRPr="0039715F" w:rsidRDefault="00991EFB" w:rsidP="00B82C34">
      <w:pPr>
        <w:pStyle w:val="BodyText"/>
        <w:ind w:left="142" w:firstLine="426"/>
        <w:rPr>
          <w:sz w:val="22"/>
        </w:rPr>
      </w:pPr>
    </w:p>
    <w:p w14:paraId="05FC0939" w14:textId="77777777" w:rsidR="00F127F6" w:rsidRDefault="00F127F6" w:rsidP="00B82C34">
      <w:pPr>
        <w:spacing w:line="228" w:lineRule="exact"/>
        <w:ind w:left="142" w:right="626" w:firstLine="426"/>
        <w:jc w:val="center"/>
        <w:rPr>
          <w:b/>
          <w:sz w:val="20"/>
        </w:rPr>
      </w:pPr>
    </w:p>
    <w:p w14:paraId="6EB87781" w14:textId="50C08D5D" w:rsidR="00B82C34" w:rsidRPr="00B82C34" w:rsidRDefault="00177EB3" w:rsidP="00B82C34">
      <w:pPr>
        <w:spacing w:line="228" w:lineRule="exact"/>
        <w:ind w:left="142" w:right="626" w:firstLine="426"/>
        <w:jc w:val="center"/>
        <w:rPr>
          <w:b/>
          <w:sz w:val="20"/>
        </w:rPr>
      </w:pPr>
      <w:r>
        <w:rPr>
          <w:b/>
          <w:sz w:val="20"/>
        </w:rPr>
        <w:t>ABSTRACT</w:t>
      </w:r>
    </w:p>
    <w:p w14:paraId="2A814979" w14:textId="5BED9A1E" w:rsidR="00B82C34" w:rsidRPr="00E7177B" w:rsidRDefault="00470239" w:rsidP="00E7177B">
      <w:pPr>
        <w:pStyle w:val="BodyText"/>
        <w:ind w:left="142" w:right="107" w:firstLine="426"/>
        <w:jc w:val="both"/>
        <w:rPr>
          <w:lang w:val="en-ID"/>
        </w:rPr>
      </w:pPr>
      <w:bookmarkStart w:id="0" w:name="_Hlk215576423"/>
      <w:r w:rsidRPr="00470239">
        <w:rPr>
          <w:highlight w:val="yellow"/>
        </w:rPr>
        <w:t>This study examines the effects of accountability, transparency, and regional financial performance on poverty levels in North Sumatra Province, with economic growth incorporated as a moderating variable. The study employs panel data from regencies and municipalities in North Sumatra and relies on secondary data obtained from official statistical publications, regional government financial reports, public information disclosure reports, and audit-related documents. Poverty and economic growth data were derived from Statistics Indonesia, while accountability, transparency, and regional financial performance were constructed from relevant regional government records. Panel data regression was applied, and model selection through the Chow and Hausman tests indicated that the Random Effect Model was the most appropriate specification. The findings reveal that accountability and transparency have significant negative effects on poverty, implying that better governance is associated with lower poverty levels. Regional financial performance also shows a negative coefficient, although the effect is not statistically significant. Economic growth has a significant direct negative effect on poverty. However, the interaction results indicate that economic growth moderates the relationships between accountability, transparency, financial performance, and poverty, suggesting that growth does not automatically strengthen the poverty-reducing role of public financial governance. These findings imply that economic expansion must be accompanied by inclusive governance and equi</w:t>
      </w:r>
      <w:bookmarkStart w:id="1" w:name="_GoBack"/>
      <w:r w:rsidRPr="00470239">
        <w:rPr>
          <w:highlight w:val="yellow"/>
        </w:rPr>
        <w:t>table</w:t>
      </w:r>
      <w:bookmarkEnd w:id="1"/>
      <w:r w:rsidRPr="00470239">
        <w:rPr>
          <w:highlight w:val="yellow"/>
        </w:rPr>
        <w:t xml:space="preserve"> fiscal management in order to produce more effective poverty reduction. The study contributes to the literature on regional governance and poverty by demonstrating that the effectiveness of public financial governance depends not only on institutional quality, but also on how economic growth is distributed across society</w:t>
      </w:r>
      <w:r w:rsidR="00F127F6" w:rsidRPr="00F127F6">
        <w:t>.</w:t>
      </w:r>
    </w:p>
    <w:bookmarkEnd w:id="0"/>
    <w:p w14:paraId="1708C255" w14:textId="77777777" w:rsidR="00F127F6" w:rsidRDefault="00F127F6" w:rsidP="00B82C34">
      <w:pPr>
        <w:pStyle w:val="BodyText"/>
        <w:ind w:left="142" w:right="107" w:firstLine="426"/>
        <w:jc w:val="both"/>
      </w:pPr>
    </w:p>
    <w:p w14:paraId="3A5F6005" w14:textId="77777777" w:rsidR="000E5C78" w:rsidRDefault="00177EB3" w:rsidP="000E5C78">
      <w:pPr>
        <w:ind w:left="142" w:hanging="11"/>
        <w:jc w:val="both"/>
        <w:rPr>
          <w:rFonts w:eastAsia="Book Antiqua"/>
          <w:kern w:val="2"/>
          <w:sz w:val="20"/>
          <w:szCs w:val="20"/>
          <w:lang w:eastAsia="zh-CN"/>
        </w:rPr>
      </w:pPr>
      <w:r w:rsidRPr="00B82C34">
        <w:rPr>
          <w:b/>
          <w:sz w:val="20"/>
          <w:szCs w:val="20"/>
        </w:rPr>
        <w:t xml:space="preserve">Keywords: </w:t>
      </w:r>
      <w:r w:rsidR="00F127F6" w:rsidRPr="00F127F6">
        <w:rPr>
          <w:rFonts w:eastAsia="Book Antiqua"/>
          <w:kern w:val="2"/>
          <w:sz w:val="20"/>
          <w:szCs w:val="20"/>
          <w:lang w:eastAsia="zh-CN"/>
        </w:rPr>
        <w:t>Accountability, Transparency, Financial Performance, Poverty, Economic Growth</w:t>
      </w:r>
    </w:p>
    <w:p w14:paraId="7134EF38" w14:textId="77777777" w:rsidR="000E5C78" w:rsidRDefault="000E5C78" w:rsidP="000E5C78">
      <w:pPr>
        <w:ind w:left="142" w:hanging="11"/>
        <w:jc w:val="both"/>
        <w:rPr>
          <w:rFonts w:eastAsia="Book Antiqua"/>
          <w:kern w:val="2"/>
          <w:sz w:val="20"/>
          <w:szCs w:val="20"/>
          <w:lang w:eastAsia="zh-CN"/>
        </w:rPr>
      </w:pPr>
    </w:p>
    <w:p w14:paraId="5241A535" w14:textId="2C2B60E5" w:rsidR="00EF5863" w:rsidRPr="00321273" w:rsidRDefault="000E5C78" w:rsidP="000E5C78">
      <w:pPr>
        <w:ind w:hanging="11"/>
        <w:jc w:val="both"/>
        <w:rPr>
          <w:b/>
          <w:bCs/>
        </w:rPr>
      </w:pPr>
      <w:r>
        <w:rPr>
          <w:b/>
          <w:sz w:val="20"/>
          <w:szCs w:val="20"/>
        </w:rPr>
        <w:t>I.</w:t>
      </w:r>
      <w:r>
        <w:rPr>
          <w:b/>
          <w:bCs/>
        </w:rPr>
        <w:t xml:space="preserve"> </w:t>
      </w:r>
      <w:r w:rsidR="00177EB3" w:rsidRPr="00321273">
        <w:rPr>
          <w:b/>
          <w:bCs/>
        </w:rPr>
        <w:t>INTRODUCTION</w:t>
      </w:r>
    </w:p>
    <w:p w14:paraId="247C68F7" w14:textId="77777777" w:rsidR="00496CB3" w:rsidRPr="00554BDF" w:rsidRDefault="00496CB3" w:rsidP="00554BDF"/>
    <w:p w14:paraId="632D3B0F" w14:textId="77777777" w:rsidR="00470239" w:rsidRPr="00470239" w:rsidRDefault="00470239" w:rsidP="00470239">
      <w:pPr>
        <w:ind w:firstLine="567"/>
        <w:jc w:val="both"/>
        <w:rPr>
          <w:highlight w:val="yellow"/>
          <w:lang w:val="en-ID"/>
        </w:rPr>
      </w:pPr>
      <w:r w:rsidRPr="00470239">
        <w:rPr>
          <w:highlight w:val="yellow"/>
          <w:lang w:val="en-ID"/>
        </w:rPr>
        <w:t xml:space="preserve">Poverty is a condition in which individuals are unable to fulfil their basic needs </w:t>
      </w:r>
      <w:proofErr w:type="gramStart"/>
      <w:r w:rsidRPr="00470239">
        <w:rPr>
          <w:highlight w:val="yellow"/>
          <w:lang w:val="en-ID"/>
        </w:rPr>
        <w:t>( Narayan</w:t>
      </w:r>
      <w:proofErr w:type="gramEnd"/>
      <w:r w:rsidRPr="00470239">
        <w:rPr>
          <w:highlight w:val="yellow"/>
          <w:lang w:val="en-ID"/>
        </w:rPr>
        <w:t>, 2017). The Central Statistics Agency (BPS) uses the basic needs fulfilment approach to calculate the number of poor people (BPS, 2016). Under this approach, poverty is viewed as an economic inability to meet both food and non-food basic needs, as measured from the expenditure side. Therefore, poor people are defined as residents whose average monthly per capita expenditure falls below the poverty line.</w:t>
      </w:r>
    </w:p>
    <w:p w14:paraId="593F90C1" w14:textId="77777777" w:rsidR="00470239" w:rsidRPr="00470239" w:rsidRDefault="00470239" w:rsidP="00470239">
      <w:pPr>
        <w:ind w:firstLine="567"/>
        <w:jc w:val="both"/>
        <w:rPr>
          <w:highlight w:val="yellow"/>
          <w:lang w:val="en-ID"/>
        </w:rPr>
      </w:pPr>
      <w:r w:rsidRPr="00470239">
        <w:rPr>
          <w:highlight w:val="yellow"/>
          <w:lang w:val="en-ID"/>
        </w:rPr>
        <w:t>The problem of poverty in North Sumatra Province continues to pose various challenges for regional governments. As much as 4.8 percent, or approximately 1.3 million poor people in Indonesia, are found in North Sumatra Province. This issue has become increasingly serious, considering that poverty alleviation in the province has been relatively slow. Each year, the number of poor people who successfully move out of poverty is only around 30–50 thousand people per year (BPS, 2023).</w:t>
      </w:r>
    </w:p>
    <w:p w14:paraId="34AB1B34" w14:textId="5B213DB0" w:rsidR="00470239" w:rsidRPr="00470239" w:rsidRDefault="00470239" w:rsidP="00470239">
      <w:pPr>
        <w:ind w:firstLine="567"/>
        <w:jc w:val="both"/>
        <w:rPr>
          <w:lang w:val="en-ID"/>
        </w:rPr>
      </w:pPr>
      <w:r w:rsidRPr="00470239">
        <w:rPr>
          <w:highlight w:val="yellow"/>
          <w:lang w:val="en-ID"/>
        </w:rPr>
        <w:t>To illustrate the empirical relevance of the issue, Table 1 presents the number of poor people in North Sumatra and its regencies/municipalities. The table shows that poverty remains substantial across the province, thereby justifying the need to examine whether improvements in governance and regional financial performance are associated with lower poverty levels</w:t>
      </w:r>
      <w:r w:rsidRPr="00470239">
        <w:rPr>
          <w:highlight w:val="yellow"/>
        </w:rPr>
        <w:t>.</w:t>
      </w:r>
    </w:p>
    <w:p w14:paraId="585BDCED" w14:textId="77777777" w:rsidR="00EA077D" w:rsidRPr="00554BDF" w:rsidRDefault="00EA077D" w:rsidP="00321273">
      <w:pPr>
        <w:ind w:firstLine="720"/>
        <w:jc w:val="both"/>
      </w:pPr>
    </w:p>
    <w:p w14:paraId="1433C1C8" w14:textId="77777777" w:rsidR="00496CB3" w:rsidRPr="00496CB3" w:rsidRDefault="00496CB3" w:rsidP="00470239">
      <w:pPr>
        <w:jc w:val="both"/>
        <w:rPr>
          <w:sz w:val="20"/>
          <w:szCs w:val="20"/>
        </w:rPr>
      </w:pPr>
    </w:p>
    <w:p w14:paraId="209DCAEF" w14:textId="5FA54BE0" w:rsidR="00496CB3" w:rsidRDefault="00496CB3" w:rsidP="00496CB3">
      <w:pPr>
        <w:ind w:left="142" w:firstLine="38"/>
        <w:jc w:val="center"/>
        <w:rPr>
          <w:sz w:val="20"/>
          <w:szCs w:val="20"/>
        </w:rPr>
      </w:pPr>
      <w:r w:rsidRPr="00496CB3">
        <w:rPr>
          <w:sz w:val="20"/>
          <w:szCs w:val="20"/>
        </w:rPr>
        <w:t>Table 1. Total Poor Population in North Sumatra ( Thousand People)</w:t>
      </w:r>
    </w:p>
    <w:p w14:paraId="2E950DBB" w14:textId="77777777" w:rsidR="00496CB3" w:rsidRPr="00496CB3" w:rsidRDefault="00496CB3" w:rsidP="00496CB3">
      <w:pPr>
        <w:ind w:left="142" w:firstLine="709"/>
        <w:jc w:val="both"/>
        <w:rPr>
          <w:sz w:val="20"/>
          <w:szCs w:val="20"/>
        </w:rPr>
      </w:pPr>
    </w:p>
    <w:tbl>
      <w:tblPr>
        <w:tblStyle w:val="TableGrid"/>
        <w:tblW w:w="0" w:type="auto"/>
        <w:jc w:val="center"/>
        <w:tblLook w:val="04A0" w:firstRow="1" w:lastRow="0" w:firstColumn="1" w:lastColumn="0" w:noHBand="0" w:noVBand="1"/>
      </w:tblPr>
      <w:tblGrid>
        <w:gridCol w:w="1831"/>
        <w:gridCol w:w="1947"/>
        <w:gridCol w:w="1947"/>
        <w:gridCol w:w="1947"/>
      </w:tblGrid>
      <w:tr w:rsidR="00496CB3" w:rsidRPr="00496CB3" w14:paraId="7D1C5387" w14:textId="77777777" w:rsidTr="00496CB3">
        <w:trPr>
          <w:trHeight w:val="20"/>
          <w:tblHeader/>
          <w:jc w:val="center"/>
        </w:trPr>
        <w:tc>
          <w:tcPr>
            <w:tcW w:w="0" w:type="auto"/>
            <w:vMerge w:val="restart"/>
            <w:shd w:val="clear" w:color="auto" w:fill="D9D9D9" w:themeFill="background1" w:themeFillShade="D9"/>
            <w:vAlign w:val="center"/>
            <w:hideMark/>
          </w:tcPr>
          <w:p w14:paraId="615925A9" w14:textId="77777777" w:rsidR="00496CB3" w:rsidRPr="00496CB3" w:rsidRDefault="00496CB3">
            <w:pPr>
              <w:jc w:val="center"/>
              <w:rPr>
                <w:rFonts w:cs="Calibri"/>
                <w:b/>
                <w:bCs/>
                <w:sz w:val="18"/>
                <w:szCs w:val="18"/>
                <w:lang w:eastAsia="en-ID"/>
              </w:rPr>
            </w:pPr>
            <w:r w:rsidRPr="00496CB3">
              <w:rPr>
                <w:rFonts w:cs="Calibri"/>
                <w:b/>
                <w:bCs/>
                <w:sz w:val="18"/>
                <w:szCs w:val="18"/>
                <w:lang w:eastAsia="en-ID"/>
              </w:rPr>
              <w:t>City /Regency</w:t>
            </w:r>
          </w:p>
        </w:tc>
        <w:tc>
          <w:tcPr>
            <w:tcW w:w="0" w:type="auto"/>
            <w:gridSpan w:val="3"/>
            <w:shd w:val="clear" w:color="auto" w:fill="D9D9D9" w:themeFill="background1" w:themeFillShade="D9"/>
            <w:vAlign w:val="center"/>
            <w:hideMark/>
          </w:tcPr>
          <w:p w14:paraId="34069F5C" w14:textId="77777777" w:rsidR="00496CB3" w:rsidRPr="00496CB3" w:rsidRDefault="00496CB3">
            <w:pPr>
              <w:jc w:val="center"/>
              <w:rPr>
                <w:rFonts w:cs="Calibri"/>
                <w:b/>
                <w:bCs/>
                <w:sz w:val="18"/>
                <w:szCs w:val="18"/>
                <w:lang w:eastAsia="en-ID"/>
              </w:rPr>
            </w:pPr>
            <w:r w:rsidRPr="00496CB3">
              <w:rPr>
                <w:rFonts w:cs="Calibri"/>
                <w:b/>
                <w:bCs/>
                <w:sz w:val="18"/>
                <w:szCs w:val="18"/>
                <w:lang w:eastAsia="en-ID"/>
              </w:rPr>
              <w:t>Amount Poor Population According to City /Regency ( Thousand People)</w:t>
            </w:r>
          </w:p>
        </w:tc>
      </w:tr>
      <w:tr w:rsidR="00496CB3" w:rsidRPr="00496CB3" w14:paraId="5C723E29" w14:textId="77777777" w:rsidTr="00496CB3">
        <w:trPr>
          <w:trHeight w:val="20"/>
          <w:tblHeader/>
          <w:jc w:val="center"/>
        </w:trPr>
        <w:tc>
          <w:tcPr>
            <w:tcW w:w="0" w:type="auto"/>
            <w:vMerge/>
            <w:shd w:val="clear" w:color="auto" w:fill="D9D9D9" w:themeFill="background1" w:themeFillShade="D9"/>
            <w:vAlign w:val="center"/>
            <w:hideMark/>
          </w:tcPr>
          <w:p w14:paraId="42BD4A58" w14:textId="77777777" w:rsidR="00496CB3" w:rsidRPr="00496CB3" w:rsidRDefault="00496CB3">
            <w:pPr>
              <w:jc w:val="center"/>
              <w:rPr>
                <w:rFonts w:cs="Calibri"/>
                <w:b/>
                <w:bCs/>
                <w:sz w:val="18"/>
                <w:szCs w:val="18"/>
                <w:lang w:eastAsia="en-ID"/>
              </w:rPr>
            </w:pPr>
          </w:p>
        </w:tc>
        <w:tc>
          <w:tcPr>
            <w:tcW w:w="0" w:type="auto"/>
            <w:shd w:val="clear" w:color="auto" w:fill="D9D9D9" w:themeFill="background1" w:themeFillShade="D9"/>
            <w:vAlign w:val="center"/>
            <w:hideMark/>
          </w:tcPr>
          <w:p w14:paraId="72D9E5D0" w14:textId="77777777" w:rsidR="00496CB3" w:rsidRPr="00496CB3" w:rsidRDefault="00496CB3">
            <w:pPr>
              <w:jc w:val="center"/>
              <w:rPr>
                <w:rFonts w:cs="Calibri"/>
                <w:b/>
                <w:bCs/>
                <w:sz w:val="18"/>
                <w:szCs w:val="18"/>
                <w:lang w:eastAsia="en-ID"/>
              </w:rPr>
            </w:pPr>
            <w:r w:rsidRPr="00496CB3">
              <w:rPr>
                <w:rFonts w:cs="Calibri"/>
                <w:b/>
                <w:bCs/>
                <w:sz w:val="18"/>
                <w:szCs w:val="18"/>
                <w:lang w:eastAsia="en-ID"/>
              </w:rPr>
              <w:t>2023</w:t>
            </w:r>
          </w:p>
        </w:tc>
        <w:tc>
          <w:tcPr>
            <w:tcW w:w="0" w:type="auto"/>
            <w:shd w:val="clear" w:color="auto" w:fill="D9D9D9" w:themeFill="background1" w:themeFillShade="D9"/>
            <w:vAlign w:val="center"/>
            <w:hideMark/>
          </w:tcPr>
          <w:p w14:paraId="2C524038" w14:textId="77777777" w:rsidR="00496CB3" w:rsidRPr="00496CB3" w:rsidRDefault="00496CB3">
            <w:pPr>
              <w:jc w:val="center"/>
              <w:rPr>
                <w:rFonts w:cs="Calibri"/>
                <w:b/>
                <w:bCs/>
                <w:sz w:val="18"/>
                <w:szCs w:val="18"/>
                <w:lang w:eastAsia="en-ID"/>
              </w:rPr>
            </w:pPr>
            <w:r w:rsidRPr="00496CB3">
              <w:rPr>
                <w:rFonts w:cs="Calibri"/>
                <w:b/>
                <w:bCs/>
                <w:sz w:val="18"/>
                <w:szCs w:val="18"/>
                <w:lang w:eastAsia="en-ID"/>
              </w:rPr>
              <w:t>2022</w:t>
            </w:r>
          </w:p>
        </w:tc>
        <w:tc>
          <w:tcPr>
            <w:tcW w:w="0" w:type="auto"/>
            <w:shd w:val="clear" w:color="auto" w:fill="D9D9D9" w:themeFill="background1" w:themeFillShade="D9"/>
            <w:vAlign w:val="center"/>
            <w:hideMark/>
          </w:tcPr>
          <w:p w14:paraId="6A766E4C" w14:textId="77777777" w:rsidR="00496CB3" w:rsidRPr="00496CB3" w:rsidRDefault="00496CB3">
            <w:pPr>
              <w:jc w:val="center"/>
              <w:rPr>
                <w:rFonts w:cs="Calibri"/>
                <w:b/>
                <w:bCs/>
                <w:sz w:val="18"/>
                <w:szCs w:val="18"/>
                <w:lang w:eastAsia="en-ID"/>
              </w:rPr>
            </w:pPr>
            <w:r w:rsidRPr="00496CB3">
              <w:rPr>
                <w:rFonts w:cs="Calibri"/>
                <w:b/>
                <w:bCs/>
                <w:sz w:val="18"/>
                <w:szCs w:val="18"/>
                <w:lang w:eastAsia="en-ID"/>
              </w:rPr>
              <w:t>2021</w:t>
            </w:r>
          </w:p>
        </w:tc>
      </w:tr>
      <w:tr w:rsidR="00496CB3" w:rsidRPr="00496CB3" w14:paraId="6D2A49F6" w14:textId="77777777" w:rsidTr="00496CB3">
        <w:trPr>
          <w:trHeight w:val="20"/>
          <w:jc w:val="center"/>
        </w:trPr>
        <w:tc>
          <w:tcPr>
            <w:tcW w:w="0" w:type="auto"/>
            <w:hideMark/>
          </w:tcPr>
          <w:p w14:paraId="25C7A1F5"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North Sumatra</w:t>
            </w:r>
          </w:p>
        </w:tc>
        <w:tc>
          <w:tcPr>
            <w:tcW w:w="0" w:type="auto"/>
            <w:hideMark/>
          </w:tcPr>
          <w:p w14:paraId="769CFF8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1,239.71</w:t>
            </w:r>
          </w:p>
        </w:tc>
        <w:tc>
          <w:tcPr>
            <w:tcW w:w="0" w:type="auto"/>
            <w:hideMark/>
          </w:tcPr>
          <w:p w14:paraId="0003E1D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1,268,19</w:t>
            </w:r>
          </w:p>
        </w:tc>
        <w:tc>
          <w:tcPr>
            <w:tcW w:w="0" w:type="auto"/>
            <w:hideMark/>
          </w:tcPr>
          <w:p w14:paraId="2FFBE26D"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1,343.86</w:t>
            </w:r>
          </w:p>
        </w:tc>
      </w:tr>
      <w:tr w:rsidR="00496CB3" w:rsidRPr="00496CB3" w14:paraId="58ED65B8" w14:textId="77777777" w:rsidTr="00496CB3">
        <w:trPr>
          <w:trHeight w:val="20"/>
          <w:jc w:val="center"/>
        </w:trPr>
        <w:tc>
          <w:tcPr>
            <w:tcW w:w="0" w:type="auto"/>
            <w:hideMark/>
          </w:tcPr>
          <w:p w14:paraId="0A644C48"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Nias</w:t>
            </w:r>
            <w:proofErr w:type="spellEnd"/>
          </w:p>
        </w:tc>
        <w:tc>
          <w:tcPr>
            <w:tcW w:w="0" w:type="auto"/>
            <w:hideMark/>
          </w:tcPr>
          <w:p w14:paraId="44CF233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21.99</w:t>
            </w:r>
          </w:p>
        </w:tc>
        <w:tc>
          <w:tcPr>
            <w:tcW w:w="0" w:type="auto"/>
            <w:hideMark/>
          </w:tcPr>
          <w:p w14:paraId="59871CF8"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23.23</w:t>
            </w:r>
          </w:p>
        </w:tc>
        <w:tc>
          <w:tcPr>
            <w:tcW w:w="0" w:type="auto"/>
            <w:hideMark/>
          </w:tcPr>
          <w:p w14:paraId="2F6F391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24.33</w:t>
            </w:r>
          </w:p>
        </w:tc>
      </w:tr>
      <w:tr w:rsidR="00496CB3" w:rsidRPr="00496CB3" w14:paraId="27AF796E" w14:textId="77777777" w:rsidTr="00496CB3">
        <w:trPr>
          <w:trHeight w:val="20"/>
          <w:jc w:val="center"/>
        </w:trPr>
        <w:tc>
          <w:tcPr>
            <w:tcW w:w="0" w:type="auto"/>
            <w:hideMark/>
          </w:tcPr>
          <w:p w14:paraId="26641930"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Mandailing</w:t>
            </w:r>
            <w:proofErr w:type="spellEnd"/>
            <w:r w:rsidRPr="00496CB3">
              <w:rPr>
                <w:rFonts w:cs="Calibri"/>
                <w:color w:val="000000"/>
                <w:sz w:val="18"/>
                <w:szCs w:val="18"/>
                <w:lang w:eastAsia="en-ID"/>
              </w:rPr>
              <w:t xml:space="preserve"> Natal</w:t>
            </w:r>
          </w:p>
        </w:tc>
        <w:tc>
          <w:tcPr>
            <w:tcW w:w="0" w:type="auto"/>
            <w:hideMark/>
          </w:tcPr>
          <w:p w14:paraId="69271C0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41.04</w:t>
            </w:r>
          </w:p>
        </w:tc>
        <w:tc>
          <w:tcPr>
            <w:tcW w:w="0" w:type="auto"/>
            <w:hideMark/>
          </w:tcPr>
          <w:p w14:paraId="1C6A3CD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40.98</w:t>
            </w:r>
          </w:p>
        </w:tc>
        <w:tc>
          <w:tcPr>
            <w:tcW w:w="0" w:type="auto"/>
            <w:hideMark/>
          </w:tcPr>
          <w:p w14:paraId="32ACBBDA"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43.24</w:t>
            </w:r>
          </w:p>
        </w:tc>
      </w:tr>
      <w:tr w:rsidR="00496CB3" w:rsidRPr="00496CB3" w14:paraId="77E1CE99" w14:textId="77777777" w:rsidTr="00496CB3">
        <w:trPr>
          <w:trHeight w:val="20"/>
          <w:jc w:val="center"/>
        </w:trPr>
        <w:tc>
          <w:tcPr>
            <w:tcW w:w="0" w:type="auto"/>
            <w:hideMark/>
          </w:tcPr>
          <w:p w14:paraId="11D245A2"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South Tapanuli</w:t>
            </w:r>
          </w:p>
        </w:tc>
        <w:tc>
          <w:tcPr>
            <w:tcW w:w="0" w:type="auto"/>
            <w:hideMark/>
          </w:tcPr>
          <w:p w14:paraId="4AC6151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20.09</w:t>
            </w:r>
          </w:p>
        </w:tc>
        <w:tc>
          <w:tcPr>
            <w:tcW w:w="0" w:type="auto"/>
            <w:hideMark/>
          </w:tcPr>
          <w:p w14:paraId="2C231660"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23.05</w:t>
            </w:r>
          </w:p>
        </w:tc>
        <w:tc>
          <w:tcPr>
            <w:tcW w:w="0" w:type="auto"/>
            <w:hideMark/>
          </w:tcPr>
          <w:p w14:paraId="591E3B9D"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25.01</w:t>
            </w:r>
          </w:p>
        </w:tc>
      </w:tr>
      <w:tr w:rsidR="00496CB3" w:rsidRPr="00496CB3" w14:paraId="0CD3C62D" w14:textId="77777777" w:rsidTr="00496CB3">
        <w:trPr>
          <w:trHeight w:val="20"/>
          <w:jc w:val="center"/>
        </w:trPr>
        <w:tc>
          <w:tcPr>
            <w:tcW w:w="0" w:type="auto"/>
            <w:hideMark/>
          </w:tcPr>
          <w:p w14:paraId="2CBFB83F"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Central Tapanuli</w:t>
            </w:r>
          </w:p>
        </w:tc>
        <w:tc>
          <w:tcPr>
            <w:tcW w:w="0" w:type="auto"/>
            <w:hideMark/>
          </w:tcPr>
          <w:p w14:paraId="520C1BA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47.09</w:t>
            </w:r>
          </w:p>
        </w:tc>
        <w:tc>
          <w:tcPr>
            <w:tcW w:w="0" w:type="auto"/>
            <w:hideMark/>
          </w:tcPr>
          <w:p w14:paraId="358ED766"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47.07</w:t>
            </w:r>
          </w:p>
        </w:tc>
        <w:tc>
          <w:tcPr>
            <w:tcW w:w="0" w:type="auto"/>
            <w:hideMark/>
          </w:tcPr>
          <w:p w14:paraId="43EA413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49.95</w:t>
            </w:r>
          </w:p>
        </w:tc>
      </w:tr>
      <w:tr w:rsidR="00496CB3" w:rsidRPr="00496CB3" w14:paraId="6B8A0A46" w14:textId="77777777" w:rsidTr="00496CB3">
        <w:trPr>
          <w:trHeight w:val="20"/>
          <w:jc w:val="center"/>
        </w:trPr>
        <w:tc>
          <w:tcPr>
            <w:tcW w:w="0" w:type="auto"/>
            <w:hideMark/>
          </w:tcPr>
          <w:p w14:paraId="336669DD"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North Tapanuli</w:t>
            </w:r>
          </w:p>
        </w:tc>
        <w:tc>
          <w:tcPr>
            <w:tcW w:w="0" w:type="auto"/>
            <w:hideMark/>
          </w:tcPr>
          <w:p w14:paraId="7AF821F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26.39</w:t>
            </w:r>
          </w:p>
        </w:tc>
        <w:tc>
          <w:tcPr>
            <w:tcW w:w="0" w:type="auto"/>
            <w:hideMark/>
          </w:tcPr>
          <w:p w14:paraId="1C3CFDE5"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27.47</w:t>
            </w:r>
          </w:p>
        </w:tc>
        <w:tc>
          <w:tcPr>
            <w:tcW w:w="0" w:type="auto"/>
            <w:hideMark/>
          </w:tcPr>
          <w:p w14:paraId="6AE4EDF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29.72</w:t>
            </w:r>
          </w:p>
        </w:tc>
      </w:tr>
      <w:tr w:rsidR="00496CB3" w:rsidRPr="00496CB3" w14:paraId="58012D81" w14:textId="77777777" w:rsidTr="00496CB3">
        <w:trPr>
          <w:trHeight w:val="20"/>
          <w:jc w:val="center"/>
        </w:trPr>
        <w:tc>
          <w:tcPr>
            <w:tcW w:w="0" w:type="auto"/>
            <w:hideMark/>
          </w:tcPr>
          <w:p w14:paraId="29B90EDA"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Toba</w:t>
            </w:r>
          </w:p>
        </w:tc>
        <w:tc>
          <w:tcPr>
            <w:tcW w:w="0" w:type="auto"/>
            <w:hideMark/>
          </w:tcPr>
          <w:p w14:paraId="3B7B789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14.94</w:t>
            </w:r>
          </w:p>
        </w:tc>
        <w:tc>
          <w:tcPr>
            <w:tcW w:w="0" w:type="auto"/>
            <w:hideMark/>
          </w:tcPr>
          <w:p w14:paraId="0ACD356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16.48</w:t>
            </w:r>
          </w:p>
        </w:tc>
        <w:tc>
          <w:tcPr>
            <w:tcW w:w="0" w:type="auto"/>
            <w:hideMark/>
          </w:tcPr>
          <w:p w14:paraId="7D87A63B"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16.61</w:t>
            </w:r>
          </w:p>
        </w:tc>
      </w:tr>
      <w:tr w:rsidR="00496CB3" w:rsidRPr="00496CB3" w14:paraId="57CAF215" w14:textId="77777777" w:rsidTr="00496CB3">
        <w:trPr>
          <w:trHeight w:val="20"/>
          <w:jc w:val="center"/>
        </w:trPr>
        <w:tc>
          <w:tcPr>
            <w:tcW w:w="0" w:type="auto"/>
            <w:hideMark/>
          </w:tcPr>
          <w:p w14:paraId="403B824F"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Labuhan</w:t>
            </w:r>
            <w:proofErr w:type="spellEnd"/>
            <w:r w:rsidRPr="00496CB3">
              <w:rPr>
                <w:rFonts w:cs="Calibri"/>
                <w:color w:val="000000"/>
                <w:sz w:val="18"/>
                <w:szCs w:val="18"/>
                <w:lang w:eastAsia="en-ID"/>
              </w:rPr>
              <w:t xml:space="preserve"> </w:t>
            </w:r>
            <w:proofErr w:type="spellStart"/>
            <w:r w:rsidRPr="00496CB3">
              <w:rPr>
                <w:rFonts w:cs="Calibri"/>
                <w:color w:val="000000"/>
                <w:sz w:val="18"/>
                <w:szCs w:val="18"/>
                <w:lang w:eastAsia="en-ID"/>
              </w:rPr>
              <w:t>Batu</w:t>
            </w:r>
            <w:proofErr w:type="spellEnd"/>
          </w:p>
        </w:tc>
        <w:tc>
          <w:tcPr>
            <w:tcW w:w="0" w:type="auto"/>
            <w:hideMark/>
          </w:tcPr>
          <w:p w14:paraId="4602DF60"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42.58</w:t>
            </w:r>
          </w:p>
        </w:tc>
        <w:tc>
          <w:tcPr>
            <w:tcW w:w="0" w:type="auto"/>
            <w:hideMark/>
          </w:tcPr>
          <w:p w14:paraId="77403512"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43.27</w:t>
            </w:r>
          </w:p>
        </w:tc>
        <w:tc>
          <w:tcPr>
            <w:tcW w:w="0" w:type="auto"/>
            <w:hideMark/>
          </w:tcPr>
          <w:p w14:paraId="7540F38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45.03</w:t>
            </w:r>
          </w:p>
        </w:tc>
      </w:tr>
      <w:tr w:rsidR="00496CB3" w:rsidRPr="00496CB3" w14:paraId="044DCCB6" w14:textId="77777777" w:rsidTr="00496CB3">
        <w:trPr>
          <w:trHeight w:val="20"/>
          <w:jc w:val="center"/>
        </w:trPr>
        <w:tc>
          <w:tcPr>
            <w:tcW w:w="0" w:type="auto"/>
            <w:hideMark/>
          </w:tcPr>
          <w:p w14:paraId="1FB5F575"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Sharpening</w:t>
            </w:r>
          </w:p>
        </w:tc>
        <w:tc>
          <w:tcPr>
            <w:tcW w:w="0" w:type="auto"/>
            <w:hideMark/>
          </w:tcPr>
          <w:p w14:paraId="22965D9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61.69</w:t>
            </w:r>
          </w:p>
        </w:tc>
        <w:tc>
          <w:tcPr>
            <w:tcW w:w="0" w:type="auto"/>
            <w:hideMark/>
          </w:tcPr>
          <w:p w14:paraId="7D90A298"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64.49</w:t>
            </w:r>
          </w:p>
        </w:tc>
        <w:tc>
          <w:tcPr>
            <w:tcW w:w="0" w:type="auto"/>
            <w:hideMark/>
          </w:tcPr>
          <w:p w14:paraId="30BAAB6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69.29</w:t>
            </w:r>
          </w:p>
        </w:tc>
      </w:tr>
      <w:tr w:rsidR="00496CB3" w:rsidRPr="00496CB3" w14:paraId="70186068" w14:textId="77777777" w:rsidTr="00496CB3">
        <w:trPr>
          <w:trHeight w:val="20"/>
          <w:jc w:val="center"/>
        </w:trPr>
        <w:tc>
          <w:tcPr>
            <w:tcW w:w="0" w:type="auto"/>
            <w:hideMark/>
          </w:tcPr>
          <w:p w14:paraId="37B30A21"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Simalungun</w:t>
            </w:r>
            <w:proofErr w:type="spellEnd"/>
          </w:p>
        </w:tc>
        <w:tc>
          <w:tcPr>
            <w:tcW w:w="0" w:type="auto"/>
            <w:hideMark/>
          </w:tcPr>
          <w:p w14:paraId="6A986DAD"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69.21</w:t>
            </w:r>
          </w:p>
        </w:tc>
        <w:tc>
          <w:tcPr>
            <w:tcW w:w="0" w:type="auto"/>
            <w:hideMark/>
          </w:tcPr>
          <w:p w14:paraId="74B46FF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72.47</w:t>
            </w:r>
          </w:p>
        </w:tc>
        <w:tc>
          <w:tcPr>
            <w:tcW w:w="0" w:type="auto"/>
            <w:hideMark/>
          </w:tcPr>
          <w:p w14:paraId="4937788C"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76.99</w:t>
            </w:r>
          </w:p>
        </w:tc>
      </w:tr>
      <w:tr w:rsidR="00496CB3" w:rsidRPr="00496CB3" w14:paraId="7BD23882" w14:textId="77777777" w:rsidTr="00496CB3">
        <w:trPr>
          <w:trHeight w:val="20"/>
          <w:jc w:val="center"/>
        </w:trPr>
        <w:tc>
          <w:tcPr>
            <w:tcW w:w="0" w:type="auto"/>
            <w:hideMark/>
          </w:tcPr>
          <w:p w14:paraId="723775E8"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Dairi</w:t>
            </w:r>
          </w:p>
        </w:tc>
        <w:tc>
          <w:tcPr>
            <w:tcW w:w="0" w:type="auto"/>
            <w:hideMark/>
          </w:tcPr>
          <w:p w14:paraId="54B3367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21.42</w:t>
            </w:r>
          </w:p>
        </w:tc>
        <w:tc>
          <w:tcPr>
            <w:tcW w:w="0" w:type="auto"/>
            <w:hideMark/>
          </w:tcPr>
          <w:p w14:paraId="7A3E91A8"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22.53</w:t>
            </w:r>
          </w:p>
        </w:tc>
        <w:tc>
          <w:tcPr>
            <w:tcW w:w="0" w:type="auto"/>
            <w:hideMark/>
          </w:tcPr>
          <w:p w14:paraId="4D66CCF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23.72</w:t>
            </w:r>
          </w:p>
        </w:tc>
      </w:tr>
      <w:tr w:rsidR="00496CB3" w:rsidRPr="00496CB3" w14:paraId="7B6D22B9" w14:textId="77777777" w:rsidTr="00496CB3">
        <w:trPr>
          <w:trHeight w:val="20"/>
          <w:jc w:val="center"/>
        </w:trPr>
        <w:tc>
          <w:tcPr>
            <w:tcW w:w="0" w:type="auto"/>
            <w:hideMark/>
          </w:tcPr>
          <w:p w14:paraId="4ACEBB14"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lastRenderedPageBreak/>
              <w:t>Karo</w:t>
            </w:r>
          </w:p>
        </w:tc>
        <w:tc>
          <w:tcPr>
            <w:tcW w:w="0" w:type="auto"/>
            <w:hideMark/>
          </w:tcPr>
          <w:p w14:paraId="77EBBEC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35.65</w:t>
            </w:r>
          </w:p>
        </w:tc>
        <w:tc>
          <w:tcPr>
            <w:tcW w:w="0" w:type="auto"/>
            <w:hideMark/>
          </w:tcPr>
          <w:p w14:paraId="2A041585"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35.93</w:t>
            </w:r>
          </w:p>
        </w:tc>
        <w:tc>
          <w:tcPr>
            <w:tcW w:w="0" w:type="auto"/>
            <w:hideMark/>
          </w:tcPr>
          <w:p w14:paraId="79BA4EC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38.01</w:t>
            </w:r>
          </w:p>
        </w:tc>
      </w:tr>
      <w:tr w:rsidR="00496CB3" w:rsidRPr="00496CB3" w14:paraId="5A4595B9" w14:textId="77777777" w:rsidTr="00496CB3">
        <w:trPr>
          <w:trHeight w:val="20"/>
          <w:jc w:val="center"/>
        </w:trPr>
        <w:tc>
          <w:tcPr>
            <w:tcW w:w="0" w:type="auto"/>
            <w:hideMark/>
          </w:tcPr>
          <w:p w14:paraId="24DA0BEB"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Deli Serdang</w:t>
            </w:r>
          </w:p>
        </w:tc>
        <w:tc>
          <w:tcPr>
            <w:tcW w:w="0" w:type="auto"/>
            <w:hideMark/>
          </w:tcPr>
          <w:p w14:paraId="5C0801D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82.75</w:t>
            </w:r>
          </w:p>
        </w:tc>
        <w:tc>
          <w:tcPr>
            <w:tcW w:w="0" w:type="auto"/>
            <w:hideMark/>
          </w:tcPr>
          <w:p w14:paraId="3A3AD21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85.28</w:t>
            </w:r>
          </w:p>
        </w:tc>
        <w:tc>
          <w:tcPr>
            <w:tcW w:w="0" w:type="auto"/>
            <w:hideMark/>
          </w:tcPr>
          <w:p w14:paraId="7D9BBA4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92.52</w:t>
            </w:r>
          </w:p>
        </w:tc>
      </w:tr>
      <w:tr w:rsidR="00496CB3" w:rsidRPr="00496CB3" w14:paraId="03E42D35" w14:textId="77777777" w:rsidTr="00496CB3">
        <w:trPr>
          <w:trHeight w:val="20"/>
          <w:jc w:val="center"/>
        </w:trPr>
        <w:tc>
          <w:tcPr>
            <w:tcW w:w="0" w:type="auto"/>
            <w:hideMark/>
          </w:tcPr>
          <w:p w14:paraId="3A8DBDF0"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Langkat</w:t>
            </w:r>
            <w:proofErr w:type="spellEnd"/>
          </w:p>
        </w:tc>
        <w:tc>
          <w:tcPr>
            <w:tcW w:w="0" w:type="auto"/>
            <w:hideMark/>
          </w:tcPr>
          <w:p w14:paraId="6ABC70F5"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98.16</w:t>
            </w:r>
          </w:p>
        </w:tc>
        <w:tc>
          <w:tcPr>
            <w:tcW w:w="0" w:type="auto"/>
            <w:hideMark/>
          </w:tcPr>
          <w:p w14:paraId="5A465FDD"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100.45</w:t>
            </w:r>
          </w:p>
        </w:tc>
        <w:tc>
          <w:tcPr>
            <w:tcW w:w="0" w:type="auto"/>
            <w:hideMark/>
          </w:tcPr>
          <w:p w14:paraId="58D87A9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106.59</w:t>
            </w:r>
          </w:p>
        </w:tc>
      </w:tr>
      <w:tr w:rsidR="00496CB3" w:rsidRPr="00496CB3" w14:paraId="570FCD4A" w14:textId="77777777" w:rsidTr="00496CB3">
        <w:trPr>
          <w:trHeight w:val="20"/>
          <w:jc w:val="center"/>
        </w:trPr>
        <w:tc>
          <w:tcPr>
            <w:tcW w:w="0" w:type="auto"/>
            <w:hideMark/>
          </w:tcPr>
          <w:p w14:paraId="63A6F3C3"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 xml:space="preserve">South </w:t>
            </w:r>
            <w:proofErr w:type="spellStart"/>
            <w:r w:rsidRPr="00496CB3">
              <w:rPr>
                <w:rFonts w:cs="Calibri"/>
                <w:color w:val="000000"/>
                <w:sz w:val="18"/>
                <w:szCs w:val="18"/>
                <w:lang w:eastAsia="en-ID"/>
              </w:rPr>
              <w:t>Nias</w:t>
            </w:r>
            <w:proofErr w:type="spellEnd"/>
          </w:p>
        </w:tc>
        <w:tc>
          <w:tcPr>
            <w:tcW w:w="0" w:type="auto"/>
            <w:hideMark/>
          </w:tcPr>
          <w:p w14:paraId="16E271C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54.29</w:t>
            </w:r>
          </w:p>
        </w:tc>
        <w:tc>
          <w:tcPr>
            <w:tcW w:w="0" w:type="auto"/>
            <w:hideMark/>
          </w:tcPr>
          <w:p w14:paraId="0834D03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54.16</w:t>
            </w:r>
          </w:p>
        </w:tc>
        <w:tc>
          <w:tcPr>
            <w:tcW w:w="0" w:type="auto"/>
            <w:hideMark/>
          </w:tcPr>
          <w:p w14:paraId="6D259D48"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55.16</w:t>
            </w:r>
          </w:p>
        </w:tc>
      </w:tr>
      <w:tr w:rsidR="00496CB3" w:rsidRPr="00496CB3" w14:paraId="3FAB945D" w14:textId="77777777" w:rsidTr="00496CB3">
        <w:trPr>
          <w:trHeight w:val="20"/>
          <w:jc w:val="center"/>
        </w:trPr>
        <w:tc>
          <w:tcPr>
            <w:tcW w:w="0" w:type="auto"/>
            <w:hideMark/>
          </w:tcPr>
          <w:p w14:paraId="14436CB9"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Humbang</w:t>
            </w:r>
            <w:proofErr w:type="spellEnd"/>
            <w:r w:rsidRPr="00496CB3">
              <w:rPr>
                <w:rFonts w:cs="Calibri"/>
                <w:color w:val="000000"/>
                <w:sz w:val="18"/>
                <w:szCs w:val="18"/>
                <w:lang w:eastAsia="en-ID"/>
              </w:rPr>
              <w:t xml:space="preserve"> </w:t>
            </w:r>
            <w:proofErr w:type="spellStart"/>
            <w:r w:rsidRPr="00496CB3">
              <w:rPr>
                <w:rFonts w:cs="Calibri"/>
                <w:color w:val="000000"/>
                <w:sz w:val="18"/>
                <w:szCs w:val="18"/>
                <w:lang w:eastAsia="en-ID"/>
              </w:rPr>
              <w:t>Hasundutan</w:t>
            </w:r>
            <w:proofErr w:type="spellEnd"/>
          </w:p>
        </w:tc>
        <w:tc>
          <w:tcPr>
            <w:tcW w:w="0" w:type="auto"/>
            <w:hideMark/>
          </w:tcPr>
          <w:p w14:paraId="79AEAAB4"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17.14</w:t>
            </w:r>
          </w:p>
        </w:tc>
        <w:tc>
          <w:tcPr>
            <w:tcW w:w="0" w:type="auto"/>
            <w:hideMark/>
          </w:tcPr>
          <w:p w14:paraId="3CD7AFC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17.33</w:t>
            </w:r>
          </w:p>
        </w:tc>
        <w:tc>
          <w:tcPr>
            <w:tcW w:w="0" w:type="auto"/>
            <w:hideMark/>
          </w:tcPr>
          <w:p w14:paraId="397E5C66"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18.71</w:t>
            </w:r>
          </w:p>
        </w:tc>
      </w:tr>
      <w:tr w:rsidR="00496CB3" w:rsidRPr="00496CB3" w14:paraId="35EE7F2E" w14:textId="77777777" w:rsidTr="00496CB3">
        <w:trPr>
          <w:trHeight w:val="20"/>
          <w:jc w:val="center"/>
        </w:trPr>
        <w:tc>
          <w:tcPr>
            <w:tcW w:w="0" w:type="auto"/>
            <w:hideMark/>
          </w:tcPr>
          <w:p w14:paraId="34678F6C"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Pakpak</w:t>
            </w:r>
            <w:proofErr w:type="spellEnd"/>
            <w:r w:rsidRPr="00496CB3">
              <w:rPr>
                <w:rFonts w:cs="Calibri"/>
                <w:color w:val="000000"/>
                <w:sz w:val="18"/>
                <w:szCs w:val="18"/>
                <w:lang w:eastAsia="en-ID"/>
              </w:rPr>
              <w:t xml:space="preserve"> Bharat</w:t>
            </w:r>
          </w:p>
        </w:tc>
        <w:tc>
          <w:tcPr>
            <w:tcW w:w="0" w:type="auto"/>
            <w:hideMark/>
          </w:tcPr>
          <w:p w14:paraId="03F601B2"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4.01</w:t>
            </w:r>
          </w:p>
        </w:tc>
        <w:tc>
          <w:tcPr>
            <w:tcW w:w="0" w:type="auto"/>
            <w:hideMark/>
          </w:tcPr>
          <w:p w14:paraId="0FABCCE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4.52</w:t>
            </w:r>
          </w:p>
        </w:tc>
        <w:tc>
          <w:tcPr>
            <w:tcW w:w="0" w:type="auto"/>
            <w:hideMark/>
          </w:tcPr>
          <w:p w14:paraId="4CDF849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4.79</w:t>
            </w:r>
          </w:p>
        </w:tc>
      </w:tr>
      <w:tr w:rsidR="00496CB3" w:rsidRPr="00496CB3" w14:paraId="0B40A737" w14:textId="77777777" w:rsidTr="00496CB3">
        <w:trPr>
          <w:trHeight w:val="20"/>
          <w:jc w:val="center"/>
        </w:trPr>
        <w:tc>
          <w:tcPr>
            <w:tcW w:w="0" w:type="auto"/>
            <w:hideMark/>
          </w:tcPr>
          <w:p w14:paraId="1991D7E3"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Samosir</w:t>
            </w:r>
            <w:proofErr w:type="spellEnd"/>
          </w:p>
        </w:tc>
        <w:tc>
          <w:tcPr>
            <w:tcW w:w="0" w:type="auto"/>
            <w:hideMark/>
          </w:tcPr>
          <w:p w14:paraId="0B13E095"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14.86</w:t>
            </w:r>
          </w:p>
        </w:tc>
        <w:tc>
          <w:tcPr>
            <w:tcW w:w="0" w:type="auto"/>
            <w:hideMark/>
          </w:tcPr>
          <w:p w14:paraId="149B61B0"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14.97</w:t>
            </w:r>
          </w:p>
        </w:tc>
        <w:tc>
          <w:tcPr>
            <w:tcW w:w="0" w:type="auto"/>
            <w:hideMark/>
          </w:tcPr>
          <w:p w14:paraId="27FF613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16.08</w:t>
            </w:r>
          </w:p>
        </w:tc>
      </w:tr>
      <w:tr w:rsidR="00496CB3" w:rsidRPr="00496CB3" w14:paraId="76522532" w14:textId="77777777" w:rsidTr="00496CB3">
        <w:trPr>
          <w:trHeight w:val="20"/>
          <w:jc w:val="center"/>
        </w:trPr>
        <w:tc>
          <w:tcPr>
            <w:tcW w:w="0" w:type="auto"/>
            <w:hideMark/>
          </w:tcPr>
          <w:p w14:paraId="4A5B999C"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 xml:space="preserve">Serdang </w:t>
            </w:r>
            <w:proofErr w:type="spellStart"/>
            <w:r w:rsidRPr="00496CB3">
              <w:rPr>
                <w:rFonts w:cs="Calibri"/>
                <w:color w:val="000000"/>
                <w:sz w:val="18"/>
                <w:szCs w:val="18"/>
                <w:lang w:eastAsia="en-ID"/>
              </w:rPr>
              <w:t>Bedagai</w:t>
            </w:r>
            <w:proofErr w:type="spellEnd"/>
          </w:p>
        </w:tc>
        <w:tc>
          <w:tcPr>
            <w:tcW w:w="0" w:type="auto"/>
            <w:hideMark/>
          </w:tcPr>
          <w:p w14:paraId="3720CB1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45.88</w:t>
            </w:r>
          </w:p>
        </w:tc>
        <w:tc>
          <w:tcPr>
            <w:tcW w:w="0" w:type="auto"/>
            <w:hideMark/>
          </w:tcPr>
          <w:p w14:paraId="001C0DE5"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48.22</w:t>
            </w:r>
          </w:p>
        </w:tc>
        <w:tc>
          <w:tcPr>
            <w:tcW w:w="0" w:type="auto"/>
            <w:hideMark/>
          </w:tcPr>
          <w:p w14:paraId="4F4DCA2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51.16</w:t>
            </w:r>
          </w:p>
        </w:tc>
      </w:tr>
      <w:tr w:rsidR="00496CB3" w:rsidRPr="00496CB3" w14:paraId="25875E97" w14:textId="77777777" w:rsidTr="00496CB3">
        <w:trPr>
          <w:trHeight w:val="20"/>
          <w:jc w:val="center"/>
        </w:trPr>
        <w:tc>
          <w:tcPr>
            <w:tcW w:w="0" w:type="auto"/>
            <w:hideMark/>
          </w:tcPr>
          <w:p w14:paraId="4869D943"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Coal</w:t>
            </w:r>
          </w:p>
        </w:tc>
        <w:tc>
          <w:tcPr>
            <w:tcW w:w="0" w:type="auto"/>
            <w:hideMark/>
          </w:tcPr>
          <w:p w14:paraId="1FC0C0F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49.18</w:t>
            </w:r>
          </w:p>
        </w:tc>
        <w:tc>
          <w:tcPr>
            <w:tcW w:w="0" w:type="auto"/>
            <w:hideMark/>
          </w:tcPr>
          <w:p w14:paraId="40B7DDE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49.39</w:t>
            </w:r>
          </w:p>
        </w:tc>
        <w:tc>
          <w:tcPr>
            <w:tcW w:w="0" w:type="auto"/>
            <w:hideMark/>
          </w:tcPr>
          <w:p w14:paraId="68C9EC9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52.59</w:t>
            </w:r>
          </w:p>
        </w:tc>
      </w:tr>
      <w:tr w:rsidR="00496CB3" w:rsidRPr="00496CB3" w14:paraId="5B396554" w14:textId="77777777" w:rsidTr="00496CB3">
        <w:trPr>
          <w:trHeight w:val="20"/>
          <w:jc w:val="center"/>
        </w:trPr>
        <w:tc>
          <w:tcPr>
            <w:tcW w:w="0" w:type="auto"/>
            <w:hideMark/>
          </w:tcPr>
          <w:p w14:paraId="55447DA1"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North Padang Lawas</w:t>
            </w:r>
          </w:p>
        </w:tc>
        <w:tc>
          <w:tcPr>
            <w:tcW w:w="0" w:type="auto"/>
            <w:hideMark/>
          </w:tcPr>
          <w:p w14:paraId="3F945ADC"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26.17</w:t>
            </w:r>
          </w:p>
        </w:tc>
        <w:tc>
          <w:tcPr>
            <w:tcW w:w="0" w:type="auto"/>
            <w:hideMark/>
          </w:tcPr>
          <w:p w14:paraId="396E8DCD"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26.09</w:t>
            </w:r>
          </w:p>
        </w:tc>
        <w:tc>
          <w:tcPr>
            <w:tcW w:w="0" w:type="auto"/>
            <w:hideMark/>
          </w:tcPr>
          <w:p w14:paraId="6142D02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28.37</w:t>
            </w:r>
          </w:p>
        </w:tc>
      </w:tr>
      <w:tr w:rsidR="00496CB3" w:rsidRPr="00496CB3" w14:paraId="115EAD1A" w14:textId="77777777" w:rsidTr="00496CB3">
        <w:trPr>
          <w:trHeight w:val="20"/>
          <w:jc w:val="center"/>
        </w:trPr>
        <w:tc>
          <w:tcPr>
            <w:tcW w:w="0" w:type="auto"/>
            <w:hideMark/>
          </w:tcPr>
          <w:p w14:paraId="43F12194"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Padang Lawas</w:t>
            </w:r>
          </w:p>
        </w:tc>
        <w:tc>
          <w:tcPr>
            <w:tcW w:w="0" w:type="auto"/>
            <w:hideMark/>
          </w:tcPr>
          <w:p w14:paraId="14A21158"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24.51</w:t>
            </w:r>
          </w:p>
        </w:tc>
        <w:tc>
          <w:tcPr>
            <w:tcW w:w="0" w:type="auto"/>
            <w:hideMark/>
          </w:tcPr>
          <w:p w14:paraId="288029F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24.45</w:t>
            </w:r>
          </w:p>
        </w:tc>
        <w:tc>
          <w:tcPr>
            <w:tcW w:w="0" w:type="auto"/>
            <w:hideMark/>
          </w:tcPr>
          <w:p w14:paraId="57D7EAFC"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25.78</w:t>
            </w:r>
          </w:p>
        </w:tc>
      </w:tr>
      <w:tr w:rsidR="00496CB3" w:rsidRPr="00496CB3" w14:paraId="2866229E" w14:textId="77777777" w:rsidTr="00496CB3">
        <w:trPr>
          <w:trHeight w:val="20"/>
          <w:jc w:val="center"/>
        </w:trPr>
        <w:tc>
          <w:tcPr>
            <w:tcW w:w="0" w:type="auto"/>
            <w:hideMark/>
          </w:tcPr>
          <w:p w14:paraId="782372F8"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 xml:space="preserve">South </w:t>
            </w:r>
            <w:proofErr w:type="spellStart"/>
            <w:r w:rsidRPr="00496CB3">
              <w:rPr>
                <w:rFonts w:cs="Calibri"/>
                <w:color w:val="000000"/>
                <w:sz w:val="18"/>
                <w:szCs w:val="18"/>
                <w:lang w:eastAsia="en-ID"/>
              </w:rPr>
              <w:t>Labuhanbatu</w:t>
            </w:r>
            <w:proofErr w:type="spellEnd"/>
          </w:p>
        </w:tc>
        <w:tc>
          <w:tcPr>
            <w:tcW w:w="0" w:type="auto"/>
            <w:hideMark/>
          </w:tcPr>
          <w:p w14:paraId="02FE7A9A"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29.83</w:t>
            </w:r>
          </w:p>
        </w:tc>
        <w:tc>
          <w:tcPr>
            <w:tcW w:w="0" w:type="auto"/>
            <w:hideMark/>
          </w:tcPr>
          <w:p w14:paraId="77B205A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29.38</w:t>
            </w:r>
          </w:p>
        </w:tc>
        <w:tc>
          <w:tcPr>
            <w:tcW w:w="0" w:type="auto"/>
            <w:hideMark/>
          </w:tcPr>
          <w:p w14:paraId="038F380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30.36</w:t>
            </w:r>
          </w:p>
        </w:tc>
      </w:tr>
      <w:tr w:rsidR="00496CB3" w:rsidRPr="00496CB3" w14:paraId="44892CCA" w14:textId="77777777" w:rsidTr="00496CB3">
        <w:trPr>
          <w:trHeight w:val="20"/>
          <w:jc w:val="center"/>
        </w:trPr>
        <w:tc>
          <w:tcPr>
            <w:tcW w:w="0" w:type="auto"/>
            <w:hideMark/>
          </w:tcPr>
          <w:p w14:paraId="714ABD58"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North Labuan Batu</w:t>
            </w:r>
          </w:p>
        </w:tc>
        <w:tc>
          <w:tcPr>
            <w:tcW w:w="0" w:type="auto"/>
            <w:hideMark/>
          </w:tcPr>
          <w:p w14:paraId="5B4ED0C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34.13</w:t>
            </w:r>
          </w:p>
        </w:tc>
        <w:tc>
          <w:tcPr>
            <w:tcW w:w="0" w:type="auto"/>
            <w:hideMark/>
          </w:tcPr>
          <w:p w14:paraId="79AC4D36"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33.91</w:t>
            </w:r>
          </w:p>
        </w:tc>
        <w:tc>
          <w:tcPr>
            <w:tcW w:w="0" w:type="auto"/>
            <w:hideMark/>
          </w:tcPr>
          <w:p w14:paraId="621B188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37.13</w:t>
            </w:r>
          </w:p>
        </w:tc>
      </w:tr>
      <w:tr w:rsidR="00496CB3" w:rsidRPr="00496CB3" w14:paraId="69622279" w14:textId="77777777" w:rsidTr="00496CB3">
        <w:trPr>
          <w:trHeight w:val="20"/>
          <w:jc w:val="center"/>
        </w:trPr>
        <w:tc>
          <w:tcPr>
            <w:tcW w:w="0" w:type="auto"/>
            <w:hideMark/>
          </w:tcPr>
          <w:p w14:paraId="5D88263C"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 xml:space="preserve">North </w:t>
            </w:r>
            <w:proofErr w:type="spellStart"/>
            <w:r w:rsidRPr="00496CB3">
              <w:rPr>
                <w:rFonts w:cs="Calibri"/>
                <w:color w:val="000000"/>
                <w:sz w:val="18"/>
                <w:szCs w:val="18"/>
                <w:lang w:eastAsia="en-ID"/>
              </w:rPr>
              <w:t>Nias</w:t>
            </w:r>
            <w:proofErr w:type="spellEnd"/>
          </w:p>
        </w:tc>
        <w:tc>
          <w:tcPr>
            <w:tcW w:w="0" w:type="auto"/>
            <w:hideMark/>
          </w:tcPr>
          <w:p w14:paraId="4B2FB85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30.78</w:t>
            </w:r>
          </w:p>
        </w:tc>
        <w:tc>
          <w:tcPr>
            <w:tcW w:w="0" w:type="auto"/>
            <w:hideMark/>
          </w:tcPr>
          <w:p w14:paraId="00C0CF8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32.87</w:t>
            </w:r>
          </w:p>
        </w:tc>
        <w:tc>
          <w:tcPr>
            <w:tcW w:w="0" w:type="auto"/>
            <w:hideMark/>
          </w:tcPr>
          <w:p w14:paraId="7FE75984"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35.84</w:t>
            </w:r>
          </w:p>
        </w:tc>
      </w:tr>
      <w:tr w:rsidR="00496CB3" w:rsidRPr="00496CB3" w14:paraId="61754400" w14:textId="77777777" w:rsidTr="00496CB3">
        <w:trPr>
          <w:trHeight w:val="20"/>
          <w:jc w:val="center"/>
        </w:trPr>
        <w:tc>
          <w:tcPr>
            <w:tcW w:w="0" w:type="auto"/>
            <w:hideMark/>
          </w:tcPr>
          <w:p w14:paraId="74D17B8F"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 xml:space="preserve">West </w:t>
            </w:r>
            <w:proofErr w:type="spellStart"/>
            <w:r w:rsidRPr="00496CB3">
              <w:rPr>
                <w:rFonts w:cs="Calibri"/>
                <w:color w:val="000000"/>
                <w:sz w:val="18"/>
                <w:szCs w:val="18"/>
                <w:lang w:eastAsia="en-ID"/>
              </w:rPr>
              <w:t>Nias</w:t>
            </w:r>
            <w:proofErr w:type="spellEnd"/>
          </w:p>
        </w:tc>
        <w:tc>
          <w:tcPr>
            <w:tcW w:w="0" w:type="auto"/>
            <w:hideMark/>
          </w:tcPr>
          <w:p w14:paraId="237E039A"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18.86</w:t>
            </w:r>
          </w:p>
        </w:tc>
        <w:tc>
          <w:tcPr>
            <w:tcW w:w="0" w:type="auto"/>
            <w:hideMark/>
          </w:tcPr>
          <w:p w14:paraId="345CFF1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20.42</w:t>
            </w:r>
          </w:p>
        </w:tc>
        <w:tc>
          <w:tcPr>
            <w:tcW w:w="0" w:type="auto"/>
            <w:hideMark/>
          </w:tcPr>
          <w:p w14:paraId="6EB2EE85"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21.75</w:t>
            </w:r>
          </w:p>
        </w:tc>
      </w:tr>
      <w:tr w:rsidR="00496CB3" w:rsidRPr="00496CB3" w14:paraId="2D851A1C" w14:textId="77777777" w:rsidTr="00496CB3">
        <w:trPr>
          <w:trHeight w:val="20"/>
          <w:jc w:val="center"/>
        </w:trPr>
        <w:tc>
          <w:tcPr>
            <w:tcW w:w="0" w:type="auto"/>
            <w:hideMark/>
          </w:tcPr>
          <w:p w14:paraId="6ABE8C30"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Sibolga</w:t>
            </w:r>
            <w:proofErr w:type="spellEnd"/>
          </w:p>
        </w:tc>
        <w:tc>
          <w:tcPr>
            <w:tcW w:w="0" w:type="auto"/>
            <w:hideMark/>
          </w:tcPr>
          <w:p w14:paraId="2B1505A0"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10.02</w:t>
            </w:r>
          </w:p>
        </w:tc>
        <w:tc>
          <w:tcPr>
            <w:tcW w:w="0" w:type="auto"/>
            <w:hideMark/>
          </w:tcPr>
          <w:p w14:paraId="60858C16"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10.05</w:t>
            </w:r>
          </w:p>
        </w:tc>
        <w:tc>
          <w:tcPr>
            <w:tcW w:w="0" w:type="auto"/>
            <w:hideMark/>
          </w:tcPr>
          <w:p w14:paraId="7E5C1456"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10.80</w:t>
            </w:r>
          </w:p>
        </w:tc>
      </w:tr>
      <w:tr w:rsidR="00496CB3" w:rsidRPr="00496CB3" w14:paraId="3B9B8391" w14:textId="77777777" w:rsidTr="00496CB3">
        <w:trPr>
          <w:trHeight w:val="20"/>
          <w:jc w:val="center"/>
        </w:trPr>
        <w:tc>
          <w:tcPr>
            <w:tcW w:w="0" w:type="auto"/>
            <w:hideMark/>
          </w:tcPr>
          <w:p w14:paraId="6647692E"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Tanjung Balai</w:t>
            </w:r>
          </w:p>
        </w:tc>
        <w:tc>
          <w:tcPr>
            <w:tcW w:w="0" w:type="auto"/>
            <w:hideMark/>
          </w:tcPr>
          <w:p w14:paraId="5C9AEEB6"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22.45</w:t>
            </w:r>
          </w:p>
        </w:tc>
        <w:tc>
          <w:tcPr>
            <w:tcW w:w="0" w:type="auto"/>
            <w:hideMark/>
          </w:tcPr>
          <w:p w14:paraId="3EC4B6A0"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22.65</w:t>
            </w:r>
          </w:p>
        </w:tc>
        <w:tc>
          <w:tcPr>
            <w:tcW w:w="0" w:type="auto"/>
            <w:hideMark/>
          </w:tcPr>
          <w:p w14:paraId="1B9EF14B"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24.10</w:t>
            </w:r>
          </w:p>
        </w:tc>
      </w:tr>
      <w:tr w:rsidR="00496CB3" w:rsidRPr="00496CB3" w14:paraId="388F57B8" w14:textId="77777777" w:rsidTr="00496CB3">
        <w:trPr>
          <w:trHeight w:val="20"/>
          <w:jc w:val="center"/>
        </w:trPr>
        <w:tc>
          <w:tcPr>
            <w:tcW w:w="0" w:type="auto"/>
            <w:hideMark/>
          </w:tcPr>
          <w:p w14:paraId="581329CA"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Pematangsiantar</w:t>
            </w:r>
            <w:proofErr w:type="spellEnd"/>
          </w:p>
        </w:tc>
        <w:tc>
          <w:tcPr>
            <w:tcW w:w="0" w:type="auto"/>
            <w:hideMark/>
          </w:tcPr>
          <w:p w14:paraId="72371B9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18.96</w:t>
            </w:r>
          </w:p>
        </w:tc>
        <w:tc>
          <w:tcPr>
            <w:tcW w:w="0" w:type="auto"/>
            <w:hideMark/>
          </w:tcPr>
          <w:p w14:paraId="472AA807"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20.53</w:t>
            </w:r>
          </w:p>
        </w:tc>
        <w:tc>
          <w:tcPr>
            <w:tcW w:w="0" w:type="auto"/>
            <w:hideMark/>
          </w:tcPr>
          <w:p w14:paraId="4A7D00AA"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22.06</w:t>
            </w:r>
          </w:p>
        </w:tc>
      </w:tr>
      <w:tr w:rsidR="00496CB3" w:rsidRPr="00496CB3" w14:paraId="34671581" w14:textId="77777777" w:rsidTr="00496CB3">
        <w:trPr>
          <w:trHeight w:val="20"/>
          <w:jc w:val="center"/>
        </w:trPr>
        <w:tc>
          <w:tcPr>
            <w:tcW w:w="0" w:type="auto"/>
            <w:hideMark/>
          </w:tcPr>
          <w:p w14:paraId="6E24FF23"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High Cliff</w:t>
            </w:r>
          </w:p>
        </w:tc>
        <w:tc>
          <w:tcPr>
            <w:tcW w:w="0" w:type="auto"/>
            <w:hideMark/>
          </w:tcPr>
          <w:p w14:paraId="1C5CE4F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16.36</w:t>
            </w:r>
          </w:p>
        </w:tc>
        <w:tc>
          <w:tcPr>
            <w:tcW w:w="0" w:type="auto"/>
            <w:hideMark/>
          </w:tcPr>
          <w:p w14:paraId="32C9A0B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16.34</w:t>
            </w:r>
          </w:p>
        </w:tc>
        <w:tc>
          <w:tcPr>
            <w:tcW w:w="0" w:type="auto"/>
            <w:hideMark/>
          </w:tcPr>
          <w:p w14:paraId="7C2862E6"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17.37</w:t>
            </w:r>
          </w:p>
        </w:tc>
      </w:tr>
      <w:tr w:rsidR="00496CB3" w:rsidRPr="00496CB3" w14:paraId="1047C64D" w14:textId="77777777" w:rsidTr="00496CB3">
        <w:trPr>
          <w:trHeight w:val="20"/>
          <w:jc w:val="center"/>
        </w:trPr>
        <w:tc>
          <w:tcPr>
            <w:tcW w:w="0" w:type="auto"/>
            <w:hideMark/>
          </w:tcPr>
          <w:p w14:paraId="71B0CAC1" w14:textId="77777777" w:rsidR="00496CB3" w:rsidRPr="00496CB3" w:rsidRDefault="00496CB3">
            <w:pPr>
              <w:rPr>
                <w:rFonts w:cs="Calibri"/>
                <w:color w:val="000000"/>
                <w:sz w:val="18"/>
                <w:szCs w:val="18"/>
                <w:lang w:eastAsia="en-ID"/>
              </w:rPr>
            </w:pPr>
            <w:r w:rsidRPr="00496CB3">
              <w:rPr>
                <w:rFonts w:cs="Calibri"/>
                <w:color w:val="000000"/>
                <w:sz w:val="18"/>
                <w:szCs w:val="18"/>
                <w:lang w:eastAsia="en-ID"/>
              </w:rPr>
              <w:t>Medan</w:t>
            </w:r>
          </w:p>
        </w:tc>
        <w:tc>
          <w:tcPr>
            <w:tcW w:w="0" w:type="auto"/>
            <w:hideMark/>
          </w:tcPr>
          <w:p w14:paraId="265F469A"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187.28</w:t>
            </w:r>
          </w:p>
        </w:tc>
        <w:tc>
          <w:tcPr>
            <w:tcW w:w="0" w:type="auto"/>
            <w:hideMark/>
          </w:tcPr>
          <w:p w14:paraId="3024386B"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187.74</w:t>
            </w:r>
          </w:p>
        </w:tc>
        <w:tc>
          <w:tcPr>
            <w:tcW w:w="0" w:type="auto"/>
            <w:hideMark/>
          </w:tcPr>
          <w:p w14:paraId="78953CBB"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193.03</w:t>
            </w:r>
          </w:p>
        </w:tc>
      </w:tr>
      <w:tr w:rsidR="00496CB3" w:rsidRPr="00496CB3" w14:paraId="3C78BFB5" w14:textId="77777777" w:rsidTr="00496CB3">
        <w:trPr>
          <w:trHeight w:val="20"/>
          <w:jc w:val="center"/>
        </w:trPr>
        <w:tc>
          <w:tcPr>
            <w:tcW w:w="0" w:type="auto"/>
            <w:hideMark/>
          </w:tcPr>
          <w:p w14:paraId="2C8F2EE6"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Binjai</w:t>
            </w:r>
            <w:proofErr w:type="spellEnd"/>
          </w:p>
        </w:tc>
        <w:tc>
          <w:tcPr>
            <w:tcW w:w="0" w:type="auto"/>
            <w:hideMark/>
          </w:tcPr>
          <w:p w14:paraId="0C06E681"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13.85</w:t>
            </w:r>
          </w:p>
        </w:tc>
        <w:tc>
          <w:tcPr>
            <w:tcW w:w="0" w:type="auto"/>
            <w:hideMark/>
          </w:tcPr>
          <w:p w14:paraId="7FC59822"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14.61</w:t>
            </w:r>
          </w:p>
        </w:tc>
        <w:tc>
          <w:tcPr>
            <w:tcW w:w="0" w:type="auto"/>
            <w:hideMark/>
          </w:tcPr>
          <w:p w14:paraId="5A6A562C"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16.46</w:t>
            </w:r>
          </w:p>
        </w:tc>
      </w:tr>
      <w:tr w:rsidR="00496CB3" w:rsidRPr="00496CB3" w14:paraId="71958166" w14:textId="77777777" w:rsidTr="00496CB3">
        <w:trPr>
          <w:trHeight w:val="20"/>
          <w:jc w:val="center"/>
        </w:trPr>
        <w:tc>
          <w:tcPr>
            <w:tcW w:w="0" w:type="auto"/>
            <w:hideMark/>
          </w:tcPr>
          <w:p w14:paraId="7F5F67E7"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Padangsidimpuan</w:t>
            </w:r>
            <w:proofErr w:type="spellEnd"/>
          </w:p>
        </w:tc>
        <w:tc>
          <w:tcPr>
            <w:tcW w:w="0" w:type="auto"/>
            <w:hideMark/>
          </w:tcPr>
          <w:p w14:paraId="0A22115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16.15</w:t>
            </w:r>
          </w:p>
        </w:tc>
        <w:tc>
          <w:tcPr>
            <w:tcW w:w="0" w:type="auto"/>
            <w:hideMark/>
          </w:tcPr>
          <w:p w14:paraId="5800EDC8"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16.03</w:t>
            </w:r>
          </w:p>
        </w:tc>
        <w:tc>
          <w:tcPr>
            <w:tcW w:w="0" w:type="auto"/>
            <w:hideMark/>
          </w:tcPr>
          <w:p w14:paraId="36AEF90F"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17.28</w:t>
            </w:r>
          </w:p>
        </w:tc>
      </w:tr>
      <w:tr w:rsidR="00496CB3" w:rsidRPr="00496CB3" w14:paraId="3B8473D4" w14:textId="77777777" w:rsidTr="00496CB3">
        <w:trPr>
          <w:trHeight w:val="20"/>
          <w:jc w:val="center"/>
        </w:trPr>
        <w:tc>
          <w:tcPr>
            <w:tcW w:w="0" w:type="auto"/>
            <w:hideMark/>
          </w:tcPr>
          <w:p w14:paraId="0F9214CD" w14:textId="77777777" w:rsidR="00496CB3" w:rsidRPr="00496CB3" w:rsidRDefault="00496CB3">
            <w:pPr>
              <w:rPr>
                <w:rFonts w:cs="Calibri"/>
                <w:color w:val="000000"/>
                <w:sz w:val="18"/>
                <w:szCs w:val="18"/>
                <w:lang w:eastAsia="en-ID"/>
              </w:rPr>
            </w:pPr>
            <w:proofErr w:type="spellStart"/>
            <w:r w:rsidRPr="00496CB3">
              <w:rPr>
                <w:rFonts w:cs="Calibri"/>
                <w:color w:val="000000"/>
                <w:sz w:val="18"/>
                <w:szCs w:val="18"/>
                <w:lang w:eastAsia="en-ID"/>
              </w:rPr>
              <w:t>Gunungsitoli</w:t>
            </w:r>
            <w:proofErr w:type="spellEnd"/>
          </w:p>
        </w:tc>
        <w:tc>
          <w:tcPr>
            <w:tcW w:w="0" w:type="auto"/>
            <w:hideMark/>
          </w:tcPr>
          <w:p w14:paraId="7234C1EE"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22.03</w:t>
            </w:r>
          </w:p>
        </w:tc>
        <w:tc>
          <w:tcPr>
            <w:tcW w:w="0" w:type="auto"/>
            <w:hideMark/>
          </w:tcPr>
          <w:p w14:paraId="6D00AFE9"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21.85</w:t>
            </w:r>
          </w:p>
        </w:tc>
        <w:tc>
          <w:tcPr>
            <w:tcW w:w="0" w:type="auto"/>
            <w:hideMark/>
          </w:tcPr>
          <w:p w14:paraId="4E695F93" w14:textId="77777777" w:rsidR="00496CB3" w:rsidRPr="00496CB3" w:rsidRDefault="00496CB3">
            <w:pPr>
              <w:jc w:val="right"/>
              <w:rPr>
                <w:rFonts w:cs="Calibri"/>
                <w:color w:val="000000"/>
                <w:sz w:val="18"/>
                <w:szCs w:val="18"/>
                <w:lang w:eastAsia="en-ID"/>
              </w:rPr>
            </w:pPr>
            <w:r w:rsidRPr="00496CB3">
              <w:rPr>
                <w:rFonts w:cs="Calibri"/>
                <w:color w:val="000000"/>
                <w:sz w:val="18"/>
                <w:szCs w:val="18"/>
                <w:lang w:eastAsia="en-ID"/>
              </w:rPr>
              <w:t>24.02</w:t>
            </w:r>
          </w:p>
        </w:tc>
      </w:tr>
      <w:tr w:rsidR="00496CB3" w:rsidRPr="00496CB3" w14:paraId="63C4A6F1" w14:textId="77777777" w:rsidTr="00496CB3">
        <w:trPr>
          <w:trHeight w:val="20"/>
          <w:jc w:val="center"/>
        </w:trPr>
        <w:tc>
          <w:tcPr>
            <w:tcW w:w="0" w:type="auto"/>
            <w:shd w:val="clear" w:color="auto" w:fill="D9D9D9" w:themeFill="background1" w:themeFillShade="D9"/>
          </w:tcPr>
          <w:p w14:paraId="635C554B" w14:textId="77777777" w:rsidR="00496CB3" w:rsidRPr="00496CB3" w:rsidRDefault="00496CB3">
            <w:pPr>
              <w:rPr>
                <w:rFonts w:cs="Calibri"/>
                <w:b/>
                <w:sz w:val="18"/>
                <w:szCs w:val="18"/>
                <w:lang w:eastAsia="en-ID"/>
              </w:rPr>
            </w:pPr>
            <w:r w:rsidRPr="00496CB3">
              <w:rPr>
                <w:rFonts w:cs="Calibri"/>
                <w:b/>
                <w:sz w:val="18"/>
                <w:szCs w:val="18"/>
                <w:lang w:eastAsia="en-ID"/>
              </w:rPr>
              <w:t>Indonesia</w:t>
            </w:r>
          </w:p>
        </w:tc>
        <w:tc>
          <w:tcPr>
            <w:tcW w:w="0" w:type="auto"/>
            <w:shd w:val="clear" w:color="auto" w:fill="D9D9D9" w:themeFill="background1" w:themeFillShade="D9"/>
          </w:tcPr>
          <w:p w14:paraId="684110CF" w14:textId="77777777" w:rsidR="00496CB3" w:rsidRPr="00496CB3" w:rsidRDefault="00496CB3">
            <w:pPr>
              <w:jc w:val="right"/>
              <w:rPr>
                <w:rFonts w:cs="Calibri"/>
                <w:b/>
                <w:sz w:val="18"/>
                <w:szCs w:val="18"/>
                <w:lang w:eastAsia="en-ID"/>
              </w:rPr>
            </w:pPr>
            <w:r w:rsidRPr="00496CB3">
              <w:rPr>
                <w:rFonts w:cs="Calibri"/>
                <w:b/>
                <w:sz w:val="18"/>
                <w:szCs w:val="18"/>
                <w:lang w:eastAsia="en-ID"/>
              </w:rPr>
              <w:t>25,898.55</w:t>
            </w:r>
          </w:p>
        </w:tc>
        <w:tc>
          <w:tcPr>
            <w:tcW w:w="0" w:type="auto"/>
            <w:shd w:val="clear" w:color="auto" w:fill="D9D9D9" w:themeFill="background1" w:themeFillShade="D9"/>
          </w:tcPr>
          <w:p w14:paraId="232ECAFD" w14:textId="77777777" w:rsidR="00496CB3" w:rsidRPr="00496CB3" w:rsidRDefault="00496CB3">
            <w:pPr>
              <w:jc w:val="right"/>
              <w:rPr>
                <w:rFonts w:cs="Calibri"/>
                <w:b/>
                <w:sz w:val="18"/>
                <w:szCs w:val="18"/>
                <w:lang w:eastAsia="en-ID"/>
              </w:rPr>
            </w:pPr>
            <w:r w:rsidRPr="00496CB3">
              <w:rPr>
                <w:rFonts w:cs="Calibri"/>
                <w:b/>
                <w:sz w:val="18"/>
                <w:szCs w:val="18"/>
                <w:lang w:eastAsia="en-ID"/>
              </w:rPr>
              <w:t>26,363.27</w:t>
            </w:r>
          </w:p>
        </w:tc>
        <w:tc>
          <w:tcPr>
            <w:tcW w:w="0" w:type="auto"/>
            <w:shd w:val="clear" w:color="auto" w:fill="D9D9D9" w:themeFill="background1" w:themeFillShade="D9"/>
          </w:tcPr>
          <w:p w14:paraId="552E1411" w14:textId="77777777" w:rsidR="00496CB3" w:rsidRPr="00496CB3" w:rsidRDefault="00496CB3">
            <w:pPr>
              <w:jc w:val="right"/>
              <w:rPr>
                <w:rFonts w:cs="Calibri"/>
                <w:b/>
                <w:sz w:val="18"/>
                <w:szCs w:val="18"/>
                <w:lang w:eastAsia="en-ID"/>
              </w:rPr>
            </w:pPr>
            <w:r w:rsidRPr="00496CB3">
              <w:rPr>
                <w:rFonts w:cs="Calibri"/>
                <w:b/>
                <w:sz w:val="18"/>
                <w:szCs w:val="18"/>
                <w:lang w:eastAsia="en-ID"/>
              </w:rPr>
              <w:t>26,503.65</w:t>
            </w:r>
          </w:p>
        </w:tc>
      </w:tr>
    </w:tbl>
    <w:p w14:paraId="738EF60D" w14:textId="219BAF76" w:rsidR="00496CB3" w:rsidRPr="00496CB3" w:rsidRDefault="00496CB3" w:rsidP="00496CB3">
      <w:pPr>
        <w:ind w:left="142" w:firstLine="709"/>
        <w:jc w:val="both"/>
        <w:rPr>
          <w:sz w:val="18"/>
          <w:szCs w:val="18"/>
        </w:rPr>
      </w:pPr>
      <w:proofErr w:type="gramStart"/>
      <w:r w:rsidRPr="00496CB3">
        <w:rPr>
          <w:sz w:val="18"/>
          <w:szCs w:val="18"/>
        </w:rPr>
        <w:t>Source :</w:t>
      </w:r>
      <w:proofErr w:type="gramEnd"/>
      <w:r w:rsidRPr="00496CB3">
        <w:rPr>
          <w:sz w:val="18"/>
          <w:szCs w:val="18"/>
        </w:rPr>
        <w:t xml:space="preserve"> BPS North Sumatra Province 2021-2023 .</w:t>
      </w:r>
    </w:p>
    <w:p w14:paraId="4E824CF4" w14:textId="77777777" w:rsidR="00496CB3" w:rsidRPr="00496CB3" w:rsidRDefault="00496CB3" w:rsidP="00496CB3">
      <w:pPr>
        <w:ind w:left="142" w:firstLine="709"/>
        <w:jc w:val="both"/>
        <w:rPr>
          <w:sz w:val="20"/>
          <w:szCs w:val="20"/>
        </w:rPr>
      </w:pPr>
    </w:p>
    <w:p w14:paraId="1277B04C" w14:textId="77777777" w:rsidR="00BB2C0A" w:rsidRPr="00BB2C0A" w:rsidRDefault="00BB2C0A" w:rsidP="00BB2C0A">
      <w:pPr>
        <w:ind w:firstLine="567"/>
        <w:jc w:val="both"/>
        <w:rPr>
          <w:highlight w:val="yellow"/>
          <w:lang w:val="en-ID"/>
        </w:rPr>
      </w:pPr>
      <w:r w:rsidRPr="00BB2C0A">
        <w:rPr>
          <w:highlight w:val="yellow"/>
          <w:lang w:val="en-ID"/>
        </w:rPr>
        <w:t xml:space="preserve">Table 1 shows that the number of poor people in North Sumatra Province remains high, particularly in major cities and regencies such as Medan City, Deli Serdang Regency, and </w:t>
      </w:r>
      <w:proofErr w:type="spellStart"/>
      <w:r w:rsidRPr="00BB2C0A">
        <w:rPr>
          <w:highlight w:val="yellow"/>
          <w:lang w:val="en-ID"/>
        </w:rPr>
        <w:t>Langkat</w:t>
      </w:r>
      <w:proofErr w:type="spellEnd"/>
      <w:r w:rsidRPr="00BB2C0A">
        <w:rPr>
          <w:highlight w:val="yellow"/>
          <w:lang w:val="en-ID"/>
        </w:rPr>
        <w:t xml:space="preserve"> Regency. This condition presents a paradox, since the welfare of residents in large urban areas should, in principle, be better than that of residents in rural areas. However, the current situation in North Sumatra Province shows otherwise. Therefore, the government’s task in alleviating poverty in North Sumatra Province has become increasingly complex.</w:t>
      </w:r>
    </w:p>
    <w:p w14:paraId="14B30EF5" w14:textId="42BE5313" w:rsidR="00BB2C0A" w:rsidRPr="00BB2C0A" w:rsidRDefault="00BB2C0A" w:rsidP="00BB2C0A">
      <w:pPr>
        <w:ind w:firstLine="567"/>
        <w:jc w:val="both"/>
        <w:rPr>
          <w:highlight w:val="yellow"/>
          <w:lang w:val="en-ID"/>
        </w:rPr>
      </w:pPr>
      <w:r w:rsidRPr="00BB2C0A">
        <w:rPr>
          <w:highlight w:val="yellow"/>
          <w:lang w:val="en-ID"/>
        </w:rPr>
        <w:t>Alkire (2015) revealed that poverty alleviation must be carried out in a precise and comprehensive manner, covering various aspects of life, because poverty is a complex problem. Poverty alleviation can be pursued through natural economic growth or through direct government intervention in the form of poverty alleviation programmes. Economic growth is regarded as an important pathway for poverty reduction because it improves income and social welfare (Todaro, 2000). Every government policy plays an important role in regulating balanced and successful economic growth (Stiglitz, 1997).</w:t>
      </w:r>
    </w:p>
    <w:p w14:paraId="34518696" w14:textId="0E5DE246" w:rsidR="00BB2C0A" w:rsidRPr="00BB2C0A" w:rsidRDefault="00BB2C0A" w:rsidP="00BB2C0A">
      <w:pPr>
        <w:ind w:firstLine="567"/>
        <w:jc w:val="both"/>
        <w:rPr>
          <w:highlight w:val="yellow"/>
          <w:lang w:val="en-ID"/>
        </w:rPr>
      </w:pPr>
      <w:r w:rsidRPr="00BB2C0A">
        <w:rPr>
          <w:highlight w:val="yellow"/>
          <w:lang w:val="en-ID"/>
        </w:rPr>
        <w:t>The government can also undertake direct intervention in the form of poverty alleviation programmes. In general, such government programmes are influenced by various internal factors. Broadly speaking, regional government programmes that are implemented economically and supported by transparency, accountability, and principles of justice will generate better outcomes, including in poverty alleviation (</w:t>
      </w:r>
      <w:proofErr w:type="spellStart"/>
      <w:proofErr w:type="gramStart"/>
      <w:r w:rsidRPr="00BB2C0A">
        <w:rPr>
          <w:highlight w:val="yellow"/>
          <w:lang w:val="en-ID"/>
        </w:rPr>
        <w:t>Idrus</w:t>
      </w:r>
      <w:proofErr w:type="spellEnd"/>
      <w:r w:rsidRPr="00BB2C0A">
        <w:rPr>
          <w:highlight w:val="yellow"/>
          <w:lang w:val="en-ID"/>
        </w:rPr>
        <w:t xml:space="preserve"> ,</w:t>
      </w:r>
      <w:proofErr w:type="gramEnd"/>
      <w:r w:rsidRPr="00BB2C0A">
        <w:rPr>
          <w:highlight w:val="yellow"/>
          <w:lang w:val="en-ID"/>
        </w:rPr>
        <w:t xml:space="preserve"> 2024). Government programmes themselves are strongly influenced by accountability management, transparency, and financial performance (</w:t>
      </w:r>
      <w:proofErr w:type="spellStart"/>
      <w:proofErr w:type="gramStart"/>
      <w:r w:rsidRPr="00BB2C0A">
        <w:rPr>
          <w:highlight w:val="yellow"/>
          <w:lang w:val="en-ID"/>
        </w:rPr>
        <w:t>Priono</w:t>
      </w:r>
      <w:proofErr w:type="spellEnd"/>
      <w:r w:rsidRPr="00BB2C0A">
        <w:rPr>
          <w:highlight w:val="yellow"/>
          <w:lang w:val="en-ID"/>
        </w:rPr>
        <w:t xml:space="preserve"> ,</w:t>
      </w:r>
      <w:proofErr w:type="gramEnd"/>
      <w:r w:rsidRPr="00BB2C0A">
        <w:rPr>
          <w:highlight w:val="yellow"/>
          <w:lang w:val="en-ID"/>
        </w:rPr>
        <w:t xml:space="preserve"> 2019).</w:t>
      </w:r>
    </w:p>
    <w:p w14:paraId="36A505D1" w14:textId="77777777" w:rsidR="00BB2C0A" w:rsidRPr="00BB2C0A" w:rsidRDefault="00BB2C0A" w:rsidP="00BB2C0A">
      <w:pPr>
        <w:ind w:firstLine="567"/>
        <w:jc w:val="both"/>
        <w:rPr>
          <w:highlight w:val="yellow"/>
          <w:lang w:val="en-ID"/>
        </w:rPr>
      </w:pPr>
      <w:r w:rsidRPr="00BB2C0A">
        <w:rPr>
          <w:highlight w:val="yellow"/>
          <w:lang w:val="en-ID"/>
        </w:rPr>
        <w:t xml:space="preserve">Accountability management encompasses all activities involving planning, implementation, administration, reporting, accountability, and regional financial supervision, all of which are highly important aspects of regional financial management (Allen, 2004). Problems often arise in the accountability process because the accountability of government apparatus has not yet met public expectations, mainly because the instruments used do not have a clear scope or function (Lodge, 2004). Demands for transparency in the organisational system of regional apparatus have increased during the current reform era, including transparency in regional financial management. Budget management supervision is carried out annually through a reporting system accompanied by records and documentary evidence of expenditure </w:t>
      </w:r>
      <w:proofErr w:type="gramStart"/>
      <w:r w:rsidRPr="00BB2C0A">
        <w:rPr>
          <w:highlight w:val="yellow"/>
          <w:lang w:val="en-ID"/>
        </w:rPr>
        <w:t xml:space="preserve">( </w:t>
      </w:r>
      <w:proofErr w:type="spellStart"/>
      <w:r w:rsidRPr="00BB2C0A">
        <w:rPr>
          <w:highlight w:val="yellow"/>
          <w:lang w:val="en-ID"/>
        </w:rPr>
        <w:t>Wagenhover</w:t>
      </w:r>
      <w:proofErr w:type="spellEnd"/>
      <w:proofErr w:type="gramEnd"/>
      <w:r w:rsidRPr="00BB2C0A">
        <w:rPr>
          <w:highlight w:val="yellow"/>
          <w:lang w:val="en-ID"/>
        </w:rPr>
        <w:t xml:space="preserve"> , 2024).</w:t>
      </w:r>
    </w:p>
    <w:p w14:paraId="73DCF289" w14:textId="77777777" w:rsidR="00BB2C0A" w:rsidRPr="00BB2C0A" w:rsidRDefault="00BB2C0A" w:rsidP="00BB2C0A">
      <w:pPr>
        <w:ind w:firstLine="567"/>
        <w:jc w:val="both"/>
        <w:rPr>
          <w:highlight w:val="yellow"/>
          <w:lang w:val="en-ID"/>
        </w:rPr>
      </w:pPr>
      <w:r w:rsidRPr="00BB2C0A">
        <w:rPr>
          <w:highlight w:val="yellow"/>
          <w:lang w:val="en-ID"/>
        </w:rPr>
        <w:t xml:space="preserve">Financial performance management is a principal means of evaluating and improving performance with the objective of increasing efficiency and effectiveness (Astuti 2022). Financial performance can be measured using an analysis of regional financial ratios derived from regional budget revenue and expenditure reports, consisting of the regional financial independence ratio, the effectiveness and efficiency ratio of local own-source revenue, the activity ratio, the debt service coverage ratio, and the growth ratio </w:t>
      </w:r>
      <w:proofErr w:type="gramStart"/>
      <w:r w:rsidRPr="00BB2C0A">
        <w:rPr>
          <w:highlight w:val="yellow"/>
          <w:lang w:val="en-ID"/>
        </w:rPr>
        <w:t xml:space="preserve">( </w:t>
      </w:r>
      <w:proofErr w:type="spellStart"/>
      <w:r w:rsidRPr="00BB2C0A">
        <w:rPr>
          <w:highlight w:val="yellow"/>
          <w:lang w:val="en-ID"/>
        </w:rPr>
        <w:t>Apriyadi</w:t>
      </w:r>
      <w:proofErr w:type="spellEnd"/>
      <w:proofErr w:type="gramEnd"/>
      <w:r w:rsidRPr="00BB2C0A">
        <w:rPr>
          <w:highlight w:val="yellow"/>
          <w:lang w:val="en-ID"/>
        </w:rPr>
        <w:t xml:space="preserve"> , 2024). According to Agres (2025), in the context of transparent, honest, democratic, effective, </w:t>
      </w:r>
      <w:r w:rsidRPr="00BB2C0A">
        <w:rPr>
          <w:highlight w:val="yellow"/>
          <w:lang w:val="en-ID"/>
        </w:rPr>
        <w:lastRenderedPageBreak/>
        <w:t>efficient, and accountable regional financial performance management, financial ratio analysis of regional revenues and expenditures needs to be implemented. In reality, however, government capacity remains very limited, and there is still no agreement regarding measurement rules. As a result, many regional governments neglect aspects of financial performance management. Accountability, transparency, and financial performance are therefore crucial for the efficiency and effectiveness of government programmes in alleviating poverty.</w:t>
      </w:r>
    </w:p>
    <w:p w14:paraId="7E515E90" w14:textId="1D3F8998" w:rsidR="00BB2C0A" w:rsidRPr="00BB2C0A" w:rsidRDefault="00BB2C0A" w:rsidP="00BB2C0A">
      <w:pPr>
        <w:ind w:firstLine="567"/>
        <w:jc w:val="both"/>
        <w:rPr>
          <w:highlight w:val="yellow"/>
          <w:lang w:val="en-ID"/>
        </w:rPr>
      </w:pPr>
      <w:r w:rsidRPr="00BB2C0A">
        <w:rPr>
          <w:highlight w:val="yellow"/>
          <w:lang w:val="en-ID"/>
        </w:rPr>
        <w:t>The following is the research gap underlying this study: accountability, transparency, and financial performance have a substantial influence on increasing economic growth and also directly affect poverty alleviation programmes in North Sumatra Province. Higher accountability scores are correlated with better fund utilisation, which leads to improved economic outcomes and better government programmes (Bakri et al., 2024). Transparency in regional financial management is essential for good governance and for ensuring that government programmes are clean and efficient. Financial performance is the main source of government capacity to implement programmes, either as a driver of economic growth or as a direct instrument of poverty alleviation (</w:t>
      </w:r>
      <w:proofErr w:type="spellStart"/>
      <w:r w:rsidRPr="00BB2C0A">
        <w:rPr>
          <w:highlight w:val="yellow"/>
          <w:lang w:val="en-ID"/>
        </w:rPr>
        <w:t>Pondaag</w:t>
      </w:r>
      <w:proofErr w:type="spellEnd"/>
      <w:r w:rsidRPr="00BB2C0A">
        <w:rPr>
          <w:highlight w:val="yellow"/>
          <w:lang w:val="en-ID"/>
        </w:rPr>
        <w:t xml:space="preserve"> et al., 2024).</w:t>
      </w:r>
    </w:p>
    <w:p w14:paraId="12A5B0A1" w14:textId="298E5AAC" w:rsidR="00BB2C0A" w:rsidRPr="00BB2C0A" w:rsidRDefault="00BB2C0A" w:rsidP="00BB2C0A">
      <w:pPr>
        <w:ind w:firstLine="567"/>
        <w:jc w:val="both"/>
        <w:rPr>
          <w:highlight w:val="yellow"/>
          <w:lang w:val="en-ID"/>
        </w:rPr>
      </w:pPr>
      <w:r w:rsidRPr="00BB2C0A">
        <w:rPr>
          <w:highlight w:val="yellow"/>
          <w:lang w:val="en-ID"/>
        </w:rPr>
        <w:t>Previous research has shown that regional government financial performance has a limited direct impact on poverty levels. Some financial ratios positively influence poverty levels, but overall financial performance does not significantly affect poverty dynamics (</w:t>
      </w:r>
      <w:proofErr w:type="spellStart"/>
      <w:r w:rsidRPr="00BB2C0A">
        <w:rPr>
          <w:highlight w:val="yellow"/>
          <w:lang w:val="en-ID"/>
        </w:rPr>
        <w:t>Apriyadi</w:t>
      </w:r>
      <w:proofErr w:type="spellEnd"/>
      <w:r w:rsidRPr="00BB2C0A">
        <w:rPr>
          <w:highlight w:val="yellow"/>
          <w:lang w:val="en-ID"/>
        </w:rPr>
        <w:t xml:space="preserve"> et al., 2024). On the other hand, regional financial performance in Central Java shows a slight positive correlation with economic growth, and improvements in financial management can contribute to broader economic benefits, although only modestly (</w:t>
      </w:r>
      <w:proofErr w:type="spellStart"/>
      <w:r w:rsidRPr="00BB2C0A">
        <w:rPr>
          <w:highlight w:val="yellow"/>
          <w:lang w:val="en-ID"/>
        </w:rPr>
        <w:t>Komaedi</w:t>
      </w:r>
      <w:proofErr w:type="spellEnd"/>
      <w:r w:rsidRPr="00BB2C0A">
        <w:rPr>
          <w:highlight w:val="yellow"/>
          <w:lang w:val="en-ID"/>
        </w:rPr>
        <w:t xml:space="preserve"> et al., 2024). Meanwhile, accountability and transparency are very important for improving regional financial performance, but their direct effects on poverty reduction are nuanced and require a more regional approach that covers various socio-economic factors (Agres, 2025).</w:t>
      </w:r>
    </w:p>
    <w:p w14:paraId="448325C6" w14:textId="4EEF9CCC" w:rsidR="00496CB3" w:rsidRPr="00BB2C0A" w:rsidRDefault="00BB2C0A" w:rsidP="00BB2C0A">
      <w:pPr>
        <w:ind w:firstLine="567"/>
        <w:jc w:val="both"/>
        <w:rPr>
          <w:highlight w:val="yellow"/>
          <w:lang w:val="en-ID"/>
        </w:rPr>
      </w:pPr>
      <w:r w:rsidRPr="00BB2C0A">
        <w:rPr>
          <w:highlight w:val="yellow"/>
          <w:lang w:val="en-ID"/>
        </w:rPr>
        <w:t>This study uses economic growth as a moderating variable because it seeks to understand how economic growth influences poverty levels in North Sumatra. In addition, the study also examines how accountability, transparency, and financial performance, as dimensions of government programmes, influence poverty alleviation both directly and indirectly</w:t>
      </w:r>
      <w:r w:rsidR="00AB7F6D" w:rsidRPr="00BB2C0A">
        <w:rPr>
          <w:highlight w:val="yellow"/>
        </w:rPr>
        <w:t>.</w:t>
      </w:r>
    </w:p>
    <w:p w14:paraId="742BF8A6" w14:textId="44935776" w:rsidR="00A06CEA" w:rsidRPr="00554BDF" w:rsidRDefault="00BB2C0A" w:rsidP="00BB2C0A">
      <w:pPr>
        <w:ind w:firstLine="567"/>
        <w:jc w:val="both"/>
      </w:pPr>
      <w:r w:rsidRPr="00BB2C0A">
        <w:rPr>
          <w:highlight w:val="yellow"/>
        </w:rPr>
        <w:t>Based on the literature review that has been conducted, the research framework used in this study is presented in Figure 1. This study aims to examine the influence of accountability, transparency, and regional government financial performance on poverty, with economic growth serving as a moderating variable</w:t>
      </w:r>
      <w:r w:rsidR="00740892" w:rsidRPr="00BB2C0A">
        <w:rPr>
          <w:highlight w:val="yellow"/>
        </w:rPr>
        <w:t>.</w:t>
      </w:r>
    </w:p>
    <w:p w14:paraId="55EEE938" w14:textId="77777777" w:rsidR="00EF5863" w:rsidRPr="00554BDF" w:rsidRDefault="00EF5863" w:rsidP="00554BDF"/>
    <w:p w14:paraId="4975FF5B" w14:textId="62C8F202" w:rsidR="00EF5863" w:rsidRPr="00541BC8" w:rsidRDefault="00554BDF" w:rsidP="00541BC8">
      <w:pPr>
        <w:pStyle w:val="BodyText"/>
        <w:spacing w:before="5" w:after="1"/>
        <w:jc w:val="center"/>
        <w:rPr>
          <w:sz w:val="17"/>
        </w:rPr>
      </w:pPr>
      <w:r w:rsidRPr="00646C8E">
        <w:rPr>
          <w:b/>
          <w:noProof/>
          <w:shd w:val="clear" w:color="auto" w:fill="FFFFFF" w:themeFill="background1"/>
        </w:rPr>
        <w:drawing>
          <wp:inline distT="0" distB="0" distL="0" distR="0" wp14:anchorId="51F91642" wp14:editId="13591566">
            <wp:extent cx="3211033" cy="2190115"/>
            <wp:effectExtent l="0" t="0" r="27940" b="19685"/>
            <wp:docPr id="13998042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AD555EE" w14:textId="77777777" w:rsidR="00554BDF" w:rsidRPr="00200677" w:rsidRDefault="00554BDF" w:rsidP="00200677"/>
    <w:p w14:paraId="4ED2231E" w14:textId="4C0BDD16" w:rsidR="00EF5863" w:rsidRPr="00200677" w:rsidRDefault="00200677" w:rsidP="00200677">
      <w:pPr>
        <w:jc w:val="center"/>
      </w:pPr>
      <w:r>
        <w:t xml:space="preserve">Figure </w:t>
      </w:r>
      <w:r w:rsidR="00177EB3" w:rsidRPr="00200677">
        <w:t xml:space="preserve">1. </w:t>
      </w:r>
      <w:r>
        <w:t>Research Framework</w:t>
      </w:r>
    </w:p>
    <w:p w14:paraId="2ACA2FC3" w14:textId="47E08D01" w:rsidR="00EF5863" w:rsidRPr="005A054B" w:rsidRDefault="005A054B" w:rsidP="005A054B">
      <w:pPr>
        <w:rPr>
          <w:b/>
          <w:bCs/>
        </w:rPr>
      </w:pPr>
      <w:r>
        <w:rPr>
          <w:b/>
          <w:bCs/>
        </w:rPr>
        <w:t xml:space="preserve">II. </w:t>
      </w:r>
      <w:r w:rsidR="00177EB3" w:rsidRPr="005A054B">
        <w:rPr>
          <w:b/>
          <w:bCs/>
        </w:rPr>
        <w:t>METHODS</w:t>
      </w:r>
    </w:p>
    <w:p w14:paraId="75E949BB" w14:textId="77777777" w:rsidR="00740892" w:rsidRDefault="00740892" w:rsidP="00554BDF"/>
    <w:p w14:paraId="5C77B497" w14:textId="77777777" w:rsidR="004355FB" w:rsidRPr="004355FB" w:rsidRDefault="004355FB" w:rsidP="004355FB">
      <w:pPr>
        <w:jc w:val="both"/>
        <w:rPr>
          <w:b/>
          <w:bCs/>
          <w:highlight w:val="yellow"/>
          <w:lang w:val="en-ID"/>
        </w:rPr>
      </w:pPr>
      <w:r w:rsidRPr="004355FB">
        <w:rPr>
          <w:b/>
          <w:bCs/>
          <w:highlight w:val="yellow"/>
          <w:lang w:val="en-ID"/>
        </w:rPr>
        <w:t>2.1 Research Design and Unit of Analysis</w:t>
      </w:r>
    </w:p>
    <w:p w14:paraId="7757E729" w14:textId="77777777" w:rsidR="004355FB" w:rsidRPr="004355FB" w:rsidRDefault="004355FB" w:rsidP="004355FB">
      <w:pPr>
        <w:ind w:firstLine="567"/>
        <w:jc w:val="both"/>
        <w:rPr>
          <w:highlight w:val="yellow"/>
          <w:lang w:val="en-ID"/>
        </w:rPr>
      </w:pPr>
      <w:r w:rsidRPr="004355FB">
        <w:rPr>
          <w:highlight w:val="yellow"/>
          <w:lang w:val="en-ID"/>
        </w:rPr>
        <w:t>This study employed a quantitative explanatory design using panel data regression to examine the effects of accountability, transparency, and regional financial performance on poverty levels in North Sumatra Province, with economic growth treated as a moderating variable. The use of panel data was considered appropriate because the study combined cross-sectional observations across regencies and municipalities with time-series observations over multiple years, thereby enabling the analysis to capture both inter-regional variation and temporal dynamics.</w:t>
      </w:r>
    </w:p>
    <w:p w14:paraId="024BF5BA" w14:textId="77777777" w:rsidR="004355FB" w:rsidRPr="004355FB" w:rsidRDefault="004355FB" w:rsidP="004355FB">
      <w:pPr>
        <w:ind w:firstLine="567"/>
        <w:jc w:val="both"/>
        <w:rPr>
          <w:highlight w:val="yellow"/>
          <w:lang w:val="en-ID"/>
        </w:rPr>
      </w:pPr>
      <w:r w:rsidRPr="004355FB">
        <w:rPr>
          <w:highlight w:val="yellow"/>
          <w:lang w:val="en-ID"/>
        </w:rPr>
        <w:t xml:space="preserve">The unit of analysis consisted of district and municipal governments in North Sumatra Province. Each regency or municipality was treated as an observational unit and was examined through a set of </w:t>
      </w:r>
      <w:r w:rsidRPr="004355FB">
        <w:rPr>
          <w:highlight w:val="yellow"/>
          <w:lang w:val="en-ID"/>
        </w:rPr>
        <w:lastRenderedPageBreak/>
        <w:t>macroeconomic and regional financial management indicators. The observation period covered 2022 to 2024. Accordingly, the dataset comprised region-year observations constructed from all sampled regencies and municipalities during the study period.</w:t>
      </w:r>
    </w:p>
    <w:p w14:paraId="5DEE99D8" w14:textId="77777777" w:rsidR="004355FB" w:rsidRDefault="004355FB" w:rsidP="004355FB">
      <w:pPr>
        <w:jc w:val="both"/>
        <w:rPr>
          <w:b/>
          <w:bCs/>
          <w:highlight w:val="yellow"/>
          <w:lang w:val="en-ID"/>
        </w:rPr>
      </w:pPr>
    </w:p>
    <w:p w14:paraId="371E8E5A" w14:textId="48682209" w:rsidR="004355FB" w:rsidRPr="004355FB" w:rsidRDefault="004355FB" w:rsidP="004355FB">
      <w:pPr>
        <w:jc w:val="both"/>
        <w:rPr>
          <w:b/>
          <w:bCs/>
          <w:highlight w:val="yellow"/>
          <w:lang w:val="en-ID"/>
        </w:rPr>
      </w:pPr>
      <w:r w:rsidRPr="004355FB">
        <w:rPr>
          <w:b/>
          <w:bCs/>
          <w:highlight w:val="yellow"/>
          <w:lang w:val="en-ID"/>
        </w:rPr>
        <w:t>2.2 Data Source and Data Collection</w:t>
      </w:r>
    </w:p>
    <w:p w14:paraId="2A47EBDD" w14:textId="77777777" w:rsidR="004355FB" w:rsidRPr="004355FB" w:rsidRDefault="004355FB" w:rsidP="004355FB">
      <w:pPr>
        <w:ind w:firstLine="567"/>
        <w:jc w:val="both"/>
        <w:rPr>
          <w:highlight w:val="yellow"/>
          <w:lang w:val="en-ID"/>
        </w:rPr>
      </w:pPr>
      <w:r w:rsidRPr="004355FB">
        <w:rPr>
          <w:highlight w:val="yellow"/>
          <w:lang w:val="en-ID"/>
        </w:rPr>
        <w:t>This study relied exclusively on secondary data obtained from official and publicly accessible institutional sources. Data on poverty levels and economic growth were obtained from publications issued by the Central Statistics Agency of North Sumatra Province. Data on regional financial performance were derived from the financial statements of district and municipal governments. Data on transparency were obtained from public information disclosure reports, while data on accountability were derived from inspection and supervisory reports issued by the Inspectorate and the Audit Board.</w:t>
      </w:r>
    </w:p>
    <w:p w14:paraId="24304D9C" w14:textId="77777777" w:rsidR="004355FB" w:rsidRPr="004355FB" w:rsidRDefault="004355FB" w:rsidP="004355FB">
      <w:pPr>
        <w:ind w:firstLine="567"/>
        <w:jc w:val="both"/>
        <w:rPr>
          <w:highlight w:val="yellow"/>
          <w:lang w:val="en-ID"/>
        </w:rPr>
      </w:pPr>
      <w:r w:rsidRPr="004355FB">
        <w:rPr>
          <w:highlight w:val="yellow"/>
          <w:lang w:val="en-ID"/>
        </w:rPr>
        <w:t>The use of official documentary sources was intended to enhance the reliability, consistency, and verifiability of the dataset. All variables were compiled at the regional level and harmonised into a panel structure in order to permit regression-based estimation.</w:t>
      </w:r>
    </w:p>
    <w:p w14:paraId="42F55545" w14:textId="77777777" w:rsidR="004355FB" w:rsidRDefault="004355FB" w:rsidP="004355FB">
      <w:pPr>
        <w:jc w:val="both"/>
        <w:rPr>
          <w:b/>
          <w:bCs/>
          <w:highlight w:val="yellow"/>
          <w:lang w:val="en-ID"/>
        </w:rPr>
      </w:pPr>
    </w:p>
    <w:p w14:paraId="6C1E28B8" w14:textId="2590E6DC" w:rsidR="004355FB" w:rsidRPr="004355FB" w:rsidRDefault="004355FB" w:rsidP="004355FB">
      <w:pPr>
        <w:jc w:val="both"/>
        <w:rPr>
          <w:b/>
          <w:bCs/>
          <w:highlight w:val="yellow"/>
          <w:lang w:val="en-ID"/>
        </w:rPr>
      </w:pPr>
      <w:r w:rsidRPr="004355FB">
        <w:rPr>
          <w:b/>
          <w:bCs/>
          <w:highlight w:val="yellow"/>
          <w:lang w:val="en-ID"/>
        </w:rPr>
        <w:t>2.3 Operational Definition and Measurement of Variables</w:t>
      </w:r>
    </w:p>
    <w:p w14:paraId="5C0D0CE2" w14:textId="77777777" w:rsidR="004355FB" w:rsidRPr="004355FB" w:rsidRDefault="004355FB" w:rsidP="004355FB">
      <w:pPr>
        <w:jc w:val="both"/>
        <w:rPr>
          <w:b/>
          <w:bCs/>
          <w:highlight w:val="yellow"/>
          <w:lang w:val="en-ID"/>
        </w:rPr>
      </w:pPr>
      <w:r w:rsidRPr="004355FB">
        <w:rPr>
          <w:b/>
          <w:bCs/>
          <w:highlight w:val="yellow"/>
          <w:lang w:val="en-ID"/>
        </w:rPr>
        <w:t>2.3.1 Dependent Variable</w:t>
      </w:r>
    </w:p>
    <w:p w14:paraId="7BB4259F" w14:textId="77777777" w:rsidR="004355FB" w:rsidRPr="004355FB" w:rsidRDefault="004355FB" w:rsidP="004355FB">
      <w:pPr>
        <w:ind w:firstLine="567"/>
        <w:jc w:val="both"/>
        <w:rPr>
          <w:highlight w:val="yellow"/>
          <w:lang w:val="en-ID"/>
        </w:rPr>
      </w:pPr>
      <w:r w:rsidRPr="004355FB">
        <w:rPr>
          <w:highlight w:val="yellow"/>
          <w:lang w:val="en-ID"/>
        </w:rPr>
        <w:t>The dependent variable in this study was the poverty level. Poverty was measured using the official approach adopted by BPS (2016). Under this approach, poor people are defined as residents whose expenditure falls below the poverty line. The poverty line itself is determined on the basis of two components, namely the value of food expenditure equivalent to 2,100 kilocalories per capita per day and the minimum expenditure required to meet non-food basic needs. In this study, poverty level was operationalised as the percentage of poor people relative to the total population in each regency or municipality.</w:t>
      </w:r>
    </w:p>
    <w:p w14:paraId="491437B4" w14:textId="77777777" w:rsidR="004355FB" w:rsidRPr="004355FB" w:rsidRDefault="004355FB" w:rsidP="004355FB">
      <w:pPr>
        <w:jc w:val="both"/>
        <w:rPr>
          <w:b/>
          <w:bCs/>
          <w:highlight w:val="yellow"/>
          <w:lang w:val="en-ID"/>
        </w:rPr>
      </w:pPr>
      <w:r w:rsidRPr="004355FB">
        <w:rPr>
          <w:b/>
          <w:bCs/>
          <w:highlight w:val="yellow"/>
          <w:lang w:val="en-ID"/>
        </w:rPr>
        <w:t>2.3.2 Moderating Variable</w:t>
      </w:r>
    </w:p>
    <w:p w14:paraId="27A9C072" w14:textId="77777777" w:rsidR="004355FB" w:rsidRPr="004355FB" w:rsidRDefault="004355FB" w:rsidP="004355FB">
      <w:pPr>
        <w:ind w:firstLine="567"/>
        <w:jc w:val="both"/>
        <w:rPr>
          <w:highlight w:val="yellow"/>
          <w:lang w:val="en-ID"/>
        </w:rPr>
      </w:pPr>
      <w:r w:rsidRPr="004355FB">
        <w:rPr>
          <w:highlight w:val="yellow"/>
          <w:lang w:val="en-ID"/>
        </w:rPr>
        <w:t>Economic growth was treated both as an explanatory variable and as a moderating variable. It was measured using the annual growth rate of Gross Regional Domestic Product (GRDP) at constant prices. The annual growth rate was calculated using the following formula:</w:t>
      </w:r>
    </w:p>
    <w:p w14:paraId="364896E7" w14:textId="3C355729" w:rsidR="004355FB" w:rsidRPr="004355FB" w:rsidRDefault="004355FB" w:rsidP="004355FB">
      <w:pPr>
        <w:ind w:firstLine="567"/>
        <w:jc w:val="both"/>
        <w:rPr>
          <w:highlight w:val="yellow"/>
          <w:lang w:val="en-ID"/>
        </w:rPr>
      </w:pPr>
      <m:oMathPara>
        <m:oMath>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r>
            <w:rPr>
              <w:rFonts w:ascii="Cambria Math" w:hAnsi="Cambria Math"/>
              <w:highlight w:val="yellow"/>
              <w:lang w:val="en-ID"/>
            </w:rPr>
            <m:t>=</m:t>
          </m:r>
          <m:f>
            <m:fPr>
              <m:ctrlPr>
                <w:rPr>
                  <w:rFonts w:ascii="Cambria Math" w:hAnsi="Cambria Math"/>
                  <w:highlight w:val="yellow"/>
                  <w:lang w:val="en-ID"/>
                </w:rPr>
              </m:ctrlPr>
            </m:fPr>
            <m:num>
              <m:r>
                <w:rPr>
                  <w:rFonts w:ascii="Cambria Math" w:hAnsi="Cambria Math"/>
                  <w:highlight w:val="yellow"/>
                  <w:lang w:val="en-ID"/>
                </w:rPr>
                <m:t>GRD</m:t>
              </m:r>
              <m:sSub>
                <m:sSubPr>
                  <m:ctrlPr>
                    <w:rPr>
                      <w:rFonts w:ascii="Cambria Math" w:hAnsi="Cambria Math"/>
                      <w:highlight w:val="yellow"/>
                      <w:lang w:val="en-ID"/>
                    </w:rPr>
                  </m:ctrlPr>
                </m:sSubPr>
                <m:e>
                  <m:r>
                    <w:rPr>
                      <w:rFonts w:ascii="Cambria Math" w:hAnsi="Cambria Math"/>
                      <w:highlight w:val="yellow"/>
                      <w:lang w:val="en-ID"/>
                    </w:rPr>
                    <m:t>P</m:t>
                  </m:r>
                </m:e>
                <m:sub>
                  <m:r>
                    <w:rPr>
                      <w:rFonts w:ascii="Cambria Math" w:hAnsi="Cambria Math"/>
                      <w:highlight w:val="yellow"/>
                      <w:lang w:val="en-ID"/>
                    </w:rPr>
                    <m:t>it</m:t>
                  </m:r>
                </m:sub>
              </m:sSub>
              <m:r>
                <w:rPr>
                  <w:rFonts w:ascii="Cambria Math" w:hAnsi="Cambria Math"/>
                  <w:highlight w:val="yellow"/>
                  <w:lang w:val="en-ID"/>
                </w:rPr>
                <m:t>-GRD</m:t>
              </m:r>
              <m:sSub>
                <m:sSubPr>
                  <m:ctrlPr>
                    <w:rPr>
                      <w:rFonts w:ascii="Cambria Math" w:hAnsi="Cambria Math"/>
                      <w:highlight w:val="yellow"/>
                      <w:lang w:val="en-ID"/>
                    </w:rPr>
                  </m:ctrlPr>
                </m:sSubPr>
                <m:e>
                  <m:r>
                    <w:rPr>
                      <w:rFonts w:ascii="Cambria Math" w:hAnsi="Cambria Math"/>
                      <w:highlight w:val="yellow"/>
                      <w:lang w:val="en-ID"/>
                    </w:rPr>
                    <m:t>P</m:t>
                  </m:r>
                </m:e>
                <m:sub>
                  <m:r>
                    <w:rPr>
                      <w:rFonts w:ascii="Cambria Math" w:hAnsi="Cambria Math"/>
                      <w:highlight w:val="yellow"/>
                      <w:lang w:val="en-ID"/>
                    </w:rPr>
                    <m:t>it-1</m:t>
                  </m:r>
                </m:sub>
              </m:sSub>
            </m:num>
            <m:den>
              <m:r>
                <w:rPr>
                  <w:rFonts w:ascii="Cambria Math" w:hAnsi="Cambria Math"/>
                  <w:highlight w:val="yellow"/>
                  <w:lang w:val="en-ID"/>
                </w:rPr>
                <m:t>GRD</m:t>
              </m:r>
              <m:sSub>
                <m:sSubPr>
                  <m:ctrlPr>
                    <w:rPr>
                      <w:rFonts w:ascii="Cambria Math" w:hAnsi="Cambria Math"/>
                      <w:highlight w:val="yellow"/>
                      <w:lang w:val="en-ID"/>
                    </w:rPr>
                  </m:ctrlPr>
                </m:sSubPr>
                <m:e>
                  <m:r>
                    <w:rPr>
                      <w:rFonts w:ascii="Cambria Math" w:hAnsi="Cambria Math"/>
                      <w:highlight w:val="yellow"/>
                      <w:lang w:val="en-ID"/>
                    </w:rPr>
                    <m:t>P</m:t>
                  </m:r>
                </m:e>
                <m:sub>
                  <m:r>
                    <w:rPr>
                      <w:rFonts w:ascii="Cambria Math" w:hAnsi="Cambria Math"/>
                      <w:highlight w:val="yellow"/>
                      <w:lang w:val="en-ID"/>
                    </w:rPr>
                    <m:t>it-1</m:t>
                  </m:r>
                </m:sub>
              </m:sSub>
            </m:den>
          </m:f>
          <m:r>
            <m:rPr>
              <m:sty m:val="p"/>
            </m:rPr>
            <w:rPr>
              <w:highlight w:val="yellow"/>
              <w:lang w:val="en-ID"/>
            </w:rPr>
            <w:br/>
          </m:r>
        </m:oMath>
      </m:oMathPara>
    </w:p>
    <w:p w14:paraId="19D1EC52" w14:textId="7D5F412C" w:rsidR="004355FB" w:rsidRPr="004355FB" w:rsidRDefault="004355FB" w:rsidP="004355FB">
      <w:pPr>
        <w:ind w:firstLine="567"/>
        <w:jc w:val="both"/>
        <w:rPr>
          <w:highlight w:val="yellow"/>
          <w:lang w:val="en-ID"/>
        </w:rPr>
      </w:pPr>
      <w:r w:rsidRPr="004355FB">
        <w:rPr>
          <w:highlight w:val="yellow"/>
          <w:lang w:val="en-ID"/>
        </w:rPr>
        <w:t xml:space="preserve">where </w:t>
      </w:r>
      <m:oMath>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oMath>
      <w:r w:rsidRPr="004355FB">
        <w:rPr>
          <w:highlight w:val="yellow"/>
          <w:lang w:val="en-ID"/>
        </w:rPr>
        <w:t xml:space="preserve">denotes the economic growth rate of region </w:t>
      </w:r>
      <m:oMath>
        <m:r>
          <w:rPr>
            <w:rFonts w:ascii="Cambria Math" w:hAnsi="Cambria Math"/>
            <w:highlight w:val="yellow"/>
            <w:lang w:val="en-ID"/>
          </w:rPr>
          <m:t>i</m:t>
        </m:r>
      </m:oMath>
      <w:r w:rsidRPr="004355FB">
        <w:rPr>
          <w:highlight w:val="yellow"/>
          <w:lang w:val="en-ID"/>
        </w:rPr>
        <w:t xml:space="preserve">in year </w:t>
      </w:r>
      <m:oMath>
        <m:r>
          <w:rPr>
            <w:rFonts w:ascii="Cambria Math" w:hAnsi="Cambria Math"/>
            <w:highlight w:val="yellow"/>
            <w:lang w:val="en-ID"/>
          </w:rPr>
          <m:t>t</m:t>
        </m:r>
      </m:oMath>
      <w:r w:rsidRPr="004355FB">
        <w:rPr>
          <w:highlight w:val="yellow"/>
          <w:lang w:val="en-ID"/>
        </w:rPr>
        <w:t xml:space="preserve">, </w:t>
      </w:r>
      <m:oMath>
        <m:r>
          <w:rPr>
            <w:rFonts w:ascii="Cambria Math" w:hAnsi="Cambria Math"/>
            <w:highlight w:val="yellow"/>
            <w:lang w:val="en-ID"/>
          </w:rPr>
          <m:t>GRD</m:t>
        </m:r>
        <m:sSub>
          <m:sSubPr>
            <m:ctrlPr>
              <w:rPr>
                <w:rFonts w:ascii="Cambria Math" w:hAnsi="Cambria Math"/>
                <w:highlight w:val="yellow"/>
                <w:lang w:val="en-ID"/>
              </w:rPr>
            </m:ctrlPr>
          </m:sSubPr>
          <m:e>
            <m:r>
              <w:rPr>
                <w:rFonts w:ascii="Cambria Math" w:hAnsi="Cambria Math"/>
                <w:highlight w:val="yellow"/>
                <w:lang w:val="en-ID"/>
              </w:rPr>
              <m:t>P</m:t>
            </m:r>
          </m:e>
          <m:sub>
            <m:r>
              <w:rPr>
                <w:rFonts w:ascii="Cambria Math" w:hAnsi="Cambria Math"/>
                <w:highlight w:val="yellow"/>
                <w:lang w:val="en-ID"/>
              </w:rPr>
              <m:t>it</m:t>
            </m:r>
          </m:sub>
        </m:sSub>
      </m:oMath>
      <w:r w:rsidRPr="004355FB">
        <w:rPr>
          <w:highlight w:val="yellow"/>
          <w:lang w:val="en-ID"/>
        </w:rPr>
        <w:t xml:space="preserve">denotes the Gross Regional Domestic Product of region </w:t>
      </w:r>
      <m:oMath>
        <m:r>
          <w:rPr>
            <w:rFonts w:ascii="Cambria Math" w:hAnsi="Cambria Math"/>
            <w:highlight w:val="yellow"/>
            <w:lang w:val="en-ID"/>
          </w:rPr>
          <m:t>i</m:t>
        </m:r>
      </m:oMath>
      <w:r w:rsidRPr="004355FB">
        <w:rPr>
          <w:highlight w:val="yellow"/>
          <w:lang w:val="en-ID"/>
        </w:rPr>
        <w:t xml:space="preserve">in year </w:t>
      </w:r>
      <m:oMath>
        <m:r>
          <w:rPr>
            <w:rFonts w:ascii="Cambria Math" w:hAnsi="Cambria Math"/>
            <w:highlight w:val="yellow"/>
            <w:lang w:val="en-ID"/>
          </w:rPr>
          <m:t>t</m:t>
        </m:r>
      </m:oMath>
      <w:r w:rsidRPr="004355FB">
        <w:rPr>
          <w:highlight w:val="yellow"/>
          <w:lang w:val="en-ID"/>
        </w:rPr>
        <w:t xml:space="preserve">, and </w:t>
      </w:r>
      <m:oMath>
        <m:r>
          <w:rPr>
            <w:rFonts w:ascii="Cambria Math" w:hAnsi="Cambria Math"/>
            <w:highlight w:val="yellow"/>
            <w:lang w:val="en-ID"/>
          </w:rPr>
          <m:t>GRD</m:t>
        </m:r>
        <m:sSub>
          <m:sSubPr>
            <m:ctrlPr>
              <w:rPr>
                <w:rFonts w:ascii="Cambria Math" w:hAnsi="Cambria Math"/>
                <w:highlight w:val="yellow"/>
                <w:lang w:val="en-ID"/>
              </w:rPr>
            </m:ctrlPr>
          </m:sSubPr>
          <m:e>
            <m:r>
              <w:rPr>
                <w:rFonts w:ascii="Cambria Math" w:hAnsi="Cambria Math"/>
                <w:highlight w:val="yellow"/>
                <w:lang w:val="en-ID"/>
              </w:rPr>
              <m:t>P</m:t>
            </m:r>
          </m:e>
          <m:sub>
            <m:r>
              <w:rPr>
                <w:rFonts w:ascii="Cambria Math" w:hAnsi="Cambria Math"/>
                <w:highlight w:val="yellow"/>
                <w:lang w:val="en-ID"/>
              </w:rPr>
              <m:t>it-1</m:t>
            </m:r>
          </m:sub>
        </m:sSub>
      </m:oMath>
      <w:r w:rsidRPr="004355FB">
        <w:rPr>
          <w:highlight w:val="yellow"/>
          <w:lang w:val="en-ID"/>
        </w:rPr>
        <w:t>denotes the GRDP of the same region in the previous year.</w:t>
      </w:r>
    </w:p>
    <w:p w14:paraId="2563B572" w14:textId="77777777" w:rsidR="004355FB" w:rsidRPr="004355FB" w:rsidRDefault="004355FB" w:rsidP="004355FB">
      <w:pPr>
        <w:jc w:val="both"/>
        <w:rPr>
          <w:b/>
          <w:bCs/>
          <w:highlight w:val="yellow"/>
          <w:lang w:val="en-ID"/>
        </w:rPr>
      </w:pPr>
      <w:r w:rsidRPr="004355FB">
        <w:rPr>
          <w:b/>
          <w:bCs/>
          <w:highlight w:val="yellow"/>
          <w:lang w:val="en-ID"/>
        </w:rPr>
        <w:t>2.3.3 Accountability</w:t>
      </w:r>
    </w:p>
    <w:p w14:paraId="7D349DF8" w14:textId="77777777" w:rsidR="004355FB" w:rsidRPr="004355FB" w:rsidRDefault="004355FB" w:rsidP="004355FB">
      <w:pPr>
        <w:ind w:firstLine="567"/>
        <w:jc w:val="both"/>
        <w:rPr>
          <w:highlight w:val="yellow"/>
          <w:lang w:val="en-ID"/>
        </w:rPr>
      </w:pPr>
      <w:r w:rsidRPr="004355FB">
        <w:rPr>
          <w:highlight w:val="yellow"/>
          <w:lang w:val="en-ID"/>
        </w:rPr>
        <w:t>Accountability refers to the extent to which regional governments comply with legal, administrative, and ethical requirements in the management of public finance. In this study, the accountability variable was measured using the average score of a set of accountability indicators derived from official oversight and inspection documents. The indicators covered compliance with applicable laws and regulations, avoidance of abuse of authority, enforcement of rules in the event of violations, the existence of sound organisational practices, and legality and honesty in the use of budgetary funds. The variable was measured on an ordinal scale ranging from 1 to 10, where higher scores indicate stronger accountability performance.</w:t>
      </w:r>
    </w:p>
    <w:p w14:paraId="669D1ED7" w14:textId="77777777" w:rsidR="004355FB" w:rsidRPr="004355FB" w:rsidRDefault="004355FB" w:rsidP="004355FB">
      <w:pPr>
        <w:ind w:firstLine="567"/>
        <w:jc w:val="both"/>
        <w:rPr>
          <w:highlight w:val="yellow"/>
          <w:lang w:val="en-ID"/>
        </w:rPr>
      </w:pPr>
      <w:r w:rsidRPr="004355FB">
        <w:rPr>
          <w:b/>
          <w:bCs/>
          <w:highlight w:val="yellow"/>
          <w:lang w:val="en-ID"/>
        </w:rPr>
        <w:t>Table 2. Operational Definition of Accountability Variables</w:t>
      </w:r>
    </w:p>
    <w:tbl>
      <w:tblPr>
        <w:tblStyle w:val="TableGridLight"/>
        <w:tblW w:w="0" w:type="auto"/>
        <w:tblLook w:val="04A0" w:firstRow="1" w:lastRow="0" w:firstColumn="1" w:lastColumn="0" w:noHBand="0" w:noVBand="1"/>
      </w:tblPr>
      <w:tblGrid>
        <w:gridCol w:w="2091"/>
        <w:gridCol w:w="3979"/>
        <w:gridCol w:w="1456"/>
        <w:gridCol w:w="1794"/>
      </w:tblGrid>
      <w:tr w:rsidR="004355FB" w:rsidRPr="004355FB" w14:paraId="506C97A5" w14:textId="77777777" w:rsidTr="004355FB">
        <w:tc>
          <w:tcPr>
            <w:tcW w:w="0" w:type="auto"/>
            <w:hideMark/>
          </w:tcPr>
          <w:p w14:paraId="34B4FFBD"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Variable</w:t>
            </w:r>
          </w:p>
        </w:tc>
        <w:tc>
          <w:tcPr>
            <w:tcW w:w="0" w:type="auto"/>
            <w:hideMark/>
          </w:tcPr>
          <w:p w14:paraId="1EC3C323"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Indicator</w:t>
            </w:r>
          </w:p>
        </w:tc>
        <w:tc>
          <w:tcPr>
            <w:tcW w:w="0" w:type="auto"/>
            <w:hideMark/>
          </w:tcPr>
          <w:p w14:paraId="5721E882"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Scale</w:t>
            </w:r>
          </w:p>
        </w:tc>
        <w:tc>
          <w:tcPr>
            <w:tcW w:w="0" w:type="auto"/>
            <w:hideMark/>
          </w:tcPr>
          <w:p w14:paraId="4AE1B86A"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Statement Scale</w:t>
            </w:r>
          </w:p>
        </w:tc>
      </w:tr>
      <w:tr w:rsidR="004355FB" w:rsidRPr="004355FB" w14:paraId="5C2A912C" w14:textId="77777777" w:rsidTr="004355FB">
        <w:tc>
          <w:tcPr>
            <w:tcW w:w="0" w:type="auto"/>
            <w:hideMark/>
          </w:tcPr>
          <w:p w14:paraId="71026650"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Accountability</w:t>
            </w:r>
          </w:p>
        </w:tc>
        <w:tc>
          <w:tcPr>
            <w:tcW w:w="0" w:type="auto"/>
            <w:hideMark/>
          </w:tcPr>
          <w:p w14:paraId="041BEEF2"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Compliance with applicable laws and regulations; avoidance of abuse of authority; enforcement of law in the event of violations; existence of sound organisational practices; legality and honesty in the use of funds in accordance with the budget</w:t>
            </w:r>
          </w:p>
        </w:tc>
        <w:tc>
          <w:tcPr>
            <w:tcW w:w="0" w:type="auto"/>
            <w:hideMark/>
          </w:tcPr>
          <w:p w14:paraId="3EAA7256"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Ordinal</w:t>
            </w:r>
          </w:p>
        </w:tc>
        <w:tc>
          <w:tcPr>
            <w:tcW w:w="0" w:type="auto"/>
            <w:hideMark/>
          </w:tcPr>
          <w:p w14:paraId="2BF11E77"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1–10</w:t>
            </w:r>
          </w:p>
        </w:tc>
      </w:tr>
    </w:tbl>
    <w:p w14:paraId="68102BEF" w14:textId="77777777" w:rsidR="004355FB" w:rsidRPr="004355FB" w:rsidRDefault="004355FB" w:rsidP="004355FB">
      <w:pPr>
        <w:ind w:firstLine="567"/>
        <w:jc w:val="both"/>
        <w:rPr>
          <w:b/>
          <w:bCs/>
          <w:highlight w:val="yellow"/>
          <w:lang w:val="en-ID"/>
        </w:rPr>
      </w:pPr>
      <w:r w:rsidRPr="004355FB">
        <w:rPr>
          <w:b/>
          <w:bCs/>
          <w:highlight w:val="yellow"/>
          <w:lang w:val="en-ID"/>
        </w:rPr>
        <w:t>2.3.4 Transparency</w:t>
      </w:r>
    </w:p>
    <w:p w14:paraId="4F725FB1" w14:textId="77777777" w:rsidR="004355FB" w:rsidRDefault="004355FB" w:rsidP="004355FB">
      <w:pPr>
        <w:ind w:firstLine="567"/>
        <w:jc w:val="both"/>
        <w:rPr>
          <w:highlight w:val="yellow"/>
          <w:lang w:val="en-ID"/>
        </w:rPr>
      </w:pPr>
      <w:r w:rsidRPr="004355FB">
        <w:rPr>
          <w:highlight w:val="yellow"/>
          <w:lang w:val="en-ID"/>
        </w:rPr>
        <w:t xml:space="preserve">Transparency refers to the extent to which regional governments provide clear, accessible, and comparable public information regarding financial management and public administration. In this study, transparency was measured using the average score of indicators derived from public information disclosure reports. The indicators included clarity, accuracy, timeliness, accessibility, adequacy, </w:t>
      </w:r>
      <w:r w:rsidRPr="004355FB">
        <w:rPr>
          <w:highlight w:val="yellow"/>
          <w:lang w:val="en-ID"/>
        </w:rPr>
        <w:lastRenderedPageBreak/>
        <w:t>comparability, openness of public information, and ease of public access to such information. The variable was measured on an ordinal scale ranging from 1 to 10, where higher scores reflect better financial transparency.</w:t>
      </w:r>
    </w:p>
    <w:p w14:paraId="36E8BBC9" w14:textId="77777777" w:rsidR="004355FB" w:rsidRPr="004355FB" w:rsidRDefault="004355FB" w:rsidP="004355FB">
      <w:pPr>
        <w:ind w:firstLine="567"/>
        <w:jc w:val="both"/>
        <w:rPr>
          <w:highlight w:val="yellow"/>
          <w:lang w:val="en-ID"/>
        </w:rPr>
      </w:pPr>
    </w:p>
    <w:p w14:paraId="71CDEA68" w14:textId="77777777" w:rsidR="004355FB" w:rsidRPr="004355FB" w:rsidRDefault="004355FB" w:rsidP="004355FB">
      <w:pPr>
        <w:ind w:firstLine="567"/>
        <w:jc w:val="both"/>
        <w:rPr>
          <w:highlight w:val="yellow"/>
          <w:lang w:val="en-ID"/>
        </w:rPr>
      </w:pPr>
      <w:r w:rsidRPr="004355FB">
        <w:rPr>
          <w:b/>
          <w:bCs/>
          <w:highlight w:val="yellow"/>
          <w:lang w:val="en-ID"/>
        </w:rPr>
        <w:t>Table 3. Operational Definition of Transparency Variables</w:t>
      </w:r>
    </w:p>
    <w:tbl>
      <w:tblPr>
        <w:tblStyle w:val="TableGridLight"/>
        <w:tblW w:w="0" w:type="auto"/>
        <w:tblLook w:val="04A0" w:firstRow="1" w:lastRow="0" w:firstColumn="1" w:lastColumn="0" w:noHBand="0" w:noVBand="1"/>
      </w:tblPr>
      <w:tblGrid>
        <w:gridCol w:w="1981"/>
        <w:gridCol w:w="4063"/>
        <w:gridCol w:w="1456"/>
        <w:gridCol w:w="1820"/>
      </w:tblGrid>
      <w:tr w:rsidR="004355FB" w:rsidRPr="004355FB" w14:paraId="64495775" w14:textId="77777777" w:rsidTr="004355FB">
        <w:tc>
          <w:tcPr>
            <w:tcW w:w="0" w:type="auto"/>
            <w:hideMark/>
          </w:tcPr>
          <w:p w14:paraId="03A68136"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Variable</w:t>
            </w:r>
          </w:p>
        </w:tc>
        <w:tc>
          <w:tcPr>
            <w:tcW w:w="0" w:type="auto"/>
            <w:hideMark/>
          </w:tcPr>
          <w:p w14:paraId="25B7979C"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Indicator</w:t>
            </w:r>
          </w:p>
        </w:tc>
        <w:tc>
          <w:tcPr>
            <w:tcW w:w="0" w:type="auto"/>
            <w:hideMark/>
          </w:tcPr>
          <w:p w14:paraId="0F400ED8"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Scale</w:t>
            </w:r>
          </w:p>
        </w:tc>
        <w:tc>
          <w:tcPr>
            <w:tcW w:w="0" w:type="auto"/>
            <w:hideMark/>
          </w:tcPr>
          <w:p w14:paraId="27863FC6"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Statement Scale</w:t>
            </w:r>
          </w:p>
        </w:tc>
      </w:tr>
      <w:tr w:rsidR="004355FB" w:rsidRPr="004355FB" w14:paraId="616F13C6" w14:textId="77777777" w:rsidTr="004355FB">
        <w:tc>
          <w:tcPr>
            <w:tcW w:w="0" w:type="auto"/>
            <w:hideMark/>
          </w:tcPr>
          <w:p w14:paraId="6CAD1D1C"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Transparency</w:t>
            </w:r>
          </w:p>
        </w:tc>
        <w:tc>
          <w:tcPr>
            <w:tcW w:w="0" w:type="auto"/>
            <w:hideMark/>
          </w:tcPr>
          <w:p w14:paraId="4842B3CE"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Clear, accurate, and timely information; easily accessible information; adequate information; comparable information; openness of public information; ease of public access to information</w:t>
            </w:r>
          </w:p>
        </w:tc>
        <w:tc>
          <w:tcPr>
            <w:tcW w:w="0" w:type="auto"/>
            <w:hideMark/>
          </w:tcPr>
          <w:p w14:paraId="41F8D0C2"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Ordinal</w:t>
            </w:r>
          </w:p>
        </w:tc>
        <w:tc>
          <w:tcPr>
            <w:tcW w:w="0" w:type="auto"/>
            <w:hideMark/>
          </w:tcPr>
          <w:p w14:paraId="016D840A"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1–10</w:t>
            </w:r>
          </w:p>
        </w:tc>
      </w:tr>
    </w:tbl>
    <w:p w14:paraId="4E46F5E3" w14:textId="77777777" w:rsidR="004355FB" w:rsidRDefault="004355FB" w:rsidP="004355FB">
      <w:pPr>
        <w:jc w:val="both"/>
        <w:rPr>
          <w:b/>
          <w:bCs/>
          <w:highlight w:val="yellow"/>
          <w:lang w:val="en-ID"/>
        </w:rPr>
      </w:pPr>
    </w:p>
    <w:p w14:paraId="7D569035" w14:textId="1978E71D" w:rsidR="004355FB" w:rsidRPr="004355FB" w:rsidRDefault="004355FB" w:rsidP="004355FB">
      <w:pPr>
        <w:jc w:val="both"/>
        <w:rPr>
          <w:b/>
          <w:bCs/>
          <w:highlight w:val="yellow"/>
          <w:lang w:val="en-ID"/>
        </w:rPr>
      </w:pPr>
      <w:r w:rsidRPr="004355FB">
        <w:rPr>
          <w:b/>
          <w:bCs/>
          <w:highlight w:val="yellow"/>
          <w:lang w:val="en-ID"/>
        </w:rPr>
        <w:t>2.3.5 Regional Financial Performance</w:t>
      </w:r>
    </w:p>
    <w:p w14:paraId="7CE74187" w14:textId="77777777" w:rsidR="004355FB" w:rsidRPr="004355FB" w:rsidRDefault="004355FB" w:rsidP="004355FB">
      <w:pPr>
        <w:ind w:firstLine="567"/>
        <w:jc w:val="both"/>
        <w:rPr>
          <w:highlight w:val="yellow"/>
          <w:lang w:val="en-ID"/>
        </w:rPr>
      </w:pPr>
      <w:r w:rsidRPr="004355FB">
        <w:rPr>
          <w:highlight w:val="yellow"/>
          <w:lang w:val="en-ID"/>
        </w:rPr>
        <w:t>Regional financial performance refers to the fiscal capacity and effectiveness of regional governments in managing public financial resources. In this study, financial performance was measured using a set of financial ratios derived from regional government financial statements. These indicators comprised the Financial Efficiency Ratio, Financial Independence Ratio, Decentralisation Ratio, Effectiveness Ratio, and Harmony Ratio. Because these indicators represent quantitative fiscal measures, the variable was treated as ratio-scale data.</w:t>
      </w:r>
    </w:p>
    <w:p w14:paraId="140680DF" w14:textId="77777777" w:rsidR="004355FB" w:rsidRDefault="004355FB" w:rsidP="004355FB">
      <w:pPr>
        <w:jc w:val="both"/>
        <w:rPr>
          <w:b/>
          <w:bCs/>
          <w:highlight w:val="yellow"/>
          <w:lang w:val="en-ID"/>
        </w:rPr>
      </w:pPr>
    </w:p>
    <w:p w14:paraId="4EC9D70C" w14:textId="1353E1B4" w:rsidR="004355FB" w:rsidRPr="004355FB" w:rsidRDefault="004355FB" w:rsidP="004355FB">
      <w:pPr>
        <w:jc w:val="both"/>
        <w:rPr>
          <w:highlight w:val="yellow"/>
          <w:lang w:val="en-ID"/>
        </w:rPr>
      </w:pPr>
      <w:r w:rsidRPr="004355FB">
        <w:rPr>
          <w:b/>
          <w:bCs/>
          <w:highlight w:val="yellow"/>
          <w:lang w:val="en-ID"/>
        </w:rPr>
        <w:t>Table 4. Operational Definition of Financial Performance Variables</w:t>
      </w:r>
    </w:p>
    <w:tbl>
      <w:tblPr>
        <w:tblStyle w:val="TableGridLight"/>
        <w:tblW w:w="0" w:type="auto"/>
        <w:tblLook w:val="04A0" w:firstRow="1" w:lastRow="0" w:firstColumn="1" w:lastColumn="0" w:noHBand="0" w:noVBand="1"/>
      </w:tblPr>
      <w:tblGrid>
        <w:gridCol w:w="2126"/>
        <w:gridCol w:w="5922"/>
        <w:gridCol w:w="1272"/>
      </w:tblGrid>
      <w:tr w:rsidR="004355FB" w:rsidRPr="004355FB" w14:paraId="51BE0D6E" w14:textId="77777777" w:rsidTr="004355FB">
        <w:tc>
          <w:tcPr>
            <w:tcW w:w="0" w:type="auto"/>
            <w:hideMark/>
          </w:tcPr>
          <w:p w14:paraId="304BBCB4"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Variable</w:t>
            </w:r>
          </w:p>
        </w:tc>
        <w:tc>
          <w:tcPr>
            <w:tcW w:w="0" w:type="auto"/>
            <w:hideMark/>
          </w:tcPr>
          <w:p w14:paraId="64931AF5"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Indicator</w:t>
            </w:r>
          </w:p>
        </w:tc>
        <w:tc>
          <w:tcPr>
            <w:tcW w:w="0" w:type="auto"/>
            <w:hideMark/>
          </w:tcPr>
          <w:p w14:paraId="7A7E1379" w14:textId="77777777" w:rsidR="004355FB" w:rsidRPr="004355FB" w:rsidRDefault="004355FB" w:rsidP="004355FB">
            <w:pPr>
              <w:widowControl w:val="0"/>
              <w:autoSpaceDE w:val="0"/>
              <w:autoSpaceDN w:val="0"/>
              <w:ind w:firstLine="567"/>
              <w:jc w:val="both"/>
              <w:rPr>
                <w:b/>
                <w:bCs/>
                <w:highlight w:val="yellow"/>
                <w:lang w:val="en-ID"/>
              </w:rPr>
            </w:pPr>
            <w:r w:rsidRPr="004355FB">
              <w:rPr>
                <w:b/>
                <w:bCs/>
                <w:highlight w:val="yellow"/>
                <w:lang w:val="en-ID"/>
              </w:rPr>
              <w:t>Scale</w:t>
            </w:r>
          </w:p>
        </w:tc>
      </w:tr>
      <w:tr w:rsidR="004355FB" w:rsidRPr="004355FB" w14:paraId="5D995333" w14:textId="77777777" w:rsidTr="004355FB">
        <w:tc>
          <w:tcPr>
            <w:tcW w:w="0" w:type="auto"/>
            <w:hideMark/>
          </w:tcPr>
          <w:p w14:paraId="03161433"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Financial Performance</w:t>
            </w:r>
          </w:p>
        </w:tc>
        <w:tc>
          <w:tcPr>
            <w:tcW w:w="0" w:type="auto"/>
            <w:hideMark/>
          </w:tcPr>
          <w:p w14:paraId="011196D6"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Financial Efficiency Ratio; Financial Independence Ratio; Decentralisation Ratio; Effectiveness Ratio; Harmony Ratio</w:t>
            </w:r>
          </w:p>
        </w:tc>
        <w:tc>
          <w:tcPr>
            <w:tcW w:w="0" w:type="auto"/>
            <w:hideMark/>
          </w:tcPr>
          <w:p w14:paraId="1AD44CF7" w14:textId="77777777" w:rsidR="004355FB" w:rsidRPr="004355FB" w:rsidRDefault="004355FB" w:rsidP="004355FB">
            <w:pPr>
              <w:widowControl w:val="0"/>
              <w:autoSpaceDE w:val="0"/>
              <w:autoSpaceDN w:val="0"/>
              <w:ind w:firstLine="567"/>
              <w:jc w:val="both"/>
              <w:rPr>
                <w:highlight w:val="yellow"/>
                <w:lang w:val="en-ID"/>
              </w:rPr>
            </w:pPr>
            <w:r w:rsidRPr="004355FB">
              <w:rPr>
                <w:highlight w:val="yellow"/>
                <w:lang w:val="en-ID"/>
              </w:rPr>
              <w:t>Ratio</w:t>
            </w:r>
          </w:p>
        </w:tc>
      </w:tr>
    </w:tbl>
    <w:p w14:paraId="34D316D8" w14:textId="77777777" w:rsidR="004355FB" w:rsidRDefault="004355FB" w:rsidP="004355FB">
      <w:pPr>
        <w:jc w:val="both"/>
        <w:rPr>
          <w:b/>
          <w:bCs/>
          <w:highlight w:val="yellow"/>
          <w:lang w:val="en-ID"/>
        </w:rPr>
      </w:pPr>
    </w:p>
    <w:p w14:paraId="5E19B06B" w14:textId="25226D98" w:rsidR="004355FB" w:rsidRPr="004355FB" w:rsidRDefault="004355FB" w:rsidP="004355FB">
      <w:pPr>
        <w:jc w:val="both"/>
        <w:rPr>
          <w:b/>
          <w:bCs/>
          <w:highlight w:val="yellow"/>
          <w:lang w:val="en-ID"/>
        </w:rPr>
      </w:pPr>
      <w:r w:rsidRPr="004355FB">
        <w:rPr>
          <w:b/>
          <w:bCs/>
          <w:highlight w:val="yellow"/>
          <w:lang w:val="en-ID"/>
        </w:rPr>
        <w:t>2.4 Model Specification</w:t>
      </w:r>
    </w:p>
    <w:p w14:paraId="1A91D5C9" w14:textId="77777777" w:rsidR="004355FB" w:rsidRPr="004355FB" w:rsidRDefault="004355FB" w:rsidP="004355FB">
      <w:pPr>
        <w:ind w:firstLine="567"/>
        <w:jc w:val="both"/>
        <w:rPr>
          <w:highlight w:val="yellow"/>
          <w:lang w:val="en-ID"/>
        </w:rPr>
      </w:pPr>
      <w:r w:rsidRPr="004355FB">
        <w:rPr>
          <w:highlight w:val="yellow"/>
          <w:lang w:val="en-ID"/>
        </w:rPr>
        <w:t>To test the direct and moderating effects among the variables, this study estimated the following panel regression model:</w:t>
      </w:r>
    </w:p>
    <w:p w14:paraId="67C33C7C" w14:textId="5A2F0BDD" w:rsidR="004355FB" w:rsidRPr="004355FB" w:rsidRDefault="004355FB" w:rsidP="004355FB">
      <w:pPr>
        <w:ind w:firstLine="567"/>
        <w:jc w:val="both"/>
        <w:rPr>
          <w:highlight w:val="yellow"/>
          <w:lang w:val="en-ID"/>
        </w:rPr>
      </w:pPr>
      <m:oMathPara>
        <m:oMath>
          <m:r>
            <w:rPr>
              <w:rFonts w:ascii="Cambria Math" w:hAnsi="Cambria Math"/>
              <w:highlight w:val="yellow"/>
              <w:lang w:val="en-ID"/>
            </w:rPr>
            <m:t>PO</m:t>
          </m:r>
          <m:sSub>
            <m:sSubPr>
              <m:ctrlPr>
                <w:rPr>
                  <w:rFonts w:ascii="Cambria Math" w:hAnsi="Cambria Math"/>
                  <w:highlight w:val="yellow"/>
                  <w:lang w:val="en-ID"/>
                </w:rPr>
              </m:ctrlPr>
            </m:sSubPr>
            <m:e>
              <m:r>
                <w:rPr>
                  <w:rFonts w:ascii="Cambria Math" w:hAnsi="Cambria Math"/>
                  <w:highlight w:val="yellow"/>
                  <w:lang w:val="en-ID"/>
                </w:rPr>
                <m:t>V</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0</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1</m:t>
              </m:r>
            </m:sub>
          </m:sSub>
          <m:r>
            <w:rPr>
              <w:rFonts w:ascii="Cambria Math" w:hAnsi="Cambria Math"/>
              <w:highlight w:val="yellow"/>
              <w:lang w:val="en-ID"/>
            </w:rPr>
            <m:t>AC</m:t>
          </m:r>
          <m:sSub>
            <m:sSubPr>
              <m:ctrlPr>
                <w:rPr>
                  <w:rFonts w:ascii="Cambria Math" w:hAnsi="Cambria Math"/>
                  <w:highlight w:val="yellow"/>
                  <w:lang w:val="en-ID"/>
                </w:rPr>
              </m:ctrlPr>
            </m:sSubPr>
            <m:e>
              <m:r>
                <w:rPr>
                  <w:rFonts w:ascii="Cambria Math" w:hAnsi="Cambria Math"/>
                  <w:highlight w:val="yellow"/>
                  <w:lang w:val="en-ID"/>
                </w:rPr>
                <m:t>C</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2</m:t>
              </m:r>
            </m:sub>
          </m:sSub>
          <m:r>
            <w:rPr>
              <w:rFonts w:ascii="Cambria Math" w:hAnsi="Cambria Math"/>
              <w:highlight w:val="yellow"/>
              <w:lang w:val="en-ID"/>
            </w:rPr>
            <m:t>FI</m:t>
          </m:r>
          <m:sSub>
            <m:sSubPr>
              <m:ctrlPr>
                <w:rPr>
                  <w:rFonts w:ascii="Cambria Math" w:hAnsi="Cambria Math"/>
                  <w:highlight w:val="yellow"/>
                  <w:lang w:val="en-ID"/>
                </w:rPr>
              </m:ctrlPr>
            </m:sSubPr>
            <m:e>
              <m:r>
                <w:rPr>
                  <w:rFonts w:ascii="Cambria Math" w:hAnsi="Cambria Math"/>
                  <w:highlight w:val="yellow"/>
                  <w:lang w:val="en-ID"/>
                </w:rPr>
                <m:t>N</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3</m:t>
              </m:r>
            </m:sub>
          </m:sSub>
          <m:r>
            <w:rPr>
              <w:rFonts w:ascii="Cambria Math" w:hAnsi="Cambria Math"/>
              <w:highlight w:val="yellow"/>
              <w:lang w:val="en-ID"/>
            </w:rPr>
            <m:t>T</m:t>
          </m:r>
          <m:sSub>
            <m:sSubPr>
              <m:ctrlPr>
                <w:rPr>
                  <w:rFonts w:ascii="Cambria Math" w:hAnsi="Cambria Math"/>
                  <w:highlight w:val="yellow"/>
                  <w:lang w:val="en-ID"/>
                </w:rPr>
              </m:ctrlPr>
            </m:sSubPr>
            <m:e>
              <m:r>
                <w:rPr>
                  <w:rFonts w:ascii="Cambria Math" w:hAnsi="Cambria Math"/>
                  <w:highlight w:val="yellow"/>
                  <w:lang w:val="en-ID"/>
                </w:rPr>
                <m:t>R</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4</m:t>
              </m:r>
            </m:sub>
          </m:sSub>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5</m:t>
              </m:r>
            </m:sub>
          </m:sSub>
          <m:r>
            <w:rPr>
              <w:rFonts w:ascii="Cambria Math" w:hAnsi="Cambria Math"/>
              <w:highlight w:val="yellow"/>
              <w:lang w:val="en-ID"/>
            </w:rPr>
            <m:t>(AC</m:t>
          </m:r>
          <m:sSub>
            <m:sSubPr>
              <m:ctrlPr>
                <w:rPr>
                  <w:rFonts w:ascii="Cambria Math" w:hAnsi="Cambria Math"/>
                  <w:highlight w:val="yellow"/>
                  <w:lang w:val="en-ID"/>
                </w:rPr>
              </m:ctrlPr>
            </m:sSubPr>
            <m:e>
              <m:r>
                <w:rPr>
                  <w:rFonts w:ascii="Cambria Math" w:hAnsi="Cambria Math"/>
                  <w:highlight w:val="yellow"/>
                  <w:lang w:val="en-ID"/>
                </w:rPr>
                <m:t>C</m:t>
              </m:r>
            </m:e>
            <m:sub>
              <m:r>
                <w:rPr>
                  <w:rFonts w:ascii="Cambria Math" w:hAnsi="Cambria Math"/>
                  <w:highlight w:val="yellow"/>
                  <w:lang w:val="en-ID"/>
                </w:rPr>
                <m:t>it</m:t>
              </m:r>
            </m:sub>
          </m:sSub>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6</m:t>
              </m:r>
            </m:sub>
          </m:sSub>
          <m:r>
            <w:rPr>
              <w:rFonts w:ascii="Cambria Math" w:hAnsi="Cambria Math"/>
              <w:highlight w:val="yellow"/>
              <w:lang w:val="en-ID"/>
            </w:rPr>
            <m:t>(FI</m:t>
          </m:r>
          <m:sSub>
            <m:sSubPr>
              <m:ctrlPr>
                <w:rPr>
                  <w:rFonts w:ascii="Cambria Math" w:hAnsi="Cambria Math"/>
                  <w:highlight w:val="yellow"/>
                  <w:lang w:val="en-ID"/>
                </w:rPr>
              </m:ctrlPr>
            </m:sSubPr>
            <m:e>
              <m:r>
                <w:rPr>
                  <w:rFonts w:ascii="Cambria Math" w:hAnsi="Cambria Math"/>
                  <w:highlight w:val="yellow"/>
                  <w:lang w:val="en-ID"/>
                </w:rPr>
                <m:t>N</m:t>
              </m:r>
            </m:e>
            <m:sub>
              <m:r>
                <w:rPr>
                  <w:rFonts w:ascii="Cambria Math" w:hAnsi="Cambria Math"/>
                  <w:highlight w:val="yellow"/>
                  <w:lang w:val="en-ID"/>
                </w:rPr>
                <m:t>it</m:t>
              </m:r>
            </m:sub>
          </m:sSub>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7</m:t>
              </m:r>
            </m:sub>
          </m:sSub>
          <m:r>
            <w:rPr>
              <w:rFonts w:ascii="Cambria Math" w:hAnsi="Cambria Math"/>
              <w:highlight w:val="yellow"/>
              <w:lang w:val="en-ID"/>
            </w:rPr>
            <m:t>(T</m:t>
          </m:r>
          <m:sSub>
            <m:sSubPr>
              <m:ctrlPr>
                <w:rPr>
                  <w:rFonts w:ascii="Cambria Math" w:hAnsi="Cambria Math"/>
                  <w:highlight w:val="yellow"/>
                  <w:lang w:val="en-ID"/>
                </w:rPr>
              </m:ctrlPr>
            </m:sSubPr>
            <m:e>
              <m:r>
                <w:rPr>
                  <w:rFonts w:ascii="Cambria Math" w:hAnsi="Cambria Math"/>
                  <w:highlight w:val="yellow"/>
                  <w:lang w:val="en-ID"/>
                </w:rPr>
                <m:t>R</m:t>
              </m:r>
            </m:e>
            <m:sub>
              <m:r>
                <w:rPr>
                  <w:rFonts w:ascii="Cambria Math" w:hAnsi="Cambria Math"/>
                  <w:highlight w:val="yellow"/>
                  <w:lang w:val="en-ID"/>
                </w:rPr>
                <m:t>it</m:t>
              </m:r>
            </m:sub>
          </m:sSub>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ε</m:t>
              </m:r>
            </m:e>
            <m:sub>
              <m:r>
                <w:rPr>
                  <w:rFonts w:ascii="Cambria Math" w:hAnsi="Cambria Math"/>
                  <w:highlight w:val="yellow"/>
                  <w:lang w:val="en-ID"/>
                </w:rPr>
                <m:t>it</m:t>
              </m:r>
            </m:sub>
          </m:sSub>
          <m:r>
            <m:rPr>
              <m:sty m:val="p"/>
            </m:rPr>
            <w:rPr>
              <w:highlight w:val="yellow"/>
              <w:lang w:val="en-ID"/>
            </w:rPr>
            <w:br/>
          </m:r>
        </m:oMath>
      </m:oMathPara>
    </w:p>
    <w:p w14:paraId="47F4514A" w14:textId="77777777" w:rsidR="004355FB" w:rsidRPr="004355FB" w:rsidRDefault="004355FB" w:rsidP="004355FB">
      <w:pPr>
        <w:jc w:val="both"/>
        <w:rPr>
          <w:highlight w:val="yellow"/>
          <w:lang w:val="en-ID"/>
        </w:rPr>
      </w:pPr>
      <w:r w:rsidRPr="004355FB">
        <w:rPr>
          <w:highlight w:val="yellow"/>
          <w:lang w:val="en-ID"/>
        </w:rPr>
        <w:t>where:</w:t>
      </w:r>
    </w:p>
    <w:p w14:paraId="02DF6179" w14:textId="4BBA55B6"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PO</m:t>
        </m:r>
        <m:sSub>
          <m:sSubPr>
            <m:ctrlPr>
              <w:rPr>
                <w:rFonts w:ascii="Cambria Math" w:hAnsi="Cambria Math"/>
                <w:highlight w:val="yellow"/>
                <w:lang w:val="en-ID"/>
              </w:rPr>
            </m:ctrlPr>
          </m:sSubPr>
          <m:e>
            <m:r>
              <w:rPr>
                <w:rFonts w:ascii="Cambria Math" w:hAnsi="Cambria Math"/>
                <w:highlight w:val="yellow"/>
                <w:lang w:val="en-ID"/>
              </w:rPr>
              <m:t>V</m:t>
            </m:r>
          </m:e>
          <m:sub>
            <m:r>
              <w:rPr>
                <w:rFonts w:ascii="Cambria Math" w:hAnsi="Cambria Math"/>
                <w:highlight w:val="yellow"/>
                <w:lang w:val="en-ID"/>
              </w:rPr>
              <m:t>it</m:t>
            </m:r>
          </m:sub>
        </m:sSub>
      </m:oMath>
      <w:r w:rsidRPr="004355FB">
        <w:rPr>
          <w:highlight w:val="yellow"/>
          <w:lang w:val="en-ID"/>
        </w:rPr>
        <w:t xml:space="preserve">= poverty level in region </w:t>
      </w:r>
      <m:oMath>
        <m:r>
          <w:rPr>
            <w:rFonts w:ascii="Cambria Math" w:hAnsi="Cambria Math"/>
            <w:highlight w:val="yellow"/>
            <w:lang w:val="en-ID"/>
          </w:rPr>
          <m:t>i</m:t>
        </m:r>
      </m:oMath>
      <w:r w:rsidRPr="004355FB">
        <w:rPr>
          <w:highlight w:val="yellow"/>
          <w:lang w:val="en-ID"/>
        </w:rPr>
        <w:t xml:space="preserve">and year </w:t>
      </w:r>
      <m:oMath>
        <m:r>
          <w:rPr>
            <w:rFonts w:ascii="Cambria Math" w:hAnsi="Cambria Math"/>
            <w:highlight w:val="yellow"/>
            <w:lang w:val="en-ID"/>
          </w:rPr>
          <m:t>t</m:t>
        </m:r>
      </m:oMath>
    </w:p>
    <w:p w14:paraId="4EAB0D69" w14:textId="3D682EA4"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AC</m:t>
        </m:r>
        <m:sSub>
          <m:sSubPr>
            <m:ctrlPr>
              <w:rPr>
                <w:rFonts w:ascii="Cambria Math" w:hAnsi="Cambria Math"/>
                <w:highlight w:val="yellow"/>
                <w:lang w:val="en-ID"/>
              </w:rPr>
            </m:ctrlPr>
          </m:sSubPr>
          <m:e>
            <m:r>
              <w:rPr>
                <w:rFonts w:ascii="Cambria Math" w:hAnsi="Cambria Math"/>
                <w:highlight w:val="yellow"/>
                <w:lang w:val="en-ID"/>
              </w:rPr>
              <m:t>C</m:t>
            </m:r>
          </m:e>
          <m:sub>
            <m:r>
              <w:rPr>
                <w:rFonts w:ascii="Cambria Math" w:hAnsi="Cambria Math"/>
                <w:highlight w:val="yellow"/>
                <w:lang w:val="en-ID"/>
              </w:rPr>
              <m:t>it</m:t>
            </m:r>
          </m:sub>
        </m:sSub>
      </m:oMath>
      <w:r w:rsidRPr="004355FB">
        <w:rPr>
          <w:highlight w:val="yellow"/>
          <w:lang w:val="en-ID"/>
        </w:rPr>
        <w:t xml:space="preserve">= accountability in region </w:t>
      </w:r>
      <m:oMath>
        <m:r>
          <w:rPr>
            <w:rFonts w:ascii="Cambria Math" w:hAnsi="Cambria Math"/>
            <w:highlight w:val="yellow"/>
            <w:lang w:val="en-ID"/>
          </w:rPr>
          <m:t>i</m:t>
        </m:r>
      </m:oMath>
      <w:r w:rsidRPr="004355FB">
        <w:rPr>
          <w:highlight w:val="yellow"/>
          <w:lang w:val="en-ID"/>
        </w:rPr>
        <w:t xml:space="preserve">and year </w:t>
      </w:r>
      <m:oMath>
        <m:r>
          <w:rPr>
            <w:rFonts w:ascii="Cambria Math" w:hAnsi="Cambria Math"/>
            <w:highlight w:val="yellow"/>
            <w:lang w:val="en-ID"/>
          </w:rPr>
          <m:t>t</m:t>
        </m:r>
      </m:oMath>
    </w:p>
    <w:p w14:paraId="132E66AB" w14:textId="4951EC89"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FI</m:t>
        </m:r>
        <m:sSub>
          <m:sSubPr>
            <m:ctrlPr>
              <w:rPr>
                <w:rFonts w:ascii="Cambria Math" w:hAnsi="Cambria Math"/>
                <w:highlight w:val="yellow"/>
                <w:lang w:val="en-ID"/>
              </w:rPr>
            </m:ctrlPr>
          </m:sSubPr>
          <m:e>
            <m:r>
              <w:rPr>
                <w:rFonts w:ascii="Cambria Math" w:hAnsi="Cambria Math"/>
                <w:highlight w:val="yellow"/>
                <w:lang w:val="en-ID"/>
              </w:rPr>
              <m:t>N</m:t>
            </m:r>
          </m:e>
          <m:sub>
            <m:r>
              <w:rPr>
                <w:rFonts w:ascii="Cambria Math" w:hAnsi="Cambria Math"/>
                <w:highlight w:val="yellow"/>
                <w:lang w:val="en-ID"/>
              </w:rPr>
              <m:t>it</m:t>
            </m:r>
          </m:sub>
        </m:sSub>
      </m:oMath>
      <w:r w:rsidRPr="004355FB">
        <w:rPr>
          <w:highlight w:val="yellow"/>
          <w:lang w:val="en-ID"/>
        </w:rPr>
        <w:t xml:space="preserve">= regional financial performance in region </w:t>
      </w:r>
      <m:oMath>
        <m:r>
          <w:rPr>
            <w:rFonts w:ascii="Cambria Math" w:hAnsi="Cambria Math"/>
            <w:highlight w:val="yellow"/>
            <w:lang w:val="en-ID"/>
          </w:rPr>
          <m:t>i</m:t>
        </m:r>
      </m:oMath>
      <w:r w:rsidRPr="004355FB">
        <w:rPr>
          <w:highlight w:val="yellow"/>
          <w:lang w:val="en-ID"/>
        </w:rPr>
        <w:t xml:space="preserve">and year </w:t>
      </w:r>
      <m:oMath>
        <m:r>
          <w:rPr>
            <w:rFonts w:ascii="Cambria Math" w:hAnsi="Cambria Math"/>
            <w:highlight w:val="yellow"/>
            <w:lang w:val="en-ID"/>
          </w:rPr>
          <m:t>t</m:t>
        </m:r>
      </m:oMath>
    </w:p>
    <w:p w14:paraId="7625595A" w14:textId="4E2DA764"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T</m:t>
        </m:r>
        <m:sSub>
          <m:sSubPr>
            <m:ctrlPr>
              <w:rPr>
                <w:rFonts w:ascii="Cambria Math" w:hAnsi="Cambria Math"/>
                <w:highlight w:val="yellow"/>
                <w:lang w:val="en-ID"/>
              </w:rPr>
            </m:ctrlPr>
          </m:sSubPr>
          <m:e>
            <m:r>
              <w:rPr>
                <w:rFonts w:ascii="Cambria Math" w:hAnsi="Cambria Math"/>
                <w:highlight w:val="yellow"/>
                <w:lang w:val="en-ID"/>
              </w:rPr>
              <m:t>R</m:t>
            </m:r>
          </m:e>
          <m:sub>
            <m:r>
              <w:rPr>
                <w:rFonts w:ascii="Cambria Math" w:hAnsi="Cambria Math"/>
                <w:highlight w:val="yellow"/>
                <w:lang w:val="en-ID"/>
              </w:rPr>
              <m:t>it</m:t>
            </m:r>
          </m:sub>
        </m:sSub>
      </m:oMath>
      <w:r w:rsidRPr="004355FB">
        <w:rPr>
          <w:highlight w:val="yellow"/>
          <w:lang w:val="en-ID"/>
        </w:rPr>
        <w:t xml:space="preserve">= financial transparency in region </w:t>
      </w:r>
      <m:oMath>
        <m:r>
          <w:rPr>
            <w:rFonts w:ascii="Cambria Math" w:hAnsi="Cambria Math"/>
            <w:highlight w:val="yellow"/>
            <w:lang w:val="en-ID"/>
          </w:rPr>
          <m:t>i</m:t>
        </m:r>
      </m:oMath>
      <w:r w:rsidRPr="004355FB">
        <w:rPr>
          <w:highlight w:val="yellow"/>
          <w:lang w:val="en-ID"/>
        </w:rPr>
        <w:t xml:space="preserve">and year </w:t>
      </w:r>
      <m:oMath>
        <m:r>
          <w:rPr>
            <w:rFonts w:ascii="Cambria Math" w:hAnsi="Cambria Math"/>
            <w:highlight w:val="yellow"/>
            <w:lang w:val="en-ID"/>
          </w:rPr>
          <m:t>t</m:t>
        </m:r>
      </m:oMath>
    </w:p>
    <w:p w14:paraId="11E1CA7C" w14:textId="7A9C66B2"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oMath>
      <w:r w:rsidRPr="004355FB">
        <w:rPr>
          <w:highlight w:val="yellow"/>
          <w:lang w:val="en-ID"/>
        </w:rPr>
        <w:t xml:space="preserve">= economic growth in region </w:t>
      </w:r>
      <m:oMath>
        <m:r>
          <w:rPr>
            <w:rFonts w:ascii="Cambria Math" w:hAnsi="Cambria Math"/>
            <w:highlight w:val="yellow"/>
            <w:lang w:val="en-ID"/>
          </w:rPr>
          <m:t>i</m:t>
        </m:r>
      </m:oMath>
      <w:r w:rsidRPr="004355FB">
        <w:rPr>
          <w:highlight w:val="yellow"/>
          <w:lang w:val="en-ID"/>
        </w:rPr>
        <w:t xml:space="preserve">and year </w:t>
      </w:r>
      <m:oMath>
        <m:r>
          <w:rPr>
            <w:rFonts w:ascii="Cambria Math" w:hAnsi="Cambria Math"/>
            <w:highlight w:val="yellow"/>
            <w:lang w:val="en-ID"/>
          </w:rPr>
          <m:t>t</m:t>
        </m:r>
      </m:oMath>
    </w:p>
    <w:p w14:paraId="1E21A308" w14:textId="72A1D19D"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AC</m:t>
        </m:r>
        <m:sSub>
          <m:sSubPr>
            <m:ctrlPr>
              <w:rPr>
                <w:rFonts w:ascii="Cambria Math" w:hAnsi="Cambria Math"/>
                <w:highlight w:val="yellow"/>
                <w:lang w:val="en-ID"/>
              </w:rPr>
            </m:ctrlPr>
          </m:sSubPr>
          <m:e>
            <m:r>
              <w:rPr>
                <w:rFonts w:ascii="Cambria Math" w:hAnsi="Cambria Math"/>
                <w:highlight w:val="yellow"/>
                <w:lang w:val="en-ID"/>
              </w:rPr>
              <m:t>C</m:t>
            </m:r>
          </m:e>
          <m:sub>
            <m:r>
              <w:rPr>
                <w:rFonts w:ascii="Cambria Math" w:hAnsi="Cambria Math"/>
                <w:highlight w:val="yellow"/>
                <w:lang w:val="en-ID"/>
              </w:rPr>
              <m:t>it</m:t>
            </m:r>
          </m:sub>
        </m:sSub>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oMath>
      <w:r w:rsidRPr="004355FB">
        <w:rPr>
          <w:highlight w:val="yellow"/>
          <w:lang w:val="en-ID"/>
        </w:rPr>
        <w:t>= interaction between accountability and economic growth</w:t>
      </w:r>
    </w:p>
    <w:p w14:paraId="0B78354A" w14:textId="10BAA6EB"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FI</m:t>
        </m:r>
        <m:sSub>
          <m:sSubPr>
            <m:ctrlPr>
              <w:rPr>
                <w:rFonts w:ascii="Cambria Math" w:hAnsi="Cambria Math"/>
                <w:highlight w:val="yellow"/>
                <w:lang w:val="en-ID"/>
              </w:rPr>
            </m:ctrlPr>
          </m:sSubPr>
          <m:e>
            <m:r>
              <w:rPr>
                <w:rFonts w:ascii="Cambria Math" w:hAnsi="Cambria Math"/>
                <w:highlight w:val="yellow"/>
                <w:lang w:val="en-ID"/>
              </w:rPr>
              <m:t>N</m:t>
            </m:r>
          </m:e>
          <m:sub>
            <m:r>
              <w:rPr>
                <w:rFonts w:ascii="Cambria Math" w:hAnsi="Cambria Math"/>
                <w:highlight w:val="yellow"/>
                <w:lang w:val="en-ID"/>
              </w:rPr>
              <m:t>it</m:t>
            </m:r>
          </m:sub>
        </m:sSub>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oMath>
      <w:r w:rsidRPr="004355FB">
        <w:rPr>
          <w:highlight w:val="yellow"/>
          <w:lang w:val="en-ID"/>
        </w:rPr>
        <w:t>= interaction between financial performance and economic growth</w:t>
      </w:r>
    </w:p>
    <w:p w14:paraId="1DA10105" w14:textId="11C4ECF8"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T</m:t>
        </m:r>
        <m:sSub>
          <m:sSubPr>
            <m:ctrlPr>
              <w:rPr>
                <w:rFonts w:ascii="Cambria Math" w:hAnsi="Cambria Math"/>
                <w:highlight w:val="yellow"/>
                <w:lang w:val="en-ID"/>
              </w:rPr>
            </m:ctrlPr>
          </m:sSubPr>
          <m:e>
            <m:r>
              <w:rPr>
                <w:rFonts w:ascii="Cambria Math" w:hAnsi="Cambria Math"/>
                <w:highlight w:val="yellow"/>
                <w:lang w:val="en-ID"/>
              </w:rPr>
              <m:t>R</m:t>
            </m:r>
          </m:e>
          <m:sub>
            <m:r>
              <w:rPr>
                <w:rFonts w:ascii="Cambria Math" w:hAnsi="Cambria Math"/>
                <w:highlight w:val="yellow"/>
                <w:lang w:val="en-ID"/>
              </w:rPr>
              <m:t>it</m:t>
            </m:r>
          </m:sub>
        </m:sSub>
        <m:r>
          <w:rPr>
            <w:rFonts w:ascii="Cambria Math" w:hAnsi="Cambria Math"/>
            <w:highlight w:val="yellow"/>
            <w:lang w:val="en-ID"/>
          </w:rPr>
          <m:t>×P</m:t>
        </m:r>
        <m:sSub>
          <m:sSubPr>
            <m:ctrlPr>
              <w:rPr>
                <w:rFonts w:ascii="Cambria Math" w:hAnsi="Cambria Math"/>
                <w:highlight w:val="yellow"/>
                <w:lang w:val="en-ID"/>
              </w:rPr>
            </m:ctrlPr>
          </m:sSubPr>
          <m:e>
            <m:r>
              <w:rPr>
                <w:rFonts w:ascii="Cambria Math" w:hAnsi="Cambria Math"/>
                <w:highlight w:val="yellow"/>
                <w:lang w:val="en-ID"/>
              </w:rPr>
              <m:t>E</m:t>
            </m:r>
          </m:e>
          <m:sub>
            <m:r>
              <w:rPr>
                <w:rFonts w:ascii="Cambria Math" w:hAnsi="Cambria Math"/>
                <w:highlight w:val="yellow"/>
                <w:lang w:val="en-ID"/>
              </w:rPr>
              <m:t>it</m:t>
            </m:r>
          </m:sub>
        </m:sSub>
      </m:oMath>
      <w:r w:rsidRPr="004355FB">
        <w:rPr>
          <w:highlight w:val="yellow"/>
          <w:lang w:val="en-ID"/>
        </w:rPr>
        <w:t>= interaction between transparency and economic growth</w:t>
      </w:r>
    </w:p>
    <w:p w14:paraId="44B0EBF1" w14:textId="6127317F" w:rsidR="004355FB" w:rsidRPr="004355FB" w:rsidRDefault="00890D0F" w:rsidP="004355FB">
      <w:pPr>
        <w:numPr>
          <w:ilvl w:val="0"/>
          <w:numId w:val="49"/>
        </w:numPr>
        <w:jc w:val="both"/>
        <w:rPr>
          <w:highlight w:val="yellow"/>
          <w:lang w:val="en-ID"/>
        </w:rPr>
      </w:pPr>
      <m:oMath>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0</m:t>
            </m:r>
          </m:sub>
        </m:sSub>
      </m:oMath>
      <w:r w:rsidR="004355FB" w:rsidRPr="004355FB">
        <w:rPr>
          <w:highlight w:val="yellow"/>
          <w:lang w:val="en-ID"/>
        </w:rPr>
        <w:t>= intercept</w:t>
      </w:r>
    </w:p>
    <w:p w14:paraId="52584F32" w14:textId="19149C5C" w:rsidR="004355FB" w:rsidRPr="004355FB" w:rsidRDefault="00890D0F" w:rsidP="004355FB">
      <w:pPr>
        <w:numPr>
          <w:ilvl w:val="0"/>
          <w:numId w:val="49"/>
        </w:numPr>
        <w:jc w:val="both"/>
        <w:rPr>
          <w:highlight w:val="yellow"/>
          <w:lang w:val="en-ID"/>
        </w:rPr>
      </w:pPr>
      <m:oMath>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1</m:t>
            </m:r>
          </m:sub>
        </m:sSub>
        <m:r>
          <m:rPr>
            <m:sty m:val="p"/>
          </m:rPr>
          <w:rPr>
            <w:rFonts w:ascii="Cambria Math" w:hAnsi="Cambria Math"/>
            <w:highlight w:val="yellow"/>
            <w:lang w:val="en-ID"/>
          </w:rPr>
          <m:t>...</m:t>
        </m:r>
        <m:sSub>
          <m:sSubPr>
            <m:ctrlPr>
              <w:rPr>
                <w:rFonts w:ascii="Cambria Math" w:hAnsi="Cambria Math"/>
                <w:highlight w:val="yellow"/>
                <w:lang w:val="en-ID"/>
              </w:rPr>
            </m:ctrlPr>
          </m:sSubPr>
          <m:e>
            <m:r>
              <w:rPr>
                <w:rFonts w:ascii="Cambria Math" w:hAnsi="Cambria Math"/>
                <w:highlight w:val="yellow"/>
                <w:lang w:val="en-ID"/>
              </w:rPr>
              <m:t>β</m:t>
            </m:r>
          </m:e>
          <m:sub>
            <m:r>
              <w:rPr>
                <w:rFonts w:ascii="Cambria Math" w:hAnsi="Cambria Math"/>
                <w:highlight w:val="yellow"/>
                <w:lang w:val="en-ID"/>
              </w:rPr>
              <m:t>7</m:t>
            </m:r>
          </m:sub>
        </m:sSub>
      </m:oMath>
      <w:r w:rsidR="004355FB" w:rsidRPr="004355FB">
        <w:rPr>
          <w:highlight w:val="yellow"/>
          <w:lang w:val="en-ID"/>
        </w:rPr>
        <w:t>= regression coefficients</w:t>
      </w:r>
    </w:p>
    <w:p w14:paraId="20E3186B" w14:textId="36E32240" w:rsidR="004355FB" w:rsidRPr="004355FB" w:rsidRDefault="00890D0F" w:rsidP="004355FB">
      <w:pPr>
        <w:numPr>
          <w:ilvl w:val="0"/>
          <w:numId w:val="49"/>
        </w:numPr>
        <w:jc w:val="both"/>
        <w:rPr>
          <w:highlight w:val="yellow"/>
          <w:lang w:val="en-ID"/>
        </w:rPr>
      </w:pPr>
      <m:oMath>
        <m:sSub>
          <m:sSubPr>
            <m:ctrlPr>
              <w:rPr>
                <w:rFonts w:ascii="Cambria Math" w:hAnsi="Cambria Math"/>
                <w:highlight w:val="yellow"/>
                <w:lang w:val="en-ID"/>
              </w:rPr>
            </m:ctrlPr>
          </m:sSubPr>
          <m:e>
            <m:r>
              <w:rPr>
                <w:rFonts w:ascii="Cambria Math" w:hAnsi="Cambria Math"/>
                <w:highlight w:val="yellow"/>
                <w:lang w:val="en-ID"/>
              </w:rPr>
              <m:t>ε</m:t>
            </m:r>
          </m:e>
          <m:sub>
            <m:r>
              <w:rPr>
                <w:rFonts w:ascii="Cambria Math" w:hAnsi="Cambria Math"/>
                <w:highlight w:val="yellow"/>
                <w:lang w:val="en-ID"/>
              </w:rPr>
              <m:t>it</m:t>
            </m:r>
          </m:sub>
        </m:sSub>
      </m:oMath>
      <w:r w:rsidR="004355FB" w:rsidRPr="004355FB">
        <w:rPr>
          <w:highlight w:val="yellow"/>
          <w:lang w:val="en-ID"/>
        </w:rPr>
        <w:t>= error term</w:t>
      </w:r>
    </w:p>
    <w:p w14:paraId="432C7FE3" w14:textId="6C3970DD"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i</m:t>
        </m:r>
      </m:oMath>
      <w:r w:rsidRPr="004355FB">
        <w:rPr>
          <w:highlight w:val="yellow"/>
          <w:lang w:val="en-ID"/>
        </w:rPr>
        <w:t>= regency/municipality</w:t>
      </w:r>
    </w:p>
    <w:p w14:paraId="1D32F817" w14:textId="4123A581" w:rsidR="004355FB" w:rsidRPr="004355FB" w:rsidRDefault="004355FB" w:rsidP="004355FB">
      <w:pPr>
        <w:numPr>
          <w:ilvl w:val="0"/>
          <w:numId w:val="49"/>
        </w:numPr>
        <w:jc w:val="both"/>
        <w:rPr>
          <w:highlight w:val="yellow"/>
          <w:lang w:val="en-ID"/>
        </w:rPr>
      </w:pPr>
      <m:oMath>
        <m:r>
          <w:rPr>
            <w:rFonts w:ascii="Cambria Math" w:hAnsi="Cambria Math"/>
            <w:highlight w:val="yellow"/>
            <w:lang w:val="en-ID"/>
          </w:rPr>
          <m:t>t</m:t>
        </m:r>
      </m:oMath>
      <w:r w:rsidRPr="004355FB">
        <w:rPr>
          <w:highlight w:val="yellow"/>
          <w:lang w:val="en-ID"/>
        </w:rPr>
        <w:t>= year of observation</w:t>
      </w:r>
    </w:p>
    <w:p w14:paraId="47644EEA" w14:textId="77777777" w:rsidR="004355FB" w:rsidRPr="004355FB" w:rsidRDefault="004355FB" w:rsidP="004355FB">
      <w:pPr>
        <w:ind w:firstLine="567"/>
        <w:jc w:val="both"/>
        <w:rPr>
          <w:highlight w:val="yellow"/>
          <w:lang w:val="en-ID"/>
        </w:rPr>
      </w:pPr>
      <w:r w:rsidRPr="004355FB">
        <w:rPr>
          <w:highlight w:val="yellow"/>
          <w:lang w:val="en-ID"/>
        </w:rPr>
        <w:t>The inclusion of interaction terms was intended to test whether the effect of accountability, financial performance, and transparency on poverty varied across different levels of economic growth.</w:t>
      </w:r>
    </w:p>
    <w:p w14:paraId="6874CD0A" w14:textId="77777777" w:rsidR="004355FB" w:rsidRDefault="004355FB" w:rsidP="004355FB">
      <w:pPr>
        <w:jc w:val="both"/>
        <w:rPr>
          <w:b/>
          <w:bCs/>
          <w:highlight w:val="yellow"/>
          <w:lang w:val="en-ID"/>
        </w:rPr>
      </w:pPr>
    </w:p>
    <w:p w14:paraId="6E344890" w14:textId="21201FE8" w:rsidR="004355FB" w:rsidRPr="004355FB" w:rsidRDefault="004355FB" w:rsidP="004355FB">
      <w:pPr>
        <w:jc w:val="both"/>
        <w:rPr>
          <w:b/>
          <w:bCs/>
          <w:highlight w:val="yellow"/>
          <w:lang w:val="en-ID"/>
        </w:rPr>
      </w:pPr>
      <w:r w:rsidRPr="004355FB">
        <w:rPr>
          <w:b/>
          <w:bCs/>
          <w:highlight w:val="yellow"/>
          <w:lang w:val="en-ID"/>
        </w:rPr>
        <w:t>2.5 Data Analysis Technique</w:t>
      </w:r>
    </w:p>
    <w:p w14:paraId="66D0A92E" w14:textId="77777777" w:rsidR="004355FB" w:rsidRPr="004355FB" w:rsidRDefault="004355FB" w:rsidP="004355FB">
      <w:pPr>
        <w:ind w:firstLine="567"/>
        <w:jc w:val="both"/>
        <w:rPr>
          <w:highlight w:val="yellow"/>
          <w:lang w:val="en-ID"/>
        </w:rPr>
      </w:pPr>
      <w:r w:rsidRPr="004355FB">
        <w:rPr>
          <w:highlight w:val="yellow"/>
          <w:lang w:val="en-ID"/>
        </w:rPr>
        <w:t>The data were analysed using panel data regression because the dataset combined cross-sectional and time-series dimensions. Panel data analysis offers several advantages, including improved efficiency of estimation, greater variability in the data, reduced collinearity among variables, and the ability to control for unobserved heterogeneity across observational units (</w:t>
      </w:r>
      <w:proofErr w:type="spellStart"/>
      <w:r w:rsidRPr="004355FB">
        <w:rPr>
          <w:highlight w:val="yellow"/>
          <w:lang w:val="en-ID"/>
        </w:rPr>
        <w:t>Baltagi</w:t>
      </w:r>
      <w:proofErr w:type="spellEnd"/>
      <w:r w:rsidRPr="004355FB">
        <w:rPr>
          <w:highlight w:val="yellow"/>
          <w:lang w:val="en-ID"/>
        </w:rPr>
        <w:t>, 2005).</w:t>
      </w:r>
    </w:p>
    <w:p w14:paraId="6DF74710" w14:textId="77777777" w:rsidR="004355FB" w:rsidRPr="004355FB" w:rsidRDefault="004355FB" w:rsidP="004355FB">
      <w:pPr>
        <w:ind w:firstLine="567"/>
        <w:jc w:val="both"/>
        <w:rPr>
          <w:highlight w:val="yellow"/>
          <w:lang w:val="en-ID"/>
        </w:rPr>
      </w:pPr>
      <w:r w:rsidRPr="004355FB">
        <w:rPr>
          <w:highlight w:val="yellow"/>
          <w:lang w:val="en-ID"/>
        </w:rPr>
        <w:t xml:space="preserve">Three alternative panel regression models were considered, namely the Common Effect Model (CEM), the Fixed Effect Model (FEM), and the Random Effect Model (REM). The Common Effect Model </w:t>
      </w:r>
      <w:r w:rsidRPr="004355FB">
        <w:rPr>
          <w:highlight w:val="yellow"/>
          <w:lang w:val="en-ID"/>
        </w:rPr>
        <w:lastRenderedPageBreak/>
        <w:t>assumes homogeneity across regions and time and pools all observations into a single regression equation (Gujarati, 2003). The Fixed Effect Model allows for region-specific characteristics that remain constant over time and may influence the dependent variable (Greene, 2002). The Random Effect Model assumes that individual-specific effects are random and uncorrelated with the explanatory variables included in the model (Greene, 2002).</w:t>
      </w:r>
    </w:p>
    <w:p w14:paraId="426E2C98" w14:textId="77777777" w:rsidR="004355FB" w:rsidRPr="004355FB" w:rsidRDefault="004355FB" w:rsidP="004355FB">
      <w:pPr>
        <w:ind w:firstLine="567"/>
        <w:jc w:val="both"/>
        <w:rPr>
          <w:highlight w:val="yellow"/>
          <w:lang w:val="en-ID"/>
        </w:rPr>
      </w:pPr>
      <w:r w:rsidRPr="004355FB">
        <w:rPr>
          <w:highlight w:val="yellow"/>
          <w:lang w:val="en-ID"/>
        </w:rPr>
        <w:t>Model selection was conducted through standard specification tests. First, the Chow Test was used to compare the Common Effect Model and the Fixed Effect Model (Hsiao, 2014). Second, the Hausman Test was employed to determine whether the Fixed Effect Model or the Random Effect Model was more appropriate (Hsiao, 2014). The final estimation model was selected on the basis of the outcomes of these tests.</w:t>
      </w:r>
    </w:p>
    <w:p w14:paraId="17B19FC2" w14:textId="66B6A776" w:rsidR="004355FB" w:rsidRPr="004355FB" w:rsidRDefault="004355FB" w:rsidP="004355FB">
      <w:pPr>
        <w:ind w:firstLine="567"/>
        <w:jc w:val="both"/>
        <w:rPr>
          <w:highlight w:val="yellow"/>
          <w:lang w:val="en-ID"/>
        </w:rPr>
      </w:pPr>
      <w:r w:rsidRPr="004355FB">
        <w:rPr>
          <w:highlight w:val="yellow"/>
          <w:lang w:val="en-ID"/>
        </w:rPr>
        <w:t>After the most appropriate model had been identified, hypothesis testing was conducted in three stages. First, the coefficient of determination (</w:t>
      </w:r>
      <m:oMath>
        <m:sSup>
          <m:sSupPr>
            <m:ctrlPr>
              <w:rPr>
                <w:rFonts w:ascii="Cambria Math" w:hAnsi="Cambria Math"/>
                <w:highlight w:val="yellow"/>
                <w:lang w:val="en-ID"/>
              </w:rPr>
            </m:ctrlPr>
          </m:sSupPr>
          <m:e>
            <m:r>
              <w:rPr>
                <w:rFonts w:ascii="Cambria Math" w:hAnsi="Cambria Math"/>
                <w:highlight w:val="yellow"/>
                <w:lang w:val="en-ID"/>
              </w:rPr>
              <m:t>R</m:t>
            </m:r>
          </m:e>
          <m:sup>
            <m:r>
              <w:rPr>
                <w:rFonts w:ascii="Cambria Math" w:hAnsi="Cambria Math"/>
                <w:highlight w:val="yellow"/>
                <w:lang w:val="en-ID"/>
              </w:rPr>
              <m:t>2</m:t>
            </m:r>
          </m:sup>
        </m:sSup>
      </m:oMath>
      <w:r w:rsidRPr="004355FB">
        <w:rPr>
          <w:highlight w:val="yellow"/>
          <w:lang w:val="en-ID"/>
        </w:rPr>
        <w:t>) was used to evaluate the proportion of variance in poverty levels explained by the independent variables. Second, the F-test was used to assess whether all independent variables jointly had a statistically significant effect on the dependent variable (Gujarati, 1988). Third, the t-test was used to evaluate the partial effect of each explanatory variable on poverty individually (Supranto, 1998). All statistical procedures were performed using EViews.</w:t>
      </w:r>
    </w:p>
    <w:p w14:paraId="43375684" w14:textId="77777777" w:rsidR="004355FB" w:rsidRDefault="004355FB" w:rsidP="004355FB">
      <w:pPr>
        <w:jc w:val="both"/>
        <w:rPr>
          <w:b/>
          <w:bCs/>
          <w:highlight w:val="yellow"/>
          <w:lang w:val="en-ID"/>
        </w:rPr>
      </w:pPr>
    </w:p>
    <w:p w14:paraId="144A9578" w14:textId="63EAD697" w:rsidR="004355FB" w:rsidRPr="004355FB" w:rsidRDefault="004355FB" w:rsidP="004355FB">
      <w:pPr>
        <w:jc w:val="both"/>
        <w:rPr>
          <w:b/>
          <w:bCs/>
          <w:highlight w:val="yellow"/>
          <w:lang w:val="en-ID"/>
        </w:rPr>
      </w:pPr>
      <w:r w:rsidRPr="004355FB">
        <w:rPr>
          <w:b/>
          <w:bCs/>
          <w:highlight w:val="yellow"/>
          <w:lang w:val="en-ID"/>
        </w:rPr>
        <w:t>2.6 Analytical Rationale</w:t>
      </w:r>
    </w:p>
    <w:p w14:paraId="53A3576C" w14:textId="3CFEE2DD" w:rsidR="00B05DC6" w:rsidRPr="004355FB" w:rsidRDefault="004355FB" w:rsidP="004355FB">
      <w:pPr>
        <w:ind w:firstLine="567"/>
        <w:jc w:val="both"/>
        <w:rPr>
          <w:highlight w:val="yellow"/>
          <w:lang w:val="en-ID"/>
        </w:rPr>
      </w:pPr>
      <w:r w:rsidRPr="004355FB">
        <w:rPr>
          <w:highlight w:val="yellow"/>
          <w:lang w:val="en-ID"/>
        </w:rPr>
        <w:t>The selection of accountability, transparency, and regional financial performance as explanatory variables was based on the premise that poverty reduction is not determined solely by macroeconomic growth, but also by the quality of public financial governance. In this regard, economic growth was positioned as a moderating variable because the poverty-reducing contribution of governance quality may depend on whether growth is inclusive, regionally distributed, and sufficiently linked to public welfare outcomes. Accordingly, the model was designed not only to test direct effects, but also to assess whether economic growth strengthens or weakens the influence of regional governance variables on poverty</w:t>
      </w:r>
      <w:r w:rsidR="00B05DC6" w:rsidRPr="003C738C">
        <w:rPr>
          <w:highlight w:val="yellow"/>
        </w:rPr>
        <w:t>.</w:t>
      </w:r>
    </w:p>
    <w:p w14:paraId="037F66EC" w14:textId="77777777" w:rsidR="00903606" w:rsidRPr="00554BDF" w:rsidRDefault="00903606" w:rsidP="00554BDF"/>
    <w:p w14:paraId="455C8A3C" w14:textId="6F7F537B" w:rsidR="00EF5863" w:rsidRPr="005A054B" w:rsidRDefault="005A054B" w:rsidP="005A054B">
      <w:pPr>
        <w:rPr>
          <w:b/>
          <w:bCs/>
        </w:rPr>
      </w:pPr>
      <w:r>
        <w:rPr>
          <w:b/>
          <w:bCs/>
        </w:rPr>
        <w:t xml:space="preserve">III. </w:t>
      </w:r>
      <w:r w:rsidR="00177EB3" w:rsidRPr="005A054B">
        <w:rPr>
          <w:b/>
          <w:bCs/>
        </w:rPr>
        <w:t>RESULTS AND DISCUSSION</w:t>
      </w:r>
    </w:p>
    <w:p w14:paraId="04C193BB" w14:textId="77777777" w:rsidR="0041347C" w:rsidRDefault="0041347C" w:rsidP="0041347C">
      <w:pPr>
        <w:ind w:firstLine="720"/>
        <w:jc w:val="both"/>
      </w:pPr>
    </w:p>
    <w:p w14:paraId="560105F0" w14:textId="77777777" w:rsidR="00373E8E" w:rsidRPr="00373E8E" w:rsidRDefault="00373E8E" w:rsidP="00373E8E">
      <w:pPr>
        <w:jc w:val="both"/>
        <w:rPr>
          <w:b/>
          <w:bCs/>
          <w:lang w:val="en-ID"/>
        </w:rPr>
      </w:pPr>
      <w:r w:rsidRPr="00373E8E">
        <w:rPr>
          <w:b/>
          <w:bCs/>
          <w:lang w:val="en-ID"/>
        </w:rPr>
        <w:t>3.1 Descriptive Analysis</w:t>
      </w:r>
    </w:p>
    <w:p w14:paraId="004DA33B" w14:textId="77777777" w:rsidR="00373E8E" w:rsidRPr="00373E8E" w:rsidRDefault="00373E8E" w:rsidP="00373E8E">
      <w:pPr>
        <w:ind w:firstLine="720"/>
        <w:jc w:val="both"/>
        <w:rPr>
          <w:lang w:val="en-ID"/>
        </w:rPr>
      </w:pPr>
      <w:r w:rsidRPr="00373E8E">
        <w:rPr>
          <w:lang w:val="en-ID"/>
        </w:rPr>
        <w:t xml:space="preserve">The research data used in this study are summarised in Appendix 4. In general, poverty levels across the regencies and municipalities of North Sumatra Province showed a declining trend over the three-year observation period. The highest poverty rates were predominantly recorded in regencies and municipalities located in the </w:t>
      </w:r>
      <w:proofErr w:type="spellStart"/>
      <w:r w:rsidRPr="00373E8E">
        <w:rPr>
          <w:lang w:val="en-ID"/>
        </w:rPr>
        <w:t>Nias</w:t>
      </w:r>
      <w:proofErr w:type="spellEnd"/>
      <w:r w:rsidRPr="00373E8E">
        <w:rPr>
          <w:lang w:val="en-ID"/>
        </w:rPr>
        <w:t xml:space="preserve"> Islands. Several factors may have contributed to the relatively high poverty levels in this region, including limited infrastructure development. Such conditions are likely to increase the prices of basic commodities, restrict access to education and employment opportunities, and slow local economic circulation (Sinaga, 2023).</w:t>
      </w:r>
    </w:p>
    <w:p w14:paraId="3D7BB625" w14:textId="77777777" w:rsidR="00373E8E" w:rsidRPr="00373E8E" w:rsidRDefault="00373E8E" w:rsidP="00373E8E">
      <w:pPr>
        <w:ind w:firstLine="720"/>
        <w:jc w:val="both"/>
        <w:rPr>
          <w:lang w:val="en-ID"/>
        </w:rPr>
      </w:pPr>
      <w:r w:rsidRPr="00373E8E">
        <w:rPr>
          <w:lang w:val="en-ID"/>
        </w:rPr>
        <w:t xml:space="preserve">Similar conditions were also found in several regencies and municipalities outside the </w:t>
      </w:r>
      <w:proofErr w:type="spellStart"/>
      <w:r w:rsidRPr="00373E8E">
        <w:rPr>
          <w:lang w:val="en-ID"/>
        </w:rPr>
        <w:t>Nias</w:t>
      </w:r>
      <w:proofErr w:type="spellEnd"/>
      <w:r w:rsidRPr="00373E8E">
        <w:rPr>
          <w:lang w:val="en-ID"/>
        </w:rPr>
        <w:t xml:space="preserve"> Islands, where poverty levels remained above 10 percent. These areas include </w:t>
      </w:r>
      <w:proofErr w:type="spellStart"/>
      <w:r w:rsidRPr="00373E8E">
        <w:rPr>
          <w:lang w:val="en-ID"/>
        </w:rPr>
        <w:t>Samosir</w:t>
      </w:r>
      <w:proofErr w:type="spellEnd"/>
      <w:r w:rsidRPr="00373E8E">
        <w:rPr>
          <w:lang w:val="en-ID"/>
        </w:rPr>
        <w:t xml:space="preserve"> Regency, Central </w:t>
      </w:r>
      <w:proofErr w:type="spellStart"/>
      <w:r w:rsidRPr="00373E8E">
        <w:rPr>
          <w:lang w:val="en-ID"/>
        </w:rPr>
        <w:t>Tapanuli</w:t>
      </w:r>
      <w:proofErr w:type="spellEnd"/>
      <w:r w:rsidRPr="00373E8E">
        <w:rPr>
          <w:lang w:val="en-ID"/>
        </w:rPr>
        <w:t xml:space="preserve"> Regency, Batu Bara Regency, Tanjung </w:t>
      </w:r>
      <w:proofErr w:type="spellStart"/>
      <w:r w:rsidRPr="00373E8E">
        <w:rPr>
          <w:lang w:val="en-ID"/>
        </w:rPr>
        <w:t>Balai</w:t>
      </w:r>
      <w:proofErr w:type="spellEnd"/>
      <w:r w:rsidRPr="00373E8E">
        <w:rPr>
          <w:lang w:val="en-ID"/>
        </w:rPr>
        <w:t xml:space="preserve"> City, and </w:t>
      </w:r>
      <w:proofErr w:type="spellStart"/>
      <w:r w:rsidRPr="00373E8E">
        <w:rPr>
          <w:lang w:val="en-ID"/>
        </w:rPr>
        <w:t>Sibolga</w:t>
      </w:r>
      <w:proofErr w:type="spellEnd"/>
      <w:r w:rsidRPr="00373E8E">
        <w:rPr>
          <w:lang w:val="en-ID"/>
        </w:rPr>
        <w:t xml:space="preserve"> City. This pattern suggests that development in North Sumatra Province has not yet been distributed evenly across regions.</w:t>
      </w:r>
    </w:p>
    <w:p w14:paraId="4E078D9F" w14:textId="77777777" w:rsidR="00373E8E" w:rsidRPr="00373E8E" w:rsidRDefault="00373E8E" w:rsidP="00373E8E">
      <w:pPr>
        <w:ind w:firstLine="720"/>
        <w:jc w:val="both"/>
        <w:rPr>
          <w:lang w:val="en-ID"/>
        </w:rPr>
      </w:pPr>
      <w:r w:rsidRPr="00373E8E">
        <w:rPr>
          <w:lang w:val="en-ID"/>
        </w:rPr>
        <w:t xml:space="preserve">The trend of economic growth across the regencies and municipalities of North Sumatra Province during the study period was generally positive. However, the </w:t>
      </w:r>
      <w:proofErr w:type="spellStart"/>
      <w:r w:rsidRPr="00373E8E">
        <w:rPr>
          <w:lang w:val="en-ID"/>
        </w:rPr>
        <w:t>Nias</w:t>
      </w:r>
      <w:proofErr w:type="spellEnd"/>
      <w:r w:rsidRPr="00373E8E">
        <w:rPr>
          <w:lang w:val="en-ID"/>
        </w:rPr>
        <w:t xml:space="preserve"> Islands area recorded the slowest growth trend. This condition is consistent with the relatively slow pace of infrastructure development in the region. In addition, the economic growth of North Sumatra Province remains below the national average. Several national strategic projects do not yet appear to be functioning optimally in the province, including downstream industrial development. More broadly, many regencies and municipalities in North Sumatra remain heavily dependent on the sale of raw commodities.</w:t>
      </w:r>
    </w:p>
    <w:p w14:paraId="12D0EF5F" w14:textId="77777777" w:rsidR="00373E8E" w:rsidRPr="00373E8E" w:rsidRDefault="00373E8E" w:rsidP="00373E8E">
      <w:pPr>
        <w:ind w:firstLine="720"/>
        <w:jc w:val="both"/>
        <w:rPr>
          <w:lang w:val="en-ID"/>
        </w:rPr>
      </w:pPr>
      <w:r w:rsidRPr="00373E8E">
        <w:rPr>
          <w:lang w:val="en-ID"/>
        </w:rPr>
        <w:t>The accountability scores of regencies and municipalities in North Sumatra Province were generally in the good category, with almost all regions recording scores above 90. This favourable outcome may reflect the relatively strong integration of administrative systems and reporting mechanisms at both the provincial and local government levels. The only regency with a score below 90 was Padang Lawas Regency, which may indicate weaknesses in the local reporting system. This could be associated with limitations in human resources or with negligence in completing required reports.</w:t>
      </w:r>
    </w:p>
    <w:p w14:paraId="747BC47C" w14:textId="77777777" w:rsidR="00373E8E" w:rsidRPr="00373E8E" w:rsidRDefault="00373E8E" w:rsidP="00373E8E">
      <w:pPr>
        <w:ind w:firstLine="720"/>
        <w:jc w:val="both"/>
        <w:rPr>
          <w:lang w:val="en-ID"/>
        </w:rPr>
      </w:pPr>
      <w:r w:rsidRPr="00373E8E">
        <w:rPr>
          <w:lang w:val="en-ID"/>
        </w:rPr>
        <w:t xml:space="preserve">The financial transparency scores of regencies and municipalities in North Sumatra Province showed an increasing trend over the last three years. In 2024, a number of regions experienced particularly marked improvements in transparency scores, including Batu Bara, </w:t>
      </w:r>
      <w:proofErr w:type="spellStart"/>
      <w:r w:rsidRPr="00373E8E">
        <w:rPr>
          <w:lang w:val="en-ID"/>
        </w:rPr>
        <w:t>Tanjung</w:t>
      </w:r>
      <w:proofErr w:type="spellEnd"/>
      <w:r w:rsidRPr="00373E8E">
        <w:rPr>
          <w:lang w:val="en-ID"/>
        </w:rPr>
        <w:t xml:space="preserve"> </w:t>
      </w:r>
      <w:proofErr w:type="spellStart"/>
      <w:r w:rsidRPr="00373E8E">
        <w:rPr>
          <w:lang w:val="en-ID"/>
        </w:rPr>
        <w:t>Balai</w:t>
      </w:r>
      <w:proofErr w:type="spellEnd"/>
      <w:r w:rsidRPr="00373E8E">
        <w:rPr>
          <w:lang w:val="en-ID"/>
        </w:rPr>
        <w:t xml:space="preserve">, </w:t>
      </w:r>
      <w:proofErr w:type="spellStart"/>
      <w:r w:rsidRPr="00373E8E">
        <w:rPr>
          <w:lang w:val="en-ID"/>
        </w:rPr>
        <w:t>Mandailing</w:t>
      </w:r>
      <w:proofErr w:type="spellEnd"/>
      <w:r w:rsidRPr="00373E8E">
        <w:rPr>
          <w:lang w:val="en-ID"/>
        </w:rPr>
        <w:t xml:space="preserve"> Natal, Central </w:t>
      </w:r>
      <w:proofErr w:type="spellStart"/>
      <w:r w:rsidRPr="00373E8E">
        <w:rPr>
          <w:lang w:val="en-ID"/>
        </w:rPr>
        <w:t>Tapanuli</w:t>
      </w:r>
      <w:proofErr w:type="spellEnd"/>
      <w:r w:rsidRPr="00373E8E">
        <w:rPr>
          <w:lang w:val="en-ID"/>
        </w:rPr>
        <w:t xml:space="preserve">, and West </w:t>
      </w:r>
      <w:proofErr w:type="spellStart"/>
      <w:r w:rsidRPr="00373E8E">
        <w:rPr>
          <w:lang w:val="en-ID"/>
        </w:rPr>
        <w:t>Nias</w:t>
      </w:r>
      <w:proofErr w:type="spellEnd"/>
      <w:r w:rsidRPr="00373E8E">
        <w:rPr>
          <w:lang w:val="en-ID"/>
        </w:rPr>
        <w:t xml:space="preserve">. This increase may reflect efforts by local governments to improve </w:t>
      </w:r>
      <w:r w:rsidRPr="00373E8E">
        <w:rPr>
          <w:lang w:val="en-ID"/>
        </w:rPr>
        <w:lastRenderedPageBreak/>
        <w:t>reporting systems and strengthen transparent governance practices. In addition, growing public awareness of the importance of oversight may also have encouraged improvements in government performance. Nevertheless, several districts and municipalities experienced declining transparency scores between 2023 and 2024. This may have resulted from administrative negligence in reporting, leadership transitions, or changes in regional organisational structures that led to incomplete reporting.</w:t>
      </w:r>
    </w:p>
    <w:p w14:paraId="4B2DB2FF" w14:textId="77777777" w:rsidR="00373E8E" w:rsidRPr="00373E8E" w:rsidRDefault="00373E8E" w:rsidP="00373E8E">
      <w:pPr>
        <w:ind w:firstLine="720"/>
        <w:jc w:val="both"/>
        <w:rPr>
          <w:lang w:val="en-ID"/>
        </w:rPr>
      </w:pPr>
      <w:r w:rsidRPr="00373E8E">
        <w:rPr>
          <w:lang w:val="en-ID"/>
        </w:rPr>
        <w:t>Regional financial performance in the regencies and municipalities of North Sumatra Province has not yet reached its full potential. Many regions still recorded scores below 0.5. This suggests that a considerable number of government programmes and budgeting systems have not yet operated effectively or efficiently. This condition may be influenced by bureaucratic constraints and limitations in government planning. In addition, government commitment to community-oriented programmes and supportive policy implementation appears to remain limited and therefore requires further improvement.</w:t>
      </w:r>
    </w:p>
    <w:p w14:paraId="3338B47C" w14:textId="0317D911" w:rsidR="00373E8E" w:rsidRPr="00373E8E" w:rsidRDefault="00373E8E" w:rsidP="00373E8E">
      <w:pPr>
        <w:ind w:firstLine="720"/>
        <w:jc w:val="both"/>
        <w:rPr>
          <w:lang w:val="en-ID"/>
        </w:rPr>
      </w:pPr>
    </w:p>
    <w:p w14:paraId="2170B657" w14:textId="77777777" w:rsidR="00373E8E" w:rsidRPr="00373E8E" w:rsidRDefault="00373E8E" w:rsidP="00373E8E">
      <w:pPr>
        <w:jc w:val="both"/>
        <w:rPr>
          <w:b/>
          <w:bCs/>
          <w:lang w:val="en-ID"/>
        </w:rPr>
      </w:pPr>
      <w:r w:rsidRPr="00373E8E">
        <w:rPr>
          <w:b/>
          <w:bCs/>
          <w:lang w:val="en-ID"/>
        </w:rPr>
        <w:t>3.2 Inferential Analysis</w:t>
      </w:r>
    </w:p>
    <w:p w14:paraId="7C0FF168" w14:textId="77777777" w:rsidR="00373E8E" w:rsidRPr="00373E8E" w:rsidRDefault="00373E8E" w:rsidP="00373E8E">
      <w:pPr>
        <w:ind w:firstLine="720"/>
        <w:jc w:val="both"/>
        <w:rPr>
          <w:lang w:val="en-ID"/>
        </w:rPr>
      </w:pPr>
      <w:r w:rsidRPr="00373E8E">
        <w:rPr>
          <w:lang w:val="en-ID"/>
        </w:rPr>
        <w:t>The first stage in determining the most appropriate estimation model was to conduct the Chow Test in order to compare the Common Effect Model (CEM) and the Fixed Effect Model (FEM). The next stage involved the Hausman Test, which was used to compare the Random Effect Model (REM) and the Fixed Effect Model (FEM). The results of both specification tests are presented in Table 5.</w:t>
      </w:r>
    </w:p>
    <w:p w14:paraId="7FEE186D" w14:textId="77777777" w:rsidR="00373E8E" w:rsidRDefault="00373E8E" w:rsidP="00373E8E">
      <w:pPr>
        <w:ind w:firstLine="720"/>
        <w:jc w:val="both"/>
        <w:rPr>
          <w:b/>
          <w:bCs/>
          <w:lang w:val="en-ID"/>
        </w:rPr>
      </w:pPr>
    </w:p>
    <w:p w14:paraId="0AAD1FC4" w14:textId="3E167E0A" w:rsidR="00373E8E" w:rsidRPr="00373E8E" w:rsidRDefault="00373E8E" w:rsidP="00373E8E">
      <w:pPr>
        <w:ind w:firstLine="720"/>
        <w:jc w:val="center"/>
        <w:rPr>
          <w:b/>
          <w:bCs/>
          <w:lang w:val="en-ID"/>
        </w:rPr>
      </w:pPr>
      <w:r w:rsidRPr="00373E8E">
        <w:rPr>
          <w:b/>
          <w:bCs/>
          <w:lang w:val="en-ID"/>
        </w:rPr>
        <w:t>Table 5. Results of the Chow Test and Hausman Test</w:t>
      </w:r>
    </w:p>
    <w:tbl>
      <w:tblPr>
        <w:tblStyle w:val="TableGridLight"/>
        <w:tblW w:w="0" w:type="auto"/>
        <w:tblLook w:val="04A0" w:firstRow="1" w:lastRow="0" w:firstColumn="1" w:lastColumn="0" w:noHBand="0" w:noVBand="1"/>
      </w:tblPr>
      <w:tblGrid>
        <w:gridCol w:w="1371"/>
        <w:gridCol w:w="3419"/>
        <w:gridCol w:w="863"/>
        <w:gridCol w:w="1489"/>
        <w:gridCol w:w="2178"/>
      </w:tblGrid>
      <w:tr w:rsidR="00373E8E" w:rsidRPr="00373E8E" w14:paraId="3397EC37" w14:textId="77777777" w:rsidTr="00373E8E">
        <w:tc>
          <w:tcPr>
            <w:tcW w:w="0" w:type="auto"/>
            <w:hideMark/>
          </w:tcPr>
          <w:p w14:paraId="2EA854C8" w14:textId="77777777" w:rsidR="00373E8E" w:rsidRPr="00373E8E" w:rsidRDefault="00373E8E" w:rsidP="00373E8E">
            <w:pPr>
              <w:widowControl w:val="0"/>
              <w:autoSpaceDE w:val="0"/>
              <w:autoSpaceDN w:val="0"/>
              <w:jc w:val="both"/>
              <w:rPr>
                <w:b/>
                <w:bCs/>
                <w:lang w:val="en-ID"/>
              </w:rPr>
            </w:pPr>
            <w:r w:rsidRPr="00373E8E">
              <w:rPr>
                <w:b/>
                <w:bCs/>
                <w:lang w:val="en-ID"/>
              </w:rPr>
              <w:t>Test Type</w:t>
            </w:r>
          </w:p>
        </w:tc>
        <w:tc>
          <w:tcPr>
            <w:tcW w:w="0" w:type="auto"/>
            <w:hideMark/>
          </w:tcPr>
          <w:p w14:paraId="0AC94770" w14:textId="77777777" w:rsidR="00373E8E" w:rsidRPr="00373E8E" w:rsidRDefault="00373E8E" w:rsidP="00373E8E">
            <w:pPr>
              <w:widowControl w:val="0"/>
              <w:autoSpaceDE w:val="0"/>
              <w:autoSpaceDN w:val="0"/>
              <w:jc w:val="both"/>
              <w:rPr>
                <w:b/>
                <w:bCs/>
                <w:lang w:val="en-ID"/>
              </w:rPr>
            </w:pPr>
            <w:r w:rsidRPr="00373E8E">
              <w:rPr>
                <w:b/>
                <w:bCs/>
                <w:lang w:val="en-ID"/>
              </w:rPr>
              <w:t>Hypothesis</w:t>
            </w:r>
          </w:p>
        </w:tc>
        <w:tc>
          <w:tcPr>
            <w:tcW w:w="0" w:type="auto"/>
            <w:hideMark/>
          </w:tcPr>
          <w:p w14:paraId="66C651CD" w14:textId="77777777" w:rsidR="00373E8E" w:rsidRPr="00373E8E" w:rsidRDefault="00373E8E" w:rsidP="00373E8E">
            <w:pPr>
              <w:widowControl w:val="0"/>
              <w:autoSpaceDE w:val="0"/>
              <w:autoSpaceDN w:val="0"/>
              <w:jc w:val="both"/>
              <w:rPr>
                <w:b/>
                <w:bCs/>
                <w:lang w:val="en-ID"/>
              </w:rPr>
            </w:pPr>
            <w:r w:rsidRPr="00373E8E">
              <w:rPr>
                <w:b/>
                <w:bCs/>
                <w:lang w:val="en-ID"/>
              </w:rPr>
              <w:t>p-value</w:t>
            </w:r>
          </w:p>
        </w:tc>
        <w:tc>
          <w:tcPr>
            <w:tcW w:w="0" w:type="auto"/>
            <w:hideMark/>
          </w:tcPr>
          <w:p w14:paraId="613D1590" w14:textId="77777777" w:rsidR="00373E8E" w:rsidRPr="00373E8E" w:rsidRDefault="00373E8E" w:rsidP="00373E8E">
            <w:pPr>
              <w:widowControl w:val="0"/>
              <w:autoSpaceDE w:val="0"/>
              <w:autoSpaceDN w:val="0"/>
              <w:jc w:val="both"/>
              <w:rPr>
                <w:b/>
                <w:bCs/>
                <w:lang w:val="en-ID"/>
              </w:rPr>
            </w:pPr>
            <w:r w:rsidRPr="00373E8E">
              <w:rPr>
                <w:b/>
                <w:bCs/>
                <w:lang w:val="en-ID"/>
              </w:rPr>
              <w:t>Decision</w:t>
            </w:r>
          </w:p>
        </w:tc>
        <w:tc>
          <w:tcPr>
            <w:tcW w:w="0" w:type="auto"/>
            <w:hideMark/>
          </w:tcPr>
          <w:p w14:paraId="7F712B52" w14:textId="77777777" w:rsidR="00373E8E" w:rsidRPr="00373E8E" w:rsidRDefault="00373E8E" w:rsidP="00373E8E">
            <w:pPr>
              <w:widowControl w:val="0"/>
              <w:autoSpaceDE w:val="0"/>
              <w:autoSpaceDN w:val="0"/>
              <w:jc w:val="both"/>
              <w:rPr>
                <w:b/>
                <w:bCs/>
                <w:lang w:val="en-ID"/>
              </w:rPr>
            </w:pPr>
            <w:r w:rsidRPr="00373E8E">
              <w:rPr>
                <w:b/>
                <w:bCs/>
                <w:lang w:val="en-ID"/>
              </w:rPr>
              <w:t>Conclusion</w:t>
            </w:r>
          </w:p>
        </w:tc>
      </w:tr>
      <w:tr w:rsidR="00373E8E" w:rsidRPr="00373E8E" w14:paraId="5435F594" w14:textId="77777777" w:rsidTr="00373E8E">
        <w:tc>
          <w:tcPr>
            <w:tcW w:w="0" w:type="auto"/>
            <w:hideMark/>
          </w:tcPr>
          <w:p w14:paraId="664DC488" w14:textId="77777777" w:rsidR="00373E8E" w:rsidRPr="00373E8E" w:rsidRDefault="00373E8E" w:rsidP="00373E8E">
            <w:pPr>
              <w:widowControl w:val="0"/>
              <w:autoSpaceDE w:val="0"/>
              <w:autoSpaceDN w:val="0"/>
              <w:jc w:val="both"/>
              <w:rPr>
                <w:lang w:val="en-ID"/>
              </w:rPr>
            </w:pPr>
            <w:r w:rsidRPr="00373E8E">
              <w:rPr>
                <w:lang w:val="en-ID"/>
              </w:rPr>
              <w:t>Chow Test</w:t>
            </w:r>
          </w:p>
        </w:tc>
        <w:tc>
          <w:tcPr>
            <w:tcW w:w="0" w:type="auto"/>
            <w:hideMark/>
          </w:tcPr>
          <w:p w14:paraId="50798B58" w14:textId="77777777" w:rsidR="00373E8E" w:rsidRPr="00373E8E" w:rsidRDefault="00373E8E" w:rsidP="00373E8E">
            <w:pPr>
              <w:widowControl w:val="0"/>
              <w:autoSpaceDE w:val="0"/>
              <w:autoSpaceDN w:val="0"/>
              <w:jc w:val="both"/>
              <w:rPr>
                <w:lang w:val="en-ID"/>
              </w:rPr>
            </w:pPr>
            <w:r w:rsidRPr="00373E8E">
              <w:rPr>
                <w:lang w:val="en-ID"/>
              </w:rPr>
              <w:t>H0: CEM is preferred; H1: FEM is preferred</w:t>
            </w:r>
          </w:p>
        </w:tc>
        <w:tc>
          <w:tcPr>
            <w:tcW w:w="0" w:type="auto"/>
            <w:hideMark/>
          </w:tcPr>
          <w:p w14:paraId="61E3850F" w14:textId="77777777" w:rsidR="00373E8E" w:rsidRPr="00373E8E" w:rsidRDefault="00373E8E" w:rsidP="00373E8E">
            <w:pPr>
              <w:widowControl w:val="0"/>
              <w:autoSpaceDE w:val="0"/>
              <w:autoSpaceDN w:val="0"/>
              <w:jc w:val="both"/>
              <w:rPr>
                <w:lang w:val="en-ID"/>
              </w:rPr>
            </w:pPr>
            <w:r w:rsidRPr="00373E8E">
              <w:rPr>
                <w:lang w:val="en-ID"/>
              </w:rPr>
              <w:t>0.000</w:t>
            </w:r>
          </w:p>
        </w:tc>
        <w:tc>
          <w:tcPr>
            <w:tcW w:w="0" w:type="auto"/>
            <w:hideMark/>
          </w:tcPr>
          <w:p w14:paraId="70748556" w14:textId="77777777" w:rsidR="00373E8E" w:rsidRPr="00373E8E" w:rsidRDefault="00373E8E" w:rsidP="00373E8E">
            <w:pPr>
              <w:widowControl w:val="0"/>
              <w:autoSpaceDE w:val="0"/>
              <w:autoSpaceDN w:val="0"/>
              <w:jc w:val="both"/>
              <w:rPr>
                <w:lang w:val="en-ID"/>
              </w:rPr>
            </w:pPr>
            <w:r w:rsidRPr="00373E8E">
              <w:rPr>
                <w:lang w:val="en-ID"/>
              </w:rPr>
              <w:t>Reject H0</w:t>
            </w:r>
          </w:p>
        </w:tc>
        <w:tc>
          <w:tcPr>
            <w:tcW w:w="0" w:type="auto"/>
            <w:hideMark/>
          </w:tcPr>
          <w:p w14:paraId="412C1BDE" w14:textId="77777777" w:rsidR="00373E8E" w:rsidRPr="00373E8E" w:rsidRDefault="00373E8E" w:rsidP="00373E8E">
            <w:pPr>
              <w:widowControl w:val="0"/>
              <w:autoSpaceDE w:val="0"/>
              <w:autoSpaceDN w:val="0"/>
              <w:jc w:val="both"/>
              <w:rPr>
                <w:lang w:val="en-ID"/>
              </w:rPr>
            </w:pPr>
            <w:r w:rsidRPr="00373E8E">
              <w:rPr>
                <w:lang w:val="en-ID"/>
              </w:rPr>
              <w:t>FEM is preferred to CEM</w:t>
            </w:r>
          </w:p>
        </w:tc>
      </w:tr>
      <w:tr w:rsidR="00373E8E" w:rsidRPr="00373E8E" w14:paraId="20BEDA23" w14:textId="77777777" w:rsidTr="00373E8E">
        <w:tc>
          <w:tcPr>
            <w:tcW w:w="0" w:type="auto"/>
            <w:hideMark/>
          </w:tcPr>
          <w:p w14:paraId="351B181E" w14:textId="77777777" w:rsidR="00373E8E" w:rsidRPr="00373E8E" w:rsidRDefault="00373E8E" w:rsidP="00373E8E">
            <w:pPr>
              <w:widowControl w:val="0"/>
              <w:autoSpaceDE w:val="0"/>
              <w:autoSpaceDN w:val="0"/>
              <w:jc w:val="both"/>
              <w:rPr>
                <w:lang w:val="en-ID"/>
              </w:rPr>
            </w:pPr>
            <w:r w:rsidRPr="00373E8E">
              <w:rPr>
                <w:lang w:val="en-ID"/>
              </w:rPr>
              <w:t>Hausman Test</w:t>
            </w:r>
          </w:p>
        </w:tc>
        <w:tc>
          <w:tcPr>
            <w:tcW w:w="0" w:type="auto"/>
            <w:hideMark/>
          </w:tcPr>
          <w:p w14:paraId="6B78F935" w14:textId="77777777" w:rsidR="00373E8E" w:rsidRPr="00373E8E" w:rsidRDefault="00373E8E" w:rsidP="00373E8E">
            <w:pPr>
              <w:widowControl w:val="0"/>
              <w:autoSpaceDE w:val="0"/>
              <w:autoSpaceDN w:val="0"/>
              <w:jc w:val="both"/>
              <w:rPr>
                <w:lang w:val="en-ID"/>
              </w:rPr>
            </w:pPr>
            <w:r w:rsidRPr="00373E8E">
              <w:rPr>
                <w:lang w:val="en-ID"/>
              </w:rPr>
              <w:t>H0: REM is preferred; H1: FEM is preferred</w:t>
            </w:r>
          </w:p>
        </w:tc>
        <w:tc>
          <w:tcPr>
            <w:tcW w:w="0" w:type="auto"/>
            <w:hideMark/>
          </w:tcPr>
          <w:p w14:paraId="1AFD5CF1" w14:textId="77777777" w:rsidR="00373E8E" w:rsidRPr="00373E8E" w:rsidRDefault="00373E8E" w:rsidP="00373E8E">
            <w:pPr>
              <w:widowControl w:val="0"/>
              <w:autoSpaceDE w:val="0"/>
              <w:autoSpaceDN w:val="0"/>
              <w:jc w:val="both"/>
              <w:rPr>
                <w:lang w:val="en-ID"/>
              </w:rPr>
            </w:pPr>
            <w:r w:rsidRPr="00373E8E">
              <w:rPr>
                <w:lang w:val="en-ID"/>
              </w:rPr>
              <w:t>1.000</w:t>
            </w:r>
          </w:p>
        </w:tc>
        <w:tc>
          <w:tcPr>
            <w:tcW w:w="0" w:type="auto"/>
            <w:hideMark/>
          </w:tcPr>
          <w:p w14:paraId="04E3589B" w14:textId="77777777" w:rsidR="00373E8E" w:rsidRPr="00373E8E" w:rsidRDefault="00373E8E" w:rsidP="00373E8E">
            <w:pPr>
              <w:widowControl w:val="0"/>
              <w:autoSpaceDE w:val="0"/>
              <w:autoSpaceDN w:val="0"/>
              <w:jc w:val="both"/>
              <w:rPr>
                <w:lang w:val="en-ID"/>
              </w:rPr>
            </w:pPr>
            <w:r w:rsidRPr="00373E8E">
              <w:rPr>
                <w:lang w:val="en-ID"/>
              </w:rPr>
              <w:t>Fail to reject H0</w:t>
            </w:r>
          </w:p>
        </w:tc>
        <w:tc>
          <w:tcPr>
            <w:tcW w:w="0" w:type="auto"/>
            <w:hideMark/>
          </w:tcPr>
          <w:p w14:paraId="20CAD7A0" w14:textId="77777777" w:rsidR="00373E8E" w:rsidRPr="00373E8E" w:rsidRDefault="00373E8E" w:rsidP="00373E8E">
            <w:pPr>
              <w:widowControl w:val="0"/>
              <w:autoSpaceDE w:val="0"/>
              <w:autoSpaceDN w:val="0"/>
              <w:jc w:val="both"/>
              <w:rPr>
                <w:lang w:val="en-ID"/>
              </w:rPr>
            </w:pPr>
            <w:r w:rsidRPr="00373E8E">
              <w:rPr>
                <w:lang w:val="en-ID"/>
              </w:rPr>
              <w:t>REM is preferred to FEM</w:t>
            </w:r>
          </w:p>
        </w:tc>
      </w:tr>
    </w:tbl>
    <w:p w14:paraId="54C32F5B" w14:textId="77777777" w:rsidR="00373E8E" w:rsidRPr="00373E8E" w:rsidRDefault="00373E8E" w:rsidP="00373E8E">
      <w:pPr>
        <w:ind w:firstLine="720"/>
        <w:jc w:val="both"/>
        <w:rPr>
          <w:lang w:val="en-ID"/>
        </w:rPr>
      </w:pPr>
      <w:r w:rsidRPr="00373E8E">
        <w:rPr>
          <w:lang w:val="en-ID"/>
        </w:rPr>
        <w:t>Based on the results of the Chow Test presented in Table 5, the Fixed Effect Model was found to be preferable to the Common Effect Model. Subsequently, the Hausman Test indicated that the Random Effect Model was preferable to the Fixed Effect Model. Therefore, the Random Effect Model was selected as the most appropriate model for the panel data estimation.</w:t>
      </w:r>
    </w:p>
    <w:p w14:paraId="5CB8562B" w14:textId="77777777" w:rsidR="00373E8E" w:rsidRDefault="00373E8E" w:rsidP="00373E8E">
      <w:pPr>
        <w:ind w:firstLine="720"/>
        <w:jc w:val="both"/>
        <w:rPr>
          <w:lang w:val="en-ID"/>
        </w:rPr>
      </w:pPr>
    </w:p>
    <w:p w14:paraId="5EFC8A34" w14:textId="3AE0CA29" w:rsidR="00373E8E" w:rsidRPr="00373E8E" w:rsidRDefault="00373E8E" w:rsidP="00373E8E">
      <w:pPr>
        <w:ind w:firstLine="720"/>
        <w:jc w:val="both"/>
        <w:rPr>
          <w:lang w:val="en-ID"/>
        </w:rPr>
      </w:pPr>
      <w:r w:rsidRPr="00373E8E">
        <w:rPr>
          <w:lang w:val="en-ID"/>
        </w:rPr>
        <w:t>The estimated general regression model is presented as follows:</w:t>
      </w:r>
    </w:p>
    <w:p w14:paraId="194EC60F" w14:textId="54BB9A4A" w:rsidR="00373E8E" w:rsidRPr="00373E8E" w:rsidRDefault="00373E8E" w:rsidP="00373E8E">
      <w:pPr>
        <w:ind w:firstLine="720"/>
        <w:jc w:val="both"/>
        <w:rPr>
          <w:lang w:val="en-ID"/>
        </w:rPr>
      </w:pPr>
      <m:oMathPara>
        <m:oMath>
          <m:r>
            <w:rPr>
              <w:rFonts w:ascii="Cambria Math" w:hAnsi="Cambria Math"/>
              <w:lang w:val="en-ID"/>
            </w:rPr>
            <m:t>T</m:t>
          </m:r>
          <m:sSub>
            <m:sSubPr>
              <m:ctrlPr>
                <w:rPr>
                  <w:rFonts w:ascii="Cambria Math" w:hAnsi="Cambria Math"/>
                  <w:lang w:val="en-ID"/>
                </w:rPr>
              </m:ctrlPr>
            </m:sSubPr>
            <m:e>
              <m:r>
                <w:rPr>
                  <w:rFonts w:ascii="Cambria Math" w:hAnsi="Cambria Math"/>
                  <w:lang w:val="en-ID"/>
                </w:rPr>
                <m:t>K</m:t>
              </m:r>
            </m:e>
            <m:sub>
              <m:r>
                <w:rPr>
                  <w:rFonts w:ascii="Cambria Math" w:hAnsi="Cambria Math"/>
                  <w:lang w:val="en-ID"/>
                </w:rPr>
                <m:t>it</m:t>
              </m:r>
            </m:sub>
          </m:sSub>
          <m:r>
            <w:rPr>
              <w:rFonts w:ascii="Cambria Math" w:hAnsi="Cambria Math"/>
              <w:lang w:val="en-ID"/>
            </w:rPr>
            <m:t>=23.3314-31.5295A</m:t>
          </m:r>
          <m:sSub>
            <m:sSubPr>
              <m:ctrlPr>
                <w:rPr>
                  <w:rFonts w:ascii="Cambria Math" w:hAnsi="Cambria Math"/>
                  <w:lang w:val="en-ID"/>
                </w:rPr>
              </m:ctrlPr>
            </m:sSubPr>
            <m:e>
              <m:r>
                <w:rPr>
                  <w:rFonts w:ascii="Cambria Math" w:hAnsi="Cambria Math"/>
                  <w:lang w:val="en-ID"/>
                </w:rPr>
                <m:t>K</m:t>
              </m:r>
            </m:e>
            <m:sub>
              <m:r>
                <w:rPr>
                  <w:rFonts w:ascii="Cambria Math" w:hAnsi="Cambria Math"/>
                  <w:lang w:val="en-ID"/>
                </w:rPr>
                <m:t>it</m:t>
              </m:r>
            </m:sub>
          </m:sSub>
          <m:r>
            <w:rPr>
              <w:rFonts w:ascii="Cambria Math" w:hAnsi="Cambria Math"/>
              <w:lang w:val="en-ID"/>
            </w:rPr>
            <m:t>-3.7045K</m:t>
          </m:r>
          <m:sSub>
            <m:sSubPr>
              <m:ctrlPr>
                <w:rPr>
                  <w:rFonts w:ascii="Cambria Math" w:hAnsi="Cambria Math"/>
                  <w:lang w:val="en-ID"/>
                </w:rPr>
              </m:ctrlPr>
            </m:sSubPr>
            <m:e>
              <m:r>
                <w:rPr>
                  <w:rFonts w:ascii="Cambria Math" w:hAnsi="Cambria Math"/>
                  <w:lang w:val="en-ID"/>
                </w:rPr>
                <m:t>K</m:t>
              </m:r>
            </m:e>
            <m:sub>
              <m:r>
                <w:rPr>
                  <w:rFonts w:ascii="Cambria Math" w:hAnsi="Cambria Math"/>
                  <w:lang w:val="en-ID"/>
                </w:rPr>
                <m:t>it</m:t>
              </m:r>
            </m:sub>
          </m:sSub>
          <m:r>
            <w:rPr>
              <w:rFonts w:ascii="Cambria Math" w:hAnsi="Cambria Math"/>
              <w:lang w:val="en-ID"/>
            </w:rPr>
            <m:t>-0.0048T</m:t>
          </m:r>
          <m:sSub>
            <m:sSubPr>
              <m:ctrlPr>
                <w:rPr>
                  <w:rFonts w:ascii="Cambria Math" w:hAnsi="Cambria Math"/>
                  <w:lang w:val="en-ID"/>
                </w:rPr>
              </m:ctrlPr>
            </m:sSubPr>
            <m:e>
              <m:r>
                <w:rPr>
                  <w:rFonts w:ascii="Cambria Math" w:hAnsi="Cambria Math"/>
                  <w:lang w:val="en-ID"/>
                </w:rPr>
                <m:t>R</m:t>
              </m:r>
            </m:e>
            <m:sub>
              <m:r>
                <w:rPr>
                  <w:rFonts w:ascii="Cambria Math" w:hAnsi="Cambria Math"/>
                  <w:lang w:val="en-ID"/>
                </w:rPr>
                <m:t>it</m:t>
              </m:r>
            </m:sub>
          </m:sSub>
          <m:r>
            <w:rPr>
              <w:rFonts w:ascii="Cambria Math" w:hAnsi="Cambria Math"/>
              <w:lang w:val="en-ID"/>
            </w:rPr>
            <m:t>-0.7369P</m:t>
          </m:r>
          <m:sSub>
            <m:sSubPr>
              <m:ctrlPr>
                <w:rPr>
                  <w:rFonts w:ascii="Cambria Math" w:hAnsi="Cambria Math"/>
                  <w:lang w:val="en-ID"/>
                </w:rPr>
              </m:ctrlPr>
            </m:sSubPr>
            <m:e>
              <m:r>
                <w:rPr>
                  <w:rFonts w:ascii="Cambria Math" w:hAnsi="Cambria Math"/>
                  <w:lang w:val="en-ID"/>
                </w:rPr>
                <m:t>E</m:t>
              </m:r>
            </m:e>
            <m:sub>
              <m:r>
                <w:rPr>
                  <w:rFonts w:ascii="Cambria Math" w:hAnsi="Cambria Math"/>
                  <w:lang w:val="en-ID"/>
                </w:rPr>
                <m:t>it</m:t>
              </m:r>
            </m:sub>
          </m:sSub>
          <m:r>
            <w:rPr>
              <w:rFonts w:ascii="Cambria Math" w:hAnsi="Cambria Math"/>
              <w:lang w:val="en-ID"/>
            </w:rPr>
            <m:t>+6.7446(AK×PE</m:t>
          </m:r>
          <m:sSub>
            <m:sSubPr>
              <m:ctrlPr>
                <w:rPr>
                  <w:rFonts w:ascii="Cambria Math" w:hAnsi="Cambria Math"/>
                  <w:lang w:val="en-ID"/>
                </w:rPr>
              </m:ctrlPr>
            </m:sSubPr>
            <m:e>
              <m:r>
                <w:rPr>
                  <w:rFonts w:ascii="Cambria Math" w:hAnsi="Cambria Math"/>
                  <w:lang w:val="en-ID"/>
                </w:rPr>
                <m:t>)</m:t>
              </m:r>
            </m:e>
            <m:sub>
              <m:r>
                <w:rPr>
                  <w:rFonts w:ascii="Cambria Math" w:hAnsi="Cambria Math"/>
                  <w:lang w:val="en-ID"/>
                </w:rPr>
                <m:t>it</m:t>
              </m:r>
            </m:sub>
          </m:sSub>
          <m:r>
            <w:rPr>
              <w:rFonts w:ascii="Cambria Math" w:hAnsi="Cambria Math"/>
              <w:lang w:val="en-ID"/>
            </w:rPr>
            <m:t>+0.7826(KK×PE</m:t>
          </m:r>
          <m:sSub>
            <m:sSubPr>
              <m:ctrlPr>
                <w:rPr>
                  <w:rFonts w:ascii="Cambria Math" w:hAnsi="Cambria Math"/>
                  <w:lang w:val="en-ID"/>
                </w:rPr>
              </m:ctrlPr>
            </m:sSubPr>
            <m:e>
              <m:r>
                <w:rPr>
                  <w:rFonts w:ascii="Cambria Math" w:hAnsi="Cambria Math"/>
                  <w:lang w:val="en-ID"/>
                </w:rPr>
                <m:t>)</m:t>
              </m:r>
            </m:e>
            <m:sub>
              <m:r>
                <w:rPr>
                  <w:rFonts w:ascii="Cambria Math" w:hAnsi="Cambria Math"/>
                  <w:lang w:val="en-ID"/>
                </w:rPr>
                <m:t>it</m:t>
              </m:r>
            </m:sub>
          </m:sSub>
          <m:r>
            <w:rPr>
              <w:rFonts w:ascii="Cambria Math" w:hAnsi="Cambria Math"/>
              <w:lang w:val="en-ID"/>
            </w:rPr>
            <m:t>+0.0048(TR×PE</m:t>
          </m:r>
          <m:sSub>
            <m:sSubPr>
              <m:ctrlPr>
                <w:rPr>
                  <w:rFonts w:ascii="Cambria Math" w:hAnsi="Cambria Math"/>
                  <w:lang w:val="en-ID"/>
                </w:rPr>
              </m:ctrlPr>
            </m:sSubPr>
            <m:e>
              <m:r>
                <w:rPr>
                  <w:rFonts w:ascii="Cambria Math" w:hAnsi="Cambria Math"/>
                  <w:lang w:val="en-ID"/>
                </w:rPr>
                <m:t>)</m:t>
              </m:r>
            </m:e>
            <m:sub>
              <m:r>
                <w:rPr>
                  <w:rFonts w:ascii="Cambria Math" w:hAnsi="Cambria Math"/>
                  <w:lang w:val="en-ID"/>
                </w:rPr>
                <m:t>it</m:t>
              </m:r>
            </m:sub>
          </m:sSub>
          <m:r>
            <w:rPr>
              <w:rFonts w:ascii="Cambria Math" w:hAnsi="Cambria Math"/>
              <w:lang w:val="en-ID"/>
            </w:rPr>
            <m:t>+</m:t>
          </m:r>
          <m:sSub>
            <m:sSubPr>
              <m:ctrlPr>
                <w:rPr>
                  <w:rFonts w:ascii="Cambria Math" w:hAnsi="Cambria Math"/>
                  <w:lang w:val="en-ID"/>
                </w:rPr>
              </m:ctrlPr>
            </m:sSubPr>
            <m:e>
              <m:r>
                <w:rPr>
                  <w:rFonts w:ascii="Cambria Math" w:hAnsi="Cambria Math"/>
                  <w:lang w:val="en-ID"/>
                </w:rPr>
                <m:t>ε</m:t>
              </m:r>
            </m:e>
            <m:sub>
              <m:r>
                <w:rPr>
                  <w:rFonts w:ascii="Cambria Math" w:hAnsi="Cambria Math"/>
                  <w:lang w:val="en-ID"/>
                </w:rPr>
                <m:t>it</m:t>
              </m:r>
            </m:sub>
          </m:sSub>
          <m:r>
            <m:rPr>
              <m:sty m:val="p"/>
            </m:rPr>
            <w:rPr>
              <w:lang w:val="en-ID"/>
            </w:rPr>
            <w:br/>
          </m:r>
        </m:oMath>
      </m:oMathPara>
    </w:p>
    <w:p w14:paraId="7E10E6C4" w14:textId="52BC002E" w:rsidR="00373E8E" w:rsidRPr="00373E8E" w:rsidRDefault="00373E8E" w:rsidP="00373E8E">
      <w:pPr>
        <w:ind w:firstLine="720"/>
        <w:rPr>
          <w:lang w:val="en-ID"/>
        </w:rPr>
      </w:pPr>
      <w:r w:rsidRPr="00373E8E">
        <w:rPr>
          <w:lang w:val="en-ID"/>
        </w:rPr>
        <w:t>where:</w:t>
      </w:r>
      <w:r w:rsidRPr="00373E8E">
        <w:rPr>
          <w:lang w:val="en-ID"/>
        </w:rPr>
        <w:br/>
      </w:r>
      <m:oMath>
        <m:r>
          <w:rPr>
            <w:rFonts w:ascii="Cambria Math" w:hAnsi="Cambria Math"/>
            <w:lang w:val="en-ID"/>
          </w:rPr>
          <m:t>TK</m:t>
        </m:r>
      </m:oMath>
      <w:r w:rsidRPr="00373E8E">
        <w:rPr>
          <w:lang w:val="en-ID"/>
        </w:rPr>
        <w:t>= poverty level</w:t>
      </w:r>
      <w:r w:rsidRPr="00373E8E">
        <w:rPr>
          <w:lang w:val="en-ID"/>
        </w:rPr>
        <w:br/>
      </w:r>
      <m:oMath>
        <m:r>
          <w:rPr>
            <w:rFonts w:ascii="Cambria Math" w:hAnsi="Cambria Math"/>
            <w:lang w:val="en-ID"/>
          </w:rPr>
          <m:t>AK</m:t>
        </m:r>
      </m:oMath>
      <w:r w:rsidRPr="00373E8E">
        <w:rPr>
          <w:lang w:val="en-ID"/>
        </w:rPr>
        <w:t>= accountability level</w:t>
      </w:r>
      <w:r w:rsidRPr="00373E8E">
        <w:rPr>
          <w:lang w:val="en-ID"/>
        </w:rPr>
        <w:br/>
      </w:r>
      <m:oMath>
        <m:r>
          <w:rPr>
            <w:rFonts w:ascii="Cambria Math" w:hAnsi="Cambria Math"/>
            <w:lang w:val="en-ID"/>
          </w:rPr>
          <m:t>KK</m:t>
        </m:r>
      </m:oMath>
      <w:r w:rsidRPr="00373E8E">
        <w:rPr>
          <w:lang w:val="en-ID"/>
        </w:rPr>
        <w:t>= financial performance level</w:t>
      </w:r>
      <w:r w:rsidRPr="00373E8E">
        <w:rPr>
          <w:lang w:val="en-ID"/>
        </w:rPr>
        <w:br/>
      </w:r>
      <m:oMath>
        <m:r>
          <w:rPr>
            <w:rFonts w:ascii="Cambria Math" w:hAnsi="Cambria Math"/>
            <w:lang w:val="en-ID"/>
          </w:rPr>
          <m:t>TR</m:t>
        </m:r>
      </m:oMath>
      <w:r w:rsidRPr="00373E8E">
        <w:rPr>
          <w:lang w:val="en-ID"/>
        </w:rPr>
        <w:t>= regional financial transparency level</w:t>
      </w:r>
      <w:r w:rsidRPr="00373E8E">
        <w:rPr>
          <w:lang w:val="en-ID"/>
        </w:rPr>
        <w:br/>
      </w:r>
      <m:oMath>
        <m:r>
          <w:rPr>
            <w:rFonts w:ascii="Cambria Math" w:hAnsi="Cambria Math"/>
            <w:lang w:val="en-ID"/>
          </w:rPr>
          <m:t>PE</m:t>
        </m:r>
      </m:oMath>
      <w:r w:rsidRPr="00373E8E">
        <w:rPr>
          <w:lang w:val="en-ID"/>
        </w:rPr>
        <w:t>= economic growth rate</w:t>
      </w:r>
      <w:r w:rsidRPr="00373E8E">
        <w:rPr>
          <w:lang w:val="en-ID"/>
        </w:rPr>
        <w:br/>
      </w:r>
      <m:oMath>
        <m:d>
          <m:dPr>
            <m:sepChr m:val="×"/>
            <m:ctrlPr>
              <w:rPr>
                <w:rFonts w:ascii="Cambria Math" w:hAnsi="Cambria Math"/>
                <w:lang w:val="en-ID"/>
              </w:rPr>
            </m:ctrlPr>
          </m:dPr>
          <m:e>
            <m:r>
              <w:rPr>
                <w:rFonts w:ascii="Cambria Math" w:hAnsi="Cambria Math"/>
                <w:lang w:val="en-ID"/>
              </w:rPr>
              <m:t>AK</m:t>
            </m:r>
          </m:e>
          <m:e>
            <m:r>
              <w:rPr>
                <w:rFonts w:ascii="Cambria Math" w:hAnsi="Cambria Math"/>
                <w:lang w:val="en-ID"/>
              </w:rPr>
              <m:t>PE</m:t>
            </m:r>
          </m:e>
        </m:d>
      </m:oMath>
      <w:r w:rsidRPr="00373E8E">
        <w:rPr>
          <w:lang w:val="en-ID"/>
        </w:rPr>
        <w:t>= interaction between accountability and economic growth</w:t>
      </w:r>
      <w:r w:rsidRPr="00373E8E">
        <w:rPr>
          <w:lang w:val="en-ID"/>
        </w:rPr>
        <w:br/>
      </w:r>
      <m:oMath>
        <m:d>
          <m:dPr>
            <m:sepChr m:val="×"/>
            <m:ctrlPr>
              <w:rPr>
                <w:rFonts w:ascii="Cambria Math" w:hAnsi="Cambria Math"/>
                <w:lang w:val="en-ID"/>
              </w:rPr>
            </m:ctrlPr>
          </m:dPr>
          <m:e>
            <m:r>
              <w:rPr>
                <w:rFonts w:ascii="Cambria Math" w:hAnsi="Cambria Math"/>
                <w:lang w:val="en-ID"/>
              </w:rPr>
              <m:t>KK</m:t>
            </m:r>
          </m:e>
          <m:e>
            <m:r>
              <w:rPr>
                <w:rFonts w:ascii="Cambria Math" w:hAnsi="Cambria Math"/>
                <w:lang w:val="en-ID"/>
              </w:rPr>
              <m:t>PE</m:t>
            </m:r>
          </m:e>
        </m:d>
      </m:oMath>
      <w:r w:rsidRPr="00373E8E">
        <w:rPr>
          <w:lang w:val="en-ID"/>
        </w:rPr>
        <w:t>= interaction between financial performance and economic growth</w:t>
      </w:r>
      <w:r w:rsidRPr="00373E8E">
        <w:rPr>
          <w:lang w:val="en-ID"/>
        </w:rPr>
        <w:br/>
      </w:r>
      <m:oMath>
        <m:d>
          <m:dPr>
            <m:sepChr m:val="×"/>
            <m:ctrlPr>
              <w:rPr>
                <w:rFonts w:ascii="Cambria Math" w:hAnsi="Cambria Math"/>
                <w:lang w:val="en-ID"/>
              </w:rPr>
            </m:ctrlPr>
          </m:dPr>
          <m:e>
            <m:r>
              <w:rPr>
                <w:rFonts w:ascii="Cambria Math" w:hAnsi="Cambria Math"/>
                <w:lang w:val="en-ID"/>
              </w:rPr>
              <m:t>TR</m:t>
            </m:r>
          </m:e>
          <m:e>
            <m:r>
              <w:rPr>
                <w:rFonts w:ascii="Cambria Math" w:hAnsi="Cambria Math"/>
                <w:lang w:val="en-ID"/>
              </w:rPr>
              <m:t>PE</m:t>
            </m:r>
          </m:e>
        </m:d>
      </m:oMath>
      <w:r w:rsidRPr="00373E8E">
        <w:rPr>
          <w:lang w:val="en-ID"/>
        </w:rPr>
        <w:t>= interaction between transparency and economic growth</w:t>
      </w:r>
      <w:r w:rsidRPr="00373E8E">
        <w:rPr>
          <w:lang w:val="en-ID"/>
        </w:rPr>
        <w:br/>
      </w:r>
      <m:oMath>
        <m:r>
          <w:rPr>
            <w:rFonts w:ascii="Cambria Math" w:hAnsi="Cambria Math"/>
            <w:lang w:val="en-ID"/>
          </w:rPr>
          <m:t>ε</m:t>
        </m:r>
      </m:oMath>
      <w:r w:rsidRPr="00373E8E">
        <w:rPr>
          <w:lang w:val="en-ID"/>
        </w:rPr>
        <w:t>= error term</w:t>
      </w:r>
      <w:r w:rsidRPr="00373E8E">
        <w:rPr>
          <w:lang w:val="en-ID"/>
        </w:rPr>
        <w:br/>
      </w:r>
      <m:oMath>
        <m:r>
          <w:rPr>
            <w:rFonts w:ascii="Cambria Math" w:hAnsi="Cambria Math"/>
            <w:lang w:val="en-ID"/>
          </w:rPr>
          <m:t>i</m:t>
        </m:r>
      </m:oMath>
      <w:r w:rsidRPr="00373E8E">
        <w:rPr>
          <w:lang w:val="en-ID"/>
        </w:rPr>
        <w:t>= observational unit</w:t>
      </w:r>
      <w:r w:rsidRPr="00373E8E">
        <w:rPr>
          <w:lang w:val="en-ID"/>
        </w:rPr>
        <w:br/>
      </w:r>
      <m:oMath>
        <m:r>
          <w:rPr>
            <w:rFonts w:ascii="Cambria Math" w:hAnsi="Cambria Math"/>
            <w:lang w:val="en-ID"/>
          </w:rPr>
          <m:t>t</m:t>
        </m:r>
      </m:oMath>
      <w:r w:rsidRPr="00373E8E">
        <w:rPr>
          <w:lang w:val="en-ID"/>
        </w:rPr>
        <w:t>= time period</w:t>
      </w:r>
    </w:p>
    <w:p w14:paraId="6971EBAE" w14:textId="5CFDE05F" w:rsidR="00373E8E" w:rsidRPr="00373E8E" w:rsidRDefault="00373E8E" w:rsidP="00373E8E">
      <w:pPr>
        <w:ind w:firstLine="720"/>
        <w:jc w:val="both"/>
        <w:rPr>
          <w:lang w:val="en-ID"/>
        </w:rPr>
      </w:pPr>
      <w:r w:rsidRPr="00373E8E">
        <w:rPr>
          <w:lang w:val="en-ID"/>
        </w:rPr>
        <w:t>The coefficient of determination (</w:t>
      </w:r>
      <m:oMath>
        <m:sSup>
          <m:sSupPr>
            <m:ctrlPr>
              <w:rPr>
                <w:rFonts w:ascii="Cambria Math" w:hAnsi="Cambria Math"/>
                <w:lang w:val="en-ID"/>
              </w:rPr>
            </m:ctrlPr>
          </m:sSupPr>
          <m:e>
            <m:r>
              <w:rPr>
                <w:rFonts w:ascii="Cambria Math" w:hAnsi="Cambria Math"/>
                <w:lang w:val="en-ID"/>
              </w:rPr>
              <m:t>R</m:t>
            </m:r>
          </m:e>
          <m:sup>
            <m:r>
              <w:rPr>
                <w:rFonts w:ascii="Cambria Math" w:hAnsi="Cambria Math"/>
                <w:lang w:val="en-ID"/>
              </w:rPr>
              <m:t>2</m:t>
            </m:r>
          </m:sup>
        </m:sSup>
      </m:oMath>
      <w:r w:rsidRPr="00373E8E">
        <w:rPr>
          <w:lang w:val="en-ID"/>
        </w:rPr>
        <w:t>) for the estimated model was 0.4487. This indicates that approximately 44.87 percent of the variation in poverty levels can be explained by accountability, financial performance, financial transparency, economic growth, and the interaction terms included in the model. The remaining variation is explained by other factors not included in the present model.</w:t>
      </w:r>
    </w:p>
    <w:p w14:paraId="526B636D" w14:textId="77777777" w:rsidR="00373E8E" w:rsidRPr="00373E8E" w:rsidRDefault="00373E8E" w:rsidP="00373E8E">
      <w:pPr>
        <w:ind w:firstLine="720"/>
        <w:jc w:val="both"/>
        <w:rPr>
          <w:lang w:val="en-ID"/>
        </w:rPr>
      </w:pPr>
      <w:r w:rsidRPr="00373E8E">
        <w:rPr>
          <w:lang w:val="en-ID"/>
        </w:rPr>
        <w:t>The results of the simultaneous and partial significance tests are presented in Table 6.</w:t>
      </w:r>
    </w:p>
    <w:p w14:paraId="288806D2" w14:textId="77777777" w:rsidR="00373E8E" w:rsidRDefault="00373E8E" w:rsidP="00373E8E">
      <w:pPr>
        <w:ind w:firstLine="720"/>
        <w:jc w:val="both"/>
        <w:rPr>
          <w:b/>
          <w:bCs/>
          <w:lang w:val="en-ID"/>
        </w:rPr>
      </w:pPr>
    </w:p>
    <w:p w14:paraId="7CD2380B" w14:textId="19D8AD96" w:rsidR="00373E8E" w:rsidRPr="00373E8E" w:rsidRDefault="00373E8E" w:rsidP="00373E8E">
      <w:pPr>
        <w:ind w:firstLine="720"/>
        <w:jc w:val="center"/>
        <w:rPr>
          <w:b/>
          <w:bCs/>
          <w:lang w:val="en-ID"/>
        </w:rPr>
      </w:pPr>
      <w:r w:rsidRPr="00373E8E">
        <w:rPr>
          <w:b/>
          <w:bCs/>
          <w:lang w:val="en-ID"/>
        </w:rPr>
        <w:t>Table 6. Results of the F-test and t-test</w:t>
      </w:r>
    </w:p>
    <w:tbl>
      <w:tblPr>
        <w:tblStyle w:val="TableGridLight"/>
        <w:tblW w:w="0" w:type="auto"/>
        <w:tblLook w:val="04A0" w:firstRow="1" w:lastRow="0" w:firstColumn="1" w:lastColumn="0" w:noHBand="0" w:noVBand="1"/>
      </w:tblPr>
      <w:tblGrid>
        <w:gridCol w:w="934"/>
        <w:gridCol w:w="2955"/>
        <w:gridCol w:w="869"/>
        <w:gridCol w:w="1347"/>
        <w:gridCol w:w="3215"/>
      </w:tblGrid>
      <w:tr w:rsidR="00373E8E" w:rsidRPr="00373E8E" w14:paraId="567104D9" w14:textId="77777777" w:rsidTr="00373E8E">
        <w:tc>
          <w:tcPr>
            <w:tcW w:w="0" w:type="auto"/>
            <w:hideMark/>
          </w:tcPr>
          <w:p w14:paraId="27BCE9F8" w14:textId="77777777" w:rsidR="00373E8E" w:rsidRPr="00373E8E" w:rsidRDefault="00373E8E" w:rsidP="00373E8E">
            <w:pPr>
              <w:widowControl w:val="0"/>
              <w:autoSpaceDE w:val="0"/>
              <w:autoSpaceDN w:val="0"/>
              <w:jc w:val="both"/>
              <w:rPr>
                <w:b/>
                <w:bCs/>
                <w:lang w:val="en-ID"/>
              </w:rPr>
            </w:pPr>
            <w:r w:rsidRPr="00373E8E">
              <w:rPr>
                <w:b/>
                <w:bCs/>
                <w:lang w:val="en-ID"/>
              </w:rPr>
              <w:t>Test Type</w:t>
            </w:r>
          </w:p>
        </w:tc>
        <w:tc>
          <w:tcPr>
            <w:tcW w:w="0" w:type="auto"/>
            <w:hideMark/>
          </w:tcPr>
          <w:p w14:paraId="15689F32" w14:textId="77777777" w:rsidR="00373E8E" w:rsidRPr="00373E8E" w:rsidRDefault="00373E8E" w:rsidP="00373E8E">
            <w:pPr>
              <w:widowControl w:val="0"/>
              <w:autoSpaceDE w:val="0"/>
              <w:autoSpaceDN w:val="0"/>
              <w:jc w:val="both"/>
              <w:rPr>
                <w:b/>
                <w:bCs/>
                <w:lang w:val="en-ID"/>
              </w:rPr>
            </w:pPr>
            <w:r w:rsidRPr="00373E8E">
              <w:rPr>
                <w:b/>
                <w:bCs/>
                <w:lang w:val="en-ID"/>
              </w:rPr>
              <w:t>Variable</w:t>
            </w:r>
          </w:p>
        </w:tc>
        <w:tc>
          <w:tcPr>
            <w:tcW w:w="0" w:type="auto"/>
            <w:hideMark/>
          </w:tcPr>
          <w:p w14:paraId="69AFFB4E" w14:textId="77777777" w:rsidR="00373E8E" w:rsidRPr="00373E8E" w:rsidRDefault="00373E8E" w:rsidP="00373E8E">
            <w:pPr>
              <w:widowControl w:val="0"/>
              <w:autoSpaceDE w:val="0"/>
              <w:autoSpaceDN w:val="0"/>
              <w:jc w:val="both"/>
              <w:rPr>
                <w:b/>
                <w:bCs/>
                <w:lang w:val="en-ID"/>
              </w:rPr>
            </w:pPr>
            <w:r w:rsidRPr="00373E8E">
              <w:rPr>
                <w:b/>
                <w:bCs/>
                <w:lang w:val="en-ID"/>
              </w:rPr>
              <w:t>p-value</w:t>
            </w:r>
          </w:p>
        </w:tc>
        <w:tc>
          <w:tcPr>
            <w:tcW w:w="0" w:type="auto"/>
            <w:hideMark/>
          </w:tcPr>
          <w:p w14:paraId="1F48DDBE" w14:textId="77777777" w:rsidR="00373E8E" w:rsidRPr="00373E8E" w:rsidRDefault="00373E8E" w:rsidP="00373E8E">
            <w:pPr>
              <w:widowControl w:val="0"/>
              <w:autoSpaceDE w:val="0"/>
              <w:autoSpaceDN w:val="0"/>
              <w:jc w:val="both"/>
              <w:rPr>
                <w:b/>
                <w:bCs/>
                <w:lang w:val="en-ID"/>
              </w:rPr>
            </w:pPr>
            <w:r w:rsidRPr="00373E8E">
              <w:rPr>
                <w:b/>
                <w:bCs/>
                <w:lang w:val="en-ID"/>
              </w:rPr>
              <w:t>Decision</w:t>
            </w:r>
          </w:p>
        </w:tc>
        <w:tc>
          <w:tcPr>
            <w:tcW w:w="0" w:type="auto"/>
            <w:hideMark/>
          </w:tcPr>
          <w:p w14:paraId="496F85E9" w14:textId="77777777" w:rsidR="00373E8E" w:rsidRPr="00373E8E" w:rsidRDefault="00373E8E" w:rsidP="00373E8E">
            <w:pPr>
              <w:widowControl w:val="0"/>
              <w:autoSpaceDE w:val="0"/>
              <w:autoSpaceDN w:val="0"/>
              <w:jc w:val="both"/>
              <w:rPr>
                <w:b/>
                <w:bCs/>
                <w:lang w:val="en-ID"/>
              </w:rPr>
            </w:pPr>
            <w:r w:rsidRPr="00373E8E">
              <w:rPr>
                <w:b/>
                <w:bCs/>
                <w:lang w:val="en-ID"/>
              </w:rPr>
              <w:t>Conclusion</w:t>
            </w:r>
          </w:p>
        </w:tc>
      </w:tr>
      <w:tr w:rsidR="00373E8E" w:rsidRPr="00373E8E" w14:paraId="3BC03F11" w14:textId="77777777" w:rsidTr="00373E8E">
        <w:tc>
          <w:tcPr>
            <w:tcW w:w="0" w:type="auto"/>
            <w:hideMark/>
          </w:tcPr>
          <w:p w14:paraId="48D3E46E" w14:textId="77777777" w:rsidR="00373E8E" w:rsidRPr="00373E8E" w:rsidRDefault="00373E8E" w:rsidP="00373E8E">
            <w:pPr>
              <w:widowControl w:val="0"/>
              <w:autoSpaceDE w:val="0"/>
              <w:autoSpaceDN w:val="0"/>
              <w:jc w:val="both"/>
              <w:rPr>
                <w:lang w:val="en-ID"/>
              </w:rPr>
            </w:pPr>
            <w:r w:rsidRPr="00373E8E">
              <w:rPr>
                <w:lang w:val="en-ID"/>
              </w:rPr>
              <w:t>F-test</w:t>
            </w:r>
          </w:p>
        </w:tc>
        <w:tc>
          <w:tcPr>
            <w:tcW w:w="0" w:type="auto"/>
            <w:hideMark/>
          </w:tcPr>
          <w:p w14:paraId="03EF2383" w14:textId="77777777" w:rsidR="00373E8E" w:rsidRPr="00373E8E" w:rsidRDefault="00373E8E" w:rsidP="00373E8E">
            <w:pPr>
              <w:widowControl w:val="0"/>
              <w:autoSpaceDE w:val="0"/>
              <w:autoSpaceDN w:val="0"/>
              <w:jc w:val="both"/>
              <w:rPr>
                <w:lang w:val="en-ID"/>
              </w:rPr>
            </w:pPr>
            <w:r w:rsidRPr="00373E8E">
              <w:rPr>
                <w:lang w:val="en-ID"/>
              </w:rPr>
              <w:t>All independent variables (simultaneous)</w:t>
            </w:r>
          </w:p>
        </w:tc>
        <w:tc>
          <w:tcPr>
            <w:tcW w:w="0" w:type="auto"/>
            <w:hideMark/>
          </w:tcPr>
          <w:p w14:paraId="0831FA03" w14:textId="77777777" w:rsidR="00373E8E" w:rsidRPr="00373E8E" w:rsidRDefault="00373E8E" w:rsidP="00373E8E">
            <w:pPr>
              <w:widowControl w:val="0"/>
              <w:autoSpaceDE w:val="0"/>
              <w:autoSpaceDN w:val="0"/>
              <w:jc w:val="both"/>
              <w:rPr>
                <w:lang w:val="en-ID"/>
              </w:rPr>
            </w:pPr>
            <w:r w:rsidRPr="00373E8E">
              <w:rPr>
                <w:lang w:val="en-ID"/>
              </w:rPr>
              <w:t>0.000</w:t>
            </w:r>
          </w:p>
        </w:tc>
        <w:tc>
          <w:tcPr>
            <w:tcW w:w="0" w:type="auto"/>
            <w:hideMark/>
          </w:tcPr>
          <w:p w14:paraId="0050F905" w14:textId="77777777" w:rsidR="00373E8E" w:rsidRPr="00373E8E" w:rsidRDefault="00373E8E" w:rsidP="00373E8E">
            <w:pPr>
              <w:widowControl w:val="0"/>
              <w:autoSpaceDE w:val="0"/>
              <w:autoSpaceDN w:val="0"/>
              <w:jc w:val="both"/>
              <w:rPr>
                <w:lang w:val="en-ID"/>
              </w:rPr>
            </w:pPr>
            <w:r w:rsidRPr="00373E8E">
              <w:rPr>
                <w:lang w:val="en-ID"/>
              </w:rPr>
              <w:t>Reject H0</w:t>
            </w:r>
          </w:p>
        </w:tc>
        <w:tc>
          <w:tcPr>
            <w:tcW w:w="0" w:type="auto"/>
            <w:hideMark/>
          </w:tcPr>
          <w:p w14:paraId="3D6DE392" w14:textId="77777777" w:rsidR="00373E8E" w:rsidRPr="00373E8E" w:rsidRDefault="00373E8E" w:rsidP="00373E8E">
            <w:pPr>
              <w:widowControl w:val="0"/>
              <w:autoSpaceDE w:val="0"/>
              <w:autoSpaceDN w:val="0"/>
              <w:jc w:val="both"/>
              <w:rPr>
                <w:lang w:val="en-ID"/>
              </w:rPr>
            </w:pPr>
            <w:r w:rsidRPr="00373E8E">
              <w:rPr>
                <w:lang w:val="en-ID"/>
              </w:rPr>
              <w:t>Independent variables jointly have a significant effect</w:t>
            </w:r>
          </w:p>
        </w:tc>
      </w:tr>
      <w:tr w:rsidR="00373E8E" w:rsidRPr="00373E8E" w14:paraId="4AFA0070" w14:textId="77777777" w:rsidTr="00373E8E">
        <w:tc>
          <w:tcPr>
            <w:tcW w:w="0" w:type="auto"/>
            <w:hideMark/>
          </w:tcPr>
          <w:p w14:paraId="59404E09" w14:textId="77777777" w:rsidR="00373E8E" w:rsidRPr="00373E8E" w:rsidRDefault="00373E8E" w:rsidP="00373E8E">
            <w:pPr>
              <w:widowControl w:val="0"/>
              <w:autoSpaceDE w:val="0"/>
              <w:autoSpaceDN w:val="0"/>
              <w:jc w:val="both"/>
              <w:rPr>
                <w:lang w:val="en-ID"/>
              </w:rPr>
            </w:pPr>
            <w:r w:rsidRPr="00373E8E">
              <w:rPr>
                <w:lang w:val="en-ID"/>
              </w:rPr>
              <w:lastRenderedPageBreak/>
              <w:t>t-test</w:t>
            </w:r>
          </w:p>
        </w:tc>
        <w:tc>
          <w:tcPr>
            <w:tcW w:w="0" w:type="auto"/>
            <w:hideMark/>
          </w:tcPr>
          <w:p w14:paraId="12FE8777" w14:textId="77777777" w:rsidR="00373E8E" w:rsidRPr="00373E8E" w:rsidRDefault="00373E8E" w:rsidP="00373E8E">
            <w:pPr>
              <w:widowControl w:val="0"/>
              <w:autoSpaceDE w:val="0"/>
              <w:autoSpaceDN w:val="0"/>
              <w:jc w:val="both"/>
              <w:rPr>
                <w:lang w:val="en-ID"/>
              </w:rPr>
            </w:pPr>
            <w:r w:rsidRPr="00373E8E">
              <w:rPr>
                <w:lang w:val="en-ID"/>
              </w:rPr>
              <w:t>Financial Accountability (AK)</w:t>
            </w:r>
          </w:p>
        </w:tc>
        <w:tc>
          <w:tcPr>
            <w:tcW w:w="0" w:type="auto"/>
            <w:hideMark/>
          </w:tcPr>
          <w:p w14:paraId="499F8BB0" w14:textId="77777777" w:rsidR="00373E8E" w:rsidRPr="00373E8E" w:rsidRDefault="00373E8E" w:rsidP="00373E8E">
            <w:pPr>
              <w:widowControl w:val="0"/>
              <w:autoSpaceDE w:val="0"/>
              <w:autoSpaceDN w:val="0"/>
              <w:jc w:val="both"/>
              <w:rPr>
                <w:lang w:val="en-ID"/>
              </w:rPr>
            </w:pPr>
            <w:r w:rsidRPr="00373E8E">
              <w:rPr>
                <w:lang w:val="en-ID"/>
              </w:rPr>
              <w:t>0.0160</w:t>
            </w:r>
          </w:p>
        </w:tc>
        <w:tc>
          <w:tcPr>
            <w:tcW w:w="0" w:type="auto"/>
            <w:hideMark/>
          </w:tcPr>
          <w:p w14:paraId="08BEC644" w14:textId="77777777" w:rsidR="00373E8E" w:rsidRPr="00373E8E" w:rsidRDefault="00373E8E" w:rsidP="00373E8E">
            <w:pPr>
              <w:widowControl w:val="0"/>
              <w:autoSpaceDE w:val="0"/>
              <w:autoSpaceDN w:val="0"/>
              <w:jc w:val="both"/>
              <w:rPr>
                <w:lang w:val="en-ID"/>
              </w:rPr>
            </w:pPr>
            <w:r w:rsidRPr="00373E8E">
              <w:rPr>
                <w:lang w:val="en-ID"/>
              </w:rPr>
              <w:t>Reject H0</w:t>
            </w:r>
          </w:p>
        </w:tc>
        <w:tc>
          <w:tcPr>
            <w:tcW w:w="0" w:type="auto"/>
            <w:hideMark/>
          </w:tcPr>
          <w:p w14:paraId="19C8E4B0" w14:textId="77777777" w:rsidR="00373E8E" w:rsidRPr="00373E8E" w:rsidRDefault="00373E8E" w:rsidP="00373E8E">
            <w:pPr>
              <w:widowControl w:val="0"/>
              <w:autoSpaceDE w:val="0"/>
              <w:autoSpaceDN w:val="0"/>
              <w:jc w:val="both"/>
              <w:rPr>
                <w:lang w:val="en-ID"/>
              </w:rPr>
            </w:pPr>
            <w:r w:rsidRPr="00373E8E">
              <w:rPr>
                <w:lang w:val="en-ID"/>
              </w:rPr>
              <w:t>Significant</w:t>
            </w:r>
          </w:p>
        </w:tc>
      </w:tr>
      <w:tr w:rsidR="00373E8E" w:rsidRPr="00373E8E" w14:paraId="54B1C563" w14:textId="77777777" w:rsidTr="00373E8E">
        <w:tc>
          <w:tcPr>
            <w:tcW w:w="0" w:type="auto"/>
            <w:hideMark/>
          </w:tcPr>
          <w:p w14:paraId="73EFB3FB" w14:textId="77777777" w:rsidR="00373E8E" w:rsidRPr="00373E8E" w:rsidRDefault="00373E8E" w:rsidP="00373E8E">
            <w:pPr>
              <w:widowControl w:val="0"/>
              <w:autoSpaceDE w:val="0"/>
              <w:autoSpaceDN w:val="0"/>
              <w:jc w:val="both"/>
              <w:rPr>
                <w:lang w:val="en-ID"/>
              </w:rPr>
            </w:pPr>
            <w:r w:rsidRPr="00373E8E">
              <w:rPr>
                <w:lang w:val="en-ID"/>
              </w:rPr>
              <w:t>t-test</w:t>
            </w:r>
          </w:p>
        </w:tc>
        <w:tc>
          <w:tcPr>
            <w:tcW w:w="0" w:type="auto"/>
            <w:hideMark/>
          </w:tcPr>
          <w:p w14:paraId="4DD8A895" w14:textId="77777777" w:rsidR="00373E8E" w:rsidRPr="00373E8E" w:rsidRDefault="00373E8E" w:rsidP="00373E8E">
            <w:pPr>
              <w:widowControl w:val="0"/>
              <w:autoSpaceDE w:val="0"/>
              <w:autoSpaceDN w:val="0"/>
              <w:jc w:val="both"/>
              <w:rPr>
                <w:lang w:val="en-ID"/>
              </w:rPr>
            </w:pPr>
            <w:r w:rsidRPr="00373E8E">
              <w:rPr>
                <w:lang w:val="en-ID"/>
              </w:rPr>
              <w:t>Financial Performance (KK)</w:t>
            </w:r>
          </w:p>
        </w:tc>
        <w:tc>
          <w:tcPr>
            <w:tcW w:w="0" w:type="auto"/>
            <w:hideMark/>
          </w:tcPr>
          <w:p w14:paraId="0BC83479" w14:textId="77777777" w:rsidR="00373E8E" w:rsidRPr="00373E8E" w:rsidRDefault="00373E8E" w:rsidP="00373E8E">
            <w:pPr>
              <w:widowControl w:val="0"/>
              <w:autoSpaceDE w:val="0"/>
              <w:autoSpaceDN w:val="0"/>
              <w:jc w:val="both"/>
              <w:rPr>
                <w:lang w:val="en-ID"/>
              </w:rPr>
            </w:pPr>
            <w:r w:rsidRPr="00373E8E">
              <w:rPr>
                <w:lang w:val="en-ID"/>
              </w:rPr>
              <w:t>0.1578</w:t>
            </w:r>
          </w:p>
        </w:tc>
        <w:tc>
          <w:tcPr>
            <w:tcW w:w="0" w:type="auto"/>
            <w:hideMark/>
          </w:tcPr>
          <w:p w14:paraId="1A91BF5B" w14:textId="77777777" w:rsidR="00373E8E" w:rsidRPr="00373E8E" w:rsidRDefault="00373E8E" w:rsidP="00373E8E">
            <w:pPr>
              <w:widowControl w:val="0"/>
              <w:autoSpaceDE w:val="0"/>
              <w:autoSpaceDN w:val="0"/>
              <w:jc w:val="both"/>
              <w:rPr>
                <w:lang w:val="en-ID"/>
              </w:rPr>
            </w:pPr>
            <w:r w:rsidRPr="00373E8E">
              <w:rPr>
                <w:lang w:val="en-ID"/>
              </w:rPr>
              <w:t>Fail to reject H0</w:t>
            </w:r>
          </w:p>
        </w:tc>
        <w:tc>
          <w:tcPr>
            <w:tcW w:w="0" w:type="auto"/>
            <w:hideMark/>
          </w:tcPr>
          <w:p w14:paraId="6466BEC7" w14:textId="77777777" w:rsidR="00373E8E" w:rsidRPr="00373E8E" w:rsidRDefault="00373E8E" w:rsidP="00373E8E">
            <w:pPr>
              <w:widowControl w:val="0"/>
              <w:autoSpaceDE w:val="0"/>
              <w:autoSpaceDN w:val="0"/>
              <w:jc w:val="both"/>
              <w:rPr>
                <w:lang w:val="en-ID"/>
              </w:rPr>
            </w:pPr>
            <w:r w:rsidRPr="00373E8E">
              <w:rPr>
                <w:lang w:val="en-ID"/>
              </w:rPr>
              <w:t>Not significant</w:t>
            </w:r>
          </w:p>
        </w:tc>
      </w:tr>
      <w:tr w:rsidR="00373E8E" w:rsidRPr="00373E8E" w14:paraId="0567F557" w14:textId="77777777" w:rsidTr="00373E8E">
        <w:tc>
          <w:tcPr>
            <w:tcW w:w="0" w:type="auto"/>
            <w:hideMark/>
          </w:tcPr>
          <w:p w14:paraId="42EE52C9" w14:textId="77777777" w:rsidR="00373E8E" w:rsidRPr="00373E8E" w:rsidRDefault="00373E8E" w:rsidP="00373E8E">
            <w:pPr>
              <w:widowControl w:val="0"/>
              <w:autoSpaceDE w:val="0"/>
              <w:autoSpaceDN w:val="0"/>
              <w:jc w:val="both"/>
              <w:rPr>
                <w:lang w:val="en-ID"/>
              </w:rPr>
            </w:pPr>
            <w:r w:rsidRPr="00373E8E">
              <w:rPr>
                <w:lang w:val="en-ID"/>
              </w:rPr>
              <w:t>t-test</w:t>
            </w:r>
          </w:p>
        </w:tc>
        <w:tc>
          <w:tcPr>
            <w:tcW w:w="0" w:type="auto"/>
            <w:hideMark/>
          </w:tcPr>
          <w:p w14:paraId="4BEAD178" w14:textId="77777777" w:rsidR="00373E8E" w:rsidRPr="00373E8E" w:rsidRDefault="00373E8E" w:rsidP="00373E8E">
            <w:pPr>
              <w:widowControl w:val="0"/>
              <w:autoSpaceDE w:val="0"/>
              <w:autoSpaceDN w:val="0"/>
              <w:jc w:val="both"/>
              <w:rPr>
                <w:lang w:val="en-ID"/>
              </w:rPr>
            </w:pPr>
            <w:r w:rsidRPr="00373E8E">
              <w:rPr>
                <w:lang w:val="en-ID"/>
              </w:rPr>
              <w:t>Financial Transparency (TR)</w:t>
            </w:r>
          </w:p>
        </w:tc>
        <w:tc>
          <w:tcPr>
            <w:tcW w:w="0" w:type="auto"/>
            <w:hideMark/>
          </w:tcPr>
          <w:p w14:paraId="0A72CA61" w14:textId="77777777" w:rsidR="00373E8E" w:rsidRPr="00373E8E" w:rsidRDefault="00373E8E" w:rsidP="00373E8E">
            <w:pPr>
              <w:widowControl w:val="0"/>
              <w:autoSpaceDE w:val="0"/>
              <w:autoSpaceDN w:val="0"/>
              <w:jc w:val="both"/>
              <w:rPr>
                <w:lang w:val="en-ID"/>
              </w:rPr>
            </w:pPr>
            <w:r w:rsidRPr="00373E8E">
              <w:rPr>
                <w:lang w:val="en-ID"/>
              </w:rPr>
              <w:t>0.0000</w:t>
            </w:r>
          </w:p>
        </w:tc>
        <w:tc>
          <w:tcPr>
            <w:tcW w:w="0" w:type="auto"/>
            <w:hideMark/>
          </w:tcPr>
          <w:p w14:paraId="70CAA049" w14:textId="77777777" w:rsidR="00373E8E" w:rsidRPr="00373E8E" w:rsidRDefault="00373E8E" w:rsidP="00373E8E">
            <w:pPr>
              <w:widowControl w:val="0"/>
              <w:autoSpaceDE w:val="0"/>
              <w:autoSpaceDN w:val="0"/>
              <w:jc w:val="both"/>
              <w:rPr>
                <w:lang w:val="en-ID"/>
              </w:rPr>
            </w:pPr>
            <w:r w:rsidRPr="00373E8E">
              <w:rPr>
                <w:lang w:val="en-ID"/>
              </w:rPr>
              <w:t>Reject H0</w:t>
            </w:r>
          </w:p>
        </w:tc>
        <w:tc>
          <w:tcPr>
            <w:tcW w:w="0" w:type="auto"/>
            <w:hideMark/>
          </w:tcPr>
          <w:p w14:paraId="28740170" w14:textId="77777777" w:rsidR="00373E8E" w:rsidRPr="00373E8E" w:rsidRDefault="00373E8E" w:rsidP="00373E8E">
            <w:pPr>
              <w:widowControl w:val="0"/>
              <w:autoSpaceDE w:val="0"/>
              <w:autoSpaceDN w:val="0"/>
              <w:jc w:val="both"/>
              <w:rPr>
                <w:lang w:val="en-ID"/>
              </w:rPr>
            </w:pPr>
            <w:r w:rsidRPr="00373E8E">
              <w:rPr>
                <w:lang w:val="en-ID"/>
              </w:rPr>
              <w:t>Significant</w:t>
            </w:r>
          </w:p>
        </w:tc>
      </w:tr>
      <w:tr w:rsidR="00373E8E" w:rsidRPr="00373E8E" w14:paraId="3DF41FED" w14:textId="77777777" w:rsidTr="00373E8E">
        <w:tc>
          <w:tcPr>
            <w:tcW w:w="0" w:type="auto"/>
            <w:hideMark/>
          </w:tcPr>
          <w:p w14:paraId="003BC14F" w14:textId="77777777" w:rsidR="00373E8E" w:rsidRPr="00373E8E" w:rsidRDefault="00373E8E" w:rsidP="00373E8E">
            <w:pPr>
              <w:widowControl w:val="0"/>
              <w:autoSpaceDE w:val="0"/>
              <w:autoSpaceDN w:val="0"/>
              <w:jc w:val="both"/>
              <w:rPr>
                <w:lang w:val="en-ID"/>
              </w:rPr>
            </w:pPr>
            <w:r w:rsidRPr="00373E8E">
              <w:rPr>
                <w:lang w:val="en-ID"/>
              </w:rPr>
              <w:t>t-test</w:t>
            </w:r>
          </w:p>
        </w:tc>
        <w:tc>
          <w:tcPr>
            <w:tcW w:w="0" w:type="auto"/>
            <w:hideMark/>
          </w:tcPr>
          <w:p w14:paraId="0F7397BE" w14:textId="77777777" w:rsidR="00373E8E" w:rsidRPr="00373E8E" w:rsidRDefault="00373E8E" w:rsidP="00373E8E">
            <w:pPr>
              <w:widowControl w:val="0"/>
              <w:autoSpaceDE w:val="0"/>
              <w:autoSpaceDN w:val="0"/>
              <w:jc w:val="both"/>
              <w:rPr>
                <w:lang w:val="en-ID"/>
              </w:rPr>
            </w:pPr>
            <w:r w:rsidRPr="00373E8E">
              <w:rPr>
                <w:lang w:val="en-ID"/>
              </w:rPr>
              <w:t>Economic Growth (PE)</w:t>
            </w:r>
          </w:p>
        </w:tc>
        <w:tc>
          <w:tcPr>
            <w:tcW w:w="0" w:type="auto"/>
            <w:hideMark/>
          </w:tcPr>
          <w:p w14:paraId="609115A9" w14:textId="77777777" w:rsidR="00373E8E" w:rsidRPr="00373E8E" w:rsidRDefault="00373E8E" w:rsidP="00373E8E">
            <w:pPr>
              <w:widowControl w:val="0"/>
              <w:autoSpaceDE w:val="0"/>
              <w:autoSpaceDN w:val="0"/>
              <w:jc w:val="both"/>
              <w:rPr>
                <w:lang w:val="en-ID"/>
              </w:rPr>
            </w:pPr>
            <w:r w:rsidRPr="00373E8E">
              <w:rPr>
                <w:lang w:val="en-ID"/>
              </w:rPr>
              <w:t>0.0134</w:t>
            </w:r>
          </w:p>
        </w:tc>
        <w:tc>
          <w:tcPr>
            <w:tcW w:w="0" w:type="auto"/>
            <w:hideMark/>
          </w:tcPr>
          <w:p w14:paraId="38F8E119" w14:textId="77777777" w:rsidR="00373E8E" w:rsidRPr="00373E8E" w:rsidRDefault="00373E8E" w:rsidP="00373E8E">
            <w:pPr>
              <w:widowControl w:val="0"/>
              <w:autoSpaceDE w:val="0"/>
              <w:autoSpaceDN w:val="0"/>
              <w:jc w:val="both"/>
              <w:rPr>
                <w:lang w:val="en-ID"/>
              </w:rPr>
            </w:pPr>
            <w:r w:rsidRPr="00373E8E">
              <w:rPr>
                <w:lang w:val="en-ID"/>
              </w:rPr>
              <w:t>Reject H0</w:t>
            </w:r>
          </w:p>
        </w:tc>
        <w:tc>
          <w:tcPr>
            <w:tcW w:w="0" w:type="auto"/>
            <w:hideMark/>
          </w:tcPr>
          <w:p w14:paraId="3EE04CEE" w14:textId="77777777" w:rsidR="00373E8E" w:rsidRPr="00373E8E" w:rsidRDefault="00373E8E" w:rsidP="00373E8E">
            <w:pPr>
              <w:widowControl w:val="0"/>
              <w:autoSpaceDE w:val="0"/>
              <w:autoSpaceDN w:val="0"/>
              <w:jc w:val="both"/>
              <w:rPr>
                <w:lang w:val="en-ID"/>
              </w:rPr>
            </w:pPr>
            <w:r w:rsidRPr="00373E8E">
              <w:rPr>
                <w:lang w:val="en-ID"/>
              </w:rPr>
              <w:t>Significant</w:t>
            </w:r>
          </w:p>
        </w:tc>
      </w:tr>
      <w:tr w:rsidR="00373E8E" w:rsidRPr="00373E8E" w14:paraId="4F87BEBC" w14:textId="77777777" w:rsidTr="00373E8E">
        <w:tc>
          <w:tcPr>
            <w:tcW w:w="0" w:type="auto"/>
            <w:hideMark/>
          </w:tcPr>
          <w:p w14:paraId="59799C4A" w14:textId="77777777" w:rsidR="00373E8E" w:rsidRPr="00373E8E" w:rsidRDefault="00373E8E" w:rsidP="00373E8E">
            <w:pPr>
              <w:widowControl w:val="0"/>
              <w:autoSpaceDE w:val="0"/>
              <w:autoSpaceDN w:val="0"/>
              <w:jc w:val="both"/>
              <w:rPr>
                <w:lang w:val="en-ID"/>
              </w:rPr>
            </w:pPr>
            <w:r w:rsidRPr="00373E8E">
              <w:rPr>
                <w:lang w:val="en-ID"/>
              </w:rPr>
              <w:t>t-test</w:t>
            </w:r>
          </w:p>
        </w:tc>
        <w:tc>
          <w:tcPr>
            <w:tcW w:w="0" w:type="auto"/>
            <w:hideMark/>
          </w:tcPr>
          <w:p w14:paraId="296DB0E1" w14:textId="77777777" w:rsidR="00373E8E" w:rsidRPr="00373E8E" w:rsidRDefault="00373E8E" w:rsidP="00373E8E">
            <w:pPr>
              <w:widowControl w:val="0"/>
              <w:autoSpaceDE w:val="0"/>
              <w:autoSpaceDN w:val="0"/>
              <w:jc w:val="both"/>
              <w:rPr>
                <w:lang w:val="en-ID"/>
              </w:rPr>
            </w:pPr>
            <w:r w:rsidRPr="00373E8E">
              <w:rPr>
                <w:lang w:val="en-ID"/>
              </w:rPr>
              <w:t>Financial Accountability × Economic Growth</w:t>
            </w:r>
          </w:p>
        </w:tc>
        <w:tc>
          <w:tcPr>
            <w:tcW w:w="0" w:type="auto"/>
            <w:hideMark/>
          </w:tcPr>
          <w:p w14:paraId="70277416" w14:textId="77777777" w:rsidR="00373E8E" w:rsidRPr="00373E8E" w:rsidRDefault="00373E8E" w:rsidP="00373E8E">
            <w:pPr>
              <w:widowControl w:val="0"/>
              <w:autoSpaceDE w:val="0"/>
              <w:autoSpaceDN w:val="0"/>
              <w:jc w:val="both"/>
              <w:rPr>
                <w:lang w:val="en-ID"/>
              </w:rPr>
            </w:pPr>
            <w:r w:rsidRPr="00373E8E">
              <w:rPr>
                <w:lang w:val="en-ID"/>
              </w:rPr>
              <w:t>0.0163</w:t>
            </w:r>
          </w:p>
        </w:tc>
        <w:tc>
          <w:tcPr>
            <w:tcW w:w="0" w:type="auto"/>
            <w:hideMark/>
          </w:tcPr>
          <w:p w14:paraId="349D73B8" w14:textId="77777777" w:rsidR="00373E8E" w:rsidRPr="00373E8E" w:rsidRDefault="00373E8E" w:rsidP="00373E8E">
            <w:pPr>
              <w:widowControl w:val="0"/>
              <w:autoSpaceDE w:val="0"/>
              <w:autoSpaceDN w:val="0"/>
              <w:jc w:val="both"/>
              <w:rPr>
                <w:lang w:val="en-ID"/>
              </w:rPr>
            </w:pPr>
            <w:r w:rsidRPr="00373E8E">
              <w:rPr>
                <w:lang w:val="en-ID"/>
              </w:rPr>
              <w:t>Reject H0</w:t>
            </w:r>
          </w:p>
        </w:tc>
        <w:tc>
          <w:tcPr>
            <w:tcW w:w="0" w:type="auto"/>
            <w:hideMark/>
          </w:tcPr>
          <w:p w14:paraId="176D19E9" w14:textId="77777777" w:rsidR="00373E8E" w:rsidRPr="00373E8E" w:rsidRDefault="00373E8E" w:rsidP="00373E8E">
            <w:pPr>
              <w:widowControl w:val="0"/>
              <w:autoSpaceDE w:val="0"/>
              <w:autoSpaceDN w:val="0"/>
              <w:jc w:val="both"/>
              <w:rPr>
                <w:lang w:val="en-ID"/>
              </w:rPr>
            </w:pPr>
            <w:r w:rsidRPr="00373E8E">
              <w:rPr>
                <w:lang w:val="en-ID"/>
              </w:rPr>
              <w:t>Significant</w:t>
            </w:r>
          </w:p>
        </w:tc>
      </w:tr>
      <w:tr w:rsidR="00373E8E" w:rsidRPr="00373E8E" w14:paraId="689157F9" w14:textId="77777777" w:rsidTr="00373E8E">
        <w:tc>
          <w:tcPr>
            <w:tcW w:w="0" w:type="auto"/>
            <w:hideMark/>
          </w:tcPr>
          <w:p w14:paraId="25AD09E4" w14:textId="77777777" w:rsidR="00373E8E" w:rsidRPr="00373E8E" w:rsidRDefault="00373E8E" w:rsidP="00373E8E">
            <w:pPr>
              <w:widowControl w:val="0"/>
              <w:autoSpaceDE w:val="0"/>
              <w:autoSpaceDN w:val="0"/>
              <w:jc w:val="both"/>
              <w:rPr>
                <w:lang w:val="en-ID"/>
              </w:rPr>
            </w:pPr>
            <w:r w:rsidRPr="00373E8E">
              <w:rPr>
                <w:lang w:val="en-ID"/>
              </w:rPr>
              <w:t>t-test</w:t>
            </w:r>
          </w:p>
        </w:tc>
        <w:tc>
          <w:tcPr>
            <w:tcW w:w="0" w:type="auto"/>
            <w:hideMark/>
          </w:tcPr>
          <w:p w14:paraId="7A613043" w14:textId="77777777" w:rsidR="00373E8E" w:rsidRPr="00373E8E" w:rsidRDefault="00373E8E" w:rsidP="00373E8E">
            <w:pPr>
              <w:widowControl w:val="0"/>
              <w:autoSpaceDE w:val="0"/>
              <w:autoSpaceDN w:val="0"/>
              <w:jc w:val="both"/>
              <w:rPr>
                <w:lang w:val="en-ID"/>
              </w:rPr>
            </w:pPr>
            <w:r w:rsidRPr="00373E8E">
              <w:rPr>
                <w:lang w:val="en-ID"/>
              </w:rPr>
              <w:t>Financial Performance × Economic Growth</w:t>
            </w:r>
          </w:p>
        </w:tc>
        <w:tc>
          <w:tcPr>
            <w:tcW w:w="0" w:type="auto"/>
            <w:hideMark/>
          </w:tcPr>
          <w:p w14:paraId="7D8582A2" w14:textId="77777777" w:rsidR="00373E8E" w:rsidRPr="00373E8E" w:rsidRDefault="00373E8E" w:rsidP="00373E8E">
            <w:pPr>
              <w:widowControl w:val="0"/>
              <w:autoSpaceDE w:val="0"/>
              <w:autoSpaceDN w:val="0"/>
              <w:jc w:val="both"/>
              <w:rPr>
                <w:lang w:val="en-ID"/>
              </w:rPr>
            </w:pPr>
            <w:r w:rsidRPr="00373E8E">
              <w:rPr>
                <w:lang w:val="en-ID"/>
              </w:rPr>
              <w:t>0.1824</w:t>
            </w:r>
          </w:p>
        </w:tc>
        <w:tc>
          <w:tcPr>
            <w:tcW w:w="0" w:type="auto"/>
            <w:hideMark/>
          </w:tcPr>
          <w:p w14:paraId="05F16A48" w14:textId="77777777" w:rsidR="00373E8E" w:rsidRPr="00373E8E" w:rsidRDefault="00373E8E" w:rsidP="00373E8E">
            <w:pPr>
              <w:widowControl w:val="0"/>
              <w:autoSpaceDE w:val="0"/>
              <w:autoSpaceDN w:val="0"/>
              <w:jc w:val="both"/>
              <w:rPr>
                <w:lang w:val="en-ID"/>
              </w:rPr>
            </w:pPr>
            <w:r w:rsidRPr="00373E8E">
              <w:rPr>
                <w:lang w:val="en-ID"/>
              </w:rPr>
              <w:t>Fail to reject H0</w:t>
            </w:r>
          </w:p>
        </w:tc>
        <w:tc>
          <w:tcPr>
            <w:tcW w:w="0" w:type="auto"/>
            <w:hideMark/>
          </w:tcPr>
          <w:p w14:paraId="1986EF27" w14:textId="77777777" w:rsidR="00373E8E" w:rsidRPr="00373E8E" w:rsidRDefault="00373E8E" w:rsidP="00373E8E">
            <w:pPr>
              <w:widowControl w:val="0"/>
              <w:autoSpaceDE w:val="0"/>
              <w:autoSpaceDN w:val="0"/>
              <w:jc w:val="both"/>
              <w:rPr>
                <w:lang w:val="en-ID"/>
              </w:rPr>
            </w:pPr>
            <w:r w:rsidRPr="00373E8E">
              <w:rPr>
                <w:lang w:val="en-ID"/>
              </w:rPr>
              <w:t>Not significant</w:t>
            </w:r>
          </w:p>
        </w:tc>
      </w:tr>
      <w:tr w:rsidR="00373E8E" w:rsidRPr="00373E8E" w14:paraId="5C6D889C" w14:textId="77777777" w:rsidTr="00373E8E">
        <w:tc>
          <w:tcPr>
            <w:tcW w:w="0" w:type="auto"/>
            <w:hideMark/>
          </w:tcPr>
          <w:p w14:paraId="2AE8DD20" w14:textId="77777777" w:rsidR="00373E8E" w:rsidRPr="00373E8E" w:rsidRDefault="00373E8E" w:rsidP="00373E8E">
            <w:pPr>
              <w:widowControl w:val="0"/>
              <w:autoSpaceDE w:val="0"/>
              <w:autoSpaceDN w:val="0"/>
              <w:jc w:val="both"/>
              <w:rPr>
                <w:lang w:val="en-ID"/>
              </w:rPr>
            </w:pPr>
            <w:r w:rsidRPr="00373E8E">
              <w:rPr>
                <w:lang w:val="en-ID"/>
              </w:rPr>
              <w:t>t-test</w:t>
            </w:r>
          </w:p>
        </w:tc>
        <w:tc>
          <w:tcPr>
            <w:tcW w:w="0" w:type="auto"/>
            <w:hideMark/>
          </w:tcPr>
          <w:p w14:paraId="4277DD28" w14:textId="77777777" w:rsidR="00373E8E" w:rsidRPr="00373E8E" w:rsidRDefault="00373E8E" w:rsidP="00373E8E">
            <w:pPr>
              <w:widowControl w:val="0"/>
              <w:autoSpaceDE w:val="0"/>
              <w:autoSpaceDN w:val="0"/>
              <w:jc w:val="both"/>
              <w:rPr>
                <w:lang w:val="en-ID"/>
              </w:rPr>
            </w:pPr>
            <w:r w:rsidRPr="00373E8E">
              <w:rPr>
                <w:lang w:val="en-ID"/>
              </w:rPr>
              <w:t>Financial Transparency × Economic Growth</w:t>
            </w:r>
          </w:p>
        </w:tc>
        <w:tc>
          <w:tcPr>
            <w:tcW w:w="0" w:type="auto"/>
            <w:hideMark/>
          </w:tcPr>
          <w:p w14:paraId="0B6C1AC8" w14:textId="77777777" w:rsidR="00373E8E" w:rsidRPr="00373E8E" w:rsidRDefault="00373E8E" w:rsidP="00373E8E">
            <w:pPr>
              <w:widowControl w:val="0"/>
              <w:autoSpaceDE w:val="0"/>
              <w:autoSpaceDN w:val="0"/>
              <w:jc w:val="both"/>
              <w:rPr>
                <w:lang w:val="en-ID"/>
              </w:rPr>
            </w:pPr>
            <w:r w:rsidRPr="00373E8E">
              <w:rPr>
                <w:lang w:val="en-ID"/>
              </w:rPr>
              <w:t>0.0000</w:t>
            </w:r>
          </w:p>
        </w:tc>
        <w:tc>
          <w:tcPr>
            <w:tcW w:w="0" w:type="auto"/>
            <w:hideMark/>
          </w:tcPr>
          <w:p w14:paraId="4D4C1690" w14:textId="77777777" w:rsidR="00373E8E" w:rsidRPr="00373E8E" w:rsidRDefault="00373E8E" w:rsidP="00373E8E">
            <w:pPr>
              <w:widowControl w:val="0"/>
              <w:autoSpaceDE w:val="0"/>
              <w:autoSpaceDN w:val="0"/>
              <w:jc w:val="both"/>
              <w:rPr>
                <w:lang w:val="en-ID"/>
              </w:rPr>
            </w:pPr>
            <w:r w:rsidRPr="00373E8E">
              <w:rPr>
                <w:lang w:val="en-ID"/>
              </w:rPr>
              <w:t>Reject H0</w:t>
            </w:r>
          </w:p>
        </w:tc>
        <w:tc>
          <w:tcPr>
            <w:tcW w:w="0" w:type="auto"/>
            <w:hideMark/>
          </w:tcPr>
          <w:p w14:paraId="7B0A7D15" w14:textId="77777777" w:rsidR="00373E8E" w:rsidRPr="00373E8E" w:rsidRDefault="00373E8E" w:rsidP="00373E8E">
            <w:pPr>
              <w:widowControl w:val="0"/>
              <w:autoSpaceDE w:val="0"/>
              <w:autoSpaceDN w:val="0"/>
              <w:jc w:val="both"/>
              <w:rPr>
                <w:lang w:val="en-ID"/>
              </w:rPr>
            </w:pPr>
            <w:r w:rsidRPr="00373E8E">
              <w:rPr>
                <w:lang w:val="en-ID"/>
              </w:rPr>
              <w:t>Significant</w:t>
            </w:r>
          </w:p>
        </w:tc>
      </w:tr>
    </w:tbl>
    <w:p w14:paraId="1104DEEC" w14:textId="444249D0" w:rsidR="00373E8E" w:rsidRPr="00373E8E" w:rsidRDefault="00373E8E" w:rsidP="00373E8E">
      <w:pPr>
        <w:ind w:firstLine="720"/>
        <w:jc w:val="both"/>
        <w:rPr>
          <w:lang w:val="en-ID"/>
        </w:rPr>
      </w:pPr>
      <w:r w:rsidRPr="00373E8E">
        <w:rPr>
          <w:lang w:val="en-ID"/>
        </w:rPr>
        <w:t>The significance test results reported in Table 6 show that, at the 5 percent significance level, all independent variables jointly have a statistically significant effect on poverty levels. Based on the t-test results, financial accountability, financial transparency, economic growth, the interaction between financial accountability and economic growth, and the interaction between financial transparency and economic growth all have significant partial effects on poverty levels. By contrast, financial performance and the interaction between financial performance and economic growth do not have statistically significant effects</w:t>
      </w:r>
      <w:r>
        <w:rPr>
          <w:lang w:val="en-ID"/>
        </w:rPr>
        <w:t>.</w:t>
      </w:r>
    </w:p>
    <w:p w14:paraId="4E2A5AB5" w14:textId="77777777" w:rsidR="00716AF8" w:rsidRDefault="00716AF8" w:rsidP="00716AF8">
      <w:pPr>
        <w:ind w:firstLine="720"/>
        <w:jc w:val="both"/>
      </w:pPr>
    </w:p>
    <w:p w14:paraId="5C07C375" w14:textId="27179964" w:rsidR="00716AF8" w:rsidRDefault="0041347C" w:rsidP="0041347C">
      <w:pPr>
        <w:jc w:val="both"/>
        <w:rPr>
          <w:b/>
          <w:bCs/>
          <w:i/>
          <w:iCs/>
        </w:rPr>
      </w:pPr>
      <w:r w:rsidRPr="0041347C">
        <w:rPr>
          <w:b/>
          <w:bCs/>
          <w:i/>
          <w:iCs/>
        </w:rPr>
        <w:t>Discussion</w:t>
      </w:r>
    </w:p>
    <w:p w14:paraId="5908D275" w14:textId="77777777" w:rsidR="0041347C" w:rsidRPr="0041347C" w:rsidRDefault="0041347C" w:rsidP="0041347C">
      <w:pPr>
        <w:jc w:val="both"/>
        <w:rPr>
          <w:b/>
          <w:bCs/>
          <w:i/>
          <w:iCs/>
        </w:rPr>
      </w:pPr>
    </w:p>
    <w:p w14:paraId="1F258089" w14:textId="77777777" w:rsidR="00F61242" w:rsidRPr="00F61242" w:rsidRDefault="00F61242" w:rsidP="00F61242">
      <w:pPr>
        <w:pStyle w:val="BodyText"/>
        <w:spacing w:before="10"/>
        <w:jc w:val="both"/>
        <w:rPr>
          <w:b/>
          <w:bCs/>
          <w:lang w:val="en-ID"/>
        </w:rPr>
      </w:pPr>
      <w:r w:rsidRPr="00F61242">
        <w:rPr>
          <w:b/>
          <w:bCs/>
          <w:lang w:val="en-ID"/>
        </w:rPr>
        <w:t>Influence of Financial Accountability on Poverty Levels</w:t>
      </w:r>
    </w:p>
    <w:p w14:paraId="0AD61ACD"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The results of this study show that financial accountability has a significant effect on poverty levels. The resulting regression coefficient is negative, which means that regional government financial accountability has a negative relationship with poverty levels. The higher the level of government financial accountability, the lower the level of poverty in society.</w:t>
      </w:r>
    </w:p>
    <w:p w14:paraId="52CEE13F"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This finding is in line with previous studies by Heni Risnawati et al. (2022) and Nuraeni et al. (2024). It is also consistent with agency theory, in which the government is entrusted with responsibility by the public, while the public serves as the supervisor of the implementation of that responsibility. The greater the supervision and accountability in carrying out such duties, the better the quality of work performed by the government should be (lubis, 2026).</w:t>
      </w:r>
    </w:p>
    <w:p w14:paraId="65A3FF42"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 xml:space="preserve">In line with this, the present study shows that higher accountability is associated with lower poverty levels in a region. Better accountability will improve the implementation of poverty alleviation programmes by the government because stronger supervision tends to increase programme quality and effectiveness, thereby contributing to a reduction in poverty. </w:t>
      </w:r>
    </w:p>
    <w:p w14:paraId="5F846ADB" w14:textId="5813036F" w:rsidR="00F61242" w:rsidRPr="00F61242" w:rsidRDefault="00F61242" w:rsidP="00F61242">
      <w:pPr>
        <w:pStyle w:val="BodyText"/>
        <w:spacing w:before="10"/>
        <w:ind w:firstLine="567"/>
        <w:jc w:val="both"/>
        <w:rPr>
          <w:sz w:val="24"/>
          <w:szCs w:val="24"/>
          <w:highlight w:val="yellow"/>
          <w:lang w:val="en-ID"/>
        </w:rPr>
      </w:pPr>
    </w:p>
    <w:p w14:paraId="76043244" w14:textId="77777777" w:rsidR="00F61242" w:rsidRPr="00F61242" w:rsidRDefault="00F61242" w:rsidP="00F61242">
      <w:pPr>
        <w:pStyle w:val="BodyText"/>
        <w:spacing w:before="10"/>
        <w:jc w:val="both"/>
        <w:rPr>
          <w:b/>
          <w:bCs/>
          <w:sz w:val="24"/>
          <w:szCs w:val="24"/>
          <w:highlight w:val="yellow"/>
          <w:lang w:val="en-ID"/>
        </w:rPr>
      </w:pPr>
      <w:r w:rsidRPr="00F61242">
        <w:rPr>
          <w:b/>
          <w:bCs/>
          <w:sz w:val="24"/>
          <w:szCs w:val="24"/>
          <w:highlight w:val="yellow"/>
          <w:lang w:val="en-ID"/>
        </w:rPr>
        <w:t>Impact of Financial Performance on Poverty Levels</w:t>
      </w:r>
    </w:p>
    <w:p w14:paraId="719B62ED"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The results of this study show that financial performance does not have a significant effect on poverty levels. Nevertheless, the resulting regression coefficient is negative, meaning that regional government financial performance has a negative relationship with poverty levels. The higher the level of government financial performance, the lower the level of poverty in society.</w:t>
      </w:r>
    </w:p>
    <w:p w14:paraId="712F0BA4"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 xml:space="preserve">In general, financial performance is an economic driving force within a region. The better the financial performance of a regional government, the better the programmes implemented by that government should be </w:t>
      </w:r>
      <w:proofErr w:type="gramStart"/>
      <w:r w:rsidRPr="00F61242">
        <w:rPr>
          <w:sz w:val="24"/>
          <w:szCs w:val="24"/>
          <w:highlight w:val="yellow"/>
          <w:lang w:val="en-ID"/>
        </w:rPr>
        <w:t xml:space="preserve">( </w:t>
      </w:r>
      <w:proofErr w:type="spellStart"/>
      <w:r w:rsidRPr="00F61242">
        <w:rPr>
          <w:sz w:val="24"/>
          <w:szCs w:val="24"/>
          <w:highlight w:val="yellow"/>
          <w:lang w:val="en-ID"/>
        </w:rPr>
        <w:t>Permatasari</w:t>
      </w:r>
      <w:proofErr w:type="spellEnd"/>
      <w:proofErr w:type="gramEnd"/>
      <w:r w:rsidRPr="00F61242">
        <w:rPr>
          <w:sz w:val="24"/>
          <w:szCs w:val="24"/>
          <w:highlight w:val="yellow"/>
          <w:lang w:val="en-ID"/>
        </w:rPr>
        <w:t xml:space="preserve"> and </w:t>
      </w:r>
      <w:proofErr w:type="spellStart"/>
      <w:r w:rsidRPr="00F61242">
        <w:rPr>
          <w:sz w:val="24"/>
          <w:szCs w:val="24"/>
          <w:highlight w:val="yellow"/>
          <w:lang w:val="en-ID"/>
        </w:rPr>
        <w:t>Dwirandra</w:t>
      </w:r>
      <w:proofErr w:type="spellEnd"/>
      <w:r w:rsidRPr="00F61242">
        <w:rPr>
          <w:sz w:val="24"/>
          <w:szCs w:val="24"/>
          <w:highlight w:val="yellow"/>
          <w:lang w:val="en-ID"/>
        </w:rPr>
        <w:t>, 2016).</w:t>
      </w:r>
    </w:p>
    <w:p w14:paraId="34DE81FF"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 xml:space="preserve">Based on the research conducted, financial performance generally has a negative influence on poverty, indicating that financial performance is capable of encouraging the acceleration of poverty alleviation. However, the insignificant result suggests that the programmes implemented so far have not yet been effective in reducing poverty. This may occur because financial performance remains focused on other priorities, such as pursuing aggressive economic growth, which in turn may contribute to widening the gap between rich and poor. </w:t>
      </w:r>
    </w:p>
    <w:p w14:paraId="572DF15F" w14:textId="6C77A0A6" w:rsidR="00F61242" w:rsidRPr="00F61242" w:rsidRDefault="00F61242" w:rsidP="00F61242">
      <w:pPr>
        <w:pStyle w:val="BodyText"/>
        <w:spacing w:before="10"/>
        <w:ind w:firstLine="567"/>
        <w:jc w:val="both"/>
        <w:rPr>
          <w:sz w:val="24"/>
          <w:szCs w:val="24"/>
          <w:highlight w:val="yellow"/>
          <w:lang w:val="en-ID"/>
        </w:rPr>
      </w:pPr>
    </w:p>
    <w:p w14:paraId="1891AC45" w14:textId="77777777" w:rsidR="00F61242" w:rsidRPr="00F61242" w:rsidRDefault="00F61242" w:rsidP="00F61242">
      <w:pPr>
        <w:pStyle w:val="BodyText"/>
        <w:spacing w:before="10"/>
        <w:jc w:val="both"/>
        <w:rPr>
          <w:b/>
          <w:bCs/>
          <w:sz w:val="24"/>
          <w:szCs w:val="24"/>
          <w:highlight w:val="yellow"/>
          <w:lang w:val="en-ID"/>
        </w:rPr>
      </w:pPr>
      <w:r w:rsidRPr="00F61242">
        <w:rPr>
          <w:b/>
          <w:bCs/>
          <w:sz w:val="24"/>
          <w:szCs w:val="24"/>
          <w:highlight w:val="yellow"/>
          <w:lang w:val="en-ID"/>
        </w:rPr>
        <w:t>Influence of Financial Transparency on Poverty Levels</w:t>
      </w:r>
    </w:p>
    <w:p w14:paraId="0AA87988"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 xml:space="preserve">The results of this study show that financial transparency has a significant effect on poverty levels. The resulting regression coefficient is negative, meaning that regional government </w:t>
      </w:r>
      <w:r w:rsidRPr="00F61242">
        <w:rPr>
          <w:sz w:val="24"/>
          <w:szCs w:val="24"/>
          <w:highlight w:val="yellow"/>
          <w:lang w:val="en-ID"/>
        </w:rPr>
        <w:lastRenderedPageBreak/>
        <w:t>financial transparency has a negative relationship with poverty levels. The higher the level of government financial transparency, the lower the level of poverty in society.</w:t>
      </w:r>
    </w:p>
    <w:p w14:paraId="7C4B047C"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 xml:space="preserve">Based on the research conducted by Putri and Maryono (2022), financial transparency has an important role in encouraging the public to become actively involved in supervising the government and reducing the potential for budget misuse. Therefore, increased financial transparency will also improve government performance, particularly in poverty alleviation programmes. This is consistent with the results of the present study, in which financial transparency contributes to reducing poverty levels. </w:t>
      </w:r>
    </w:p>
    <w:p w14:paraId="64F7FE15" w14:textId="445AECA7" w:rsidR="00F61242" w:rsidRPr="00F61242" w:rsidRDefault="00F61242" w:rsidP="00F61242">
      <w:pPr>
        <w:pStyle w:val="BodyText"/>
        <w:spacing w:before="10"/>
        <w:ind w:firstLine="567"/>
        <w:jc w:val="both"/>
        <w:rPr>
          <w:sz w:val="24"/>
          <w:szCs w:val="24"/>
          <w:highlight w:val="yellow"/>
          <w:lang w:val="en-ID"/>
        </w:rPr>
      </w:pPr>
    </w:p>
    <w:p w14:paraId="18DB6158" w14:textId="77777777" w:rsidR="00F61242" w:rsidRPr="00F61242" w:rsidRDefault="00F61242" w:rsidP="00F61242">
      <w:pPr>
        <w:pStyle w:val="BodyText"/>
        <w:spacing w:before="10"/>
        <w:jc w:val="both"/>
        <w:rPr>
          <w:b/>
          <w:bCs/>
          <w:sz w:val="24"/>
          <w:szCs w:val="24"/>
          <w:highlight w:val="yellow"/>
          <w:lang w:val="en-ID"/>
        </w:rPr>
      </w:pPr>
      <w:r w:rsidRPr="00F61242">
        <w:rPr>
          <w:b/>
          <w:bCs/>
          <w:sz w:val="24"/>
          <w:szCs w:val="24"/>
          <w:highlight w:val="yellow"/>
          <w:lang w:val="en-ID"/>
        </w:rPr>
        <w:t>Influence of Economic Growth on Poverty Levels as a Direct Variable</w:t>
      </w:r>
    </w:p>
    <w:p w14:paraId="27218F6C"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The results of this study show that economic growth has a significant effect on poverty levels as a direct variable. The resulting regression coefficient is negative, meaning that economic growth has a negative relationship with poverty levels. The higher the level of economic growth, the lower the level of poverty in society.</w:t>
      </w:r>
    </w:p>
    <w:p w14:paraId="4D87E25F"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 xml:space="preserve">These findings are in line with the studies conducted by Hasyim (2016) and Purnama (2017), which show that economic growth is capable of reducing poverty. Economic growth should create additional employment opportunities and improve income within a region. In addition, economic growth also reflects an increase in investment, which drives regional economic conditions towards a better level. </w:t>
      </w:r>
    </w:p>
    <w:p w14:paraId="710442EE" w14:textId="6F358F51" w:rsidR="00F61242" w:rsidRPr="00F61242" w:rsidRDefault="00F61242" w:rsidP="00F61242">
      <w:pPr>
        <w:pStyle w:val="BodyText"/>
        <w:spacing w:before="10"/>
        <w:jc w:val="both"/>
        <w:rPr>
          <w:sz w:val="24"/>
          <w:szCs w:val="24"/>
          <w:highlight w:val="yellow"/>
          <w:lang w:val="en-ID"/>
        </w:rPr>
      </w:pPr>
    </w:p>
    <w:p w14:paraId="532D8A92" w14:textId="3A0D9C57" w:rsidR="00F61242" w:rsidRPr="00F61242" w:rsidRDefault="00F61242" w:rsidP="00F61242">
      <w:pPr>
        <w:pStyle w:val="BodyText"/>
        <w:spacing w:before="10"/>
        <w:jc w:val="both"/>
        <w:rPr>
          <w:b/>
          <w:bCs/>
          <w:sz w:val="24"/>
          <w:szCs w:val="24"/>
          <w:highlight w:val="yellow"/>
          <w:lang w:val="en-ID"/>
        </w:rPr>
      </w:pPr>
      <w:r w:rsidRPr="00F61242">
        <w:rPr>
          <w:b/>
          <w:bCs/>
          <w:sz w:val="24"/>
          <w:szCs w:val="24"/>
          <w:highlight w:val="yellow"/>
          <w:lang w:val="en-ID"/>
        </w:rPr>
        <w:t>Influence of Economic Growth on Poverty Levels as a Moderating Variable</w:t>
      </w:r>
    </w:p>
    <w:p w14:paraId="1529EF63" w14:textId="77777777" w:rsidR="00F61242" w:rsidRPr="00F61242" w:rsidRDefault="00F61242" w:rsidP="00F61242">
      <w:pPr>
        <w:pStyle w:val="BodyText"/>
        <w:spacing w:before="10"/>
        <w:ind w:firstLine="567"/>
        <w:jc w:val="both"/>
        <w:rPr>
          <w:sz w:val="24"/>
          <w:szCs w:val="24"/>
          <w:highlight w:val="yellow"/>
          <w:lang w:val="en-ID"/>
        </w:rPr>
      </w:pPr>
      <w:r w:rsidRPr="00F61242">
        <w:rPr>
          <w:sz w:val="24"/>
          <w:szCs w:val="24"/>
          <w:highlight w:val="yellow"/>
          <w:lang w:val="en-ID"/>
        </w:rPr>
        <w:t>The results of this study show that economic growth, as a moderating variable for financial accountability, financial performance, and regional financial transparency, changes the direction of the effects of these variables. The three variables changed their initial negative relationships into positive ones. This indicates that economic growth may also become an obstacle to poverty alleviation in society. This can be interpreted as meaning that economic growth shifts the focus of financial accountability, financial performance, and financial transparency towards pursuing aggressive economic growth, thereby neglecting public poverty concerns.</w:t>
      </w:r>
    </w:p>
    <w:p w14:paraId="28CB4CC9" w14:textId="683EF2CD" w:rsidR="005D269A" w:rsidRPr="00F61242" w:rsidRDefault="00F61242" w:rsidP="00F61242">
      <w:pPr>
        <w:pStyle w:val="BodyText"/>
        <w:spacing w:before="10"/>
        <w:ind w:firstLine="567"/>
        <w:jc w:val="both"/>
        <w:rPr>
          <w:sz w:val="24"/>
          <w:szCs w:val="24"/>
          <w:lang w:val="en-ID"/>
        </w:rPr>
      </w:pPr>
      <w:r w:rsidRPr="00F61242">
        <w:rPr>
          <w:sz w:val="24"/>
          <w:szCs w:val="24"/>
          <w:highlight w:val="yellow"/>
          <w:lang w:val="en-ID"/>
        </w:rPr>
        <w:t>This result is in line with the study conducted by Nainggolan (2020), which shows that economic growth can also increase poverty levels. This may be caused by the trade-offs often faced by governments in preparing work programmes, namely between pursuing economic growth and alleviating poverty. Increased economic growth often also encourages rising income inequality because income improvements are experienced only by certain groups. As a result, the number of poor people may actually increase as the income gap between rich and poor widens</w:t>
      </w:r>
      <w:r w:rsidR="0041347C" w:rsidRPr="00F61242">
        <w:rPr>
          <w:sz w:val="24"/>
          <w:szCs w:val="24"/>
          <w:highlight w:val="yellow"/>
        </w:rPr>
        <w:t>.</w:t>
      </w:r>
    </w:p>
    <w:p w14:paraId="1A4D8726" w14:textId="77777777" w:rsidR="00201FE1" w:rsidRDefault="00201FE1" w:rsidP="005D269A">
      <w:pPr>
        <w:pStyle w:val="BodyText"/>
        <w:spacing w:before="10"/>
        <w:rPr>
          <w:rFonts w:ascii="Calibri"/>
          <w:sz w:val="14"/>
        </w:rPr>
      </w:pPr>
    </w:p>
    <w:p w14:paraId="75002A7E" w14:textId="77777777" w:rsidR="00B264D3" w:rsidRPr="00554BDF" w:rsidRDefault="00B264D3" w:rsidP="00554BDF"/>
    <w:p w14:paraId="226B210E" w14:textId="77777777" w:rsidR="00B264D3" w:rsidRPr="0041347C" w:rsidRDefault="00B264D3" w:rsidP="00554BDF">
      <w:pPr>
        <w:rPr>
          <w:b/>
          <w:bCs/>
        </w:rPr>
      </w:pPr>
    </w:p>
    <w:p w14:paraId="02DFE48A" w14:textId="0771B68D" w:rsidR="00EF5863" w:rsidRPr="005A054B" w:rsidRDefault="005A054B" w:rsidP="005A054B">
      <w:pPr>
        <w:rPr>
          <w:b/>
          <w:bCs/>
        </w:rPr>
      </w:pPr>
      <w:r>
        <w:rPr>
          <w:b/>
          <w:bCs/>
        </w:rPr>
        <w:t xml:space="preserve">IV. </w:t>
      </w:r>
      <w:r w:rsidR="003C5B14" w:rsidRPr="005A054B">
        <w:rPr>
          <w:b/>
          <w:bCs/>
        </w:rPr>
        <w:t>CONCLUSION</w:t>
      </w:r>
      <w:r w:rsidR="0019294C">
        <w:rPr>
          <w:b/>
          <w:bCs/>
        </w:rPr>
        <w:t>S</w:t>
      </w:r>
      <w:r w:rsidR="003C5B14" w:rsidRPr="005A054B">
        <w:rPr>
          <w:b/>
          <w:bCs/>
        </w:rPr>
        <w:t xml:space="preserve"> AND RECOMMENDATION</w:t>
      </w:r>
      <w:r w:rsidR="0019294C">
        <w:rPr>
          <w:b/>
          <w:bCs/>
        </w:rPr>
        <w:t>S</w:t>
      </w:r>
    </w:p>
    <w:p w14:paraId="3A11E1ED" w14:textId="77777777" w:rsidR="003C5B14" w:rsidRDefault="003C5B14" w:rsidP="003C5B14">
      <w:pPr>
        <w:rPr>
          <w:b/>
          <w:bCs/>
        </w:rPr>
      </w:pPr>
    </w:p>
    <w:p w14:paraId="6CBC3B6F" w14:textId="7E654766" w:rsidR="003C5B14" w:rsidRDefault="003C5B14" w:rsidP="003C5B14">
      <w:pPr>
        <w:rPr>
          <w:b/>
          <w:bCs/>
        </w:rPr>
      </w:pPr>
    </w:p>
    <w:p w14:paraId="1F454A21" w14:textId="77777777" w:rsidR="009F6F25" w:rsidRPr="009F6F25" w:rsidRDefault="009F6F25" w:rsidP="009F6F25">
      <w:pPr>
        <w:ind w:firstLine="567"/>
        <w:jc w:val="both"/>
        <w:rPr>
          <w:highlight w:val="yellow"/>
          <w:lang w:val="en-ID"/>
        </w:rPr>
      </w:pPr>
      <w:r w:rsidRPr="009F6F25">
        <w:rPr>
          <w:highlight w:val="yellow"/>
          <w:lang w:val="en-ID"/>
        </w:rPr>
        <w:t>This study aims to determine the influence of financial accountability, financial performance, and financial transparency, with economic growth as a moderating variable, on poverty levels in North Sumatra Province during 2022–2024. Financial accountability has a significant effect on poverty levels. The resulting regression coefficient is negative, meaning that regional government financial accountability has a negative relationship with poverty levels. Financial performance does not have a significant effect on poverty levels. However, the resulting regression coefficient is negative, meaning that regional government financial performance has a negative relationship with poverty levels.</w:t>
      </w:r>
    </w:p>
    <w:p w14:paraId="403989A3" w14:textId="77777777" w:rsidR="009F6F25" w:rsidRPr="009F6F25" w:rsidRDefault="009F6F25" w:rsidP="009F6F25">
      <w:pPr>
        <w:ind w:firstLine="567"/>
        <w:jc w:val="both"/>
        <w:rPr>
          <w:highlight w:val="yellow"/>
          <w:lang w:val="en-ID"/>
        </w:rPr>
      </w:pPr>
      <w:r w:rsidRPr="009F6F25">
        <w:rPr>
          <w:highlight w:val="yellow"/>
          <w:lang w:val="en-ID"/>
        </w:rPr>
        <w:t xml:space="preserve">Financial transparency has a significant effect on poverty levels. The resulting regression coefficient is negative, meaning that regional government financial transparency has a negative relationship with poverty levels. Economic growth has a significant effect on poverty levels as a direct variable. Economic growth, as a moderating variable for financial accountability, financial performance, and regional financial transparency, also changes the direction of the effects of these variables. The three variables changed their initial negative relationships into positive ones. This can be interpreted as meaning that economic growth shifts the focus of financial accountability, financial performance, and financial transparency towards </w:t>
      </w:r>
      <w:r w:rsidRPr="009F6F25">
        <w:rPr>
          <w:highlight w:val="yellow"/>
          <w:lang w:val="en-ID"/>
        </w:rPr>
        <w:lastRenderedPageBreak/>
        <w:t>pursuing aggressive economic growth, thereby neglecting poverty concerns in society.</w:t>
      </w:r>
    </w:p>
    <w:p w14:paraId="7A620E26" w14:textId="77777777" w:rsidR="009F6F25" w:rsidRPr="009F6F25" w:rsidRDefault="009F6F25" w:rsidP="009F6F25">
      <w:pPr>
        <w:ind w:firstLine="567"/>
        <w:jc w:val="both"/>
        <w:rPr>
          <w:highlight w:val="yellow"/>
          <w:lang w:val="en-ID"/>
        </w:rPr>
      </w:pPr>
      <w:r w:rsidRPr="009F6F25">
        <w:rPr>
          <w:highlight w:val="yellow"/>
          <w:lang w:val="en-ID"/>
        </w:rPr>
        <w:t>Regional governments need to improve financial performance, financial accountability, and financial transparency with a focus on poverty alleviation. Improvements in financial performance can be achieved through the expansion of poverty alleviation programmes, such as direct assistance and the improvement of public facilities and infrastructure. Financial accountability and transparency can be enhanced by opening the widest possible access for the public to supervise budget use in North Sumatra, thereby reducing corruption and maintaining the effectiveness of proposed programmes. The acceleration of economic growth programmes should also not ignore poverty alleviation and social justice. Economic growth should not worsen the gap between the poor and the rich in society.</w:t>
      </w:r>
    </w:p>
    <w:p w14:paraId="7CAE6211" w14:textId="17E9B61F" w:rsidR="00EF5863" w:rsidRPr="009F6F25" w:rsidRDefault="009F6F25" w:rsidP="009F6F25">
      <w:pPr>
        <w:ind w:firstLine="567"/>
        <w:jc w:val="both"/>
        <w:rPr>
          <w:lang w:val="en-ID"/>
        </w:rPr>
      </w:pPr>
      <w:r w:rsidRPr="009F6F25">
        <w:rPr>
          <w:highlight w:val="yellow"/>
          <w:lang w:val="en-ID"/>
        </w:rPr>
        <w:t>Based on the coefficient of determination, it is known that there is still substantial variation in poverty levels whose causes have not yet been identified. Therefore, future researchers may include additional variables such as inflation and unemployment, either as direct variables or as moderating variables in the research model</w:t>
      </w:r>
      <w:r w:rsidR="00F47EA8" w:rsidRPr="009F6F25">
        <w:rPr>
          <w:highlight w:val="yellow"/>
        </w:rPr>
        <w:t>.</w:t>
      </w:r>
    </w:p>
    <w:p w14:paraId="2445D802" w14:textId="77777777" w:rsidR="003C5B14" w:rsidRDefault="003C5B14" w:rsidP="003C5B14">
      <w:pPr>
        <w:jc w:val="both"/>
        <w:rPr>
          <w:b/>
          <w:bCs/>
        </w:rPr>
      </w:pPr>
    </w:p>
    <w:p w14:paraId="011C4120" w14:textId="77777777" w:rsidR="002B0909" w:rsidRPr="002B0909" w:rsidRDefault="002B0909" w:rsidP="002B0909">
      <w:pPr>
        <w:widowControl/>
        <w:autoSpaceDE/>
        <w:autoSpaceDN/>
        <w:spacing w:after="200" w:line="276" w:lineRule="auto"/>
        <w:rPr>
          <w:rFonts w:ascii="Arial" w:eastAsiaTheme="minorEastAsia" w:hAnsi="Arial" w:cs="Arial"/>
          <w:b/>
          <w:bCs/>
          <w:lang w:val="en-GB" w:eastAsia="en-GB"/>
        </w:rPr>
      </w:pPr>
      <w:r w:rsidRPr="002B0909">
        <w:rPr>
          <w:rFonts w:ascii="Arial" w:eastAsiaTheme="minorEastAsia" w:hAnsi="Arial" w:cs="Arial"/>
          <w:b/>
          <w:bCs/>
          <w:lang w:val="en-GB" w:eastAsia="en-GB"/>
        </w:rPr>
        <w:t>COMPETING INTERESTS DISCLAIMER:</w:t>
      </w:r>
    </w:p>
    <w:p w14:paraId="33FB191B" w14:textId="77777777" w:rsidR="002B0909" w:rsidRPr="002B0909" w:rsidRDefault="002B0909" w:rsidP="002B0909">
      <w:pPr>
        <w:widowControl/>
        <w:autoSpaceDE/>
        <w:autoSpaceDN/>
        <w:spacing w:after="200" w:line="276" w:lineRule="auto"/>
        <w:rPr>
          <w:rFonts w:asciiTheme="minorHAnsi" w:eastAsiaTheme="minorEastAsia" w:hAnsiTheme="minorHAnsi" w:cstheme="minorBidi"/>
          <w:lang w:val="en-GB" w:eastAsia="en-GB"/>
        </w:rPr>
      </w:pPr>
      <w:r w:rsidRPr="002B0909">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1DDFC65F" w14:textId="77777777" w:rsidR="00BD4BE6" w:rsidRPr="00CA3906" w:rsidRDefault="00BD4BE6" w:rsidP="00BD4BE6">
      <w:pPr>
        <w:rPr>
          <w:b/>
          <w:highlight w:val="yellow"/>
        </w:rPr>
      </w:pPr>
      <w:r w:rsidRPr="00CA3906">
        <w:rPr>
          <w:b/>
          <w:highlight w:val="yellow"/>
        </w:rPr>
        <w:t>Disclaimer (Artificial intelligence)</w:t>
      </w:r>
    </w:p>
    <w:p w14:paraId="2CC9F4FE" w14:textId="77777777" w:rsidR="00BD4BE6" w:rsidRPr="00740879" w:rsidRDefault="00BD4BE6" w:rsidP="00BD4BE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42C37D7" w14:textId="77777777" w:rsidR="002B0909" w:rsidRPr="00FE17CD" w:rsidRDefault="002B0909" w:rsidP="00FE17CD">
      <w:pPr>
        <w:ind w:firstLine="709"/>
        <w:jc w:val="both"/>
        <w:rPr>
          <w:lang w:val="en-ID"/>
        </w:rPr>
      </w:pPr>
    </w:p>
    <w:p w14:paraId="7E6C98D0" w14:textId="77777777" w:rsidR="00EF5863" w:rsidRPr="00554BDF" w:rsidRDefault="00EF5863" w:rsidP="00554BDF"/>
    <w:p w14:paraId="272F6B7C" w14:textId="77777777" w:rsidR="00EF5863" w:rsidRPr="00554BDF" w:rsidRDefault="00EF5863" w:rsidP="00554BDF"/>
    <w:p w14:paraId="4CF7C5DC" w14:textId="11D47998" w:rsidR="008A3DF2" w:rsidRPr="009948B4" w:rsidRDefault="00071783" w:rsidP="009948B4">
      <w:pPr>
        <w:spacing w:line="480" w:lineRule="auto"/>
        <w:jc w:val="center"/>
        <w:rPr>
          <w:b/>
          <w:bCs/>
        </w:rPr>
      </w:pPr>
      <w:r w:rsidRPr="00071783">
        <w:rPr>
          <w:b/>
          <w:bCs/>
        </w:rPr>
        <w:t>REFERENCES</w:t>
      </w:r>
    </w:p>
    <w:p w14:paraId="30429306" w14:textId="77777777" w:rsidR="00A84298" w:rsidRPr="009948B4" w:rsidRDefault="00A84298" w:rsidP="009948B4">
      <w:pPr>
        <w:adjustRightInd w:val="0"/>
        <w:ind w:left="567" w:hanging="567"/>
        <w:jc w:val="both"/>
        <w:rPr>
          <w:bCs/>
          <w:lang w:val="en-ID"/>
        </w:rPr>
      </w:pPr>
      <w:r w:rsidRPr="009948B4">
        <w:rPr>
          <w:bCs/>
          <w:lang w:val="en-ID"/>
        </w:rPr>
        <w:t xml:space="preserve">Agres, O., Sodoma, R., </w:t>
      </w:r>
      <w:proofErr w:type="spellStart"/>
      <w:r w:rsidRPr="009948B4">
        <w:rPr>
          <w:bCs/>
          <w:lang w:val="en-ID"/>
        </w:rPr>
        <w:t>Ilchyshyn</w:t>
      </w:r>
      <w:proofErr w:type="spellEnd"/>
      <w:r w:rsidRPr="009948B4">
        <w:rPr>
          <w:bCs/>
          <w:lang w:val="en-ID"/>
        </w:rPr>
        <w:t xml:space="preserve">, I., Kovalchuk, O., &amp; </w:t>
      </w:r>
      <w:proofErr w:type="spellStart"/>
      <w:r w:rsidRPr="009948B4">
        <w:rPr>
          <w:bCs/>
          <w:lang w:val="en-ID"/>
        </w:rPr>
        <w:t>Shmatkovska</w:t>
      </w:r>
      <w:proofErr w:type="spellEnd"/>
      <w:r w:rsidRPr="009948B4">
        <w:rPr>
          <w:bCs/>
          <w:lang w:val="en-ID"/>
        </w:rPr>
        <w:t>, T. (2025). Regional development project management: Financial aspects. Technology Audit and Production Reserves, 3(4/83), 87–92.</w:t>
      </w:r>
    </w:p>
    <w:p w14:paraId="050F29CC" w14:textId="77777777" w:rsidR="00A84298" w:rsidRPr="009948B4" w:rsidRDefault="00A84298" w:rsidP="009948B4">
      <w:pPr>
        <w:adjustRightInd w:val="0"/>
        <w:ind w:left="567" w:hanging="567"/>
        <w:jc w:val="both"/>
        <w:rPr>
          <w:bCs/>
          <w:lang w:val="en-ID"/>
        </w:rPr>
      </w:pPr>
      <w:r w:rsidRPr="009948B4">
        <w:rPr>
          <w:bCs/>
          <w:lang w:val="en-ID"/>
        </w:rPr>
        <w:t>Alkire, S., Roche, J. M., Ballon, P., Foster, J., Santos, M. E., &amp; Seth, S. (2015). Multidimensional poverty measurement and analysis. Oxford University Press.</w:t>
      </w:r>
    </w:p>
    <w:p w14:paraId="31C317B4" w14:textId="77777777" w:rsidR="00A84298" w:rsidRPr="009948B4" w:rsidRDefault="00A84298" w:rsidP="009948B4">
      <w:pPr>
        <w:adjustRightInd w:val="0"/>
        <w:ind w:left="567" w:hanging="567"/>
        <w:jc w:val="both"/>
        <w:rPr>
          <w:bCs/>
          <w:lang w:val="en-ID"/>
        </w:rPr>
      </w:pPr>
      <w:r w:rsidRPr="009948B4">
        <w:rPr>
          <w:bCs/>
          <w:lang w:val="en-ID"/>
        </w:rPr>
        <w:t>Allen, R., Schiavo-Campo, S., &amp; Garrity, T. C. (2004). Assessing and reforming public financial management: A new approach. World Bank Publications.</w:t>
      </w:r>
    </w:p>
    <w:p w14:paraId="24712EC2" w14:textId="77777777" w:rsidR="00A84298" w:rsidRPr="009948B4" w:rsidRDefault="00A84298" w:rsidP="009948B4">
      <w:pPr>
        <w:adjustRightInd w:val="0"/>
        <w:ind w:left="567" w:hanging="567"/>
        <w:jc w:val="both"/>
        <w:rPr>
          <w:bCs/>
          <w:lang w:val="en-ID"/>
        </w:rPr>
      </w:pPr>
      <w:proofErr w:type="spellStart"/>
      <w:r w:rsidRPr="009948B4">
        <w:rPr>
          <w:bCs/>
          <w:lang w:val="en-ID"/>
        </w:rPr>
        <w:t>Apriyadi</w:t>
      </w:r>
      <w:proofErr w:type="spellEnd"/>
      <w:r w:rsidRPr="009948B4">
        <w:rPr>
          <w:bCs/>
          <w:lang w:val="en-ID"/>
        </w:rPr>
        <w:t xml:space="preserve">, A., </w:t>
      </w:r>
      <w:proofErr w:type="spellStart"/>
      <w:r w:rsidRPr="009948B4">
        <w:rPr>
          <w:bCs/>
          <w:lang w:val="en-ID"/>
        </w:rPr>
        <w:t>Alfitri</w:t>
      </w:r>
      <w:proofErr w:type="spellEnd"/>
      <w:r w:rsidRPr="009948B4">
        <w:rPr>
          <w:bCs/>
          <w:lang w:val="en-ID"/>
        </w:rPr>
        <w:t xml:space="preserve">, A., </w:t>
      </w:r>
      <w:proofErr w:type="spellStart"/>
      <w:r w:rsidRPr="009948B4">
        <w:rPr>
          <w:bCs/>
          <w:lang w:val="en-ID"/>
        </w:rPr>
        <w:t>Sriati</w:t>
      </w:r>
      <w:proofErr w:type="spellEnd"/>
      <w:r w:rsidRPr="009948B4">
        <w:rPr>
          <w:bCs/>
          <w:lang w:val="en-ID"/>
        </w:rPr>
        <w:t xml:space="preserve">, S., &amp; Husni, T. (2024). Analysis of regional government financial performance and its impact on poverty in South Sumatra. </w:t>
      </w:r>
      <w:proofErr w:type="spellStart"/>
      <w:r w:rsidRPr="009948B4">
        <w:rPr>
          <w:bCs/>
          <w:lang w:val="en-ID"/>
        </w:rPr>
        <w:t>Jurnal</w:t>
      </w:r>
      <w:proofErr w:type="spellEnd"/>
      <w:r w:rsidRPr="009948B4">
        <w:rPr>
          <w:bCs/>
          <w:lang w:val="en-ID"/>
        </w:rPr>
        <w:t xml:space="preserve"> </w:t>
      </w:r>
      <w:proofErr w:type="spellStart"/>
      <w:r w:rsidRPr="009948B4">
        <w:rPr>
          <w:bCs/>
          <w:lang w:val="en-ID"/>
        </w:rPr>
        <w:t>Ilmu</w:t>
      </w:r>
      <w:proofErr w:type="spellEnd"/>
      <w:r w:rsidRPr="009948B4">
        <w:rPr>
          <w:bCs/>
          <w:lang w:val="en-ID"/>
        </w:rPr>
        <w:t xml:space="preserve"> </w:t>
      </w:r>
      <w:proofErr w:type="spellStart"/>
      <w:r w:rsidRPr="009948B4">
        <w:rPr>
          <w:bCs/>
          <w:lang w:val="en-ID"/>
        </w:rPr>
        <w:t>Administrasi</w:t>
      </w:r>
      <w:proofErr w:type="spellEnd"/>
      <w:r w:rsidRPr="009948B4">
        <w:rPr>
          <w:bCs/>
          <w:lang w:val="en-ID"/>
        </w:rPr>
        <w:t xml:space="preserve">: Media </w:t>
      </w:r>
      <w:proofErr w:type="spellStart"/>
      <w:r w:rsidRPr="009948B4">
        <w:rPr>
          <w:bCs/>
          <w:lang w:val="en-ID"/>
        </w:rPr>
        <w:t>Pengembangan</w:t>
      </w:r>
      <w:proofErr w:type="spellEnd"/>
      <w:r w:rsidRPr="009948B4">
        <w:rPr>
          <w:bCs/>
          <w:lang w:val="en-ID"/>
        </w:rPr>
        <w:t xml:space="preserve"> </w:t>
      </w:r>
      <w:proofErr w:type="spellStart"/>
      <w:r w:rsidRPr="009948B4">
        <w:rPr>
          <w:bCs/>
          <w:lang w:val="en-ID"/>
        </w:rPr>
        <w:t>Ilmu</w:t>
      </w:r>
      <w:proofErr w:type="spellEnd"/>
      <w:r w:rsidRPr="009948B4">
        <w:rPr>
          <w:bCs/>
          <w:lang w:val="en-ID"/>
        </w:rPr>
        <w:t xml:space="preserve"> dan </w:t>
      </w:r>
      <w:proofErr w:type="spellStart"/>
      <w:r w:rsidRPr="009948B4">
        <w:rPr>
          <w:bCs/>
          <w:lang w:val="en-ID"/>
        </w:rPr>
        <w:t>Praktek</w:t>
      </w:r>
      <w:proofErr w:type="spellEnd"/>
      <w:r w:rsidRPr="009948B4">
        <w:rPr>
          <w:bCs/>
          <w:lang w:val="en-ID"/>
        </w:rPr>
        <w:t xml:space="preserve"> </w:t>
      </w:r>
      <w:proofErr w:type="spellStart"/>
      <w:r w:rsidRPr="009948B4">
        <w:rPr>
          <w:bCs/>
          <w:lang w:val="en-ID"/>
        </w:rPr>
        <w:t>Administrasi</w:t>
      </w:r>
      <w:proofErr w:type="spellEnd"/>
      <w:r w:rsidRPr="009948B4">
        <w:rPr>
          <w:bCs/>
          <w:lang w:val="en-ID"/>
        </w:rPr>
        <w:t>, 21(1), 20–32. https://doi.org/10.31113/jia.v21i1.1090</w:t>
      </w:r>
    </w:p>
    <w:p w14:paraId="251B7E34" w14:textId="77777777" w:rsidR="00A84298" w:rsidRPr="009948B4" w:rsidRDefault="00A84298" w:rsidP="009948B4">
      <w:pPr>
        <w:adjustRightInd w:val="0"/>
        <w:ind w:left="567" w:hanging="567"/>
        <w:jc w:val="both"/>
        <w:rPr>
          <w:bCs/>
          <w:lang w:val="en-ID"/>
        </w:rPr>
      </w:pPr>
      <w:r w:rsidRPr="009948B4">
        <w:rPr>
          <w:bCs/>
          <w:lang w:val="en-ID"/>
        </w:rPr>
        <w:t>Astuti, W. (2022). Analysis of the influence of financial performance on economic growth and its impact on unemployment and poverty. EBBANK Journal, 6(1), 1–18.</w:t>
      </w:r>
    </w:p>
    <w:p w14:paraId="2AC54D6F" w14:textId="77777777" w:rsidR="00A84298" w:rsidRPr="009948B4" w:rsidRDefault="00A84298" w:rsidP="009948B4">
      <w:pPr>
        <w:adjustRightInd w:val="0"/>
        <w:ind w:left="567" w:hanging="567"/>
        <w:jc w:val="both"/>
        <w:rPr>
          <w:bCs/>
          <w:lang w:val="en-ID"/>
        </w:rPr>
      </w:pPr>
      <w:r w:rsidRPr="009948B4">
        <w:rPr>
          <w:bCs/>
          <w:lang w:val="en-ID"/>
        </w:rPr>
        <w:t xml:space="preserve">Badan Pusat </w:t>
      </w:r>
      <w:proofErr w:type="spellStart"/>
      <w:r w:rsidRPr="009948B4">
        <w:rPr>
          <w:bCs/>
          <w:lang w:val="en-ID"/>
        </w:rPr>
        <w:t>Statistik</w:t>
      </w:r>
      <w:proofErr w:type="spellEnd"/>
      <w:r w:rsidRPr="009948B4">
        <w:rPr>
          <w:bCs/>
          <w:lang w:val="en-ID"/>
        </w:rPr>
        <w:t>. (2016). Calculation and analysis of macro poverty in Indonesia, 2015. Statistics Indonesia.</w:t>
      </w:r>
    </w:p>
    <w:p w14:paraId="6E386C2B" w14:textId="77777777" w:rsidR="00A84298" w:rsidRPr="009948B4" w:rsidRDefault="00A84298" w:rsidP="009948B4">
      <w:pPr>
        <w:adjustRightInd w:val="0"/>
        <w:ind w:left="567" w:hanging="567"/>
        <w:jc w:val="both"/>
        <w:rPr>
          <w:bCs/>
          <w:lang w:val="en-ID"/>
        </w:rPr>
      </w:pPr>
      <w:r w:rsidRPr="009948B4">
        <w:rPr>
          <w:bCs/>
          <w:lang w:val="en-ID"/>
        </w:rPr>
        <w:t xml:space="preserve">Badan Pusat </w:t>
      </w:r>
      <w:proofErr w:type="spellStart"/>
      <w:r w:rsidRPr="009948B4">
        <w:rPr>
          <w:bCs/>
          <w:lang w:val="en-ID"/>
        </w:rPr>
        <w:t>Statistik</w:t>
      </w:r>
      <w:proofErr w:type="spellEnd"/>
      <w:r w:rsidRPr="009948B4">
        <w:rPr>
          <w:bCs/>
          <w:lang w:val="en-ID"/>
        </w:rPr>
        <w:t xml:space="preserve"> </w:t>
      </w:r>
      <w:proofErr w:type="spellStart"/>
      <w:r w:rsidRPr="009948B4">
        <w:rPr>
          <w:bCs/>
          <w:lang w:val="en-ID"/>
        </w:rPr>
        <w:t>Provinsi</w:t>
      </w:r>
      <w:proofErr w:type="spellEnd"/>
      <w:r w:rsidRPr="009948B4">
        <w:rPr>
          <w:bCs/>
          <w:lang w:val="en-ID"/>
        </w:rPr>
        <w:t xml:space="preserve"> Sumatera Utara. (2023). North Sumatra Province in figures / North Sumatra Province poverty data 2021–2023. Statistics Indonesia of North Sumatra Province.</w:t>
      </w:r>
    </w:p>
    <w:p w14:paraId="059AAD74" w14:textId="77777777" w:rsidR="00A84298" w:rsidRPr="009948B4" w:rsidRDefault="00A84298" w:rsidP="009948B4">
      <w:pPr>
        <w:adjustRightInd w:val="0"/>
        <w:ind w:left="567" w:hanging="567"/>
        <w:jc w:val="both"/>
        <w:rPr>
          <w:bCs/>
          <w:lang w:val="en-ID"/>
        </w:rPr>
      </w:pPr>
      <w:r w:rsidRPr="009948B4">
        <w:rPr>
          <w:bCs/>
          <w:lang w:val="en-ID"/>
        </w:rPr>
        <w:t xml:space="preserve">Bakri, M. R., </w:t>
      </w:r>
      <w:proofErr w:type="spellStart"/>
      <w:r w:rsidRPr="009948B4">
        <w:rPr>
          <w:bCs/>
          <w:lang w:val="en-ID"/>
        </w:rPr>
        <w:t>Permana</w:t>
      </w:r>
      <w:proofErr w:type="spellEnd"/>
      <w:r w:rsidRPr="009948B4">
        <w:rPr>
          <w:bCs/>
          <w:lang w:val="en-ID"/>
        </w:rPr>
        <w:t xml:space="preserve">, P. B., </w:t>
      </w:r>
      <w:proofErr w:type="spellStart"/>
      <w:r w:rsidRPr="009948B4">
        <w:rPr>
          <w:bCs/>
          <w:lang w:val="en-ID"/>
        </w:rPr>
        <w:t>Yogantari</w:t>
      </w:r>
      <w:proofErr w:type="spellEnd"/>
      <w:r w:rsidRPr="009948B4">
        <w:rPr>
          <w:bCs/>
          <w:lang w:val="en-ID"/>
        </w:rPr>
        <w:t xml:space="preserve">, N. L. R., &amp; Marlina, L. S. (2024). Accountability and fiscal transfer: The perfect duo for enhancing the regional economy. </w:t>
      </w:r>
      <w:proofErr w:type="spellStart"/>
      <w:r w:rsidRPr="009948B4">
        <w:rPr>
          <w:bCs/>
          <w:lang w:val="en-ID"/>
        </w:rPr>
        <w:t>Jurnal</w:t>
      </w:r>
      <w:proofErr w:type="spellEnd"/>
      <w:r w:rsidRPr="009948B4">
        <w:rPr>
          <w:bCs/>
          <w:lang w:val="en-ID"/>
        </w:rPr>
        <w:t xml:space="preserve"> Tata </w:t>
      </w:r>
      <w:proofErr w:type="spellStart"/>
      <w:r w:rsidRPr="009948B4">
        <w:rPr>
          <w:bCs/>
          <w:lang w:val="en-ID"/>
        </w:rPr>
        <w:t>Kelola</w:t>
      </w:r>
      <w:proofErr w:type="spellEnd"/>
      <w:r w:rsidRPr="009948B4">
        <w:rPr>
          <w:bCs/>
          <w:lang w:val="en-ID"/>
        </w:rPr>
        <w:t xml:space="preserve"> &amp; </w:t>
      </w:r>
      <w:proofErr w:type="spellStart"/>
      <w:r w:rsidRPr="009948B4">
        <w:rPr>
          <w:bCs/>
          <w:lang w:val="en-ID"/>
        </w:rPr>
        <w:t>Akuntabilitas</w:t>
      </w:r>
      <w:proofErr w:type="spellEnd"/>
      <w:r w:rsidRPr="009948B4">
        <w:rPr>
          <w:bCs/>
          <w:lang w:val="en-ID"/>
        </w:rPr>
        <w:t xml:space="preserve"> </w:t>
      </w:r>
      <w:proofErr w:type="spellStart"/>
      <w:r w:rsidRPr="009948B4">
        <w:rPr>
          <w:bCs/>
          <w:lang w:val="en-ID"/>
        </w:rPr>
        <w:t>Keuangan</w:t>
      </w:r>
      <w:proofErr w:type="spellEnd"/>
      <w:r w:rsidRPr="009948B4">
        <w:rPr>
          <w:bCs/>
          <w:lang w:val="en-ID"/>
        </w:rPr>
        <w:t xml:space="preserve"> Negara, 10(1), 105–122. https://doi.org/10.28986/jtaken.v10i1.1639</w:t>
      </w:r>
    </w:p>
    <w:p w14:paraId="19FCEA20" w14:textId="77777777" w:rsidR="00A84298" w:rsidRPr="009948B4" w:rsidRDefault="00A84298" w:rsidP="009948B4">
      <w:pPr>
        <w:adjustRightInd w:val="0"/>
        <w:ind w:left="567" w:hanging="567"/>
        <w:jc w:val="both"/>
        <w:rPr>
          <w:bCs/>
          <w:lang w:val="en-ID"/>
        </w:rPr>
      </w:pPr>
      <w:proofErr w:type="spellStart"/>
      <w:r w:rsidRPr="009948B4">
        <w:rPr>
          <w:bCs/>
          <w:lang w:val="en-ID"/>
        </w:rPr>
        <w:t>Baltagi</w:t>
      </w:r>
      <w:proofErr w:type="spellEnd"/>
      <w:r w:rsidRPr="009948B4">
        <w:rPr>
          <w:bCs/>
          <w:lang w:val="en-ID"/>
        </w:rPr>
        <w:t>, B. H. (2005). Econometric analysis of panel data. John Wiley &amp; Sons.</w:t>
      </w:r>
    </w:p>
    <w:p w14:paraId="16AE7CD5" w14:textId="77777777" w:rsidR="00A84298" w:rsidRPr="009948B4" w:rsidRDefault="00A84298" w:rsidP="009948B4">
      <w:pPr>
        <w:adjustRightInd w:val="0"/>
        <w:ind w:left="567" w:hanging="567"/>
        <w:jc w:val="both"/>
        <w:rPr>
          <w:bCs/>
          <w:lang w:val="en-ID"/>
        </w:rPr>
      </w:pPr>
      <w:r w:rsidRPr="009948B4">
        <w:rPr>
          <w:bCs/>
          <w:lang w:val="en-ID"/>
        </w:rPr>
        <w:t>Greene, W. H. (2002). Econometric analysis (5th ed.). Prentice Hall.</w:t>
      </w:r>
    </w:p>
    <w:p w14:paraId="3EF7BB7D" w14:textId="77777777" w:rsidR="00A84298" w:rsidRPr="009948B4" w:rsidRDefault="00A84298" w:rsidP="009948B4">
      <w:pPr>
        <w:adjustRightInd w:val="0"/>
        <w:ind w:left="567" w:hanging="567"/>
        <w:jc w:val="both"/>
        <w:rPr>
          <w:bCs/>
          <w:lang w:val="en-ID"/>
        </w:rPr>
      </w:pPr>
      <w:r w:rsidRPr="009948B4">
        <w:rPr>
          <w:bCs/>
          <w:lang w:val="en-ID"/>
        </w:rPr>
        <w:t>Gujarati, D. N. (1988). Basic econometrics. McGraw-Hill.</w:t>
      </w:r>
    </w:p>
    <w:p w14:paraId="40E08885" w14:textId="77777777" w:rsidR="00A84298" w:rsidRPr="009948B4" w:rsidRDefault="00A84298" w:rsidP="009948B4">
      <w:pPr>
        <w:adjustRightInd w:val="0"/>
        <w:ind w:left="567" w:hanging="567"/>
        <w:jc w:val="both"/>
        <w:rPr>
          <w:bCs/>
          <w:lang w:val="en-ID"/>
        </w:rPr>
      </w:pPr>
      <w:r w:rsidRPr="009948B4">
        <w:rPr>
          <w:bCs/>
          <w:lang w:val="en-ID"/>
        </w:rPr>
        <w:t>Gujarati, D. N. (2003). Basic econometrics (4th ed.). McGraw-Hill.</w:t>
      </w:r>
    </w:p>
    <w:p w14:paraId="00E2358E" w14:textId="77777777" w:rsidR="00A84298" w:rsidRPr="009948B4" w:rsidRDefault="00A84298" w:rsidP="009948B4">
      <w:pPr>
        <w:adjustRightInd w:val="0"/>
        <w:ind w:left="567" w:hanging="567"/>
        <w:jc w:val="both"/>
        <w:rPr>
          <w:bCs/>
          <w:lang w:val="en-ID"/>
        </w:rPr>
      </w:pPr>
      <w:r w:rsidRPr="009948B4">
        <w:rPr>
          <w:bCs/>
          <w:lang w:val="en-ID"/>
        </w:rPr>
        <w:t xml:space="preserve">Hashim, A. I. (2016). Macroeconomics. </w:t>
      </w:r>
      <w:proofErr w:type="spellStart"/>
      <w:r w:rsidRPr="009948B4">
        <w:rPr>
          <w:bCs/>
          <w:lang w:val="en-ID"/>
        </w:rPr>
        <w:t>Prenadamedia</w:t>
      </w:r>
      <w:proofErr w:type="spellEnd"/>
      <w:r w:rsidRPr="009948B4">
        <w:rPr>
          <w:bCs/>
          <w:lang w:val="en-ID"/>
        </w:rPr>
        <w:t xml:space="preserve"> Group.</w:t>
      </w:r>
    </w:p>
    <w:p w14:paraId="012D36E5" w14:textId="77777777" w:rsidR="00A84298" w:rsidRPr="009948B4" w:rsidRDefault="00A84298" w:rsidP="009948B4">
      <w:pPr>
        <w:adjustRightInd w:val="0"/>
        <w:ind w:left="567" w:hanging="567"/>
        <w:jc w:val="both"/>
        <w:rPr>
          <w:bCs/>
          <w:lang w:val="en-ID"/>
        </w:rPr>
      </w:pPr>
      <w:r w:rsidRPr="009948B4">
        <w:rPr>
          <w:bCs/>
          <w:lang w:val="en-ID"/>
        </w:rPr>
        <w:t>Hsiao, C. (2014). Analysis of panel data (3rd ed.). Cambridge University Press.</w:t>
      </w:r>
    </w:p>
    <w:p w14:paraId="3E9FAC69" w14:textId="77777777" w:rsidR="00A84298" w:rsidRPr="009948B4" w:rsidRDefault="00A84298" w:rsidP="009948B4">
      <w:pPr>
        <w:adjustRightInd w:val="0"/>
        <w:ind w:left="567" w:hanging="567"/>
        <w:jc w:val="both"/>
        <w:rPr>
          <w:bCs/>
          <w:lang w:val="en-ID"/>
        </w:rPr>
      </w:pPr>
      <w:proofErr w:type="spellStart"/>
      <w:r w:rsidRPr="009948B4">
        <w:rPr>
          <w:bCs/>
          <w:lang w:val="en-ID"/>
        </w:rPr>
        <w:t>Idrus</w:t>
      </w:r>
      <w:proofErr w:type="spellEnd"/>
      <w:r w:rsidRPr="009948B4">
        <w:rPr>
          <w:bCs/>
          <w:lang w:val="en-ID"/>
        </w:rPr>
        <w:t>, A. (2024). Exploring public finance policies: A qualitative inquiry into fiscal policy analysis, government financial management, and public sector financial health. Golden Ratio of Finance Management, 4(2), 87–99.</w:t>
      </w:r>
    </w:p>
    <w:p w14:paraId="0EA6067C" w14:textId="77777777" w:rsidR="00A84298" w:rsidRPr="009948B4" w:rsidRDefault="00A84298" w:rsidP="009948B4">
      <w:pPr>
        <w:adjustRightInd w:val="0"/>
        <w:ind w:left="567" w:hanging="567"/>
        <w:jc w:val="both"/>
        <w:rPr>
          <w:bCs/>
          <w:lang w:val="en-ID"/>
        </w:rPr>
      </w:pPr>
      <w:proofErr w:type="spellStart"/>
      <w:r w:rsidRPr="009948B4">
        <w:rPr>
          <w:bCs/>
          <w:lang w:val="en-ID"/>
        </w:rPr>
        <w:lastRenderedPageBreak/>
        <w:t>Komaedi</w:t>
      </w:r>
      <w:proofErr w:type="spellEnd"/>
      <w:r w:rsidRPr="009948B4">
        <w:rPr>
          <w:bCs/>
          <w:lang w:val="en-ID"/>
        </w:rPr>
        <w:t xml:space="preserve">, K., Hadi, P., </w:t>
      </w:r>
      <w:proofErr w:type="spellStart"/>
      <w:r w:rsidRPr="009948B4">
        <w:rPr>
          <w:bCs/>
          <w:lang w:val="en-ID"/>
        </w:rPr>
        <w:t>Bahrullah</w:t>
      </w:r>
      <w:proofErr w:type="spellEnd"/>
      <w:r w:rsidRPr="009948B4">
        <w:rPr>
          <w:bCs/>
          <w:lang w:val="en-ID"/>
        </w:rPr>
        <w:t xml:space="preserve">, A., </w:t>
      </w:r>
      <w:proofErr w:type="spellStart"/>
      <w:r w:rsidRPr="009948B4">
        <w:rPr>
          <w:bCs/>
          <w:lang w:val="en-ID"/>
        </w:rPr>
        <w:t>Daraba</w:t>
      </w:r>
      <w:proofErr w:type="spellEnd"/>
      <w:r w:rsidRPr="009948B4">
        <w:rPr>
          <w:bCs/>
          <w:lang w:val="en-ID"/>
        </w:rPr>
        <w:t xml:space="preserve">, M., Ilham, M., Mansyur, M., Ahmad, A., </w:t>
      </w:r>
      <w:proofErr w:type="spellStart"/>
      <w:r w:rsidRPr="009948B4">
        <w:rPr>
          <w:bCs/>
          <w:lang w:val="en-ID"/>
        </w:rPr>
        <w:t>Averus</w:t>
      </w:r>
      <w:proofErr w:type="spellEnd"/>
      <w:r w:rsidRPr="009948B4">
        <w:rPr>
          <w:bCs/>
          <w:lang w:val="en-ID"/>
        </w:rPr>
        <w:t xml:space="preserve">, U., &amp; Madjid, M. (2024). The influence of regional financial performance on economic growth in Central Java Province. </w:t>
      </w:r>
      <w:proofErr w:type="spellStart"/>
      <w:r w:rsidRPr="009948B4">
        <w:rPr>
          <w:bCs/>
          <w:lang w:val="en-ID"/>
        </w:rPr>
        <w:t>Eduvest</w:t>
      </w:r>
      <w:proofErr w:type="spellEnd"/>
      <w:r w:rsidRPr="009948B4">
        <w:rPr>
          <w:bCs/>
          <w:lang w:val="en-ID"/>
        </w:rPr>
        <w:t>. https://doi.org/10.59188/eduvest.v4i5.1326</w:t>
      </w:r>
    </w:p>
    <w:p w14:paraId="12536F1C" w14:textId="77777777" w:rsidR="00A84298" w:rsidRPr="009948B4" w:rsidRDefault="00A84298" w:rsidP="009948B4">
      <w:pPr>
        <w:adjustRightInd w:val="0"/>
        <w:ind w:left="567" w:hanging="567"/>
        <w:jc w:val="both"/>
        <w:rPr>
          <w:bCs/>
          <w:lang w:val="en-ID"/>
        </w:rPr>
      </w:pPr>
      <w:r w:rsidRPr="009948B4">
        <w:rPr>
          <w:bCs/>
          <w:lang w:val="en-ID"/>
        </w:rPr>
        <w:t>Lodge, M. (2004). Accountability and transparency in regulation: Critiques, doctrines and instruments. In J. Jordana &amp; D. Levi-Faur (Eds.), The politics of regulation (pp. 124–144). Edward Elgar.</w:t>
      </w:r>
    </w:p>
    <w:p w14:paraId="18563825" w14:textId="351248D9" w:rsidR="00A84298" w:rsidRPr="009948B4" w:rsidRDefault="00A84298" w:rsidP="009948B4">
      <w:pPr>
        <w:adjustRightInd w:val="0"/>
        <w:ind w:left="567" w:hanging="567"/>
        <w:jc w:val="both"/>
        <w:rPr>
          <w:bCs/>
          <w:lang w:val="en-ID"/>
        </w:rPr>
      </w:pPr>
      <w:r w:rsidRPr="009948B4">
        <w:rPr>
          <w:bCs/>
          <w:lang w:val="en-ID"/>
        </w:rPr>
        <w:t xml:space="preserve">Lubis, A. A. R. D. (2026). Regional planning pathways to forest sustainability and disaster resilience in Northern Sumatra: English. Asian Multidisciplinary Research Journal of Economy and Learning, 3(1), 12–22. </w:t>
      </w:r>
      <w:hyperlink r:id="rId13" w:history="1">
        <w:r w:rsidRPr="009948B4">
          <w:rPr>
            <w:rStyle w:val="Hyperlink"/>
            <w:bCs/>
            <w:lang w:val="en-ID"/>
          </w:rPr>
          <w:t>https://doi.org/10.70471/t9way402</w:t>
        </w:r>
      </w:hyperlink>
    </w:p>
    <w:p w14:paraId="3D49E30A" w14:textId="77777777" w:rsidR="00A84298" w:rsidRPr="009948B4" w:rsidRDefault="00A84298" w:rsidP="009948B4">
      <w:pPr>
        <w:adjustRightInd w:val="0"/>
        <w:ind w:left="567" w:hanging="567"/>
        <w:jc w:val="both"/>
        <w:rPr>
          <w:bCs/>
          <w:lang w:val="en-ID"/>
        </w:rPr>
      </w:pPr>
      <w:r w:rsidRPr="009948B4">
        <w:rPr>
          <w:bCs/>
          <w:lang w:val="en-ID"/>
        </w:rPr>
        <w:t>Nainggolan, E. (2020). Analysis of the impact of economic growth on poverty levels in North Sumatra Province (2010–2019). *</w:t>
      </w:r>
      <w:proofErr w:type="spellStart"/>
      <w:r w:rsidRPr="009948B4">
        <w:rPr>
          <w:bCs/>
          <w:lang w:val="en-ID"/>
        </w:rPr>
        <w:t>Jurnal</w:t>
      </w:r>
      <w:proofErr w:type="spellEnd"/>
      <w:r w:rsidRPr="009948B4">
        <w:rPr>
          <w:bCs/>
          <w:lang w:val="en-ID"/>
        </w:rPr>
        <w:t xml:space="preserve"> </w:t>
      </w:r>
      <w:proofErr w:type="spellStart"/>
      <w:r w:rsidRPr="009948B4">
        <w:rPr>
          <w:bCs/>
          <w:lang w:val="en-ID"/>
        </w:rPr>
        <w:t>Manajemen</w:t>
      </w:r>
      <w:proofErr w:type="spellEnd"/>
      <w:r w:rsidRPr="009948B4">
        <w:rPr>
          <w:bCs/>
          <w:lang w:val="en-ID"/>
        </w:rPr>
        <w:t xml:space="preserve"> </w:t>
      </w:r>
      <w:proofErr w:type="spellStart"/>
      <w:r w:rsidRPr="009948B4">
        <w:rPr>
          <w:bCs/>
          <w:lang w:val="en-ID"/>
        </w:rPr>
        <w:t>Bisnis</w:t>
      </w:r>
      <w:proofErr w:type="spellEnd"/>
      <w:r w:rsidRPr="009948B4">
        <w:rPr>
          <w:bCs/>
          <w:lang w:val="en-ID"/>
        </w:rPr>
        <w:t xml:space="preserve"> </w:t>
      </w:r>
      <w:proofErr w:type="spellStart"/>
      <w:r w:rsidRPr="009948B4">
        <w:rPr>
          <w:bCs/>
          <w:lang w:val="en-ID"/>
        </w:rPr>
        <w:t>Eka</w:t>
      </w:r>
      <w:proofErr w:type="spellEnd"/>
      <w:r w:rsidRPr="009948B4">
        <w:rPr>
          <w:bCs/>
          <w:lang w:val="en-ID"/>
        </w:rPr>
        <w:t xml:space="preserve"> </w:t>
      </w:r>
      <w:proofErr w:type="spellStart"/>
      <w:r w:rsidRPr="009948B4">
        <w:rPr>
          <w:bCs/>
          <w:lang w:val="en-ID"/>
        </w:rPr>
        <w:t>Prasetya</w:t>
      </w:r>
      <w:proofErr w:type="spellEnd"/>
      <w:r w:rsidRPr="009948B4">
        <w:rPr>
          <w:bCs/>
          <w:lang w:val="en-ID"/>
        </w:rPr>
        <w:t xml:space="preserve">: </w:t>
      </w:r>
      <w:proofErr w:type="spellStart"/>
      <w:r w:rsidRPr="009948B4">
        <w:rPr>
          <w:bCs/>
          <w:lang w:val="en-ID"/>
        </w:rPr>
        <w:t>Penelitian</w:t>
      </w:r>
      <w:proofErr w:type="spellEnd"/>
      <w:r w:rsidRPr="009948B4">
        <w:rPr>
          <w:bCs/>
          <w:lang w:val="en-ID"/>
        </w:rPr>
        <w:t xml:space="preserve"> </w:t>
      </w:r>
      <w:proofErr w:type="spellStart"/>
      <w:r w:rsidRPr="009948B4">
        <w:rPr>
          <w:bCs/>
          <w:lang w:val="en-ID"/>
        </w:rPr>
        <w:t>Ilmu</w:t>
      </w:r>
      <w:proofErr w:type="spellEnd"/>
      <w:r w:rsidRPr="009948B4">
        <w:rPr>
          <w:bCs/>
          <w:lang w:val="en-ID"/>
        </w:rPr>
        <w:t xml:space="preserve"> </w:t>
      </w:r>
      <w:proofErr w:type="spellStart"/>
      <w:r w:rsidRPr="009948B4">
        <w:rPr>
          <w:bCs/>
          <w:lang w:val="en-ID"/>
        </w:rPr>
        <w:t>Manajemen</w:t>
      </w:r>
      <w:proofErr w:type="spellEnd"/>
      <w:r w:rsidRPr="009948B4">
        <w:rPr>
          <w:bCs/>
          <w:lang w:val="en-ID"/>
        </w:rPr>
        <w:t>*, 6(2), 89–99. https://doi.org/10.47663/jmbep.v6i2.58</w:t>
      </w:r>
    </w:p>
    <w:p w14:paraId="5697D604" w14:textId="77777777" w:rsidR="00A84298" w:rsidRPr="009948B4" w:rsidRDefault="00A84298" w:rsidP="009948B4">
      <w:pPr>
        <w:adjustRightInd w:val="0"/>
        <w:ind w:left="567" w:hanging="567"/>
        <w:jc w:val="both"/>
        <w:rPr>
          <w:bCs/>
          <w:lang w:val="en-ID"/>
        </w:rPr>
      </w:pPr>
      <w:r w:rsidRPr="009948B4">
        <w:rPr>
          <w:bCs/>
          <w:lang w:val="en-ID"/>
        </w:rPr>
        <w:t>Narayan, D. (2017). Poverty is powerlessness and voicelessness. In *Development ethics* (pp. 117–120). Routledge.</w:t>
      </w:r>
    </w:p>
    <w:p w14:paraId="19FA3A10" w14:textId="77777777" w:rsidR="00A84298" w:rsidRPr="009948B4" w:rsidRDefault="00A84298" w:rsidP="009948B4">
      <w:pPr>
        <w:adjustRightInd w:val="0"/>
        <w:ind w:left="567" w:hanging="567"/>
        <w:jc w:val="both"/>
        <w:rPr>
          <w:bCs/>
          <w:lang w:val="en-ID"/>
        </w:rPr>
      </w:pPr>
      <w:proofErr w:type="spellStart"/>
      <w:r w:rsidRPr="009948B4">
        <w:rPr>
          <w:bCs/>
          <w:lang w:val="en-ID"/>
        </w:rPr>
        <w:t>Permatasari</w:t>
      </w:r>
      <w:proofErr w:type="spellEnd"/>
      <w:r w:rsidRPr="009948B4">
        <w:rPr>
          <w:bCs/>
          <w:lang w:val="en-ID"/>
        </w:rPr>
        <w:t xml:space="preserve">, N. K. A., &amp; </w:t>
      </w:r>
      <w:proofErr w:type="spellStart"/>
      <w:r w:rsidRPr="009948B4">
        <w:rPr>
          <w:bCs/>
          <w:lang w:val="en-ID"/>
        </w:rPr>
        <w:t>Dwirandra</w:t>
      </w:r>
      <w:proofErr w:type="spellEnd"/>
      <w:r w:rsidRPr="009948B4">
        <w:rPr>
          <w:bCs/>
          <w:lang w:val="en-ID"/>
        </w:rPr>
        <w:t>, A. A. N. B. (2016). The ability of economic growth to moderate the impact of financial performance on poverty levels. *E-</w:t>
      </w:r>
      <w:proofErr w:type="spellStart"/>
      <w:r w:rsidRPr="009948B4">
        <w:rPr>
          <w:bCs/>
          <w:lang w:val="en-ID"/>
        </w:rPr>
        <w:t>Jurnal</w:t>
      </w:r>
      <w:proofErr w:type="spellEnd"/>
      <w:r w:rsidRPr="009948B4">
        <w:rPr>
          <w:bCs/>
          <w:lang w:val="en-ID"/>
        </w:rPr>
        <w:t xml:space="preserve"> </w:t>
      </w:r>
      <w:proofErr w:type="spellStart"/>
      <w:r w:rsidRPr="009948B4">
        <w:rPr>
          <w:bCs/>
          <w:lang w:val="en-ID"/>
        </w:rPr>
        <w:t>Akuntansi</w:t>
      </w:r>
      <w:proofErr w:type="spellEnd"/>
      <w:r w:rsidRPr="009948B4">
        <w:rPr>
          <w:bCs/>
          <w:lang w:val="en-ID"/>
        </w:rPr>
        <w:t>*, 15(1), 55–81.</w:t>
      </w:r>
    </w:p>
    <w:p w14:paraId="2F922CCA" w14:textId="77777777" w:rsidR="00A84298" w:rsidRPr="009948B4" w:rsidRDefault="00A84298" w:rsidP="009948B4">
      <w:pPr>
        <w:adjustRightInd w:val="0"/>
        <w:ind w:left="567" w:hanging="567"/>
        <w:jc w:val="both"/>
        <w:rPr>
          <w:bCs/>
          <w:lang w:val="en-ID"/>
        </w:rPr>
      </w:pPr>
      <w:proofErr w:type="spellStart"/>
      <w:r w:rsidRPr="009948B4">
        <w:rPr>
          <w:bCs/>
          <w:lang w:val="en-ID"/>
        </w:rPr>
        <w:t>Pondaag</w:t>
      </w:r>
      <w:proofErr w:type="spellEnd"/>
      <w:r w:rsidRPr="009948B4">
        <w:rPr>
          <w:bCs/>
          <w:lang w:val="en-ID"/>
        </w:rPr>
        <w:t>, O., Kereh, F., &amp; Anis, H. (2024). Juridical study of regional financial management based on Government Regulation Number 12 of 2019. *Tora Law Review*, 10(1), 40–55. https://doi.org/10.55809/tora.v10i1.282</w:t>
      </w:r>
    </w:p>
    <w:p w14:paraId="15CD04F9" w14:textId="77777777" w:rsidR="00A84298" w:rsidRPr="009948B4" w:rsidRDefault="00A84298" w:rsidP="009948B4">
      <w:pPr>
        <w:adjustRightInd w:val="0"/>
        <w:ind w:left="567" w:hanging="567"/>
        <w:jc w:val="both"/>
        <w:rPr>
          <w:bCs/>
          <w:lang w:val="en-ID"/>
        </w:rPr>
      </w:pPr>
      <w:proofErr w:type="spellStart"/>
      <w:r w:rsidRPr="009948B4">
        <w:rPr>
          <w:bCs/>
          <w:lang w:val="en-ID"/>
        </w:rPr>
        <w:t>Priono</w:t>
      </w:r>
      <w:proofErr w:type="spellEnd"/>
      <w:r w:rsidRPr="009948B4">
        <w:rPr>
          <w:bCs/>
          <w:lang w:val="en-ID"/>
        </w:rPr>
        <w:t xml:space="preserve">, H., </w:t>
      </w:r>
      <w:proofErr w:type="spellStart"/>
      <w:r w:rsidRPr="009948B4">
        <w:rPr>
          <w:bCs/>
          <w:lang w:val="en-ID"/>
        </w:rPr>
        <w:t>Yuhertiana</w:t>
      </w:r>
      <w:proofErr w:type="spellEnd"/>
      <w:r w:rsidRPr="009948B4">
        <w:rPr>
          <w:bCs/>
          <w:lang w:val="en-ID"/>
        </w:rPr>
        <w:t xml:space="preserve">, I., Sundari, S., &amp; </w:t>
      </w:r>
      <w:proofErr w:type="spellStart"/>
      <w:r w:rsidRPr="009948B4">
        <w:rPr>
          <w:bCs/>
          <w:lang w:val="en-ID"/>
        </w:rPr>
        <w:t>Puspitasari</w:t>
      </w:r>
      <w:proofErr w:type="spellEnd"/>
      <w:r w:rsidRPr="009948B4">
        <w:rPr>
          <w:bCs/>
          <w:lang w:val="en-ID"/>
        </w:rPr>
        <w:t>, D. S. (2019). Role of financial management in the improvement of local government performance. *Humanities &amp; Social Sciences Reviews*, 7(1), 77–86.</w:t>
      </w:r>
    </w:p>
    <w:p w14:paraId="754471C9" w14:textId="77777777" w:rsidR="00A84298" w:rsidRPr="009948B4" w:rsidRDefault="00A84298" w:rsidP="009948B4">
      <w:pPr>
        <w:adjustRightInd w:val="0"/>
        <w:ind w:left="567" w:hanging="567"/>
        <w:jc w:val="both"/>
        <w:rPr>
          <w:bCs/>
          <w:lang w:val="en-ID"/>
        </w:rPr>
      </w:pPr>
      <w:r w:rsidRPr="009948B4">
        <w:rPr>
          <w:bCs/>
          <w:lang w:val="en-ID"/>
        </w:rPr>
        <w:t>Purnama, N. I. (2017). Analysis of the impact of economic growth on poverty levels in North Sumatra. *</w:t>
      </w:r>
      <w:proofErr w:type="spellStart"/>
      <w:r w:rsidRPr="009948B4">
        <w:rPr>
          <w:bCs/>
          <w:lang w:val="en-ID"/>
        </w:rPr>
        <w:t>Ekonomikawan</w:t>
      </w:r>
      <w:proofErr w:type="spellEnd"/>
      <w:r w:rsidRPr="009948B4">
        <w:rPr>
          <w:bCs/>
          <w:lang w:val="en-ID"/>
        </w:rPr>
        <w:t xml:space="preserve">: </w:t>
      </w:r>
      <w:proofErr w:type="spellStart"/>
      <w:r w:rsidRPr="009948B4">
        <w:rPr>
          <w:bCs/>
          <w:lang w:val="en-ID"/>
        </w:rPr>
        <w:t>Jurnal</w:t>
      </w:r>
      <w:proofErr w:type="spellEnd"/>
      <w:r w:rsidRPr="009948B4">
        <w:rPr>
          <w:bCs/>
          <w:lang w:val="en-ID"/>
        </w:rPr>
        <w:t xml:space="preserve"> </w:t>
      </w:r>
      <w:proofErr w:type="spellStart"/>
      <w:r w:rsidRPr="009948B4">
        <w:rPr>
          <w:bCs/>
          <w:lang w:val="en-ID"/>
        </w:rPr>
        <w:t>Ilmu</w:t>
      </w:r>
      <w:proofErr w:type="spellEnd"/>
      <w:r w:rsidRPr="009948B4">
        <w:rPr>
          <w:bCs/>
          <w:lang w:val="en-ID"/>
        </w:rPr>
        <w:t xml:space="preserve"> </w:t>
      </w:r>
      <w:proofErr w:type="spellStart"/>
      <w:r w:rsidRPr="009948B4">
        <w:rPr>
          <w:bCs/>
          <w:lang w:val="en-ID"/>
        </w:rPr>
        <w:t>Ekonomi</w:t>
      </w:r>
      <w:proofErr w:type="spellEnd"/>
      <w:r w:rsidRPr="009948B4">
        <w:rPr>
          <w:bCs/>
          <w:lang w:val="en-ID"/>
        </w:rPr>
        <w:t xml:space="preserve"> dan Studi Pembangunan*, 17(1). https://doi.org/10.30596/ekonomikawan.v17i1.1181</w:t>
      </w:r>
    </w:p>
    <w:p w14:paraId="5DCE2819" w14:textId="77777777" w:rsidR="00A84298" w:rsidRPr="009948B4" w:rsidRDefault="00A84298" w:rsidP="009948B4">
      <w:pPr>
        <w:adjustRightInd w:val="0"/>
        <w:ind w:left="567" w:hanging="567"/>
        <w:jc w:val="both"/>
        <w:rPr>
          <w:bCs/>
          <w:lang w:val="en-ID"/>
        </w:rPr>
      </w:pPr>
      <w:r w:rsidRPr="009948B4">
        <w:rPr>
          <w:bCs/>
          <w:lang w:val="en-ID"/>
        </w:rPr>
        <w:t xml:space="preserve">Putri, A. R. L., &amp; Maryono. (2022). The influence of transparency, accountability, community participation, and village official competence on village fund management in villages within </w:t>
      </w:r>
      <w:proofErr w:type="spellStart"/>
      <w:r w:rsidRPr="009948B4">
        <w:rPr>
          <w:bCs/>
          <w:lang w:val="en-ID"/>
        </w:rPr>
        <w:t>Wanasari</w:t>
      </w:r>
      <w:proofErr w:type="spellEnd"/>
      <w:r w:rsidRPr="009948B4">
        <w:rPr>
          <w:bCs/>
          <w:lang w:val="en-ID"/>
        </w:rPr>
        <w:t xml:space="preserve"> District, </w:t>
      </w:r>
      <w:proofErr w:type="spellStart"/>
      <w:r w:rsidRPr="009948B4">
        <w:rPr>
          <w:bCs/>
          <w:lang w:val="en-ID"/>
        </w:rPr>
        <w:t>Brebes</w:t>
      </w:r>
      <w:proofErr w:type="spellEnd"/>
      <w:r w:rsidRPr="009948B4">
        <w:rPr>
          <w:bCs/>
          <w:lang w:val="en-ID"/>
        </w:rPr>
        <w:t xml:space="preserve"> Regency. Fair Value: </w:t>
      </w:r>
      <w:proofErr w:type="spellStart"/>
      <w:r w:rsidRPr="009948B4">
        <w:rPr>
          <w:bCs/>
          <w:lang w:val="en-ID"/>
        </w:rPr>
        <w:t>Jurnal</w:t>
      </w:r>
      <w:proofErr w:type="spellEnd"/>
      <w:r w:rsidRPr="009948B4">
        <w:rPr>
          <w:bCs/>
          <w:lang w:val="en-ID"/>
        </w:rPr>
        <w:t xml:space="preserve"> </w:t>
      </w:r>
      <w:proofErr w:type="spellStart"/>
      <w:r w:rsidRPr="009948B4">
        <w:rPr>
          <w:bCs/>
          <w:lang w:val="en-ID"/>
        </w:rPr>
        <w:t>Ilmiah</w:t>
      </w:r>
      <w:proofErr w:type="spellEnd"/>
      <w:r w:rsidRPr="009948B4">
        <w:rPr>
          <w:bCs/>
          <w:lang w:val="en-ID"/>
        </w:rPr>
        <w:t xml:space="preserve"> </w:t>
      </w:r>
      <w:proofErr w:type="spellStart"/>
      <w:r w:rsidRPr="009948B4">
        <w:rPr>
          <w:bCs/>
          <w:lang w:val="en-ID"/>
        </w:rPr>
        <w:t>Akuntansi</w:t>
      </w:r>
      <w:proofErr w:type="spellEnd"/>
      <w:r w:rsidRPr="009948B4">
        <w:rPr>
          <w:bCs/>
          <w:lang w:val="en-ID"/>
        </w:rPr>
        <w:t xml:space="preserve"> dan </w:t>
      </w:r>
      <w:proofErr w:type="spellStart"/>
      <w:r w:rsidRPr="009948B4">
        <w:rPr>
          <w:bCs/>
          <w:lang w:val="en-ID"/>
        </w:rPr>
        <w:t>Keuangan</w:t>
      </w:r>
      <w:proofErr w:type="spellEnd"/>
      <w:r w:rsidRPr="009948B4">
        <w:rPr>
          <w:bCs/>
          <w:lang w:val="en-ID"/>
        </w:rPr>
        <w:t>, 4(Special Issue 3), 1668–1688. https://doi.org/10.32670/fairvalue.v4iSpecial Issue 3.1003</w:t>
      </w:r>
    </w:p>
    <w:p w14:paraId="48E53F7E" w14:textId="77777777" w:rsidR="00A84298" w:rsidRPr="009948B4" w:rsidRDefault="00A84298" w:rsidP="009948B4">
      <w:pPr>
        <w:adjustRightInd w:val="0"/>
        <w:ind w:left="567" w:hanging="567"/>
        <w:jc w:val="both"/>
        <w:rPr>
          <w:bCs/>
          <w:lang w:val="en-ID"/>
        </w:rPr>
      </w:pPr>
      <w:r w:rsidRPr="009948B4">
        <w:rPr>
          <w:bCs/>
          <w:lang w:val="en-ID"/>
        </w:rPr>
        <w:t xml:space="preserve">Sinaga, M., Damanik, S. W. H., </w:t>
      </w:r>
      <w:proofErr w:type="spellStart"/>
      <w:r w:rsidRPr="009948B4">
        <w:rPr>
          <w:bCs/>
          <w:lang w:val="en-ID"/>
        </w:rPr>
        <w:t>Zalukhu</w:t>
      </w:r>
      <w:proofErr w:type="spellEnd"/>
      <w:r w:rsidRPr="009948B4">
        <w:rPr>
          <w:bCs/>
          <w:lang w:val="en-ID"/>
        </w:rPr>
        <w:t xml:space="preserve">, R. S., </w:t>
      </w:r>
      <w:proofErr w:type="spellStart"/>
      <w:r w:rsidRPr="009948B4">
        <w:rPr>
          <w:bCs/>
          <w:lang w:val="en-ID"/>
        </w:rPr>
        <w:t>Hutauruk</w:t>
      </w:r>
      <w:proofErr w:type="spellEnd"/>
      <w:r w:rsidRPr="009948B4">
        <w:rPr>
          <w:bCs/>
          <w:lang w:val="en-ID"/>
        </w:rPr>
        <w:t xml:space="preserve">, R. P. S., &amp; Collyn, D. (2023). The influence of education, per capita income, and unemployment on poverty in the </w:t>
      </w:r>
      <w:proofErr w:type="spellStart"/>
      <w:r w:rsidRPr="009948B4">
        <w:rPr>
          <w:bCs/>
          <w:lang w:val="en-ID"/>
        </w:rPr>
        <w:t>Nias</w:t>
      </w:r>
      <w:proofErr w:type="spellEnd"/>
      <w:r w:rsidRPr="009948B4">
        <w:rPr>
          <w:bCs/>
          <w:lang w:val="en-ID"/>
        </w:rPr>
        <w:t xml:space="preserve"> Islands. </w:t>
      </w:r>
      <w:proofErr w:type="spellStart"/>
      <w:r w:rsidRPr="009948B4">
        <w:rPr>
          <w:bCs/>
          <w:lang w:val="en-ID"/>
        </w:rPr>
        <w:t>Jurnal</w:t>
      </w:r>
      <w:proofErr w:type="spellEnd"/>
      <w:r w:rsidRPr="009948B4">
        <w:rPr>
          <w:bCs/>
          <w:lang w:val="en-ID"/>
        </w:rPr>
        <w:t xml:space="preserve"> </w:t>
      </w:r>
      <w:proofErr w:type="spellStart"/>
      <w:r w:rsidRPr="009948B4">
        <w:rPr>
          <w:bCs/>
          <w:lang w:val="en-ID"/>
        </w:rPr>
        <w:t>Ekuilnomi</w:t>
      </w:r>
      <w:proofErr w:type="spellEnd"/>
      <w:r w:rsidRPr="009948B4">
        <w:rPr>
          <w:bCs/>
          <w:lang w:val="en-ID"/>
        </w:rPr>
        <w:t>, 5(1), 140–152. https://doi.org/10.36985/a4tg4s88</w:t>
      </w:r>
    </w:p>
    <w:p w14:paraId="1DC19AA5" w14:textId="77777777" w:rsidR="00A84298" w:rsidRPr="009948B4" w:rsidRDefault="00A84298" w:rsidP="009948B4">
      <w:pPr>
        <w:adjustRightInd w:val="0"/>
        <w:ind w:left="567" w:hanging="567"/>
        <w:jc w:val="both"/>
        <w:rPr>
          <w:bCs/>
          <w:lang w:val="en-ID"/>
        </w:rPr>
      </w:pPr>
      <w:r w:rsidRPr="009948B4">
        <w:rPr>
          <w:bCs/>
          <w:lang w:val="en-ID"/>
        </w:rPr>
        <w:t>Stiglitz, J. E. (1997). The role of government in economic development. In Annual World Bank Conference on Development Economics 1996 (pp. 11–23). World Bank.</w:t>
      </w:r>
    </w:p>
    <w:p w14:paraId="27566590" w14:textId="77777777" w:rsidR="00A84298" w:rsidRPr="009948B4" w:rsidRDefault="00A84298" w:rsidP="009948B4">
      <w:pPr>
        <w:adjustRightInd w:val="0"/>
        <w:ind w:left="567" w:hanging="567"/>
        <w:jc w:val="both"/>
        <w:rPr>
          <w:bCs/>
          <w:lang w:val="en-ID"/>
        </w:rPr>
      </w:pPr>
      <w:proofErr w:type="spellStart"/>
      <w:r w:rsidRPr="009948B4">
        <w:rPr>
          <w:bCs/>
          <w:lang w:val="en-ID"/>
        </w:rPr>
        <w:t>Supranto</w:t>
      </w:r>
      <w:proofErr w:type="spellEnd"/>
      <w:r w:rsidRPr="009948B4">
        <w:rPr>
          <w:bCs/>
          <w:lang w:val="en-ID"/>
        </w:rPr>
        <w:t xml:space="preserve">, J. (1998). Statistics: Theory and application (5th ed.). </w:t>
      </w:r>
      <w:proofErr w:type="spellStart"/>
      <w:r w:rsidRPr="009948B4">
        <w:rPr>
          <w:bCs/>
          <w:lang w:val="en-ID"/>
        </w:rPr>
        <w:t>Erlangga</w:t>
      </w:r>
      <w:proofErr w:type="spellEnd"/>
      <w:r w:rsidRPr="009948B4">
        <w:rPr>
          <w:bCs/>
          <w:lang w:val="en-ID"/>
        </w:rPr>
        <w:t>.</w:t>
      </w:r>
    </w:p>
    <w:p w14:paraId="388312F0" w14:textId="77777777" w:rsidR="00A84298" w:rsidRPr="009948B4" w:rsidRDefault="00A84298" w:rsidP="009948B4">
      <w:pPr>
        <w:adjustRightInd w:val="0"/>
        <w:ind w:left="567" w:hanging="567"/>
        <w:jc w:val="both"/>
        <w:rPr>
          <w:bCs/>
          <w:lang w:val="en-ID"/>
        </w:rPr>
      </w:pPr>
      <w:r w:rsidRPr="009948B4">
        <w:rPr>
          <w:bCs/>
          <w:lang w:val="en-ID"/>
        </w:rPr>
        <w:t>Todaro, M. P. (2000). Economic development (7th ed.). Addison Wesley.</w:t>
      </w:r>
    </w:p>
    <w:p w14:paraId="512C5773" w14:textId="177A61EC" w:rsidR="00A84298" w:rsidRPr="009948B4" w:rsidRDefault="00A84298" w:rsidP="009948B4">
      <w:pPr>
        <w:adjustRightInd w:val="0"/>
        <w:ind w:left="567" w:hanging="567"/>
        <w:jc w:val="both"/>
        <w:rPr>
          <w:bCs/>
          <w:lang w:val="en-ID"/>
        </w:rPr>
      </w:pPr>
      <w:r w:rsidRPr="009948B4">
        <w:rPr>
          <w:bCs/>
          <w:lang w:val="en-ID"/>
        </w:rPr>
        <w:t>Wagenhofer, A. (2024). Sustainability reporting: A financial reporting perspective. Accounting in Europe, 21(1), 1–13.</w:t>
      </w:r>
    </w:p>
    <w:sectPr w:rsidR="00A84298" w:rsidRPr="009948B4">
      <w:headerReference w:type="even" r:id="rId14"/>
      <w:headerReference w:type="default" r:id="rId15"/>
      <w:footerReference w:type="even" r:id="rId16"/>
      <w:footerReference w:type="default" r:id="rId17"/>
      <w:headerReference w:type="first" r:id="rId18"/>
      <w:footerReference w:type="first" r:id="rId19"/>
      <w:pgSz w:w="11910" w:h="16840"/>
      <w:pgMar w:top="1220" w:right="1300" w:bottom="940" w:left="1280" w:header="719"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770D9" w14:textId="77777777" w:rsidR="00890D0F" w:rsidRDefault="00890D0F">
      <w:r>
        <w:separator/>
      </w:r>
    </w:p>
  </w:endnote>
  <w:endnote w:type="continuationSeparator" w:id="0">
    <w:p w14:paraId="4CD76ACB" w14:textId="77777777" w:rsidR="00890D0F" w:rsidRDefault="00890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A722" w14:textId="77777777" w:rsidR="00DA66C4" w:rsidRDefault="00DA6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D614" w14:textId="77777777" w:rsidR="006432DA" w:rsidRDefault="006432D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C4FC5" w14:textId="77777777" w:rsidR="00DA66C4" w:rsidRDefault="00DA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5CAB1" w14:textId="77777777" w:rsidR="00890D0F" w:rsidRDefault="00890D0F">
      <w:r>
        <w:separator/>
      </w:r>
    </w:p>
  </w:footnote>
  <w:footnote w:type="continuationSeparator" w:id="0">
    <w:p w14:paraId="7CC6D2E3" w14:textId="77777777" w:rsidR="00890D0F" w:rsidRDefault="00890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81EE" w14:textId="295FFDD8" w:rsidR="00DA66C4" w:rsidRDefault="00890D0F">
    <w:pPr>
      <w:pStyle w:val="Header"/>
    </w:pPr>
    <w:r>
      <w:rPr>
        <w:noProof/>
      </w:rPr>
      <w:pict w14:anchorId="0E31D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0469" o:spid="_x0000_s2050" type="#_x0000_t136" style="position:absolute;margin-left:0;margin-top:0;width:591.95pt;height:65.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CE76" w14:textId="264C83BC" w:rsidR="006432DA" w:rsidRDefault="00890D0F">
    <w:pPr>
      <w:pStyle w:val="BodyText"/>
      <w:spacing w:line="14" w:lineRule="auto"/>
    </w:pPr>
    <w:r>
      <w:rPr>
        <w:noProof/>
      </w:rPr>
      <w:pict w14:anchorId="3FEDF1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0470" o:spid="_x0000_s2051" type="#_x0000_t136" style="position:absolute;margin-left:0;margin-top:0;width:591.95pt;height:65.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83366" w14:textId="2100BD78" w:rsidR="00DA66C4" w:rsidRDefault="00890D0F">
    <w:pPr>
      <w:pStyle w:val="Header"/>
    </w:pPr>
    <w:r>
      <w:rPr>
        <w:noProof/>
      </w:rPr>
      <w:pict w14:anchorId="588FD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630468" o:spid="_x0000_s2049" type="#_x0000_t136" style="position:absolute;margin-left:0;margin-top:0;width:591.95pt;height:65.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3E5"/>
    <w:multiLevelType w:val="hybridMultilevel"/>
    <w:tmpl w:val="CBB0BFD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F5B21"/>
    <w:multiLevelType w:val="hybridMultilevel"/>
    <w:tmpl w:val="8C2CD43E"/>
    <w:lvl w:ilvl="0" w:tplc="0409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2" w15:restartNumberingAfterBreak="0">
    <w:nsid w:val="038A0159"/>
    <w:multiLevelType w:val="hybridMultilevel"/>
    <w:tmpl w:val="5E46FD44"/>
    <w:lvl w:ilvl="0" w:tplc="1E480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860C5E"/>
    <w:multiLevelType w:val="hybridMultilevel"/>
    <w:tmpl w:val="2A988C76"/>
    <w:lvl w:ilvl="0" w:tplc="0809000F">
      <w:start w:val="1"/>
      <w:numFmt w:val="decimal"/>
      <w:lvlText w:val="%1."/>
      <w:lvlJc w:val="left"/>
      <w:pPr>
        <w:ind w:left="720" w:hanging="360"/>
      </w:pPr>
      <w:rPr>
        <w:rFonts w:hint="default"/>
      </w:rPr>
    </w:lvl>
    <w:lvl w:ilvl="1" w:tplc="FF945B64">
      <w:start w:val="1"/>
      <w:numFmt w:val="lowerLetter"/>
      <w:lvlText w:val="%2."/>
      <w:lvlJc w:val="left"/>
      <w:pPr>
        <w:ind w:left="1440" w:hanging="360"/>
      </w:pPr>
      <w:rPr>
        <w:rFonts w:hint="default"/>
        <w:b w:val="0"/>
        <w:bCs/>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94924856">
      <w:start w:val="1"/>
      <w:numFmt w:val="upperLetter"/>
      <w:lvlText w:val="%5."/>
      <w:lvlJc w:val="left"/>
      <w:pPr>
        <w:ind w:left="4330" w:hanging="360"/>
      </w:pPr>
      <w:rPr>
        <w:rFonts w:hint="default"/>
      </w:rPr>
    </w:lvl>
    <w:lvl w:ilvl="5" w:tplc="35E4EF02">
      <w:start w:val="1"/>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C4F98"/>
    <w:multiLevelType w:val="hybridMultilevel"/>
    <w:tmpl w:val="7F4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26A8E"/>
    <w:multiLevelType w:val="hybridMultilevel"/>
    <w:tmpl w:val="10389CD4"/>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BE503DD"/>
    <w:multiLevelType w:val="hybridMultilevel"/>
    <w:tmpl w:val="BC70BE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57B54"/>
    <w:multiLevelType w:val="hybridMultilevel"/>
    <w:tmpl w:val="D17C35B6"/>
    <w:lvl w:ilvl="0" w:tplc="A69882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DD7B63"/>
    <w:multiLevelType w:val="hybridMultilevel"/>
    <w:tmpl w:val="05A03736"/>
    <w:lvl w:ilvl="0" w:tplc="1FC64F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163829A3"/>
    <w:multiLevelType w:val="hybridMultilevel"/>
    <w:tmpl w:val="21089A36"/>
    <w:lvl w:ilvl="0" w:tplc="F2DA1C5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8FE0159"/>
    <w:multiLevelType w:val="hybridMultilevel"/>
    <w:tmpl w:val="C86C6300"/>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A7CDA"/>
    <w:multiLevelType w:val="hybridMultilevel"/>
    <w:tmpl w:val="CC847CE6"/>
    <w:lvl w:ilvl="0" w:tplc="21AC3B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650BC"/>
    <w:multiLevelType w:val="hybridMultilevel"/>
    <w:tmpl w:val="0C2C4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472153"/>
    <w:multiLevelType w:val="hybridMultilevel"/>
    <w:tmpl w:val="785275EA"/>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0CCF6EC">
      <w:start w:val="1"/>
      <w:numFmt w:val="decimal"/>
      <w:lvlText w:val="%5)"/>
      <w:lvlJc w:val="left"/>
      <w:pPr>
        <w:ind w:left="3600" w:hanging="360"/>
      </w:pPr>
      <w:rPr>
        <w:rFonts w:hint="default"/>
        <w:b w:val="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243546"/>
    <w:multiLevelType w:val="hybridMultilevel"/>
    <w:tmpl w:val="DA964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E3B65"/>
    <w:multiLevelType w:val="hybridMultilevel"/>
    <w:tmpl w:val="4D1A6B40"/>
    <w:lvl w:ilvl="0" w:tplc="1292D82A">
      <w:start w:val="1"/>
      <w:numFmt w:val="lowerLetter"/>
      <w:lvlText w:val="%1."/>
      <w:lvlJc w:val="left"/>
      <w:pPr>
        <w:ind w:left="1353" w:hanging="360"/>
      </w:pPr>
      <w:rPr>
        <w:rFonts w:hint="default"/>
        <w:i w:val="0"/>
        <w:iCs/>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16" w15:restartNumberingAfterBreak="0">
    <w:nsid w:val="23CD3550"/>
    <w:multiLevelType w:val="hybridMultilevel"/>
    <w:tmpl w:val="91005920"/>
    <w:lvl w:ilvl="0" w:tplc="C9B84A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26F37FB7"/>
    <w:multiLevelType w:val="hybridMultilevel"/>
    <w:tmpl w:val="C8B20C4C"/>
    <w:lvl w:ilvl="0" w:tplc="04090019">
      <w:start w:val="1"/>
      <w:numFmt w:val="lowerLetter"/>
      <w:lvlText w:val="%1."/>
      <w:lvlJc w:val="left"/>
      <w:pPr>
        <w:ind w:left="1069" w:hanging="360"/>
      </w:pPr>
      <w:rPr>
        <w:rFonts w:hint="default"/>
      </w:rPr>
    </w:lvl>
    <w:lvl w:ilvl="1" w:tplc="A9827940">
      <w:start w:val="1"/>
      <w:numFmt w:val="lowerLetter"/>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271E6AE4"/>
    <w:multiLevelType w:val="hybridMultilevel"/>
    <w:tmpl w:val="C5BC6150"/>
    <w:lvl w:ilvl="0" w:tplc="04090019">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2DAA7E46"/>
    <w:multiLevelType w:val="hybridMultilevel"/>
    <w:tmpl w:val="2088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5C3ED3"/>
    <w:multiLevelType w:val="hybridMultilevel"/>
    <w:tmpl w:val="0A0833D2"/>
    <w:lvl w:ilvl="0" w:tplc="8494900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D83D5A"/>
    <w:multiLevelType w:val="hybridMultilevel"/>
    <w:tmpl w:val="D682F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C10B4"/>
    <w:multiLevelType w:val="multilevel"/>
    <w:tmpl w:val="C6F2CAF4"/>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7A0E28"/>
    <w:multiLevelType w:val="hybridMultilevel"/>
    <w:tmpl w:val="C86C6300"/>
    <w:lvl w:ilvl="0" w:tplc="74706392">
      <w:start w:val="1"/>
      <w:numFmt w:val="decimal"/>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F2702E5"/>
    <w:multiLevelType w:val="hybridMultilevel"/>
    <w:tmpl w:val="C86C6300"/>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41294F"/>
    <w:multiLevelType w:val="multilevel"/>
    <w:tmpl w:val="E9B42538"/>
    <w:lvl w:ilvl="0">
      <w:start w:val="1"/>
      <w:numFmt w:val="decimal"/>
      <w:lvlText w:val="%1"/>
      <w:lvlJc w:val="left"/>
      <w:pPr>
        <w:ind w:left="360" w:hanging="360"/>
      </w:pPr>
      <w:rPr>
        <w:rFonts w:hint="default"/>
        <w:b w:val="0"/>
        <w:bCs/>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7717B6"/>
    <w:multiLevelType w:val="hybridMultilevel"/>
    <w:tmpl w:val="FE12B048"/>
    <w:lvl w:ilvl="0" w:tplc="5FB87744">
      <w:start w:val="1"/>
      <w:numFmt w:val="decimal"/>
      <w:lvlText w:val="%1."/>
      <w:lvlJc w:val="left"/>
      <w:pPr>
        <w:ind w:left="720" w:hanging="360"/>
      </w:pPr>
      <w:rPr>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7FA1878"/>
    <w:multiLevelType w:val="hybridMultilevel"/>
    <w:tmpl w:val="51800BC0"/>
    <w:lvl w:ilvl="0" w:tplc="3809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9F2A30"/>
    <w:multiLevelType w:val="hybridMultilevel"/>
    <w:tmpl w:val="739A7072"/>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4A887C16"/>
    <w:multiLevelType w:val="hybridMultilevel"/>
    <w:tmpl w:val="130620B0"/>
    <w:lvl w:ilvl="0" w:tplc="4D40FC16">
      <w:start w:val="1"/>
      <w:numFmt w:val="lowerLetter"/>
      <w:lvlText w:val="%1."/>
      <w:lvlJc w:val="left"/>
      <w:pPr>
        <w:ind w:left="1069" w:hanging="360"/>
      </w:pPr>
      <w:rPr>
        <w:rFonts w:hint="default"/>
      </w:rPr>
    </w:lvl>
    <w:lvl w:ilvl="1" w:tplc="B2FE58E4">
      <w:start w:val="1"/>
      <w:numFmt w:val="decimal"/>
      <w:lvlText w:val="%2)"/>
      <w:lvlJc w:val="left"/>
      <w:pPr>
        <w:ind w:left="1789" w:hanging="360"/>
      </w:pPr>
      <w:rPr>
        <w:rFonts w:hint="default"/>
      </w:r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43880E30">
      <w:start w:val="1"/>
      <w:numFmt w:val="lowerLetter"/>
      <w:lvlText w:val="%5)"/>
      <w:lvlJc w:val="left"/>
      <w:pPr>
        <w:ind w:left="3949" w:hanging="360"/>
      </w:pPr>
      <w:rPr>
        <w:rFonts w:eastAsia="Calibri" w:hint="default"/>
      </w:r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4D945979"/>
    <w:multiLevelType w:val="hybridMultilevel"/>
    <w:tmpl w:val="CCBCF83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2E107FB0">
      <w:start w:val="1"/>
      <w:numFmt w:val="decimal"/>
      <w:lvlText w:val="%3)"/>
      <w:lvlJc w:val="left"/>
      <w:pPr>
        <w:ind w:left="2340" w:hanging="360"/>
      </w:pPr>
      <w:rPr>
        <w:rFonts w:hint="default"/>
      </w:rPr>
    </w:lvl>
    <w:lvl w:ilvl="3" w:tplc="0809000F">
      <w:start w:val="1"/>
      <w:numFmt w:val="decimal"/>
      <w:lvlText w:val="%4."/>
      <w:lvlJc w:val="left"/>
      <w:pPr>
        <w:ind w:left="2880" w:hanging="360"/>
      </w:pPr>
    </w:lvl>
    <w:lvl w:ilvl="4" w:tplc="330EEBF0">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6B67FE"/>
    <w:multiLevelType w:val="hybridMultilevel"/>
    <w:tmpl w:val="4BFA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DC5D8C"/>
    <w:multiLevelType w:val="multilevel"/>
    <w:tmpl w:val="8C506AF4"/>
    <w:lvl w:ilvl="0">
      <w:start w:val="5"/>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ED6EFB"/>
    <w:multiLevelType w:val="hybridMultilevel"/>
    <w:tmpl w:val="E66A278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2F45AC"/>
    <w:multiLevelType w:val="hybridMultilevel"/>
    <w:tmpl w:val="9274FC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EE25A4B"/>
    <w:multiLevelType w:val="hybridMultilevel"/>
    <w:tmpl w:val="FFDE9306"/>
    <w:lvl w:ilvl="0" w:tplc="7174DD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D372CF"/>
    <w:multiLevelType w:val="multilevel"/>
    <w:tmpl w:val="10501CF2"/>
    <w:lvl w:ilvl="0">
      <w:start w:val="4"/>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E3335A"/>
    <w:multiLevelType w:val="hybridMultilevel"/>
    <w:tmpl w:val="4C1E8A84"/>
    <w:lvl w:ilvl="0" w:tplc="55ECA4AA">
      <w:start w:val="1"/>
      <w:numFmt w:val="upperLetter"/>
      <w:lvlText w:val="%1."/>
      <w:lvlJc w:val="left"/>
      <w:pPr>
        <w:ind w:left="108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257D89"/>
    <w:multiLevelType w:val="multilevel"/>
    <w:tmpl w:val="493ABF7A"/>
    <w:lvl w:ilvl="0">
      <w:start w:val="1"/>
      <w:numFmt w:val="lowerLetter"/>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4C93105"/>
    <w:multiLevelType w:val="hybridMultilevel"/>
    <w:tmpl w:val="A352FA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DE0FC9"/>
    <w:multiLevelType w:val="hybridMultilevel"/>
    <w:tmpl w:val="23DE643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7F985962">
      <w:start w:val="1"/>
      <w:numFmt w:val="decimal"/>
      <w:lvlText w:val="%5)"/>
      <w:lvlJc w:val="left"/>
      <w:pPr>
        <w:ind w:left="3600" w:hanging="360"/>
      </w:pPr>
      <w:rPr>
        <w:rFonts w:hint="default"/>
      </w:rPr>
    </w:lvl>
    <w:lvl w:ilvl="5" w:tplc="43E4D636">
      <w:start w:val="1"/>
      <w:numFmt w:val="lowerLetter"/>
      <w:lvlText w:val="%6)"/>
      <w:lvlJc w:val="left"/>
      <w:pPr>
        <w:ind w:left="4500" w:hanging="360"/>
      </w:pPr>
      <w:rPr>
        <w:rFonts w:hint="default"/>
        <w:i w:val="0"/>
        <w:iCs/>
      </w:rPr>
    </w:lvl>
    <w:lvl w:ilvl="6" w:tplc="DDCA3F6E">
      <w:start w:val="1"/>
      <w:numFmt w:val="upperLetter"/>
      <w:lvlText w:val="%7."/>
      <w:lvlJc w:val="left"/>
      <w:pPr>
        <w:ind w:left="5040" w:hanging="36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19542E"/>
    <w:multiLevelType w:val="multilevel"/>
    <w:tmpl w:val="5F6A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2A2456"/>
    <w:multiLevelType w:val="hybridMultilevel"/>
    <w:tmpl w:val="8D36C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265C0"/>
    <w:multiLevelType w:val="hybridMultilevel"/>
    <w:tmpl w:val="AAD655BA"/>
    <w:lvl w:ilvl="0" w:tplc="4650BC4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2E5CF6"/>
    <w:multiLevelType w:val="hybridMultilevel"/>
    <w:tmpl w:val="D96A564A"/>
    <w:lvl w:ilvl="0" w:tplc="8376E8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74937909"/>
    <w:multiLevelType w:val="hybridMultilevel"/>
    <w:tmpl w:val="4A42364C"/>
    <w:lvl w:ilvl="0" w:tplc="43880E30">
      <w:start w:val="1"/>
      <w:numFmt w:val="lowerLetter"/>
      <w:lvlText w:val="%1)"/>
      <w:lvlJc w:val="left"/>
      <w:pPr>
        <w:ind w:left="3949" w:hanging="360"/>
      </w:pPr>
      <w:rPr>
        <w:rFonts w:eastAsia="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80B1EDA"/>
    <w:multiLevelType w:val="hybridMultilevel"/>
    <w:tmpl w:val="DFA440D4"/>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D736E9C"/>
    <w:multiLevelType w:val="hybridMultilevel"/>
    <w:tmpl w:val="BDECB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2402A"/>
    <w:multiLevelType w:val="hybridMultilevel"/>
    <w:tmpl w:val="4BA2E504"/>
    <w:lvl w:ilvl="0" w:tplc="53426006">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9"/>
  </w:num>
  <w:num w:numId="3">
    <w:abstractNumId w:val="19"/>
  </w:num>
  <w:num w:numId="4">
    <w:abstractNumId w:val="47"/>
  </w:num>
  <w:num w:numId="5">
    <w:abstractNumId w:val="42"/>
  </w:num>
  <w:num w:numId="6">
    <w:abstractNumId w:val="43"/>
  </w:num>
  <w:num w:numId="7">
    <w:abstractNumId w:val="6"/>
  </w:num>
  <w:num w:numId="8">
    <w:abstractNumId w:val="35"/>
  </w:num>
  <w:num w:numId="9">
    <w:abstractNumId w:val="16"/>
  </w:num>
  <w:num w:numId="10">
    <w:abstractNumId w:val="8"/>
  </w:num>
  <w:num w:numId="11">
    <w:abstractNumId w:val="25"/>
  </w:num>
  <w:num w:numId="12">
    <w:abstractNumId w:val="22"/>
  </w:num>
  <w:num w:numId="13">
    <w:abstractNumId w:val="37"/>
  </w:num>
  <w:num w:numId="14">
    <w:abstractNumId w:val="36"/>
  </w:num>
  <w:num w:numId="15">
    <w:abstractNumId w:val="32"/>
  </w:num>
  <w:num w:numId="16">
    <w:abstractNumId w:val="30"/>
  </w:num>
  <w:num w:numId="17">
    <w:abstractNumId w:val="13"/>
  </w:num>
  <w:num w:numId="18">
    <w:abstractNumId w:val="40"/>
  </w:num>
  <w:num w:numId="19">
    <w:abstractNumId w:val="3"/>
  </w:num>
  <w:num w:numId="20">
    <w:abstractNumId w:val="29"/>
  </w:num>
  <w:num w:numId="21">
    <w:abstractNumId w:val="0"/>
  </w:num>
  <w:num w:numId="22">
    <w:abstractNumId w:val="7"/>
  </w:num>
  <w:num w:numId="23">
    <w:abstractNumId w:val="12"/>
  </w:num>
  <w:num w:numId="24">
    <w:abstractNumId w:val="33"/>
  </w:num>
  <w:num w:numId="25">
    <w:abstractNumId w:val="31"/>
  </w:num>
  <w:num w:numId="26">
    <w:abstractNumId w:val="18"/>
  </w:num>
  <w:num w:numId="27">
    <w:abstractNumId w:val="17"/>
  </w:num>
  <w:num w:numId="28">
    <w:abstractNumId w:val="38"/>
  </w:num>
  <w:num w:numId="29">
    <w:abstractNumId w:val="15"/>
  </w:num>
  <w:num w:numId="30">
    <w:abstractNumId w:val="2"/>
  </w:num>
  <w:num w:numId="31">
    <w:abstractNumId w:val="1"/>
  </w:num>
  <w:num w:numId="32">
    <w:abstractNumId w:val="11"/>
  </w:num>
  <w:num w:numId="33">
    <w:abstractNumId w:val="4"/>
  </w:num>
  <w:num w:numId="34">
    <w:abstractNumId w:val="21"/>
  </w:num>
  <w:num w:numId="35">
    <w:abstractNumId w:val="26"/>
  </w:num>
  <w:num w:numId="36">
    <w:abstractNumId w:val="46"/>
  </w:num>
  <w:num w:numId="37">
    <w:abstractNumId w:val="23"/>
  </w:num>
  <w:num w:numId="38">
    <w:abstractNumId w:val="24"/>
  </w:num>
  <w:num w:numId="39">
    <w:abstractNumId w:val="10"/>
  </w:num>
  <w:num w:numId="40">
    <w:abstractNumId w:val="34"/>
  </w:num>
  <w:num w:numId="41">
    <w:abstractNumId w:val="48"/>
  </w:num>
  <w:num w:numId="42">
    <w:abstractNumId w:val="5"/>
  </w:num>
  <w:num w:numId="43">
    <w:abstractNumId w:val="27"/>
  </w:num>
  <w:num w:numId="44">
    <w:abstractNumId w:val="44"/>
  </w:num>
  <w:num w:numId="45">
    <w:abstractNumId w:val="45"/>
  </w:num>
  <w:num w:numId="46">
    <w:abstractNumId w:val="28"/>
  </w:num>
  <w:num w:numId="47">
    <w:abstractNumId w:val="14"/>
  </w:num>
  <w:num w:numId="48">
    <w:abstractNumId w:val="39"/>
  </w:num>
  <w:num w:numId="49">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63"/>
    <w:rsid w:val="00012F83"/>
    <w:rsid w:val="000643C3"/>
    <w:rsid w:val="00071783"/>
    <w:rsid w:val="0007492F"/>
    <w:rsid w:val="000A5008"/>
    <w:rsid w:val="000E5C78"/>
    <w:rsid w:val="000F541F"/>
    <w:rsid w:val="00103AF2"/>
    <w:rsid w:val="00104A20"/>
    <w:rsid w:val="00143891"/>
    <w:rsid w:val="001534F7"/>
    <w:rsid w:val="00177EB3"/>
    <w:rsid w:val="0019294C"/>
    <w:rsid w:val="00193870"/>
    <w:rsid w:val="001B6E6B"/>
    <w:rsid w:val="001E0782"/>
    <w:rsid w:val="001F49E1"/>
    <w:rsid w:val="00200677"/>
    <w:rsid w:val="00201FE1"/>
    <w:rsid w:val="00263C02"/>
    <w:rsid w:val="002733B9"/>
    <w:rsid w:val="002809F6"/>
    <w:rsid w:val="00287768"/>
    <w:rsid w:val="002A233B"/>
    <w:rsid w:val="002B0909"/>
    <w:rsid w:val="002B4036"/>
    <w:rsid w:val="002D3DBF"/>
    <w:rsid w:val="002F702D"/>
    <w:rsid w:val="00317EFC"/>
    <w:rsid w:val="00321273"/>
    <w:rsid w:val="003275E5"/>
    <w:rsid w:val="0034379E"/>
    <w:rsid w:val="00346BCA"/>
    <w:rsid w:val="00354D0B"/>
    <w:rsid w:val="003603B5"/>
    <w:rsid w:val="00373E8E"/>
    <w:rsid w:val="00395AFA"/>
    <w:rsid w:val="0039715F"/>
    <w:rsid w:val="003C5B14"/>
    <w:rsid w:val="003C738C"/>
    <w:rsid w:val="003D3358"/>
    <w:rsid w:val="00412480"/>
    <w:rsid w:val="00412A29"/>
    <w:rsid w:val="0041347C"/>
    <w:rsid w:val="00416139"/>
    <w:rsid w:val="004163E6"/>
    <w:rsid w:val="004355FB"/>
    <w:rsid w:val="004445AF"/>
    <w:rsid w:val="0044686D"/>
    <w:rsid w:val="00451AC3"/>
    <w:rsid w:val="00462109"/>
    <w:rsid w:val="00470239"/>
    <w:rsid w:val="00496CB3"/>
    <w:rsid w:val="004A61D0"/>
    <w:rsid w:val="004D5902"/>
    <w:rsid w:val="004F005F"/>
    <w:rsid w:val="00507295"/>
    <w:rsid w:val="00514F9C"/>
    <w:rsid w:val="00522035"/>
    <w:rsid w:val="00541BC8"/>
    <w:rsid w:val="00554BDF"/>
    <w:rsid w:val="0058396B"/>
    <w:rsid w:val="00593E82"/>
    <w:rsid w:val="005A054B"/>
    <w:rsid w:val="005C4B9C"/>
    <w:rsid w:val="005C5140"/>
    <w:rsid w:val="005D269A"/>
    <w:rsid w:val="005E1D73"/>
    <w:rsid w:val="005F3833"/>
    <w:rsid w:val="005F7DAE"/>
    <w:rsid w:val="0061078D"/>
    <w:rsid w:val="00626F40"/>
    <w:rsid w:val="006313BC"/>
    <w:rsid w:val="0063295F"/>
    <w:rsid w:val="006432DA"/>
    <w:rsid w:val="006549E6"/>
    <w:rsid w:val="0066131D"/>
    <w:rsid w:val="0068465F"/>
    <w:rsid w:val="006A1245"/>
    <w:rsid w:val="006E424F"/>
    <w:rsid w:val="00716AF8"/>
    <w:rsid w:val="00740892"/>
    <w:rsid w:val="007478CE"/>
    <w:rsid w:val="00754AD8"/>
    <w:rsid w:val="0075769E"/>
    <w:rsid w:val="007642A8"/>
    <w:rsid w:val="00781B6A"/>
    <w:rsid w:val="007A337F"/>
    <w:rsid w:val="007C761F"/>
    <w:rsid w:val="007F4D04"/>
    <w:rsid w:val="007F5522"/>
    <w:rsid w:val="00810080"/>
    <w:rsid w:val="00821E20"/>
    <w:rsid w:val="00850E29"/>
    <w:rsid w:val="00865A1A"/>
    <w:rsid w:val="008716DB"/>
    <w:rsid w:val="00883B2A"/>
    <w:rsid w:val="00884984"/>
    <w:rsid w:val="00890D0F"/>
    <w:rsid w:val="008A3DF2"/>
    <w:rsid w:val="008C197C"/>
    <w:rsid w:val="008D6A76"/>
    <w:rsid w:val="008E1F2B"/>
    <w:rsid w:val="008E3C7C"/>
    <w:rsid w:val="008F16DA"/>
    <w:rsid w:val="008F6373"/>
    <w:rsid w:val="008F7148"/>
    <w:rsid w:val="00903606"/>
    <w:rsid w:val="00911D89"/>
    <w:rsid w:val="00914F62"/>
    <w:rsid w:val="00921101"/>
    <w:rsid w:val="009519D9"/>
    <w:rsid w:val="009570E1"/>
    <w:rsid w:val="00961077"/>
    <w:rsid w:val="009634E2"/>
    <w:rsid w:val="0098564B"/>
    <w:rsid w:val="0099027D"/>
    <w:rsid w:val="0099130C"/>
    <w:rsid w:val="00991DF0"/>
    <w:rsid w:val="00991EFB"/>
    <w:rsid w:val="009948B4"/>
    <w:rsid w:val="009A5497"/>
    <w:rsid w:val="009C0D48"/>
    <w:rsid w:val="009C5C17"/>
    <w:rsid w:val="009D14A9"/>
    <w:rsid w:val="009F6154"/>
    <w:rsid w:val="009F6F25"/>
    <w:rsid w:val="00A06CEA"/>
    <w:rsid w:val="00A1427D"/>
    <w:rsid w:val="00A258A8"/>
    <w:rsid w:val="00A27F01"/>
    <w:rsid w:val="00A426D3"/>
    <w:rsid w:val="00A456C5"/>
    <w:rsid w:val="00A526A2"/>
    <w:rsid w:val="00A539BC"/>
    <w:rsid w:val="00A62F47"/>
    <w:rsid w:val="00A84298"/>
    <w:rsid w:val="00A85705"/>
    <w:rsid w:val="00A94459"/>
    <w:rsid w:val="00AB7F6D"/>
    <w:rsid w:val="00AC5A39"/>
    <w:rsid w:val="00AE171D"/>
    <w:rsid w:val="00AE1F16"/>
    <w:rsid w:val="00AE31FB"/>
    <w:rsid w:val="00AE5D15"/>
    <w:rsid w:val="00AE713E"/>
    <w:rsid w:val="00B05DC6"/>
    <w:rsid w:val="00B17355"/>
    <w:rsid w:val="00B2514B"/>
    <w:rsid w:val="00B264D3"/>
    <w:rsid w:val="00B31CE2"/>
    <w:rsid w:val="00B82C34"/>
    <w:rsid w:val="00B9399B"/>
    <w:rsid w:val="00BA5F70"/>
    <w:rsid w:val="00BB2C0A"/>
    <w:rsid w:val="00BC36DE"/>
    <w:rsid w:val="00BD1355"/>
    <w:rsid w:val="00BD4BE6"/>
    <w:rsid w:val="00BE0882"/>
    <w:rsid w:val="00BE4B21"/>
    <w:rsid w:val="00C0326B"/>
    <w:rsid w:val="00C23FDB"/>
    <w:rsid w:val="00C4669F"/>
    <w:rsid w:val="00C66DB5"/>
    <w:rsid w:val="00C8148D"/>
    <w:rsid w:val="00C82CF0"/>
    <w:rsid w:val="00C972DF"/>
    <w:rsid w:val="00CB20AF"/>
    <w:rsid w:val="00CB44D6"/>
    <w:rsid w:val="00CB533C"/>
    <w:rsid w:val="00CC14F0"/>
    <w:rsid w:val="00CC431D"/>
    <w:rsid w:val="00CC5012"/>
    <w:rsid w:val="00D11324"/>
    <w:rsid w:val="00D32D17"/>
    <w:rsid w:val="00D36BF8"/>
    <w:rsid w:val="00D53ABD"/>
    <w:rsid w:val="00D61E01"/>
    <w:rsid w:val="00D66F6E"/>
    <w:rsid w:val="00D705B1"/>
    <w:rsid w:val="00D72FF1"/>
    <w:rsid w:val="00D81B7A"/>
    <w:rsid w:val="00D832EA"/>
    <w:rsid w:val="00D97C51"/>
    <w:rsid w:val="00DA66C4"/>
    <w:rsid w:val="00DC1A3A"/>
    <w:rsid w:val="00DC1C61"/>
    <w:rsid w:val="00DD1E93"/>
    <w:rsid w:val="00DF7779"/>
    <w:rsid w:val="00E527F7"/>
    <w:rsid w:val="00E531F0"/>
    <w:rsid w:val="00E65965"/>
    <w:rsid w:val="00E7177B"/>
    <w:rsid w:val="00E76CE3"/>
    <w:rsid w:val="00E87EE9"/>
    <w:rsid w:val="00EA077D"/>
    <w:rsid w:val="00EB361E"/>
    <w:rsid w:val="00EB6D9C"/>
    <w:rsid w:val="00ED3ABC"/>
    <w:rsid w:val="00EF5863"/>
    <w:rsid w:val="00F127F6"/>
    <w:rsid w:val="00F14199"/>
    <w:rsid w:val="00F324F6"/>
    <w:rsid w:val="00F47EA8"/>
    <w:rsid w:val="00F5565D"/>
    <w:rsid w:val="00F61242"/>
    <w:rsid w:val="00F67D83"/>
    <w:rsid w:val="00F722B1"/>
    <w:rsid w:val="00F77341"/>
    <w:rsid w:val="00FB3544"/>
    <w:rsid w:val="00FB627E"/>
    <w:rsid w:val="00FE17CD"/>
    <w:rsid w:val="00FE230D"/>
    <w:rsid w:val="00FE33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B69B15"/>
  <w15:docId w15:val="{7789592B-C067-4760-B2C2-B744C3BC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21"/>
      <w:ind w:left="20"/>
      <w:outlineLvl w:val="0"/>
    </w:pPr>
    <w:rPr>
      <w:rFonts w:ascii="Cambria" w:eastAsia="Cambria" w:hAnsi="Cambria" w:cs="Cambria"/>
      <w:b/>
      <w:bCs/>
      <w:i/>
      <w:iCs/>
    </w:rPr>
  </w:style>
  <w:style w:type="paragraph" w:styleId="Heading2">
    <w:name w:val="heading 2"/>
    <w:basedOn w:val="Normal"/>
    <w:link w:val="Heading2Char"/>
    <w:uiPriority w:val="99"/>
    <w:unhideWhenUsed/>
    <w:qFormat/>
    <w:pPr>
      <w:spacing w:line="228" w:lineRule="exact"/>
      <w:ind w:left="131"/>
      <w:jc w:val="both"/>
      <w:outlineLvl w:val="1"/>
    </w:pPr>
    <w:rPr>
      <w:b/>
      <w:bCs/>
      <w:sz w:val="20"/>
      <w:szCs w:val="20"/>
    </w:rPr>
  </w:style>
  <w:style w:type="paragraph" w:styleId="Heading3">
    <w:name w:val="heading 3"/>
    <w:basedOn w:val="Normal"/>
    <w:next w:val="Normal"/>
    <w:link w:val="Heading3Char"/>
    <w:uiPriority w:val="99"/>
    <w:qFormat/>
    <w:rsid w:val="00287768"/>
    <w:pPr>
      <w:widowControl/>
      <w:adjustRightInd w:val="0"/>
      <w:outlineLvl w:val="2"/>
    </w:pPr>
    <w:rPr>
      <w:rFonts w:ascii="Courier New" w:eastAsiaTheme="minorHAnsi" w:hAnsi="Courier New" w:cs="Courier New"/>
      <w:b/>
      <w:bCs/>
      <w:color w:val="000000"/>
      <w:sz w:val="26"/>
      <w:szCs w:val="26"/>
    </w:rPr>
  </w:style>
  <w:style w:type="paragraph" w:styleId="Heading5">
    <w:name w:val="heading 5"/>
    <w:basedOn w:val="Normal"/>
    <w:link w:val="Heading5Char"/>
    <w:uiPriority w:val="9"/>
    <w:qFormat/>
    <w:rsid w:val="00287768"/>
    <w:pPr>
      <w:widowControl/>
      <w:autoSpaceDE/>
      <w:autoSpaceDN/>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aliases w:val="spasi 2 taiiii"/>
    <w:basedOn w:val="Normal"/>
    <w:link w:val="ListParagraphChar"/>
    <w:uiPriority w:val="34"/>
    <w:qFormat/>
  </w:style>
  <w:style w:type="paragraph" w:customStyle="1" w:styleId="TableParagraph">
    <w:name w:val="Table Paragraph"/>
    <w:basedOn w:val="Normal"/>
    <w:uiPriority w:val="1"/>
    <w:qFormat/>
    <w:pPr>
      <w:spacing w:line="210" w:lineRule="exact"/>
    </w:pPr>
  </w:style>
  <w:style w:type="paragraph" w:styleId="Header">
    <w:name w:val="header"/>
    <w:basedOn w:val="Normal"/>
    <w:link w:val="HeaderChar"/>
    <w:uiPriority w:val="99"/>
    <w:unhideWhenUsed/>
    <w:rsid w:val="007642A8"/>
    <w:pPr>
      <w:tabs>
        <w:tab w:val="center" w:pos="4513"/>
        <w:tab w:val="right" w:pos="9026"/>
      </w:tabs>
    </w:pPr>
  </w:style>
  <w:style w:type="character" w:customStyle="1" w:styleId="HeaderChar">
    <w:name w:val="Header Char"/>
    <w:basedOn w:val="DefaultParagraphFont"/>
    <w:link w:val="Header"/>
    <w:uiPriority w:val="99"/>
    <w:rsid w:val="007642A8"/>
    <w:rPr>
      <w:rFonts w:ascii="Times New Roman" w:eastAsia="Times New Roman" w:hAnsi="Times New Roman" w:cs="Times New Roman"/>
    </w:rPr>
  </w:style>
  <w:style w:type="paragraph" w:styleId="Footer">
    <w:name w:val="footer"/>
    <w:basedOn w:val="Normal"/>
    <w:link w:val="FooterChar"/>
    <w:uiPriority w:val="99"/>
    <w:unhideWhenUsed/>
    <w:rsid w:val="007642A8"/>
    <w:pPr>
      <w:tabs>
        <w:tab w:val="center" w:pos="4513"/>
        <w:tab w:val="right" w:pos="9026"/>
      </w:tabs>
    </w:pPr>
  </w:style>
  <w:style w:type="character" w:customStyle="1" w:styleId="FooterChar">
    <w:name w:val="Footer Char"/>
    <w:basedOn w:val="DefaultParagraphFont"/>
    <w:link w:val="Footer"/>
    <w:uiPriority w:val="99"/>
    <w:rsid w:val="007642A8"/>
    <w:rPr>
      <w:rFonts w:ascii="Times New Roman" w:eastAsia="Times New Roman" w:hAnsi="Times New Roman" w:cs="Times New Roman"/>
    </w:rPr>
  </w:style>
  <w:style w:type="character" w:styleId="Hyperlink">
    <w:name w:val="Hyperlink"/>
    <w:basedOn w:val="DefaultParagraphFont"/>
    <w:uiPriority w:val="99"/>
    <w:unhideWhenUsed/>
    <w:rsid w:val="00177EB3"/>
    <w:rPr>
      <w:color w:val="0000FF" w:themeColor="hyperlink"/>
      <w:u w:val="single"/>
    </w:rPr>
  </w:style>
  <w:style w:type="character" w:styleId="UnresolvedMention">
    <w:name w:val="Unresolved Mention"/>
    <w:basedOn w:val="DefaultParagraphFont"/>
    <w:uiPriority w:val="99"/>
    <w:semiHidden/>
    <w:unhideWhenUsed/>
    <w:rsid w:val="00177EB3"/>
    <w:rPr>
      <w:color w:val="605E5C"/>
      <w:shd w:val="clear" w:color="auto" w:fill="E1DFDD"/>
    </w:rPr>
  </w:style>
  <w:style w:type="character" w:customStyle="1" w:styleId="markedcontent">
    <w:name w:val="markedcontent"/>
    <w:basedOn w:val="DefaultParagraphFont"/>
    <w:rsid w:val="00012F83"/>
  </w:style>
  <w:style w:type="table" w:styleId="TableGrid">
    <w:name w:val="Table Grid"/>
    <w:basedOn w:val="TableNormal"/>
    <w:uiPriority w:val="39"/>
    <w:qFormat/>
    <w:rsid w:val="004621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109"/>
    <w:rPr>
      <w:rFonts w:ascii="Segoe UI" w:eastAsia="Times New Roman" w:hAnsi="Segoe UI" w:cs="Segoe UI"/>
      <w:sz w:val="18"/>
      <w:szCs w:val="18"/>
    </w:rPr>
  </w:style>
  <w:style w:type="paragraph" w:customStyle="1" w:styleId="ListParagraph1">
    <w:name w:val="List Paragraph1"/>
    <w:basedOn w:val="Normal"/>
    <w:uiPriority w:val="34"/>
    <w:qFormat/>
    <w:rsid w:val="002D3DBF"/>
    <w:pPr>
      <w:widowControl/>
      <w:autoSpaceDE/>
      <w:autoSpaceDN/>
      <w:spacing w:after="200" w:line="480" w:lineRule="auto"/>
      <w:ind w:left="720"/>
      <w:contextualSpacing/>
      <w:jc w:val="both"/>
    </w:pPr>
    <w:rPr>
      <w:rFonts w:eastAsia="Calibri"/>
      <w:sz w:val="24"/>
      <w:szCs w:val="24"/>
    </w:rPr>
  </w:style>
  <w:style w:type="paragraph" w:customStyle="1" w:styleId="p15">
    <w:name w:val="p15"/>
    <w:basedOn w:val="Normal"/>
    <w:qFormat/>
    <w:rsid w:val="002D3DBF"/>
    <w:pPr>
      <w:widowControl/>
      <w:autoSpaceDE/>
      <w:autoSpaceDN/>
      <w:spacing w:after="200" w:line="480" w:lineRule="auto"/>
      <w:ind w:left="720"/>
      <w:jc w:val="both"/>
    </w:pPr>
    <w:rPr>
      <w:sz w:val="24"/>
      <w:szCs w:val="24"/>
    </w:rPr>
  </w:style>
  <w:style w:type="character" w:customStyle="1" w:styleId="Heading3Char">
    <w:name w:val="Heading 3 Char"/>
    <w:basedOn w:val="DefaultParagraphFont"/>
    <w:link w:val="Heading3"/>
    <w:uiPriority w:val="99"/>
    <w:rsid w:val="00287768"/>
    <w:rPr>
      <w:rFonts w:ascii="Courier New" w:hAnsi="Courier New" w:cs="Courier New"/>
      <w:b/>
      <w:bCs/>
      <w:color w:val="000000"/>
      <w:sz w:val="26"/>
      <w:szCs w:val="26"/>
    </w:rPr>
  </w:style>
  <w:style w:type="character" w:customStyle="1" w:styleId="Heading5Char">
    <w:name w:val="Heading 5 Char"/>
    <w:basedOn w:val="DefaultParagraphFont"/>
    <w:link w:val="Heading5"/>
    <w:uiPriority w:val="9"/>
    <w:qFormat/>
    <w:rsid w:val="0028776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87768"/>
    <w:rPr>
      <w:rFonts w:ascii="Cambria" w:eastAsia="Cambria" w:hAnsi="Cambria" w:cs="Cambria"/>
      <w:b/>
      <w:bCs/>
      <w:i/>
      <w:iCs/>
    </w:rPr>
  </w:style>
  <w:style w:type="character" w:customStyle="1" w:styleId="Heading2Char">
    <w:name w:val="Heading 2 Char"/>
    <w:basedOn w:val="DefaultParagraphFont"/>
    <w:link w:val="Heading2"/>
    <w:uiPriority w:val="99"/>
    <w:rsid w:val="00287768"/>
    <w:rPr>
      <w:rFonts w:ascii="Times New Roman" w:eastAsia="Times New Roman" w:hAnsi="Times New Roman" w:cs="Times New Roman"/>
      <w:b/>
      <w:bCs/>
      <w:sz w:val="20"/>
      <w:szCs w:val="20"/>
    </w:rPr>
  </w:style>
  <w:style w:type="paragraph" w:styleId="HTMLPreformatted">
    <w:name w:val="HTML Preformatted"/>
    <w:basedOn w:val="Normal"/>
    <w:link w:val="HTMLPreformattedChar"/>
    <w:uiPriority w:val="99"/>
    <w:semiHidden/>
    <w:unhideWhenUsed/>
    <w:rsid w:val="00287768"/>
    <w:pPr>
      <w:widowControl/>
      <w:autoSpaceDE/>
      <w:autoSpaceDN/>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87768"/>
    <w:rPr>
      <w:rFonts w:ascii="Consolas" w:eastAsia="Times New Roman" w:hAnsi="Consolas" w:cs="Times New Roman"/>
      <w:sz w:val="20"/>
      <w:szCs w:val="20"/>
      <w:lang w:val="en"/>
    </w:rPr>
  </w:style>
  <w:style w:type="character" w:customStyle="1" w:styleId="ListParagraphChar">
    <w:name w:val="List Paragraph Char"/>
    <w:aliases w:val="spasi 2 taiiii Char"/>
    <w:link w:val="ListParagraph"/>
    <w:uiPriority w:val="34"/>
    <w:qFormat/>
    <w:rsid w:val="00287768"/>
    <w:rPr>
      <w:rFonts w:ascii="Times New Roman" w:eastAsia="Times New Roman" w:hAnsi="Times New Roman" w:cs="Times New Roman"/>
    </w:rPr>
  </w:style>
  <w:style w:type="character" w:styleId="PlaceholderText">
    <w:name w:val="Placeholder Text"/>
    <w:basedOn w:val="DefaultParagraphFont"/>
    <w:uiPriority w:val="99"/>
    <w:semiHidden/>
    <w:rsid w:val="00287768"/>
    <w:rPr>
      <w:color w:val="808080"/>
    </w:rPr>
  </w:style>
  <w:style w:type="paragraph" w:styleId="Revision">
    <w:name w:val="Revision"/>
    <w:hidden/>
    <w:uiPriority w:val="99"/>
    <w:semiHidden/>
    <w:rsid w:val="00287768"/>
    <w:pPr>
      <w:widowControl/>
      <w:autoSpaceDE/>
      <w:autoSpaceDN/>
    </w:pPr>
  </w:style>
  <w:style w:type="character" w:styleId="CommentReference">
    <w:name w:val="annotation reference"/>
    <w:basedOn w:val="DefaultParagraphFont"/>
    <w:uiPriority w:val="99"/>
    <w:semiHidden/>
    <w:unhideWhenUsed/>
    <w:rsid w:val="00287768"/>
    <w:rPr>
      <w:sz w:val="16"/>
      <w:szCs w:val="16"/>
    </w:rPr>
  </w:style>
  <w:style w:type="paragraph" w:styleId="CommentText">
    <w:name w:val="annotation text"/>
    <w:basedOn w:val="Normal"/>
    <w:link w:val="CommentTextChar"/>
    <w:uiPriority w:val="99"/>
    <w:unhideWhenUsed/>
    <w:rsid w:val="00287768"/>
    <w:pPr>
      <w:widowControl/>
      <w:autoSpaceDE/>
      <w:autoSpaceDN/>
    </w:pPr>
    <w:rPr>
      <w:sz w:val="20"/>
      <w:szCs w:val="20"/>
    </w:rPr>
  </w:style>
  <w:style w:type="character" w:customStyle="1" w:styleId="CommentTextChar">
    <w:name w:val="Comment Text Char"/>
    <w:basedOn w:val="DefaultParagraphFont"/>
    <w:link w:val="CommentText"/>
    <w:uiPriority w:val="99"/>
    <w:rsid w:val="00287768"/>
    <w:rPr>
      <w:rFonts w:ascii="Times New Roman" w:eastAsia="Times New Roman" w:hAnsi="Times New Roman" w:cs="Times New Roman"/>
      <w:sz w:val="20"/>
      <w:szCs w:val="20"/>
      <w:lang w:val="en"/>
    </w:rPr>
  </w:style>
  <w:style w:type="paragraph" w:styleId="CommentSubject">
    <w:name w:val="annotation subject"/>
    <w:basedOn w:val="CommentText"/>
    <w:next w:val="CommentText"/>
    <w:link w:val="CommentSubjectChar"/>
    <w:uiPriority w:val="99"/>
    <w:semiHidden/>
    <w:unhideWhenUsed/>
    <w:rsid w:val="00287768"/>
    <w:rPr>
      <w:b/>
      <w:bCs/>
    </w:rPr>
  </w:style>
  <w:style w:type="character" w:customStyle="1" w:styleId="CommentSubjectChar">
    <w:name w:val="Comment Subject Char"/>
    <w:basedOn w:val="CommentTextChar"/>
    <w:link w:val="CommentSubject"/>
    <w:uiPriority w:val="99"/>
    <w:semiHidden/>
    <w:rsid w:val="00287768"/>
    <w:rPr>
      <w:rFonts w:ascii="Times New Roman" w:eastAsia="Times New Roman" w:hAnsi="Times New Roman" w:cs="Times New Roman"/>
      <w:b/>
      <w:bCs/>
      <w:sz w:val="20"/>
      <w:szCs w:val="20"/>
      <w:lang w:val="en"/>
    </w:rPr>
  </w:style>
  <w:style w:type="paragraph" w:customStyle="1" w:styleId="p0">
    <w:name w:val="p0"/>
    <w:basedOn w:val="Normal"/>
    <w:qFormat/>
    <w:rsid w:val="00287768"/>
    <w:pPr>
      <w:widowControl/>
      <w:autoSpaceDE/>
      <w:autoSpaceDN/>
    </w:pPr>
    <w:rPr>
      <w:sz w:val="21"/>
      <w:szCs w:val="21"/>
    </w:rPr>
  </w:style>
  <w:style w:type="paragraph" w:customStyle="1" w:styleId="ListParagraph3">
    <w:name w:val="List Paragraph3"/>
    <w:basedOn w:val="Normal"/>
    <w:uiPriority w:val="34"/>
    <w:qFormat/>
    <w:rsid w:val="00287768"/>
    <w:pPr>
      <w:widowControl/>
      <w:autoSpaceDE/>
      <w:autoSpaceDN/>
      <w:spacing w:after="200" w:line="276" w:lineRule="auto"/>
      <w:ind w:left="720"/>
      <w:contextualSpacing/>
    </w:pPr>
    <w:rPr>
      <w:rFonts w:ascii="Calibri" w:eastAsia="Calibri" w:hAnsi="Calibri"/>
    </w:rPr>
  </w:style>
  <w:style w:type="numbering" w:customStyle="1" w:styleId="NoList1">
    <w:name w:val="No List1"/>
    <w:next w:val="NoList"/>
    <w:uiPriority w:val="99"/>
    <w:semiHidden/>
    <w:unhideWhenUsed/>
    <w:rsid w:val="00287768"/>
  </w:style>
  <w:style w:type="paragraph" w:customStyle="1" w:styleId="plaintable">
    <w:name w:val="plaintable"/>
    <w:basedOn w:val="Normal"/>
    <w:qFormat/>
    <w:rsid w:val="00287768"/>
    <w:pPr>
      <w:widowControl/>
      <w:autoSpaceDE/>
      <w:autoSpaceDN/>
      <w:spacing w:before="100" w:beforeAutospacing="1" w:after="100" w:afterAutospacing="1"/>
    </w:pPr>
    <w:rPr>
      <w:sz w:val="24"/>
      <w:szCs w:val="24"/>
    </w:rPr>
  </w:style>
  <w:style w:type="paragraph" w:customStyle="1" w:styleId="nopad">
    <w:name w:val="nopad"/>
    <w:basedOn w:val="Normal"/>
    <w:qFormat/>
    <w:rsid w:val="00287768"/>
    <w:pPr>
      <w:widowControl/>
      <w:autoSpaceDE/>
      <w:autoSpaceDN/>
      <w:spacing w:before="100" w:beforeAutospacing="1" w:after="100" w:afterAutospacing="1"/>
    </w:pPr>
    <w:rPr>
      <w:sz w:val="24"/>
      <w:szCs w:val="24"/>
    </w:rPr>
  </w:style>
  <w:style w:type="paragraph" w:customStyle="1" w:styleId="b1">
    <w:name w:val="b1"/>
    <w:basedOn w:val="Normal"/>
    <w:qFormat/>
    <w:rsid w:val="00287768"/>
    <w:pPr>
      <w:widowControl/>
      <w:pBdr>
        <w:bottom w:val="single" w:sz="6" w:space="0" w:color="auto"/>
        <w:right w:val="single" w:sz="6" w:space="0" w:color="auto"/>
      </w:pBdr>
      <w:autoSpaceDE/>
      <w:autoSpaceDN/>
      <w:spacing w:before="100" w:beforeAutospacing="1" w:after="100" w:afterAutospacing="1"/>
    </w:pPr>
    <w:rPr>
      <w:sz w:val="24"/>
      <w:szCs w:val="24"/>
    </w:rPr>
  </w:style>
  <w:style w:type="paragraph" w:customStyle="1" w:styleId="b2">
    <w:name w:val="b2"/>
    <w:basedOn w:val="Normal"/>
    <w:qFormat/>
    <w:rsid w:val="00287768"/>
    <w:pPr>
      <w:widowControl/>
      <w:pBdr>
        <w:bottom w:val="single" w:sz="6" w:space="0" w:color="auto"/>
      </w:pBdr>
      <w:autoSpaceDE/>
      <w:autoSpaceDN/>
      <w:spacing w:before="100" w:beforeAutospacing="1" w:after="100" w:afterAutospacing="1"/>
    </w:pPr>
    <w:rPr>
      <w:sz w:val="24"/>
      <w:szCs w:val="24"/>
    </w:rPr>
  </w:style>
  <w:style w:type="paragraph" w:customStyle="1" w:styleId="b3">
    <w:name w:val="b3"/>
    <w:basedOn w:val="Normal"/>
    <w:qFormat/>
    <w:rsid w:val="00287768"/>
    <w:pPr>
      <w:widowControl/>
      <w:pBdr>
        <w:right w:val="single" w:sz="6" w:space="0" w:color="auto"/>
      </w:pBdr>
      <w:autoSpaceDE/>
      <w:autoSpaceDN/>
      <w:spacing w:before="100" w:beforeAutospacing="1" w:after="100" w:afterAutospacing="1"/>
    </w:pPr>
    <w:rPr>
      <w:sz w:val="24"/>
      <w:szCs w:val="24"/>
    </w:rPr>
  </w:style>
  <w:style w:type="paragraph" w:styleId="NormalWeb">
    <w:name w:val="Normal (Web)"/>
    <w:basedOn w:val="Normal"/>
    <w:uiPriority w:val="99"/>
    <w:unhideWhenUsed/>
    <w:qFormat/>
    <w:rsid w:val="00287768"/>
    <w:pPr>
      <w:widowControl/>
      <w:autoSpaceDE/>
      <w:autoSpaceDN/>
      <w:spacing w:after="200" w:line="276" w:lineRule="auto"/>
    </w:pPr>
    <w:rPr>
      <w:rFonts w:eastAsia="SimSun"/>
      <w:sz w:val="24"/>
      <w:szCs w:val="24"/>
      <w:lang w:eastAsia="zh-CN"/>
    </w:rPr>
  </w:style>
  <w:style w:type="paragraph" w:customStyle="1" w:styleId="ListParagraph2">
    <w:name w:val="List Paragraph2"/>
    <w:basedOn w:val="Normal"/>
    <w:uiPriority w:val="34"/>
    <w:qFormat/>
    <w:rsid w:val="00287768"/>
    <w:pPr>
      <w:widowControl/>
      <w:autoSpaceDE/>
      <w:autoSpaceDN/>
      <w:spacing w:after="200" w:line="276" w:lineRule="auto"/>
      <w:ind w:left="720"/>
      <w:contextualSpacing/>
    </w:pPr>
    <w:rPr>
      <w:rFonts w:ascii="Calibri" w:eastAsia="Calibri" w:hAnsi="Calibri"/>
    </w:rPr>
  </w:style>
  <w:style w:type="numbering" w:customStyle="1" w:styleId="NoList2">
    <w:name w:val="No List2"/>
    <w:next w:val="NoList"/>
    <w:uiPriority w:val="99"/>
    <w:semiHidden/>
    <w:unhideWhenUsed/>
    <w:rsid w:val="00287768"/>
  </w:style>
  <w:style w:type="character" w:styleId="FollowedHyperlink">
    <w:name w:val="FollowedHyperlink"/>
    <w:basedOn w:val="DefaultParagraphFont"/>
    <w:uiPriority w:val="99"/>
    <w:semiHidden/>
    <w:unhideWhenUsed/>
    <w:rsid w:val="00287768"/>
    <w:rPr>
      <w:color w:val="954F72"/>
      <w:u w:val="single"/>
    </w:rPr>
  </w:style>
  <w:style w:type="paragraph" w:customStyle="1" w:styleId="font5">
    <w:name w:val="font5"/>
    <w:basedOn w:val="Normal"/>
    <w:rsid w:val="00287768"/>
    <w:pPr>
      <w:widowControl/>
      <w:autoSpaceDE/>
      <w:autoSpaceDN/>
      <w:spacing w:before="100" w:beforeAutospacing="1" w:after="100" w:afterAutospacing="1"/>
    </w:pPr>
    <w:rPr>
      <w:rFonts w:ascii="Arial" w:hAnsi="Arial" w:cs="Arial"/>
      <w:color w:val="993300"/>
      <w:sz w:val="16"/>
      <w:szCs w:val="16"/>
    </w:rPr>
  </w:style>
  <w:style w:type="paragraph" w:customStyle="1" w:styleId="xl70">
    <w:name w:val="xl70"/>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color w:val="993300"/>
      <w:sz w:val="16"/>
      <w:szCs w:val="16"/>
    </w:rPr>
  </w:style>
  <w:style w:type="paragraph" w:customStyle="1" w:styleId="xl71">
    <w:name w:val="xl71"/>
    <w:basedOn w:val="Normal"/>
    <w:rsid w:val="00287768"/>
    <w:pPr>
      <w:widowControl/>
      <w:autoSpaceDE/>
      <w:autoSpaceDN/>
      <w:spacing w:before="100" w:beforeAutospacing="1" w:after="100" w:afterAutospacing="1"/>
    </w:pPr>
    <w:rPr>
      <w:rFonts w:ascii="Arial" w:hAnsi="Arial" w:cs="Arial"/>
      <w:sz w:val="16"/>
      <w:szCs w:val="16"/>
    </w:rPr>
  </w:style>
  <w:style w:type="paragraph" w:customStyle="1" w:styleId="xl72">
    <w:name w:val="xl72"/>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color w:val="333399"/>
      <w:sz w:val="16"/>
      <w:szCs w:val="16"/>
    </w:rPr>
  </w:style>
  <w:style w:type="paragraph" w:customStyle="1" w:styleId="xl73">
    <w:name w:val="xl73"/>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color w:val="333399"/>
      <w:sz w:val="16"/>
      <w:szCs w:val="16"/>
    </w:rPr>
  </w:style>
  <w:style w:type="paragraph" w:customStyle="1" w:styleId="xl74">
    <w:name w:val="xl74"/>
    <w:basedOn w:val="Normal"/>
    <w:rsid w:val="00287768"/>
    <w:pPr>
      <w:widowControl/>
      <w:pBdr>
        <w:top w:val="single" w:sz="4" w:space="0" w:color="auto"/>
        <w:left w:val="single" w:sz="4" w:space="0" w:color="auto"/>
        <w:bottom w:val="single" w:sz="4" w:space="0" w:color="auto"/>
        <w:right w:val="single" w:sz="4" w:space="0" w:color="auto"/>
      </w:pBdr>
      <w:shd w:val="clear" w:color="000000" w:fill="CCCCFF"/>
      <w:autoSpaceDE/>
      <w:autoSpaceDN/>
      <w:spacing w:before="100" w:beforeAutospacing="1" w:after="100" w:afterAutospacing="1"/>
      <w:textAlignment w:val="top"/>
    </w:pPr>
    <w:rPr>
      <w:rFonts w:ascii="Arial" w:hAnsi="Arial" w:cs="Arial"/>
      <w:color w:val="333399"/>
      <w:sz w:val="16"/>
      <w:szCs w:val="16"/>
    </w:rPr>
  </w:style>
  <w:style w:type="paragraph" w:customStyle="1" w:styleId="xl75">
    <w:name w:val="xl75"/>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color w:val="993300"/>
      <w:sz w:val="16"/>
      <w:szCs w:val="16"/>
    </w:rPr>
  </w:style>
  <w:style w:type="paragraph" w:customStyle="1" w:styleId="xl76">
    <w:name w:val="xl76"/>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color w:val="993300"/>
      <w:sz w:val="16"/>
      <w:szCs w:val="16"/>
    </w:rPr>
  </w:style>
  <w:style w:type="paragraph" w:customStyle="1" w:styleId="xl77">
    <w:name w:val="xl77"/>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color w:val="993300"/>
      <w:sz w:val="16"/>
      <w:szCs w:val="16"/>
    </w:rPr>
  </w:style>
  <w:style w:type="paragraph" w:customStyle="1" w:styleId="xl78">
    <w:name w:val="xl78"/>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hAnsi="Arial" w:cs="Arial"/>
      <w:color w:val="993300"/>
      <w:sz w:val="16"/>
      <w:szCs w:val="16"/>
    </w:rPr>
  </w:style>
  <w:style w:type="paragraph" w:customStyle="1" w:styleId="xl67">
    <w:name w:val="xl67"/>
    <w:basedOn w:val="Normal"/>
    <w:rsid w:val="00287768"/>
    <w:pPr>
      <w:widowControl/>
      <w:autoSpaceDE/>
      <w:autoSpaceDN/>
      <w:spacing w:before="100" w:beforeAutospacing="1" w:after="100" w:afterAutospacing="1"/>
    </w:pPr>
    <w:rPr>
      <w:rFonts w:ascii="Arial" w:hAnsi="Arial" w:cs="Arial"/>
      <w:sz w:val="16"/>
      <w:szCs w:val="16"/>
    </w:rPr>
  </w:style>
  <w:style w:type="paragraph" w:customStyle="1" w:styleId="xl68">
    <w:name w:val="xl68"/>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69">
    <w:name w:val="xl69"/>
    <w:basedOn w:val="Normal"/>
    <w:rsid w:val="0028776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Arial" w:hAnsi="Arial" w:cs="Arial"/>
      <w:sz w:val="16"/>
      <w:szCs w:val="16"/>
    </w:rPr>
  </w:style>
  <w:style w:type="paragraph" w:customStyle="1" w:styleId="msonormal0">
    <w:name w:val="msonormal"/>
    <w:basedOn w:val="Normal"/>
    <w:rsid w:val="00287768"/>
    <w:pPr>
      <w:widowControl/>
      <w:autoSpaceDE/>
      <w:autoSpaceDN/>
      <w:spacing w:before="100" w:beforeAutospacing="1" w:after="100" w:afterAutospacing="1"/>
    </w:pPr>
    <w:rPr>
      <w:sz w:val="24"/>
      <w:szCs w:val="24"/>
      <w:lang w:eastAsia="id-ID"/>
    </w:rPr>
  </w:style>
  <w:style w:type="paragraph" w:customStyle="1" w:styleId="font0">
    <w:name w:val="font0"/>
    <w:basedOn w:val="Normal"/>
    <w:rsid w:val="00287768"/>
    <w:pPr>
      <w:widowControl/>
      <w:autoSpaceDE/>
      <w:autoSpaceDN/>
      <w:spacing w:before="100" w:beforeAutospacing="1" w:after="100" w:afterAutospacing="1"/>
    </w:pPr>
    <w:rPr>
      <w:rFonts w:ascii="Calibri" w:hAnsi="Calibri" w:cs="Calibri"/>
      <w:color w:val="000000"/>
      <w:sz w:val="24"/>
      <w:szCs w:val="24"/>
      <w:lang w:eastAsia="id-ID"/>
    </w:rPr>
  </w:style>
  <w:style w:type="paragraph" w:customStyle="1" w:styleId="font1">
    <w:name w:val="font1"/>
    <w:basedOn w:val="Normal"/>
    <w:rsid w:val="00287768"/>
    <w:pPr>
      <w:widowControl/>
      <w:autoSpaceDE/>
      <w:autoSpaceDN/>
      <w:spacing w:before="100" w:beforeAutospacing="1" w:after="100" w:afterAutospacing="1"/>
    </w:pPr>
    <w:rPr>
      <w:rFonts w:ascii="Arial" w:hAnsi="Arial" w:cs="Arial"/>
      <w:color w:val="000000"/>
      <w:sz w:val="24"/>
      <w:szCs w:val="24"/>
      <w:lang w:eastAsia="id-ID"/>
    </w:rPr>
  </w:style>
  <w:style w:type="paragraph" w:customStyle="1" w:styleId="font2">
    <w:name w:val="font2"/>
    <w:basedOn w:val="Normal"/>
    <w:rsid w:val="00287768"/>
    <w:pPr>
      <w:widowControl/>
      <w:autoSpaceDE/>
      <w:autoSpaceDN/>
      <w:spacing w:before="100" w:beforeAutospacing="1" w:after="100" w:afterAutospacing="1"/>
    </w:pPr>
    <w:rPr>
      <w:rFonts w:ascii="Arial" w:hAnsi="Arial" w:cs="Arial"/>
      <w:b/>
      <w:bCs/>
      <w:color w:val="000000"/>
      <w:sz w:val="24"/>
      <w:szCs w:val="24"/>
      <w:lang w:eastAsia="id-ID"/>
    </w:rPr>
  </w:style>
  <w:style w:type="paragraph" w:customStyle="1" w:styleId="font3">
    <w:name w:val="font3"/>
    <w:basedOn w:val="Normal"/>
    <w:rsid w:val="00287768"/>
    <w:pPr>
      <w:widowControl/>
      <w:autoSpaceDE/>
      <w:autoSpaceDN/>
      <w:spacing w:before="100" w:beforeAutospacing="1" w:after="100" w:afterAutospacing="1"/>
    </w:pPr>
    <w:rPr>
      <w:rFonts w:ascii="Arial" w:hAnsi="Arial" w:cs="Arial"/>
      <w:color w:val="000000"/>
      <w:sz w:val="24"/>
      <w:szCs w:val="24"/>
      <w:lang w:eastAsia="id-ID"/>
    </w:rPr>
  </w:style>
  <w:style w:type="paragraph" w:customStyle="1" w:styleId="font4">
    <w:name w:val="font4"/>
    <w:basedOn w:val="Normal"/>
    <w:rsid w:val="00287768"/>
    <w:pPr>
      <w:widowControl/>
      <w:autoSpaceDE/>
      <w:autoSpaceDN/>
      <w:spacing w:before="100" w:beforeAutospacing="1" w:after="100" w:afterAutospacing="1"/>
    </w:pPr>
    <w:rPr>
      <w:rFonts w:ascii="Arial" w:hAnsi="Arial" w:cs="Arial"/>
      <w:color w:val="000000"/>
      <w:sz w:val="24"/>
      <w:szCs w:val="24"/>
      <w:vertAlign w:val="superscript"/>
      <w:lang w:eastAsia="id-ID"/>
    </w:rPr>
  </w:style>
  <w:style w:type="paragraph" w:customStyle="1" w:styleId="et3">
    <w:name w:val="et3"/>
    <w:basedOn w:val="Normal"/>
    <w:rsid w:val="00287768"/>
    <w:pPr>
      <w:widowControl/>
      <w:autoSpaceDE/>
      <w:autoSpaceDN/>
      <w:spacing w:before="100" w:beforeAutospacing="1" w:after="100" w:afterAutospacing="1"/>
    </w:pPr>
    <w:rPr>
      <w:rFonts w:ascii="Arial" w:hAnsi="Arial" w:cs="Arial"/>
      <w:sz w:val="24"/>
      <w:szCs w:val="24"/>
      <w:lang w:eastAsia="id-ID"/>
    </w:rPr>
  </w:style>
  <w:style w:type="paragraph" w:customStyle="1" w:styleId="et4">
    <w:name w:val="et4"/>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Arial" w:hAnsi="Arial" w:cs="Arial"/>
      <w:b/>
      <w:bCs/>
      <w:sz w:val="24"/>
      <w:szCs w:val="24"/>
      <w:lang w:eastAsia="id-ID"/>
    </w:rPr>
  </w:style>
  <w:style w:type="paragraph" w:customStyle="1" w:styleId="et5">
    <w:name w:val="et5"/>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pPr>
    <w:rPr>
      <w:rFonts w:ascii="Arial" w:hAnsi="Arial" w:cs="Arial"/>
      <w:sz w:val="24"/>
      <w:szCs w:val="24"/>
      <w:lang w:eastAsia="id-ID"/>
    </w:rPr>
  </w:style>
  <w:style w:type="paragraph" w:customStyle="1" w:styleId="et6">
    <w:name w:val="et6"/>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Arial" w:hAnsi="Arial" w:cs="Arial"/>
      <w:sz w:val="24"/>
      <w:szCs w:val="24"/>
      <w:lang w:eastAsia="id-ID"/>
    </w:rPr>
  </w:style>
  <w:style w:type="paragraph" w:customStyle="1" w:styleId="et7">
    <w:name w:val="et7"/>
    <w:basedOn w:val="Normal"/>
    <w:rsid w:val="00287768"/>
    <w:pPr>
      <w:widowControl/>
      <w:pBdr>
        <w:top w:val="single" w:sz="4" w:space="0" w:color="000000"/>
        <w:left w:val="single" w:sz="4" w:space="0" w:color="000000"/>
        <w:bottom w:val="single" w:sz="4" w:space="0" w:color="000000"/>
        <w:right w:val="single" w:sz="4" w:space="0" w:color="000000"/>
      </w:pBdr>
      <w:shd w:val="clear" w:color="auto" w:fill="E7E6E6"/>
      <w:autoSpaceDE/>
      <w:autoSpaceDN/>
      <w:spacing w:before="100" w:beforeAutospacing="1" w:after="100" w:afterAutospacing="1"/>
      <w:textAlignment w:val="top"/>
    </w:pPr>
    <w:rPr>
      <w:rFonts w:ascii="Arial" w:hAnsi="Arial" w:cs="Arial"/>
      <w:sz w:val="24"/>
      <w:szCs w:val="24"/>
      <w:lang w:eastAsia="id-ID"/>
    </w:rPr>
  </w:style>
  <w:style w:type="paragraph" w:customStyle="1" w:styleId="et8">
    <w:name w:val="et8"/>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sz w:val="24"/>
      <w:szCs w:val="24"/>
      <w:lang w:eastAsia="id-ID"/>
    </w:rPr>
  </w:style>
  <w:style w:type="paragraph" w:customStyle="1" w:styleId="et9">
    <w:name w:val="et9"/>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sz w:val="24"/>
      <w:szCs w:val="24"/>
      <w:lang w:eastAsia="id-ID"/>
    </w:rPr>
  </w:style>
  <w:style w:type="paragraph" w:customStyle="1" w:styleId="et10">
    <w:name w:val="et10"/>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top"/>
    </w:pPr>
    <w:rPr>
      <w:rFonts w:ascii="Arial" w:hAnsi="Arial" w:cs="Arial"/>
      <w:sz w:val="24"/>
      <w:szCs w:val="24"/>
      <w:lang w:eastAsia="id-ID"/>
    </w:rPr>
  </w:style>
  <w:style w:type="paragraph" w:customStyle="1" w:styleId="et11">
    <w:name w:val="et11"/>
    <w:basedOn w:val="Normal"/>
    <w:rsid w:val="00287768"/>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textAlignment w:val="top"/>
    </w:pPr>
    <w:rPr>
      <w:rFonts w:ascii="Arial" w:hAnsi="Arial" w:cs="Arial"/>
      <w:sz w:val="24"/>
      <w:szCs w:val="24"/>
      <w:lang w:eastAsia="id-ID"/>
    </w:rPr>
  </w:style>
  <w:style w:type="character" w:customStyle="1" w:styleId="font11">
    <w:name w:val="font11"/>
    <w:basedOn w:val="DefaultParagraphFont"/>
    <w:rsid w:val="00287768"/>
    <w:rPr>
      <w:rFonts w:ascii="Arial" w:hAnsi="Arial" w:cs="Arial" w:hint="default"/>
      <w:b w:val="0"/>
      <w:bCs w:val="0"/>
      <w:i w:val="0"/>
      <w:iCs w:val="0"/>
      <w:strike w:val="0"/>
      <w:dstrike w:val="0"/>
      <w:color w:val="000000"/>
      <w:u w:val="none"/>
      <w:effect w:val="none"/>
    </w:rPr>
  </w:style>
  <w:style w:type="character" w:customStyle="1" w:styleId="font41">
    <w:name w:val="font41"/>
    <w:basedOn w:val="DefaultParagraphFont"/>
    <w:rsid w:val="00287768"/>
    <w:rPr>
      <w:rFonts w:ascii="Arial" w:hAnsi="Arial" w:cs="Arial" w:hint="default"/>
      <w:b w:val="0"/>
      <w:bCs w:val="0"/>
      <w:i w:val="0"/>
      <w:iCs w:val="0"/>
      <w:strike w:val="0"/>
      <w:dstrike w:val="0"/>
      <w:color w:val="000000"/>
      <w:u w:val="none"/>
      <w:effect w:val="none"/>
      <w:vertAlign w:val="superscript"/>
    </w:rPr>
  </w:style>
  <w:style w:type="character" w:customStyle="1" w:styleId="BodyTextChar">
    <w:name w:val="Body Text Char"/>
    <w:basedOn w:val="DefaultParagraphFont"/>
    <w:link w:val="BodyText"/>
    <w:uiPriority w:val="1"/>
    <w:rsid w:val="00287768"/>
    <w:rPr>
      <w:rFonts w:ascii="Times New Roman" w:eastAsia="Times New Roman" w:hAnsi="Times New Roman" w:cs="Times New Roman"/>
      <w:sz w:val="20"/>
      <w:szCs w:val="20"/>
    </w:rPr>
  </w:style>
  <w:style w:type="table" w:styleId="TableGridLight">
    <w:name w:val="Grid Table Light"/>
    <w:basedOn w:val="TableNormal"/>
    <w:uiPriority w:val="40"/>
    <w:rsid w:val="008A3DF2"/>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8A3DF2"/>
    <w:pPr>
      <w:widowControl/>
      <w:autoSpaceDE/>
      <w:autoSpaceDN/>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8A3D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DF2"/>
    <w:rPr>
      <w:rFonts w:asciiTheme="majorHAnsi" w:eastAsiaTheme="majorEastAsia" w:hAnsiTheme="majorHAnsi" w:cstheme="majorBidi"/>
      <w:spacing w:val="-10"/>
      <w:kern w:val="28"/>
      <w:sz w:val="56"/>
      <w:szCs w:val="56"/>
    </w:rPr>
  </w:style>
  <w:style w:type="paragraph" w:styleId="NoSpacing">
    <w:name w:val="No Spacing"/>
    <w:uiPriority w:val="1"/>
    <w:qFormat/>
    <w:rsid w:val="008A3DF2"/>
    <w:pPr>
      <w:widowControl/>
      <w:autoSpaceDE/>
      <w:autoSpaceDN/>
    </w:pPr>
    <w:rPr>
      <w:rFonts w:ascii="Calibri" w:eastAsia="Times New Roman" w:hAnsi="Calibri" w:cs="Times New Roman"/>
    </w:rPr>
  </w:style>
  <w:style w:type="character" w:styleId="Strong">
    <w:name w:val="Strong"/>
    <w:basedOn w:val="DefaultParagraphFont"/>
    <w:uiPriority w:val="22"/>
    <w:qFormat/>
    <w:rsid w:val="008A3DF2"/>
    <w:rPr>
      <w:b/>
      <w:bCs/>
    </w:rPr>
  </w:style>
  <w:style w:type="paragraph" w:customStyle="1" w:styleId="xl66">
    <w:name w:val="xl66"/>
    <w:basedOn w:val="Normal"/>
    <w:rsid w:val="008A3DF2"/>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51374">
      <w:bodyDiv w:val="1"/>
      <w:marLeft w:val="0"/>
      <w:marRight w:val="0"/>
      <w:marTop w:val="0"/>
      <w:marBottom w:val="0"/>
      <w:divBdr>
        <w:top w:val="none" w:sz="0" w:space="0" w:color="auto"/>
        <w:left w:val="none" w:sz="0" w:space="0" w:color="auto"/>
        <w:bottom w:val="none" w:sz="0" w:space="0" w:color="auto"/>
        <w:right w:val="none" w:sz="0" w:space="0" w:color="auto"/>
      </w:divBdr>
    </w:div>
    <w:div w:id="2128621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70471/t9way4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F7D30F-8460-467C-9AD7-9E17AB6EC82A}" type="doc">
      <dgm:prSet loTypeId="urn:microsoft.com/office/officeart/2005/8/layout/hierarchy5" loCatId="hierarchy" qsTypeId="urn:microsoft.com/office/officeart/2005/8/quickstyle/simple1" qsCatId="simple" csTypeId="urn:microsoft.com/office/officeart/2005/8/colors/accent0_3" csCatId="mainScheme" phldr="1"/>
      <dgm:spPr/>
      <dgm:t>
        <a:bodyPr/>
        <a:lstStyle/>
        <a:p>
          <a:endParaRPr lang="id-ID"/>
        </a:p>
      </dgm:t>
    </dgm:pt>
    <dgm:pt modelId="{46A8532E-56A9-41E2-86C5-791DD02FDD51}">
      <dgm:prSet phldrT="[Teks]"/>
      <dgm:spPr/>
      <dgm:t>
        <a:bodyPr/>
        <a:lstStyle/>
        <a:p>
          <a:r>
            <a:rPr lang="en"/>
            <a:t>Poverty Level</a:t>
          </a:r>
          <a:endParaRPr lang="id-ID"/>
        </a:p>
      </dgm:t>
    </dgm:pt>
    <dgm:pt modelId="{68B0F99E-C91B-49B4-85A7-2C2917FAA504}" type="parTrans" cxnId="{82529B9B-C209-42FF-A8CF-28FC8D72474D}">
      <dgm:prSet/>
      <dgm:spPr/>
      <dgm:t>
        <a:bodyPr/>
        <a:lstStyle/>
        <a:p>
          <a:endParaRPr lang="id-ID"/>
        </a:p>
      </dgm:t>
    </dgm:pt>
    <dgm:pt modelId="{A8970D2E-FCD3-4A75-B8CB-0F4D5F298DF0}" type="sibTrans" cxnId="{82529B9B-C209-42FF-A8CF-28FC8D72474D}">
      <dgm:prSet/>
      <dgm:spPr/>
      <dgm:t>
        <a:bodyPr/>
        <a:lstStyle/>
        <a:p>
          <a:endParaRPr lang="id-ID"/>
        </a:p>
      </dgm:t>
    </dgm:pt>
    <dgm:pt modelId="{FE39D46D-04F8-4FD7-AA69-1CBC359A007E}">
      <dgm:prSet phldrT="[Teks]"/>
      <dgm:spPr/>
      <dgm:t>
        <a:bodyPr/>
        <a:lstStyle/>
        <a:p>
          <a:r>
            <a:rPr lang="en"/>
            <a:t>Accountability Level</a:t>
          </a:r>
          <a:endParaRPr lang="id-ID"/>
        </a:p>
      </dgm:t>
    </dgm:pt>
    <dgm:pt modelId="{C9CD36CC-2755-4F91-A889-319B451A9B3F}" type="parTrans" cxnId="{98BFD36C-4DC0-4429-A3D6-0CE2D5A87B2D}">
      <dgm:prSet/>
      <dgm:spPr/>
      <dgm:t>
        <a:bodyPr/>
        <a:lstStyle/>
        <a:p>
          <a:endParaRPr lang="id-ID"/>
        </a:p>
      </dgm:t>
    </dgm:pt>
    <dgm:pt modelId="{5353A5C6-1F7E-4A9F-9E0B-337DE251F739}" type="sibTrans" cxnId="{98BFD36C-4DC0-4429-A3D6-0CE2D5A87B2D}">
      <dgm:prSet/>
      <dgm:spPr/>
      <dgm:t>
        <a:bodyPr/>
        <a:lstStyle/>
        <a:p>
          <a:endParaRPr lang="id-ID"/>
        </a:p>
      </dgm:t>
    </dgm:pt>
    <dgm:pt modelId="{CC92630A-7FDF-407D-A0A0-9D7A2231E683}">
      <dgm:prSet phldrT="[Teks]"/>
      <dgm:spPr/>
      <dgm:t>
        <a:bodyPr/>
        <a:lstStyle/>
        <a:p>
          <a:r>
            <a:rPr lang="en"/>
            <a:t>Accountability Level</a:t>
          </a:r>
          <a:endParaRPr lang="id-ID"/>
        </a:p>
      </dgm:t>
    </dgm:pt>
    <dgm:pt modelId="{41CD1B78-79BA-4422-A9BC-37B8EC1544B8}" type="parTrans" cxnId="{2470F180-4446-4ADC-A9B3-3BFA0FA6EE4B}">
      <dgm:prSet/>
      <dgm:spPr/>
      <dgm:t>
        <a:bodyPr/>
        <a:lstStyle/>
        <a:p>
          <a:endParaRPr lang="id-ID"/>
        </a:p>
      </dgm:t>
    </dgm:pt>
    <dgm:pt modelId="{22616C6B-A868-40EB-84F4-8F8A60234A99}" type="sibTrans" cxnId="{2470F180-4446-4ADC-A9B3-3BFA0FA6EE4B}">
      <dgm:prSet/>
      <dgm:spPr/>
      <dgm:t>
        <a:bodyPr/>
        <a:lstStyle/>
        <a:p>
          <a:endParaRPr lang="id-ID"/>
        </a:p>
      </dgm:t>
    </dgm:pt>
    <dgm:pt modelId="{5D9EE86B-2F39-4455-9AFC-223CBC43D119}">
      <dgm:prSet phldrT="[Teks]"/>
      <dgm:spPr/>
      <dgm:t>
        <a:bodyPr/>
        <a:lstStyle/>
        <a:p>
          <a:r>
            <a:rPr lang="en"/>
            <a:t>Direct Influence</a:t>
          </a:r>
          <a:endParaRPr lang="id-ID"/>
        </a:p>
      </dgm:t>
    </dgm:pt>
    <dgm:pt modelId="{698419DD-375B-423C-9CEE-89F778ABC00D}" type="sibTrans" cxnId="{F63DDED0-2E21-47AF-9C17-7873FB710EC0}">
      <dgm:prSet/>
      <dgm:spPr/>
      <dgm:t>
        <a:bodyPr/>
        <a:lstStyle/>
        <a:p>
          <a:endParaRPr lang="id-ID"/>
        </a:p>
      </dgm:t>
    </dgm:pt>
    <dgm:pt modelId="{CFE12F6D-15A3-410E-842D-E9590B2AAE6A}" type="parTrans" cxnId="{F63DDED0-2E21-47AF-9C17-7873FB710EC0}">
      <dgm:prSet/>
      <dgm:spPr/>
      <dgm:t>
        <a:bodyPr/>
        <a:lstStyle/>
        <a:p>
          <a:endParaRPr lang="id-ID"/>
        </a:p>
      </dgm:t>
    </dgm:pt>
    <dgm:pt modelId="{FE697613-E444-4C1D-A902-501A55792681}">
      <dgm:prSet phldrT="[Teks]"/>
      <dgm:spPr/>
      <dgm:t>
        <a:bodyPr/>
        <a:lstStyle/>
        <a:p>
          <a:r>
            <a:rPr lang="en"/>
            <a:t>Moderation of Economic Growth</a:t>
          </a:r>
          <a:endParaRPr lang="id-ID"/>
        </a:p>
      </dgm:t>
    </dgm:pt>
    <dgm:pt modelId="{921E38A9-EA92-4E2A-A9F3-AB5FFBA48BB2}" type="sibTrans" cxnId="{E6CC31FE-AA9C-424D-80BA-B7E5DDBE369B}">
      <dgm:prSet/>
      <dgm:spPr/>
      <dgm:t>
        <a:bodyPr/>
        <a:lstStyle/>
        <a:p>
          <a:endParaRPr lang="id-ID"/>
        </a:p>
      </dgm:t>
    </dgm:pt>
    <dgm:pt modelId="{8200EA1A-2997-458C-84AE-2DCAE1278FAD}" type="parTrans" cxnId="{E6CC31FE-AA9C-424D-80BA-B7E5DDBE369B}">
      <dgm:prSet/>
      <dgm:spPr/>
      <dgm:t>
        <a:bodyPr/>
        <a:lstStyle/>
        <a:p>
          <a:endParaRPr lang="id-ID"/>
        </a:p>
      </dgm:t>
    </dgm:pt>
    <dgm:pt modelId="{99E18B7B-A074-41B4-AB66-609A9AB1F37B}">
      <dgm:prSet phldrT="[Teks]"/>
      <dgm:spPr>
        <a:solidFill>
          <a:schemeClr val="bg1"/>
        </a:solidFill>
      </dgm:spPr>
      <dgm:t>
        <a:bodyPr/>
        <a:lstStyle/>
        <a:p>
          <a:r>
            <a:rPr lang="en">
              <a:solidFill>
                <a:schemeClr val="bg1"/>
              </a:solidFill>
            </a:rPr>
            <a:t>a A</a:t>
          </a:r>
          <a:endParaRPr lang="id-ID">
            <a:solidFill>
              <a:schemeClr val="bg1"/>
            </a:solidFill>
          </a:endParaRPr>
        </a:p>
      </dgm:t>
    </dgm:pt>
    <dgm:pt modelId="{2CDFBF05-2B68-4D11-95D9-802BB1A4E18B}" type="sibTrans" cxnId="{1CB425D8-0DEE-4EFF-A69D-27EF7CF4F061}">
      <dgm:prSet/>
      <dgm:spPr/>
      <dgm:t>
        <a:bodyPr/>
        <a:lstStyle/>
        <a:p>
          <a:endParaRPr lang="id-ID"/>
        </a:p>
      </dgm:t>
    </dgm:pt>
    <dgm:pt modelId="{44E4C3CD-43CA-4ED5-952E-7BEC58925196}" type="parTrans" cxnId="{1CB425D8-0DEE-4EFF-A69D-27EF7CF4F061}">
      <dgm:prSet/>
      <dgm:spPr/>
      <dgm:t>
        <a:bodyPr/>
        <a:lstStyle/>
        <a:p>
          <a:endParaRPr lang="id-ID"/>
        </a:p>
      </dgm:t>
    </dgm:pt>
    <dgm:pt modelId="{43D80D4B-0160-4ADA-8C46-9267A0988DA8}">
      <dgm:prSet phldrT="[Teks]"/>
      <dgm:spPr/>
      <dgm:t>
        <a:bodyPr/>
        <a:lstStyle/>
        <a:p>
          <a:r>
            <a:rPr lang="en"/>
            <a:t>Economic growth</a:t>
          </a:r>
          <a:endParaRPr lang="id-ID"/>
        </a:p>
      </dgm:t>
    </dgm:pt>
    <dgm:pt modelId="{F84F1F3B-FDF4-43B9-A554-24F1DCF6BF3D}" type="parTrans" cxnId="{543A296E-BF53-4490-8DD9-0ED43BB4DDD4}">
      <dgm:prSet/>
      <dgm:spPr/>
      <dgm:t>
        <a:bodyPr/>
        <a:lstStyle/>
        <a:p>
          <a:endParaRPr lang="id-ID"/>
        </a:p>
      </dgm:t>
    </dgm:pt>
    <dgm:pt modelId="{D00F22CC-41F4-42CA-864A-D267F0DAC91C}" type="sibTrans" cxnId="{543A296E-BF53-4490-8DD9-0ED43BB4DDD4}">
      <dgm:prSet/>
      <dgm:spPr/>
      <dgm:t>
        <a:bodyPr/>
        <a:lstStyle/>
        <a:p>
          <a:endParaRPr lang="id-ID"/>
        </a:p>
      </dgm:t>
    </dgm:pt>
    <dgm:pt modelId="{EBB1C71F-E4F0-4B3F-AE2E-DF1A7B0D9088}">
      <dgm:prSet phldrT="[Teks]"/>
      <dgm:spPr/>
      <dgm:t>
        <a:bodyPr/>
        <a:lstStyle/>
        <a:p>
          <a:r>
            <a:rPr lang="en"/>
            <a:t>Financial performance</a:t>
          </a:r>
          <a:endParaRPr lang="id-ID"/>
        </a:p>
      </dgm:t>
    </dgm:pt>
    <dgm:pt modelId="{E0A59968-37D0-488A-B04F-F6DDF8AED77C}" type="sibTrans" cxnId="{4DE90F7A-CD0F-439D-99BE-7B5CB7E04995}">
      <dgm:prSet/>
      <dgm:spPr/>
      <dgm:t>
        <a:bodyPr/>
        <a:lstStyle/>
        <a:p>
          <a:endParaRPr lang="id-ID"/>
        </a:p>
      </dgm:t>
    </dgm:pt>
    <dgm:pt modelId="{EF11E8BE-C938-4FA9-BE10-255DEEAC706A}" type="parTrans" cxnId="{4DE90F7A-CD0F-439D-99BE-7B5CB7E04995}">
      <dgm:prSet/>
      <dgm:spPr/>
      <dgm:t>
        <a:bodyPr/>
        <a:lstStyle/>
        <a:p>
          <a:endParaRPr lang="id-ID"/>
        </a:p>
      </dgm:t>
    </dgm:pt>
    <dgm:pt modelId="{7A5CCDB5-2DE0-4AEF-A85C-68AC9021F172}">
      <dgm:prSet phldrT="[Teks]"/>
      <dgm:spPr/>
      <dgm:t>
        <a:bodyPr/>
        <a:lstStyle/>
        <a:p>
          <a:r>
            <a:rPr lang="en"/>
            <a:t>Financial performance</a:t>
          </a:r>
          <a:endParaRPr lang="id-ID"/>
        </a:p>
      </dgm:t>
    </dgm:pt>
    <dgm:pt modelId="{705D512D-E5E2-489C-AD97-843C243D9F93}" type="parTrans" cxnId="{2560863F-0C9B-445E-80AE-B8599D0E31B3}">
      <dgm:prSet/>
      <dgm:spPr/>
      <dgm:t>
        <a:bodyPr/>
        <a:lstStyle/>
        <a:p>
          <a:endParaRPr lang="id-ID"/>
        </a:p>
      </dgm:t>
    </dgm:pt>
    <dgm:pt modelId="{964986F9-E3C4-414C-8D3F-657D89790056}" type="sibTrans" cxnId="{2560863F-0C9B-445E-80AE-B8599D0E31B3}">
      <dgm:prSet/>
      <dgm:spPr/>
      <dgm:t>
        <a:bodyPr/>
        <a:lstStyle/>
        <a:p>
          <a:endParaRPr lang="id-ID"/>
        </a:p>
      </dgm:t>
    </dgm:pt>
    <dgm:pt modelId="{C57871F5-3776-4D9C-AB71-2356ED233EFD}">
      <dgm:prSet phldrT="[Teks]"/>
      <dgm:spPr/>
      <dgm:t>
        <a:bodyPr/>
        <a:lstStyle/>
        <a:p>
          <a:r>
            <a:rPr lang="en"/>
            <a:t>Financial Transparency</a:t>
          </a:r>
          <a:endParaRPr lang="id-ID"/>
        </a:p>
      </dgm:t>
    </dgm:pt>
    <dgm:pt modelId="{129C84E8-10E4-45A0-8601-250EEAEFBE29}" type="parTrans" cxnId="{3B135507-6DA2-4C17-80A4-E8DB1F305746}">
      <dgm:prSet/>
      <dgm:spPr/>
      <dgm:t>
        <a:bodyPr/>
        <a:lstStyle/>
        <a:p>
          <a:endParaRPr lang="id-ID"/>
        </a:p>
      </dgm:t>
    </dgm:pt>
    <dgm:pt modelId="{509169E6-8B1A-48FA-BCC3-A1B84522DCD3}" type="sibTrans" cxnId="{3B135507-6DA2-4C17-80A4-E8DB1F305746}">
      <dgm:prSet/>
      <dgm:spPr/>
      <dgm:t>
        <a:bodyPr/>
        <a:lstStyle/>
        <a:p>
          <a:endParaRPr lang="id-ID"/>
        </a:p>
      </dgm:t>
    </dgm:pt>
    <dgm:pt modelId="{5695D144-90A1-42EA-87FF-B579841C24B4}">
      <dgm:prSet phldrT="[Teks]"/>
      <dgm:spPr/>
      <dgm:t>
        <a:bodyPr/>
        <a:lstStyle/>
        <a:p>
          <a:r>
            <a:rPr lang="en"/>
            <a:t>Financial Transparency</a:t>
          </a:r>
          <a:endParaRPr lang="id-ID"/>
        </a:p>
      </dgm:t>
    </dgm:pt>
    <dgm:pt modelId="{D8D95136-4E2F-4498-90F5-BE69D3DB814D}" type="parTrans" cxnId="{4F50F4EE-D04B-44CA-B3EB-87BB1A9E8B23}">
      <dgm:prSet/>
      <dgm:spPr/>
      <dgm:t>
        <a:bodyPr/>
        <a:lstStyle/>
        <a:p>
          <a:endParaRPr lang="id-ID"/>
        </a:p>
      </dgm:t>
    </dgm:pt>
    <dgm:pt modelId="{06F88C59-F3E0-4DF2-875A-690B5820C6B6}" type="sibTrans" cxnId="{4F50F4EE-D04B-44CA-B3EB-87BB1A9E8B23}">
      <dgm:prSet/>
      <dgm:spPr/>
      <dgm:t>
        <a:bodyPr/>
        <a:lstStyle/>
        <a:p>
          <a:endParaRPr lang="id-ID"/>
        </a:p>
      </dgm:t>
    </dgm:pt>
    <dgm:pt modelId="{D5E342C3-17C9-4354-A2E0-D926CDC59ABB}" type="pres">
      <dgm:prSet presAssocID="{A3F7D30F-8460-467C-9AD7-9E17AB6EC82A}" presName="mainComposite" presStyleCnt="0">
        <dgm:presLayoutVars>
          <dgm:chPref val="1"/>
          <dgm:dir/>
          <dgm:animOne val="branch"/>
          <dgm:animLvl val="lvl"/>
          <dgm:resizeHandles val="exact"/>
        </dgm:presLayoutVars>
      </dgm:prSet>
      <dgm:spPr/>
    </dgm:pt>
    <dgm:pt modelId="{A66833F9-7E58-4A22-8C9C-BA8A4A859756}" type="pres">
      <dgm:prSet presAssocID="{A3F7D30F-8460-467C-9AD7-9E17AB6EC82A}" presName="hierFlow" presStyleCnt="0"/>
      <dgm:spPr/>
    </dgm:pt>
    <dgm:pt modelId="{8D6B1C04-3E0D-4342-99F4-B91A92CFB7BB}" type="pres">
      <dgm:prSet presAssocID="{A3F7D30F-8460-467C-9AD7-9E17AB6EC82A}" presName="firstBuf" presStyleCnt="0"/>
      <dgm:spPr/>
    </dgm:pt>
    <dgm:pt modelId="{C3A278A8-7FB9-4F51-920E-0F823FB5CCA8}" type="pres">
      <dgm:prSet presAssocID="{A3F7D30F-8460-467C-9AD7-9E17AB6EC82A}" presName="hierChild1" presStyleCnt="0">
        <dgm:presLayoutVars>
          <dgm:chPref val="1"/>
          <dgm:animOne val="branch"/>
          <dgm:animLvl val="lvl"/>
        </dgm:presLayoutVars>
      </dgm:prSet>
      <dgm:spPr/>
    </dgm:pt>
    <dgm:pt modelId="{64680682-7E76-4D3B-BAC4-9A8E2E3927FA}" type="pres">
      <dgm:prSet presAssocID="{46A8532E-56A9-41E2-86C5-791DD02FDD51}" presName="Name17" presStyleCnt="0"/>
      <dgm:spPr/>
    </dgm:pt>
    <dgm:pt modelId="{1EC88B3B-7E18-4AF7-9EE3-F0F21C7F85CC}" type="pres">
      <dgm:prSet presAssocID="{46A8532E-56A9-41E2-86C5-791DD02FDD51}" presName="level1Shape" presStyleLbl="node0" presStyleIdx="0" presStyleCnt="1">
        <dgm:presLayoutVars>
          <dgm:chPref val="3"/>
        </dgm:presLayoutVars>
      </dgm:prSet>
      <dgm:spPr/>
    </dgm:pt>
    <dgm:pt modelId="{E89A974F-6544-49F5-96C6-BBF6E7E96FC7}" type="pres">
      <dgm:prSet presAssocID="{46A8532E-56A9-41E2-86C5-791DD02FDD51}" presName="hierChild2" presStyleCnt="0"/>
      <dgm:spPr/>
    </dgm:pt>
    <dgm:pt modelId="{21888ACE-5996-4A4F-8FFA-E49E0CB769F5}" type="pres">
      <dgm:prSet presAssocID="{C9CD36CC-2755-4F91-A889-319B451A9B3F}" presName="Name25" presStyleLbl="parChTrans1D2" presStyleIdx="0" presStyleCnt="4"/>
      <dgm:spPr/>
    </dgm:pt>
    <dgm:pt modelId="{C23C73E7-06B7-4792-A49C-022CDFF41D3E}" type="pres">
      <dgm:prSet presAssocID="{C9CD36CC-2755-4F91-A889-319B451A9B3F}" presName="connTx" presStyleLbl="parChTrans1D2" presStyleIdx="0" presStyleCnt="4"/>
      <dgm:spPr/>
    </dgm:pt>
    <dgm:pt modelId="{EA813806-2017-4389-8AFC-019251DE71F1}" type="pres">
      <dgm:prSet presAssocID="{FE39D46D-04F8-4FD7-AA69-1CBC359A007E}" presName="Name30" presStyleCnt="0"/>
      <dgm:spPr/>
    </dgm:pt>
    <dgm:pt modelId="{1B47C3D4-0FB6-4411-A8A6-D2F85C1FD302}" type="pres">
      <dgm:prSet presAssocID="{FE39D46D-04F8-4FD7-AA69-1CBC359A007E}" presName="level2Shape" presStyleLbl="node2" presStyleIdx="0" presStyleCnt="4"/>
      <dgm:spPr/>
    </dgm:pt>
    <dgm:pt modelId="{4ACA3D71-2593-4D7D-9F08-8250544EABF9}" type="pres">
      <dgm:prSet presAssocID="{FE39D46D-04F8-4FD7-AA69-1CBC359A007E}" presName="hierChild3" presStyleCnt="0"/>
      <dgm:spPr/>
    </dgm:pt>
    <dgm:pt modelId="{6D6E3B8B-CC7C-40AE-BF91-3A8D576D1B8B}" type="pres">
      <dgm:prSet presAssocID="{EF11E8BE-C938-4FA9-BE10-255DEEAC706A}" presName="Name25" presStyleLbl="parChTrans1D2" presStyleIdx="1" presStyleCnt="4"/>
      <dgm:spPr/>
    </dgm:pt>
    <dgm:pt modelId="{6FBCB5CC-3388-436E-8639-47391375B455}" type="pres">
      <dgm:prSet presAssocID="{EF11E8BE-C938-4FA9-BE10-255DEEAC706A}" presName="connTx" presStyleLbl="parChTrans1D2" presStyleIdx="1" presStyleCnt="4"/>
      <dgm:spPr/>
    </dgm:pt>
    <dgm:pt modelId="{2EEB070B-7B9B-47F1-A265-9A0AE1F1F404}" type="pres">
      <dgm:prSet presAssocID="{EBB1C71F-E4F0-4B3F-AE2E-DF1A7B0D9088}" presName="Name30" presStyleCnt="0"/>
      <dgm:spPr/>
    </dgm:pt>
    <dgm:pt modelId="{86313D10-37CE-4E9A-B7D8-65C12152CDB0}" type="pres">
      <dgm:prSet presAssocID="{EBB1C71F-E4F0-4B3F-AE2E-DF1A7B0D9088}" presName="level2Shape" presStyleLbl="node2" presStyleIdx="1" presStyleCnt="4"/>
      <dgm:spPr/>
    </dgm:pt>
    <dgm:pt modelId="{CCA354DF-599B-4FE4-9501-E6970C5E4DF6}" type="pres">
      <dgm:prSet presAssocID="{EBB1C71F-E4F0-4B3F-AE2E-DF1A7B0D9088}" presName="hierChild3" presStyleCnt="0"/>
      <dgm:spPr/>
    </dgm:pt>
    <dgm:pt modelId="{96E4E61D-0478-497A-8521-162F6AFFC002}" type="pres">
      <dgm:prSet presAssocID="{F84F1F3B-FDF4-43B9-A554-24F1DCF6BF3D}" presName="Name25" presStyleLbl="parChTrans1D2" presStyleIdx="2" presStyleCnt="4"/>
      <dgm:spPr/>
    </dgm:pt>
    <dgm:pt modelId="{39F5AB28-AFC0-4EF2-9B0B-17620ACB6C77}" type="pres">
      <dgm:prSet presAssocID="{F84F1F3B-FDF4-43B9-A554-24F1DCF6BF3D}" presName="connTx" presStyleLbl="parChTrans1D2" presStyleIdx="2" presStyleCnt="4"/>
      <dgm:spPr/>
    </dgm:pt>
    <dgm:pt modelId="{047EC753-7B9F-4C21-9D64-3D41A810BF51}" type="pres">
      <dgm:prSet presAssocID="{43D80D4B-0160-4ADA-8C46-9267A0988DA8}" presName="Name30" presStyleCnt="0"/>
      <dgm:spPr/>
    </dgm:pt>
    <dgm:pt modelId="{3EF1639F-6256-401E-88DC-DDE470AE7699}" type="pres">
      <dgm:prSet presAssocID="{43D80D4B-0160-4ADA-8C46-9267A0988DA8}" presName="level2Shape" presStyleLbl="node2" presStyleIdx="2" presStyleCnt="4"/>
      <dgm:spPr/>
    </dgm:pt>
    <dgm:pt modelId="{E4B5D93A-FC10-418D-AC73-ADE1ECCE35AD}" type="pres">
      <dgm:prSet presAssocID="{43D80D4B-0160-4ADA-8C46-9267A0988DA8}" presName="hierChild3" presStyleCnt="0"/>
      <dgm:spPr/>
    </dgm:pt>
    <dgm:pt modelId="{4133BB5C-857F-409E-AAB3-6838DDEFC9FC}" type="pres">
      <dgm:prSet presAssocID="{41CD1B78-79BA-4422-A9BC-37B8EC1544B8}" presName="Name25" presStyleLbl="parChTrans1D3" presStyleIdx="0" presStyleCnt="3"/>
      <dgm:spPr/>
    </dgm:pt>
    <dgm:pt modelId="{CD4BAD39-EFEC-4AE7-A5B8-A278D5772795}" type="pres">
      <dgm:prSet presAssocID="{41CD1B78-79BA-4422-A9BC-37B8EC1544B8}" presName="connTx" presStyleLbl="parChTrans1D3" presStyleIdx="0" presStyleCnt="3"/>
      <dgm:spPr/>
    </dgm:pt>
    <dgm:pt modelId="{4A01DA9C-1AEA-4566-9BEB-ED690674431A}" type="pres">
      <dgm:prSet presAssocID="{CC92630A-7FDF-407D-A0A0-9D7A2231E683}" presName="Name30" presStyleCnt="0"/>
      <dgm:spPr/>
    </dgm:pt>
    <dgm:pt modelId="{E4B214F9-4852-4DEB-ABD1-63565509153F}" type="pres">
      <dgm:prSet presAssocID="{CC92630A-7FDF-407D-A0A0-9D7A2231E683}" presName="level2Shape" presStyleLbl="node3" presStyleIdx="0" presStyleCnt="3"/>
      <dgm:spPr/>
    </dgm:pt>
    <dgm:pt modelId="{051848D7-1E18-40F3-99EC-DF48B34318EF}" type="pres">
      <dgm:prSet presAssocID="{CC92630A-7FDF-407D-A0A0-9D7A2231E683}" presName="hierChild3" presStyleCnt="0"/>
      <dgm:spPr/>
    </dgm:pt>
    <dgm:pt modelId="{E8211B52-F4F9-4F8C-97BE-188DEB8EECC1}" type="pres">
      <dgm:prSet presAssocID="{705D512D-E5E2-489C-AD97-843C243D9F93}" presName="Name25" presStyleLbl="parChTrans1D3" presStyleIdx="1" presStyleCnt="3"/>
      <dgm:spPr/>
    </dgm:pt>
    <dgm:pt modelId="{31026C0B-FCEA-43CA-A1F5-A07E677F04C4}" type="pres">
      <dgm:prSet presAssocID="{705D512D-E5E2-489C-AD97-843C243D9F93}" presName="connTx" presStyleLbl="parChTrans1D3" presStyleIdx="1" presStyleCnt="3"/>
      <dgm:spPr/>
    </dgm:pt>
    <dgm:pt modelId="{B8218500-4958-47CF-9477-B2E085923012}" type="pres">
      <dgm:prSet presAssocID="{7A5CCDB5-2DE0-4AEF-A85C-68AC9021F172}" presName="Name30" presStyleCnt="0"/>
      <dgm:spPr/>
    </dgm:pt>
    <dgm:pt modelId="{C7F73F0C-FD15-4002-BD77-E8A52C627DEB}" type="pres">
      <dgm:prSet presAssocID="{7A5CCDB5-2DE0-4AEF-A85C-68AC9021F172}" presName="level2Shape" presStyleLbl="node3" presStyleIdx="1" presStyleCnt="3"/>
      <dgm:spPr/>
    </dgm:pt>
    <dgm:pt modelId="{40C4EB27-91A4-4CB7-A112-7869262DB048}" type="pres">
      <dgm:prSet presAssocID="{7A5CCDB5-2DE0-4AEF-A85C-68AC9021F172}" presName="hierChild3" presStyleCnt="0"/>
      <dgm:spPr/>
    </dgm:pt>
    <dgm:pt modelId="{8576E4EC-BDD0-4471-912D-7B0CCE8A2BC6}" type="pres">
      <dgm:prSet presAssocID="{129C84E8-10E4-45A0-8601-250EEAEFBE29}" presName="Name25" presStyleLbl="parChTrans1D3" presStyleIdx="2" presStyleCnt="3"/>
      <dgm:spPr/>
    </dgm:pt>
    <dgm:pt modelId="{8D7C0F23-7953-431B-B0DB-4F9F69C24790}" type="pres">
      <dgm:prSet presAssocID="{129C84E8-10E4-45A0-8601-250EEAEFBE29}" presName="connTx" presStyleLbl="parChTrans1D3" presStyleIdx="2" presStyleCnt="3"/>
      <dgm:spPr/>
    </dgm:pt>
    <dgm:pt modelId="{810F7D8D-7455-4D89-8349-8B9138D28EC3}" type="pres">
      <dgm:prSet presAssocID="{C57871F5-3776-4D9C-AB71-2356ED233EFD}" presName="Name30" presStyleCnt="0"/>
      <dgm:spPr/>
    </dgm:pt>
    <dgm:pt modelId="{D839D748-4A4F-4892-A637-E75BCBB6F57F}" type="pres">
      <dgm:prSet presAssocID="{C57871F5-3776-4D9C-AB71-2356ED233EFD}" presName="level2Shape" presStyleLbl="node3" presStyleIdx="2" presStyleCnt="3"/>
      <dgm:spPr/>
    </dgm:pt>
    <dgm:pt modelId="{2790C4A6-4284-4260-9C0B-43D684EA9109}" type="pres">
      <dgm:prSet presAssocID="{C57871F5-3776-4D9C-AB71-2356ED233EFD}" presName="hierChild3" presStyleCnt="0"/>
      <dgm:spPr/>
    </dgm:pt>
    <dgm:pt modelId="{DF9DD1EA-B06C-4B25-B34F-5D2873BD52B7}" type="pres">
      <dgm:prSet presAssocID="{D8D95136-4E2F-4498-90F5-BE69D3DB814D}" presName="Name25" presStyleLbl="parChTrans1D2" presStyleIdx="3" presStyleCnt="4"/>
      <dgm:spPr/>
    </dgm:pt>
    <dgm:pt modelId="{2328B6FC-B6E9-41D0-9586-1DD5BD0B7E0F}" type="pres">
      <dgm:prSet presAssocID="{D8D95136-4E2F-4498-90F5-BE69D3DB814D}" presName="connTx" presStyleLbl="parChTrans1D2" presStyleIdx="3" presStyleCnt="4"/>
      <dgm:spPr/>
    </dgm:pt>
    <dgm:pt modelId="{A30B358F-6EF0-49EB-8A7E-F8096807B143}" type="pres">
      <dgm:prSet presAssocID="{5695D144-90A1-42EA-87FF-B579841C24B4}" presName="Name30" presStyleCnt="0"/>
      <dgm:spPr/>
    </dgm:pt>
    <dgm:pt modelId="{1917374D-8B9D-405C-969C-983C2AD6C458}" type="pres">
      <dgm:prSet presAssocID="{5695D144-90A1-42EA-87FF-B579841C24B4}" presName="level2Shape" presStyleLbl="node2" presStyleIdx="3" presStyleCnt="4"/>
      <dgm:spPr/>
    </dgm:pt>
    <dgm:pt modelId="{6E109C51-58CA-4E4A-9489-E46472A90AB4}" type="pres">
      <dgm:prSet presAssocID="{5695D144-90A1-42EA-87FF-B579841C24B4}" presName="hierChild3" presStyleCnt="0"/>
      <dgm:spPr/>
    </dgm:pt>
    <dgm:pt modelId="{0359F326-EC1C-44A9-BAB6-229F37242669}" type="pres">
      <dgm:prSet presAssocID="{A3F7D30F-8460-467C-9AD7-9E17AB6EC82A}" presName="bgShapesFlow" presStyleCnt="0"/>
      <dgm:spPr/>
    </dgm:pt>
    <dgm:pt modelId="{5ED20D1C-3C7A-4154-8FEF-73056BB18475}" type="pres">
      <dgm:prSet presAssocID="{99E18B7B-A074-41B4-AB66-609A9AB1F37B}" presName="rectComp" presStyleCnt="0"/>
      <dgm:spPr/>
    </dgm:pt>
    <dgm:pt modelId="{D5ED8067-F3E5-416B-935A-FEBB2E74B7F5}" type="pres">
      <dgm:prSet presAssocID="{99E18B7B-A074-41B4-AB66-609A9AB1F37B}" presName="bgRect" presStyleLbl="bgShp" presStyleIdx="0" presStyleCnt="3"/>
      <dgm:spPr/>
    </dgm:pt>
    <dgm:pt modelId="{0934BF21-C85A-4859-8533-3ABAB02A0764}" type="pres">
      <dgm:prSet presAssocID="{99E18B7B-A074-41B4-AB66-609A9AB1F37B}" presName="bgRectTx" presStyleLbl="bgShp" presStyleIdx="0" presStyleCnt="3">
        <dgm:presLayoutVars>
          <dgm:bulletEnabled val="1"/>
        </dgm:presLayoutVars>
      </dgm:prSet>
      <dgm:spPr/>
    </dgm:pt>
    <dgm:pt modelId="{73F663EC-114B-4754-9676-D839AF40B3C1}" type="pres">
      <dgm:prSet presAssocID="{99E18B7B-A074-41B4-AB66-609A9AB1F37B}" presName="spComp" presStyleCnt="0"/>
      <dgm:spPr/>
    </dgm:pt>
    <dgm:pt modelId="{E0472013-01C0-4FC8-B310-36D2A634A1CA}" type="pres">
      <dgm:prSet presAssocID="{99E18B7B-A074-41B4-AB66-609A9AB1F37B}" presName="hSp" presStyleCnt="0"/>
      <dgm:spPr/>
    </dgm:pt>
    <dgm:pt modelId="{26950C69-EE7E-4143-8977-353AA61144DB}" type="pres">
      <dgm:prSet presAssocID="{5D9EE86B-2F39-4455-9AFC-223CBC43D119}" presName="rectComp" presStyleCnt="0"/>
      <dgm:spPr/>
    </dgm:pt>
    <dgm:pt modelId="{241FF233-7682-4AD0-8CB4-88BA7DE2B892}" type="pres">
      <dgm:prSet presAssocID="{5D9EE86B-2F39-4455-9AFC-223CBC43D119}" presName="bgRect" presStyleLbl="bgShp" presStyleIdx="1" presStyleCnt="3"/>
      <dgm:spPr/>
    </dgm:pt>
    <dgm:pt modelId="{AE28BD14-5165-47B9-A7A6-F92ABC94AE6D}" type="pres">
      <dgm:prSet presAssocID="{5D9EE86B-2F39-4455-9AFC-223CBC43D119}" presName="bgRectTx" presStyleLbl="bgShp" presStyleIdx="1" presStyleCnt="3">
        <dgm:presLayoutVars>
          <dgm:bulletEnabled val="1"/>
        </dgm:presLayoutVars>
      </dgm:prSet>
      <dgm:spPr/>
    </dgm:pt>
    <dgm:pt modelId="{3E8A5E25-E73D-4E86-90D8-69752E1DAD8C}" type="pres">
      <dgm:prSet presAssocID="{5D9EE86B-2F39-4455-9AFC-223CBC43D119}" presName="spComp" presStyleCnt="0"/>
      <dgm:spPr/>
    </dgm:pt>
    <dgm:pt modelId="{04C935F1-1401-462D-81AB-D5123783B209}" type="pres">
      <dgm:prSet presAssocID="{5D9EE86B-2F39-4455-9AFC-223CBC43D119}" presName="hSp" presStyleCnt="0"/>
      <dgm:spPr/>
    </dgm:pt>
    <dgm:pt modelId="{F3622CA8-FF5F-4800-B59F-80160FE6CC1E}" type="pres">
      <dgm:prSet presAssocID="{FE697613-E444-4C1D-A902-501A55792681}" presName="rectComp" presStyleCnt="0"/>
      <dgm:spPr/>
    </dgm:pt>
    <dgm:pt modelId="{8ED36830-BE0C-4466-A687-D823EC60BDEC}" type="pres">
      <dgm:prSet presAssocID="{FE697613-E444-4C1D-A902-501A55792681}" presName="bgRect" presStyleLbl="bgShp" presStyleIdx="2" presStyleCnt="3"/>
      <dgm:spPr/>
    </dgm:pt>
    <dgm:pt modelId="{8A4390A9-8480-467E-9ABD-E37D569B1CB9}" type="pres">
      <dgm:prSet presAssocID="{FE697613-E444-4C1D-A902-501A55792681}" presName="bgRectTx" presStyleLbl="bgShp" presStyleIdx="2" presStyleCnt="3">
        <dgm:presLayoutVars>
          <dgm:bulletEnabled val="1"/>
        </dgm:presLayoutVars>
      </dgm:prSet>
      <dgm:spPr/>
    </dgm:pt>
  </dgm:ptLst>
  <dgm:cxnLst>
    <dgm:cxn modelId="{034C3B00-59CE-4A0B-80A2-DE78E75FD4E1}" type="presOf" srcId="{5695D144-90A1-42EA-87FF-B579841C24B4}" destId="{1917374D-8B9D-405C-969C-983C2AD6C458}" srcOrd="0" destOrd="0" presId="urn:microsoft.com/office/officeart/2005/8/layout/hierarchy5"/>
    <dgm:cxn modelId="{3B135507-6DA2-4C17-80A4-E8DB1F305746}" srcId="{43D80D4B-0160-4ADA-8C46-9267A0988DA8}" destId="{C57871F5-3776-4D9C-AB71-2356ED233EFD}" srcOrd="2" destOrd="0" parTransId="{129C84E8-10E4-45A0-8601-250EEAEFBE29}" sibTransId="{509169E6-8B1A-48FA-BCC3-A1B84522DCD3}"/>
    <dgm:cxn modelId="{276BEE0C-7C7B-4B62-9325-628B7F2E9DAB}" type="presOf" srcId="{D8D95136-4E2F-4498-90F5-BE69D3DB814D}" destId="{DF9DD1EA-B06C-4B25-B34F-5D2873BD52B7}" srcOrd="0" destOrd="0" presId="urn:microsoft.com/office/officeart/2005/8/layout/hierarchy5"/>
    <dgm:cxn modelId="{82E0ED0E-7A7B-443E-A6F2-F08AE0A8A89A}" type="presOf" srcId="{129C84E8-10E4-45A0-8601-250EEAEFBE29}" destId="{8576E4EC-BDD0-4471-912D-7B0CCE8A2BC6}" srcOrd="0" destOrd="0" presId="urn:microsoft.com/office/officeart/2005/8/layout/hierarchy5"/>
    <dgm:cxn modelId="{60A50914-0F2D-45E5-9F2D-E12AE52F7769}" type="presOf" srcId="{C57871F5-3776-4D9C-AB71-2356ED233EFD}" destId="{D839D748-4A4F-4892-A637-E75BCBB6F57F}" srcOrd="0" destOrd="0" presId="urn:microsoft.com/office/officeart/2005/8/layout/hierarchy5"/>
    <dgm:cxn modelId="{DB0A4615-1FBD-4C27-A8B0-2A6B12C2206F}" type="presOf" srcId="{705D512D-E5E2-489C-AD97-843C243D9F93}" destId="{31026C0B-FCEA-43CA-A1F5-A07E677F04C4}" srcOrd="1" destOrd="0" presId="urn:microsoft.com/office/officeart/2005/8/layout/hierarchy5"/>
    <dgm:cxn modelId="{5C46811E-10B9-4FB6-AF0C-0CA515937C29}" type="presOf" srcId="{129C84E8-10E4-45A0-8601-250EEAEFBE29}" destId="{8D7C0F23-7953-431B-B0DB-4F9F69C24790}" srcOrd="1" destOrd="0" presId="urn:microsoft.com/office/officeart/2005/8/layout/hierarchy5"/>
    <dgm:cxn modelId="{DA56BD26-99ED-4275-8D8D-E0901269A1DD}" type="presOf" srcId="{FE697613-E444-4C1D-A902-501A55792681}" destId="{8A4390A9-8480-467E-9ABD-E37D569B1CB9}" srcOrd="1" destOrd="0" presId="urn:microsoft.com/office/officeart/2005/8/layout/hierarchy5"/>
    <dgm:cxn modelId="{6487DD2C-BDFB-470E-8DF8-6493ADA601A3}" type="presOf" srcId="{5D9EE86B-2F39-4455-9AFC-223CBC43D119}" destId="{241FF233-7682-4AD0-8CB4-88BA7DE2B892}" srcOrd="0" destOrd="0" presId="urn:microsoft.com/office/officeart/2005/8/layout/hierarchy5"/>
    <dgm:cxn modelId="{EA044D2E-C4AB-4D04-AC57-16893AB0D726}" type="presOf" srcId="{F84F1F3B-FDF4-43B9-A554-24F1DCF6BF3D}" destId="{39F5AB28-AFC0-4EF2-9B0B-17620ACB6C77}" srcOrd="1" destOrd="0" presId="urn:microsoft.com/office/officeart/2005/8/layout/hierarchy5"/>
    <dgm:cxn modelId="{1CA0CD31-6CF4-46D3-9A29-05C2A4DA5CE7}" type="presOf" srcId="{C9CD36CC-2755-4F91-A889-319B451A9B3F}" destId="{C23C73E7-06B7-4792-A49C-022CDFF41D3E}" srcOrd="1" destOrd="0" presId="urn:microsoft.com/office/officeart/2005/8/layout/hierarchy5"/>
    <dgm:cxn modelId="{A30D7534-2E68-4122-ABD2-D0AC9963D61A}" type="presOf" srcId="{EBB1C71F-E4F0-4B3F-AE2E-DF1A7B0D9088}" destId="{86313D10-37CE-4E9A-B7D8-65C12152CDB0}" srcOrd="0" destOrd="0" presId="urn:microsoft.com/office/officeart/2005/8/layout/hierarchy5"/>
    <dgm:cxn modelId="{1CD2D93E-A0A8-4556-B724-90D04702CE39}" type="presOf" srcId="{C9CD36CC-2755-4F91-A889-319B451A9B3F}" destId="{21888ACE-5996-4A4F-8FFA-E49E0CB769F5}" srcOrd="0" destOrd="0" presId="urn:microsoft.com/office/officeart/2005/8/layout/hierarchy5"/>
    <dgm:cxn modelId="{2560863F-0C9B-445E-80AE-B8599D0E31B3}" srcId="{43D80D4B-0160-4ADA-8C46-9267A0988DA8}" destId="{7A5CCDB5-2DE0-4AEF-A85C-68AC9021F172}" srcOrd="1" destOrd="0" parTransId="{705D512D-E5E2-489C-AD97-843C243D9F93}" sibTransId="{964986F9-E3C4-414C-8D3F-657D89790056}"/>
    <dgm:cxn modelId="{E4F70164-D3C0-4EA0-BA52-0E7F7C7A0E63}" type="presOf" srcId="{D8D95136-4E2F-4498-90F5-BE69D3DB814D}" destId="{2328B6FC-B6E9-41D0-9586-1DD5BD0B7E0F}" srcOrd="1" destOrd="0" presId="urn:microsoft.com/office/officeart/2005/8/layout/hierarchy5"/>
    <dgm:cxn modelId="{98BFD36C-4DC0-4429-A3D6-0CE2D5A87B2D}" srcId="{46A8532E-56A9-41E2-86C5-791DD02FDD51}" destId="{FE39D46D-04F8-4FD7-AA69-1CBC359A007E}" srcOrd="0" destOrd="0" parTransId="{C9CD36CC-2755-4F91-A889-319B451A9B3F}" sibTransId="{5353A5C6-1F7E-4A9F-9E0B-337DE251F739}"/>
    <dgm:cxn modelId="{AB99194E-70B6-4956-AF9E-437E02449568}" type="presOf" srcId="{EF11E8BE-C938-4FA9-BE10-255DEEAC706A}" destId="{6D6E3B8B-CC7C-40AE-BF91-3A8D576D1B8B}" srcOrd="0" destOrd="0" presId="urn:microsoft.com/office/officeart/2005/8/layout/hierarchy5"/>
    <dgm:cxn modelId="{543A296E-BF53-4490-8DD9-0ED43BB4DDD4}" srcId="{46A8532E-56A9-41E2-86C5-791DD02FDD51}" destId="{43D80D4B-0160-4ADA-8C46-9267A0988DA8}" srcOrd="2" destOrd="0" parTransId="{F84F1F3B-FDF4-43B9-A554-24F1DCF6BF3D}" sibTransId="{D00F22CC-41F4-42CA-864A-D267F0DAC91C}"/>
    <dgm:cxn modelId="{5A7E1472-4A3E-437D-8673-FB7415927119}" type="presOf" srcId="{99E18B7B-A074-41B4-AB66-609A9AB1F37B}" destId="{D5ED8067-F3E5-416B-935A-FEBB2E74B7F5}" srcOrd="0" destOrd="0" presId="urn:microsoft.com/office/officeart/2005/8/layout/hierarchy5"/>
    <dgm:cxn modelId="{E503A357-88E2-4B07-8782-E940E0963479}" type="presOf" srcId="{7A5CCDB5-2DE0-4AEF-A85C-68AC9021F172}" destId="{C7F73F0C-FD15-4002-BD77-E8A52C627DEB}" srcOrd="0" destOrd="0" presId="urn:microsoft.com/office/officeart/2005/8/layout/hierarchy5"/>
    <dgm:cxn modelId="{A819A577-91AF-41CC-B5B8-CE510BC29DDF}" type="presOf" srcId="{A3F7D30F-8460-467C-9AD7-9E17AB6EC82A}" destId="{D5E342C3-17C9-4354-A2E0-D926CDC59ABB}" srcOrd="0" destOrd="0" presId="urn:microsoft.com/office/officeart/2005/8/layout/hierarchy5"/>
    <dgm:cxn modelId="{69B6AB78-5CA9-4E7F-B0EF-1763E2B1CCE4}" type="presOf" srcId="{46A8532E-56A9-41E2-86C5-791DD02FDD51}" destId="{1EC88B3B-7E18-4AF7-9EE3-F0F21C7F85CC}" srcOrd="0" destOrd="0" presId="urn:microsoft.com/office/officeart/2005/8/layout/hierarchy5"/>
    <dgm:cxn modelId="{4DE90F7A-CD0F-439D-99BE-7B5CB7E04995}" srcId="{46A8532E-56A9-41E2-86C5-791DD02FDD51}" destId="{EBB1C71F-E4F0-4B3F-AE2E-DF1A7B0D9088}" srcOrd="1" destOrd="0" parTransId="{EF11E8BE-C938-4FA9-BE10-255DEEAC706A}" sibTransId="{E0A59968-37D0-488A-B04F-F6DDF8AED77C}"/>
    <dgm:cxn modelId="{1097A380-A268-435F-9A1C-5ABF9271E849}" type="presOf" srcId="{EF11E8BE-C938-4FA9-BE10-255DEEAC706A}" destId="{6FBCB5CC-3388-436E-8639-47391375B455}" srcOrd="1" destOrd="0" presId="urn:microsoft.com/office/officeart/2005/8/layout/hierarchy5"/>
    <dgm:cxn modelId="{2470F180-4446-4ADC-A9B3-3BFA0FA6EE4B}" srcId="{43D80D4B-0160-4ADA-8C46-9267A0988DA8}" destId="{CC92630A-7FDF-407D-A0A0-9D7A2231E683}" srcOrd="0" destOrd="0" parTransId="{41CD1B78-79BA-4422-A9BC-37B8EC1544B8}" sibTransId="{22616C6B-A868-40EB-84F4-8F8A60234A99}"/>
    <dgm:cxn modelId="{42E23A83-3E79-4F1B-BBDD-7192B168DEFD}" type="presOf" srcId="{41CD1B78-79BA-4422-A9BC-37B8EC1544B8}" destId="{CD4BAD39-EFEC-4AE7-A5B8-A278D5772795}" srcOrd="1" destOrd="0" presId="urn:microsoft.com/office/officeart/2005/8/layout/hierarchy5"/>
    <dgm:cxn modelId="{FDFFB084-B262-4CDC-9747-7D4EE4E8B540}" type="presOf" srcId="{99E18B7B-A074-41B4-AB66-609A9AB1F37B}" destId="{0934BF21-C85A-4859-8533-3ABAB02A0764}" srcOrd="1" destOrd="0" presId="urn:microsoft.com/office/officeart/2005/8/layout/hierarchy5"/>
    <dgm:cxn modelId="{288E1F8F-5B14-4C8A-8CF4-4E6EA4CED70B}" type="presOf" srcId="{FE39D46D-04F8-4FD7-AA69-1CBC359A007E}" destId="{1B47C3D4-0FB6-4411-A8A6-D2F85C1FD302}" srcOrd="0" destOrd="0" presId="urn:microsoft.com/office/officeart/2005/8/layout/hierarchy5"/>
    <dgm:cxn modelId="{768E878F-0394-4C63-9520-2B9BABAFCB37}" type="presOf" srcId="{41CD1B78-79BA-4422-A9BC-37B8EC1544B8}" destId="{4133BB5C-857F-409E-AAB3-6838DDEFC9FC}" srcOrd="0" destOrd="0" presId="urn:microsoft.com/office/officeart/2005/8/layout/hierarchy5"/>
    <dgm:cxn modelId="{66A78392-7EAB-439C-AD32-62AD32B4DA0B}" type="presOf" srcId="{F84F1F3B-FDF4-43B9-A554-24F1DCF6BF3D}" destId="{96E4E61D-0478-497A-8521-162F6AFFC002}" srcOrd="0" destOrd="0" presId="urn:microsoft.com/office/officeart/2005/8/layout/hierarchy5"/>
    <dgm:cxn modelId="{82529B9B-C209-42FF-A8CF-28FC8D72474D}" srcId="{A3F7D30F-8460-467C-9AD7-9E17AB6EC82A}" destId="{46A8532E-56A9-41E2-86C5-791DD02FDD51}" srcOrd="0" destOrd="0" parTransId="{68B0F99E-C91B-49B4-85A7-2C2917FAA504}" sibTransId="{A8970D2E-FCD3-4A75-B8CB-0F4D5F298DF0}"/>
    <dgm:cxn modelId="{ED8495B9-1121-44F5-8A20-F748568AF008}" type="presOf" srcId="{5D9EE86B-2F39-4455-9AFC-223CBC43D119}" destId="{AE28BD14-5165-47B9-A7A6-F92ABC94AE6D}" srcOrd="1" destOrd="0" presId="urn:microsoft.com/office/officeart/2005/8/layout/hierarchy5"/>
    <dgm:cxn modelId="{5689E4BE-1370-4035-89AB-A936F7892AC0}" type="presOf" srcId="{43D80D4B-0160-4ADA-8C46-9267A0988DA8}" destId="{3EF1639F-6256-401E-88DC-DDE470AE7699}" srcOrd="0" destOrd="0" presId="urn:microsoft.com/office/officeart/2005/8/layout/hierarchy5"/>
    <dgm:cxn modelId="{F63DDED0-2E21-47AF-9C17-7873FB710EC0}" srcId="{A3F7D30F-8460-467C-9AD7-9E17AB6EC82A}" destId="{5D9EE86B-2F39-4455-9AFC-223CBC43D119}" srcOrd="2" destOrd="0" parTransId="{CFE12F6D-15A3-410E-842D-E9590B2AAE6A}" sibTransId="{698419DD-375B-423C-9CEE-89F778ABC00D}"/>
    <dgm:cxn modelId="{1CB425D8-0DEE-4EFF-A69D-27EF7CF4F061}" srcId="{A3F7D30F-8460-467C-9AD7-9E17AB6EC82A}" destId="{99E18B7B-A074-41B4-AB66-609A9AB1F37B}" srcOrd="1" destOrd="0" parTransId="{44E4C3CD-43CA-4ED5-952E-7BEC58925196}" sibTransId="{2CDFBF05-2B68-4D11-95D9-802BB1A4E18B}"/>
    <dgm:cxn modelId="{11CAACE5-E92B-44B5-A8C7-8050716A4B84}" type="presOf" srcId="{CC92630A-7FDF-407D-A0A0-9D7A2231E683}" destId="{E4B214F9-4852-4DEB-ABD1-63565509153F}" srcOrd="0" destOrd="0" presId="urn:microsoft.com/office/officeart/2005/8/layout/hierarchy5"/>
    <dgm:cxn modelId="{3D8AC2E8-C2B1-48E8-B21D-0271D042543B}" type="presOf" srcId="{705D512D-E5E2-489C-AD97-843C243D9F93}" destId="{E8211B52-F4F9-4F8C-97BE-188DEB8EECC1}" srcOrd="0" destOrd="0" presId="urn:microsoft.com/office/officeart/2005/8/layout/hierarchy5"/>
    <dgm:cxn modelId="{4F50F4EE-D04B-44CA-B3EB-87BB1A9E8B23}" srcId="{46A8532E-56A9-41E2-86C5-791DD02FDD51}" destId="{5695D144-90A1-42EA-87FF-B579841C24B4}" srcOrd="3" destOrd="0" parTransId="{D8D95136-4E2F-4498-90F5-BE69D3DB814D}" sibTransId="{06F88C59-F3E0-4DF2-875A-690B5820C6B6}"/>
    <dgm:cxn modelId="{F8C00BF3-271C-4C34-AFEC-423372652BB5}" type="presOf" srcId="{FE697613-E444-4C1D-A902-501A55792681}" destId="{8ED36830-BE0C-4466-A687-D823EC60BDEC}" srcOrd="0" destOrd="0" presId="urn:microsoft.com/office/officeart/2005/8/layout/hierarchy5"/>
    <dgm:cxn modelId="{E6CC31FE-AA9C-424D-80BA-B7E5DDBE369B}" srcId="{A3F7D30F-8460-467C-9AD7-9E17AB6EC82A}" destId="{FE697613-E444-4C1D-A902-501A55792681}" srcOrd="3" destOrd="0" parTransId="{8200EA1A-2997-458C-84AE-2DCAE1278FAD}" sibTransId="{921E38A9-EA92-4E2A-A9F3-AB5FFBA48BB2}"/>
    <dgm:cxn modelId="{D2083689-5479-4718-ADDB-40DDE0E3D9C7}" type="presParOf" srcId="{D5E342C3-17C9-4354-A2E0-D926CDC59ABB}" destId="{A66833F9-7E58-4A22-8C9C-BA8A4A859756}" srcOrd="0" destOrd="0" presId="urn:microsoft.com/office/officeart/2005/8/layout/hierarchy5"/>
    <dgm:cxn modelId="{CC0EBA98-4E09-4E34-86C4-73657E4F930A}" type="presParOf" srcId="{A66833F9-7E58-4A22-8C9C-BA8A4A859756}" destId="{8D6B1C04-3E0D-4342-99F4-B91A92CFB7BB}" srcOrd="0" destOrd="0" presId="urn:microsoft.com/office/officeart/2005/8/layout/hierarchy5"/>
    <dgm:cxn modelId="{72C16224-89DB-48A3-9C14-2FE34645A8A6}" type="presParOf" srcId="{A66833F9-7E58-4A22-8C9C-BA8A4A859756}" destId="{C3A278A8-7FB9-4F51-920E-0F823FB5CCA8}" srcOrd="1" destOrd="0" presId="urn:microsoft.com/office/officeart/2005/8/layout/hierarchy5"/>
    <dgm:cxn modelId="{6B25CB8A-B87F-4EC7-A550-45D73EA01936}" type="presParOf" srcId="{C3A278A8-7FB9-4F51-920E-0F823FB5CCA8}" destId="{64680682-7E76-4D3B-BAC4-9A8E2E3927FA}" srcOrd="0" destOrd="0" presId="urn:microsoft.com/office/officeart/2005/8/layout/hierarchy5"/>
    <dgm:cxn modelId="{E3201C07-6188-4556-A1D2-1C71113659C1}" type="presParOf" srcId="{64680682-7E76-4D3B-BAC4-9A8E2E3927FA}" destId="{1EC88B3B-7E18-4AF7-9EE3-F0F21C7F85CC}" srcOrd="0" destOrd="0" presId="urn:microsoft.com/office/officeart/2005/8/layout/hierarchy5"/>
    <dgm:cxn modelId="{9AE79343-1260-4566-A4B3-D5875EB514C3}" type="presParOf" srcId="{64680682-7E76-4D3B-BAC4-9A8E2E3927FA}" destId="{E89A974F-6544-49F5-96C6-BBF6E7E96FC7}" srcOrd="1" destOrd="0" presId="urn:microsoft.com/office/officeart/2005/8/layout/hierarchy5"/>
    <dgm:cxn modelId="{7D1CCEBA-6843-42A5-BB31-198FF5438631}" type="presParOf" srcId="{E89A974F-6544-49F5-96C6-BBF6E7E96FC7}" destId="{21888ACE-5996-4A4F-8FFA-E49E0CB769F5}" srcOrd="0" destOrd="0" presId="urn:microsoft.com/office/officeart/2005/8/layout/hierarchy5"/>
    <dgm:cxn modelId="{E846881D-1FD1-4859-9182-CA71D7C28CAF}" type="presParOf" srcId="{21888ACE-5996-4A4F-8FFA-E49E0CB769F5}" destId="{C23C73E7-06B7-4792-A49C-022CDFF41D3E}" srcOrd="0" destOrd="0" presId="urn:microsoft.com/office/officeart/2005/8/layout/hierarchy5"/>
    <dgm:cxn modelId="{819C9858-C255-447A-AFD2-A9A6F9C16C75}" type="presParOf" srcId="{E89A974F-6544-49F5-96C6-BBF6E7E96FC7}" destId="{EA813806-2017-4389-8AFC-019251DE71F1}" srcOrd="1" destOrd="0" presId="urn:microsoft.com/office/officeart/2005/8/layout/hierarchy5"/>
    <dgm:cxn modelId="{24E987A2-EF2C-4159-AB87-AB88682BC548}" type="presParOf" srcId="{EA813806-2017-4389-8AFC-019251DE71F1}" destId="{1B47C3D4-0FB6-4411-A8A6-D2F85C1FD302}" srcOrd="0" destOrd="0" presId="urn:microsoft.com/office/officeart/2005/8/layout/hierarchy5"/>
    <dgm:cxn modelId="{C57B272A-DBA4-43AD-A24E-1E59181AED49}" type="presParOf" srcId="{EA813806-2017-4389-8AFC-019251DE71F1}" destId="{4ACA3D71-2593-4D7D-9F08-8250544EABF9}" srcOrd="1" destOrd="0" presId="urn:microsoft.com/office/officeart/2005/8/layout/hierarchy5"/>
    <dgm:cxn modelId="{F9C12389-15BD-4B14-9F08-876719BFC91D}" type="presParOf" srcId="{E89A974F-6544-49F5-96C6-BBF6E7E96FC7}" destId="{6D6E3B8B-CC7C-40AE-BF91-3A8D576D1B8B}" srcOrd="2" destOrd="0" presId="urn:microsoft.com/office/officeart/2005/8/layout/hierarchy5"/>
    <dgm:cxn modelId="{085D37CA-C35B-4D7E-BC69-E7CB57CDF40A}" type="presParOf" srcId="{6D6E3B8B-CC7C-40AE-BF91-3A8D576D1B8B}" destId="{6FBCB5CC-3388-436E-8639-47391375B455}" srcOrd="0" destOrd="0" presId="urn:microsoft.com/office/officeart/2005/8/layout/hierarchy5"/>
    <dgm:cxn modelId="{4440F43E-2EAE-473E-9A62-71D4957872B1}" type="presParOf" srcId="{E89A974F-6544-49F5-96C6-BBF6E7E96FC7}" destId="{2EEB070B-7B9B-47F1-A265-9A0AE1F1F404}" srcOrd="3" destOrd="0" presId="urn:microsoft.com/office/officeart/2005/8/layout/hierarchy5"/>
    <dgm:cxn modelId="{48ACBA2E-81DF-46EF-8BE6-2E1978A9EC0C}" type="presParOf" srcId="{2EEB070B-7B9B-47F1-A265-9A0AE1F1F404}" destId="{86313D10-37CE-4E9A-B7D8-65C12152CDB0}" srcOrd="0" destOrd="0" presId="urn:microsoft.com/office/officeart/2005/8/layout/hierarchy5"/>
    <dgm:cxn modelId="{D0314A30-355F-421E-BC14-F0AD29E6A5D3}" type="presParOf" srcId="{2EEB070B-7B9B-47F1-A265-9A0AE1F1F404}" destId="{CCA354DF-599B-4FE4-9501-E6970C5E4DF6}" srcOrd="1" destOrd="0" presId="urn:microsoft.com/office/officeart/2005/8/layout/hierarchy5"/>
    <dgm:cxn modelId="{935B7888-3F5B-4277-A753-5BFA7D7C1EEC}" type="presParOf" srcId="{E89A974F-6544-49F5-96C6-BBF6E7E96FC7}" destId="{96E4E61D-0478-497A-8521-162F6AFFC002}" srcOrd="4" destOrd="0" presId="urn:microsoft.com/office/officeart/2005/8/layout/hierarchy5"/>
    <dgm:cxn modelId="{FD51298B-6251-46C4-ABD2-DD0977C5DB95}" type="presParOf" srcId="{96E4E61D-0478-497A-8521-162F6AFFC002}" destId="{39F5AB28-AFC0-4EF2-9B0B-17620ACB6C77}" srcOrd="0" destOrd="0" presId="urn:microsoft.com/office/officeart/2005/8/layout/hierarchy5"/>
    <dgm:cxn modelId="{1896974D-5DC1-45AA-B544-0C7D1582B369}" type="presParOf" srcId="{E89A974F-6544-49F5-96C6-BBF6E7E96FC7}" destId="{047EC753-7B9F-4C21-9D64-3D41A810BF51}" srcOrd="5" destOrd="0" presId="urn:microsoft.com/office/officeart/2005/8/layout/hierarchy5"/>
    <dgm:cxn modelId="{B2AA1901-EF7A-4090-88AE-5424A983444F}" type="presParOf" srcId="{047EC753-7B9F-4C21-9D64-3D41A810BF51}" destId="{3EF1639F-6256-401E-88DC-DDE470AE7699}" srcOrd="0" destOrd="0" presId="urn:microsoft.com/office/officeart/2005/8/layout/hierarchy5"/>
    <dgm:cxn modelId="{76060794-9048-41C5-81AB-D10C46DB3C01}" type="presParOf" srcId="{047EC753-7B9F-4C21-9D64-3D41A810BF51}" destId="{E4B5D93A-FC10-418D-AC73-ADE1ECCE35AD}" srcOrd="1" destOrd="0" presId="urn:microsoft.com/office/officeart/2005/8/layout/hierarchy5"/>
    <dgm:cxn modelId="{0F93B1EC-9EB5-454A-99EE-5F68C0226280}" type="presParOf" srcId="{E4B5D93A-FC10-418D-AC73-ADE1ECCE35AD}" destId="{4133BB5C-857F-409E-AAB3-6838DDEFC9FC}" srcOrd="0" destOrd="0" presId="urn:microsoft.com/office/officeart/2005/8/layout/hierarchy5"/>
    <dgm:cxn modelId="{DB831D67-14BA-430D-8F2E-F121CDF24ACB}" type="presParOf" srcId="{4133BB5C-857F-409E-AAB3-6838DDEFC9FC}" destId="{CD4BAD39-EFEC-4AE7-A5B8-A278D5772795}" srcOrd="0" destOrd="0" presId="urn:microsoft.com/office/officeart/2005/8/layout/hierarchy5"/>
    <dgm:cxn modelId="{9EF2362C-70C0-46DA-9B69-C1E29BEBB7F7}" type="presParOf" srcId="{E4B5D93A-FC10-418D-AC73-ADE1ECCE35AD}" destId="{4A01DA9C-1AEA-4566-9BEB-ED690674431A}" srcOrd="1" destOrd="0" presId="urn:microsoft.com/office/officeart/2005/8/layout/hierarchy5"/>
    <dgm:cxn modelId="{61133C47-8844-409E-9420-FE0E5A0BDC89}" type="presParOf" srcId="{4A01DA9C-1AEA-4566-9BEB-ED690674431A}" destId="{E4B214F9-4852-4DEB-ABD1-63565509153F}" srcOrd="0" destOrd="0" presId="urn:microsoft.com/office/officeart/2005/8/layout/hierarchy5"/>
    <dgm:cxn modelId="{10C69277-BDFE-4441-A9F5-073F0E1AAFB7}" type="presParOf" srcId="{4A01DA9C-1AEA-4566-9BEB-ED690674431A}" destId="{051848D7-1E18-40F3-99EC-DF48B34318EF}" srcOrd="1" destOrd="0" presId="urn:microsoft.com/office/officeart/2005/8/layout/hierarchy5"/>
    <dgm:cxn modelId="{D3F2D1E6-2793-40C4-967C-8E30F4866CEC}" type="presParOf" srcId="{E4B5D93A-FC10-418D-AC73-ADE1ECCE35AD}" destId="{E8211B52-F4F9-4F8C-97BE-188DEB8EECC1}" srcOrd="2" destOrd="0" presId="urn:microsoft.com/office/officeart/2005/8/layout/hierarchy5"/>
    <dgm:cxn modelId="{0F0F02A4-42BB-45CE-B5C7-14A41B4DD998}" type="presParOf" srcId="{E8211B52-F4F9-4F8C-97BE-188DEB8EECC1}" destId="{31026C0B-FCEA-43CA-A1F5-A07E677F04C4}" srcOrd="0" destOrd="0" presId="urn:microsoft.com/office/officeart/2005/8/layout/hierarchy5"/>
    <dgm:cxn modelId="{D4D720F3-A88F-4198-98ED-DF7081484510}" type="presParOf" srcId="{E4B5D93A-FC10-418D-AC73-ADE1ECCE35AD}" destId="{B8218500-4958-47CF-9477-B2E085923012}" srcOrd="3" destOrd="0" presId="urn:microsoft.com/office/officeart/2005/8/layout/hierarchy5"/>
    <dgm:cxn modelId="{2165E699-51A3-4C27-8AFA-251029D5501D}" type="presParOf" srcId="{B8218500-4958-47CF-9477-B2E085923012}" destId="{C7F73F0C-FD15-4002-BD77-E8A52C627DEB}" srcOrd="0" destOrd="0" presId="urn:microsoft.com/office/officeart/2005/8/layout/hierarchy5"/>
    <dgm:cxn modelId="{C36ECCF4-724C-435C-9BD0-AD5E1E565429}" type="presParOf" srcId="{B8218500-4958-47CF-9477-B2E085923012}" destId="{40C4EB27-91A4-4CB7-A112-7869262DB048}" srcOrd="1" destOrd="0" presId="urn:microsoft.com/office/officeart/2005/8/layout/hierarchy5"/>
    <dgm:cxn modelId="{A75B9A9C-0BB0-43CA-93EC-F845FE9C04AC}" type="presParOf" srcId="{E4B5D93A-FC10-418D-AC73-ADE1ECCE35AD}" destId="{8576E4EC-BDD0-4471-912D-7B0CCE8A2BC6}" srcOrd="4" destOrd="0" presId="urn:microsoft.com/office/officeart/2005/8/layout/hierarchy5"/>
    <dgm:cxn modelId="{58AE34D2-FBA5-4839-BA86-C6B2F3F0BE68}" type="presParOf" srcId="{8576E4EC-BDD0-4471-912D-7B0CCE8A2BC6}" destId="{8D7C0F23-7953-431B-B0DB-4F9F69C24790}" srcOrd="0" destOrd="0" presId="urn:microsoft.com/office/officeart/2005/8/layout/hierarchy5"/>
    <dgm:cxn modelId="{74EC1A80-72DC-4CFB-998D-F581EC3566D9}" type="presParOf" srcId="{E4B5D93A-FC10-418D-AC73-ADE1ECCE35AD}" destId="{810F7D8D-7455-4D89-8349-8B9138D28EC3}" srcOrd="5" destOrd="0" presId="urn:microsoft.com/office/officeart/2005/8/layout/hierarchy5"/>
    <dgm:cxn modelId="{43421672-39DE-4E9F-BB88-D12FD91E29C3}" type="presParOf" srcId="{810F7D8D-7455-4D89-8349-8B9138D28EC3}" destId="{D839D748-4A4F-4892-A637-E75BCBB6F57F}" srcOrd="0" destOrd="0" presId="urn:microsoft.com/office/officeart/2005/8/layout/hierarchy5"/>
    <dgm:cxn modelId="{79FC7A0C-6490-4760-9FD8-FEAAF7D33F65}" type="presParOf" srcId="{810F7D8D-7455-4D89-8349-8B9138D28EC3}" destId="{2790C4A6-4284-4260-9C0B-43D684EA9109}" srcOrd="1" destOrd="0" presId="urn:microsoft.com/office/officeart/2005/8/layout/hierarchy5"/>
    <dgm:cxn modelId="{69644B60-6010-47BD-964C-E0E4E2A79DCC}" type="presParOf" srcId="{E89A974F-6544-49F5-96C6-BBF6E7E96FC7}" destId="{DF9DD1EA-B06C-4B25-B34F-5D2873BD52B7}" srcOrd="6" destOrd="0" presId="urn:microsoft.com/office/officeart/2005/8/layout/hierarchy5"/>
    <dgm:cxn modelId="{65A56E2A-1B59-4F03-A10E-2AFFD342C7A2}" type="presParOf" srcId="{DF9DD1EA-B06C-4B25-B34F-5D2873BD52B7}" destId="{2328B6FC-B6E9-41D0-9586-1DD5BD0B7E0F}" srcOrd="0" destOrd="0" presId="urn:microsoft.com/office/officeart/2005/8/layout/hierarchy5"/>
    <dgm:cxn modelId="{1D9D5888-1831-477D-A12E-973C058761D2}" type="presParOf" srcId="{E89A974F-6544-49F5-96C6-BBF6E7E96FC7}" destId="{A30B358F-6EF0-49EB-8A7E-F8096807B143}" srcOrd="7" destOrd="0" presId="urn:microsoft.com/office/officeart/2005/8/layout/hierarchy5"/>
    <dgm:cxn modelId="{E842C0A8-5734-4A4C-9326-AECD05E5C6B5}" type="presParOf" srcId="{A30B358F-6EF0-49EB-8A7E-F8096807B143}" destId="{1917374D-8B9D-405C-969C-983C2AD6C458}" srcOrd="0" destOrd="0" presId="urn:microsoft.com/office/officeart/2005/8/layout/hierarchy5"/>
    <dgm:cxn modelId="{7F78D1E1-6E70-4C51-85DD-8282510BAE02}" type="presParOf" srcId="{A30B358F-6EF0-49EB-8A7E-F8096807B143}" destId="{6E109C51-58CA-4E4A-9489-E46472A90AB4}" srcOrd="1" destOrd="0" presId="urn:microsoft.com/office/officeart/2005/8/layout/hierarchy5"/>
    <dgm:cxn modelId="{E33855D8-43C8-4C56-B202-295921731D0D}" type="presParOf" srcId="{D5E342C3-17C9-4354-A2E0-D926CDC59ABB}" destId="{0359F326-EC1C-44A9-BAB6-229F37242669}" srcOrd="1" destOrd="0" presId="urn:microsoft.com/office/officeart/2005/8/layout/hierarchy5"/>
    <dgm:cxn modelId="{8BF28A3D-DA45-4710-9000-5BBE59D8DFCA}" type="presParOf" srcId="{0359F326-EC1C-44A9-BAB6-229F37242669}" destId="{5ED20D1C-3C7A-4154-8FEF-73056BB18475}" srcOrd="0" destOrd="0" presId="urn:microsoft.com/office/officeart/2005/8/layout/hierarchy5"/>
    <dgm:cxn modelId="{D111E9B1-84D9-48E9-B252-5FC3E3BE94C2}" type="presParOf" srcId="{5ED20D1C-3C7A-4154-8FEF-73056BB18475}" destId="{D5ED8067-F3E5-416B-935A-FEBB2E74B7F5}" srcOrd="0" destOrd="0" presId="urn:microsoft.com/office/officeart/2005/8/layout/hierarchy5"/>
    <dgm:cxn modelId="{7F685EC7-6DB7-47BD-8B99-15EFBDE1C5BD}" type="presParOf" srcId="{5ED20D1C-3C7A-4154-8FEF-73056BB18475}" destId="{0934BF21-C85A-4859-8533-3ABAB02A0764}" srcOrd="1" destOrd="0" presId="urn:microsoft.com/office/officeart/2005/8/layout/hierarchy5"/>
    <dgm:cxn modelId="{F0CE9BD7-A935-4575-9D54-29E6AD7BC799}" type="presParOf" srcId="{0359F326-EC1C-44A9-BAB6-229F37242669}" destId="{73F663EC-114B-4754-9676-D839AF40B3C1}" srcOrd="1" destOrd="0" presId="urn:microsoft.com/office/officeart/2005/8/layout/hierarchy5"/>
    <dgm:cxn modelId="{6D831FFF-3DD8-4A15-BA02-23573DBBFE07}" type="presParOf" srcId="{73F663EC-114B-4754-9676-D839AF40B3C1}" destId="{E0472013-01C0-4FC8-B310-36D2A634A1CA}" srcOrd="0" destOrd="0" presId="urn:microsoft.com/office/officeart/2005/8/layout/hierarchy5"/>
    <dgm:cxn modelId="{AAAF913E-490B-41B9-AE34-F9016E636D6A}" type="presParOf" srcId="{0359F326-EC1C-44A9-BAB6-229F37242669}" destId="{26950C69-EE7E-4143-8977-353AA61144DB}" srcOrd="2" destOrd="0" presId="urn:microsoft.com/office/officeart/2005/8/layout/hierarchy5"/>
    <dgm:cxn modelId="{EFB8A011-3962-44DE-AF1D-79F662DF7757}" type="presParOf" srcId="{26950C69-EE7E-4143-8977-353AA61144DB}" destId="{241FF233-7682-4AD0-8CB4-88BA7DE2B892}" srcOrd="0" destOrd="0" presId="urn:microsoft.com/office/officeart/2005/8/layout/hierarchy5"/>
    <dgm:cxn modelId="{65556F76-8E6E-4769-BE47-1D78DF794383}" type="presParOf" srcId="{26950C69-EE7E-4143-8977-353AA61144DB}" destId="{AE28BD14-5165-47B9-A7A6-F92ABC94AE6D}" srcOrd="1" destOrd="0" presId="urn:microsoft.com/office/officeart/2005/8/layout/hierarchy5"/>
    <dgm:cxn modelId="{2E9C22A7-C1A5-4379-A2F8-B16A304865D5}" type="presParOf" srcId="{0359F326-EC1C-44A9-BAB6-229F37242669}" destId="{3E8A5E25-E73D-4E86-90D8-69752E1DAD8C}" srcOrd="3" destOrd="0" presId="urn:microsoft.com/office/officeart/2005/8/layout/hierarchy5"/>
    <dgm:cxn modelId="{C488C018-3234-4DF2-B689-4F2A2D97948F}" type="presParOf" srcId="{3E8A5E25-E73D-4E86-90D8-69752E1DAD8C}" destId="{04C935F1-1401-462D-81AB-D5123783B209}" srcOrd="0" destOrd="0" presId="urn:microsoft.com/office/officeart/2005/8/layout/hierarchy5"/>
    <dgm:cxn modelId="{903CA0F3-BFEF-42FB-A3E3-9F5898FE22C4}" type="presParOf" srcId="{0359F326-EC1C-44A9-BAB6-229F37242669}" destId="{F3622CA8-FF5F-4800-B59F-80160FE6CC1E}" srcOrd="4" destOrd="0" presId="urn:microsoft.com/office/officeart/2005/8/layout/hierarchy5"/>
    <dgm:cxn modelId="{502622D0-01F2-41D1-8D77-CB15B8D41CCD}" type="presParOf" srcId="{F3622CA8-FF5F-4800-B59F-80160FE6CC1E}" destId="{8ED36830-BE0C-4466-A687-D823EC60BDEC}" srcOrd="0" destOrd="0" presId="urn:microsoft.com/office/officeart/2005/8/layout/hierarchy5"/>
    <dgm:cxn modelId="{F5C5E163-7F0B-49B8-8370-CC5BC4CF4E62}" type="presParOf" srcId="{F3622CA8-FF5F-4800-B59F-80160FE6CC1E}" destId="{8A4390A9-8480-467E-9ABD-E37D569B1CB9}" srcOrd="1" destOrd="0" presId="urn:microsoft.com/office/officeart/2005/8/layout/hierarchy5"/>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D36830-BE0C-4466-A687-D823EC60BDEC}">
      <dsp:nvSpPr>
        <dsp:cNvPr id="0" name=""/>
        <dsp:cNvSpPr/>
      </dsp:nvSpPr>
      <dsp:spPr>
        <a:xfrm>
          <a:off x="2124813" y="0"/>
          <a:ext cx="778945" cy="219011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 sz="1000" kern="1200"/>
            <a:t>Moderation of Economic Growth</a:t>
          </a:r>
          <a:endParaRPr lang="id-ID" sz="1000" kern="1200"/>
        </a:p>
      </dsp:txBody>
      <dsp:txXfrm>
        <a:off x="2124813" y="0"/>
        <a:ext cx="778945" cy="657034"/>
      </dsp:txXfrm>
    </dsp:sp>
    <dsp:sp modelId="{241FF233-7682-4AD0-8CB4-88BA7DE2B892}">
      <dsp:nvSpPr>
        <dsp:cNvPr id="0" name=""/>
        <dsp:cNvSpPr/>
      </dsp:nvSpPr>
      <dsp:spPr>
        <a:xfrm>
          <a:off x="1216043" y="0"/>
          <a:ext cx="778945" cy="2190115"/>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 sz="1000" kern="1200"/>
            <a:t>Direct Influence</a:t>
          </a:r>
          <a:endParaRPr lang="id-ID" sz="1000" kern="1200"/>
        </a:p>
      </dsp:txBody>
      <dsp:txXfrm>
        <a:off x="1216043" y="0"/>
        <a:ext cx="778945" cy="657034"/>
      </dsp:txXfrm>
    </dsp:sp>
    <dsp:sp modelId="{D5ED8067-F3E5-416B-935A-FEBB2E74B7F5}">
      <dsp:nvSpPr>
        <dsp:cNvPr id="0" name=""/>
        <dsp:cNvSpPr/>
      </dsp:nvSpPr>
      <dsp:spPr>
        <a:xfrm>
          <a:off x="307274" y="0"/>
          <a:ext cx="778945" cy="2190115"/>
        </a:xfrm>
        <a:prstGeom prst="roundRect">
          <a:avLst>
            <a:gd name="adj" fmla="val 10000"/>
          </a:avLst>
        </a:prstGeom>
        <a:solidFill>
          <a:schemeClr val="bg1"/>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 sz="1000" kern="1200">
              <a:solidFill>
                <a:schemeClr val="bg1"/>
              </a:solidFill>
            </a:rPr>
            <a:t>a A</a:t>
          </a:r>
          <a:endParaRPr lang="id-ID" sz="1000" kern="1200">
            <a:solidFill>
              <a:schemeClr val="bg1"/>
            </a:solidFill>
          </a:endParaRPr>
        </a:p>
      </dsp:txBody>
      <dsp:txXfrm>
        <a:off x="307274" y="0"/>
        <a:ext cx="778945" cy="657034"/>
      </dsp:txXfrm>
    </dsp:sp>
    <dsp:sp modelId="{1EC88B3B-7E18-4AF7-9EE3-F0F21C7F85CC}">
      <dsp:nvSpPr>
        <dsp:cNvPr id="0" name=""/>
        <dsp:cNvSpPr/>
      </dsp:nvSpPr>
      <dsp:spPr>
        <a:xfrm>
          <a:off x="372186" y="1217492"/>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Poverty Level</a:t>
          </a:r>
          <a:endParaRPr lang="id-ID" sz="800" kern="1200"/>
        </a:p>
      </dsp:txBody>
      <dsp:txXfrm>
        <a:off x="381692" y="1226998"/>
        <a:ext cx="630108" cy="305548"/>
      </dsp:txXfrm>
    </dsp:sp>
    <dsp:sp modelId="{21888ACE-5996-4A4F-8FFA-E49E0CB769F5}">
      <dsp:nvSpPr>
        <dsp:cNvPr id="0" name=""/>
        <dsp:cNvSpPr/>
      </dsp:nvSpPr>
      <dsp:spPr>
        <a:xfrm rot="17692822">
          <a:off x="842559" y="1086501"/>
          <a:ext cx="617145" cy="26674"/>
        </a:xfrm>
        <a:custGeom>
          <a:avLst/>
          <a:gdLst/>
          <a:ahLst/>
          <a:cxnLst/>
          <a:rect l="0" t="0" r="0" b="0"/>
          <a:pathLst>
            <a:path>
              <a:moveTo>
                <a:pt x="0" y="13337"/>
              </a:moveTo>
              <a:lnTo>
                <a:pt x="617145"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35703" y="1084410"/>
        <a:ext cx="30857" cy="30857"/>
      </dsp:txXfrm>
    </dsp:sp>
    <dsp:sp modelId="{1B47C3D4-0FB6-4411-A8A6-D2F85C1FD302}">
      <dsp:nvSpPr>
        <dsp:cNvPr id="0" name=""/>
        <dsp:cNvSpPr/>
      </dsp:nvSpPr>
      <dsp:spPr>
        <a:xfrm>
          <a:off x="1280956" y="657625"/>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Accountability Level</a:t>
          </a:r>
          <a:endParaRPr lang="id-ID" sz="800" kern="1200"/>
        </a:p>
      </dsp:txBody>
      <dsp:txXfrm>
        <a:off x="1290462" y="667131"/>
        <a:ext cx="630108" cy="305548"/>
      </dsp:txXfrm>
    </dsp:sp>
    <dsp:sp modelId="{6D6E3B8B-CC7C-40AE-BF91-3A8D576D1B8B}">
      <dsp:nvSpPr>
        <dsp:cNvPr id="0" name=""/>
        <dsp:cNvSpPr/>
      </dsp:nvSpPr>
      <dsp:spPr>
        <a:xfrm rot="19457599">
          <a:off x="991252" y="1273123"/>
          <a:ext cx="319757" cy="26674"/>
        </a:xfrm>
        <a:custGeom>
          <a:avLst/>
          <a:gdLst/>
          <a:ahLst/>
          <a:cxnLst/>
          <a:rect l="0" t="0" r="0" b="0"/>
          <a:pathLst>
            <a:path>
              <a:moveTo>
                <a:pt x="0" y="13337"/>
              </a:moveTo>
              <a:lnTo>
                <a:pt x="319757"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43137" y="1278467"/>
        <a:ext cx="15987" cy="15987"/>
      </dsp:txXfrm>
    </dsp:sp>
    <dsp:sp modelId="{86313D10-37CE-4E9A-B7D8-65C12152CDB0}">
      <dsp:nvSpPr>
        <dsp:cNvPr id="0" name=""/>
        <dsp:cNvSpPr/>
      </dsp:nvSpPr>
      <dsp:spPr>
        <a:xfrm>
          <a:off x="1280956" y="103086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performance</a:t>
          </a:r>
          <a:endParaRPr lang="id-ID" sz="800" kern="1200"/>
        </a:p>
      </dsp:txBody>
      <dsp:txXfrm>
        <a:off x="1290462" y="1040375"/>
        <a:ext cx="630108" cy="305548"/>
      </dsp:txXfrm>
    </dsp:sp>
    <dsp:sp modelId="{96E4E61D-0478-497A-8521-162F6AFFC002}">
      <dsp:nvSpPr>
        <dsp:cNvPr id="0" name=""/>
        <dsp:cNvSpPr/>
      </dsp:nvSpPr>
      <dsp:spPr>
        <a:xfrm rot="2142401">
          <a:off x="991252" y="1459746"/>
          <a:ext cx="319757" cy="26674"/>
        </a:xfrm>
        <a:custGeom>
          <a:avLst/>
          <a:gdLst/>
          <a:ahLst/>
          <a:cxnLst/>
          <a:rect l="0" t="0" r="0" b="0"/>
          <a:pathLst>
            <a:path>
              <a:moveTo>
                <a:pt x="0" y="13337"/>
              </a:moveTo>
              <a:lnTo>
                <a:pt x="319757"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43137" y="1465089"/>
        <a:ext cx="15987" cy="15987"/>
      </dsp:txXfrm>
    </dsp:sp>
    <dsp:sp modelId="{3EF1639F-6256-401E-88DC-DDE470AE7699}">
      <dsp:nvSpPr>
        <dsp:cNvPr id="0" name=""/>
        <dsp:cNvSpPr/>
      </dsp:nvSpPr>
      <dsp:spPr>
        <a:xfrm>
          <a:off x="1280956" y="1404114"/>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Economic growth</a:t>
          </a:r>
          <a:endParaRPr lang="id-ID" sz="800" kern="1200"/>
        </a:p>
      </dsp:txBody>
      <dsp:txXfrm>
        <a:off x="1290462" y="1413620"/>
        <a:ext cx="630108" cy="305548"/>
      </dsp:txXfrm>
    </dsp:sp>
    <dsp:sp modelId="{4133BB5C-857F-409E-AAB3-6838DDEFC9FC}">
      <dsp:nvSpPr>
        <dsp:cNvPr id="0" name=""/>
        <dsp:cNvSpPr/>
      </dsp:nvSpPr>
      <dsp:spPr>
        <a:xfrm rot="18289469">
          <a:off x="1832564" y="1366435"/>
          <a:ext cx="454674" cy="26674"/>
        </a:xfrm>
        <a:custGeom>
          <a:avLst/>
          <a:gdLst/>
          <a:ahLst/>
          <a:cxnLst/>
          <a:rect l="0" t="0" r="0" b="0"/>
          <a:pathLst>
            <a:path>
              <a:moveTo>
                <a:pt x="0" y="13337"/>
              </a:moveTo>
              <a:lnTo>
                <a:pt x="454674" y="1333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2048534" y="1368405"/>
        <a:ext cx="22733" cy="22733"/>
      </dsp:txXfrm>
    </dsp:sp>
    <dsp:sp modelId="{E4B214F9-4852-4DEB-ABD1-63565509153F}">
      <dsp:nvSpPr>
        <dsp:cNvPr id="0" name=""/>
        <dsp:cNvSpPr/>
      </dsp:nvSpPr>
      <dsp:spPr>
        <a:xfrm>
          <a:off x="2189725" y="103086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Accountability Level</a:t>
          </a:r>
          <a:endParaRPr lang="id-ID" sz="800" kern="1200"/>
        </a:p>
      </dsp:txBody>
      <dsp:txXfrm>
        <a:off x="2199231" y="1040375"/>
        <a:ext cx="630108" cy="305548"/>
      </dsp:txXfrm>
    </dsp:sp>
    <dsp:sp modelId="{E8211B52-F4F9-4F8C-97BE-188DEB8EECC1}">
      <dsp:nvSpPr>
        <dsp:cNvPr id="0" name=""/>
        <dsp:cNvSpPr/>
      </dsp:nvSpPr>
      <dsp:spPr>
        <a:xfrm>
          <a:off x="1930076" y="1553057"/>
          <a:ext cx="259648" cy="26674"/>
        </a:xfrm>
        <a:custGeom>
          <a:avLst/>
          <a:gdLst/>
          <a:ahLst/>
          <a:cxnLst/>
          <a:rect l="0" t="0" r="0" b="0"/>
          <a:pathLst>
            <a:path>
              <a:moveTo>
                <a:pt x="0" y="13337"/>
              </a:moveTo>
              <a:lnTo>
                <a:pt x="259648" y="1333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2053409" y="1559903"/>
        <a:ext cx="12982" cy="12982"/>
      </dsp:txXfrm>
    </dsp:sp>
    <dsp:sp modelId="{C7F73F0C-FD15-4002-BD77-E8A52C627DEB}">
      <dsp:nvSpPr>
        <dsp:cNvPr id="0" name=""/>
        <dsp:cNvSpPr/>
      </dsp:nvSpPr>
      <dsp:spPr>
        <a:xfrm>
          <a:off x="2189725" y="1404114"/>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performance</a:t>
          </a:r>
          <a:endParaRPr lang="id-ID" sz="800" kern="1200"/>
        </a:p>
      </dsp:txBody>
      <dsp:txXfrm>
        <a:off x="2199231" y="1413620"/>
        <a:ext cx="630108" cy="305548"/>
      </dsp:txXfrm>
    </dsp:sp>
    <dsp:sp modelId="{8576E4EC-BDD0-4471-912D-7B0CCE8A2BC6}">
      <dsp:nvSpPr>
        <dsp:cNvPr id="0" name=""/>
        <dsp:cNvSpPr/>
      </dsp:nvSpPr>
      <dsp:spPr>
        <a:xfrm rot="3310531">
          <a:off x="1832564" y="1739679"/>
          <a:ext cx="454674" cy="26674"/>
        </a:xfrm>
        <a:custGeom>
          <a:avLst/>
          <a:gdLst/>
          <a:ahLst/>
          <a:cxnLst/>
          <a:rect l="0" t="0" r="0" b="0"/>
          <a:pathLst>
            <a:path>
              <a:moveTo>
                <a:pt x="0" y="13337"/>
              </a:moveTo>
              <a:lnTo>
                <a:pt x="454674" y="13337"/>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2048534" y="1741650"/>
        <a:ext cx="22733" cy="22733"/>
      </dsp:txXfrm>
    </dsp:sp>
    <dsp:sp modelId="{D839D748-4A4F-4892-A637-E75BCBB6F57F}">
      <dsp:nvSpPr>
        <dsp:cNvPr id="0" name=""/>
        <dsp:cNvSpPr/>
      </dsp:nvSpPr>
      <dsp:spPr>
        <a:xfrm>
          <a:off x="2189725" y="177735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Transparency</a:t>
          </a:r>
          <a:endParaRPr lang="id-ID" sz="800" kern="1200"/>
        </a:p>
      </dsp:txBody>
      <dsp:txXfrm>
        <a:off x="2199231" y="1786865"/>
        <a:ext cx="630108" cy="305548"/>
      </dsp:txXfrm>
    </dsp:sp>
    <dsp:sp modelId="{DF9DD1EA-B06C-4B25-B34F-5D2873BD52B7}">
      <dsp:nvSpPr>
        <dsp:cNvPr id="0" name=""/>
        <dsp:cNvSpPr/>
      </dsp:nvSpPr>
      <dsp:spPr>
        <a:xfrm rot="3907178">
          <a:off x="842559" y="1646368"/>
          <a:ext cx="617145" cy="26674"/>
        </a:xfrm>
        <a:custGeom>
          <a:avLst/>
          <a:gdLst/>
          <a:ahLst/>
          <a:cxnLst/>
          <a:rect l="0" t="0" r="0" b="0"/>
          <a:pathLst>
            <a:path>
              <a:moveTo>
                <a:pt x="0" y="13337"/>
              </a:moveTo>
              <a:lnTo>
                <a:pt x="617145" y="13337"/>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d-ID" sz="500" kern="1200"/>
        </a:p>
      </dsp:txBody>
      <dsp:txXfrm>
        <a:off x="1135703" y="1644277"/>
        <a:ext cx="30857" cy="30857"/>
      </dsp:txXfrm>
    </dsp:sp>
    <dsp:sp modelId="{1917374D-8B9D-405C-969C-983C2AD6C458}">
      <dsp:nvSpPr>
        <dsp:cNvPr id="0" name=""/>
        <dsp:cNvSpPr/>
      </dsp:nvSpPr>
      <dsp:spPr>
        <a:xfrm>
          <a:off x="1280956" y="1777359"/>
          <a:ext cx="649120" cy="32456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 sz="800" kern="1200"/>
            <a:t>Financial Transparency</a:t>
          </a:r>
          <a:endParaRPr lang="id-ID" sz="800" kern="1200"/>
        </a:p>
      </dsp:txBody>
      <dsp:txXfrm>
        <a:off x="1290462" y="1786865"/>
        <a:ext cx="630108" cy="3055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4D8C0-2E9E-482F-9A32-D89967775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6294</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merilla vanessa</dc:creator>
  <cp:keywords/>
  <dc:description/>
  <cp:lastModifiedBy>SDI 1089</cp:lastModifiedBy>
  <cp:revision>3</cp:revision>
  <dcterms:created xsi:type="dcterms:W3CDTF">2026-03-14T08:06:00Z</dcterms:created>
  <dcterms:modified xsi:type="dcterms:W3CDTF">2026-03-21T10:31:00Z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Microsoft® Word 2013</vt:lpwstr>
  </property>
  <property fmtid="{D5CDD505-2E9C-101B-9397-08002B2CF9AE}" pid="4" name="LastSaved">
    <vt:filetime>2023-07-11T00:00:00Z</vt:filetime>
  </property>
</Properties>
</file>