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9162" w14:textId="1AC086DB" w:rsidR="00C15CCF" w:rsidRPr="00C15CCF" w:rsidRDefault="0018382F" w:rsidP="00C15CCF">
      <w:pPr>
        <w:spacing w:after="0" w:line="240" w:lineRule="auto"/>
        <w:jc w:val="right"/>
        <w:rPr>
          <w:rFonts w:ascii="Arial" w:eastAsia="Times New Roman" w:hAnsi="Arial" w:cs="Arial"/>
          <w:b/>
          <w:bCs/>
          <w:iCs/>
          <w:kern w:val="28"/>
          <w:sz w:val="36"/>
          <w:szCs w:val="20"/>
          <w:lang w:val="en-US"/>
          <w14:ligatures w14:val="none"/>
        </w:rPr>
      </w:pPr>
      <w:bookmarkStart w:id="0" w:name="_Hlk193623301"/>
      <w:r>
        <w:rPr>
          <w:rFonts w:ascii="Arial" w:eastAsia="Times New Roman" w:hAnsi="Arial" w:cs="Arial"/>
          <w:b/>
          <w:bCs/>
          <w:iCs/>
          <w:kern w:val="28"/>
          <w:sz w:val="36"/>
          <w:szCs w:val="20"/>
          <w:lang w:val="en-US"/>
          <w14:ligatures w14:val="none"/>
        </w:rPr>
        <w:t xml:space="preserve">Analysis of </w:t>
      </w:r>
      <w:r w:rsidRPr="00C15CCF">
        <w:rPr>
          <w:rFonts w:ascii="Arial" w:eastAsia="Times New Roman" w:hAnsi="Arial" w:cs="Arial"/>
          <w:b/>
          <w:bCs/>
          <w:iCs/>
          <w:kern w:val="28"/>
          <w:sz w:val="36"/>
          <w:szCs w:val="20"/>
          <w:lang w:val="en-US"/>
          <w14:ligatures w14:val="none"/>
        </w:rPr>
        <w:t>Health</w:t>
      </w:r>
      <w:r w:rsidR="00C15CCF" w:rsidRPr="00C15CCF">
        <w:rPr>
          <w:rFonts w:ascii="Arial" w:eastAsia="Times New Roman" w:hAnsi="Arial" w:cs="Arial"/>
          <w:b/>
          <w:bCs/>
          <w:iCs/>
          <w:kern w:val="28"/>
          <w:sz w:val="36"/>
          <w:szCs w:val="20"/>
          <w:lang w:val="en-US"/>
          <w14:ligatures w14:val="none"/>
        </w:rPr>
        <w:t xml:space="preserve"> Care and Health Care Financing Among Geriatric People in Kerala </w:t>
      </w:r>
    </w:p>
    <w:p w14:paraId="505C50E4" w14:textId="77777777" w:rsidR="00C15CCF" w:rsidRPr="00C15CCF" w:rsidRDefault="00C15CCF" w:rsidP="00C15CCF">
      <w:pPr>
        <w:spacing w:after="0" w:line="240" w:lineRule="auto"/>
        <w:jc w:val="both"/>
        <w:rPr>
          <w:rFonts w:ascii="Arial" w:eastAsia="Times New Roman" w:hAnsi="Arial" w:cs="Arial"/>
          <w:b/>
          <w:kern w:val="0"/>
          <w:sz w:val="36"/>
          <w:szCs w:val="20"/>
          <w:lang w:val="en-US"/>
          <w14:ligatures w14:val="none"/>
        </w:rPr>
      </w:pPr>
    </w:p>
    <w:p w14:paraId="65776913" w14:textId="77777777" w:rsidR="00C15CCF" w:rsidRPr="00C15CCF" w:rsidRDefault="00C15CCF" w:rsidP="00C15CCF">
      <w:pPr>
        <w:spacing w:after="0" w:line="240" w:lineRule="auto"/>
        <w:jc w:val="both"/>
        <w:rPr>
          <w:rFonts w:ascii="Arial" w:eastAsia="Times New Roman" w:hAnsi="Arial" w:cs="Arial"/>
          <w:kern w:val="0"/>
          <w:sz w:val="20"/>
          <w:szCs w:val="20"/>
          <w:lang w:val="en-US"/>
          <w14:ligatures w14:val="none"/>
        </w:rPr>
      </w:pPr>
    </w:p>
    <w:p w14:paraId="5683E090" w14:textId="4EF9C706" w:rsidR="00B928E1" w:rsidRDefault="00C15CCF" w:rsidP="00C15CCF">
      <w:pPr>
        <w:spacing w:after="200" w:line="240" w:lineRule="auto"/>
        <w:jc w:val="center"/>
        <w:rPr>
          <w:rFonts w:ascii="Times New Roman" w:eastAsiaTheme="minorEastAsia" w:hAnsi="Times New Roman" w:cs="Times New Roman"/>
          <w:b/>
          <w:bCs/>
          <w:w w:val="140"/>
          <w:kern w:val="0"/>
          <w:sz w:val="28"/>
          <w:szCs w:val="28"/>
          <w:lang w:val="en-US"/>
          <w14:ligatures w14:val="none"/>
        </w:rPr>
      </w:pPr>
      <w:r>
        <w:rPr>
          <w:rFonts w:ascii="Arial" w:hAnsi="Arial" w:cs="Arial"/>
          <w:noProof/>
        </w:rPr>
        <mc:AlternateContent>
          <mc:Choice Requires="wps">
            <w:drawing>
              <wp:inline distT="0" distB="0" distL="0" distR="0" wp14:anchorId="749B7EAA" wp14:editId="16C2E9D8">
                <wp:extent cx="5303520" cy="635"/>
                <wp:effectExtent l="9525" t="9525" r="11430" b="9525"/>
                <wp:docPr id="127727927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6E869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p>
    <w:p w14:paraId="4561D0DE" w14:textId="2DAF9BD6" w:rsidR="00C15CCF" w:rsidRDefault="00C15CCF" w:rsidP="00C15CCF">
      <w:pPr>
        <w:rPr>
          <w:rFonts w:ascii="Arial" w:eastAsia="Times New Roman" w:hAnsi="Arial" w:cs="Arial"/>
          <w:b/>
          <w:bCs/>
          <w:kern w:val="0"/>
          <w:lang w:val="en-US"/>
          <w14:ligatures w14:val="none"/>
        </w:rPr>
      </w:pPr>
      <w:r w:rsidRPr="00C15CCF">
        <w:rPr>
          <w:rFonts w:ascii="Arial" w:eastAsia="Times New Roman" w:hAnsi="Arial" w:cs="Arial"/>
          <w:b/>
          <w:bCs/>
          <w:kern w:val="0"/>
          <w:lang w:val="en-US"/>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C15CCF" w:rsidRPr="001E44FE" w14:paraId="44EEB825" w14:textId="77777777" w:rsidTr="004E15E8">
        <w:tc>
          <w:tcPr>
            <w:tcW w:w="9576" w:type="dxa"/>
            <w:shd w:val="clear" w:color="auto" w:fill="F2F2F2"/>
          </w:tcPr>
          <w:p w14:paraId="5240EDC4" w14:textId="77777777" w:rsidR="00D46480" w:rsidRDefault="00B11664" w:rsidP="004E15E8">
            <w:pPr>
              <w:pStyle w:val="Body"/>
              <w:spacing w:after="0"/>
              <w:rPr>
                <w:rFonts w:ascii="Arial" w:eastAsia="Calibri" w:hAnsi="Arial" w:cs="Arial"/>
                <w:szCs w:val="22"/>
              </w:rPr>
            </w:pPr>
            <w:r>
              <w:rPr>
                <w:rFonts w:ascii="Arial" w:eastAsia="Calibri" w:hAnsi="Arial" w:cs="Arial"/>
                <w:szCs w:val="22"/>
              </w:rPr>
              <w:t>According to United Nations, one of the major concerns that the world economy faces is population ageing. With India being the most populous country in the world, the share of elderly population in the country</w:t>
            </w:r>
            <w:r w:rsidR="00A71323">
              <w:rPr>
                <w:rFonts w:ascii="Arial" w:eastAsia="Calibri" w:hAnsi="Arial" w:cs="Arial"/>
                <w:szCs w:val="22"/>
              </w:rPr>
              <w:t xml:space="preserve"> is also rising tremendously. Compared to other States, Kerala has the highest share of elderly population. As elderly are succumbed to health </w:t>
            </w:r>
            <w:r w:rsidR="00D46480">
              <w:rPr>
                <w:rFonts w:ascii="Arial" w:eastAsia="Calibri" w:hAnsi="Arial" w:cs="Arial"/>
                <w:szCs w:val="22"/>
              </w:rPr>
              <w:t xml:space="preserve">deteriorations and illnesses, their well-being is a major concern. With a strong health care system, demand for health care has increased through past years, in the state. </w:t>
            </w:r>
          </w:p>
          <w:p w14:paraId="6B201EB4" w14:textId="14387404" w:rsidR="0018382F" w:rsidRDefault="0018382F" w:rsidP="0050051C">
            <w:pPr>
              <w:pStyle w:val="Body"/>
              <w:spacing w:after="0"/>
              <w:rPr>
                <w:rFonts w:ascii="Arial" w:eastAsia="Calibri" w:hAnsi="Arial" w:cs="Arial"/>
                <w:szCs w:val="22"/>
              </w:rPr>
            </w:pPr>
            <w:r w:rsidRPr="0018382F">
              <w:rPr>
                <w:rFonts w:ascii="Arial" w:eastAsia="Calibri" w:hAnsi="Arial" w:cs="Arial"/>
                <w:b/>
                <w:bCs/>
                <w:szCs w:val="22"/>
              </w:rPr>
              <w:t>Objectives</w:t>
            </w:r>
            <w:r>
              <w:rPr>
                <w:rFonts w:ascii="Arial" w:eastAsia="Calibri" w:hAnsi="Arial" w:cs="Arial"/>
                <w:szCs w:val="22"/>
              </w:rPr>
              <w:t xml:space="preserve">: </w:t>
            </w:r>
            <w:r w:rsidR="0050051C">
              <w:rPr>
                <w:rFonts w:ascii="Arial" w:eastAsia="Calibri" w:hAnsi="Arial" w:cs="Arial"/>
                <w:szCs w:val="22"/>
              </w:rPr>
              <w:t>Thus,</w:t>
            </w:r>
            <w:r w:rsidR="00D46480">
              <w:rPr>
                <w:rFonts w:ascii="Arial" w:eastAsia="Calibri" w:hAnsi="Arial" w:cs="Arial"/>
                <w:szCs w:val="22"/>
              </w:rPr>
              <w:t xml:space="preserve"> the study aims to look into the health care financing, including health expenditure, health insurance coverage, financial catastrophe and coping mechanism</w:t>
            </w:r>
            <w:r w:rsidR="007815F5">
              <w:rPr>
                <w:rFonts w:ascii="Arial" w:eastAsia="Calibri" w:hAnsi="Arial" w:cs="Arial"/>
                <w:szCs w:val="22"/>
              </w:rPr>
              <w:t xml:space="preserve"> of</w:t>
            </w:r>
            <w:r w:rsidR="000C3DBD">
              <w:rPr>
                <w:rFonts w:ascii="Arial" w:eastAsia="Calibri" w:hAnsi="Arial" w:cs="Arial"/>
                <w:szCs w:val="22"/>
              </w:rPr>
              <w:t xml:space="preserve"> elderly population in Kerala</w:t>
            </w:r>
            <w:r w:rsidR="00D46480">
              <w:rPr>
                <w:rFonts w:ascii="Arial" w:eastAsia="Calibri" w:hAnsi="Arial" w:cs="Arial"/>
                <w:szCs w:val="22"/>
              </w:rPr>
              <w:t>.</w:t>
            </w:r>
          </w:p>
          <w:p w14:paraId="047D5288" w14:textId="1D775FED" w:rsidR="0018382F" w:rsidRDefault="0018382F" w:rsidP="0050051C">
            <w:pPr>
              <w:pStyle w:val="Body"/>
              <w:spacing w:after="0"/>
              <w:rPr>
                <w:rFonts w:ascii="Arial" w:eastAsia="Calibri" w:hAnsi="Arial" w:cs="Arial"/>
                <w:szCs w:val="22"/>
              </w:rPr>
            </w:pPr>
            <w:r w:rsidRPr="0018382F">
              <w:rPr>
                <w:rFonts w:ascii="Arial" w:eastAsia="Calibri" w:hAnsi="Arial" w:cs="Arial"/>
                <w:b/>
                <w:bCs/>
                <w:szCs w:val="22"/>
              </w:rPr>
              <w:t>Methodology</w:t>
            </w:r>
            <w:r>
              <w:rPr>
                <w:rFonts w:ascii="Arial" w:eastAsia="Calibri" w:hAnsi="Arial" w:cs="Arial"/>
                <w:szCs w:val="22"/>
              </w:rPr>
              <w:t xml:space="preserve">: </w:t>
            </w:r>
            <w:r w:rsidR="00D46480">
              <w:rPr>
                <w:rFonts w:ascii="Arial" w:eastAsia="Calibri" w:hAnsi="Arial" w:cs="Arial"/>
                <w:szCs w:val="22"/>
              </w:rPr>
              <w:t>The study is based on Minimum Standard Approach, popularized by WHO and employs Multistage Random Sampling technique.</w:t>
            </w:r>
            <w:r>
              <w:rPr>
                <w:rFonts w:ascii="Arial" w:eastAsia="Calibri" w:hAnsi="Arial" w:cs="Arial"/>
                <w:szCs w:val="22"/>
              </w:rPr>
              <w:t xml:space="preserve"> Study area has been divided into three regions and a district from each region has been selected</w:t>
            </w:r>
            <w:r w:rsidR="00624E38">
              <w:rPr>
                <w:rFonts w:ascii="Arial" w:eastAsia="Calibri" w:hAnsi="Arial" w:cs="Arial"/>
                <w:szCs w:val="22"/>
              </w:rPr>
              <w:t xml:space="preserve"> based on size of elderly population</w:t>
            </w:r>
            <w:r>
              <w:rPr>
                <w:rFonts w:ascii="Arial" w:eastAsia="Calibri" w:hAnsi="Arial" w:cs="Arial"/>
                <w:szCs w:val="22"/>
              </w:rPr>
              <w:t xml:space="preserve">. Selected districts </w:t>
            </w:r>
            <w:r w:rsidR="00624E38">
              <w:rPr>
                <w:rFonts w:ascii="Arial" w:eastAsia="Calibri" w:hAnsi="Arial" w:cs="Arial"/>
                <w:szCs w:val="22"/>
              </w:rPr>
              <w:t xml:space="preserve">are Thiruvananthapuram, Ernakulam and Kozhikode. </w:t>
            </w:r>
            <w:r>
              <w:rPr>
                <w:rFonts w:ascii="Arial" w:eastAsia="Calibri" w:hAnsi="Arial" w:cs="Arial"/>
                <w:szCs w:val="22"/>
              </w:rPr>
              <w:t>Sample size calculated using</w:t>
            </w:r>
            <w:r w:rsidR="00624E38">
              <w:rPr>
                <w:rFonts w:ascii="Arial" w:eastAsia="Calibri" w:hAnsi="Arial" w:cs="Arial"/>
                <w:szCs w:val="22"/>
              </w:rPr>
              <w:t xml:space="preserve"> </w:t>
            </w:r>
            <w:proofErr w:type="spellStart"/>
            <w:r w:rsidR="00624E38" w:rsidRPr="00624E38">
              <w:rPr>
                <w:rFonts w:ascii="Arial" w:eastAsia="Calibri" w:hAnsi="Arial" w:cs="Arial"/>
                <w:szCs w:val="22"/>
                <w:lang w:val="en-IN"/>
              </w:rPr>
              <w:t>Krejcie</w:t>
            </w:r>
            <w:proofErr w:type="spellEnd"/>
            <w:r w:rsidR="00624E38" w:rsidRPr="00624E38">
              <w:rPr>
                <w:rFonts w:ascii="Arial" w:eastAsia="Calibri" w:hAnsi="Arial" w:cs="Arial"/>
                <w:szCs w:val="22"/>
                <w:lang w:val="en-IN"/>
              </w:rPr>
              <w:t xml:space="preserve"> and Morgan table</w:t>
            </w:r>
            <w:r w:rsidR="00624E38">
              <w:rPr>
                <w:rFonts w:ascii="Arial" w:eastAsia="Calibri" w:hAnsi="Arial" w:cs="Arial"/>
                <w:szCs w:val="22"/>
                <w:lang w:val="en-IN"/>
              </w:rPr>
              <w:t xml:space="preserve"> and is estimated as 400 elderly households.</w:t>
            </w:r>
            <w:r w:rsidR="003E2152">
              <w:rPr>
                <w:rFonts w:ascii="Arial" w:eastAsia="Calibri" w:hAnsi="Arial" w:cs="Arial"/>
                <w:szCs w:val="22"/>
              </w:rPr>
              <w:t xml:space="preserve"> Tools of analysis include descriptive and inferential statistics like </w:t>
            </w:r>
            <w:r w:rsidR="004469C2">
              <w:rPr>
                <w:rFonts w:ascii="Arial" w:eastAsia="Calibri" w:hAnsi="Arial" w:cs="Arial"/>
                <w:szCs w:val="22"/>
              </w:rPr>
              <w:t>Analysis of Covariance (</w:t>
            </w:r>
            <w:r w:rsidR="003E2152">
              <w:rPr>
                <w:rFonts w:ascii="Arial" w:eastAsia="Calibri" w:hAnsi="Arial" w:cs="Arial"/>
                <w:szCs w:val="22"/>
              </w:rPr>
              <w:t>ANCOVA</w:t>
            </w:r>
            <w:r w:rsidR="004469C2">
              <w:rPr>
                <w:rFonts w:ascii="Arial" w:eastAsia="Calibri" w:hAnsi="Arial" w:cs="Arial"/>
                <w:szCs w:val="22"/>
              </w:rPr>
              <w:t>)</w:t>
            </w:r>
            <w:r w:rsidR="003E2152">
              <w:rPr>
                <w:rFonts w:ascii="Arial" w:eastAsia="Calibri" w:hAnsi="Arial" w:cs="Arial"/>
                <w:szCs w:val="22"/>
              </w:rPr>
              <w:t>.</w:t>
            </w:r>
          </w:p>
          <w:p w14:paraId="4892DB2A" w14:textId="23D0A075" w:rsidR="00C15CCF" w:rsidRPr="00BA1B01" w:rsidRDefault="0018382F" w:rsidP="0050051C">
            <w:pPr>
              <w:pStyle w:val="Body"/>
              <w:spacing w:after="0"/>
              <w:rPr>
                <w:rFonts w:ascii="Arial" w:eastAsia="Calibri" w:hAnsi="Arial" w:cs="Arial"/>
                <w:szCs w:val="22"/>
              </w:rPr>
            </w:pPr>
            <w:r w:rsidRPr="0018382F">
              <w:rPr>
                <w:rFonts w:ascii="Arial" w:eastAsia="Calibri" w:hAnsi="Arial" w:cs="Arial"/>
                <w:b/>
                <w:bCs/>
                <w:szCs w:val="22"/>
              </w:rPr>
              <w:t>Results</w:t>
            </w:r>
            <w:r>
              <w:rPr>
                <w:rFonts w:ascii="Arial" w:eastAsia="Calibri" w:hAnsi="Arial" w:cs="Arial"/>
                <w:szCs w:val="22"/>
              </w:rPr>
              <w:t xml:space="preserve">: </w:t>
            </w:r>
            <w:r w:rsidR="003E2152">
              <w:rPr>
                <w:rFonts w:ascii="Arial" w:eastAsia="Calibri" w:hAnsi="Arial" w:cs="Arial"/>
                <w:szCs w:val="22"/>
              </w:rPr>
              <w:t xml:space="preserve"> Results reveal that</w:t>
            </w:r>
            <w:r w:rsidR="000C700D">
              <w:rPr>
                <w:rFonts w:ascii="Arial" w:eastAsia="Calibri" w:hAnsi="Arial" w:cs="Arial"/>
                <w:szCs w:val="22"/>
              </w:rPr>
              <w:t xml:space="preserve"> 92% of the surveyed households reported presence </w:t>
            </w:r>
            <w:r w:rsidR="00401BB1">
              <w:rPr>
                <w:rFonts w:ascii="Arial" w:eastAsia="Calibri" w:hAnsi="Arial" w:cs="Arial"/>
                <w:szCs w:val="22"/>
              </w:rPr>
              <w:t>of Out</w:t>
            </w:r>
            <w:r w:rsidR="003E2152" w:rsidRPr="003E2152">
              <w:rPr>
                <w:rFonts w:ascii="Arial" w:eastAsia="Calibri" w:hAnsi="Arial" w:cs="Arial"/>
                <w:szCs w:val="22"/>
                <w:lang w:val="en-IN"/>
              </w:rPr>
              <w:t>-of-pocket (OOP) healthcare expenditure</w:t>
            </w:r>
            <w:r w:rsidR="000C700D">
              <w:rPr>
                <w:rFonts w:ascii="Arial" w:eastAsia="Calibri" w:hAnsi="Arial" w:cs="Arial"/>
                <w:szCs w:val="22"/>
                <w:lang w:val="en-IN"/>
              </w:rPr>
              <w:t>, with significant disparity in health spending,</w:t>
            </w:r>
            <w:r w:rsidR="003E2152">
              <w:rPr>
                <w:rFonts w:ascii="Arial" w:eastAsia="Calibri" w:hAnsi="Arial" w:cs="Arial"/>
                <w:szCs w:val="22"/>
                <w:lang w:val="en-IN"/>
              </w:rPr>
              <w:t xml:space="preserve"> and catastrophic expenditures are prevalent among the studied group.</w:t>
            </w:r>
            <w:r w:rsidR="00401BB1">
              <w:rPr>
                <w:rFonts w:ascii="Arial" w:eastAsia="Calibri" w:hAnsi="Arial" w:cs="Arial"/>
                <w:szCs w:val="22"/>
                <w:lang w:val="en-IN"/>
              </w:rPr>
              <w:t xml:space="preserve"> Mean expenditure was observed to be 3412.35 Rs. Purchase of medicines was observed to be the most important component of OOP expenditure, followed by diagnostic tests and travel expenses. Determinants of OOP health expenditure were analysed using ANCOVA and</w:t>
            </w:r>
            <w:r w:rsidR="00401BB1" w:rsidRPr="00401BB1">
              <w:rPr>
                <w:rFonts w:ascii="Arial" w:eastAsia="Calibri" w:hAnsi="Arial" w:cs="Arial"/>
                <w:szCs w:val="22"/>
                <w:lang w:val="en-IN"/>
              </w:rPr>
              <w:t xml:space="preserve"> coefficients like use of private health care, chronic diseases and the number of elderly</w:t>
            </w:r>
            <w:r w:rsidR="00401BB1">
              <w:rPr>
                <w:rFonts w:ascii="Arial" w:eastAsia="Calibri" w:hAnsi="Arial" w:cs="Arial"/>
                <w:szCs w:val="22"/>
                <w:lang w:val="en-IN"/>
              </w:rPr>
              <w:t xml:space="preserve"> were observed to </w:t>
            </w:r>
            <w:r w:rsidR="00401BB1" w:rsidRPr="00401BB1">
              <w:rPr>
                <w:rFonts w:ascii="Arial" w:eastAsia="Calibri" w:hAnsi="Arial" w:cs="Arial"/>
                <w:szCs w:val="22"/>
                <w:lang w:val="en-IN"/>
              </w:rPr>
              <w:t>have a significant effect on OOP health expenditure</w:t>
            </w:r>
            <w:r w:rsidR="00401BB1">
              <w:rPr>
                <w:rFonts w:ascii="Arial" w:eastAsia="Calibri" w:hAnsi="Arial" w:cs="Arial"/>
                <w:szCs w:val="22"/>
                <w:lang w:val="en-IN"/>
              </w:rPr>
              <w:t xml:space="preserve">. </w:t>
            </w:r>
            <w:r w:rsidR="003E2152">
              <w:rPr>
                <w:rFonts w:ascii="Arial" w:eastAsia="Calibri" w:hAnsi="Arial" w:cs="Arial"/>
                <w:szCs w:val="22"/>
                <w:lang w:val="en-IN"/>
              </w:rPr>
              <w:t xml:space="preserve">In spite of wide health insurance coverage, gaps exists and there is a need for more inclusive policies among the </w:t>
            </w:r>
            <w:r w:rsidR="0050051C">
              <w:rPr>
                <w:rFonts w:ascii="Arial" w:eastAsia="Calibri" w:hAnsi="Arial" w:cs="Arial"/>
                <w:szCs w:val="22"/>
                <w:lang w:val="en-IN"/>
              </w:rPr>
              <w:t>low-income</w:t>
            </w:r>
            <w:r w:rsidR="003E2152">
              <w:rPr>
                <w:rFonts w:ascii="Arial" w:eastAsia="Calibri" w:hAnsi="Arial" w:cs="Arial"/>
                <w:szCs w:val="22"/>
                <w:lang w:val="en-IN"/>
              </w:rPr>
              <w:t xml:space="preserve"> category.</w:t>
            </w:r>
            <w:r w:rsidR="0050051C">
              <w:rPr>
                <w:rFonts w:ascii="Arial" w:eastAsia="Calibri" w:hAnsi="Arial" w:cs="Arial"/>
                <w:szCs w:val="22"/>
                <w:lang w:val="en-IN"/>
              </w:rPr>
              <w:t xml:space="preserve"> A heavy reliance on income, savings and family members, as coping mechanism have been observed.</w:t>
            </w:r>
          </w:p>
        </w:tc>
      </w:tr>
    </w:tbl>
    <w:p w14:paraId="2A75540B" w14:textId="77777777" w:rsidR="00C15CCF" w:rsidRDefault="00C15CCF" w:rsidP="00C15CCF">
      <w:pPr>
        <w:rPr>
          <w:rFonts w:ascii="Times New Roman" w:eastAsiaTheme="minorEastAsia" w:hAnsi="Times New Roman" w:cs="Times New Roman"/>
          <w:b/>
          <w:bCs/>
          <w:lang w:val="en-US"/>
        </w:rPr>
      </w:pPr>
    </w:p>
    <w:p w14:paraId="05FD1BA1" w14:textId="0ADDCEE2" w:rsidR="003A5B05" w:rsidRPr="003A5B05" w:rsidRDefault="003A5B05" w:rsidP="008B387D">
      <w:pPr>
        <w:spacing w:after="0" w:line="240" w:lineRule="auto"/>
        <w:rPr>
          <w:rFonts w:ascii="Arial" w:eastAsia="Times New Roman" w:hAnsi="Arial" w:cs="Arial"/>
          <w:i/>
          <w:kern w:val="0"/>
          <w:sz w:val="20"/>
          <w:szCs w:val="20"/>
          <w:lang w:val="en-US"/>
          <w14:ligatures w14:val="none"/>
        </w:rPr>
      </w:pPr>
      <w:r w:rsidRPr="003A5B05">
        <w:rPr>
          <w:rFonts w:ascii="Arial" w:eastAsia="Times New Roman" w:hAnsi="Arial" w:cs="Arial"/>
          <w:i/>
          <w:kern w:val="0"/>
          <w:sz w:val="20"/>
          <w:szCs w:val="20"/>
          <w:lang w:val="en-US"/>
          <w14:ligatures w14:val="none"/>
        </w:rPr>
        <w:t>Keywords:</w:t>
      </w:r>
      <w:r w:rsidR="008B387D">
        <w:rPr>
          <w:rFonts w:ascii="Arial" w:eastAsia="Times New Roman" w:hAnsi="Arial" w:cs="Arial"/>
          <w:i/>
          <w:kern w:val="0"/>
          <w:sz w:val="20"/>
          <w:szCs w:val="20"/>
          <w:lang w:val="en-US"/>
          <w14:ligatures w14:val="none"/>
        </w:rPr>
        <w:t xml:space="preserve"> Geriatric health, Health Financing, Health Care Demand, Elderly in Kerala.</w:t>
      </w:r>
    </w:p>
    <w:p w14:paraId="5EC23698" w14:textId="77777777" w:rsidR="008B387D" w:rsidRDefault="008B387D" w:rsidP="003A5B05">
      <w:pPr>
        <w:keepNext/>
        <w:spacing w:after="0" w:line="240" w:lineRule="auto"/>
        <w:jc w:val="both"/>
        <w:rPr>
          <w:rFonts w:ascii="Arial" w:eastAsia="Times New Roman" w:hAnsi="Arial" w:cs="Arial"/>
          <w:b/>
          <w:caps/>
          <w:kern w:val="0"/>
          <w:szCs w:val="20"/>
          <w:lang w:val="en-US"/>
          <w14:ligatures w14:val="none"/>
        </w:rPr>
      </w:pPr>
    </w:p>
    <w:p w14:paraId="1AB0EC5C" w14:textId="54537B24" w:rsidR="003A5B05" w:rsidRPr="003A5B05" w:rsidRDefault="003A5B05" w:rsidP="003A5B05">
      <w:pPr>
        <w:keepNext/>
        <w:spacing w:after="0" w:line="240" w:lineRule="auto"/>
        <w:jc w:val="both"/>
        <w:rPr>
          <w:rFonts w:ascii="Arial" w:eastAsia="Times New Roman" w:hAnsi="Arial" w:cs="Arial"/>
          <w:b/>
          <w:caps/>
          <w:kern w:val="0"/>
          <w:szCs w:val="20"/>
          <w:lang w:val="en-US"/>
          <w14:ligatures w14:val="none"/>
        </w:rPr>
      </w:pPr>
      <w:r w:rsidRPr="003A5B05">
        <w:rPr>
          <w:rFonts w:ascii="Arial" w:eastAsia="Times New Roman" w:hAnsi="Arial" w:cs="Arial"/>
          <w:b/>
          <w:caps/>
          <w:kern w:val="0"/>
          <w:szCs w:val="20"/>
          <w:lang w:val="en-US"/>
          <w14:ligatures w14:val="none"/>
        </w:rPr>
        <w:t xml:space="preserve">1. INTRODUCTION </w:t>
      </w:r>
    </w:p>
    <w:p w14:paraId="04D675F2"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CF0EBC0" w14:textId="52C870AA" w:rsidR="00420294" w:rsidRDefault="008B387D" w:rsidP="00420294">
      <w:pPr>
        <w:spacing w:after="0" w:line="240" w:lineRule="auto"/>
        <w:jc w:val="both"/>
        <w:rPr>
          <w:rFonts w:ascii="Arial" w:eastAsia="Times New Roman" w:hAnsi="Arial" w:cs="Arial"/>
          <w:kern w:val="0"/>
          <w:sz w:val="20"/>
          <w:szCs w:val="20"/>
          <w:lang w:val="en-US"/>
          <w14:ligatures w14:val="none"/>
        </w:rPr>
      </w:pPr>
      <w:r w:rsidRPr="008B387D">
        <w:rPr>
          <w:rFonts w:ascii="Arial" w:eastAsia="Times New Roman" w:hAnsi="Arial" w:cs="Arial"/>
          <w:kern w:val="0"/>
          <w:sz w:val="20"/>
          <w:szCs w:val="20"/>
          <w:lang w:val="en-US"/>
          <w14:ligatures w14:val="none"/>
        </w:rPr>
        <w:t>World population is rising considerably and has reached about 8.2 billion in 2024 (United Nations., 2024</w:t>
      </w:r>
      <w:r w:rsidR="00A71323" w:rsidRPr="008B387D">
        <w:rPr>
          <w:rFonts w:ascii="Arial" w:eastAsia="Times New Roman" w:hAnsi="Arial" w:cs="Arial"/>
          <w:kern w:val="0"/>
          <w:sz w:val="20"/>
          <w:szCs w:val="20"/>
          <w:lang w:val="en-US"/>
          <w14:ligatures w14:val="none"/>
        </w:rPr>
        <w:t>)</w:t>
      </w:r>
      <w:r w:rsidR="00A71323" w:rsidRPr="00420294">
        <w:rPr>
          <w:rFonts w:ascii="Arial" w:eastAsia="Times New Roman" w:hAnsi="Arial" w:cs="Arial"/>
          <w:kern w:val="0"/>
          <w:sz w:val="20"/>
          <w:szCs w:val="20"/>
          <w:lang w:val="en-US"/>
          <w14:ligatures w14:val="none"/>
        </w:rPr>
        <w:t>.</w:t>
      </w:r>
      <w:r w:rsidR="00A71323" w:rsidRPr="00F21C2D">
        <w:rPr>
          <w:rFonts w:ascii="Arial" w:eastAsia="Times New Roman" w:hAnsi="Arial" w:cs="Arial"/>
          <w:kern w:val="0"/>
          <w:sz w:val="20"/>
          <w:szCs w:val="20"/>
          <w:lang w:val="en-US"/>
          <w14:ligatures w14:val="none"/>
        </w:rPr>
        <w:t xml:space="preserve"> Since</w:t>
      </w:r>
      <w:r w:rsidR="00F21C2D" w:rsidRPr="00F21C2D">
        <w:rPr>
          <w:rFonts w:ascii="Arial" w:eastAsia="Times New Roman" w:hAnsi="Arial" w:cs="Arial"/>
          <w:kern w:val="0"/>
          <w:sz w:val="20"/>
          <w:szCs w:val="20"/>
          <w:lang w:val="en-US"/>
          <w14:ligatures w14:val="none"/>
        </w:rPr>
        <w:t xml:space="preserve"> 1950, </w:t>
      </w:r>
      <w:bookmarkStart w:id="1" w:name="_Hlk164769747"/>
      <w:r w:rsidR="00F21C2D" w:rsidRPr="00F21C2D">
        <w:rPr>
          <w:rFonts w:ascii="Arial" w:eastAsia="Times New Roman" w:hAnsi="Arial" w:cs="Arial"/>
          <w:kern w:val="0"/>
          <w:sz w:val="20"/>
          <w:szCs w:val="20"/>
          <w:lang w:val="en-US"/>
          <w14:ligatures w14:val="none"/>
        </w:rPr>
        <w:t>the geriatric population has been rising and people above 60 years is expected to reach 2.1 billion by 2050 and those above 80 years is expected to triple and reach 426 million (United Nations., 2022).</w:t>
      </w:r>
      <w:bookmarkEnd w:id="1"/>
      <w:r w:rsidR="00F21C2D" w:rsidRPr="00F21C2D">
        <w:rPr>
          <w:rFonts w:ascii="Arial" w:eastAsia="Times New Roman" w:hAnsi="Arial" w:cs="Arial"/>
          <w:kern w:val="0"/>
          <w:sz w:val="20"/>
          <w:szCs w:val="20"/>
          <w:lang w:val="en-US"/>
          <w14:ligatures w14:val="none"/>
        </w:rPr>
        <w:t xml:space="preserve"> The old age dependency ratio has been rising over the years according to United Nations and is expected to increase further in the coming years. It was observed to be 11.3 in 2005 and 11.7 in 2010. This ratio is expected to touch 18 by 2030. It has been observed that since 1950 the geriatric population has tripled. This process is high in the developed nations and is growing faster in developing nations. Although ageing may be considered as a worldwide issue with certain countries being identified as </w:t>
      </w:r>
      <w:r w:rsidR="00F21C2D" w:rsidRPr="00F21C2D">
        <w:rPr>
          <w:rFonts w:ascii="Arial" w:eastAsia="Times New Roman" w:hAnsi="Arial" w:cs="Arial"/>
          <w:kern w:val="0"/>
          <w:sz w:val="20"/>
          <w:szCs w:val="20"/>
          <w:lang w:val="en-US"/>
          <w14:ligatures w14:val="none"/>
        </w:rPr>
        <w:lastRenderedPageBreak/>
        <w:t>‘</w:t>
      </w:r>
      <w:proofErr w:type="gramStart"/>
      <w:r w:rsidR="00F21C2D" w:rsidRPr="00F21C2D">
        <w:rPr>
          <w:rFonts w:ascii="Arial" w:eastAsia="Times New Roman" w:hAnsi="Arial" w:cs="Arial"/>
          <w:kern w:val="0"/>
          <w:sz w:val="20"/>
          <w:szCs w:val="20"/>
          <w:lang w:val="en-US"/>
          <w14:ligatures w14:val="none"/>
        </w:rPr>
        <w:t>demographic</w:t>
      </w:r>
      <w:proofErr w:type="gramEnd"/>
      <w:r w:rsidR="00F21C2D" w:rsidRPr="00F21C2D">
        <w:rPr>
          <w:rFonts w:ascii="Arial" w:eastAsia="Times New Roman" w:hAnsi="Arial" w:cs="Arial"/>
          <w:kern w:val="0"/>
          <w:sz w:val="20"/>
          <w:szCs w:val="20"/>
          <w:lang w:val="en-US"/>
          <w14:ligatures w14:val="none"/>
        </w:rPr>
        <w:t xml:space="preserve"> outliers’ by UN, Europe and Asia are identified as regions with more </w:t>
      </w:r>
      <w:r w:rsidR="00F21C2D" w:rsidRPr="00F21C2D">
        <w:rPr>
          <w:rFonts w:ascii="Arial" w:eastAsia="Times New Roman" w:hAnsi="Arial" w:cs="Arial"/>
          <w:kern w:val="0"/>
          <w:sz w:val="20"/>
          <w:szCs w:val="20"/>
          <w14:ligatures w14:val="none"/>
        </w:rPr>
        <w:t>nations experiencing later phases of demographic ageing</w:t>
      </w:r>
      <w:r w:rsidR="00F21C2D" w:rsidRPr="00F21C2D">
        <w:rPr>
          <w:rFonts w:ascii="Arial" w:eastAsia="Times New Roman" w:hAnsi="Arial" w:cs="Arial"/>
          <w:kern w:val="0"/>
          <w:sz w:val="20"/>
          <w:szCs w:val="20"/>
          <w:lang w:val="en-US"/>
          <w14:ligatures w14:val="none"/>
        </w:rPr>
        <w:t xml:space="preserve">. </w:t>
      </w:r>
    </w:p>
    <w:p w14:paraId="4D9494CE" w14:textId="77777777" w:rsidR="00F21C2D" w:rsidRDefault="00F21C2D" w:rsidP="00420294">
      <w:pPr>
        <w:spacing w:after="0" w:line="240" w:lineRule="auto"/>
        <w:jc w:val="both"/>
        <w:rPr>
          <w:rFonts w:ascii="Arial" w:eastAsia="Times New Roman" w:hAnsi="Arial" w:cs="Arial"/>
          <w:kern w:val="0"/>
          <w:sz w:val="20"/>
          <w:szCs w:val="20"/>
          <w:lang w:val="en-US"/>
          <w14:ligatures w14:val="none"/>
        </w:rPr>
      </w:pPr>
    </w:p>
    <w:p w14:paraId="7DDD4F2C" w14:textId="2912112A" w:rsidR="00F21C2D" w:rsidRPr="00F21C2D" w:rsidRDefault="00F21C2D" w:rsidP="00F21C2D">
      <w:pPr>
        <w:pStyle w:val="ListParagraph"/>
        <w:numPr>
          <w:ilvl w:val="1"/>
          <w:numId w:val="1"/>
        </w:numPr>
        <w:spacing w:after="0" w:line="240" w:lineRule="auto"/>
        <w:jc w:val="both"/>
        <w:rPr>
          <w:rFonts w:ascii="Arial" w:eastAsia="Times New Roman" w:hAnsi="Arial" w:cs="Arial"/>
          <w:b/>
          <w:kern w:val="0"/>
          <w:szCs w:val="20"/>
          <w:lang w:val="en-US"/>
          <w14:ligatures w14:val="none"/>
        </w:rPr>
      </w:pPr>
      <w:r w:rsidRPr="00F21C2D">
        <w:rPr>
          <w:rFonts w:ascii="Arial" w:eastAsia="Times New Roman" w:hAnsi="Arial" w:cs="Arial"/>
          <w:b/>
          <w:kern w:val="0"/>
          <w:szCs w:val="20"/>
          <w:lang w:val="en-US"/>
          <w14:ligatures w14:val="none"/>
        </w:rPr>
        <w:t xml:space="preserve">Indian Scenario </w:t>
      </w:r>
    </w:p>
    <w:p w14:paraId="26265EDD" w14:textId="77777777" w:rsidR="00F21C2D" w:rsidRPr="00F21C2D" w:rsidRDefault="00F21C2D" w:rsidP="00F21C2D">
      <w:pPr>
        <w:spacing w:after="0" w:line="240" w:lineRule="auto"/>
        <w:jc w:val="both"/>
        <w:rPr>
          <w:rFonts w:ascii="Arial" w:eastAsia="Times New Roman" w:hAnsi="Arial" w:cs="Arial"/>
          <w:kern w:val="0"/>
          <w:sz w:val="20"/>
          <w:szCs w:val="20"/>
          <w:lang w:val="en-US"/>
          <w14:ligatures w14:val="none"/>
        </w:rPr>
      </w:pPr>
    </w:p>
    <w:p w14:paraId="337DFA99" w14:textId="10214134" w:rsidR="00030402" w:rsidRPr="00030402" w:rsidRDefault="00F21C2D" w:rsidP="00030402">
      <w:pPr>
        <w:spacing w:after="0" w:line="240" w:lineRule="auto"/>
        <w:jc w:val="both"/>
        <w:rPr>
          <w:rFonts w:ascii="Arial" w:eastAsia="Times New Roman" w:hAnsi="Arial" w:cs="Arial"/>
          <w:kern w:val="0"/>
          <w:sz w:val="20"/>
          <w:szCs w:val="20"/>
          <w:lang w:val="en-US"/>
          <w14:ligatures w14:val="none"/>
        </w:rPr>
      </w:pPr>
      <w:r w:rsidRPr="00F21C2D">
        <w:rPr>
          <w:rFonts w:ascii="Arial" w:eastAsia="Times New Roman" w:hAnsi="Arial" w:cs="Arial"/>
          <w:kern w:val="0"/>
          <w:sz w:val="20"/>
          <w:szCs w:val="20"/>
          <w:lang w:val="en-US"/>
          <w14:ligatures w14:val="none"/>
        </w:rPr>
        <w:t>India, as a developing country, is experiencing rapid ageing</w:t>
      </w:r>
      <w:r>
        <w:rPr>
          <w:rFonts w:ascii="Arial" w:eastAsia="Times New Roman" w:hAnsi="Arial" w:cs="Arial"/>
          <w:kern w:val="0"/>
          <w:sz w:val="20"/>
          <w:szCs w:val="20"/>
          <w:lang w:val="en-US"/>
          <w14:ligatures w14:val="none"/>
        </w:rPr>
        <w:t>.</w:t>
      </w:r>
      <w:r w:rsidR="0024298F">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T</w:t>
      </w:r>
      <w:r w:rsidRPr="00F21C2D">
        <w:rPr>
          <w:rFonts w:ascii="Arial" w:eastAsia="Times New Roman" w:hAnsi="Arial" w:cs="Arial"/>
          <w:kern w:val="0"/>
          <w:sz w:val="20"/>
          <w:szCs w:val="20"/>
          <w:lang w:val="en-US"/>
          <w14:ligatures w14:val="none"/>
        </w:rPr>
        <w:t>he share of population above 60 years of age was 8 percent in 2005, 10.5% in 2022 and is anticipated to reach 20.8 % by the year 2050(UNFPA</w:t>
      </w:r>
      <w:r>
        <w:rPr>
          <w:rFonts w:ascii="Arial" w:eastAsia="Times New Roman" w:hAnsi="Arial" w:cs="Arial"/>
          <w:kern w:val="0"/>
          <w:sz w:val="20"/>
          <w:szCs w:val="20"/>
          <w:lang w:val="en-US"/>
          <w14:ligatures w14:val="none"/>
        </w:rPr>
        <w:t>.,</w:t>
      </w:r>
      <w:r w:rsidRPr="00F21C2D">
        <w:rPr>
          <w:rFonts w:ascii="Arial" w:eastAsia="Times New Roman" w:hAnsi="Arial" w:cs="Arial"/>
          <w:kern w:val="0"/>
          <w:sz w:val="20"/>
          <w:szCs w:val="20"/>
          <w:lang w:val="en-US"/>
          <w14:ligatures w14:val="none"/>
        </w:rPr>
        <w:t xml:space="preserve"> 2023)</w:t>
      </w:r>
      <w:r>
        <w:rPr>
          <w:rFonts w:ascii="Arial" w:eastAsia="Times New Roman" w:hAnsi="Arial" w:cs="Arial"/>
          <w:kern w:val="0"/>
          <w:sz w:val="20"/>
          <w:szCs w:val="20"/>
          <w:lang w:val="en-US"/>
          <w14:ligatures w14:val="none"/>
        </w:rPr>
        <w:t>.</w:t>
      </w:r>
      <w:r w:rsidR="00030402" w:rsidRPr="00030402">
        <w:rPr>
          <w:rFonts w:ascii="Times New Roman" w:eastAsia="Times New Roman" w:hAnsi="Times New Roman" w:cs="Times New Roman"/>
          <w:kern w:val="0"/>
          <w:sz w:val="24"/>
          <w:szCs w:val="24"/>
          <w:lang w:val="en-US"/>
          <w14:ligatures w14:val="none"/>
        </w:rPr>
        <w:t xml:space="preserve"> </w:t>
      </w:r>
      <w:r w:rsidR="00030402" w:rsidRPr="00030402">
        <w:rPr>
          <w:rFonts w:ascii="Arial" w:eastAsia="Times New Roman" w:hAnsi="Arial" w:cs="Arial"/>
          <w:kern w:val="0"/>
          <w:sz w:val="20"/>
          <w:szCs w:val="20"/>
          <w:lang w:val="en-US"/>
          <w14:ligatures w14:val="none"/>
        </w:rPr>
        <w:t>The World Health Organization expects the proportion of people aged 60 and above to rise from 12% to 22% (WHO, 2018). In India, the process of aging is progressing swiftly resulting in a surge in the percentage of adults within the nation. The number of individuals is increasing by 2.7% annually with their count escalating from 77 million during the census conducted in 2001 to reaching up to about 153 million by 2023 (Rajan and Mishra., 2020).</w:t>
      </w:r>
    </w:p>
    <w:p w14:paraId="299822FF" w14:textId="70B78D71"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The trend of growth is expected to continue at a rate of 3.6%, per year as noted by the Government of Kerala in 2009 and research by Irudaya Rajan and others in 2020.</w:t>
      </w:r>
      <w:r w:rsidRPr="00030402">
        <w:rPr>
          <w:rFonts w:ascii="Times New Roman" w:eastAsia="Times New Roman" w:hAnsi="Times New Roman" w:cs="Times New Roman"/>
          <w:kern w:val="0"/>
          <w:sz w:val="24"/>
          <w:szCs w:val="24"/>
          <w:lang w:val="en-US"/>
          <w14:ligatures w14:val="none"/>
        </w:rPr>
        <w:t xml:space="preserve"> </w:t>
      </w:r>
      <w:r w:rsidRPr="00030402">
        <w:rPr>
          <w:rFonts w:ascii="Arial" w:eastAsia="Times New Roman" w:hAnsi="Arial" w:cs="Arial"/>
          <w:kern w:val="0"/>
          <w:sz w:val="20"/>
          <w:szCs w:val="20"/>
          <w:lang w:val="en-US"/>
          <w14:ligatures w14:val="none"/>
        </w:rPr>
        <w:t>In India</w:t>
      </w:r>
      <w:r>
        <w:rPr>
          <w:rFonts w:ascii="Arial" w:eastAsia="Times New Roman" w:hAnsi="Arial" w:cs="Arial"/>
          <w:kern w:val="0"/>
          <w:sz w:val="20"/>
          <w:szCs w:val="20"/>
          <w:lang w:val="en-US"/>
          <w14:ligatures w14:val="none"/>
        </w:rPr>
        <w:t>,</w:t>
      </w:r>
      <w:r w:rsidRPr="00030402">
        <w:rPr>
          <w:rFonts w:ascii="Arial" w:eastAsia="Times New Roman" w:hAnsi="Arial" w:cs="Arial"/>
          <w:kern w:val="0"/>
          <w:sz w:val="20"/>
          <w:szCs w:val="20"/>
          <w:lang w:val="en-US"/>
          <w14:ligatures w14:val="none"/>
        </w:rPr>
        <w:t xml:space="preserve"> the proportion of elderly people compared to the working age population was </w:t>
      </w:r>
      <w:r>
        <w:rPr>
          <w:rFonts w:ascii="Arial" w:eastAsia="Times New Roman" w:hAnsi="Arial" w:cs="Arial"/>
          <w:kern w:val="0"/>
          <w:sz w:val="20"/>
          <w:szCs w:val="20"/>
          <w:lang w:val="en-US"/>
          <w14:ligatures w14:val="none"/>
        </w:rPr>
        <w:t>observed to be</w:t>
      </w:r>
      <w:r w:rsidRPr="00030402">
        <w:rPr>
          <w:rFonts w:ascii="Arial" w:eastAsia="Times New Roman" w:hAnsi="Arial" w:cs="Arial"/>
          <w:kern w:val="0"/>
          <w:sz w:val="20"/>
          <w:szCs w:val="20"/>
          <w:lang w:val="en-US"/>
          <w14:ligatures w14:val="none"/>
        </w:rPr>
        <w:t xml:space="preserve"> 14.2% during the 2011 Census, with Kerala showing a ratio of 19.6% mainly due to an increase in life expectancy from birth (Government of Kerala, 2017).</w:t>
      </w:r>
      <w:r>
        <w:rPr>
          <w:rFonts w:ascii="Arial" w:eastAsia="Times New Roman" w:hAnsi="Arial" w:cs="Arial"/>
          <w:kern w:val="0"/>
          <w:sz w:val="20"/>
          <w:szCs w:val="20"/>
          <w:lang w:val="en-US"/>
          <w14:ligatures w14:val="none"/>
        </w:rPr>
        <w:t xml:space="preserve"> </w:t>
      </w:r>
    </w:p>
    <w:p w14:paraId="6EA6CFE7" w14:textId="77777777" w:rsidR="00030402" w:rsidRDefault="00030402" w:rsidP="00030402">
      <w:pPr>
        <w:spacing w:after="0" w:line="240" w:lineRule="auto"/>
        <w:jc w:val="both"/>
        <w:rPr>
          <w:rFonts w:ascii="Arial" w:eastAsia="Times New Roman" w:hAnsi="Arial" w:cs="Arial"/>
          <w:kern w:val="0"/>
          <w:sz w:val="20"/>
          <w:szCs w:val="20"/>
          <w:lang w:val="en-US"/>
          <w14:ligatures w14:val="none"/>
        </w:rPr>
      </w:pPr>
    </w:p>
    <w:p w14:paraId="260953E9" w14:textId="0750762E" w:rsidR="00030402" w:rsidRPr="00F21C2D" w:rsidRDefault="00030402" w:rsidP="00030402">
      <w:pPr>
        <w:pStyle w:val="ListParagraph"/>
        <w:numPr>
          <w:ilvl w:val="1"/>
          <w:numId w:val="1"/>
        </w:num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kern w:val="0"/>
          <w:szCs w:val="20"/>
          <w:lang w:val="en-US"/>
          <w14:ligatures w14:val="none"/>
        </w:rPr>
        <w:t>Elderly in Kerala</w:t>
      </w:r>
    </w:p>
    <w:p w14:paraId="4EE4C98A" w14:textId="77777777" w:rsidR="00030402" w:rsidRPr="00F21C2D" w:rsidRDefault="00030402" w:rsidP="00030402">
      <w:pPr>
        <w:spacing w:after="0" w:line="240" w:lineRule="auto"/>
        <w:jc w:val="both"/>
        <w:rPr>
          <w:rFonts w:ascii="Arial" w:eastAsia="Times New Roman" w:hAnsi="Arial" w:cs="Arial"/>
          <w:kern w:val="0"/>
          <w:sz w:val="20"/>
          <w:szCs w:val="20"/>
          <w:lang w:val="en-US"/>
          <w14:ligatures w14:val="none"/>
        </w:rPr>
      </w:pPr>
    </w:p>
    <w:p w14:paraId="5E325BCE" w14:textId="12738DF7" w:rsidR="00030402" w:rsidRDefault="00030402" w:rsidP="00030402">
      <w:pPr>
        <w:spacing w:after="0" w:line="240" w:lineRule="auto"/>
        <w:jc w:val="both"/>
        <w:rPr>
          <w:rFonts w:ascii="Arial" w:eastAsia="Times New Roman" w:hAnsi="Arial" w:cs="Arial"/>
          <w:kern w:val="0"/>
          <w:sz w:val="20"/>
          <w:szCs w:val="20"/>
          <w:lang w:val="en-US"/>
          <w14:ligatures w14:val="none"/>
        </w:rPr>
      </w:pPr>
      <w:r w:rsidRPr="00030402">
        <w:rPr>
          <w:rFonts w:ascii="Arial" w:eastAsia="Times New Roman" w:hAnsi="Arial" w:cs="Arial"/>
          <w:kern w:val="0"/>
          <w:sz w:val="20"/>
          <w:szCs w:val="20"/>
          <w:lang w:val="en-US"/>
          <w14:ligatures w14:val="none"/>
        </w:rPr>
        <w:t>Kerala is one of the most aging states and achieved below replacement level fertility much before other states. The elderly population in Kerala is growing faster than the rest of the nation. As per the Census of 2011, Kerala had a total population of nearly 3.36 crores with 12.6 percent individuals aged 60 years and higher. Since 1981, every year one million elderly people are added to Kerala’s population (</w:t>
      </w:r>
      <w:r w:rsidR="0040031D">
        <w:rPr>
          <w:rFonts w:ascii="Arial" w:eastAsia="Times New Roman" w:hAnsi="Arial" w:cs="Arial"/>
          <w:kern w:val="0"/>
          <w:sz w:val="20"/>
          <w:szCs w:val="20"/>
          <w:lang w:val="en-US"/>
          <w14:ligatures w14:val="none"/>
        </w:rPr>
        <w:t>Government of Kerala</w:t>
      </w:r>
      <w:r w:rsidRPr="00030402">
        <w:rPr>
          <w:rFonts w:ascii="Arial" w:eastAsia="Times New Roman" w:hAnsi="Arial" w:cs="Arial"/>
          <w:kern w:val="0"/>
          <w:sz w:val="20"/>
          <w:szCs w:val="20"/>
          <w:lang w:val="en-US"/>
          <w14:ligatures w14:val="none"/>
        </w:rPr>
        <w:t>., 2017). Old age dependency ratio was 26.1 in 2021 and expected to increase to 34.3 percent in 2031(India Ageing Report; 2023). Studies suggest that population ageing in Kerala is leading to increased health care demand and expenditures, particularly for long-term care, and is necessitating improvements in social and health infrastructure to address the health issues prevalent among the elderly (Kutty., 2000).</w:t>
      </w:r>
    </w:p>
    <w:p w14:paraId="257D3A62" w14:textId="77777777" w:rsidR="00D46480" w:rsidRPr="00030402" w:rsidRDefault="00D46480" w:rsidP="00030402">
      <w:pPr>
        <w:spacing w:after="0" w:line="240" w:lineRule="auto"/>
        <w:jc w:val="both"/>
        <w:rPr>
          <w:rFonts w:ascii="Arial" w:eastAsia="Times New Roman" w:hAnsi="Arial" w:cs="Arial"/>
          <w:kern w:val="0"/>
          <w:sz w:val="20"/>
          <w:szCs w:val="20"/>
          <w:lang w:val="en-US"/>
          <w14:ligatures w14:val="none"/>
        </w:rPr>
      </w:pPr>
    </w:p>
    <w:p w14:paraId="114305C7" w14:textId="777C179D" w:rsidR="0018433E"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2.</w:t>
      </w:r>
      <w:r w:rsidR="0018433E">
        <w:rPr>
          <w:rFonts w:ascii="Arial" w:eastAsia="Times New Roman" w:hAnsi="Arial" w:cs="Arial"/>
          <w:b/>
          <w:caps/>
          <w:kern w:val="0"/>
          <w:szCs w:val="20"/>
          <w:lang w:val="en-US"/>
          <w14:ligatures w14:val="none"/>
        </w:rPr>
        <w:t>Need for the study</w:t>
      </w:r>
    </w:p>
    <w:p w14:paraId="66DA730D" w14:textId="77777777" w:rsidR="0018433E" w:rsidRDefault="0018433E" w:rsidP="00420294">
      <w:pPr>
        <w:keepNext/>
        <w:spacing w:after="0" w:line="240" w:lineRule="auto"/>
        <w:jc w:val="both"/>
        <w:rPr>
          <w:rFonts w:ascii="Arial" w:eastAsia="Times New Roman" w:hAnsi="Arial" w:cs="Arial"/>
          <w:b/>
          <w:caps/>
          <w:kern w:val="0"/>
          <w:szCs w:val="20"/>
          <w:lang w:val="en-US"/>
          <w14:ligatures w14:val="none"/>
        </w:rPr>
      </w:pPr>
    </w:p>
    <w:p w14:paraId="10F6F154" w14:textId="1D18DA80" w:rsidR="007815F5" w:rsidRDefault="0018433E" w:rsidP="007815F5">
      <w:pPr>
        <w:keepNext/>
        <w:spacing w:after="0" w:line="240" w:lineRule="auto"/>
        <w:jc w:val="both"/>
        <w:rPr>
          <w:rFonts w:ascii="Arial" w:eastAsia="Times New Roman" w:hAnsi="Arial" w:cs="Arial"/>
          <w:kern w:val="0"/>
          <w:sz w:val="20"/>
          <w:szCs w:val="20"/>
          <w:lang w:val="en-US"/>
          <w14:ligatures w14:val="none"/>
        </w:rPr>
      </w:pPr>
      <w:r w:rsidRPr="0018433E">
        <w:rPr>
          <w:rFonts w:ascii="Arial" w:eastAsia="Times New Roman" w:hAnsi="Arial" w:cs="Arial"/>
          <w:kern w:val="0"/>
          <w:sz w:val="20"/>
          <w:szCs w:val="20"/>
          <w:lang w:val="en-US"/>
          <w14:ligatures w14:val="none"/>
        </w:rPr>
        <w:t>The aging population</w:t>
      </w:r>
      <w:r w:rsidR="00F93483">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are succumbed to life style diseases like diabetes, high blood pressure, cholesterol and non-communicable diseases like cancer, arthritis, hypertension, cataract and are on the rise in the recent years. Several studies have identified various types of disabilities associated with ageing relating to vision, speech, hearing, mobility and mental health that limits the daily functioning of elderly</w:t>
      </w:r>
      <w:r>
        <w:rPr>
          <w:rFonts w:ascii="Arial" w:eastAsia="Times New Roman" w:hAnsi="Arial" w:cs="Arial"/>
          <w:kern w:val="0"/>
          <w:sz w:val="20"/>
          <w:szCs w:val="20"/>
          <w:lang w:val="en-US"/>
          <w14:ligatures w14:val="none"/>
        </w:rPr>
        <w:t>.</w:t>
      </w:r>
      <w:r w:rsidRPr="0018433E">
        <w:rPr>
          <w:rFonts w:ascii="Times New Roman" w:eastAsia="Times New Roman" w:hAnsi="Times New Roman" w:cs="Times New Roman"/>
          <w:kern w:val="0"/>
          <w:sz w:val="24"/>
          <w:szCs w:val="24"/>
          <w:lang w:val="en-US"/>
          <w14:ligatures w14:val="none"/>
        </w:rPr>
        <w:t xml:space="preserve"> </w:t>
      </w:r>
      <w:r w:rsidRPr="0018433E">
        <w:rPr>
          <w:rFonts w:ascii="Arial" w:eastAsia="Times New Roman" w:hAnsi="Arial" w:cs="Arial"/>
          <w:kern w:val="0"/>
          <w:sz w:val="20"/>
          <w:szCs w:val="20"/>
          <w:lang w:val="en-US"/>
          <w14:ligatures w14:val="none"/>
        </w:rPr>
        <w:t xml:space="preserve">Kerala’s </w:t>
      </w:r>
      <w:r>
        <w:rPr>
          <w:rFonts w:ascii="Arial" w:eastAsia="Times New Roman" w:hAnsi="Arial" w:cs="Arial"/>
          <w:kern w:val="0"/>
          <w:sz w:val="20"/>
          <w:szCs w:val="20"/>
          <w:lang w:val="en-US"/>
          <w14:ligatures w14:val="none"/>
        </w:rPr>
        <w:t xml:space="preserve">has a robust </w:t>
      </w:r>
      <w:r w:rsidRPr="0018433E">
        <w:rPr>
          <w:rFonts w:ascii="Arial" w:eastAsia="Times New Roman" w:hAnsi="Arial" w:cs="Arial"/>
          <w:kern w:val="0"/>
          <w:sz w:val="20"/>
          <w:szCs w:val="20"/>
          <w:lang w:val="en-US"/>
          <w14:ligatures w14:val="none"/>
        </w:rPr>
        <w:t xml:space="preserve">healthcare system </w:t>
      </w:r>
      <w:r>
        <w:rPr>
          <w:rFonts w:ascii="Arial" w:eastAsia="Times New Roman" w:hAnsi="Arial" w:cs="Arial"/>
          <w:kern w:val="0"/>
          <w:sz w:val="20"/>
          <w:szCs w:val="20"/>
          <w:lang w:val="en-US"/>
          <w14:ligatures w14:val="none"/>
        </w:rPr>
        <w:t xml:space="preserve">that </w:t>
      </w:r>
      <w:r w:rsidRPr="0018433E">
        <w:rPr>
          <w:rFonts w:ascii="Arial" w:eastAsia="Times New Roman" w:hAnsi="Arial" w:cs="Arial"/>
          <w:kern w:val="0"/>
          <w:sz w:val="20"/>
          <w:szCs w:val="20"/>
          <w:lang w:val="en-US"/>
          <w14:ligatures w14:val="none"/>
        </w:rPr>
        <w:t>involves strong community participation</w:t>
      </w:r>
      <w:r>
        <w:rPr>
          <w:rFonts w:ascii="Arial" w:eastAsia="Times New Roman" w:hAnsi="Arial" w:cs="Arial"/>
          <w:kern w:val="0"/>
          <w:sz w:val="20"/>
          <w:szCs w:val="20"/>
          <w:lang w:val="en-US"/>
          <w14:ligatures w14:val="none"/>
        </w:rPr>
        <w:t xml:space="preserve"> </w:t>
      </w:r>
      <w:r w:rsidRPr="0018433E">
        <w:rPr>
          <w:rFonts w:ascii="Arial" w:eastAsia="Times New Roman" w:hAnsi="Arial" w:cs="Arial"/>
          <w:kern w:val="0"/>
          <w:sz w:val="20"/>
          <w:szCs w:val="20"/>
          <w:lang w:val="en-US"/>
          <w14:ligatures w14:val="none"/>
        </w:rPr>
        <w:t>(BKPAI</w:t>
      </w:r>
      <w:r w:rsidR="00BE07E2">
        <w:rPr>
          <w:rFonts w:ascii="Arial" w:eastAsia="Times New Roman" w:hAnsi="Arial" w:cs="Arial"/>
          <w:kern w:val="0"/>
          <w:sz w:val="20"/>
          <w:szCs w:val="20"/>
          <w:lang w:val="en-US"/>
          <w14:ligatures w14:val="none"/>
        </w:rPr>
        <w:t>.</w:t>
      </w:r>
      <w:r w:rsidRPr="0018433E">
        <w:rPr>
          <w:rFonts w:ascii="Arial" w:eastAsia="Times New Roman" w:hAnsi="Arial" w:cs="Arial"/>
          <w:kern w:val="0"/>
          <w:sz w:val="20"/>
          <w:szCs w:val="20"/>
          <w:lang w:val="en-US"/>
          <w14:ligatures w14:val="none"/>
        </w:rPr>
        <w:t>, 2013)</w:t>
      </w:r>
      <w:r>
        <w:rPr>
          <w:rFonts w:ascii="Arial" w:eastAsia="Times New Roman" w:hAnsi="Arial" w:cs="Arial"/>
          <w:kern w:val="0"/>
          <w:sz w:val="20"/>
          <w:szCs w:val="20"/>
          <w:lang w:val="en-US"/>
          <w14:ligatures w14:val="none"/>
        </w:rPr>
        <w:t>.</w:t>
      </w:r>
      <w:r w:rsidR="00DC4441" w:rsidRPr="00DC4441">
        <w:rPr>
          <w:rFonts w:ascii="Times New Roman" w:eastAsia="Times New Roman" w:hAnsi="Times New Roman" w:cs="Times New Roman"/>
          <w:kern w:val="0"/>
          <w:sz w:val="24"/>
          <w:szCs w:val="24"/>
          <w:lang w:val="en-US"/>
          <w14:ligatures w14:val="none"/>
        </w:rPr>
        <w:t xml:space="preserve"> </w:t>
      </w:r>
      <w:r w:rsidR="00DC4441" w:rsidRPr="00DC4441">
        <w:rPr>
          <w:rFonts w:ascii="Arial" w:eastAsia="Times New Roman" w:hAnsi="Arial" w:cs="Arial"/>
          <w:kern w:val="0"/>
          <w:sz w:val="20"/>
          <w:szCs w:val="20"/>
          <w:lang w:val="en-US"/>
          <w14:ligatures w14:val="none"/>
        </w:rPr>
        <w:t xml:space="preserve">There has been an increased demand for health care services due to the prevalence of chronic illnesses and improved accessibility to medical services in Kerala </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Kutty</w:t>
      </w:r>
      <w:r w:rsidR="00BE07E2">
        <w:rPr>
          <w:rFonts w:ascii="Arial" w:eastAsia="Times New Roman" w:hAnsi="Arial" w:cs="Arial"/>
          <w:kern w:val="0"/>
          <w:sz w:val="20"/>
          <w:szCs w:val="20"/>
          <w:lang w:val="en-US"/>
          <w14:ligatures w14:val="none"/>
        </w:rPr>
        <w:t>.,</w:t>
      </w:r>
      <w:r w:rsidR="00DC4441" w:rsidRPr="00DC4441">
        <w:rPr>
          <w:rFonts w:ascii="Arial" w:eastAsia="Times New Roman" w:hAnsi="Arial" w:cs="Arial"/>
          <w:kern w:val="0"/>
          <w:sz w:val="20"/>
          <w:szCs w:val="20"/>
          <w:lang w:val="en-US"/>
          <w14:ligatures w14:val="none"/>
        </w:rPr>
        <w:t xml:space="preserve"> 2000). Age, occupation, level of education and marital status play an important role in the health seeking </w:t>
      </w:r>
      <w:proofErr w:type="spellStart"/>
      <w:r w:rsidR="00DC4441" w:rsidRPr="00DC4441">
        <w:rPr>
          <w:rFonts w:ascii="Arial" w:eastAsia="Times New Roman" w:hAnsi="Arial" w:cs="Arial"/>
          <w:kern w:val="0"/>
          <w:sz w:val="20"/>
          <w:szCs w:val="20"/>
          <w:lang w:val="en-US"/>
          <w14:ligatures w14:val="none"/>
        </w:rPr>
        <w:t>behaviour</w:t>
      </w:r>
      <w:proofErr w:type="spellEnd"/>
      <w:r w:rsidR="00DC4441" w:rsidRPr="00DC4441">
        <w:rPr>
          <w:rFonts w:ascii="Arial" w:eastAsia="Times New Roman" w:hAnsi="Arial" w:cs="Arial"/>
          <w:kern w:val="0"/>
          <w:sz w:val="20"/>
          <w:szCs w:val="20"/>
          <w:lang w:val="en-US"/>
          <w14:ligatures w14:val="none"/>
        </w:rPr>
        <w:t xml:space="preserve"> of elderly in rural Kerala and most of them seek medical assistance for chronic conditions (Rajeev. K et al., 2023).</w:t>
      </w:r>
      <w:r w:rsidR="00DC4441">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 xml:space="preserve">While </w:t>
      </w:r>
      <w:r w:rsidRPr="0018433E">
        <w:rPr>
          <w:rFonts w:ascii="Arial" w:eastAsia="Times New Roman" w:hAnsi="Arial" w:cs="Arial"/>
          <w:kern w:val="0"/>
          <w:sz w:val="20"/>
          <w:szCs w:val="20"/>
          <w:lang w:val="en-US"/>
          <w14:ligatures w14:val="none"/>
        </w:rPr>
        <w:t>challenges such as rising lifestyle diseases and an aging population remain</w:t>
      </w:r>
      <w:r>
        <w:rPr>
          <w:rFonts w:ascii="Arial" w:eastAsia="Times New Roman" w:hAnsi="Arial" w:cs="Arial"/>
          <w:kern w:val="0"/>
          <w:sz w:val="20"/>
          <w:szCs w:val="20"/>
          <w:lang w:val="en-US"/>
          <w14:ligatures w14:val="none"/>
        </w:rPr>
        <w:t xml:space="preserve">, it becomes </w:t>
      </w:r>
      <w:r>
        <w:rPr>
          <w:rFonts w:ascii="Arial" w:eastAsia="Times New Roman" w:hAnsi="Arial" w:cs="Arial"/>
          <w:kern w:val="0"/>
          <w:sz w:val="20"/>
          <w:szCs w:val="20"/>
          <w:lang w:val="en-US"/>
          <w14:ligatures w14:val="none"/>
        </w:rPr>
        <w:lastRenderedPageBreak/>
        <w:t xml:space="preserve">important to look into </w:t>
      </w:r>
      <w:r w:rsidR="00DC4441">
        <w:rPr>
          <w:rFonts w:ascii="Arial" w:eastAsia="Times New Roman" w:hAnsi="Arial" w:cs="Arial"/>
          <w:kern w:val="0"/>
          <w:sz w:val="20"/>
          <w:szCs w:val="20"/>
          <w:lang w:val="en-US"/>
          <w14:ligatures w14:val="none"/>
        </w:rPr>
        <w:t xml:space="preserve">the financing of health care by the aged. </w:t>
      </w:r>
      <w:r w:rsidR="00A55355">
        <w:rPr>
          <w:rFonts w:ascii="Arial" w:eastAsia="Times New Roman" w:hAnsi="Arial" w:cs="Arial"/>
          <w:kern w:val="0"/>
          <w:sz w:val="20"/>
          <w:szCs w:val="20"/>
          <w:lang w:val="en-US"/>
          <w14:ligatures w14:val="none"/>
        </w:rPr>
        <w:t>Thus,</w:t>
      </w:r>
      <w:r w:rsidR="00DC4441">
        <w:rPr>
          <w:rFonts w:ascii="Arial" w:eastAsia="Times New Roman" w:hAnsi="Arial" w:cs="Arial"/>
          <w:kern w:val="0"/>
          <w:sz w:val="20"/>
          <w:szCs w:val="20"/>
          <w:lang w:val="en-US"/>
          <w14:ligatures w14:val="none"/>
        </w:rPr>
        <w:t xml:space="preserve"> this research article progresses with the following objectives:</w:t>
      </w:r>
    </w:p>
    <w:p w14:paraId="6E08DFC3" w14:textId="7A231919" w:rsidR="0033123D" w:rsidRPr="007815F5" w:rsidRDefault="00DC4441" w:rsidP="007815F5">
      <w:pPr>
        <w:pStyle w:val="ListParagraph"/>
        <w:keepNext/>
        <w:numPr>
          <w:ilvl w:val="0"/>
          <w:numId w:val="2"/>
        </w:numPr>
        <w:spacing w:after="0" w:line="240" w:lineRule="auto"/>
        <w:jc w:val="both"/>
        <w:rPr>
          <w:rFonts w:ascii="Arial" w:eastAsia="Times New Roman" w:hAnsi="Arial" w:cs="Arial"/>
          <w:kern w:val="0"/>
          <w:sz w:val="20"/>
          <w:szCs w:val="20"/>
          <w:lang w:val="en-US"/>
          <w14:ligatures w14:val="none"/>
        </w:rPr>
      </w:pPr>
      <w:r w:rsidRPr="007815F5">
        <w:rPr>
          <w:rFonts w:ascii="Arial" w:eastAsia="Times New Roman" w:hAnsi="Arial" w:cs="Arial"/>
          <w:kern w:val="0"/>
          <w:sz w:val="20"/>
          <w:szCs w:val="20"/>
          <w14:ligatures w14:val="none"/>
        </w:rPr>
        <w:t xml:space="preserve">To </w:t>
      </w:r>
      <w:r w:rsidR="0033123D" w:rsidRPr="007815F5">
        <w:rPr>
          <w:rFonts w:ascii="Arial" w:eastAsia="Times New Roman" w:hAnsi="Arial" w:cs="Arial"/>
          <w:kern w:val="0"/>
          <w:sz w:val="20"/>
          <w:szCs w:val="20"/>
          <w14:ligatures w14:val="none"/>
        </w:rPr>
        <w:t>analyse health care expenditure of the elderly in Kerala.</w:t>
      </w:r>
    </w:p>
    <w:p w14:paraId="4CF8775C" w14:textId="6DB9D642" w:rsidR="00DC4441" w:rsidRPr="00DC4441" w:rsidRDefault="0033123D" w:rsidP="00DC4441">
      <w:pPr>
        <w:keepNext/>
        <w:numPr>
          <w:ilvl w:val="0"/>
          <w:numId w:val="2"/>
        </w:num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14:ligatures w14:val="none"/>
        </w:rPr>
        <w:t xml:space="preserve">To </w:t>
      </w:r>
      <w:r w:rsidR="00DC4441" w:rsidRPr="00DC4441">
        <w:rPr>
          <w:rFonts w:ascii="Arial" w:eastAsia="Times New Roman" w:hAnsi="Arial" w:cs="Arial"/>
          <w:kern w:val="0"/>
          <w:sz w:val="20"/>
          <w:szCs w:val="20"/>
          <w14:ligatures w14:val="none"/>
        </w:rPr>
        <w:t xml:space="preserve">verify the </w:t>
      </w:r>
      <w:r>
        <w:rPr>
          <w:rFonts w:ascii="Arial" w:eastAsia="Times New Roman" w:hAnsi="Arial" w:cs="Arial"/>
          <w:kern w:val="0"/>
          <w:sz w:val="20"/>
          <w:szCs w:val="20"/>
          <w14:ligatures w14:val="none"/>
        </w:rPr>
        <w:t>extent of health insurance coverage</w:t>
      </w:r>
      <w:r w:rsidR="00DC4441" w:rsidRPr="00DC4441">
        <w:rPr>
          <w:rFonts w:ascii="Arial" w:eastAsia="Times New Roman" w:hAnsi="Arial" w:cs="Arial"/>
          <w:kern w:val="0"/>
          <w:sz w:val="20"/>
          <w:szCs w:val="20"/>
          <w14:ligatures w14:val="none"/>
        </w:rPr>
        <w:t xml:space="preserve"> among the elderly</w:t>
      </w:r>
      <w:r w:rsidR="00DC4441">
        <w:rPr>
          <w:rFonts w:ascii="Arial" w:eastAsia="Times New Roman" w:hAnsi="Arial" w:cs="Arial"/>
          <w:kern w:val="0"/>
          <w:sz w:val="20"/>
          <w:szCs w:val="20"/>
          <w14:ligatures w14:val="none"/>
        </w:rPr>
        <w:t xml:space="preserve"> and </w:t>
      </w:r>
    </w:p>
    <w:p w14:paraId="06371BD6" w14:textId="1B620FEF" w:rsidR="00DC4441" w:rsidRPr="0033123D" w:rsidRDefault="00DC4441" w:rsidP="0018433E">
      <w:pPr>
        <w:keepNext/>
        <w:numPr>
          <w:ilvl w:val="0"/>
          <w:numId w:val="2"/>
        </w:numPr>
        <w:spacing w:after="0" w:line="240" w:lineRule="auto"/>
        <w:jc w:val="both"/>
        <w:rPr>
          <w:rFonts w:ascii="Arial" w:eastAsia="Times New Roman" w:hAnsi="Arial" w:cs="Arial"/>
          <w:kern w:val="0"/>
          <w:sz w:val="20"/>
          <w:szCs w:val="20"/>
          <w:lang w:val="en-US"/>
          <w14:ligatures w14:val="none"/>
        </w:rPr>
      </w:pPr>
      <w:r w:rsidRPr="00DC4441">
        <w:rPr>
          <w:rFonts w:ascii="Arial" w:eastAsia="Times New Roman" w:hAnsi="Arial" w:cs="Arial"/>
          <w:kern w:val="0"/>
          <w:sz w:val="20"/>
          <w:szCs w:val="20"/>
          <w14:ligatures w14:val="none"/>
        </w:rPr>
        <w:t>To examine the</w:t>
      </w:r>
      <w:r w:rsidR="0033123D" w:rsidRPr="0033123D">
        <w:rPr>
          <w:rFonts w:ascii="Arial" w:eastAsia="Times New Roman" w:hAnsi="Arial" w:cs="Arial"/>
          <w:kern w:val="0"/>
          <w:sz w:val="20"/>
          <w:szCs w:val="20"/>
          <w14:ligatures w14:val="none"/>
        </w:rPr>
        <w:t>ir</w:t>
      </w:r>
      <w:r w:rsidRPr="00DC4441">
        <w:rPr>
          <w:rFonts w:ascii="Arial" w:eastAsia="Times New Roman" w:hAnsi="Arial" w:cs="Arial"/>
          <w:kern w:val="0"/>
          <w:sz w:val="20"/>
          <w:szCs w:val="20"/>
          <w14:ligatures w14:val="none"/>
        </w:rPr>
        <w:t xml:space="preserve"> health care financing </w:t>
      </w:r>
      <w:r w:rsidR="0033123D" w:rsidRPr="0033123D">
        <w:rPr>
          <w:rFonts w:ascii="Arial" w:eastAsia="Times New Roman" w:hAnsi="Arial" w:cs="Arial"/>
          <w:kern w:val="0"/>
          <w:sz w:val="20"/>
          <w:szCs w:val="20"/>
          <w14:ligatures w14:val="none"/>
        </w:rPr>
        <w:t>methods and coping mechanism</w:t>
      </w:r>
      <w:r w:rsidR="0033123D">
        <w:rPr>
          <w:rFonts w:ascii="Arial" w:eastAsia="Times New Roman" w:hAnsi="Arial" w:cs="Arial"/>
          <w:kern w:val="0"/>
          <w:sz w:val="20"/>
          <w:szCs w:val="20"/>
          <w14:ligatures w14:val="none"/>
        </w:rPr>
        <w:t>.</w:t>
      </w:r>
    </w:p>
    <w:p w14:paraId="62EB2939" w14:textId="77777777" w:rsidR="00DC4441" w:rsidRDefault="00DC4441" w:rsidP="0018433E">
      <w:pPr>
        <w:keepNext/>
        <w:spacing w:after="0" w:line="240" w:lineRule="auto"/>
        <w:jc w:val="both"/>
        <w:rPr>
          <w:rFonts w:ascii="Arial" w:eastAsia="Times New Roman" w:hAnsi="Arial" w:cs="Arial"/>
          <w:b/>
          <w:caps/>
          <w:kern w:val="0"/>
          <w:szCs w:val="20"/>
          <w:lang w:val="en-US"/>
          <w14:ligatures w14:val="none"/>
        </w:rPr>
      </w:pPr>
    </w:p>
    <w:p w14:paraId="7E02F959" w14:textId="2B0640C7" w:rsidR="00420294" w:rsidRPr="00420294" w:rsidRDefault="00A5535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methodology </w:t>
      </w:r>
    </w:p>
    <w:p w14:paraId="5324D8F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66E652EA" w14:textId="5600943F" w:rsidR="009D2854" w:rsidRDefault="009F2BDF" w:rsidP="00C21794">
      <w:pPr>
        <w:spacing w:after="0" w:line="240" w:lineRule="auto"/>
        <w:jc w:val="both"/>
        <w:rPr>
          <w:rFonts w:ascii="Arial" w:eastAsia="Times New Roman" w:hAnsi="Arial" w:cs="Arial"/>
          <w:kern w:val="0"/>
          <w:sz w:val="20"/>
          <w:szCs w:val="20"/>
          <w14:ligatures w14:val="none"/>
        </w:rPr>
      </w:pPr>
      <w:r w:rsidRPr="009F2BDF">
        <w:rPr>
          <w:rFonts w:ascii="Arial" w:eastAsia="Times New Roman" w:hAnsi="Arial" w:cs="Arial"/>
          <w:kern w:val="0"/>
          <w:sz w:val="20"/>
          <w:szCs w:val="20"/>
          <w14:ligatures w14:val="none"/>
        </w:rPr>
        <w:t xml:space="preserve">Study employs primary </w:t>
      </w:r>
      <w:r w:rsidR="00F93483">
        <w:rPr>
          <w:rFonts w:ascii="Arial" w:eastAsia="Times New Roman" w:hAnsi="Arial" w:cs="Arial"/>
          <w:kern w:val="0"/>
          <w:sz w:val="20"/>
          <w:szCs w:val="20"/>
          <w14:ligatures w14:val="none"/>
        </w:rPr>
        <w:t>survey, with data</w:t>
      </w:r>
      <w:r w:rsidRPr="009F2BDF">
        <w:rPr>
          <w:rFonts w:ascii="Arial" w:eastAsia="Times New Roman" w:hAnsi="Arial" w:cs="Arial"/>
          <w:kern w:val="0"/>
          <w:sz w:val="20"/>
          <w:szCs w:val="20"/>
          <w:lang w:val="en-US"/>
          <w14:ligatures w14:val="none"/>
        </w:rPr>
        <w:t xml:space="preserve"> collected </w:t>
      </w:r>
      <w:r w:rsidR="00F93483">
        <w:rPr>
          <w:rFonts w:ascii="Arial" w:eastAsia="Times New Roman" w:hAnsi="Arial" w:cs="Arial"/>
          <w:kern w:val="0"/>
          <w:sz w:val="20"/>
          <w:szCs w:val="20"/>
          <w:lang w:val="en-US"/>
          <w14:ligatures w14:val="none"/>
        </w:rPr>
        <w:t>from</w:t>
      </w:r>
      <w:r w:rsidRPr="009F2BDF">
        <w:rPr>
          <w:rFonts w:ascii="Arial" w:eastAsia="Times New Roman" w:hAnsi="Arial" w:cs="Arial"/>
          <w:kern w:val="0"/>
          <w:sz w:val="20"/>
          <w:szCs w:val="20"/>
          <w:lang w:val="en-US"/>
          <w14:ligatures w14:val="none"/>
        </w:rPr>
        <w:t xml:space="preserve"> the elderly households of the State. Multistage random sampling technique has been used</w:t>
      </w:r>
      <w:r>
        <w:rPr>
          <w:rFonts w:ascii="Arial" w:eastAsia="Times New Roman" w:hAnsi="Arial" w:cs="Arial"/>
          <w:kern w:val="0"/>
          <w:sz w:val="20"/>
          <w:szCs w:val="20"/>
          <w:lang w:val="en-US"/>
          <w14:ligatures w14:val="none"/>
        </w:rPr>
        <w:t xml:space="preserve"> and the s</w:t>
      </w:r>
      <w:r w:rsidRPr="009F2BDF">
        <w:rPr>
          <w:rFonts w:ascii="Arial" w:eastAsia="Times New Roman" w:hAnsi="Arial" w:cs="Arial"/>
          <w:kern w:val="0"/>
          <w:sz w:val="20"/>
          <w:szCs w:val="20"/>
          <w:lang w:val="en-US"/>
          <w14:ligatures w14:val="none"/>
        </w:rPr>
        <w:t>tate has been divided into North, Central &amp; South</w:t>
      </w:r>
      <w:r>
        <w:rPr>
          <w:rFonts w:ascii="Arial" w:eastAsia="Times New Roman" w:hAnsi="Arial" w:cs="Arial"/>
          <w:kern w:val="0"/>
          <w:sz w:val="20"/>
          <w:szCs w:val="20"/>
          <w:lang w:val="en-US"/>
          <w14:ligatures w14:val="none"/>
        </w:rPr>
        <w:t xml:space="preserve"> regions.</w:t>
      </w:r>
      <w:r w:rsidRPr="009F2BDF">
        <w:rPr>
          <w:rFonts w:ascii="Arial" w:eastAsia="Times New Roman" w:hAnsi="Arial" w:cs="Arial"/>
          <w:kern w:val="0"/>
          <w:sz w:val="20"/>
          <w:szCs w:val="20"/>
          <w:lang w:val="en-US"/>
          <w14:ligatures w14:val="none"/>
        </w:rPr>
        <w:t xml:space="preserve"> Based on the density of elderly population, one district from each region has been selected. The selected districts were Kozhikode, Ernakulam and Trivandrum. A taluk from each district was selected and an urban and rural ward have been selected from each taluk. Households with at least one member exceeding 60 years of ag</w:t>
      </w:r>
      <w:r>
        <w:rPr>
          <w:rFonts w:ascii="Arial" w:eastAsia="Times New Roman" w:hAnsi="Arial" w:cs="Arial"/>
          <w:kern w:val="0"/>
          <w:sz w:val="20"/>
          <w:szCs w:val="20"/>
          <w:lang w:val="en-US"/>
          <w14:ligatures w14:val="none"/>
        </w:rPr>
        <w:t>e has been considered as the primary sampling unit</w:t>
      </w:r>
      <w:r w:rsidRPr="009F2BDF">
        <w:rPr>
          <w:rFonts w:ascii="Arial" w:eastAsia="Times New Roman" w:hAnsi="Arial" w:cs="Arial"/>
          <w:kern w:val="0"/>
          <w:sz w:val="20"/>
          <w:szCs w:val="20"/>
          <w:lang w:val="en-US"/>
          <w14:ligatures w14:val="none"/>
        </w:rPr>
        <w:t>.</w:t>
      </w:r>
      <w:r w:rsidRPr="009F2BDF">
        <w:rPr>
          <w:rFonts w:ascii="Times New Roman" w:eastAsiaTheme="minorEastAsia" w:hAnsi="Times New Roman" w:cs="Times New Roman"/>
          <w:color w:val="000000" w:themeColor="text1"/>
          <w:kern w:val="24"/>
          <w:sz w:val="44"/>
          <w:szCs w:val="44"/>
          <w:lang w:eastAsia="en-IN" w:bidi="ml-IN"/>
          <w14:ligatures w14:val="none"/>
        </w:rPr>
        <w:t xml:space="preserve"> </w:t>
      </w:r>
      <w:r w:rsidRPr="009F2BDF">
        <w:rPr>
          <w:rFonts w:ascii="Arial" w:eastAsia="Times New Roman" w:hAnsi="Arial" w:cs="Arial"/>
          <w:kern w:val="0"/>
          <w:sz w:val="20"/>
          <w:szCs w:val="20"/>
          <w14:ligatures w14:val="none"/>
        </w:rPr>
        <w:t>Given the total households of selected wards, sample size has been determined using probability proportional to size method.</w:t>
      </w:r>
      <w:r w:rsidR="00364CD4">
        <w:rPr>
          <w:rFonts w:ascii="Arial" w:eastAsia="Times New Roman" w:hAnsi="Arial" w:cs="Arial"/>
          <w:kern w:val="0"/>
          <w:sz w:val="20"/>
          <w:szCs w:val="20"/>
          <w14:ligatures w14:val="none"/>
        </w:rPr>
        <w:t xml:space="preserve"> Sample size </w:t>
      </w:r>
      <w:r w:rsidR="005D180B">
        <w:rPr>
          <w:rFonts w:ascii="Arial" w:eastAsia="Times New Roman" w:hAnsi="Arial" w:cs="Arial"/>
          <w:kern w:val="0"/>
          <w:sz w:val="20"/>
          <w:szCs w:val="20"/>
          <w14:ligatures w14:val="none"/>
        </w:rPr>
        <w:t xml:space="preserve">obtained was 400 households and has been calculated </w:t>
      </w:r>
      <w:r w:rsidR="009D2854">
        <w:rPr>
          <w:rFonts w:ascii="Arial" w:eastAsia="Times New Roman" w:hAnsi="Arial" w:cs="Arial"/>
          <w:kern w:val="0"/>
          <w:sz w:val="20"/>
          <w:szCs w:val="20"/>
          <w14:ligatures w14:val="none"/>
        </w:rPr>
        <w:t>using the formula</w:t>
      </w:r>
      <w:r w:rsidR="005D180B">
        <w:rPr>
          <w:rFonts w:ascii="Arial" w:eastAsia="Times New Roman" w:hAnsi="Arial" w:cs="Arial"/>
          <w:kern w:val="0"/>
          <w:sz w:val="20"/>
          <w:szCs w:val="20"/>
          <w14:ligatures w14:val="none"/>
        </w:rPr>
        <w:t>:</w:t>
      </w:r>
    </w:p>
    <w:tbl>
      <w:tblPr>
        <w:tblW w:w="1647" w:type="dxa"/>
        <w:jc w:val="center"/>
        <w:tblCellSpacing w:w="15" w:type="dxa"/>
        <w:shd w:val="clear" w:color="auto" w:fill="F0F0FF"/>
        <w:tblCellMar>
          <w:top w:w="15" w:type="dxa"/>
          <w:left w:w="15" w:type="dxa"/>
          <w:bottom w:w="15" w:type="dxa"/>
          <w:right w:w="15" w:type="dxa"/>
        </w:tblCellMar>
        <w:tblLook w:val="04A0" w:firstRow="1" w:lastRow="0" w:firstColumn="1" w:lastColumn="0" w:noHBand="0" w:noVBand="1"/>
      </w:tblPr>
      <w:tblGrid>
        <w:gridCol w:w="206"/>
        <w:gridCol w:w="197"/>
        <w:gridCol w:w="1244"/>
      </w:tblGrid>
      <w:tr w:rsidR="005D180B" w:rsidRPr="005D180B" w14:paraId="4348DF9B" w14:textId="77777777" w:rsidTr="002F6B45">
        <w:trPr>
          <w:trHeight w:val="426"/>
          <w:tblCellSpacing w:w="15" w:type="dxa"/>
          <w:jc w:val="center"/>
        </w:trPr>
        <w:tc>
          <w:tcPr>
            <w:tcW w:w="0" w:type="auto"/>
            <w:shd w:val="clear" w:color="auto" w:fill="F0F0FF"/>
            <w:vAlign w:val="center"/>
            <w:hideMark/>
          </w:tcPr>
          <w:p w14:paraId="54E145BD" w14:textId="77777777"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i/>
                <w:iCs/>
                <w:kern w:val="0"/>
                <w:sz w:val="20"/>
                <w:szCs w:val="20"/>
                <w14:ligatures w14:val="none"/>
              </w:rPr>
              <w:t>n</w:t>
            </w:r>
          </w:p>
        </w:tc>
        <w:tc>
          <w:tcPr>
            <w:tcW w:w="0" w:type="auto"/>
            <w:shd w:val="clear" w:color="auto" w:fill="F0F0FF"/>
            <w:vAlign w:val="center"/>
            <w:hideMark/>
          </w:tcPr>
          <w:p w14:paraId="613D5553" w14:textId="77777777"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kern w:val="0"/>
                <w:sz w:val="20"/>
                <w:szCs w:val="20"/>
                <w14:ligatures w14:val="none"/>
              </w:rPr>
              <w:t>=</w:t>
            </w:r>
          </w:p>
        </w:tc>
        <w:tc>
          <w:tcPr>
            <w:tcW w:w="0" w:type="auto"/>
            <w:shd w:val="clear" w:color="auto" w:fill="F0F0FF"/>
            <w:vAlign w:val="center"/>
            <w:hideMark/>
          </w:tcPr>
          <w:p w14:paraId="08FF400D" w14:textId="6FFA9506" w:rsidR="005D180B" w:rsidRPr="005D180B" w:rsidRDefault="005D180B" w:rsidP="005D180B">
            <w:pPr>
              <w:spacing w:after="0" w:line="240" w:lineRule="auto"/>
              <w:jc w:val="center"/>
              <w:rPr>
                <w:rFonts w:ascii="Arial" w:eastAsia="Times New Roman" w:hAnsi="Arial" w:cs="Arial"/>
                <w:kern w:val="0"/>
                <w:sz w:val="20"/>
                <w:szCs w:val="20"/>
                <w14:ligatures w14:val="none"/>
              </w:rPr>
            </w:pPr>
            <w:r w:rsidRPr="005D180B">
              <w:rPr>
                <w:rFonts w:ascii="Arial" w:eastAsia="Times New Roman" w:hAnsi="Arial" w:cs="Arial"/>
                <w:i/>
                <w:iCs/>
                <w:kern w:val="0"/>
                <w:sz w:val="20"/>
                <w:szCs w:val="20"/>
                <w:vertAlign w:val="superscript"/>
                <w14:ligatures w14:val="none"/>
              </w:rPr>
              <w:t>N x</w:t>
            </w:r>
            <w:r w:rsidRPr="005D180B">
              <w:rPr>
                <w:rFonts w:ascii="Arial" w:eastAsia="Times New Roman" w:hAnsi="Arial" w:cs="Arial"/>
                <w:kern w:val="0"/>
                <w:sz w:val="20"/>
                <w:szCs w:val="20"/>
                <w14:ligatures w14:val="none"/>
              </w:rPr>
              <w:t>/</w:t>
            </w:r>
            <w:r w:rsidRPr="005D180B">
              <w:rPr>
                <w:rFonts w:ascii="Arial" w:eastAsia="Times New Roman" w:hAnsi="Arial" w:cs="Arial"/>
                <w:kern w:val="0"/>
                <w:sz w:val="20"/>
                <w:szCs w:val="20"/>
                <w:vertAlign w:val="subscript"/>
                <w14:ligatures w14:val="none"/>
              </w:rPr>
              <w:t>((</w:t>
            </w:r>
            <w:r w:rsidRPr="005D180B">
              <w:rPr>
                <w:rFonts w:ascii="Arial" w:eastAsia="Times New Roman" w:hAnsi="Arial" w:cs="Arial"/>
                <w:i/>
                <w:iCs/>
                <w:kern w:val="0"/>
                <w:sz w:val="20"/>
                <w:szCs w:val="20"/>
                <w:vertAlign w:val="subscript"/>
                <w14:ligatures w14:val="none"/>
              </w:rPr>
              <w:t>N</w:t>
            </w:r>
            <w:r w:rsidRPr="005D180B">
              <w:rPr>
                <w:rFonts w:ascii="Arial" w:eastAsia="Times New Roman" w:hAnsi="Arial" w:cs="Arial"/>
                <w:kern w:val="0"/>
                <w:sz w:val="20"/>
                <w:szCs w:val="20"/>
                <w:vertAlign w:val="subscript"/>
                <w14:ligatures w14:val="none"/>
              </w:rPr>
              <w:t>-1)</w:t>
            </w:r>
            <w:r>
              <w:rPr>
                <w:rFonts w:ascii="Arial" w:eastAsia="Times New Roman" w:hAnsi="Arial" w:cs="Arial"/>
                <w:kern w:val="0"/>
                <w:sz w:val="20"/>
                <w:szCs w:val="20"/>
                <w:vertAlign w:val="subscript"/>
                <w14:ligatures w14:val="none"/>
              </w:rPr>
              <w:t xml:space="preserve"> e</w:t>
            </w:r>
            <w:r w:rsidRPr="005D180B">
              <w:rPr>
                <w:rFonts w:ascii="Arial" w:eastAsia="Times New Roman" w:hAnsi="Arial" w:cs="Arial"/>
                <w:kern w:val="0"/>
                <w:sz w:val="20"/>
                <w:szCs w:val="20"/>
                <w:vertAlign w:val="superscript"/>
                <w14:ligatures w14:val="none"/>
              </w:rPr>
              <w:t>2</w:t>
            </w:r>
            <w:r w:rsidRPr="005D180B">
              <w:rPr>
                <w:rFonts w:ascii="Arial" w:eastAsia="Times New Roman" w:hAnsi="Arial" w:cs="Arial"/>
                <w:kern w:val="0"/>
                <w:sz w:val="20"/>
                <w:szCs w:val="20"/>
                <w:vertAlign w:val="subscript"/>
                <w14:ligatures w14:val="none"/>
              </w:rPr>
              <w:t> + </w:t>
            </w:r>
            <w:r w:rsidRPr="005D180B">
              <w:rPr>
                <w:rFonts w:ascii="Arial" w:eastAsia="Times New Roman" w:hAnsi="Arial" w:cs="Arial"/>
                <w:i/>
                <w:iCs/>
                <w:kern w:val="0"/>
                <w:sz w:val="20"/>
                <w:szCs w:val="20"/>
                <w:vertAlign w:val="subscript"/>
                <w14:ligatures w14:val="none"/>
              </w:rPr>
              <w:t>x</w:t>
            </w:r>
            <w:r w:rsidRPr="005D180B">
              <w:rPr>
                <w:rFonts w:ascii="Arial" w:eastAsia="Times New Roman" w:hAnsi="Arial" w:cs="Arial"/>
                <w:kern w:val="0"/>
                <w:sz w:val="20"/>
                <w:szCs w:val="20"/>
                <w:vertAlign w:val="subscript"/>
                <w14:ligatures w14:val="none"/>
              </w:rPr>
              <w:t>)</w:t>
            </w:r>
          </w:p>
        </w:tc>
      </w:tr>
    </w:tbl>
    <w:p w14:paraId="417A24B7" w14:textId="77777777" w:rsidR="002F6B45" w:rsidRDefault="002F6B45" w:rsidP="005D180B">
      <w:pPr>
        <w:spacing w:after="0" w:line="240" w:lineRule="auto"/>
        <w:ind w:left="720"/>
        <w:rPr>
          <w:rFonts w:ascii="Arial" w:eastAsia="Times New Roman" w:hAnsi="Arial" w:cs="Arial"/>
          <w:kern w:val="0"/>
          <w:sz w:val="20"/>
          <w:szCs w:val="20"/>
          <w14:ligatures w14:val="none"/>
        </w:rPr>
      </w:pPr>
    </w:p>
    <w:p w14:paraId="740021AF" w14:textId="3D92BD6F" w:rsidR="005D180B" w:rsidRPr="005D180B" w:rsidRDefault="005D180B" w:rsidP="005D180B">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Where </w:t>
      </w:r>
      <w:proofErr w:type="gramStart"/>
      <w:r>
        <w:rPr>
          <w:rFonts w:ascii="Arial" w:eastAsia="Times New Roman" w:hAnsi="Arial" w:cs="Arial"/>
          <w:kern w:val="0"/>
          <w:sz w:val="20"/>
          <w:szCs w:val="20"/>
          <w14:ligatures w14:val="none"/>
        </w:rPr>
        <w:t xml:space="preserve">n </w:t>
      </w:r>
      <w:r w:rsidRPr="002F6B45">
        <w:rPr>
          <w:rFonts w:ascii="Arial" w:eastAsia="Times New Roman" w:hAnsi="Arial" w:cs="Arial"/>
          <w:kern w:val="0"/>
          <w:sz w:val="20"/>
          <w:szCs w:val="20"/>
          <w14:ligatures w14:val="none"/>
        </w:rPr>
        <w:t>:</w:t>
      </w:r>
      <w:proofErr w:type="gramEnd"/>
      <w:r w:rsidRPr="002F6B45">
        <w:rPr>
          <w:rFonts w:ascii="Arial" w:eastAsia="Times New Roman" w:hAnsi="Arial" w:cs="Arial"/>
          <w:kern w:val="0"/>
          <w:sz w:val="20"/>
          <w:szCs w:val="20"/>
          <w14:ligatures w14:val="none"/>
        </w:rPr>
        <w:t xml:space="preserve"> </w:t>
      </w:r>
      <w:r w:rsidRPr="005D180B">
        <w:rPr>
          <w:rFonts w:ascii="Arial" w:eastAsia="Times New Roman" w:hAnsi="Arial" w:cs="Arial"/>
          <w:kern w:val="0"/>
          <w:sz w:val="20"/>
          <w:szCs w:val="20"/>
          <w14:ligatures w14:val="none"/>
        </w:rPr>
        <w:t>sample size.</w:t>
      </w:r>
    </w:p>
    <w:p w14:paraId="441931E8" w14:textId="3DE11758" w:rsidR="005D180B" w:rsidRPr="005D180B" w:rsidRDefault="005D180B" w:rsidP="002F6B45">
      <w:pPr>
        <w:spacing w:after="0" w:line="240" w:lineRule="auto"/>
        <w:rPr>
          <w:rFonts w:ascii="Arial" w:eastAsia="Times New Roman" w:hAnsi="Arial" w:cs="Arial"/>
          <w:b/>
          <w:bCs/>
          <w:kern w:val="0"/>
          <w:sz w:val="20"/>
          <w:szCs w:val="20"/>
          <w14:ligatures w14:val="none"/>
        </w:rPr>
      </w:pPr>
      <w:r w:rsidRPr="005D180B">
        <w:rPr>
          <w:rFonts w:ascii="Arial" w:eastAsia="Times New Roman" w:hAnsi="Arial" w:cs="Arial"/>
          <w:b/>
          <w:bCs/>
          <w:noProof/>
          <w:kern w:val="0"/>
          <w:sz w:val="20"/>
          <w:szCs w:val="20"/>
          <w14:ligatures w14:val="none"/>
        </w:rPr>
        <w:drawing>
          <wp:inline distT="0" distB="0" distL="0" distR="0" wp14:anchorId="052692C5" wp14:editId="5E9965BE">
            <wp:extent cx="9525" cy="9525"/>
            <wp:effectExtent l="0" t="0" r="0" b="0"/>
            <wp:docPr id="878488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59C6A86" w14:textId="2258CE74" w:rsidR="005D180B" w:rsidRPr="005D180B" w:rsidRDefault="005D180B" w:rsidP="005D180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N </w:t>
      </w:r>
      <w:r w:rsidRPr="005D180B">
        <w:rPr>
          <w:rFonts w:ascii="Arial" w:eastAsia="Times New Roman" w:hAnsi="Arial" w:cs="Arial"/>
          <w:kern w:val="0"/>
          <w:sz w:val="20"/>
          <w:szCs w:val="20"/>
          <w14:ligatures w14:val="none"/>
        </w:rPr>
        <w:t>:</w:t>
      </w:r>
      <w:proofErr w:type="gramEnd"/>
      <w:r w:rsidRPr="005D180B">
        <w:rPr>
          <w:rFonts w:ascii="Arial" w:eastAsia="Times New Roman" w:hAnsi="Arial" w:cs="Arial"/>
          <w:kern w:val="0"/>
          <w:sz w:val="20"/>
          <w:szCs w:val="20"/>
          <w14:ligatures w14:val="none"/>
        </w:rPr>
        <w:t xml:space="preserve"> The total population size.</w:t>
      </w:r>
    </w:p>
    <w:p w14:paraId="2CAF56F8" w14:textId="7778C7C6" w:rsidR="005D180B" w:rsidRPr="005D180B" w:rsidRDefault="005D180B" w:rsidP="002F6B45">
      <w:pPr>
        <w:spacing w:after="0" w:line="240" w:lineRule="auto"/>
        <w:rPr>
          <w:rFonts w:ascii="Arial" w:eastAsia="Times New Roman" w:hAnsi="Arial" w:cs="Arial"/>
          <w:kern w:val="0"/>
          <w:sz w:val="20"/>
          <w:szCs w:val="20"/>
          <w14:ligatures w14:val="none"/>
        </w:rPr>
      </w:pPr>
      <w:r w:rsidRPr="002F6B45">
        <w:rPr>
          <w:rFonts w:ascii="Arial" w:eastAsia="Times New Roman" w:hAnsi="Arial" w:cs="Arial"/>
          <w:noProof/>
          <w:kern w:val="0"/>
          <w:sz w:val="20"/>
          <w:szCs w:val="20"/>
          <w14:ligatures w14:val="none"/>
        </w:rPr>
        <w:drawing>
          <wp:inline distT="0" distB="0" distL="0" distR="0" wp14:anchorId="33D93675" wp14:editId="21FCBA03">
            <wp:extent cx="9525" cy="9525"/>
            <wp:effectExtent l="0" t="0" r="0" b="0"/>
            <wp:docPr id="2063511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A83C16" w14:textId="1614F8A0" w:rsidR="005D180B" w:rsidRPr="005D180B" w:rsidRDefault="005D180B" w:rsidP="005D180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e </w:t>
      </w:r>
      <w:r w:rsidRPr="005D180B">
        <w:rPr>
          <w:rFonts w:ascii="Arial" w:eastAsia="Times New Roman" w:hAnsi="Arial" w:cs="Arial"/>
          <w:kern w:val="0"/>
          <w:sz w:val="20"/>
          <w:szCs w:val="20"/>
          <w14:ligatures w14:val="none"/>
        </w:rPr>
        <w:t>:</w:t>
      </w:r>
      <w:proofErr w:type="gramEnd"/>
      <w:r w:rsidRPr="005D180B">
        <w:rPr>
          <w:rFonts w:ascii="Arial" w:eastAsia="Times New Roman" w:hAnsi="Arial" w:cs="Arial"/>
          <w:kern w:val="0"/>
          <w:sz w:val="20"/>
          <w:szCs w:val="20"/>
          <w14:ligatures w14:val="none"/>
        </w:rPr>
        <w:t xml:space="preserve"> The margin of error (expressed as a decimal, e.g., 0.05 for 5%).</w:t>
      </w:r>
    </w:p>
    <w:p w14:paraId="1A160996" w14:textId="1EE20CA7" w:rsidR="005D180B" w:rsidRPr="005D180B" w:rsidRDefault="005D180B" w:rsidP="002F6B45">
      <w:pPr>
        <w:spacing w:after="0" w:line="240" w:lineRule="auto"/>
        <w:ind w:left="360"/>
        <w:jc w:val="center"/>
        <w:rPr>
          <w:rFonts w:ascii="Arial" w:eastAsia="Times New Roman" w:hAnsi="Arial" w:cs="Arial"/>
          <w:b/>
          <w:bCs/>
          <w:kern w:val="0"/>
          <w:sz w:val="20"/>
          <w:szCs w:val="20"/>
          <w14:ligatures w14:val="none"/>
        </w:rPr>
      </w:pPr>
      <w:r w:rsidRPr="005D180B">
        <w:rPr>
          <w:rFonts w:ascii="Arial" w:eastAsia="Times New Roman" w:hAnsi="Arial" w:cs="Arial"/>
          <w:b/>
          <w:bCs/>
          <w:noProof/>
          <w:kern w:val="0"/>
          <w:sz w:val="20"/>
          <w:szCs w:val="20"/>
          <w14:ligatures w14:val="none"/>
        </w:rPr>
        <w:drawing>
          <wp:inline distT="0" distB="0" distL="0" distR="0" wp14:anchorId="2F0AE465" wp14:editId="53F95295">
            <wp:extent cx="9525" cy="9525"/>
            <wp:effectExtent l="0" t="0" r="0" b="0"/>
            <wp:docPr id="141994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AC1C8A" w14:textId="5367CA97" w:rsidR="005D180B" w:rsidRPr="005D180B" w:rsidRDefault="002F6B45" w:rsidP="002F6B4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x </w:t>
      </w:r>
      <w:r w:rsidR="005D180B" w:rsidRPr="005D180B">
        <w:rPr>
          <w:rFonts w:ascii="Arial" w:eastAsia="Times New Roman" w:hAnsi="Arial" w:cs="Arial"/>
          <w:kern w:val="0"/>
          <w:sz w:val="20"/>
          <w:szCs w:val="20"/>
          <w14:ligatures w14:val="none"/>
        </w:rPr>
        <w:t>:</w:t>
      </w:r>
      <w:proofErr w:type="gramEnd"/>
      <w:r w:rsidR="005D180B" w:rsidRPr="005D180B">
        <w:rPr>
          <w:rFonts w:ascii="Arial" w:eastAsia="Times New Roman" w:hAnsi="Arial" w:cs="Arial"/>
          <w:kern w:val="0"/>
          <w:sz w:val="20"/>
          <w:szCs w:val="20"/>
          <w14:ligatures w14:val="none"/>
        </w:rPr>
        <w:t xml:space="preserve"> A factor that incorporates the </w:t>
      </w:r>
      <w:r w:rsidR="00894D3F">
        <w:rPr>
          <w:rFonts w:ascii="Arial" w:eastAsia="Times New Roman" w:hAnsi="Arial" w:cs="Arial"/>
          <w:kern w:val="0"/>
          <w:sz w:val="20"/>
          <w:szCs w:val="20"/>
          <w14:ligatures w14:val="none"/>
        </w:rPr>
        <w:t>c</w:t>
      </w:r>
      <w:r w:rsidR="005D180B" w:rsidRPr="005D180B">
        <w:rPr>
          <w:rFonts w:ascii="Arial" w:eastAsia="Times New Roman" w:hAnsi="Arial" w:cs="Arial"/>
          <w:kern w:val="0"/>
          <w:sz w:val="20"/>
          <w:szCs w:val="20"/>
          <w14:ligatures w14:val="none"/>
        </w:rPr>
        <w:t xml:space="preserve">onfidence </w:t>
      </w:r>
      <w:r w:rsidR="00894D3F">
        <w:rPr>
          <w:rFonts w:ascii="Arial" w:eastAsia="Times New Roman" w:hAnsi="Arial" w:cs="Arial"/>
          <w:kern w:val="0"/>
          <w:sz w:val="20"/>
          <w:szCs w:val="20"/>
          <w14:ligatures w14:val="none"/>
        </w:rPr>
        <w:t>l</w:t>
      </w:r>
      <w:r w:rsidR="005D180B" w:rsidRPr="005D180B">
        <w:rPr>
          <w:rFonts w:ascii="Arial" w:eastAsia="Times New Roman" w:hAnsi="Arial" w:cs="Arial"/>
          <w:kern w:val="0"/>
          <w:sz w:val="20"/>
          <w:szCs w:val="20"/>
          <w14:ligatures w14:val="none"/>
        </w:rPr>
        <w:t>evel </w:t>
      </w:r>
    </w:p>
    <w:p w14:paraId="1DB7233A" w14:textId="77777777" w:rsidR="009D2854" w:rsidRDefault="009D2854" w:rsidP="005D180B">
      <w:pPr>
        <w:spacing w:after="0" w:line="240" w:lineRule="auto"/>
        <w:jc w:val="center"/>
        <w:rPr>
          <w:rFonts w:ascii="Arial" w:eastAsia="Times New Roman" w:hAnsi="Arial" w:cs="Arial"/>
          <w:kern w:val="0"/>
          <w:sz w:val="20"/>
          <w:szCs w:val="20"/>
          <w14:ligatures w14:val="none"/>
        </w:rPr>
      </w:pPr>
    </w:p>
    <w:p w14:paraId="1E18EF47" w14:textId="16960625" w:rsidR="009F2BDF" w:rsidRPr="009F2BDF" w:rsidRDefault="009F2BDF" w:rsidP="00C21794">
      <w:pPr>
        <w:spacing w:after="0" w:line="240" w:lineRule="auto"/>
        <w:jc w:val="both"/>
        <w:rPr>
          <w:rFonts w:ascii="Arial" w:eastAsia="Times New Roman" w:hAnsi="Arial" w:cs="Arial"/>
          <w:kern w:val="0"/>
          <w:sz w:val="20"/>
          <w:szCs w:val="20"/>
          <w14:ligatures w14:val="none"/>
        </w:rPr>
      </w:pPr>
    </w:p>
    <w:p w14:paraId="3AB88384" w14:textId="3386C3BD" w:rsidR="00C21794" w:rsidRDefault="00C21794" w:rsidP="00420294">
      <w:pPr>
        <w:spacing w:after="0" w:line="240" w:lineRule="auto"/>
        <w:jc w:val="both"/>
        <w:rPr>
          <w:rFonts w:ascii="Arial" w:eastAsia="Times New Roman" w:hAnsi="Arial" w:cs="Arial"/>
          <w:b/>
          <w:kern w:val="0"/>
          <w:szCs w:val="20"/>
          <w:lang w:val="en-US"/>
          <w14:ligatures w14:val="none"/>
        </w:rPr>
      </w:pPr>
      <w:r>
        <w:rPr>
          <w:rFonts w:ascii="Arial" w:eastAsia="Times New Roman" w:hAnsi="Arial" w:cs="Arial"/>
          <w:b/>
          <w:caps/>
          <w:kern w:val="0"/>
          <w:szCs w:val="20"/>
          <w:lang w:val="en-US"/>
          <w14:ligatures w14:val="none"/>
        </w:rPr>
        <w:t>3</w:t>
      </w:r>
      <w:r w:rsidR="00420294" w:rsidRPr="00420294">
        <w:rPr>
          <w:rFonts w:ascii="Arial" w:eastAsia="Times New Roman" w:hAnsi="Arial" w:cs="Arial"/>
          <w:b/>
          <w:caps/>
          <w:kern w:val="0"/>
          <w:szCs w:val="20"/>
          <w:lang w:val="en-US"/>
          <w14:ligatures w14:val="none"/>
        </w:rPr>
        <w:t xml:space="preserve">.1 </w:t>
      </w:r>
      <w:r>
        <w:rPr>
          <w:rFonts w:ascii="Arial" w:eastAsia="Times New Roman" w:hAnsi="Arial" w:cs="Arial"/>
          <w:b/>
          <w:kern w:val="0"/>
          <w:szCs w:val="20"/>
          <w:lang w:val="en-US"/>
          <w14:ligatures w14:val="none"/>
        </w:rPr>
        <w:t>Theoretical Framework</w:t>
      </w:r>
      <w:r w:rsidR="00F769CD">
        <w:rPr>
          <w:rFonts w:ascii="Arial" w:eastAsia="Times New Roman" w:hAnsi="Arial" w:cs="Arial"/>
          <w:b/>
          <w:kern w:val="0"/>
          <w:szCs w:val="20"/>
          <w:lang w:val="en-US"/>
          <w14:ligatures w14:val="none"/>
        </w:rPr>
        <w:t xml:space="preserve"> </w:t>
      </w:r>
    </w:p>
    <w:p w14:paraId="7986D1FC" w14:textId="77777777" w:rsidR="005E14F8" w:rsidRDefault="005E14F8" w:rsidP="00420294">
      <w:pPr>
        <w:spacing w:after="0" w:line="240" w:lineRule="auto"/>
        <w:jc w:val="both"/>
        <w:rPr>
          <w:rFonts w:ascii="Arial" w:eastAsia="Times New Roman" w:hAnsi="Arial" w:cs="Arial"/>
          <w:b/>
          <w:kern w:val="0"/>
          <w:szCs w:val="20"/>
          <w:lang w:val="en-US"/>
          <w14:ligatures w14:val="none"/>
        </w:rPr>
      </w:pPr>
    </w:p>
    <w:p w14:paraId="5879CF7D" w14:textId="0030D8D0" w:rsidR="009D2854" w:rsidRPr="009D2854" w:rsidRDefault="005E14F8" w:rsidP="009D2854">
      <w:pPr>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lang w:val="en-US"/>
          <w14:ligatures w14:val="none"/>
        </w:rPr>
        <w:t xml:space="preserve">Minimum Standard Approach popularized by Wagstaff and </w:t>
      </w:r>
      <w:r w:rsidRPr="005E14F8">
        <w:rPr>
          <w:rFonts w:ascii="Arial" w:eastAsia="Times New Roman" w:hAnsi="Arial" w:cs="Arial"/>
          <w:kern w:val="0"/>
          <w:sz w:val="20"/>
          <w:szCs w:val="20"/>
          <w:lang w:val="en-US"/>
          <w14:ligatures w14:val="none"/>
        </w:rPr>
        <w:t>Doorslaer</w:t>
      </w:r>
      <w:r w:rsidRPr="005E14F8">
        <w:rPr>
          <w:rFonts w:ascii="Arial" w:eastAsia="Times New Roman" w:hAnsi="Arial" w:cs="Arial"/>
          <w:bCs/>
          <w:kern w:val="0"/>
          <w:sz w:val="20"/>
          <w:szCs w:val="20"/>
          <w:lang w:val="en-US"/>
          <w14:ligatures w14:val="none"/>
        </w:rPr>
        <w:t xml:space="preserve"> (200</w:t>
      </w:r>
      <w:r w:rsidR="00BE07E2">
        <w:rPr>
          <w:rFonts w:ascii="Arial" w:eastAsia="Times New Roman" w:hAnsi="Arial" w:cs="Arial"/>
          <w:bCs/>
          <w:kern w:val="0"/>
          <w:sz w:val="20"/>
          <w:szCs w:val="20"/>
          <w:lang w:val="en-US"/>
          <w14:ligatures w14:val="none"/>
        </w:rPr>
        <w:t>1</w:t>
      </w:r>
      <w:r w:rsidRPr="005E14F8">
        <w:rPr>
          <w:rFonts w:ascii="Arial" w:eastAsia="Times New Roman" w:hAnsi="Arial" w:cs="Arial"/>
          <w:bCs/>
          <w:kern w:val="0"/>
          <w:sz w:val="20"/>
          <w:szCs w:val="20"/>
          <w:lang w:val="en-US"/>
          <w14:ligatures w14:val="none"/>
        </w:rPr>
        <w:t>;2003) has been used as theoretical framework for obtaining insights into the intensity of health spending and catastrophism in out-of-pocket health spending.</w:t>
      </w:r>
      <w:r w:rsidRPr="005E14F8">
        <w:rPr>
          <w:rFonts w:ascii="Times New Roman" w:eastAsia="Calibri" w:hAnsi="Times New Roman" w:cs="Times New Roman"/>
          <w:kern w:val="0"/>
          <w:sz w:val="24"/>
          <w:szCs w:val="24"/>
          <w14:ligatures w14:val="none"/>
        </w:rPr>
        <w:t xml:space="preserve"> </w:t>
      </w:r>
      <w:r w:rsidRPr="005E14F8">
        <w:rPr>
          <w:rFonts w:ascii="Arial" w:eastAsia="Times New Roman" w:hAnsi="Arial" w:cs="Arial"/>
          <w:bCs/>
          <w:kern w:val="0"/>
          <w:sz w:val="20"/>
          <w:szCs w:val="20"/>
          <w14:ligatures w14:val="none"/>
        </w:rPr>
        <w:t>This approach requires that health care payments do not exceed a pre-specified share of household income or drive households into poverty.</w:t>
      </w:r>
      <w:r w:rsidR="0024298F">
        <w:rPr>
          <w:rFonts w:ascii="Arial" w:eastAsia="Times New Roman" w:hAnsi="Arial" w:cs="Arial"/>
          <w:bCs/>
          <w:kern w:val="0"/>
          <w:sz w:val="20"/>
          <w:szCs w:val="20"/>
          <w14:ligatures w14:val="none"/>
        </w:rPr>
        <w:t xml:space="preserve"> </w:t>
      </w:r>
      <w:r w:rsidRPr="005E14F8">
        <w:rPr>
          <w:rFonts w:ascii="Arial" w:eastAsia="Times New Roman" w:hAnsi="Arial" w:cs="Arial"/>
          <w:bCs/>
          <w:kern w:val="0"/>
          <w:sz w:val="20"/>
          <w:szCs w:val="20"/>
          <w14:ligatures w14:val="none"/>
        </w:rPr>
        <w:t xml:space="preserve">Various methodologies have been proposed for measuring catastrophic health care expenditures within the minimum standard </w:t>
      </w:r>
      <w:r w:rsidR="00F93483" w:rsidRPr="005E14F8">
        <w:rPr>
          <w:rFonts w:ascii="Arial" w:eastAsia="Times New Roman" w:hAnsi="Arial" w:cs="Arial"/>
          <w:bCs/>
          <w:kern w:val="0"/>
          <w:sz w:val="20"/>
          <w:szCs w:val="20"/>
          <w14:ligatures w14:val="none"/>
        </w:rPr>
        <w:t>approach.</w:t>
      </w:r>
      <w:r w:rsidR="009D2854" w:rsidRPr="009D2854">
        <w:rPr>
          <w:rFonts w:ascii="Times New Roman" w:eastAsiaTheme="minorEastAsia" w:hAnsi="Times New Roman" w:cs="Times New Roman"/>
          <w:color w:val="000000" w:themeColor="text1"/>
          <w:kern w:val="24"/>
          <w:sz w:val="44"/>
          <w:szCs w:val="44"/>
          <w:lang w:val="en-US" w:eastAsia="en-IN" w:bidi="ml-IN"/>
          <w14:ligatures w14:val="none"/>
        </w:rPr>
        <w:t xml:space="preserve"> </w:t>
      </w:r>
      <w:r w:rsidR="009D2854" w:rsidRPr="009D2854">
        <w:rPr>
          <w:rFonts w:ascii="Arial" w:eastAsia="Times New Roman" w:hAnsi="Arial" w:cs="Arial"/>
          <w:bCs/>
          <w:kern w:val="0"/>
          <w:sz w:val="20"/>
          <w:szCs w:val="20"/>
          <w:lang w:val="en-US"/>
          <w14:ligatures w14:val="none"/>
        </w:rPr>
        <w:t>Catastrophic Payment Headcount (</w:t>
      </w:r>
      <w:proofErr w:type="spellStart"/>
      <w:r w:rsidR="009D2854" w:rsidRPr="009D2854">
        <w:rPr>
          <w:rFonts w:ascii="Arial" w:eastAsia="Times New Roman" w:hAnsi="Arial" w:cs="Arial"/>
          <w:b/>
          <w:bCs/>
          <w:kern w:val="0"/>
          <w:sz w:val="20"/>
          <w:szCs w:val="20"/>
          <w14:ligatures w14:val="none"/>
        </w:rPr>
        <w:t>H</w:t>
      </w:r>
      <w:r w:rsidR="009D2854" w:rsidRPr="009D2854">
        <w:rPr>
          <w:rFonts w:ascii="Arial" w:eastAsia="Times New Roman" w:hAnsi="Arial" w:cs="Arial"/>
          <w:b/>
          <w:bCs/>
          <w:kern w:val="0"/>
          <w:sz w:val="20"/>
          <w:szCs w:val="20"/>
          <w:vertAlign w:val="subscript"/>
          <w14:ligatures w14:val="none"/>
        </w:rPr>
        <w:t>cat</w:t>
      </w:r>
      <w:proofErr w:type="spellEnd"/>
      <w:r w:rsidR="009D2854" w:rsidRPr="009D2854">
        <w:rPr>
          <w:rFonts w:ascii="Arial" w:eastAsia="Times New Roman" w:hAnsi="Arial" w:cs="Arial"/>
          <w:b/>
          <w:bCs/>
          <w:kern w:val="0"/>
          <w:sz w:val="20"/>
          <w:szCs w:val="20"/>
          <w14:ligatures w14:val="none"/>
        </w:rPr>
        <w:t>)</w:t>
      </w:r>
      <w:r w:rsidR="009D2854">
        <w:rPr>
          <w:rFonts w:ascii="Arial" w:eastAsia="Times New Roman" w:hAnsi="Arial" w:cs="Arial"/>
          <w:bCs/>
          <w:kern w:val="0"/>
          <w:sz w:val="20"/>
          <w:szCs w:val="20"/>
          <w14:ligatures w14:val="none"/>
        </w:rPr>
        <w:t xml:space="preserve"> has been u</w:t>
      </w:r>
      <w:r w:rsidR="009D2854" w:rsidRPr="009D2854">
        <w:rPr>
          <w:rFonts w:ascii="Arial" w:eastAsia="Times New Roman" w:hAnsi="Arial" w:cs="Arial"/>
          <w:bCs/>
          <w:kern w:val="0"/>
          <w:sz w:val="20"/>
          <w:szCs w:val="20"/>
          <w14:ligatures w14:val="none"/>
        </w:rPr>
        <w:t>sed to determine the proportion of households experiencing catastrophic health expenditure relative to their income</w:t>
      </w:r>
      <w:r w:rsidR="009D2854">
        <w:rPr>
          <w:rFonts w:ascii="Arial" w:eastAsia="Times New Roman" w:hAnsi="Arial" w:cs="Arial"/>
          <w:bCs/>
          <w:kern w:val="0"/>
          <w:sz w:val="20"/>
          <w:szCs w:val="20"/>
          <w14:ligatures w14:val="none"/>
        </w:rPr>
        <w:t>.</w:t>
      </w:r>
    </w:p>
    <w:p w14:paraId="5419D92F" w14:textId="6EF0FDFD" w:rsidR="009D2854" w:rsidRPr="009D2854" w:rsidRDefault="009D2854" w:rsidP="009D2854">
      <w:pPr>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kern w:val="0"/>
          <w:sz w:val="20"/>
          <w:szCs w:val="20"/>
          <w14:ligatures w14:val="none"/>
        </w:rPr>
        <w:t xml:space="preserve">                                                                    </w:t>
      </w:r>
      <w:proofErr w:type="spellStart"/>
      <w:r w:rsidRPr="009D2854">
        <w:rPr>
          <w:rFonts w:ascii="Arial" w:eastAsia="Times New Roman" w:hAnsi="Arial" w:cs="Arial"/>
          <w:bCs/>
          <w:kern w:val="0"/>
          <w:sz w:val="20"/>
          <w:szCs w:val="20"/>
          <w14:ligatures w14:val="none"/>
        </w:rPr>
        <w:t>H</w:t>
      </w:r>
      <w:r w:rsidRPr="009D2854">
        <w:rPr>
          <w:rFonts w:ascii="Arial" w:eastAsia="Times New Roman" w:hAnsi="Arial" w:cs="Arial"/>
          <w:bCs/>
          <w:kern w:val="0"/>
          <w:sz w:val="20"/>
          <w:szCs w:val="20"/>
          <w:vertAlign w:val="subscript"/>
          <w14:ligatures w14:val="none"/>
        </w:rPr>
        <w:t>cat</w:t>
      </w:r>
      <w:proofErr w:type="spellEnd"/>
      <m:oMath>
        <m:r>
          <m:rPr>
            <m:sty m:val="p"/>
          </m:rPr>
          <w:rPr>
            <w:rFonts w:ascii="Cambria Math" w:eastAsia="Times New Roman" w:hAnsi="Cambria Math" w:cs="Arial"/>
            <w:kern w:val="0"/>
            <w:sz w:val="20"/>
            <w:szCs w:val="20"/>
            <w14:ligatures w14:val="none"/>
          </w:rPr>
          <m:t>=</m:t>
        </m:r>
        <m:f>
          <m:fPr>
            <m:ctrlPr>
              <w:rPr>
                <w:rFonts w:ascii="Cambria Math" w:eastAsia="Times New Roman" w:hAnsi="Cambria Math" w:cs="Arial"/>
                <w:bCs/>
                <w:i/>
                <w:iCs/>
                <w:kern w:val="0"/>
                <w:sz w:val="20"/>
                <w:szCs w:val="20"/>
                <w14:ligatures w14:val="none"/>
              </w:rPr>
            </m:ctrlPr>
          </m:fPr>
          <m:num>
            <m:r>
              <w:rPr>
                <w:rFonts w:ascii="Cambria Math" w:eastAsia="Times New Roman" w:hAnsi="Cambria Math" w:cs="Arial"/>
                <w:kern w:val="0"/>
                <w:sz w:val="20"/>
                <w:szCs w:val="20"/>
                <w14:ligatures w14:val="none"/>
              </w:rPr>
              <m:t>1</m:t>
            </m:r>
          </m:num>
          <m:den>
            <m:r>
              <w:rPr>
                <w:rFonts w:ascii="Cambria Math" w:eastAsia="Times New Roman" w:hAnsi="Cambria Math" w:cs="Arial"/>
                <w:kern w:val="0"/>
                <w:sz w:val="20"/>
                <w:szCs w:val="20"/>
                <w14:ligatures w14:val="none"/>
              </w:rPr>
              <m:t>N</m:t>
            </m:r>
          </m:den>
        </m:f>
        <m:nary>
          <m:naryPr>
            <m:chr m:val="∑"/>
            <m:limLoc m:val="subSup"/>
            <m:ctrlPr>
              <w:rPr>
                <w:rFonts w:ascii="Cambria Math" w:eastAsia="Times New Roman" w:hAnsi="Cambria Math" w:cs="Arial"/>
                <w:bCs/>
                <w:i/>
                <w:iCs/>
                <w:kern w:val="0"/>
                <w:sz w:val="20"/>
                <w:szCs w:val="20"/>
                <w14:ligatures w14:val="none"/>
              </w:rPr>
            </m:ctrlPr>
          </m:naryPr>
          <m:sub>
            <m:r>
              <w:rPr>
                <w:rFonts w:ascii="Cambria Math" w:eastAsia="Times New Roman" w:hAnsi="Cambria Math" w:cs="Arial"/>
                <w:kern w:val="0"/>
                <w:sz w:val="20"/>
                <w:szCs w:val="20"/>
                <w14:ligatures w14:val="none"/>
              </w:rPr>
              <m:t>i=1</m:t>
            </m:r>
          </m:sub>
          <m:sup>
            <m:r>
              <w:rPr>
                <w:rFonts w:ascii="Cambria Math" w:eastAsia="Times New Roman" w:hAnsi="Cambria Math" w:cs="Arial"/>
                <w:kern w:val="0"/>
                <w:sz w:val="20"/>
                <w:szCs w:val="20"/>
                <w14:ligatures w14:val="none"/>
              </w:rPr>
              <m:t>N</m:t>
            </m:r>
          </m:sup>
          <m:e>
            <m:r>
              <w:rPr>
                <w:rFonts w:ascii="Cambria Math" w:eastAsia="Times New Roman" w:hAnsi="Cambria Math" w:cs="Arial"/>
                <w:kern w:val="0"/>
                <w:sz w:val="20"/>
                <w:szCs w:val="20"/>
                <w14:ligatures w14:val="none"/>
              </w:rPr>
              <m:t>Ei</m:t>
            </m:r>
          </m:e>
        </m:nary>
      </m:oMath>
    </w:p>
    <w:p w14:paraId="7EADB3B1" w14:textId="77777777" w:rsidR="009D2854" w:rsidRPr="009D2854" w:rsidRDefault="009D2854" w:rsidP="009D2854">
      <w:pPr>
        <w:numPr>
          <w:ilvl w:val="0"/>
          <w:numId w:val="7"/>
        </w:numPr>
        <w:tabs>
          <w:tab w:val="left" w:pos="720"/>
        </w:tabs>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i/>
          <w:iCs/>
          <w:kern w:val="0"/>
          <w:sz w:val="20"/>
          <w:szCs w:val="20"/>
          <w14:ligatures w14:val="none"/>
        </w:rPr>
        <w:t>N</w:t>
      </w:r>
      <w:r w:rsidRPr="009D2854">
        <w:rPr>
          <w:rFonts w:ascii="Arial" w:eastAsia="Times New Roman" w:hAnsi="Arial" w:cs="Arial"/>
          <w:bCs/>
          <w:kern w:val="0"/>
          <w:sz w:val="20"/>
          <w:szCs w:val="20"/>
          <w14:ligatures w14:val="none"/>
        </w:rPr>
        <w:t xml:space="preserve"> is the sample size.</w:t>
      </w:r>
    </w:p>
    <w:p w14:paraId="646DA890" w14:textId="236413C1" w:rsidR="009D2854" w:rsidRDefault="009D2854" w:rsidP="00E524C3">
      <w:pPr>
        <w:numPr>
          <w:ilvl w:val="0"/>
          <w:numId w:val="7"/>
        </w:numPr>
        <w:tabs>
          <w:tab w:val="left" w:pos="720"/>
        </w:tabs>
        <w:spacing w:after="0" w:line="240" w:lineRule="auto"/>
        <w:jc w:val="both"/>
        <w:rPr>
          <w:rFonts w:ascii="Arial" w:eastAsia="Times New Roman" w:hAnsi="Arial" w:cs="Arial"/>
          <w:bCs/>
          <w:kern w:val="0"/>
          <w:sz w:val="20"/>
          <w:szCs w:val="20"/>
          <w14:ligatures w14:val="none"/>
        </w:rPr>
      </w:pPr>
      <w:r w:rsidRPr="009D2854">
        <w:rPr>
          <w:rFonts w:ascii="Arial" w:eastAsia="Times New Roman" w:hAnsi="Arial" w:cs="Arial"/>
          <w:bCs/>
          <w:i/>
          <w:iCs/>
          <w:kern w:val="0"/>
          <w:sz w:val="20"/>
          <w:szCs w:val="20"/>
          <w14:ligatures w14:val="none"/>
        </w:rPr>
        <w:t>Ei</w:t>
      </w:r>
      <w:r w:rsidRPr="009D2854">
        <w:rPr>
          <w:rFonts w:ascii="Arial" w:eastAsia="Times New Roman" w:hAnsi="Arial" w:cs="Arial"/>
          <w:bCs/>
          <w:kern w:val="0"/>
          <w:sz w:val="20"/>
          <w:szCs w:val="20"/>
          <w14:ligatures w14:val="none"/>
        </w:rPr>
        <w:t xml:space="preserve">​ = 1, if </w:t>
      </w:r>
      <m:oMath>
        <m:f>
          <m:fPr>
            <m:ctrlPr>
              <w:rPr>
                <w:rFonts w:ascii="Cambria Math" w:eastAsia="Times New Roman" w:hAnsi="Cambria Math" w:cs="Arial"/>
                <w:bCs/>
                <w:i/>
                <w:iCs/>
                <w:kern w:val="0"/>
                <w:sz w:val="20"/>
                <w:szCs w:val="20"/>
                <w14:ligatures w14:val="none"/>
              </w:rPr>
            </m:ctrlPr>
          </m:fPr>
          <m:num>
            <m:r>
              <m:rPr>
                <m:sty m:val="bi"/>
              </m:rPr>
              <w:rPr>
                <w:rFonts w:ascii="Cambria Math" w:eastAsia="Times New Roman" w:hAnsi="Cambria Math" w:cs="Arial"/>
                <w:kern w:val="0"/>
                <w:sz w:val="20"/>
                <w:szCs w:val="20"/>
                <w14:ligatures w14:val="none"/>
              </w:rPr>
              <m:t>Xi</m:t>
            </m:r>
            <m:r>
              <m:rPr>
                <m:sty m:val="p"/>
              </m:rPr>
              <w:rPr>
                <w:rFonts w:ascii="Cambria Math" w:eastAsia="Times New Roman" w:hAnsi="Cambria Math" w:cs="Arial"/>
                <w:kern w:val="0"/>
                <w:sz w:val="20"/>
                <w:szCs w:val="20"/>
                <w14:ligatures w14:val="none"/>
              </w:rPr>
              <m:t>​</m:t>
            </m:r>
          </m:num>
          <m:den>
            <m:r>
              <m:rPr>
                <m:sty m:val="bi"/>
              </m:rPr>
              <w:rPr>
                <w:rFonts w:ascii="Cambria Math" w:eastAsia="Times New Roman" w:hAnsi="Cambria Math" w:cs="Arial"/>
                <w:kern w:val="0"/>
                <w:sz w:val="20"/>
                <w:szCs w:val="20"/>
                <w14:ligatures w14:val="none"/>
              </w:rPr>
              <m:t>Yi</m:t>
            </m:r>
            <m:r>
              <m:rPr>
                <m:sty m:val="p"/>
              </m:rPr>
              <w:rPr>
                <w:rFonts w:ascii="Cambria Math" w:eastAsia="Times New Roman" w:hAnsi="Cambria Math" w:cs="Arial"/>
                <w:kern w:val="0"/>
                <w:sz w:val="20"/>
                <w:szCs w:val="20"/>
                <w14:ligatures w14:val="none"/>
              </w:rPr>
              <m:t>​ </m:t>
            </m:r>
          </m:den>
        </m:f>
      </m:oMath>
      <w:r w:rsidRPr="009D2854">
        <w:rPr>
          <w:rFonts w:ascii="Arial" w:eastAsia="Times New Roman" w:hAnsi="Arial" w:cs="Arial"/>
          <w:bCs/>
          <w:kern w:val="0"/>
          <w:sz w:val="20"/>
          <w:szCs w:val="20"/>
          <w14:ligatures w14:val="none"/>
        </w:rPr>
        <w:t>​​&gt;</w:t>
      </w:r>
      <w:r w:rsidRPr="009D2854">
        <w:rPr>
          <w:rFonts w:ascii="Arial" w:eastAsia="Times New Roman" w:hAnsi="Arial" w:cs="Arial"/>
          <w:bCs/>
          <w:i/>
          <w:iCs/>
          <w:kern w:val="0"/>
          <w:sz w:val="20"/>
          <w:szCs w:val="20"/>
          <w14:ligatures w14:val="none"/>
        </w:rPr>
        <w:t>Z</w:t>
      </w:r>
      <w:r w:rsidRPr="009D2854">
        <w:rPr>
          <w:rFonts w:ascii="Arial" w:eastAsia="Times New Roman" w:hAnsi="Arial" w:cs="Arial"/>
          <w:bCs/>
          <w:kern w:val="0"/>
          <w:sz w:val="20"/>
          <w:szCs w:val="20"/>
          <w14:ligatures w14:val="none"/>
        </w:rPr>
        <w:t xml:space="preserve"> (where </w:t>
      </w:r>
      <w:r w:rsidRPr="009D2854">
        <w:rPr>
          <w:rFonts w:ascii="Arial" w:eastAsia="Times New Roman" w:hAnsi="Arial" w:cs="Arial"/>
          <w:bCs/>
          <w:i/>
          <w:iCs/>
          <w:kern w:val="0"/>
          <w:sz w:val="20"/>
          <w:szCs w:val="20"/>
          <w14:ligatures w14:val="none"/>
        </w:rPr>
        <w:t>Xi</w:t>
      </w:r>
      <w:r w:rsidRPr="009D2854">
        <w:rPr>
          <w:rFonts w:ascii="Arial" w:eastAsia="Times New Roman" w:hAnsi="Arial" w:cs="Arial"/>
          <w:bCs/>
          <w:kern w:val="0"/>
          <w:sz w:val="20"/>
          <w:szCs w:val="20"/>
          <w14:ligatures w14:val="none"/>
        </w:rPr>
        <w:t xml:space="preserve">​ is the out-of-pocket expenditure by household </w:t>
      </w:r>
      <w:proofErr w:type="spellStart"/>
      <w:r w:rsidRPr="009D2854">
        <w:rPr>
          <w:rFonts w:ascii="Arial" w:eastAsia="Times New Roman" w:hAnsi="Arial" w:cs="Arial"/>
          <w:bCs/>
          <w:i/>
          <w:iCs/>
          <w:kern w:val="0"/>
          <w:sz w:val="20"/>
          <w:szCs w:val="20"/>
          <w14:ligatures w14:val="none"/>
        </w:rPr>
        <w:t>i</w:t>
      </w:r>
      <w:proofErr w:type="spellEnd"/>
      <w:r w:rsidRPr="009D2854">
        <w:rPr>
          <w:rFonts w:ascii="Arial" w:eastAsia="Times New Roman" w:hAnsi="Arial" w:cs="Arial"/>
          <w:bCs/>
          <w:kern w:val="0"/>
          <w:sz w:val="20"/>
          <w:szCs w:val="20"/>
          <w14:ligatures w14:val="none"/>
        </w:rPr>
        <w:t xml:space="preserve">, </w:t>
      </w:r>
      <w:r w:rsidRPr="009D2854">
        <w:rPr>
          <w:rFonts w:ascii="Arial" w:eastAsia="Times New Roman" w:hAnsi="Arial" w:cs="Arial"/>
          <w:bCs/>
          <w:i/>
          <w:iCs/>
          <w:kern w:val="0"/>
          <w:sz w:val="20"/>
          <w:szCs w:val="20"/>
          <w14:ligatures w14:val="none"/>
        </w:rPr>
        <w:t>Yi</w:t>
      </w:r>
      <w:r w:rsidRPr="009D2854">
        <w:rPr>
          <w:rFonts w:ascii="Arial" w:eastAsia="Times New Roman" w:hAnsi="Arial" w:cs="Arial"/>
          <w:bCs/>
          <w:kern w:val="0"/>
          <w:sz w:val="20"/>
          <w:szCs w:val="20"/>
          <w14:ligatures w14:val="none"/>
        </w:rPr>
        <w:t xml:space="preserve">​ is the income of household </w:t>
      </w:r>
      <w:proofErr w:type="spellStart"/>
      <w:r w:rsidRPr="009D2854">
        <w:rPr>
          <w:rFonts w:ascii="Arial" w:eastAsia="Times New Roman" w:hAnsi="Arial" w:cs="Arial"/>
          <w:bCs/>
          <w:i/>
          <w:iCs/>
          <w:kern w:val="0"/>
          <w:sz w:val="20"/>
          <w:szCs w:val="20"/>
          <w14:ligatures w14:val="none"/>
        </w:rPr>
        <w:t>i</w:t>
      </w:r>
      <w:proofErr w:type="spellEnd"/>
      <w:r w:rsidRPr="009D2854">
        <w:rPr>
          <w:rFonts w:ascii="Arial" w:eastAsia="Times New Roman" w:hAnsi="Arial" w:cs="Arial"/>
          <w:bCs/>
          <w:kern w:val="0"/>
          <w:sz w:val="20"/>
          <w:szCs w:val="20"/>
          <w14:ligatures w14:val="none"/>
        </w:rPr>
        <w:t xml:space="preserve">, and </w:t>
      </w:r>
      <w:r w:rsidRPr="009D2854">
        <w:rPr>
          <w:rFonts w:ascii="Arial" w:eastAsia="Times New Roman" w:hAnsi="Arial" w:cs="Arial"/>
          <w:bCs/>
          <w:i/>
          <w:iCs/>
          <w:kern w:val="0"/>
          <w:sz w:val="20"/>
          <w:szCs w:val="20"/>
          <w14:ligatures w14:val="none"/>
        </w:rPr>
        <w:t>Z</w:t>
      </w:r>
      <w:r w:rsidRPr="009D2854">
        <w:rPr>
          <w:rFonts w:ascii="Arial" w:eastAsia="Times New Roman" w:hAnsi="Arial" w:cs="Arial"/>
          <w:bCs/>
          <w:kern w:val="0"/>
          <w:sz w:val="20"/>
          <w:szCs w:val="20"/>
          <w14:ligatures w14:val="none"/>
        </w:rPr>
        <w:t xml:space="preserve"> is the catastrophic threshold), and =0 otherwise.</w:t>
      </w:r>
    </w:p>
    <w:p w14:paraId="01D1C55F" w14:textId="77777777" w:rsidR="009D2854" w:rsidRPr="009D2854" w:rsidRDefault="009D2854" w:rsidP="00E524C3">
      <w:pPr>
        <w:tabs>
          <w:tab w:val="left" w:pos="720"/>
        </w:tabs>
        <w:spacing w:after="0" w:line="240" w:lineRule="auto"/>
        <w:ind w:left="720"/>
        <w:jc w:val="both"/>
        <w:rPr>
          <w:rFonts w:ascii="Arial" w:eastAsia="Times New Roman" w:hAnsi="Arial" w:cs="Arial"/>
          <w:bCs/>
          <w:kern w:val="0"/>
          <w:sz w:val="20"/>
          <w:szCs w:val="20"/>
          <w14:ligatures w14:val="none"/>
        </w:rPr>
      </w:pPr>
    </w:p>
    <w:p w14:paraId="2B6C6D9E" w14:textId="6F010BC1" w:rsidR="005E14F8" w:rsidRDefault="00F93483" w:rsidP="009D2854">
      <w:pPr>
        <w:spacing w:after="0" w:line="240" w:lineRule="auto"/>
        <w:jc w:val="both"/>
        <w:rPr>
          <w:rFonts w:ascii="Arial" w:eastAsia="Times New Roman" w:hAnsi="Arial" w:cs="Arial"/>
          <w:bCs/>
          <w:kern w:val="0"/>
          <w:sz w:val="20"/>
          <w:szCs w:val="20"/>
          <w14:ligatures w14:val="none"/>
        </w:rPr>
      </w:pPr>
      <w:r w:rsidRPr="005E14F8">
        <w:rPr>
          <w:rFonts w:ascii="Arial" w:eastAsia="Times New Roman" w:hAnsi="Arial" w:cs="Arial"/>
          <w:bCs/>
          <w:kern w:val="0"/>
          <w:sz w:val="20"/>
          <w:szCs w:val="20"/>
          <w14:ligatures w14:val="none"/>
        </w:rPr>
        <w:t>The</w:t>
      </w:r>
      <w:r w:rsidR="005E14F8" w:rsidRPr="005E14F8">
        <w:rPr>
          <w:rFonts w:ascii="Arial" w:eastAsia="Times New Roman" w:hAnsi="Arial" w:cs="Arial"/>
          <w:bCs/>
          <w:kern w:val="0"/>
          <w:sz w:val="20"/>
          <w:szCs w:val="20"/>
          <w14:ligatures w14:val="none"/>
        </w:rPr>
        <w:t xml:space="preserve"> choice of threshold values for defining catastrophic expenditures varies across studies. A threshold limit of 10% of household income being a widely accepted standard.</w:t>
      </w:r>
    </w:p>
    <w:p w14:paraId="4252AF1D" w14:textId="77777777" w:rsidR="00F769CD" w:rsidRDefault="00F769CD" w:rsidP="005E14F8">
      <w:pPr>
        <w:spacing w:after="0" w:line="240" w:lineRule="auto"/>
        <w:jc w:val="both"/>
        <w:rPr>
          <w:rFonts w:ascii="Arial" w:eastAsia="Times New Roman" w:hAnsi="Arial" w:cs="Arial"/>
          <w:bCs/>
          <w:kern w:val="0"/>
          <w:sz w:val="20"/>
          <w:szCs w:val="20"/>
          <w14:ligatures w14:val="none"/>
        </w:rPr>
      </w:pPr>
    </w:p>
    <w:p w14:paraId="29EB07D2" w14:textId="3897C84C" w:rsidR="00F769CD" w:rsidRDefault="00F769CD" w:rsidP="005E14F8">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
          <w:kern w:val="0"/>
          <w:szCs w:val="20"/>
          <w:lang w:val="en-US"/>
          <w14:ligatures w14:val="none"/>
        </w:rPr>
        <w:t>3.2 Tools of Analysis</w:t>
      </w:r>
    </w:p>
    <w:p w14:paraId="4B399638" w14:textId="77777777" w:rsidR="00F769CD" w:rsidRPr="005E14F8" w:rsidRDefault="00F769CD" w:rsidP="005E14F8">
      <w:pPr>
        <w:spacing w:after="0" w:line="240" w:lineRule="auto"/>
        <w:jc w:val="both"/>
        <w:rPr>
          <w:rFonts w:ascii="Arial" w:eastAsia="Times New Roman" w:hAnsi="Arial" w:cs="Arial"/>
          <w:bCs/>
          <w:kern w:val="0"/>
          <w:sz w:val="20"/>
          <w:szCs w:val="20"/>
          <w14:ligatures w14:val="none"/>
        </w:rPr>
      </w:pPr>
    </w:p>
    <w:p w14:paraId="08176C12" w14:textId="125250EA" w:rsidR="005E14F8" w:rsidRDefault="005E14F8" w:rsidP="005E14F8">
      <w:pPr>
        <w:spacing w:after="0" w:line="240" w:lineRule="auto"/>
        <w:jc w:val="both"/>
        <w:rPr>
          <w:rFonts w:ascii="Arial" w:eastAsia="Times New Roman" w:hAnsi="Arial" w:cs="Arial"/>
          <w:bCs/>
          <w:kern w:val="0"/>
          <w:sz w:val="20"/>
          <w:szCs w:val="20"/>
          <w:lang w:val="en-US"/>
          <w14:ligatures w14:val="none"/>
        </w:rPr>
      </w:pPr>
      <w:r w:rsidRPr="005E14F8">
        <w:rPr>
          <w:rFonts w:ascii="Arial" w:eastAsia="Times New Roman" w:hAnsi="Arial" w:cs="Arial"/>
          <w:bCs/>
          <w:kern w:val="0"/>
          <w:sz w:val="20"/>
          <w:szCs w:val="20"/>
          <w:lang w:val="en-US"/>
          <w14:ligatures w14:val="none"/>
        </w:rPr>
        <w:lastRenderedPageBreak/>
        <w:t>In order to get a detailed insight into</w:t>
      </w:r>
      <w:r w:rsidR="000C3DBD">
        <w:rPr>
          <w:rFonts w:ascii="Arial" w:eastAsia="Times New Roman" w:hAnsi="Arial" w:cs="Arial"/>
          <w:bCs/>
          <w:kern w:val="0"/>
          <w:sz w:val="20"/>
          <w:szCs w:val="20"/>
          <w:lang w:val="en-US"/>
          <w14:ligatures w14:val="none"/>
        </w:rPr>
        <w:t xml:space="preserve"> </w:t>
      </w:r>
      <w:r w:rsidRPr="005E14F8">
        <w:rPr>
          <w:rFonts w:ascii="Arial" w:eastAsia="Times New Roman" w:hAnsi="Arial" w:cs="Arial"/>
          <w:bCs/>
          <w:kern w:val="0"/>
          <w:sz w:val="20"/>
          <w:szCs w:val="20"/>
          <w:lang w:val="en-US"/>
          <w14:ligatures w14:val="none"/>
        </w:rPr>
        <w:t>the health preferences and health expenditure, various analytical tools have been used in the study. Along with the descriptive statistics, tools of inferential statistics used in the study are:</w:t>
      </w:r>
    </w:p>
    <w:p w14:paraId="47A32BEE" w14:textId="77777777" w:rsidR="00F769CD" w:rsidRDefault="00F769CD" w:rsidP="005E14F8">
      <w:pPr>
        <w:spacing w:after="0" w:line="240" w:lineRule="auto"/>
        <w:jc w:val="both"/>
        <w:rPr>
          <w:rFonts w:ascii="Arial" w:eastAsia="Times New Roman" w:hAnsi="Arial" w:cs="Arial"/>
          <w:bCs/>
          <w:kern w:val="0"/>
          <w:sz w:val="20"/>
          <w:szCs w:val="20"/>
          <w:lang w:val="en-US"/>
          <w14:ligatures w14:val="none"/>
        </w:rPr>
      </w:pPr>
    </w:p>
    <w:p w14:paraId="307E2BEE" w14:textId="6FFD65F8" w:rsidR="00F769CD" w:rsidRDefault="00F769CD" w:rsidP="00F769CD">
      <w:pPr>
        <w:spacing w:after="0" w:line="240" w:lineRule="auto"/>
        <w:jc w:val="both"/>
        <w:rPr>
          <w:rFonts w:ascii="Arial" w:eastAsia="Times New Roman" w:hAnsi="Arial" w:cs="Arial"/>
          <w:bCs/>
          <w:kern w:val="0"/>
          <w:sz w:val="20"/>
          <w:szCs w:val="20"/>
          <w:lang w:val="en-US"/>
          <w14:ligatures w14:val="none"/>
        </w:rPr>
      </w:pPr>
      <w:r>
        <w:rPr>
          <w:rFonts w:ascii="Arial" w:eastAsia="Times New Roman" w:hAnsi="Arial" w:cs="Arial"/>
          <w:b/>
          <w:kern w:val="0"/>
          <w:sz w:val="20"/>
          <w:szCs w:val="20"/>
          <w:u w:val="single"/>
          <w:lang w:val="en-US"/>
          <w14:ligatures w14:val="none"/>
        </w:rPr>
        <w:t>3</w:t>
      </w:r>
      <w:r w:rsidRPr="00420294">
        <w:rPr>
          <w:rFonts w:ascii="Arial" w:eastAsia="Times New Roman" w:hAnsi="Arial" w:cs="Arial"/>
          <w:b/>
          <w:kern w:val="0"/>
          <w:sz w:val="20"/>
          <w:szCs w:val="20"/>
          <w:u w:val="single"/>
          <w:lang w:val="en-US"/>
          <w14:ligatures w14:val="none"/>
        </w:rPr>
        <w:t>.</w:t>
      </w:r>
      <w:r>
        <w:rPr>
          <w:rFonts w:ascii="Arial" w:eastAsia="Times New Roman" w:hAnsi="Arial" w:cs="Arial"/>
          <w:b/>
          <w:kern w:val="0"/>
          <w:sz w:val="20"/>
          <w:szCs w:val="20"/>
          <w:u w:val="single"/>
          <w:lang w:val="en-US"/>
          <w14:ligatures w14:val="none"/>
        </w:rPr>
        <w:t>2</w:t>
      </w:r>
      <w:r w:rsidRPr="00420294">
        <w:rPr>
          <w:rFonts w:ascii="Arial" w:eastAsia="Times New Roman" w:hAnsi="Arial" w:cs="Arial"/>
          <w:b/>
          <w:kern w:val="0"/>
          <w:sz w:val="20"/>
          <w:szCs w:val="20"/>
          <w:u w:val="single"/>
          <w:lang w:val="en-US"/>
          <w14:ligatures w14:val="none"/>
        </w:rPr>
        <w:t xml:space="preserve">.1 </w:t>
      </w:r>
      <w:r w:rsidRPr="00F769CD">
        <w:rPr>
          <w:rFonts w:ascii="Arial" w:eastAsia="Times New Roman" w:hAnsi="Arial" w:cs="Arial"/>
          <w:b/>
          <w:bCs/>
          <w:kern w:val="0"/>
          <w:sz w:val="20"/>
          <w:szCs w:val="20"/>
          <w:u w:val="single"/>
          <w:lang w:val="en-US"/>
          <w14:ligatures w14:val="none"/>
        </w:rPr>
        <w:t>Analysis of Covariance (ANCOVA)</w:t>
      </w:r>
      <w:r w:rsidRPr="00F769CD">
        <w:rPr>
          <w:rFonts w:ascii="Arial" w:eastAsia="Times New Roman" w:hAnsi="Arial" w:cs="Arial"/>
          <w:bCs/>
          <w:kern w:val="0"/>
          <w:sz w:val="20"/>
          <w:szCs w:val="20"/>
          <w:lang w:val="en-US"/>
          <w14:ligatures w14:val="none"/>
        </w:rPr>
        <w:t xml:space="preserve"> </w:t>
      </w:r>
    </w:p>
    <w:p w14:paraId="7A686FED"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3681B48" w14:textId="77777777" w:rsidR="00F769CD" w:rsidRP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ANCOVA is an extension of Analysis of variance (ANOVA) and is used when independent variables are both quantitative and qualitative. The ANCOVA equation used in the study is:</w:t>
      </w:r>
    </w:p>
    <w:p w14:paraId="1DBE7862" w14:textId="77777777" w:rsidR="00F769CD" w:rsidRDefault="00F769CD" w:rsidP="00F769CD">
      <w:pPr>
        <w:spacing w:after="0" w:line="240" w:lineRule="auto"/>
        <w:jc w:val="both"/>
        <w:rPr>
          <w:rFonts w:ascii="Arial" w:eastAsia="Times New Roman" w:hAnsi="Arial" w:cs="Arial"/>
          <w:bCs/>
          <w:kern w:val="0"/>
          <w:sz w:val="20"/>
          <w:szCs w:val="20"/>
          <w:lang w:val="en-US"/>
          <w14:ligatures w14:val="none"/>
        </w:rPr>
      </w:pPr>
    </w:p>
    <w:p w14:paraId="7BEB807B" w14:textId="465DF64B" w:rsidR="00F769CD" w:rsidRDefault="00F769CD" w:rsidP="00F769CD">
      <w:pPr>
        <w:spacing w:after="0" w:line="240" w:lineRule="auto"/>
        <w:jc w:val="both"/>
        <w:rPr>
          <w:rFonts w:ascii="Arial" w:eastAsia="Times New Roman" w:hAnsi="Arial" w:cs="Arial"/>
          <w:bCs/>
          <w:kern w:val="0"/>
          <w:sz w:val="20"/>
          <w:szCs w:val="20"/>
          <w:lang w:val="en-US"/>
          <w14:ligatures w14:val="none"/>
        </w:rPr>
      </w:pPr>
      <w:r w:rsidRPr="00F769CD">
        <w:rPr>
          <w:rFonts w:ascii="Arial" w:eastAsia="Times New Roman" w:hAnsi="Arial" w:cs="Arial"/>
          <w:bCs/>
          <w:kern w:val="0"/>
          <w:sz w:val="20"/>
          <w:szCs w:val="20"/>
          <w:lang w:val="en-US"/>
          <w14:ligatures w14:val="none"/>
        </w:rPr>
        <w:t>OOPE= f (Social Security Benefit, Health Insurance, Income, Location)</w:t>
      </w:r>
    </w:p>
    <w:p w14:paraId="6E43E561"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3DC3BEC9" w14:textId="2031148E" w:rsidR="00420294" w:rsidRPr="00420294" w:rsidRDefault="007A5B35" w:rsidP="00420294">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t>4</w:t>
      </w:r>
      <w:r w:rsidR="00420294" w:rsidRPr="00420294">
        <w:rPr>
          <w:rFonts w:ascii="Arial" w:eastAsia="Times New Roman" w:hAnsi="Arial" w:cs="Arial"/>
          <w:b/>
          <w:caps/>
          <w:kern w:val="0"/>
          <w:szCs w:val="20"/>
          <w:lang w:val="en-US"/>
          <w14:ligatures w14:val="none"/>
        </w:rPr>
        <w:t>. results and discussion</w:t>
      </w:r>
    </w:p>
    <w:p w14:paraId="195BBD76" w14:textId="77777777" w:rsidR="00420294" w:rsidRPr="00420294" w:rsidRDefault="00420294" w:rsidP="00420294">
      <w:pPr>
        <w:spacing w:after="0" w:line="240" w:lineRule="auto"/>
        <w:jc w:val="both"/>
        <w:rPr>
          <w:rFonts w:ascii="Arial" w:eastAsia="Times New Roman" w:hAnsi="Arial" w:cs="Arial"/>
          <w:kern w:val="0"/>
          <w:sz w:val="20"/>
          <w:szCs w:val="20"/>
          <w:lang w:val="en-US"/>
          <w14:ligatures w14:val="none"/>
        </w:rPr>
      </w:pPr>
    </w:p>
    <w:p w14:paraId="6398E57D" w14:textId="715C4114" w:rsidR="00BC4F01" w:rsidRDefault="00BC4F01" w:rsidP="00BC4F0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This section </w:t>
      </w:r>
      <w:r w:rsidRPr="00BC4F01">
        <w:rPr>
          <w:rFonts w:ascii="Arial" w:eastAsia="Times New Roman" w:hAnsi="Arial" w:cs="Arial"/>
          <w:kern w:val="0"/>
          <w:sz w:val="20"/>
          <w:szCs w:val="20"/>
          <w:lang w:val="en-US"/>
          <w14:ligatures w14:val="none"/>
        </w:rPr>
        <w:t xml:space="preserve">explores the critical issue of healthcare financing methods used by the elderly, with a focus on out-of-pocket expenses, which remain the dominant form of healthcare funding in many developing regions. </w:t>
      </w:r>
      <w:r w:rsidR="000D766E" w:rsidRPr="00BC4F01">
        <w:rPr>
          <w:rFonts w:ascii="Arial" w:eastAsia="Times New Roman" w:hAnsi="Arial" w:cs="Arial"/>
          <w:kern w:val="0"/>
          <w:sz w:val="20"/>
          <w:szCs w:val="20"/>
          <w:lang w:val="en-US"/>
          <w14:ligatures w14:val="none"/>
        </w:rPr>
        <w:t>Additionally,</w:t>
      </w:r>
      <w:r w:rsidR="000D766E">
        <w:rPr>
          <w:rFonts w:ascii="Arial" w:eastAsia="Times New Roman" w:hAnsi="Arial" w:cs="Arial"/>
          <w:kern w:val="0"/>
          <w:sz w:val="20"/>
          <w:szCs w:val="20"/>
          <w:lang w:val="en-US"/>
          <w14:ligatures w14:val="none"/>
        </w:rPr>
        <w:t xml:space="preserve"> the</w:t>
      </w:r>
      <w:r>
        <w:rPr>
          <w:rFonts w:ascii="Arial" w:eastAsia="Times New Roman" w:hAnsi="Arial" w:cs="Arial"/>
          <w:kern w:val="0"/>
          <w:sz w:val="20"/>
          <w:szCs w:val="20"/>
          <w:lang w:val="en-US"/>
          <w14:ligatures w14:val="none"/>
        </w:rPr>
        <w:t xml:space="preserve"> </w:t>
      </w:r>
      <w:r w:rsidR="000C3DBD">
        <w:rPr>
          <w:rFonts w:ascii="Arial" w:eastAsia="Times New Roman" w:hAnsi="Arial" w:cs="Arial"/>
          <w:kern w:val="0"/>
          <w:sz w:val="20"/>
          <w:szCs w:val="20"/>
          <w:lang w:val="en-US"/>
          <w14:ligatures w14:val="none"/>
        </w:rPr>
        <w:t xml:space="preserve">section </w:t>
      </w:r>
      <w:r w:rsidR="000C3DBD" w:rsidRPr="00BC4F01">
        <w:rPr>
          <w:rFonts w:ascii="Arial" w:eastAsia="Times New Roman" w:hAnsi="Arial" w:cs="Arial"/>
          <w:kern w:val="0"/>
          <w:sz w:val="20"/>
          <w:szCs w:val="20"/>
          <w:lang w:val="en-US"/>
          <w14:ligatures w14:val="none"/>
        </w:rPr>
        <w:t>examines</w:t>
      </w:r>
      <w:r w:rsidRPr="00BC4F01">
        <w:rPr>
          <w:rFonts w:ascii="Arial" w:eastAsia="Times New Roman" w:hAnsi="Arial" w:cs="Arial"/>
          <w:kern w:val="0"/>
          <w:sz w:val="20"/>
          <w:szCs w:val="20"/>
          <w:lang w:val="en-US"/>
          <w14:ligatures w14:val="none"/>
        </w:rPr>
        <w:t xml:space="preserve"> the coping strategies elderly households employ to manage the financial strain of healthcare costs that exceed their regular income. </w:t>
      </w:r>
    </w:p>
    <w:p w14:paraId="1F8FB6B8" w14:textId="77777777" w:rsidR="00F16823" w:rsidRDefault="00F16823" w:rsidP="00BC4F01">
      <w:pPr>
        <w:spacing w:after="0" w:line="240" w:lineRule="auto"/>
        <w:jc w:val="both"/>
        <w:rPr>
          <w:rFonts w:ascii="Arial" w:eastAsia="Times New Roman" w:hAnsi="Arial" w:cs="Arial"/>
          <w:kern w:val="0"/>
          <w:sz w:val="20"/>
          <w:szCs w:val="20"/>
          <w:lang w:val="en-US"/>
          <w14:ligatures w14:val="none"/>
        </w:rPr>
      </w:pPr>
    </w:p>
    <w:p w14:paraId="48E393E4" w14:textId="50484817" w:rsidR="0005099A" w:rsidRDefault="0020338F" w:rsidP="007815F5">
      <w:pPr>
        <w:spacing w:after="0" w:line="240" w:lineRule="auto"/>
        <w:jc w:val="both"/>
        <w:rPr>
          <w:rFonts w:ascii="Arial" w:eastAsiaTheme="minorEastAsia" w:hAnsi="Arial" w:cs="Arial"/>
          <w:kern w:val="0"/>
          <w:sz w:val="20"/>
          <w:szCs w:val="20"/>
          <w:lang w:val="en-US"/>
          <w14:ligatures w14:val="none"/>
        </w:rPr>
      </w:pPr>
      <w:r>
        <w:rPr>
          <w:rFonts w:ascii="Arial" w:eastAsia="Times New Roman" w:hAnsi="Arial" w:cs="Arial"/>
          <w:b/>
          <w:kern w:val="0"/>
          <w:szCs w:val="20"/>
          <w:lang w:val="en-US"/>
          <w14:ligatures w14:val="none"/>
        </w:rPr>
        <w:t xml:space="preserve">4.1 </w:t>
      </w:r>
      <w:r w:rsidR="0005099A">
        <w:rPr>
          <w:rFonts w:ascii="Arial" w:eastAsia="Times New Roman" w:hAnsi="Arial" w:cs="Arial"/>
          <w:b/>
          <w:kern w:val="0"/>
          <w:szCs w:val="20"/>
          <w:lang w:val="en-US"/>
          <w14:ligatures w14:val="none"/>
        </w:rPr>
        <w:t>Health Care Expenditure</w:t>
      </w:r>
      <w:r w:rsidR="0005099A" w:rsidRPr="0005099A">
        <w:rPr>
          <w:rFonts w:ascii="Arial" w:eastAsiaTheme="minorEastAsia" w:hAnsi="Arial" w:cs="Arial"/>
          <w:kern w:val="0"/>
          <w:sz w:val="20"/>
          <w:szCs w:val="20"/>
          <w:lang w:val="en-US"/>
          <w14:ligatures w14:val="none"/>
        </w:rPr>
        <w:t xml:space="preserve"> </w:t>
      </w:r>
    </w:p>
    <w:p w14:paraId="0E18BBED" w14:textId="77777777" w:rsidR="007E523B" w:rsidRDefault="007E523B" w:rsidP="007815F5">
      <w:pPr>
        <w:spacing w:after="0" w:line="240" w:lineRule="auto"/>
        <w:jc w:val="both"/>
        <w:rPr>
          <w:rFonts w:ascii="Arial" w:eastAsiaTheme="minorEastAsia" w:hAnsi="Arial" w:cs="Arial"/>
          <w:kern w:val="0"/>
          <w:sz w:val="20"/>
          <w:szCs w:val="20"/>
          <w:lang w:val="en-US"/>
          <w14:ligatures w14:val="none"/>
        </w:rPr>
      </w:pPr>
    </w:p>
    <w:p w14:paraId="7B9832F3" w14:textId="4EAB7632"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expenditure involves a deeper insight into concepts like out-of-pocket health expenditure (OOP</w:t>
      </w:r>
      <w:r w:rsidR="000C3DBD" w:rsidRPr="0005099A">
        <w:rPr>
          <w:rFonts w:ascii="Arial" w:eastAsiaTheme="minorEastAsia" w:hAnsi="Arial" w:cs="Arial"/>
          <w:kern w:val="0"/>
          <w:sz w:val="20"/>
          <w:szCs w:val="20"/>
          <w:lang w:val="en-US"/>
          <w14:ligatures w14:val="none"/>
        </w:rPr>
        <w:t>), catastrophic</w:t>
      </w:r>
      <w:r w:rsidRPr="0005099A">
        <w:rPr>
          <w:rFonts w:ascii="Arial" w:eastAsiaTheme="minorEastAsia" w:hAnsi="Arial" w:cs="Arial"/>
          <w:kern w:val="0"/>
          <w:sz w:val="20"/>
          <w:szCs w:val="20"/>
          <w:lang w:val="en-US"/>
          <w14:ligatures w14:val="none"/>
        </w:rPr>
        <w:t xml:space="preserve"> heath expenditure and coping mechanism. With higher share of OOP health expenditure, households may become indebted and many times </w:t>
      </w:r>
      <w:r w:rsidR="000C700D" w:rsidRPr="0005099A">
        <w:rPr>
          <w:rFonts w:ascii="Arial" w:eastAsiaTheme="minorEastAsia" w:hAnsi="Arial" w:cs="Arial"/>
          <w:kern w:val="0"/>
          <w:sz w:val="20"/>
          <w:szCs w:val="20"/>
          <w:lang w:val="en-US"/>
          <w14:ligatures w14:val="none"/>
        </w:rPr>
        <w:t>such payments</w:t>
      </w:r>
      <w:r w:rsidRPr="0005099A">
        <w:rPr>
          <w:rFonts w:ascii="Arial" w:eastAsiaTheme="minorEastAsia" w:hAnsi="Arial" w:cs="Arial"/>
          <w:kern w:val="0"/>
          <w:sz w:val="20"/>
          <w:szCs w:val="20"/>
          <w:lang w:val="en-US"/>
          <w14:ligatures w14:val="none"/>
        </w:rPr>
        <w:t xml:space="preserve"> become catastrophic and lead the households into debt trap. OOP health expenditures are a critical concern due to their potential to drive households into poverty. Studies indicate that, globally, millions of people each year are pushed below the poverty line due to medical expenses (Xu et al., 2007; Flores et al., 2018). In addition, studies also reveal that OOP expenditures constitute a major component of total health expenditure, disproportionately affecting low-income households and rural populations (Berman et al., 2010). This eventually leads to financial catastrophe and debt trap.</w:t>
      </w:r>
      <w:r w:rsidR="00A17F5E">
        <w:rPr>
          <w:rFonts w:ascii="Arial" w:eastAsiaTheme="minorEastAsia" w:hAnsi="Arial" w:cs="Arial"/>
          <w:kern w:val="0"/>
          <w:sz w:val="20"/>
          <w:szCs w:val="20"/>
          <w:lang w:val="en-US"/>
          <w14:ligatures w14:val="none"/>
        </w:rPr>
        <w:t xml:space="preserve"> Hence, </w:t>
      </w:r>
      <w:r w:rsidRPr="0005099A">
        <w:rPr>
          <w:rFonts w:ascii="Arial" w:eastAsiaTheme="minorEastAsia" w:hAnsi="Arial" w:cs="Arial"/>
          <w:kern w:val="0"/>
          <w:sz w:val="20"/>
          <w:szCs w:val="20"/>
          <w:lang w:val="en-US"/>
          <w14:ligatures w14:val="none"/>
        </w:rPr>
        <w:t>a deeper understanding about these concepts is discussed in the following sub sections.</w:t>
      </w:r>
    </w:p>
    <w:p w14:paraId="18E785B9" w14:textId="7B9A7807" w:rsidR="00D3063F" w:rsidRPr="000767A8" w:rsidRDefault="000767A8" w:rsidP="0005099A">
      <w:pPr>
        <w:spacing w:after="200" w:line="240" w:lineRule="auto"/>
        <w:jc w:val="both"/>
        <w:rPr>
          <w:rFonts w:ascii="Arial" w:eastAsiaTheme="minorEastAsia" w:hAnsi="Arial" w:cs="Arial"/>
          <w:kern w:val="0"/>
          <w:sz w:val="20"/>
          <w:szCs w:val="20"/>
          <w:u w:val="single"/>
          <w:lang w:val="en-US"/>
          <w14:ligatures w14:val="none"/>
        </w:rPr>
      </w:pPr>
      <w:r w:rsidRPr="000767A8">
        <w:rPr>
          <w:rFonts w:ascii="Arial" w:eastAsiaTheme="minorEastAsia" w:hAnsi="Arial" w:cs="Arial"/>
          <w:b/>
          <w:bCs/>
          <w:kern w:val="0"/>
          <w:sz w:val="20"/>
          <w:szCs w:val="20"/>
          <w:u w:val="single"/>
          <w:lang w:val="en-US"/>
          <w14:ligatures w14:val="none"/>
        </w:rPr>
        <w:t>4.</w:t>
      </w:r>
      <w:r w:rsidR="007815F5">
        <w:rPr>
          <w:rFonts w:ascii="Arial" w:eastAsiaTheme="minorEastAsia" w:hAnsi="Arial" w:cs="Arial"/>
          <w:b/>
          <w:bCs/>
          <w:kern w:val="0"/>
          <w:sz w:val="20"/>
          <w:szCs w:val="20"/>
          <w:u w:val="single"/>
          <w:lang w:val="en-US"/>
          <w14:ligatures w14:val="none"/>
        </w:rPr>
        <w:t>1</w:t>
      </w:r>
      <w:r w:rsidR="00D3063F" w:rsidRPr="000767A8">
        <w:rPr>
          <w:rFonts w:ascii="Arial" w:eastAsiaTheme="minorEastAsia" w:hAnsi="Arial" w:cs="Arial"/>
          <w:b/>
          <w:bCs/>
          <w:kern w:val="0"/>
          <w:sz w:val="20"/>
          <w:szCs w:val="20"/>
          <w:u w:val="single"/>
          <w:lang w:val="en-US"/>
          <w14:ligatures w14:val="none"/>
        </w:rPr>
        <w:t>.1 Out of Pocket Health Expenditure</w:t>
      </w:r>
    </w:p>
    <w:p w14:paraId="0501BDFD" w14:textId="7CA2E190"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OOP health expenditure of the elderly households in Kerala</w:t>
      </w:r>
      <w:r w:rsidR="000767A8">
        <w:rPr>
          <w:rFonts w:ascii="Arial" w:eastAsiaTheme="minorEastAsia" w:hAnsi="Arial" w:cs="Arial"/>
          <w:kern w:val="0"/>
          <w:sz w:val="20"/>
          <w:szCs w:val="20"/>
          <w:lang w:val="en-US"/>
          <w14:ligatures w14:val="none"/>
        </w:rPr>
        <w:t xml:space="preserve"> is analysed</w:t>
      </w:r>
      <w:r w:rsidRPr="0005099A">
        <w:rPr>
          <w:rFonts w:ascii="Arial" w:eastAsiaTheme="minorEastAsia" w:hAnsi="Arial" w:cs="Arial"/>
          <w:kern w:val="0"/>
          <w:sz w:val="20"/>
          <w:szCs w:val="20"/>
          <w:lang w:val="en-US"/>
          <w14:ligatures w14:val="none"/>
        </w:rPr>
        <w:t xml:space="preserve">, with the extent of OOP health expenditure and descriptives being given in </w:t>
      </w:r>
      <w:r w:rsidR="000767A8">
        <w:rPr>
          <w:rFonts w:ascii="Arial" w:eastAsiaTheme="minorEastAsia" w:hAnsi="Arial" w:cs="Arial"/>
          <w:kern w:val="0"/>
          <w:sz w:val="20"/>
          <w:szCs w:val="20"/>
          <w:lang w:val="en-US"/>
          <w14:ligatures w14:val="none"/>
        </w:rPr>
        <w:t xml:space="preserve">figure </w:t>
      </w:r>
      <w:r w:rsidRPr="0005099A">
        <w:rPr>
          <w:rFonts w:ascii="Arial" w:eastAsiaTheme="minorEastAsia" w:hAnsi="Arial" w:cs="Arial"/>
          <w:kern w:val="0"/>
          <w:sz w:val="20"/>
          <w:szCs w:val="20"/>
          <w:lang w:val="en-US"/>
          <w14:ligatures w14:val="none"/>
        </w:rPr>
        <w:t>1 and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It can be observed that around 92 percent of the surveyed elderly households reported presence of OOP health expenditure and median OOP expenditure amounts to 2000 Rs and mean expenditure amounts to 3412.35 Rs. The confidence interval for mean has been constructed.</w:t>
      </w:r>
    </w:p>
    <w:p w14:paraId="2EE233BB" w14:textId="77777777" w:rsidR="00D3063F" w:rsidRDefault="00D3063F" w:rsidP="007E523B">
      <w:pPr>
        <w:tabs>
          <w:tab w:val="left" w:pos="195"/>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The extent of OOP expenditure is regarded as an inevitable component in </w:t>
      </w:r>
      <w:proofErr w:type="spellStart"/>
      <w:r w:rsidRPr="0005099A">
        <w:rPr>
          <w:rFonts w:ascii="Arial" w:eastAsiaTheme="minorEastAsia" w:hAnsi="Arial" w:cs="Arial"/>
          <w:kern w:val="0"/>
          <w:sz w:val="20"/>
          <w:szCs w:val="20"/>
          <w:lang w:val="en-US"/>
          <w14:ligatures w14:val="none"/>
        </w:rPr>
        <w:t>analysing</w:t>
      </w:r>
      <w:proofErr w:type="spellEnd"/>
      <w:r w:rsidRPr="0005099A">
        <w:rPr>
          <w:rFonts w:ascii="Arial" w:eastAsiaTheme="minorEastAsia" w:hAnsi="Arial" w:cs="Arial"/>
          <w:kern w:val="0"/>
          <w:sz w:val="20"/>
          <w:szCs w:val="20"/>
          <w:lang w:val="en-US"/>
          <w14:ligatures w14:val="none"/>
        </w:rPr>
        <w:t xml:space="preserve"> health care </w:t>
      </w:r>
      <w:proofErr w:type="spellStart"/>
      <w:r w:rsidRPr="0005099A">
        <w:rPr>
          <w:rFonts w:ascii="Arial" w:eastAsiaTheme="minorEastAsia" w:hAnsi="Arial" w:cs="Arial"/>
          <w:kern w:val="0"/>
          <w:sz w:val="20"/>
          <w:szCs w:val="20"/>
          <w:lang w:val="en-US"/>
          <w14:ligatures w14:val="none"/>
        </w:rPr>
        <w:t>utilisation</w:t>
      </w:r>
      <w:proofErr w:type="spellEnd"/>
      <w:r w:rsidRPr="0005099A">
        <w:rPr>
          <w:rFonts w:ascii="Arial" w:eastAsiaTheme="minorEastAsia" w:hAnsi="Arial" w:cs="Arial"/>
          <w:kern w:val="0"/>
          <w:sz w:val="20"/>
          <w:szCs w:val="20"/>
          <w:lang w:val="en-US"/>
          <w14:ligatures w14:val="none"/>
        </w:rPr>
        <w:t xml:space="preserve"> as well as financing. Out-of-pocket health expenditure, or the direct spending by households on healthcare, on the other hand significantly impacts elderly households, often burdening them financially.</w:t>
      </w:r>
    </w:p>
    <w:p w14:paraId="46EBF11D" w14:textId="3977CA9A" w:rsidR="000767A8" w:rsidRPr="0005099A" w:rsidRDefault="007E523B" w:rsidP="0005099A">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lastRenderedPageBreak/>
        <w:drawing>
          <wp:inline distT="0" distB="0" distL="0" distR="0" wp14:anchorId="43A45268" wp14:editId="11FA3F2B">
            <wp:extent cx="5186149" cy="2169994"/>
            <wp:effectExtent l="0" t="0" r="14605" b="20955"/>
            <wp:docPr id="6131044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D4E8D4" w14:textId="6AF8E588" w:rsidR="00D3063F" w:rsidRDefault="00D3063F" w:rsidP="0005099A">
      <w:pPr>
        <w:spacing w:after="200" w:line="240" w:lineRule="auto"/>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B3C6F23" w14:textId="5A99FA71" w:rsidR="000767A8" w:rsidRPr="0005099A" w:rsidRDefault="000767A8" w:rsidP="000C3DBD">
      <w:pPr>
        <w:tabs>
          <w:tab w:val="left" w:pos="195"/>
        </w:tabs>
        <w:spacing w:after="200" w:line="240" w:lineRule="auto"/>
        <w:rPr>
          <w:rFonts w:ascii="Arial" w:eastAsiaTheme="minorEastAsia" w:hAnsi="Arial" w:cs="Arial"/>
          <w:kern w:val="0"/>
          <w:sz w:val="20"/>
          <w:szCs w:val="20"/>
          <w:lang w:val="en-US"/>
          <w14:ligatures w14:val="none"/>
        </w:rPr>
      </w:pPr>
      <w:r w:rsidRPr="0005099A">
        <w:rPr>
          <w:rFonts w:ascii="Arial" w:eastAsiaTheme="minorEastAsia" w:hAnsi="Arial" w:cs="Arial"/>
          <w:b/>
          <w:bCs/>
          <w:kern w:val="0"/>
          <w:sz w:val="20"/>
          <w:szCs w:val="20"/>
          <w:lang w:val="en-US"/>
          <w14:ligatures w14:val="none"/>
        </w:rPr>
        <w:t>Figure 1 Extent of Out-of-Pocket Expenditure</w:t>
      </w:r>
    </w:p>
    <w:p w14:paraId="44D01FA4" w14:textId="77777777" w:rsidR="00D3063F"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With the extent of OOP expenditure being 92 percent among the studied group, there is high possibility for the presence of financial burden and catastrophe, especially among elderly households falling in the lower income strata. </w:t>
      </w:r>
    </w:p>
    <w:p w14:paraId="03EF6A0D" w14:textId="77777777" w:rsidR="0050051C" w:rsidRPr="0005099A" w:rsidRDefault="0050051C" w:rsidP="0005099A">
      <w:pPr>
        <w:spacing w:after="200" w:line="240" w:lineRule="auto"/>
        <w:jc w:val="both"/>
        <w:rPr>
          <w:rFonts w:ascii="Arial" w:eastAsiaTheme="minorEastAsia" w:hAnsi="Arial" w:cs="Arial"/>
          <w:kern w:val="0"/>
          <w:sz w:val="20"/>
          <w:szCs w:val="20"/>
          <w:lang w:val="en-US"/>
          <w14:ligatures w14:val="none"/>
        </w:rPr>
      </w:pPr>
    </w:p>
    <w:p w14:paraId="57623132" w14:textId="3641F8D9" w:rsidR="00D3063F" w:rsidRPr="0005099A" w:rsidRDefault="00D3063F" w:rsidP="000767A8">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1</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Normality Test of OOP Health Expenditure</w:t>
      </w:r>
    </w:p>
    <w:tbl>
      <w:tblPr>
        <w:tblStyle w:val="TableGrid2"/>
        <w:tblW w:w="0" w:type="auto"/>
        <w:tblLook w:val="04A0" w:firstRow="1" w:lastRow="0" w:firstColumn="1" w:lastColumn="0" w:noHBand="0" w:noVBand="1"/>
      </w:tblPr>
      <w:tblGrid>
        <w:gridCol w:w="1733"/>
        <w:gridCol w:w="1256"/>
        <w:gridCol w:w="1190"/>
        <w:gridCol w:w="1220"/>
        <w:gridCol w:w="977"/>
        <w:gridCol w:w="894"/>
        <w:gridCol w:w="924"/>
      </w:tblGrid>
      <w:tr w:rsidR="00D3063F" w:rsidRPr="0005099A" w14:paraId="668375DF" w14:textId="77777777" w:rsidTr="004E15E8">
        <w:tc>
          <w:tcPr>
            <w:tcW w:w="1823" w:type="dxa"/>
          </w:tcPr>
          <w:p w14:paraId="6D06229A"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3993" w:type="dxa"/>
            <w:gridSpan w:val="3"/>
          </w:tcPr>
          <w:p w14:paraId="1F6A6D2D"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Kolmogorov-Smirnov Test</w:t>
            </w:r>
          </w:p>
        </w:tc>
        <w:tc>
          <w:tcPr>
            <w:tcW w:w="2929" w:type="dxa"/>
            <w:gridSpan w:val="3"/>
          </w:tcPr>
          <w:p w14:paraId="50EB1B4F" w14:textId="77777777" w:rsidR="00D3063F" w:rsidRPr="0005099A" w:rsidRDefault="00D3063F" w:rsidP="000767A8">
            <w:pPr>
              <w:spacing w:before="40" w:after="40" w:line="480" w:lineRule="auto"/>
              <w:jc w:val="center"/>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Shapiro-Wilk Test</w:t>
            </w:r>
          </w:p>
        </w:tc>
      </w:tr>
      <w:tr w:rsidR="00D3063F" w:rsidRPr="0005099A" w14:paraId="271D3EB3" w14:textId="77777777" w:rsidTr="004E15E8">
        <w:tc>
          <w:tcPr>
            <w:tcW w:w="1823" w:type="dxa"/>
            <w:vMerge w:val="restart"/>
          </w:tcPr>
          <w:p w14:paraId="5C4DD37C"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expenditure.</w:t>
            </w:r>
          </w:p>
        </w:tc>
        <w:tc>
          <w:tcPr>
            <w:tcW w:w="1331" w:type="dxa"/>
          </w:tcPr>
          <w:p w14:paraId="30B7365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1331" w:type="dxa"/>
          </w:tcPr>
          <w:p w14:paraId="7FAC1F2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1331" w:type="dxa"/>
          </w:tcPr>
          <w:p w14:paraId="09336DC4"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c>
          <w:tcPr>
            <w:tcW w:w="990" w:type="dxa"/>
          </w:tcPr>
          <w:p w14:paraId="1506A8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Statistic</w:t>
            </w:r>
          </w:p>
        </w:tc>
        <w:tc>
          <w:tcPr>
            <w:tcW w:w="969" w:type="dxa"/>
          </w:tcPr>
          <w:p w14:paraId="3B8D888A"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proofErr w:type="spellStart"/>
            <w:r w:rsidRPr="0005099A">
              <w:rPr>
                <w:rFonts w:ascii="Arial" w:eastAsiaTheme="minorEastAsia" w:hAnsi="Arial" w:cs="Arial"/>
                <w:kern w:val="0"/>
                <w:sz w:val="20"/>
                <w:szCs w:val="20"/>
                <w:lang w:val="en-US"/>
                <w14:ligatures w14:val="none"/>
              </w:rPr>
              <w:t>d.f</w:t>
            </w:r>
            <w:proofErr w:type="spellEnd"/>
          </w:p>
        </w:tc>
        <w:tc>
          <w:tcPr>
            <w:tcW w:w="970" w:type="dxa"/>
          </w:tcPr>
          <w:p w14:paraId="3FBBEA6D"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Sig.</w:t>
            </w:r>
          </w:p>
        </w:tc>
      </w:tr>
      <w:tr w:rsidR="00D3063F" w:rsidRPr="0005099A" w14:paraId="41483E14" w14:textId="77777777" w:rsidTr="004E15E8">
        <w:tc>
          <w:tcPr>
            <w:tcW w:w="1823" w:type="dxa"/>
            <w:vMerge/>
          </w:tcPr>
          <w:p w14:paraId="27FB3078" w14:textId="77777777" w:rsidR="00D3063F" w:rsidRPr="0005099A" w:rsidRDefault="00D3063F" w:rsidP="000767A8">
            <w:pPr>
              <w:spacing w:before="40" w:after="40" w:line="480" w:lineRule="auto"/>
              <w:jc w:val="both"/>
              <w:rPr>
                <w:rFonts w:ascii="Arial" w:eastAsiaTheme="minorEastAsia" w:hAnsi="Arial" w:cs="Arial"/>
                <w:kern w:val="0"/>
                <w:sz w:val="20"/>
                <w:szCs w:val="20"/>
                <w:lang w:val="en-US"/>
                <w14:ligatures w14:val="none"/>
              </w:rPr>
            </w:pPr>
          </w:p>
        </w:tc>
        <w:tc>
          <w:tcPr>
            <w:tcW w:w="1331" w:type="dxa"/>
          </w:tcPr>
          <w:p w14:paraId="6A7F4475"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0.245</w:t>
            </w:r>
          </w:p>
        </w:tc>
        <w:tc>
          <w:tcPr>
            <w:tcW w:w="1331" w:type="dxa"/>
          </w:tcPr>
          <w:p w14:paraId="2F7226AE"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1331" w:type="dxa"/>
          </w:tcPr>
          <w:p w14:paraId="4942A373"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c>
          <w:tcPr>
            <w:tcW w:w="990" w:type="dxa"/>
          </w:tcPr>
          <w:p w14:paraId="1C853C22"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0.638</w:t>
            </w:r>
          </w:p>
        </w:tc>
        <w:tc>
          <w:tcPr>
            <w:tcW w:w="969" w:type="dxa"/>
          </w:tcPr>
          <w:p w14:paraId="3E60B786"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402</w:t>
            </w:r>
          </w:p>
        </w:tc>
        <w:tc>
          <w:tcPr>
            <w:tcW w:w="970" w:type="dxa"/>
          </w:tcPr>
          <w:p w14:paraId="1F6D5AFC" w14:textId="77777777" w:rsidR="00D3063F" w:rsidRPr="0005099A" w:rsidRDefault="00D3063F" w:rsidP="000767A8">
            <w:pPr>
              <w:spacing w:before="40" w:after="4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0.000</w:t>
            </w:r>
          </w:p>
        </w:tc>
      </w:tr>
    </w:tbl>
    <w:p w14:paraId="0B825884" w14:textId="77777777" w:rsidR="00D3063F" w:rsidRPr="0005099A" w:rsidRDefault="00D3063F" w:rsidP="000767A8">
      <w:pPr>
        <w:spacing w:after="200" w:line="480" w:lineRule="auto"/>
        <w:jc w:val="both"/>
        <w:rPr>
          <w:rFonts w:ascii="Arial" w:eastAsiaTheme="minorEastAsia" w:hAnsi="Arial" w:cs="Arial"/>
          <w:kern w:val="0"/>
          <w:sz w:val="20"/>
          <w:szCs w:val="20"/>
          <w:lang w:val="en-US"/>
          <w14:ligatures w14:val="none"/>
        </w:rPr>
      </w:pPr>
    </w:p>
    <w:p w14:paraId="228A6BDD" w14:textId="2D617A45" w:rsidR="00D3063F" w:rsidRPr="0005099A" w:rsidRDefault="00D3063F" w:rsidP="0005099A">
      <w:pPr>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descriptive statistics of OOP Expenditure given in table</w:t>
      </w:r>
      <w:r w:rsidR="000767A8">
        <w:rPr>
          <w:rFonts w:ascii="Arial" w:eastAsiaTheme="minorEastAsia" w:hAnsi="Arial" w:cs="Arial"/>
          <w:kern w:val="0"/>
          <w:sz w:val="20"/>
          <w:szCs w:val="20"/>
          <w:lang w:val="en-US"/>
          <w14:ligatures w14:val="none"/>
        </w:rPr>
        <w:t xml:space="preserve"> </w:t>
      </w:r>
      <w:r w:rsidR="009A2A61">
        <w:rPr>
          <w:rFonts w:ascii="Arial" w:eastAsiaTheme="minorEastAsia" w:hAnsi="Arial" w:cs="Arial"/>
          <w:kern w:val="0"/>
          <w:sz w:val="20"/>
          <w:szCs w:val="20"/>
          <w:lang w:val="en-US"/>
          <w14:ligatures w14:val="none"/>
        </w:rPr>
        <w:t>2</w:t>
      </w:r>
      <w:r w:rsidRPr="0005099A">
        <w:rPr>
          <w:rFonts w:ascii="Arial" w:eastAsiaTheme="minorEastAsia" w:hAnsi="Arial" w:cs="Arial"/>
          <w:kern w:val="0"/>
          <w:sz w:val="20"/>
          <w:szCs w:val="20"/>
          <w:lang w:val="en-US"/>
          <w14:ligatures w14:val="none"/>
        </w:rPr>
        <w:t xml:space="preserve"> reveals that the OOP expenditure on health is highly skewed. Normality test statistics like Kolmogorov-Smirnov and Shapiro-Wilk tests, further confirms the result. The null hypothesis that OOP health expenditure is normally </w:t>
      </w:r>
      <w:r w:rsidR="009A2A61" w:rsidRPr="0005099A">
        <w:rPr>
          <w:rFonts w:ascii="Arial" w:eastAsiaTheme="minorEastAsia" w:hAnsi="Arial" w:cs="Arial"/>
          <w:kern w:val="0"/>
          <w:sz w:val="20"/>
          <w:szCs w:val="20"/>
          <w:lang w:val="en-US"/>
          <w14:ligatures w14:val="none"/>
        </w:rPr>
        <w:t>distributed,</w:t>
      </w:r>
      <w:r w:rsidRPr="0005099A">
        <w:rPr>
          <w:rFonts w:ascii="Arial" w:eastAsiaTheme="minorEastAsia" w:hAnsi="Arial" w:cs="Arial"/>
          <w:kern w:val="0"/>
          <w:sz w:val="20"/>
          <w:szCs w:val="20"/>
          <w:lang w:val="en-US"/>
          <w14:ligatures w14:val="none"/>
        </w:rPr>
        <w:t xml:space="preserve"> is rejected as both the test statistics are significant.</w:t>
      </w:r>
    </w:p>
    <w:p w14:paraId="5788D4A7" w14:textId="77777777" w:rsidR="000767A8" w:rsidRDefault="000767A8" w:rsidP="000767A8">
      <w:pPr>
        <w:spacing w:after="200" w:line="240" w:lineRule="auto"/>
        <w:rPr>
          <w:rFonts w:ascii="Arial" w:eastAsiaTheme="minorEastAsia" w:hAnsi="Arial" w:cs="Arial"/>
          <w:b/>
          <w:bCs/>
          <w:kern w:val="0"/>
          <w:sz w:val="20"/>
          <w:szCs w:val="20"/>
          <w:lang w:val="en-US"/>
          <w14:ligatures w14:val="none"/>
        </w:rPr>
      </w:pPr>
    </w:p>
    <w:p w14:paraId="6F0B9D48" w14:textId="0A1251D6" w:rsidR="00D3063F" w:rsidRPr="0005099A" w:rsidRDefault="00D3063F" w:rsidP="005D749A">
      <w:pPr>
        <w:spacing w:after="200" w:line="48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 xml:space="preserve">Table </w:t>
      </w:r>
      <w:r w:rsidR="009A2A61">
        <w:rPr>
          <w:rFonts w:ascii="Arial" w:eastAsiaTheme="minorEastAsia" w:hAnsi="Arial" w:cs="Arial"/>
          <w:b/>
          <w:bCs/>
          <w:kern w:val="0"/>
          <w:sz w:val="20"/>
          <w:szCs w:val="20"/>
          <w:lang w:val="en-US"/>
          <w14:ligatures w14:val="none"/>
        </w:rPr>
        <w:t>2</w:t>
      </w:r>
      <w:r w:rsidRPr="0005099A">
        <w:rPr>
          <w:rFonts w:ascii="Arial" w:eastAsiaTheme="minorEastAsia" w:hAnsi="Arial" w:cs="Arial"/>
          <w:b/>
          <w:bCs/>
          <w:kern w:val="0"/>
          <w:sz w:val="20"/>
          <w:szCs w:val="20"/>
          <w:lang w:val="en-US"/>
          <w14:ligatures w14:val="none"/>
        </w:rPr>
        <w:t xml:space="preserve"> </w:t>
      </w:r>
      <w:r w:rsidR="000767A8">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Descriptive Statistics of OOP Health Expenditure</w:t>
      </w:r>
    </w:p>
    <w:tbl>
      <w:tblPr>
        <w:tblStyle w:val="TableGrid2"/>
        <w:tblW w:w="0" w:type="auto"/>
        <w:jc w:val="center"/>
        <w:tblLook w:val="04A0" w:firstRow="1" w:lastRow="0" w:firstColumn="1" w:lastColumn="0" w:noHBand="0" w:noVBand="1"/>
      </w:tblPr>
      <w:tblGrid>
        <w:gridCol w:w="2066"/>
        <w:gridCol w:w="2058"/>
        <w:gridCol w:w="4070"/>
      </w:tblGrid>
      <w:tr w:rsidR="00D3063F" w:rsidRPr="0005099A" w14:paraId="56BC1429" w14:textId="77777777" w:rsidTr="004E15E8">
        <w:trPr>
          <w:jc w:val="center"/>
        </w:trPr>
        <w:tc>
          <w:tcPr>
            <w:tcW w:w="4327" w:type="dxa"/>
            <w:gridSpan w:val="2"/>
          </w:tcPr>
          <w:p w14:paraId="2B9DC845"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Mean</w:t>
            </w:r>
          </w:p>
        </w:tc>
        <w:tc>
          <w:tcPr>
            <w:tcW w:w="4327" w:type="dxa"/>
          </w:tcPr>
          <w:p w14:paraId="5F18D54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3412.35</w:t>
            </w:r>
          </w:p>
        </w:tc>
      </w:tr>
      <w:tr w:rsidR="00D3063F" w:rsidRPr="0005099A" w14:paraId="55BA5A64" w14:textId="77777777" w:rsidTr="004E15E8">
        <w:trPr>
          <w:jc w:val="center"/>
        </w:trPr>
        <w:tc>
          <w:tcPr>
            <w:tcW w:w="4327" w:type="dxa"/>
            <w:gridSpan w:val="2"/>
          </w:tcPr>
          <w:p w14:paraId="085E4848"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Standard Deviation</w:t>
            </w:r>
          </w:p>
        </w:tc>
        <w:tc>
          <w:tcPr>
            <w:tcW w:w="4327" w:type="dxa"/>
          </w:tcPr>
          <w:p w14:paraId="2407AE67"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4947.09</w:t>
            </w:r>
          </w:p>
        </w:tc>
      </w:tr>
      <w:tr w:rsidR="00D3063F" w:rsidRPr="0005099A" w14:paraId="5AF92420" w14:textId="77777777" w:rsidTr="004E15E8">
        <w:trPr>
          <w:jc w:val="center"/>
        </w:trPr>
        <w:tc>
          <w:tcPr>
            <w:tcW w:w="4327" w:type="dxa"/>
            <w:gridSpan w:val="2"/>
          </w:tcPr>
          <w:p w14:paraId="692A9846"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Skewness</w:t>
            </w:r>
          </w:p>
        </w:tc>
        <w:tc>
          <w:tcPr>
            <w:tcW w:w="4327" w:type="dxa"/>
          </w:tcPr>
          <w:p w14:paraId="2220AF7D"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3.83</w:t>
            </w:r>
          </w:p>
        </w:tc>
      </w:tr>
      <w:tr w:rsidR="00D3063F" w:rsidRPr="0005099A" w14:paraId="3BD7C9B3" w14:textId="77777777" w:rsidTr="004E15E8">
        <w:trPr>
          <w:jc w:val="center"/>
        </w:trPr>
        <w:tc>
          <w:tcPr>
            <w:tcW w:w="4327" w:type="dxa"/>
            <w:gridSpan w:val="2"/>
          </w:tcPr>
          <w:p w14:paraId="22EBD809"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Median</w:t>
            </w:r>
          </w:p>
        </w:tc>
        <w:tc>
          <w:tcPr>
            <w:tcW w:w="4327" w:type="dxa"/>
          </w:tcPr>
          <w:p w14:paraId="4CCBA723"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2000.00</w:t>
            </w:r>
          </w:p>
        </w:tc>
      </w:tr>
      <w:tr w:rsidR="00D3063F" w:rsidRPr="0005099A" w14:paraId="736E13E2" w14:textId="77777777" w:rsidTr="004E15E8">
        <w:trPr>
          <w:jc w:val="center"/>
        </w:trPr>
        <w:tc>
          <w:tcPr>
            <w:tcW w:w="2163" w:type="dxa"/>
            <w:vMerge w:val="restart"/>
          </w:tcPr>
          <w:p w14:paraId="6061A5A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95 percent C.I for Mean</w:t>
            </w:r>
          </w:p>
        </w:tc>
        <w:tc>
          <w:tcPr>
            <w:tcW w:w="2163" w:type="dxa"/>
          </w:tcPr>
          <w:p w14:paraId="1D1CD867"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Lower</w:t>
            </w:r>
          </w:p>
        </w:tc>
        <w:tc>
          <w:tcPr>
            <w:tcW w:w="4327" w:type="dxa"/>
          </w:tcPr>
          <w:p w14:paraId="76A6ADFF"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2927.28</w:t>
            </w:r>
          </w:p>
        </w:tc>
      </w:tr>
      <w:tr w:rsidR="00D3063F" w:rsidRPr="0005099A" w14:paraId="0B6EE640" w14:textId="77777777" w:rsidTr="004E15E8">
        <w:trPr>
          <w:jc w:val="center"/>
        </w:trPr>
        <w:tc>
          <w:tcPr>
            <w:tcW w:w="2163" w:type="dxa"/>
            <w:vMerge/>
          </w:tcPr>
          <w:p w14:paraId="60FDB5DE"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p>
        </w:tc>
        <w:tc>
          <w:tcPr>
            <w:tcW w:w="2163" w:type="dxa"/>
          </w:tcPr>
          <w:p w14:paraId="0036EDBA" w14:textId="77777777" w:rsidR="00D3063F" w:rsidRPr="0005099A" w:rsidRDefault="00D3063F" w:rsidP="005D749A">
            <w:pPr>
              <w:spacing w:before="60" w:after="6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Upper</w:t>
            </w:r>
          </w:p>
        </w:tc>
        <w:tc>
          <w:tcPr>
            <w:tcW w:w="4327" w:type="dxa"/>
          </w:tcPr>
          <w:p w14:paraId="564AB782" w14:textId="77777777" w:rsidR="00D3063F" w:rsidRPr="0005099A" w:rsidRDefault="00D3063F" w:rsidP="005D749A">
            <w:pPr>
              <w:spacing w:before="60" w:after="60" w:line="480" w:lineRule="auto"/>
              <w:jc w:val="center"/>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3897.41</w:t>
            </w:r>
          </w:p>
        </w:tc>
      </w:tr>
    </w:tbl>
    <w:p w14:paraId="31F2807A" w14:textId="77777777" w:rsidR="000C3DBD" w:rsidRDefault="00D3063F"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i/>
          <w:iCs/>
          <w:kern w:val="0"/>
          <w:sz w:val="20"/>
          <w:szCs w:val="20"/>
          <w:lang w:val="en-US"/>
          <w14:ligatures w14:val="none"/>
        </w:rPr>
        <w:t xml:space="preserve">  Source: Primary Survey</w:t>
      </w:r>
      <w:r w:rsidRPr="0005099A">
        <w:rPr>
          <w:rFonts w:ascii="Arial" w:eastAsiaTheme="minorEastAsia" w:hAnsi="Arial" w:cs="Arial"/>
          <w:i/>
          <w:iCs/>
          <w:kern w:val="0"/>
          <w:sz w:val="20"/>
          <w:szCs w:val="20"/>
          <w:lang w:val="en-US"/>
          <w14:ligatures w14:val="none"/>
        </w:rPr>
        <w:tab/>
      </w:r>
    </w:p>
    <w:p w14:paraId="1E04F257" w14:textId="4AC636AC" w:rsidR="00D3063F" w:rsidRPr="0050051C" w:rsidRDefault="005D749A" w:rsidP="000C3DBD">
      <w:pPr>
        <w:tabs>
          <w:tab w:val="left" w:pos="3270"/>
        </w:tabs>
        <w:spacing w:after="200" w:line="480" w:lineRule="auto"/>
        <w:jc w:val="both"/>
        <w:rPr>
          <w:rFonts w:ascii="Arial" w:eastAsiaTheme="minorEastAsia" w:hAnsi="Arial" w:cs="Arial"/>
          <w:i/>
          <w:iCs/>
          <w:kern w:val="0"/>
          <w:sz w:val="20"/>
          <w:szCs w:val="20"/>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.2 Components of OOP Health Expenditure</w:t>
      </w:r>
    </w:p>
    <w:p w14:paraId="3ED1BB03" w14:textId="3350FE0E"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health expenditure for elderly households is comprised of multiple components that reflect the varied healthcare needs associated with aging</w:t>
      </w:r>
      <w:r w:rsidR="00F16823">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The study observed the most important component of OOP expenditure among the elderly households. The result is summarized in figure</w:t>
      </w:r>
      <w:r w:rsidR="005D74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2. Purchase of medicines was observed to the most important component of majority of the households, with 291 households opting for the same. This is followed by diagnostic tests and travel expenses with 10.45 percent and 9 percent of the households considering it as the most important component in their OOP health expenditure respectively.</w:t>
      </w:r>
    </w:p>
    <w:p w14:paraId="1BAE94A3"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p>
    <w:p w14:paraId="07C2749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lang w:eastAsia="en-IN" w:bidi="ml-IN"/>
          <w14:ligatures w14:val="none"/>
        </w:rPr>
        <w:drawing>
          <wp:inline distT="0" distB="0" distL="0" distR="0" wp14:anchorId="7C73321D" wp14:editId="6418749E">
            <wp:extent cx="5124450" cy="2162175"/>
            <wp:effectExtent l="0" t="0" r="0" b="9525"/>
            <wp:docPr id="451866510" name="Chart 1">
              <a:extLst xmlns:a="http://schemas.openxmlformats.org/drawingml/2006/main">
                <a:ext uri="{FF2B5EF4-FFF2-40B4-BE49-F238E27FC236}">
                  <a16:creationId xmlns:a16="http://schemas.microsoft.com/office/drawing/2014/main" id="{13224120-DBAD-9CA4-359C-365C5BD2B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FEA70E" w14:textId="77777777" w:rsidR="00D3063F" w:rsidRDefault="00D3063F" w:rsidP="0005099A">
      <w:pPr>
        <w:tabs>
          <w:tab w:val="left" w:pos="3270"/>
        </w:tabs>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455350C9" w14:textId="6E46F95F" w:rsidR="005D749A" w:rsidRPr="0005099A" w:rsidRDefault="005D749A" w:rsidP="005D749A">
      <w:pPr>
        <w:tabs>
          <w:tab w:val="left" w:pos="3270"/>
        </w:tabs>
        <w:spacing w:after="200" w:line="240" w:lineRule="auto"/>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2.</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 xml:space="preserve"> Important Components in OOP Health Expenditure</w:t>
      </w:r>
    </w:p>
    <w:p w14:paraId="59EEB48F" w14:textId="77777777" w:rsidR="005D749A" w:rsidRPr="0005099A" w:rsidRDefault="005D749A" w:rsidP="0005099A">
      <w:pPr>
        <w:tabs>
          <w:tab w:val="left" w:pos="3270"/>
        </w:tabs>
        <w:spacing w:after="200" w:line="240" w:lineRule="auto"/>
        <w:jc w:val="both"/>
        <w:rPr>
          <w:rFonts w:ascii="Arial" w:eastAsiaTheme="minorEastAsia" w:hAnsi="Arial" w:cs="Arial"/>
          <w:i/>
          <w:iCs/>
          <w:kern w:val="0"/>
          <w:sz w:val="20"/>
          <w:szCs w:val="20"/>
          <w:lang w:val="en-US"/>
          <w14:ligatures w14:val="none"/>
        </w:rPr>
      </w:pPr>
    </w:p>
    <w:p w14:paraId="495BAFC2" w14:textId="77777777" w:rsidR="00D3063F" w:rsidRPr="0005099A" w:rsidRDefault="00D3063F" w:rsidP="0005099A">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The findings of the study </w:t>
      </w:r>
      <w:proofErr w:type="gramStart"/>
      <w:r w:rsidRPr="0005099A">
        <w:rPr>
          <w:rFonts w:ascii="Arial" w:eastAsiaTheme="minorEastAsia" w:hAnsi="Arial" w:cs="Arial"/>
          <w:kern w:val="0"/>
          <w:sz w:val="20"/>
          <w:szCs w:val="20"/>
          <w:lang w:val="en-US"/>
          <w14:ligatures w14:val="none"/>
        </w:rPr>
        <w:t>is</w:t>
      </w:r>
      <w:proofErr w:type="gramEnd"/>
      <w:r w:rsidRPr="0005099A">
        <w:rPr>
          <w:rFonts w:ascii="Arial" w:eastAsiaTheme="minorEastAsia" w:hAnsi="Arial" w:cs="Arial"/>
          <w:kern w:val="0"/>
          <w:sz w:val="20"/>
          <w:szCs w:val="20"/>
          <w:lang w:val="en-US"/>
          <w14:ligatures w14:val="none"/>
        </w:rPr>
        <w:t xml:space="preserve"> consistent with several other studies (Wagstaff &amp; Doorslaer., 2003; Doorslaer et al., 2007), which observes that share of expenditure on medicines forms a higher portion in total health expenditure especially among poor and rural households.</w:t>
      </w:r>
    </w:p>
    <w:p w14:paraId="691401F1" w14:textId="77777777" w:rsidR="007E523B" w:rsidRDefault="005D749A" w:rsidP="0005099A">
      <w:pPr>
        <w:tabs>
          <w:tab w:val="left" w:pos="3270"/>
        </w:tabs>
        <w:spacing w:after="200" w:line="240" w:lineRule="auto"/>
        <w:jc w:val="both"/>
        <w:rPr>
          <w:rFonts w:ascii="Arial" w:eastAsiaTheme="minorEastAsia" w:hAnsi="Arial" w:cs="Arial"/>
          <w:b/>
          <w:bCs/>
          <w:kern w:val="0"/>
          <w:sz w:val="20"/>
          <w:szCs w:val="20"/>
          <w:u w:val="single"/>
          <w:lang w:val="en-US"/>
          <w14:ligatures w14:val="none"/>
        </w:rPr>
      </w:pPr>
      <w:r w:rsidRPr="005D749A">
        <w:rPr>
          <w:rFonts w:ascii="Arial" w:eastAsiaTheme="minorEastAsia" w:hAnsi="Arial" w:cs="Arial"/>
          <w:b/>
          <w:bCs/>
          <w:kern w:val="0"/>
          <w:sz w:val="20"/>
          <w:szCs w:val="20"/>
          <w:u w:val="single"/>
          <w:lang w:val="en-US"/>
          <w14:ligatures w14:val="none"/>
        </w:rPr>
        <w:t>4.</w:t>
      </w:r>
      <w:r w:rsidR="000C3DBD">
        <w:rPr>
          <w:rFonts w:ascii="Arial" w:eastAsiaTheme="minorEastAsia" w:hAnsi="Arial" w:cs="Arial"/>
          <w:b/>
          <w:bCs/>
          <w:kern w:val="0"/>
          <w:sz w:val="20"/>
          <w:szCs w:val="20"/>
          <w:u w:val="single"/>
          <w:lang w:val="en-US"/>
          <w14:ligatures w14:val="none"/>
        </w:rPr>
        <w:t>1</w:t>
      </w:r>
      <w:r w:rsidR="00D3063F" w:rsidRPr="005D749A">
        <w:rPr>
          <w:rFonts w:ascii="Arial" w:eastAsiaTheme="minorEastAsia" w:hAnsi="Arial" w:cs="Arial"/>
          <w:b/>
          <w:bCs/>
          <w:kern w:val="0"/>
          <w:sz w:val="20"/>
          <w:szCs w:val="20"/>
          <w:u w:val="single"/>
          <w:lang w:val="en-US"/>
          <w14:ligatures w14:val="none"/>
        </w:rPr>
        <w:t>.3 Determinants of OOP Health Expenditure</w:t>
      </w:r>
    </w:p>
    <w:p w14:paraId="4A45BAEC" w14:textId="46D2FD0D" w:rsidR="00B02FA0" w:rsidRDefault="00D3063F" w:rsidP="00B02FA0">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lastRenderedPageBreak/>
        <w:t>Researches have emphasized various factors like age, size of family, location, number of elderly in households, income, health insurance coverage, presence of chronic diseases, use of private healthcare and social security benefits as potential determinants of OOP health expenditure (William Joe &amp; U.S Mishra, 2009; Mohanty, K.S</w:t>
      </w:r>
      <w:r w:rsidR="000A0EB6">
        <w:rPr>
          <w:rFonts w:ascii="Arial" w:eastAsiaTheme="minorEastAsia" w:hAnsi="Arial" w:cs="Arial"/>
          <w:kern w:val="0"/>
          <w:sz w:val="20"/>
          <w:szCs w:val="20"/>
          <w:lang w:val="en-US"/>
          <w14:ligatures w14:val="none"/>
        </w:rPr>
        <w:t xml:space="preserve"> et al.,</w:t>
      </w:r>
      <w:r w:rsidRPr="0005099A">
        <w:rPr>
          <w:rFonts w:ascii="Arial" w:eastAsiaTheme="minorEastAsia" w:hAnsi="Arial" w:cs="Arial"/>
          <w:kern w:val="0"/>
          <w:sz w:val="20"/>
          <w:szCs w:val="20"/>
          <w:lang w:val="en-US"/>
          <w14:ligatures w14:val="none"/>
        </w:rPr>
        <w:t xml:space="preserve"> 202</w:t>
      </w:r>
      <w:r w:rsidR="000A0EB6">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Garg C.C and Karan A.K, 2009). Based on these observations, the present study tries to </w:t>
      </w:r>
      <w:proofErr w:type="spellStart"/>
      <w:r w:rsidRPr="0005099A">
        <w:rPr>
          <w:rFonts w:ascii="Arial" w:eastAsiaTheme="minorEastAsia" w:hAnsi="Arial" w:cs="Arial"/>
          <w:kern w:val="0"/>
          <w:sz w:val="20"/>
          <w:szCs w:val="20"/>
          <w:lang w:val="en-US"/>
          <w14:ligatures w14:val="none"/>
        </w:rPr>
        <w:t>analyse</w:t>
      </w:r>
      <w:proofErr w:type="spellEnd"/>
      <w:r w:rsidRPr="0005099A">
        <w:rPr>
          <w:rFonts w:ascii="Arial" w:eastAsiaTheme="minorEastAsia" w:hAnsi="Arial" w:cs="Arial"/>
          <w:kern w:val="0"/>
          <w:sz w:val="20"/>
          <w:szCs w:val="20"/>
          <w:lang w:val="en-US"/>
          <w14:ligatures w14:val="none"/>
        </w:rPr>
        <w:t xml:space="preserve"> the determinants of OOP health expenditure by taking into consideration factors like, social security benefits, health insurance coverage, income, location, size of the family, number of elderly, presence of chronic illnesses, average age and use of private health care.</w:t>
      </w:r>
    </w:p>
    <w:p w14:paraId="577559FC" w14:textId="11C9402C" w:rsidR="007E523B" w:rsidRDefault="007E523B" w:rsidP="007E523B">
      <w:pPr>
        <w:tabs>
          <w:tab w:val="left" w:pos="3270"/>
        </w:tabs>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In order to examine whether the determinants are significant or not, the study makes use of Analysis of Covariance (ANCOVA). This method is used for testing the effects of interaction of categorical variables on continuous dependent variable.</w:t>
      </w:r>
      <w:r w:rsidRPr="007E523B">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 xml:space="preserve">The effects of other selected variables that vary with the dependent variable is controlled. The result of ANCOVA analysis, with continuous variable, OOP health expenditure as dependent variable and other factors as independent variables, is summarized in table </w:t>
      </w:r>
      <w:r w:rsidR="009A2A61">
        <w:rPr>
          <w:rFonts w:ascii="Arial" w:eastAsiaTheme="minorEastAsia" w:hAnsi="Arial" w:cs="Arial"/>
          <w:kern w:val="0"/>
          <w:sz w:val="20"/>
          <w:szCs w:val="20"/>
          <w:lang w:val="en-US"/>
          <w14:ligatures w14:val="none"/>
        </w:rPr>
        <w:t>3</w:t>
      </w:r>
      <w:r w:rsidRPr="0005099A">
        <w:rPr>
          <w:rFonts w:ascii="Arial" w:eastAsiaTheme="minorEastAsia" w:hAnsi="Arial" w:cs="Arial"/>
          <w:kern w:val="0"/>
          <w:sz w:val="20"/>
          <w:szCs w:val="20"/>
          <w:lang w:val="en-US"/>
          <w14:ligatures w14:val="none"/>
        </w:rPr>
        <w:t xml:space="preserve">. </w:t>
      </w:r>
    </w:p>
    <w:p w14:paraId="36EC39C3" w14:textId="77777777" w:rsidR="00F16823" w:rsidRPr="0005099A" w:rsidRDefault="00F16823" w:rsidP="00F16823">
      <w:pPr>
        <w:tabs>
          <w:tab w:val="left" w:pos="3270"/>
        </w:tabs>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result reveals that coefficients like use of private health care, chronic diseases and the number of elderly </w:t>
      </w:r>
      <w:proofErr w:type="gramStart"/>
      <w:r w:rsidRPr="0005099A">
        <w:rPr>
          <w:rFonts w:ascii="Arial" w:eastAsiaTheme="minorEastAsia" w:hAnsi="Arial" w:cs="Arial"/>
          <w:kern w:val="0"/>
          <w:sz w:val="20"/>
          <w:szCs w:val="20"/>
          <w:lang w:val="en-US" w:bidi="ml-IN"/>
          <w14:ligatures w14:val="none"/>
        </w:rPr>
        <w:t>are</w:t>
      </w:r>
      <w:proofErr w:type="gramEnd"/>
      <w:r w:rsidRPr="0005099A">
        <w:rPr>
          <w:rFonts w:ascii="Arial" w:eastAsiaTheme="minorEastAsia" w:hAnsi="Arial" w:cs="Arial"/>
          <w:kern w:val="0"/>
          <w:sz w:val="20"/>
          <w:szCs w:val="20"/>
          <w:lang w:val="en-US" w:bidi="ml-IN"/>
          <w14:ligatures w14:val="none"/>
        </w:rPr>
        <w:t xml:space="preserve"> significant, which implies that these are the factors that have a significant effect on OOP health expenditure. The sign of the coefficients gives the relationship between dependent and independent variables. The result gives an F value of 4.211, which is not very large, refuting the possibility of collinearity.</w:t>
      </w:r>
      <w:r w:rsidRPr="0005099A">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bidi="ml-IN"/>
          <w14:ligatures w14:val="none"/>
        </w:rPr>
        <w:t xml:space="preserve">This result obtained is consistent with studies conducted by Pandey </w:t>
      </w:r>
      <w:proofErr w:type="gramStart"/>
      <w:r w:rsidRPr="0005099A">
        <w:rPr>
          <w:rFonts w:ascii="Arial" w:eastAsiaTheme="minorEastAsia" w:hAnsi="Arial" w:cs="Arial"/>
          <w:kern w:val="0"/>
          <w:sz w:val="20"/>
          <w:szCs w:val="20"/>
          <w:lang w:val="en-US" w:bidi="ml-IN"/>
          <w14:ligatures w14:val="none"/>
        </w:rPr>
        <w:t>A(</w:t>
      </w:r>
      <w:proofErr w:type="gramEnd"/>
      <w:r w:rsidRPr="0005099A">
        <w:rPr>
          <w:rFonts w:ascii="Arial" w:eastAsiaTheme="minorEastAsia" w:hAnsi="Arial" w:cs="Arial"/>
          <w:kern w:val="0"/>
          <w:sz w:val="20"/>
          <w:szCs w:val="20"/>
          <w:lang w:val="en-US" w:bidi="ml-IN"/>
          <w14:ligatures w14:val="none"/>
        </w:rPr>
        <w:t xml:space="preserve">2018), Garg C.C and Karan A.K (2009), Damme et </w:t>
      </w:r>
      <w:proofErr w:type="gramStart"/>
      <w:r w:rsidRPr="0005099A">
        <w:rPr>
          <w:rFonts w:ascii="Arial" w:eastAsiaTheme="minorEastAsia" w:hAnsi="Arial" w:cs="Arial"/>
          <w:kern w:val="0"/>
          <w:sz w:val="20"/>
          <w:szCs w:val="20"/>
          <w:lang w:val="en-US" w:bidi="ml-IN"/>
          <w14:ligatures w14:val="none"/>
        </w:rPr>
        <w:t>al(</w:t>
      </w:r>
      <w:proofErr w:type="gramEnd"/>
      <w:r w:rsidRPr="0005099A">
        <w:rPr>
          <w:rFonts w:ascii="Arial" w:eastAsiaTheme="minorEastAsia" w:hAnsi="Arial" w:cs="Arial"/>
          <w:kern w:val="0"/>
          <w:sz w:val="20"/>
          <w:szCs w:val="20"/>
          <w:lang w:val="en-US" w:bidi="ml-IN"/>
          <w14:ligatures w14:val="none"/>
        </w:rPr>
        <w:t>2004), Kei Kawabata et al (2002), Panda B.K and Mohanty S.K (2022) and others.</w:t>
      </w:r>
    </w:p>
    <w:p w14:paraId="5DAFA8D1" w14:textId="77777777" w:rsidR="00F16823" w:rsidRDefault="00F16823" w:rsidP="007E523B">
      <w:pPr>
        <w:tabs>
          <w:tab w:val="left" w:pos="3270"/>
        </w:tabs>
        <w:spacing w:after="200" w:line="240" w:lineRule="auto"/>
        <w:jc w:val="both"/>
        <w:rPr>
          <w:rFonts w:ascii="Arial" w:eastAsiaTheme="minorEastAsia" w:hAnsi="Arial" w:cs="Arial"/>
          <w:kern w:val="0"/>
          <w:sz w:val="20"/>
          <w:szCs w:val="20"/>
          <w:lang w:val="en-US"/>
          <w14:ligatures w14:val="none"/>
        </w:rPr>
      </w:pPr>
    </w:p>
    <w:p w14:paraId="62D0DC6D" w14:textId="4C09F30F" w:rsidR="007E523B" w:rsidRDefault="007E523B"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DD768C2"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5F55C3D5"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4757085A"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A298EA2"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F3D36A3"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0566FAE"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1BBF65A7"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40E3A99"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787F0C0"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2C014E74"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241C836E"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72BC4F74"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34A34D3" w14:textId="77777777" w:rsidR="0045587F"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3931F3D3" w14:textId="77777777" w:rsidR="0045587F" w:rsidRPr="007E523B" w:rsidRDefault="0045587F" w:rsidP="00B02FA0">
      <w:pPr>
        <w:tabs>
          <w:tab w:val="left" w:pos="3270"/>
        </w:tabs>
        <w:spacing w:after="200" w:line="240" w:lineRule="auto"/>
        <w:jc w:val="both"/>
        <w:rPr>
          <w:rFonts w:ascii="Arial" w:eastAsiaTheme="minorEastAsia" w:hAnsi="Arial" w:cs="Arial"/>
          <w:b/>
          <w:bCs/>
          <w:kern w:val="0"/>
          <w:sz w:val="20"/>
          <w:szCs w:val="20"/>
          <w:u w:val="single"/>
          <w:lang w:val="en-US"/>
          <w14:ligatures w14:val="none"/>
        </w:rPr>
      </w:pPr>
    </w:p>
    <w:p w14:paraId="0B93C782" w14:textId="240F7D7C" w:rsidR="00D3063F" w:rsidRDefault="00D3063F" w:rsidP="00B02FA0">
      <w:pPr>
        <w:tabs>
          <w:tab w:val="left" w:pos="3270"/>
        </w:tabs>
        <w:spacing w:after="200" w:line="240" w:lineRule="auto"/>
        <w:rPr>
          <w:rFonts w:ascii="Arial" w:eastAsiaTheme="minorEastAsia" w:hAnsi="Arial" w:cs="Arial"/>
          <w:noProof/>
          <w:kern w:val="0"/>
          <w:sz w:val="20"/>
          <w:szCs w:val="20"/>
          <w:lang w:eastAsia="en-IN" w:bidi="ml-IN"/>
          <w14:ligatures w14:val="none"/>
        </w:rPr>
      </w:pPr>
      <w:r w:rsidRPr="0005099A">
        <w:rPr>
          <w:rFonts w:ascii="Arial" w:eastAsiaTheme="minorEastAsia" w:hAnsi="Arial" w:cs="Arial"/>
          <w:b/>
          <w:bCs/>
          <w:kern w:val="0"/>
          <w:sz w:val="20"/>
          <w:szCs w:val="20"/>
          <w:lang w:val="en-US" w:bidi="ml-IN"/>
          <w14:ligatures w14:val="none"/>
        </w:rPr>
        <w:lastRenderedPageBreak/>
        <w:t>Table</w:t>
      </w:r>
      <w:r w:rsidR="00B02FA0">
        <w:rPr>
          <w:rFonts w:ascii="Arial" w:eastAsiaTheme="minorEastAsia" w:hAnsi="Arial" w:cs="Arial"/>
          <w:b/>
          <w:bCs/>
          <w:kern w:val="0"/>
          <w:sz w:val="20"/>
          <w:szCs w:val="20"/>
          <w:lang w:val="en-US" w:bidi="ml-IN"/>
          <w14:ligatures w14:val="none"/>
        </w:rPr>
        <w:t xml:space="preserve"> </w:t>
      </w:r>
      <w:proofErr w:type="gramStart"/>
      <w:r w:rsidR="009A2A61">
        <w:rPr>
          <w:rFonts w:ascii="Arial" w:eastAsiaTheme="minorEastAsia" w:hAnsi="Arial" w:cs="Arial"/>
          <w:b/>
          <w:bCs/>
          <w:kern w:val="0"/>
          <w:sz w:val="20"/>
          <w:szCs w:val="20"/>
          <w:lang w:val="en-US" w:bidi="ml-IN"/>
          <w14:ligatures w14:val="none"/>
        </w:rPr>
        <w:t xml:space="preserve">3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Analysis</w:t>
      </w:r>
      <w:proofErr w:type="gramEnd"/>
      <w:r w:rsidRPr="0005099A">
        <w:rPr>
          <w:rFonts w:ascii="Arial" w:eastAsiaTheme="minorEastAsia" w:hAnsi="Arial" w:cs="Arial"/>
          <w:b/>
          <w:bCs/>
          <w:kern w:val="0"/>
          <w:sz w:val="20"/>
          <w:szCs w:val="20"/>
          <w:lang w:val="en-US" w:bidi="ml-IN"/>
          <w14:ligatures w14:val="none"/>
        </w:rPr>
        <w:t xml:space="preserve"> of Covariance</w:t>
      </w:r>
    </w:p>
    <w:tbl>
      <w:tblPr>
        <w:tblpPr w:leftFromText="180" w:rightFromText="180" w:vertAnchor="text" w:horzAnchor="margin" w:tblpY="3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5"/>
        <w:gridCol w:w="1491"/>
        <w:gridCol w:w="902"/>
        <w:gridCol w:w="904"/>
        <w:gridCol w:w="1199"/>
        <w:gridCol w:w="669"/>
        <w:gridCol w:w="669"/>
        <w:gridCol w:w="989"/>
        <w:gridCol w:w="986"/>
      </w:tblGrid>
      <w:tr w:rsidR="0045587F" w:rsidRPr="0045587F" w14:paraId="2C770817" w14:textId="77777777" w:rsidTr="0045587F">
        <w:tblPrEx>
          <w:tblCellMar>
            <w:top w:w="0" w:type="dxa"/>
            <w:bottom w:w="0" w:type="dxa"/>
          </w:tblCellMar>
        </w:tblPrEx>
        <w:trPr>
          <w:cantSplit/>
        </w:trPr>
        <w:tc>
          <w:tcPr>
            <w:tcW w:w="5000" w:type="pct"/>
            <w:gridSpan w:val="9"/>
            <w:tcBorders>
              <w:top w:val="nil"/>
              <w:left w:val="nil"/>
              <w:bottom w:val="nil"/>
              <w:right w:val="nil"/>
            </w:tcBorders>
            <w:shd w:val="clear" w:color="auto" w:fill="FFFFFF"/>
          </w:tcPr>
          <w:p w14:paraId="0291BFC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r>
      <w:tr w:rsidR="0045587F" w:rsidRPr="000C1F1F" w14:paraId="10825571" w14:textId="77777777" w:rsidTr="0045587F">
        <w:tblPrEx>
          <w:tblCellMar>
            <w:top w:w="0" w:type="dxa"/>
            <w:bottom w:w="0" w:type="dxa"/>
          </w:tblCellMar>
        </w:tblPrEx>
        <w:trPr>
          <w:cantSplit/>
        </w:trPr>
        <w:tc>
          <w:tcPr>
            <w:tcW w:w="1148" w:type="pct"/>
            <w:gridSpan w:val="2"/>
            <w:vMerge w:val="restart"/>
            <w:tcBorders>
              <w:top w:val="single" w:sz="16" w:space="0" w:color="000000"/>
              <w:left w:val="single" w:sz="16" w:space="0" w:color="000000"/>
              <w:bottom w:val="nil"/>
              <w:right w:val="nil"/>
            </w:tcBorders>
            <w:shd w:val="clear" w:color="auto" w:fill="FFFFFF"/>
          </w:tcPr>
          <w:p w14:paraId="6D7E292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Model</w:t>
            </w:r>
          </w:p>
        </w:tc>
        <w:tc>
          <w:tcPr>
            <w:tcW w:w="1101" w:type="pct"/>
            <w:gridSpan w:val="2"/>
            <w:tcBorders>
              <w:top w:val="single" w:sz="16" w:space="0" w:color="000000"/>
              <w:left w:val="single" w:sz="16" w:space="0" w:color="000000"/>
            </w:tcBorders>
            <w:shd w:val="clear" w:color="auto" w:fill="FFFFFF"/>
          </w:tcPr>
          <w:p w14:paraId="1BFEBDD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Unstandardized Coefficients</w:t>
            </w:r>
          </w:p>
        </w:tc>
        <w:tc>
          <w:tcPr>
            <w:tcW w:w="731" w:type="pct"/>
            <w:tcBorders>
              <w:top w:val="single" w:sz="16" w:space="0" w:color="000000"/>
            </w:tcBorders>
            <w:shd w:val="clear" w:color="auto" w:fill="FFFFFF"/>
          </w:tcPr>
          <w:p w14:paraId="16C61CA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Standardized Coefficients</w:t>
            </w:r>
          </w:p>
        </w:tc>
        <w:tc>
          <w:tcPr>
            <w:tcW w:w="408" w:type="pct"/>
            <w:vMerge w:val="restart"/>
            <w:tcBorders>
              <w:top w:val="single" w:sz="16" w:space="0" w:color="000000"/>
            </w:tcBorders>
            <w:shd w:val="clear" w:color="auto" w:fill="FFFFFF"/>
          </w:tcPr>
          <w:p w14:paraId="4945FEF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0C1F1F">
              <w:rPr>
                <w:rFonts w:ascii="Arial" w:eastAsiaTheme="minorEastAsia" w:hAnsi="Arial" w:cs="Arial"/>
                <w:kern w:val="0"/>
                <w:sz w:val="20"/>
                <w:szCs w:val="20"/>
                <w14:ligatures w14:val="none"/>
              </w:rPr>
              <w:t xml:space="preserve">   </w:t>
            </w:r>
            <w:r w:rsidRPr="0045587F">
              <w:rPr>
                <w:rFonts w:ascii="Arial" w:eastAsiaTheme="minorEastAsia" w:hAnsi="Arial" w:cs="Arial"/>
                <w:kern w:val="0"/>
                <w:sz w:val="20"/>
                <w:szCs w:val="20"/>
                <w14:ligatures w14:val="none"/>
              </w:rPr>
              <w:t>t</w:t>
            </w:r>
          </w:p>
        </w:tc>
        <w:tc>
          <w:tcPr>
            <w:tcW w:w="408" w:type="pct"/>
            <w:vMerge w:val="restart"/>
            <w:tcBorders>
              <w:top w:val="single" w:sz="16" w:space="0" w:color="000000"/>
            </w:tcBorders>
            <w:shd w:val="clear" w:color="auto" w:fill="FFFFFF"/>
          </w:tcPr>
          <w:p w14:paraId="1D52604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Sig.</w:t>
            </w:r>
          </w:p>
        </w:tc>
        <w:tc>
          <w:tcPr>
            <w:tcW w:w="1206" w:type="pct"/>
            <w:gridSpan w:val="2"/>
            <w:tcBorders>
              <w:top w:val="single" w:sz="16" w:space="0" w:color="000000"/>
            </w:tcBorders>
            <w:shd w:val="clear" w:color="auto" w:fill="FFFFFF"/>
          </w:tcPr>
          <w:p w14:paraId="7C457A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95.0% Confidence Interval for B</w:t>
            </w:r>
          </w:p>
        </w:tc>
      </w:tr>
      <w:tr w:rsidR="0045587F" w:rsidRPr="000C1F1F" w14:paraId="2375AE12" w14:textId="77777777" w:rsidTr="0045587F">
        <w:tblPrEx>
          <w:tblCellMar>
            <w:top w:w="0" w:type="dxa"/>
            <w:bottom w:w="0" w:type="dxa"/>
          </w:tblCellMar>
        </w:tblPrEx>
        <w:trPr>
          <w:cantSplit/>
        </w:trPr>
        <w:tc>
          <w:tcPr>
            <w:tcW w:w="1148" w:type="pct"/>
            <w:gridSpan w:val="2"/>
            <w:vMerge/>
            <w:tcBorders>
              <w:top w:val="single" w:sz="16" w:space="0" w:color="000000"/>
              <w:left w:val="single" w:sz="16" w:space="0" w:color="000000"/>
              <w:bottom w:val="nil"/>
              <w:right w:val="nil"/>
            </w:tcBorders>
            <w:shd w:val="clear" w:color="auto" w:fill="FFFFFF"/>
          </w:tcPr>
          <w:p w14:paraId="73148D1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550" w:type="pct"/>
            <w:tcBorders>
              <w:left w:val="single" w:sz="16" w:space="0" w:color="000000"/>
              <w:bottom w:val="single" w:sz="16" w:space="0" w:color="000000"/>
            </w:tcBorders>
            <w:shd w:val="clear" w:color="auto" w:fill="FFFFFF"/>
          </w:tcPr>
          <w:p w14:paraId="7676932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B</w:t>
            </w:r>
          </w:p>
        </w:tc>
        <w:tc>
          <w:tcPr>
            <w:tcW w:w="550" w:type="pct"/>
            <w:tcBorders>
              <w:bottom w:val="single" w:sz="16" w:space="0" w:color="000000"/>
            </w:tcBorders>
            <w:shd w:val="clear" w:color="auto" w:fill="FFFFFF"/>
          </w:tcPr>
          <w:p w14:paraId="3DF86F0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Std. Error</w:t>
            </w:r>
          </w:p>
        </w:tc>
        <w:tc>
          <w:tcPr>
            <w:tcW w:w="731" w:type="pct"/>
            <w:tcBorders>
              <w:bottom w:val="single" w:sz="16" w:space="0" w:color="000000"/>
            </w:tcBorders>
            <w:shd w:val="clear" w:color="auto" w:fill="FFFFFF"/>
          </w:tcPr>
          <w:p w14:paraId="7EC81F0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Beta</w:t>
            </w:r>
          </w:p>
        </w:tc>
        <w:tc>
          <w:tcPr>
            <w:tcW w:w="408" w:type="pct"/>
            <w:vMerge/>
            <w:tcBorders>
              <w:top w:val="single" w:sz="16" w:space="0" w:color="000000"/>
            </w:tcBorders>
            <w:shd w:val="clear" w:color="auto" w:fill="FFFFFF"/>
          </w:tcPr>
          <w:p w14:paraId="5E5A63C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408" w:type="pct"/>
            <w:vMerge/>
            <w:tcBorders>
              <w:top w:val="single" w:sz="16" w:space="0" w:color="000000"/>
            </w:tcBorders>
            <w:shd w:val="clear" w:color="auto" w:fill="FFFFFF"/>
          </w:tcPr>
          <w:p w14:paraId="4CB35B7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603" w:type="pct"/>
            <w:tcBorders>
              <w:bottom w:val="single" w:sz="16" w:space="0" w:color="000000"/>
            </w:tcBorders>
            <w:shd w:val="clear" w:color="auto" w:fill="FFFFFF"/>
          </w:tcPr>
          <w:p w14:paraId="17C862E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Lower Bound</w:t>
            </w:r>
          </w:p>
        </w:tc>
        <w:tc>
          <w:tcPr>
            <w:tcW w:w="603" w:type="pct"/>
            <w:tcBorders>
              <w:bottom w:val="single" w:sz="16" w:space="0" w:color="000000"/>
              <w:right w:val="single" w:sz="16" w:space="0" w:color="000000"/>
            </w:tcBorders>
            <w:shd w:val="clear" w:color="auto" w:fill="FFFFFF"/>
          </w:tcPr>
          <w:p w14:paraId="7D86479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Upper Bound</w:t>
            </w:r>
          </w:p>
        </w:tc>
      </w:tr>
      <w:tr w:rsidR="0045587F" w:rsidRPr="000C1F1F" w14:paraId="3D1B823F" w14:textId="77777777" w:rsidTr="0045587F">
        <w:tblPrEx>
          <w:tblCellMar>
            <w:top w:w="0" w:type="dxa"/>
            <w:bottom w:w="0" w:type="dxa"/>
          </w:tblCellMar>
        </w:tblPrEx>
        <w:trPr>
          <w:cantSplit/>
        </w:trPr>
        <w:tc>
          <w:tcPr>
            <w:tcW w:w="240" w:type="pct"/>
            <w:vMerge w:val="restart"/>
            <w:tcBorders>
              <w:top w:val="single" w:sz="16" w:space="0" w:color="000000"/>
              <w:left w:val="single" w:sz="16" w:space="0" w:color="000000"/>
              <w:bottom w:val="single" w:sz="16" w:space="0" w:color="000000"/>
              <w:right w:val="nil"/>
            </w:tcBorders>
            <w:shd w:val="clear" w:color="auto" w:fill="FFFFFF"/>
            <w:vAlign w:val="center"/>
          </w:tcPr>
          <w:p w14:paraId="74A3BB2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single" w:sz="16" w:space="0" w:color="000000"/>
              <w:left w:val="nil"/>
              <w:bottom w:val="nil"/>
              <w:right w:val="single" w:sz="16" w:space="0" w:color="000000"/>
            </w:tcBorders>
            <w:shd w:val="clear" w:color="auto" w:fill="FFFFFF"/>
            <w:vAlign w:val="center"/>
          </w:tcPr>
          <w:p w14:paraId="4850E15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(Constant)</w:t>
            </w:r>
          </w:p>
        </w:tc>
        <w:tc>
          <w:tcPr>
            <w:tcW w:w="550" w:type="pct"/>
            <w:tcBorders>
              <w:top w:val="single" w:sz="16" w:space="0" w:color="000000"/>
              <w:left w:val="single" w:sz="16" w:space="0" w:color="000000"/>
              <w:bottom w:val="nil"/>
            </w:tcBorders>
            <w:shd w:val="clear" w:color="auto" w:fill="FFFFFF"/>
          </w:tcPr>
          <w:p w14:paraId="61E112A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1485.941</w:t>
            </w:r>
          </w:p>
        </w:tc>
        <w:tc>
          <w:tcPr>
            <w:tcW w:w="550" w:type="pct"/>
            <w:tcBorders>
              <w:top w:val="single" w:sz="16" w:space="0" w:color="000000"/>
              <w:bottom w:val="nil"/>
            </w:tcBorders>
            <w:shd w:val="clear" w:color="auto" w:fill="FFFFFF"/>
          </w:tcPr>
          <w:p w14:paraId="12967BC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2934.897</w:t>
            </w:r>
          </w:p>
        </w:tc>
        <w:tc>
          <w:tcPr>
            <w:tcW w:w="731" w:type="pct"/>
            <w:tcBorders>
              <w:top w:val="single" w:sz="16" w:space="0" w:color="000000"/>
              <w:bottom w:val="nil"/>
            </w:tcBorders>
            <w:shd w:val="clear" w:color="auto" w:fill="FFFFFF"/>
          </w:tcPr>
          <w:p w14:paraId="3217174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408" w:type="pct"/>
            <w:tcBorders>
              <w:top w:val="single" w:sz="16" w:space="0" w:color="000000"/>
              <w:bottom w:val="nil"/>
            </w:tcBorders>
            <w:shd w:val="clear" w:color="auto" w:fill="FFFFFF"/>
          </w:tcPr>
          <w:p w14:paraId="3AE3AE3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.506</w:t>
            </w:r>
          </w:p>
        </w:tc>
        <w:tc>
          <w:tcPr>
            <w:tcW w:w="408" w:type="pct"/>
            <w:tcBorders>
              <w:top w:val="single" w:sz="16" w:space="0" w:color="000000"/>
              <w:bottom w:val="nil"/>
            </w:tcBorders>
            <w:shd w:val="clear" w:color="auto" w:fill="FFFFFF"/>
          </w:tcPr>
          <w:p w14:paraId="4B9E73A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.613</w:t>
            </w:r>
          </w:p>
        </w:tc>
        <w:tc>
          <w:tcPr>
            <w:tcW w:w="603" w:type="pct"/>
            <w:tcBorders>
              <w:top w:val="single" w:sz="16" w:space="0" w:color="000000"/>
              <w:bottom w:val="nil"/>
            </w:tcBorders>
            <w:shd w:val="clear" w:color="auto" w:fill="FFFFFF"/>
          </w:tcPr>
          <w:p w14:paraId="18C6BB8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-4284.122</w:t>
            </w:r>
          </w:p>
        </w:tc>
        <w:tc>
          <w:tcPr>
            <w:tcW w:w="603" w:type="pct"/>
            <w:tcBorders>
              <w:top w:val="single" w:sz="16" w:space="0" w:color="000000"/>
              <w:bottom w:val="nil"/>
              <w:right w:val="single" w:sz="16" w:space="0" w:color="000000"/>
            </w:tcBorders>
            <w:shd w:val="clear" w:color="auto" w:fill="FFFFFF"/>
          </w:tcPr>
          <w:p w14:paraId="1B162F2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7256.004</w:t>
            </w:r>
          </w:p>
        </w:tc>
      </w:tr>
      <w:tr w:rsidR="0045587F" w:rsidRPr="000C1F1F" w14:paraId="4722248E"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636082A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088028D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roofErr w:type="spellStart"/>
            <w:r w:rsidRPr="0045587F">
              <w:rPr>
                <w:rFonts w:ascii="Arial" w:eastAsiaTheme="minorEastAsia" w:hAnsi="Arial" w:cs="Arial"/>
                <w:kern w:val="0"/>
                <w:sz w:val="20"/>
                <w:szCs w:val="20"/>
                <w14:ligatures w14:val="none"/>
              </w:rPr>
              <w:t>SocialSB</w:t>
            </w:r>
            <w:proofErr w:type="spellEnd"/>
          </w:p>
        </w:tc>
        <w:tc>
          <w:tcPr>
            <w:tcW w:w="550" w:type="pct"/>
            <w:tcBorders>
              <w:top w:val="nil"/>
              <w:left w:val="single" w:sz="16" w:space="0" w:color="000000"/>
              <w:bottom w:val="nil"/>
            </w:tcBorders>
            <w:shd w:val="clear" w:color="auto" w:fill="FFFFFF"/>
          </w:tcPr>
          <w:p w14:paraId="37AC7FF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-402.221</w:t>
            </w:r>
          </w:p>
        </w:tc>
        <w:tc>
          <w:tcPr>
            <w:tcW w:w="550" w:type="pct"/>
            <w:tcBorders>
              <w:top w:val="nil"/>
              <w:bottom w:val="nil"/>
            </w:tcBorders>
            <w:shd w:val="clear" w:color="auto" w:fill="FFFFFF"/>
          </w:tcPr>
          <w:p w14:paraId="6FB65D8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593.348</w:t>
            </w:r>
          </w:p>
        </w:tc>
        <w:tc>
          <w:tcPr>
            <w:tcW w:w="731" w:type="pct"/>
            <w:tcBorders>
              <w:top w:val="nil"/>
              <w:bottom w:val="nil"/>
            </w:tcBorders>
            <w:shd w:val="clear" w:color="auto" w:fill="FFFFFF"/>
          </w:tcPr>
          <w:p w14:paraId="422FF23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-.034</w:t>
            </w:r>
          </w:p>
        </w:tc>
        <w:tc>
          <w:tcPr>
            <w:tcW w:w="408" w:type="pct"/>
            <w:tcBorders>
              <w:top w:val="nil"/>
              <w:bottom w:val="nil"/>
            </w:tcBorders>
            <w:shd w:val="clear" w:color="auto" w:fill="FFFFFF"/>
          </w:tcPr>
          <w:p w14:paraId="446C1BE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-.678</w:t>
            </w:r>
          </w:p>
        </w:tc>
        <w:tc>
          <w:tcPr>
            <w:tcW w:w="408" w:type="pct"/>
            <w:tcBorders>
              <w:top w:val="nil"/>
              <w:bottom w:val="nil"/>
            </w:tcBorders>
            <w:shd w:val="clear" w:color="auto" w:fill="FFFFFF"/>
          </w:tcPr>
          <w:p w14:paraId="0276F9F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.498</w:t>
            </w:r>
          </w:p>
        </w:tc>
        <w:tc>
          <w:tcPr>
            <w:tcW w:w="603" w:type="pct"/>
            <w:tcBorders>
              <w:top w:val="nil"/>
              <w:bottom w:val="nil"/>
            </w:tcBorders>
            <w:shd w:val="clear" w:color="auto" w:fill="FFFFFF"/>
          </w:tcPr>
          <w:p w14:paraId="295FF6B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-1568.754</w:t>
            </w:r>
          </w:p>
        </w:tc>
        <w:tc>
          <w:tcPr>
            <w:tcW w:w="603" w:type="pct"/>
            <w:tcBorders>
              <w:top w:val="nil"/>
              <w:bottom w:val="nil"/>
              <w:right w:val="single" w:sz="16" w:space="0" w:color="000000"/>
            </w:tcBorders>
            <w:shd w:val="clear" w:color="auto" w:fill="FFFFFF"/>
          </w:tcPr>
          <w:p w14:paraId="61885B4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764.313</w:t>
            </w:r>
          </w:p>
        </w:tc>
      </w:tr>
      <w:tr w:rsidR="0045587F" w:rsidRPr="000C1F1F" w14:paraId="5E8A4BFF"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03E1482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49A07E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HI</w:t>
            </w:r>
          </w:p>
        </w:tc>
        <w:tc>
          <w:tcPr>
            <w:tcW w:w="550" w:type="pct"/>
            <w:tcBorders>
              <w:top w:val="nil"/>
              <w:left w:val="single" w:sz="16" w:space="0" w:color="000000"/>
              <w:bottom w:val="nil"/>
            </w:tcBorders>
            <w:shd w:val="clear" w:color="auto" w:fill="FFFFFF"/>
          </w:tcPr>
          <w:p w14:paraId="542F611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-716.875</w:t>
            </w:r>
          </w:p>
        </w:tc>
        <w:tc>
          <w:tcPr>
            <w:tcW w:w="550" w:type="pct"/>
            <w:tcBorders>
              <w:top w:val="nil"/>
              <w:bottom w:val="nil"/>
            </w:tcBorders>
            <w:shd w:val="clear" w:color="auto" w:fill="FFFFFF"/>
          </w:tcPr>
          <w:p w14:paraId="38ADC1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561.357</w:t>
            </w:r>
          </w:p>
        </w:tc>
        <w:tc>
          <w:tcPr>
            <w:tcW w:w="731" w:type="pct"/>
            <w:tcBorders>
              <w:top w:val="nil"/>
              <w:bottom w:val="nil"/>
            </w:tcBorders>
            <w:shd w:val="clear" w:color="auto" w:fill="FFFFFF"/>
          </w:tcPr>
          <w:p w14:paraId="7CE4F9C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-.062</w:t>
            </w:r>
          </w:p>
        </w:tc>
        <w:tc>
          <w:tcPr>
            <w:tcW w:w="408" w:type="pct"/>
            <w:tcBorders>
              <w:top w:val="nil"/>
              <w:bottom w:val="nil"/>
            </w:tcBorders>
            <w:shd w:val="clear" w:color="auto" w:fill="FFFFFF"/>
          </w:tcPr>
          <w:p w14:paraId="7750376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-1.277</w:t>
            </w:r>
          </w:p>
        </w:tc>
        <w:tc>
          <w:tcPr>
            <w:tcW w:w="408" w:type="pct"/>
            <w:tcBorders>
              <w:top w:val="nil"/>
              <w:bottom w:val="nil"/>
            </w:tcBorders>
            <w:shd w:val="clear" w:color="auto" w:fill="FFFFFF"/>
          </w:tcPr>
          <w:p w14:paraId="5B6AC6C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.202</w:t>
            </w:r>
          </w:p>
        </w:tc>
        <w:tc>
          <w:tcPr>
            <w:tcW w:w="603" w:type="pct"/>
            <w:tcBorders>
              <w:top w:val="nil"/>
              <w:bottom w:val="nil"/>
            </w:tcBorders>
            <w:shd w:val="clear" w:color="auto" w:fill="FFFFFF"/>
          </w:tcPr>
          <w:p w14:paraId="2A58C87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-1820.514</w:t>
            </w:r>
          </w:p>
        </w:tc>
        <w:tc>
          <w:tcPr>
            <w:tcW w:w="603" w:type="pct"/>
            <w:tcBorders>
              <w:top w:val="nil"/>
              <w:bottom w:val="nil"/>
              <w:right w:val="single" w:sz="16" w:space="0" w:color="000000"/>
            </w:tcBorders>
            <w:shd w:val="clear" w:color="auto" w:fill="FFFFFF"/>
          </w:tcPr>
          <w:p w14:paraId="2B0E4C1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386.764</w:t>
            </w:r>
          </w:p>
        </w:tc>
      </w:tr>
      <w:tr w:rsidR="0045587F" w:rsidRPr="000C1F1F" w14:paraId="6885C672"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7A926B9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5E35BC7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Y</w:t>
            </w:r>
          </w:p>
        </w:tc>
        <w:tc>
          <w:tcPr>
            <w:tcW w:w="550" w:type="pct"/>
            <w:tcBorders>
              <w:top w:val="nil"/>
              <w:left w:val="single" w:sz="16" w:space="0" w:color="000000"/>
              <w:bottom w:val="nil"/>
            </w:tcBorders>
            <w:shd w:val="clear" w:color="auto" w:fill="FFFFFF"/>
          </w:tcPr>
          <w:p w14:paraId="4E8D22B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-.005</w:t>
            </w:r>
          </w:p>
        </w:tc>
        <w:tc>
          <w:tcPr>
            <w:tcW w:w="550" w:type="pct"/>
            <w:tcBorders>
              <w:top w:val="nil"/>
              <w:bottom w:val="nil"/>
            </w:tcBorders>
            <w:shd w:val="clear" w:color="auto" w:fill="FFFFFF"/>
          </w:tcPr>
          <w:p w14:paraId="177A74E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.006</w:t>
            </w:r>
          </w:p>
        </w:tc>
        <w:tc>
          <w:tcPr>
            <w:tcW w:w="731" w:type="pct"/>
            <w:tcBorders>
              <w:top w:val="nil"/>
              <w:bottom w:val="nil"/>
            </w:tcBorders>
            <w:shd w:val="clear" w:color="auto" w:fill="FFFFFF"/>
          </w:tcPr>
          <w:p w14:paraId="4FE32C9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-.038</w:t>
            </w:r>
          </w:p>
        </w:tc>
        <w:tc>
          <w:tcPr>
            <w:tcW w:w="408" w:type="pct"/>
            <w:tcBorders>
              <w:top w:val="nil"/>
              <w:bottom w:val="nil"/>
            </w:tcBorders>
            <w:shd w:val="clear" w:color="auto" w:fill="FFFFFF"/>
          </w:tcPr>
          <w:p w14:paraId="593173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-.728</w:t>
            </w:r>
          </w:p>
        </w:tc>
        <w:tc>
          <w:tcPr>
            <w:tcW w:w="408" w:type="pct"/>
            <w:tcBorders>
              <w:top w:val="nil"/>
              <w:bottom w:val="nil"/>
            </w:tcBorders>
            <w:shd w:val="clear" w:color="auto" w:fill="FFFFFF"/>
          </w:tcPr>
          <w:p w14:paraId="59183C7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.467</w:t>
            </w:r>
          </w:p>
        </w:tc>
        <w:tc>
          <w:tcPr>
            <w:tcW w:w="603" w:type="pct"/>
            <w:tcBorders>
              <w:top w:val="nil"/>
              <w:bottom w:val="nil"/>
            </w:tcBorders>
            <w:shd w:val="clear" w:color="auto" w:fill="FFFFFF"/>
          </w:tcPr>
          <w:p w14:paraId="11D3E97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-.017</w:t>
            </w:r>
          </w:p>
        </w:tc>
        <w:tc>
          <w:tcPr>
            <w:tcW w:w="603" w:type="pct"/>
            <w:tcBorders>
              <w:top w:val="nil"/>
              <w:bottom w:val="nil"/>
              <w:right w:val="single" w:sz="16" w:space="0" w:color="000000"/>
            </w:tcBorders>
            <w:shd w:val="clear" w:color="auto" w:fill="FFFFFF"/>
          </w:tcPr>
          <w:p w14:paraId="09B10E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.008</w:t>
            </w:r>
          </w:p>
        </w:tc>
      </w:tr>
      <w:tr w:rsidR="0045587F" w:rsidRPr="000C1F1F" w14:paraId="1BEB1D58"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6F1AF8F9"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8CE686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roofErr w:type="spellStart"/>
            <w:r w:rsidRPr="0045587F">
              <w:rPr>
                <w:rFonts w:ascii="Arial" w:eastAsiaTheme="minorEastAsia" w:hAnsi="Arial" w:cs="Arial"/>
                <w:kern w:val="0"/>
                <w:sz w:val="20"/>
                <w:szCs w:val="20"/>
                <w14:ligatures w14:val="none"/>
              </w:rPr>
              <w:t>Lctn</w:t>
            </w:r>
            <w:proofErr w:type="spellEnd"/>
          </w:p>
        </w:tc>
        <w:tc>
          <w:tcPr>
            <w:tcW w:w="550" w:type="pct"/>
            <w:tcBorders>
              <w:top w:val="nil"/>
              <w:left w:val="single" w:sz="16" w:space="0" w:color="000000"/>
              <w:bottom w:val="nil"/>
            </w:tcBorders>
            <w:shd w:val="clear" w:color="auto" w:fill="FFFFFF"/>
          </w:tcPr>
          <w:p w14:paraId="21894D7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365.798</w:t>
            </w:r>
          </w:p>
        </w:tc>
        <w:tc>
          <w:tcPr>
            <w:tcW w:w="550" w:type="pct"/>
            <w:tcBorders>
              <w:top w:val="nil"/>
              <w:bottom w:val="nil"/>
            </w:tcBorders>
            <w:shd w:val="clear" w:color="auto" w:fill="FFFFFF"/>
          </w:tcPr>
          <w:p w14:paraId="2B6D40F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557.323</w:t>
            </w:r>
          </w:p>
        </w:tc>
        <w:tc>
          <w:tcPr>
            <w:tcW w:w="731" w:type="pct"/>
            <w:tcBorders>
              <w:top w:val="nil"/>
              <w:bottom w:val="nil"/>
            </w:tcBorders>
            <w:shd w:val="clear" w:color="auto" w:fill="FFFFFF"/>
          </w:tcPr>
          <w:p w14:paraId="19623E2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.036</w:t>
            </w:r>
          </w:p>
        </w:tc>
        <w:tc>
          <w:tcPr>
            <w:tcW w:w="408" w:type="pct"/>
            <w:tcBorders>
              <w:top w:val="nil"/>
              <w:bottom w:val="nil"/>
            </w:tcBorders>
            <w:shd w:val="clear" w:color="auto" w:fill="FFFFFF"/>
          </w:tcPr>
          <w:p w14:paraId="68F7A37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.656</w:t>
            </w:r>
          </w:p>
        </w:tc>
        <w:tc>
          <w:tcPr>
            <w:tcW w:w="408" w:type="pct"/>
            <w:tcBorders>
              <w:top w:val="nil"/>
              <w:bottom w:val="nil"/>
            </w:tcBorders>
            <w:shd w:val="clear" w:color="auto" w:fill="FFFFFF"/>
          </w:tcPr>
          <w:p w14:paraId="7F467CF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.512</w:t>
            </w:r>
          </w:p>
        </w:tc>
        <w:tc>
          <w:tcPr>
            <w:tcW w:w="603" w:type="pct"/>
            <w:tcBorders>
              <w:top w:val="nil"/>
              <w:bottom w:val="nil"/>
            </w:tcBorders>
            <w:shd w:val="clear" w:color="auto" w:fill="FFFFFF"/>
          </w:tcPr>
          <w:p w14:paraId="4E3427A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-729.910</w:t>
            </w:r>
          </w:p>
        </w:tc>
        <w:tc>
          <w:tcPr>
            <w:tcW w:w="603" w:type="pct"/>
            <w:tcBorders>
              <w:top w:val="nil"/>
              <w:bottom w:val="nil"/>
              <w:right w:val="single" w:sz="16" w:space="0" w:color="000000"/>
            </w:tcBorders>
            <w:shd w:val="clear" w:color="auto" w:fill="FFFFFF"/>
          </w:tcPr>
          <w:p w14:paraId="41E2267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1461.505</w:t>
            </w:r>
          </w:p>
        </w:tc>
      </w:tr>
      <w:tr w:rsidR="0045587F" w:rsidRPr="000C1F1F" w14:paraId="06DE94A6"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25D1789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00BCE2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Family size</w:t>
            </w:r>
          </w:p>
        </w:tc>
        <w:tc>
          <w:tcPr>
            <w:tcW w:w="550" w:type="pct"/>
            <w:tcBorders>
              <w:top w:val="nil"/>
              <w:left w:val="single" w:sz="16" w:space="0" w:color="000000"/>
              <w:bottom w:val="nil"/>
            </w:tcBorders>
            <w:shd w:val="clear" w:color="auto" w:fill="FFFFFF"/>
          </w:tcPr>
          <w:p w14:paraId="0FEFDEA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72.265</w:t>
            </w:r>
          </w:p>
        </w:tc>
        <w:tc>
          <w:tcPr>
            <w:tcW w:w="550" w:type="pct"/>
            <w:tcBorders>
              <w:top w:val="nil"/>
              <w:bottom w:val="nil"/>
            </w:tcBorders>
            <w:shd w:val="clear" w:color="auto" w:fill="FFFFFF"/>
          </w:tcPr>
          <w:p w14:paraId="003E2AC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166.636</w:t>
            </w:r>
          </w:p>
        </w:tc>
        <w:tc>
          <w:tcPr>
            <w:tcW w:w="731" w:type="pct"/>
            <w:tcBorders>
              <w:top w:val="nil"/>
              <w:bottom w:val="nil"/>
            </w:tcBorders>
            <w:shd w:val="clear" w:color="auto" w:fill="FFFFFF"/>
          </w:tcPr>
          <w:p w14:paraId="6BFADF6A"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.023</w:t>
            </w:r>
          </w:p>
        </w:tc>
        <w:tc>
          <w:tcPr>
            <w:tcW w:w="408" w:type="pct"/>
            <w:tcBorders>
              <w:top w:val="nil"/>
              <w:bottom w:val="nil"/>
            </w:tcBorders>
            <w:shd w:val="clear" w:color="auto" w:fill="FFFFFF"/>
          </w:tcPr>
          <w:p w14:paraId="1259D34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.434</w:t>
            </w:r>
          </w:p>
        </w:tc>
        <w:tc>
          <w:tcPr>
            <w:tcW w:w="408" w:type="pct"/>
            <w:tcBorders>
              <w:top w:val="nil"/>
              <w:bottom w:val="nil"/>
            </w:tcBorders>
            <w:shd w:val="clear" w:color="auto" w:fill="FFFFFF"/>
          </w:tcPr>
          <w:p w14:paraId="1B0B37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.665</w:t>
            </w:r>
          </w:p>
        </w:tc>
        <w:tc>
          <w:tcPr>
            <w:tcW w:w="603" w:type="pct"/>
            <w:tcBorders>
              <w:top w:val="nil"/>
              <w:bottom w:val="nil"/>
            </w:tcBorders>
            <w:shd w:val="clear" w:color="auto" w:fill="FFFFFF"/>
          </w:tcPr>
          <w:p w14:paraId="184C4CB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-255.344</w:t>
            </w:r>
          </w:p>
        </w:tc>
        <w:tc>
          <w:tcPr>
            <w:tcW w:w="603" w:type="pct"/>
            <w:tcBorders>
              <w:top w:val="nil"/>
              <w:bottom w:val="nil"/>
              <w:right w:val="single" w:sz="16" w:space="0" w:color="000000"/>
            </w:tcBorders>
            <w:shd w:val="clear" w:color="auto" w:fill="FFFFFF"/>
          </w:tcPr>
          <w:p w14:paraId="4227AB2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399.874</w:t>
            </w:r>
          </w:p>
        </w:tc>
      </w:tr>
      <w:tr w:rsidR="0045587F" w:rsidRPr="000C1F1F" w14:paraId="12E7B5B2"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23F959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2FF421F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Number of elderly</w:t>
            </w:r>
          </w:p>
        </w:tc>
        <w:tc>
          <w:tcPr>
            <w:tcW w:w="550" w:type="pct"/>
            <w:tcBorders>
              <w:top w:val="nil"/>
              <w:left w:val="single" w:sz="16" w:space="0" w:color="000000"/>
              <w:bottom w:val="nil"/>
            </w:tcBorders>
            <w:shd w:val="clear" w:color="auto" w:fill="FFFFFF"/>
          </w:tcPr>
          <w:p w14:paraId="43C7E21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968.233</w:t>
            </w:r>
          </w:p>
        </w:tc>
        <w:tc>
          <w:tcPr>
            <w:tcW w:w="550" w:type="pct"/>
            <w:tcBorders>
              <w:top w:val="nil"/>
              <w:bottom w:val="nil"/>
            </w:tcBorders>
            <w:shd w:val="clear" w:color="auto" w:fill="FFFFFF"/>
          </w:tcPr>
          <w:p w14:paraId="663857C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464.005</w:t>
            </w:r>
          </w:p>
        </w:tc>
        <w:tc>
          <w:tcPr>
            <w:tcW w:w="731" w:type="pct"/>
            <w:tcBorders>
              <w:top w:val="nil"/>
              <w:bottom w:val="nil"/>
            </w:tcBorders>
            <w:shd w:val="clear" w:color="auto" w:fill="FFFFFF"/>
          </w:tcPr>
          <w:p w14:paraId="1A8C509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.106</w:t>
            </w:r>
          </w:p>
        </w:tc>
        <w:tc>
          <w:tcPr>
            <w:tcW w:w="408" w:type="pct"/>
            <w:tcBorders>
              <w:top w:val="nil"/>
              <w:bottom w:val="nil"/>
            </w:tcBorders>
            <w:shd w:val="clear" w:color="auto" w:fill="FFFFFF"/>
          </w:tcPr>
          <w:p w14:paraId="13FBE4B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2.087</w:t>
            </w:r>
          </w:p>
        </w:tc>
        <w:tc>
          <w:tcPr>
            <w:tcW w:w="408" w:type="pct"/>
            <w:tcBorders>
              <w:top w:val="nil"/>
              <w:bottom w:val="nil"/>
            </w:tcBorders>
            <w:shd w:val="clear" w:color="auto" w:fill="FFFFFF"/>
          </w:tcPr>
          <w:p w14:paraId="41829EC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.038</w:t>
            </w:r>
          </w:p>
        </w:tc>
        <w:tc>
          <w:tcPr>
            <w:tcW w:w="603" w:type="pct"/>
            <w:tcBorders>
              <w:top w:val="nil"/>
              <w:bottom w:val="nil"/>
            </w:tcBorders>
            <w:shd w:val="clear" w:color="auto" w:fill="FFFFFF"/>
          </w:tcPr>
          <w:p w14:paraId="4B12A8D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55.991</w:t>
            </w:r>
          </w:p>
        </w:tc>
        <w:tc>
          <w:tcPr>
            <w:tcW w:w="603" w:type="pct"/>
            <w:tcBorders>
              <w:top w:val="nil"/>
              <w:bottom w:val="nil"/>
              <w:right w:val="single" w:sz="16" w:space="0" w:color="000000"/>
            </w:tcBorders>
            <w:shd w:val="clear" w:color="auto" w:fill="FFFFFF"/>
          </w:tcPr>
          <w:p w14:paraId="25E30FF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1880.476</w:t>
            </w:r>
          </w:p>
        </w:tc>
      </w:tr>
      <w:tr w:rsidR="0045587F" w:rsidRPr="000C1F1F" w14:paraId="537F4506"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5E322E07"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461C9D8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Chronic diseases</w:t>
            </w:r>
          </w:p>
        </w:tc>
        <w:tc>
          <w:tcPr>
            <w:tcW w:w="550" w:type="pct"/>
            <w:tcBorders>
              <w:top w:val="nil"/>
              <w:left w:val="single" w:sz="16" w:space="0" w:color="000000"/>
              <w:bottom w:val="nil"/>
            </w:tcBorders>
            <w:shd w:val="clear" w:color="auto" w:fill="FFFFFF"/>
          </w:tcPr>
          <w:p w14:paraId="52D34B55"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2913.955</w:t>
            </w:r>
          </w:p>
        </w:tc>
        <w:tc>
          <w:tcPr>
            <w:tcW w:w="550" w:type="pct"/>
            <w:tcBorders>
              <w:top w:val="nil"/>
              <w:bottom w:val="nil"/>
            </w:tcBorders>
            <w:shd w:val="clear" w:color="auto" w:fill="FFFFFF"/>
          </w:tcPr>
          <w:p w14:paraId="0EFDE42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650.629</w:t>
            </w:r>
          </w:p>
        </w:tc>
        <w:tc>
          <w:tcPr>
            <w:tcW w:w="731" w:type="pct"/>
            <w:tcBorders>
              <w:top w:val="nil"/>
              <w:bottom w:val="nil"/>
            </w:tcBorders>
            <w:shd w:val="clear" w:color="auto" w:fill="FFFFFF"/>
          </w:tcPr>
          <w:p w14:paraId="3D278C8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.218</w:t>
            </w:r>
          </w:p>
        </w:tc>
        <w:tc>
          <w:tcPr>
            <w:tcW w:w="408" w:type="pct"/>
            <w:tcBorders>
              <w:top w:val="nil"/>
              <w:bottom w:val="nil"/>
            </w:tcBorders>
            <w:shd w:val="clear" w:color="auto" w:fill="FFFFFF"/>
          </w:tcPr>
          <w:p w14:paraId="3148073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4.479</w:t>
            </w:r>
          </w:p>
        </w:tc>
        <w:tc>
          <w:tcPr>
            <w:tcW w:w="408" w:type="pct"/>
            <w:tcBorders>
              <w:top w:val="nil"/>
              <w:bottom w:val="nil"/>
            </w:tcBorders>
            <w:shd w:val="clear" w:color="auto" w:fill="FFFFFF"/>
          </w:tcPr>
          <w:p w14:paraId="334A9F54"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.000</w:t>
            </w:r>
          </w:p>
        </w:tc>
        <w:tc>
          <w:tcPr>
            <w:tcW w:w="603" w:type="pct"/>
            <w:tcBorders>
              <w:top w:val="nil"/>
              <w:bottom w:val="nil"/>
            </w:tcBorders>
            <w:shd w:val="clear" w:color="auto" w:fill="FFFFFF"/>
          </w:tcPr>
          <w:p w14:paraId="50CF3022"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1634.806</w:t>
            </w:r>
          </w:p>
        </w:tc>
        <w:tc>
          <w:tcPr>
            <w:tcW w:w="603" w:type="pct"/>
            <w:tcBorders>
              <w:top w:val="nil"/>
              <w:bottom w:val="nil"/>
              <w:right w:val="single" w:sz="16" w:space="0" w:color="000000"/>
            </w:tcBorders>
            <w:shd w:val="clear" w:color="auto" w:fill="FFFFFF"/>
          </w:tcPr>
          <w:p w14:paraId="3776614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4193.103</w:t>
            </w:r>
          </w:p>
        </w:tc>
      </w:tr>
      <w:tr w:rsidR="0045587F" w:rsidRPr="000C1F1F" w14:paraId="60C33684"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5487DBA8"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nil"/>
              <w:right w:val="single" w:sz="16" w:space="0" w:color="000000"/>
            </w:tcBorders>
            <w:shd w:val="clear" w:color="auto" w:fill="FFFFFF"/>
            <w:vAlign w:val="center"/>
          </w:tcPr>
          <w:p w14:paraId="7B02AC1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Average age</w:t>
            </w:r>
          </w:p>
        </w:tc>
        <w:tc>
          <w:tcPr>
            <w:tcW w:w="550" w:type="pct"/>
            <w:tcBorders>
              <w:top w:val="nil"/>
              <w:left w:val="single" w:sz="16" w:space="0" w:color="000000"/>
              <w:bottom w:val="nil"/>
            </w:tcBorders>
            <w:shd w:val="clear" w:color="auto" w:fill="FFFFFF"/>
          </w:tcPr>
          <w:p w14:paraId="30921746"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-54.623</w:t>
            </w:r>
          </w:p>
        </w:tc>
        <w:tc>
          <w:tcPr>
            <w:tcW w:w="550" w:type="pct"/>
            <w:tcBorders>
              <w:top w:val="nil"/>
              <w:bottom w:val="nil"/>
            </w:tcBorders>
            <w:shd w:val="clear" w:color="auto" w:fill="FFFFFF"/>
          </w:tcPr>
          <w:p w14:paraId="6F93B59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41.913</w:t>
            </w:r>
          </w:p>
        </w:tc>
        <w:tc>
          <w:tcPr>
            <w:tcW w:w="731" w:type="pct"/>
            <w:tcBorders>
              <w:top w:val="nil"/>
              <w:bottom w:val="nil"/>
            </w:tcBorders>
            <w:shd w:val="clear" w:color="auto" w:fill="FFFFFF"/>
          </w:tcPr>
          <w:p w14:paraId="10A94D0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-.065</w:t>
            </w:r>
          </w:p>
        </w:tc>
        <w:tc>
          <w:tcPr>
            <w:tcW w:w="408" w:type="pct"/>
            <w:tcBorders>
              <w:top w:val="nil"/>
              <w:bottom w:val="nil"/>
            </w:tcBorders>
            <w:shd w:val="clear" w:color="auto" w:fill="FFFFFF"/>
          </w:tcPr>
          <w:p w14:paraId="49FDA963"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-1.303</w:t>
            </w:r>
          </w:p>
        </w:tc>
        <w:tc>
          <w:tcPr>
            <w:tcW w:w="408" w:type="pct"/>
            <w:tcBorders>
              <w:top w:val="nil"/>
              <w:bottom w:val="nil"/>
            </w:tcBorders>
            <w:shd w:val="clear" w:color="auto" w:fill="FFFFFF"/>
          </w:tcPr>
          <w:p w14:paraId="2358279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.193</w:t>
            </w:r>
          </w:p>
        </w:tc>
        <w:tc>
          <w:tcPr>
            <w:tcW w:w="603" w:type="pct"/>
            <w:tcBorders>
              <w:top w:val="nil"/>
              <w:bottom w:val="nil"/>
            </w:tcBorders>
            <w:shd w:val="clear" w:color="auto" w:fill="FFFFFF"/>
          </w:tcPr>
          <w:p w14:paraId="07F4740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-137.025</w:t>
            </w:r>
          </w:p>
        </w:tc>
        <w:tc>
          <w:tcPr>
            <w:tcW w:w="603" w:type="pct"/>
            <w:tcBorders>
              <w:top w:val="nil"/>
              <w:bottom w:val="nil"/>
              <w:right w:val="single" w:sz="16" w:space="0" w:color="000000"/>
            </w:tcBorders>
            <w:shd w:val="clear" w:color="auto" w:fill="FFFFFF"/>
          </w:tcPr>
          <w:p w14:paraId="4814CB2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27.780</w:t>
            </w:r>
          </w:p>
        </w:tc>
      </w:tr>
      <w:tr w:rsidR="0045587F" w:rsidRPr="000C1F1F" w14:paraId="56D2CC96" w14:textId="77777777" w:rsidTr="0045587F">
        <w:tblPrEx>
          <w:tblCellMar>
            <w:top w:w="0" w:type="dxa"/>
            <w:bottom w:w="0" w:type="dxa"/>
          </w:tblCellMar>
        </w:tblPrEx>
        <w:trPr>
          <w:cantSplit/>
        </w:trPr>
        <w:tc>
          <w:tcPr>
            <w:tcW w:w="240" w:type="pct"/>
            <w:vMerge/>
            <w:tcBorders>
              <w:top w:val="single" w:sz="16" w:space="0" w:color="000000"/>
              <w:left w:val="single" w:sz="16" w:space="0" w:color="000000"/>
              <w:bottom w:val="single" w:sz="16" w:space="0" w:color="000000"/>
              <w:right w:val="nil"/>
            </w:tcBorders>
            <w:shd w:val="clear" w:color="auto" w:fill="FFFFFF"/>
            <w:vAlign w:val="center"/>
          </w:tcPr>
          <w:p w14:paraId="3C0F567F"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p>
        </w:tc>
        <w:tc>
          <w:tcPr>
            <w:tcW w:w="907" w:type="pct"/>
            <w:tcBorders>
              <w:top w:val="nil"/>
              <w:left w:val="nil"/>
              <w:bottom w:val="single" w:sz="16" w:space="0" w:color="000000"/>
              <w:right w:val="single" w:sz="16" w:space="0" w:color="000000"/>
            </w:tcBorders>
            <w:shd w:val="clear" w:color="auto" w:fill="FFFFFF"/>
            <w:vAlign w:val="center"/>
          </w:tcPr>
          <w:p w14:paraId="3376193C"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Use of Pvt Health Care</w:t>
            </w:r>
          </w:p>
        </w:tc>
        <w:tc>
          <w:tcPr>
            <w:tcW w:w="550" w:type="pct"/>
            <w:tcBorders>
              <w:top w:val="nil"/>
              <w:left w:val="single" w:sz="16" w:space="0" w:color="000000"/>
              <w:bottom w:val="single" w:sz="16" w:space="0" w:color="000000"/>
            </w:tcBorders>
            <w:shd w:val="clear" w:color="auto" w:fill="FFFFFF"/>
          </w:tcPr>
          <w:p w14:paraId="54B2D72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734.726</w:t>
            </w:r>
          </w:p>
        </w:tc>
        <w:tc>
          <w:tcPr>
            <w:tcW w:w="550" w:type="pct"/>
            <w:tcBorders>
              <w:top w:val="nil"/>
              <w:bottom w:val="single" w:sz="16" w:space="0" w:color="000000"/>
            </w:tcBorders>
            <w:shd w:val="clear" w:color="auto" w:fill="FFFFFF"/>
          </w:tcPr>
          <w:p w14:paraId="6BF40000"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231.878</w:t>
            </w:r>
          </w:p>
        </w:tc>
        <w:tc>
          <w:tcPr>
            <w:tcW w:w="731" w:type="pct"/>
            <w:tcBorders>
              <w:top w:val="nil"/>
              <w:bottom w:val="single" w:sz="16" w:space="0" w:color="000000"/>
            </w:tcBorders>
            <w:shd w:val="clear" w:color="auto" w:fill="FFFFFF"/>
          </w:tcPr>
          <w:p w14:paraId="0AB0F93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.166</w:t>
            </w:r>
          </w:p>
        </w:tc>
        <w:tc>
          <w:tcPr>
            <w:tcW w:w="408" w:type="pct"/>
            <w:tcBorders>
              <w:top w:val="nil"/>
              <w:bottom w:val="single" w:sz="16" w:space="0" w:color="000000"/>
            </w:tcBorders>
            <w:shd w:val="clear" w:color="auto" w:fill="FFFFFF"/>
          </w:tcPr>
          <w:p w14:paraId="425648BD"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3.169</w:t>
            </w:r>
          </w:p>
        </w:tc>
        <w:tc>
          <w:tcPr>
            <w:tcW w:w="408" w:type="pct"/>
            <w:tcBorders>
              <w:top w:val="nil"/>
              <w:bottom w:val="single" w:sz="16" w:space="0" w:color="000000"/>
            </w:tcBorders>
            <w:shd w:val="clear" w:color="auto" w:fill="FFFFFF"/>
          </w:tcPr>
          <w:p w14:paraId="0331619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.002</w:t>
            </w:r>
          </w:p>
        </w:tc>
        <w:tc>
          <w:tcPr>
            <w:tcW w:w="603" w:type="pct"/>
            <w:tcBorders>
              <w:top w:val="nil"/>
              <w:bottom w:val="single" w:sz="16" w:space="0" w:color="000000"/>
            </w:tcBorders>
            <w:shd w:val="clear" w:color="auto" w:fill="FFFFFF"/>
          </w:tcPr>
          <w:p w14:paraId="187A8D8B"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278.849</w:t>
            </w:r>
          </w:p>
        </w:tc>
        <w:tc>
          <w:tcPr>
            <w:tcW w:w="603" w:type="pct"/>
            <w:tcBorders>
              <w:top w:val="nil"/>
              <w:bottom w:val="single" w:sz="16" w:space="0" w:color="000000"/>
              <w:right w:val="single" w:sz="16" w:space="0" w:color="000000"/>
            </w:tcBorders>
            <w:shd w:val="clear" w:color="auto" w:fill="FFFFFF"/>
          </w:tcPr>
          <w:p w14:paraId="3094C83E"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1190.603</w:t>
            </w:r>
          </w:p>
        </w:tc>
      </w:tr>
      <w:tr w:rsidR="0045587F" w:rsidRPr="0045587F" w14:paraId="376DE891" w14:textId="77777777" w:rsidTr="0045587F">
        <w:tblPrEx>
          <w:tblCellMar>
            <w:top w:w="0" w:type="dxa"/>
            <w:bottom w:w="0" w:type="dxa"/>
          </w:tblCellMar>
        </w:tblPrEx>
        <w:trPr>
          <w:cantSplit/>
        </w:trPr>
        <w:tc>
          <w:tcPr>
            <w:tcW w:w="5000" w:type="pct"/>
            <w:gridSpan w:val="9"/>
            <w:tcBorders>
              <w:top w:val="nil"/>
              <w:left w:val="nil"/>
              <w:bottom w:val="nil"/>
              <w:right w:val="nil"/>
            </w:tcBorders>
            <w:shd w:val="clear" w:color="auto" w:fill="FFFFFF"/>
          </w:tcPr>
          <w:p w14:paraId="6FFF7D11" w14:textId="77777777" w:rsidR="0045587F" w:rsidRPr="0045587F" w:rsidRDefault="0045587F" w:rsidP="00C513C0">
            <w:pPr>
              <w:tabs>
                <w:tab w:val="left" w:pos="3270"/>
              </w:tabs>
              <w:spacing w:after="200" w:line="240" w:lineRule="auto"/>
              <w:rPr>
                <w:rFonts w:ascii="Arial" w:eastAsiaTheme="minorEastAsia" w:hAnsi="Arial" w:cs="Arial"/>
                <w:kern w:val="0"/>
                <w:sz w:val="20"/>
                <w:szCs w:val="20"/>
                <w14:ligatures w14:val="none"/>
              </w:rPr>
            </w:pPr>
            <w:r w:rsidRPr="0045587F">
              <w:rPr>
                <w:rFonts w:ascii="Arial" w:eastAsiaTheme="minorEastAsia" w:hAnsi="Arial" w:cs="Arial"/>
                <w:kern w:val="0"/>
                <w:sz w:val="20"/>
                <w:szCs w:val="20"/>
                <w14:ligatures w14:val="none"/>
              </w:rPr>
              <w:t>a. Dependent Variable: Out-of-Pocket Expenditure (OOPE)</w:t>
            </w:r>
          </w:p>
        </w:tc>
      </w:tr>
    </w:tbl>
    <w:p w14:paraId="1EC81A86" w14:textId="77777777" w:rsidR="0045587F" w:rsidRPr="00B02FA0" w:rsidRDefault="0045587F" w:rsidP="00B02FA0">
      <w:pPr>
        <w:tabs>
          <w:tab w:val="left" w:pos="3270"/>
        </w:tabs>
        <w:spacing w:after="200" w:line="240" w:lineRule="auto"/>
        <w:rPr>
          <w:rFonts w:ascii="Arial" w:eastAsiaTheme="minorEastAsia" w:hAnsi="Arial" w:cs="Arial"/>
          <w:kern w:val="0"/>
          <w:sz w:val="20"/>
          <w:szCs w:val="20"/>
          <w:lang w:val="en-US"/>
          <w14:ligatures w14:val="none"/>
        </w:rPr>
      </w:pPr>
    </w:p>
    <w:p w14:paraId="68A148E9" w14:textId="666709D1" w:rsidR="00D3063F" w:rsidRPr="00C3200A" w:rsidRDefault="00C3200A" w:rsidP="0005099A">
      <w:pPr>
        <w:tabs>
          <w:tab w:val="left" w:pos="3270"/>
        </w:tabs>
        <w:spacing w:after="200" w:line="240" w:lineRule="auto"/>
        <w:jc w:val="both"/>
        <w:rPr>
          <w:rFonts w:ascii="Arial" w:eastAsiaTheme="minorEastAsia" w:hAnsi="Arial" w:cs="Arial"/>
          <w:kern w:val="0"/>
          <w:sz w:val="20"/>
          <w:szCs w:val="20"/>
          <w:u w:val="single"/>
          <w:lang w:val="en-US" w:bidi="ml-IN"/>
          <w14:ligatures w14:val="none"/>
        </w:rPr>
      </w:pPr>
      <w:r w:rsidRPr="00C3200A">
        <w:rPr>
          <w:rFonts w:ascii="Arial" w:eastAsiaTheme="minorEastAsia" w:hAnsi="Arial" w:cs="Arial"/>
          <w:b/>
          <w:bCs/>
          <w:kern w:val="0"/>
          <w:sz w:val="20"/>
          <w:szCs w:val="20"/>
          <w:u w:val="single"/>
          <w:lang w:val="en-US" w:bidi="ml-IN"/>
          <w14:ligatures w14:val="none"/>
        </w:rPr>
        <w:t>4.</w:t>
      </w:r>
      <w:r w:rsidR="000C3DBD">
        <w:rPr>
          <w:rFonts w:ascii="Arial" w:eastAsiaTheme="minorEastAsia" w:hAnsi="Arial" w:cs="Arial"/>
          <w:b/>
          <w:bCs/>
          <w:kern w:val="0"/>
          <w:sz w:val="20"/>
          <w:szCs w:val="20"/>
          <w:u w:val="single"/>
          <w:lang w:val="en-US" w:bidi="ml-IN"/>
          <w14:ligatures w14:val="none"/>
        </w:rPr>
        <w:t>1</w:t>
      </w:r>
      <w:r w:rsidR="00D3063F" w:rsidRPr="00C3200A">
        <w:rPr>
          <w:rFonts w:ascii="Arial" w:eastAsiaTheme="minorEastAsia" w:hAnsi="Arial" w:cs="Arial"/>
          <w:b/>
          <w:bCs/>
          <w:kern w:val="0"/>
          <w:sz w:val="20"/>
          <w:szCs w:val="20"/>
          <w:u w:val="single"/>
          <w:lang w:val="en-US" w:bidi="ml-IN"/>
          <w14:ligatures w14:val="none"/>
        </w:rPr>
        <w:t>.4 Catastrophic Health Expenditure</w:t>
      </w:r>
    </w:p>
    <w:p w14:paraId="0E7709A2"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The prevalence of OOP health expenditure leads the study into examining catastrophic effect of health payments. The impoverishment effect of health expenditure has been looked into by using measures from Minimum Standard Approach. The approach considers OOP health expenditure and income of the households. It requires that health expenditure shall not exceed a specified limit or threshold income. Generally, threshold level is specified at five, ten, fifteen, twenty or twenty five percent. Household expenditure on health should remain in a specified threshold of income. If the household OOP health expenditure goes beyond this set limit, health expenditure is classified as catastrophic. As catastrophic health payments disrupt the over-all financial condition of households, there is possibility that such payments push the households into impoverishment.</w:t>
      </w:r>
    </w:p>
    <w:p w14:paraId="07B9506A" w14:textId="551FBFE4"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An important measure discussed in Minimum standard approach is the catastrophic head count that measures the financial catastrophe of households. Head count considers the proportion of households that crosses the threshold limit, which, in the present study, is five, </w:t>
      </w:r>
      <w:r w:rsidRPr="0005099A">
        <w:rPr>
          <w:rFonts w:ascii="Arial" w:eastAsiaTheme="minorEastAsia" w:hAnsi="Arial" w:cs="Arial"/>
          <w:kern w:val="0"/>
          <w:sz w:val="20"/>
          <w:szCs w:val="20"/>
          <w:lang w:val="en-US" w:bidi="ml-IN"/>
          <w14:ligatures w14:val="none"/>
        </w:rPr>
        <w:lastRenderedPageBreak/>
        <w:t xml:space="preserve">ten, fifteen, twenty and twenty five percent. Table </w:t>
      </w:r>
      <w:r w:rsidR="009A2A61">
        <w:rPr>
          <w:rFonts w:ascii="Arial" w:eastAsiaTheme="minorEastAsia" w:hAnsi="Arial" w:cs="Arial"/>
          <w:kern w:val="0"/>
          <w:sz w:val="20"/>
          <w:szCs w:val="20"/>
          <w:lang w:val="en-US" w:bidi="ml-IN"/>
          <w14:ligatures w14:val="none"/>
        </w:rPr>
        <w:t>4</w:t>
      </w:r>
      <w:r w:rsidRPr="0005099A">
        <w:rPr>
          <w:rFonts w:ascii="Arial" w:eastAsiaTheme="minorEastAsia" w:hAnsi="Arial" w:cs="Arial"/>
          <w:kern w:val="0"/>
          <w:sz w:val="20"/>
          <w:szCs w:val="20"/>
          <w:lang w:val="en-US" w:bidi="ml-IN"/>
          <w14:ligatures w14:val="none"/>
        </w:rPr>
        <w:t xml:space="preserve"> gives the detailed description of the analysis.</w:t>
      </w:r>
    </w:p>
    <w:p w14:paraId="7A77B7E9" w14:textId="77777777" w:rsidR="009A2A61" w:rsidRDefault="009A2A61"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p>
    <w:p w14:paraId="6B4EADB3" w14:textId="4BDD0E3B" w:rsidR="00D3063F" w:rsidRPr="0005099A" w:rsidRDefault="00D3063F" w:rsidP="00C3200A">
      <w:pPr>
        <w:autoSpaceDE w:val="0"/>
        <w:autoSpaceDN w:val="0"/>
        <w:adjustRightInd w:val="0"/>
        <w:spacing w:after="200" w:line="480" w:lineRule="auto"/>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 xml:space="preserve">Table </w:t>
      </w:r>
      <w:r w:rsidR="009A2A61">
        <w:rPr>
          <w:rFonts w:ascii="Arial" w:eastAsiaTheme="minorEastAsia" w:hAnsi="Arial" w:cs="Arial"/>
          <w:b/>
          <w:bCs/>
          <w:kern w:val="0"/>
          <w:sz w:val="20"/>
          <w:szCs w:val="20"/>
          <w:lang w:val="en-US" w:bidi="ml-IN"/>
          <w14:ligatures w14:val="none"/>
        </w:rPr>
        <w:t>4</w:t>
      </w:r>
      <w:r w:rsidRPr="0005099A">
        <w:rPr>
          <w:rFonts w:ascii="Arial" w:eastAsiaTheme="minorEastAsia" w:hAnsi="Arial" w:cs="Arial"/>
          <w:b/>
          <w:bCs/>
          <w:kern w:val="0"/>
          <w:sz w:val="20"/>
          <w:szCs w:val="20"/>
          <w:lang w:val="en-US" w:bidi="ml-IN"/>
          <w14:ligatures w14:val="none"/>
        </w:rPr>
        <w:t xml:space="preserve"> </w:t>
      </w:r>
      <w:r w:rsidR="00C3200A">
        <w:rPr>
          <w:rFonts w:ascii="Arial" w:eastAsiaTheme="minorEastAsia" w:hAnsi="Arial" w:cs="Arial"/>
          <w:b/>
          <w:bCs/>
          <w:kern w:val="0"/>
          <w:sz w:val="20"/>
          <w:szCs w:val="20"/>
          <w:lang w:val="en-US" w:bidi="ml-IN"/>
          <w14:ligatures w14:val="none"/>
        </w:rPr>
        <w:t xml:space="preserve">     </w:t>
      </w:r>
      <w:r w:rsidRPr="0005099A">
        <w:rPr>
          <w:rFonts w:ascii="Arial" w:eastAsiaTheme="minorEastAsia" w:hAnsi="Arial" w:cs="Arial"/>
          <w:b/>
          <w:bCs/>
          <w:kern w:val="0"/>
          <w:sz w:val="20"/>
          <w:szCs w:val="20"/>
          <w:lang w:val="en-US" w:bidi="ml-IN"/>
          <w14:ligatures w14:val="none"/>
        </w:rPr>
        <w:t>Catastrophic Head Count</w:t>
      </w:r>
    </w:p>
    <w:tbl>
      <w:tblPr>
        <w:tblStyle w:val="TableGrid2"/>
        <w:tblW w:w="5000" w:type="pct"/>
        <w:tblLook w:val="04A0" w:firstRow="1" w:lastRow="0" w:firstColumn="1" w:lastColumn="0" w:noHBand="0" w:noVBand="1"/>
      </w:tblPr>
      <w:tblGrid>
        <w:gridCol w:w="2133"/>
        <w:gridCol w:w="2982"/>
        <w:gridCol w:w="3079"/>
      </w:tblGrid>
      <w:tr w:rsidR="00D3063F" w:rsidRPr="0005099A" w14:paraId="56CF4654" w14:textId="77777777" w:rsidTr="004E15E8">
        <w:tc>
          <w:tcPr>
            <w:tcW w:w="1301" w:type="pct"/>
          </w:tcPr>
          <w:p w14:paraId="446A98E6"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Threshold Level</w:t>
            </w:r>
          </w:p>
        </w:tc>
        <w:tc>
          <w:tcPr>
            <w:tcW w:w="1819" w:type="pct"/>
          </w:tcPr>
          <w:p w14:paraId="4878868C"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Number Of Households</w:t>
            </w:r>
          </w:p>
        </w:tc>
        <w:tc>
          <w:tcPr>
            <w:tcW w:w="1879" w:type="pct"/>
          </w:tcPr>
          <w:p w14:paraId="52CE7E4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b/>
                <w:bCs/>
                <w:kern w:val="0"/>
                <w:sz w:val="20"/>
                <w:szCs w:val="20"/>
                <w:lang w:val="en-US" w:bidi="ml-IN"/>
                <w14:ligatures w14:val="none"/>
              </w:rPr>
            </w:pPr>
            <w:r w:rsidRPr="0005099A">
              <w:rPr>
                <w:rFonts w:ascii="Arial" w:eastAsiaTheme="minorEastAsia" w:hAnsi="Arial" w:cs="Arial"/>
                <w:b/>
                <w:bCs/>
                <w:kern w:val="0"/>
                <w:sz w:val="20"/>
                <w:szCs w:val="20"/>
                <w:lang w:val="en-US" w:bidi="ml-IN"/>
                <w14:ligatures w14:val="none"/>
              </w:rPr>
              <w:t>Catastrophic Headcount</w:t>
            </w:r>
          </w:p>
        </w:tc>
      </w:tr>
      <w:tr w:rsidR="00D3063F" w:rsidRPr="0005099A" w14:paraId="479EFD3D" w14:textId="77777777" w:rsidTr="004E15E8">
        <w:tc>
          <w:tcPr>
            <w:tcW w:w="1301" w:type="pct"/>
          </w:tcPr>
          <w:p w14:paraId="68C9EAD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 percent</w:t>
            </w:r>
          </w:p>
        </w:tc>
        <w:tc>
          <w:tcPr>
            <w:tcW w:w="1819" w:type="pct"/>
          </w:tcPr>
          <w:p w14:paraId="25442523"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153</w:t>
            </w:r>
          </w:p>
        </w:tc>
        <w:tc>
          <w:tcPr>
            <w:tcW w:w="1879" w:type="pct"/>
          </w:tcPr>
          <w:p w14:paraId="42516510"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38.06</w:t>
            </w:r>
          </w:p>
        </w:tc>
      </w:tr>
      <w:tr w:rsidR="00D3063F" w:rsidRPr="0005099A" w14:paraId="75D74E07" w14:textId="77777777" w:rsidTr="004E15E8">
        <w:tc>
          <w:tcPr>
            <w:tcW w:w="1301" w:type="pct"/>
          </w:tcPr>
          <w:p w14:paraId="3965F29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10 percent</w:t>
            </w:r>
          </w:p>
        </w:tc>
        <w:tc>
          <w:tcPr>
            <w:tcW w:w="1819" w:type="pct"/>
          </w:tcPr>
          <w:p w14:paraId="171948A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50</w:t>
            </w:r>
          </w:p>
        </w:tc>
        <w:tc>
          <w:tcPr>
            <w:tcW w:w="1879" w:type="pct"/>
          </w:tcPr>
          <w:p w14:paraId="400408ED"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12.44</w:t>
            </w:r>
          </w:p>
        </w:tc>
      </w:tr>
      <w:tr w:rsidR="00D3063F" w:rsidRPr="0005099A" w14:paraId="509FA744" w14:textId="77777777" w:rsidTr="004E15E8">
        <w:tc>
          <w:tcPr>
            <w:tcW w:w="1301" w:type="pct"/>
          </w:tcPr>
          <w:p w14:paraId="5FD94BE4"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15 percent</w:t>
            </w:r>
          </w:p>
        </w:tc>
        <w:tc>
          <w:tcPr>
            <w:tcW w:w="1819" w:type="pct"/>
          </w:tcPr>
          <w:p w14:paraId="2E4152A7"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16</w:t>
            </w:r>
          </w:p>
        </w:tc>
        <w:tc>
          <w:tcPr>
            <w:tcW w:w="1879" w:type="pct"/>
          </w:tcPr>
          <w:p w14:paraId="1B0CAEE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3.99</w:t>
            </w:r>
          </w:p>
        </w:tc>
      </w:tr>
      <w:tr w:rsidR="00D3063F" w:rsidRPr="0005099A" w14:paraId="4B3AB2D6" w14:textId="77777777" w:rsidTr="004E15E8">
        <w:tc>
          <w:tcPr>
            <w:tcW w:w="1301" w:type="pct"/>
          </w:tcPr>
          <w:p w14:paraId="17E0CE7F"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20 percent</w:t>
            </w:r>
          </w:p>
        </w:tc>
        <w:tc>
          <w:tcPr>
            <w:tcW w:w="1819" w:type="pct"/>
          </w:tcPr>
          <w:p w14:paraId="265E9C1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28</w:t>
            </w:r>
          </w:p>
        </w:tc>
        <w:tc>
          <w:tcPr>
            <w:tcW w:w="1879" w:type="pct"/>
          </w:tcPr>
          <w:p w14:paraId="1697739B"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6.97</w:t>
            </w:r>
          </w:p>
        </w:tc>
      </w:tr>
      <w:tr w:rsidR="00D3063F" w:rsidRPr="0005099A" w14:paraId="5348E633" w14:textId="77777777" w:rsidTr="004E15E8">
        <w:tc>
          <w:tcPr>
            <w:tcW w:w="1301" w:type="pct"/>
          </w:tcPr>
          <w:p w14:paraId="25EB980E"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25 percent</w:t>
            </w:r>
          </w:p>
        </w:tc>
        <w:tc>
          <w:tcPr>
            <w:tcW w:w="1819" w:type="pct"/>
          </w:tcPr>
          <w:p w14:paraId="5A352288"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14</w:t>
            </w:r>
          </w:p>
        </w:tc>
        <w:tc>
          <w:tcPr>
            <w:tcW w:w="1879" w:type="pct"/>
          </w:tcPr>
          <w:p w14:paraId="437AA641" w14:textId="77777777" w:rsidR="00D3063F" w:rsidRPr="0005099A" w:rsidRDefault="00D3063F" w:rsidP="00C3200A">
            <w:pPr>
              <w:autoSpaceDE w:val="0"/>
              <w:autoSpaceDN w:val="0"/>
              <w:adjustRightInd w:val="0"/>
              <w:spacing w:before="40" w:after="40" w:line="480" w:lineRule="auto"/>
              <w:jc w:val="center"/>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3.48</w:t>
            </w:r>
          </w:p>
        </w:tc>
      </w:tr>
    </w:tbl>
    <w:p w14:paraId="2EB42385" w14:textId="77777777" w:rsidR="00D3063F" w:rsidRPr="0005099A" w:rsidRDefault="00D3063F" w:rsidP="00C3200A">
      <w:pPr>
        <w:autoSpaceDE w:val="0"/>
        <w:autoSpaceDN w:val="0"/>
        <w:adjustRightInd w:val="0"/>
        <w:spacing w:after="200" w:line="480" w:lineRule="auto"/>
        <w:jc w:val="both"/>
        <w:rPr>
          <w:rFonts w:ascii="Arial" w:eastAsiaTheme="minorEastAsia" w:hAnsi="Arial" w:cs="Arial"/>
          <w:i/>
          <w:iCs/>
          <w:kern w:val="0"/>
          <w:sz w:val="20"/>
          <w:szCs w:val="20"/>
          <w:lang w:val="en-US" w:bidi="ml-IN"/>
          <w14:ligatures w14:val="none"/>
        </w:rPr>
      </w:pPr>
      <w:r w:rsidRPr="0005099A">
        <w:rPr>
          <w:rFonts w:ascii="Arial" w:eastAsiaTheme="minorEastAsia" w:hAnsi="Arial" w:cs="Arial"/>
          <w:i/>
          <w:iCs/>
          <w:kern w:val="0"/>
          <w:sz w:val="20"/>
          <w:szCs w:val="20"/>
          <w:lang w:val="en-US" w:bidi="ml-IN"/>
          <w14:ligatures w14:val="none"/>
        </w:rPr>
        <w:t>Source: Primary Survey</w:t>
      </w:r>
    </w:p>
    <w:p w14:paraId="4FC37BDC" w14:textId="77777777" w:rsidR="00D3063F" w:rsidRPr="0005099A"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bidi="ml-IN"/>
          <w14:ligatures w14:val="none"/>
        </w:rPr>
      </w:pPr>
      <w:r w:rsidRPr="0005099A">
        <w:rPr>
          <w:rFonts w:ascii="Arial" w:eastAsiaTheme="minorEastAsia" w:hAnsi="Arial" w:cs="Arial"/>
          <w:kern w:val="0"/>
          <w:sz w:val="20"/>
          <w:szCs w:val="20"/>
          <w:lang w:val="en-US" w:bidi="ml-IN"/>
          <w14:ligatures w14:val="none"/>
        </w:rPr>
        <w:t xml:space="preserve">The table reveals the headcount, which refers to the catastrophic measure of health care. Around 38.06 percent of elderly households fall in the lowest threshold limit of five percent and spend in excess of five percent threshold. Around 12 percent of elderly households spend more than 10 percent of their income on health care and incurs catastrophic payment. As the threshold level is further raised to 15, 20 and 25 percent, the incidence of catastrophic health payment falls. </w:t>
      </w:r>
    </w:p>
    <w:p w14:paraId="197378E5" w14:textId="77777777" w:rsidR="00D3063F" w:rsidRDefault="00D3063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bidi="ml-IN"/>
          <w14:ligatures w14:val="none"/>
        </w:rPr>
        <w:t>Several studies on catastrophic expenditure reveals similar results as observed ab</w:t>
      </w:r>
      <w:r w:rsidRPr="0005099A">
        <w:rPr>
          <w:rFonts w:ascii="Arial" w:eastAsiaTheme="minorEastAsia" w:hAnsi="Arial" w:cs="Arial"/>
          <w:kern w:val="0"/>
          <w:sz w:val="20"/>
          <w:szCs w:val="20"/>
          <w:lang w:val="en-US"/>
          <w14:ligatures w14:val="none"/>
        </w:rPr>
        <w:t>ove. Ghosh (2011) observed that at 10 percent threshold level, the catastrophic head count is 32.42 percent. The study utilized NSSO data. Similarly, George (2005) in his study observes catastrophic headcount for rural Kerala as 26.64 percent, whereas for urban Kerala this stands at 20.90 percent. Incidence of catastrophe is higher among elderly households.</w:t>
      </w:r>
    </w:p>
    <w:p w14:paraId="746C22D6" w14:textId="3DC8BFD3"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b/>
          <w:bCs/>
          <w:kern w:val="0"/>
          <w:lang w:val="en-US"/>
          <w14:ligatures w14:val="none"/>
        </w:rPr>
        <w:t>4</w:t>
      </w:r>
      <w:r w:rsidR="00C3200A" w:rsidRPr="00C3200A">
        <w:rPr>
          <w:rFonts w:ascii="Arial" w:eastAsiaTheme="minorEastAsia" w:hAnsi="Arial" w:cs="Arial"/>
          <w:b/>
          <w:bCs/>
          <w:kern w:val="0"/>
          <w:lang w:val="en-US"/>
          <w14:ligatures w14:val="none"/>
        </w:rPr>
        <w:t>.</w:t>
      </w:r>
      <w:r w:rsidR="000C3DBD">
        <w:rPr>
          <w:rFonts w:ascii="Arial" w:eastAsiaTheme="minorEastAsia" w:hAnsi="Arial" w:cs="Arial"/>
          <w:b/>
          <w:bCs/>
          <w:kern w:val="0"/>
          <w:lang w:val="en-US"/>
          <w14:ligatures w14:val="none"/>
        </w:rPr>
        <w:t>2</w:t>
      </w:r>
      <w:r w:rsidR="00C3200A" w:rsidRPr="00C3200A">
        <w:rPr>
          <w:rFonts w:ascii="Arial" w:eastAsiaTheme="minorEastAsia" w:hAnsi="Arial" w:cs="Arial"/>
          <w:b/>
          <w:bCs/>
          <w:kern w:val="0"/>
          <w:lang w:val="en-US"/>
          <w14:ligatures w14:val="none"/>
        </w:rPr>
        <w:t xml:space="preserve"> </w:t>
      </w:r>
      <w:r w:rsidRPr="0005099A">
        <w:rPr>
          <w:rFonts w:ascii="Arial" w:eastAsiaTheme="minorEastAsia" w:hAnsi="Arial" w:cs="Arial"/>
          <w:b/>
          <w:bCs/>
          <w:kern w:val="0"/>
          <w:lang w:val="en-US"/>
          <w14:ligatures w14:val="none"/>
        </w:rPr>
        <w:t>Health Insurance Coverage</w:t>
      </w:r>
      <w:r w:rsidR="00C3200A">
        <w:rPr>
          <w:rFonts w:ascii="Arial" w:eastAsiaTheme="minorEastAsia" w:hAnsi="Arial" w:cs="Arial"/>
          <w:b/>
          <w:bCs/>
          <w:kern w:val="0"/>
          <w:lang w:val="en-US"/>
          <w14:ligatures w14:val="none"/>
        </w:rPr>
        <w:t xml:space="preserve"> </w:t>
      </w:r>
    </w:p>
    <w:p w14:paraId="481F68C3" w14:textId="53A06EA6"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crucial role in healthcare financing by enhancing the equity of healthcare access and protecting households from the financial devastation caused by significant medical expenses. Enrolling in health insurance can lead to increased utilization of healthcare services, as families feel more secure in seeking medical treatment without the fear of high costs. </w:t>
      </w:r>
    </w:p>
    <w:p w14:paraId="7A0BED75" w14:textId="28D5E553"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This section evaluates the reach and utilization </w:t>
      </w:r>
      <w:r w:rsidR="00F16823">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such health insurance schemes among the elderly people.</w:t>
      </w:r>
      <w:r w:rsidR="00F16823">
        <w:rPr>
          <w:rFonts w:ascii="Arial" w:eastAsiaTheme="minorEastAsia" w:hAnsi="Arial" w:cs="Arial"/>
          <w:kern w:val="0"/>
          <w:sz w:val="20"/>
          <w:szCs w:val="20"/>
          <w:lang w:val="en-US"/>
          <w14:ligatures w14:val="none"/>
        </w:rPr>
        <w:t xml:space="preserve"> The </w:t>
      </w:r>
      <w:proofErr w:type="gramStart"/>
      <w:r w:rsidRPr="0005099A">
        <w:rPr>
          <w:rFonts w:ascii="Arial" w:eastAsiaTheme="minorEastAsia" w:hAnsi="Arial" w:cs="Arial"/>
          <w:kern w:val="0"/>
          <w:sz w:val="20"/>
          <w:szCs w:val="20"/>
          <w:lang w:val="en-US"/>
          <w14:ligatures w14:val="none"/>
        </w:rPr>
        <w:t>analysis  focuses</w:t>
      </w:r>
      <w:proofErr w:type="gramEnd"/>
      <w:r w:rsidRPr="0005099A">
        <w:rPr>
          <w:rFonts w:ascii="Arial" w:eastAsiaTheme="minorEastAsia" w:hAnsi="Arial" w:cs="Arial"/>
          <w:kern w:val="0"/>
          <w:sz w:val="20"/>
          <w:szCs w:val="20"/>
          <w:lang w:val="en-US"/>
          <w14:ligatures w14:val="none"/>
        </w:rPr>
        <w:t xml:space="preserve"> primarily on the penetration of available health insurance schemes among the elderly. Table </w:t>
      </w:r>
      <w:r w:rsidR="009A2A61">
        <w:rPr>
          <w:rFonts w:ascii="Arial" w:eastAsiaTheme="minorEastAsia" w:hAnsi="Arial" w:cs="Arial"/>
          <w:kern w:val="0"/>
          <w:sz w:val="20"/>
          <w:szCs w:val="20"/>
          <w:lang w:val="en-US"/>
          <w14:ligatures w14:val="none"/>
        </w:rPr>
        <w:t>5</w:t>
      </w:r>
      <w:r w:rsidRPr="0005099A">
        <w:rPr>
          <w:rFonts w:ascii="Arial" w:eastAsiaTheme="minorEastAsia" w:hAnsi="Arial" w:cs="Arial"/>
          <w:kern w:val="0"/>
          <w:sz w:val="20"/>
          <w:szCs w:val="20"/>
          <w:lang w:val="en-US"/>
          <w14:ligatures w14:val="none"/>
        </w:rPr>
        <w:t xml:space="preserve"> gives detailed description of the insured and uninsured families.</w:t>
      </w:r>
    </w:p>
    <w:p w14:paraId="0F25502A" w14:textId="77777777" w:rsidR="0045587F" w:rsidRPr="0005099A" w:rsidRDefault="0045587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6EEE2F4B" w14:textId="08851C19"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lastRenderedPageBreak/>
        <w:t xml:space="preserve">Table </w:t>
      </w:r>
      <w:r w:rsidR="009A2A61">
        <w:rPr>
          <w:rFonts w:ascii="Arial" w:eastAsiaTheme="minorEastAsia" w:hAnsi="Arial" w:cs="Arial"/>
          <w:b/>
          <w:bCs/>
          <w:kern w:val="0"/>
          <w:sz w:val="20"/>
          <w:szCs w:val="20"/>
          <w:lang w:val="en-US"/>
          <w14:ligatures w14:val="none"/>
        </w:rPr>
        <w:t>5</w:t>
      </w:r>
      <w:r w:rsidR="00C3200A">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Insurance Enrolment among Elderly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78"/>
        <w:gridCol w:w="2019"/>
        <w:gridCol w:w="2078"/>
      </w:tblGrid>
      <w:tr w:rsidR="0005099A" w:rsidRPr="0005099A" w14:paraId="4522AE42" w14:textId="77777777" w:rsidTr="00C3200A">
        <w:tc>
          <w:tcPr>
            <w:tcW w:w="4508" w:type="dxa"/>
            <w:gridSpan w:val="2"/>
          </w:tcPr>
          <w:p w14:paraId="42993E64"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Insured</w:t>
            </w:r>
          </w:p>
        </w:tc>
        <w:tc>
          <w:tcPr>
            <w:tcW w:w="4508" w:type="dxa"/>
            <w:gridSpan w:val="2"/>
          </w:tcPr>
          <w:p w14:paraId="0BFB5CC5"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Uninsured</w:t>
            </w:r>
          </w:p>
        </w:tc>
      </w:tr>
      <w:tr w:rsidR="0005099A" w:rsidRPr="0005099A" w14:paraId="113EF9AF" w14:textId="77777777" w:rsidTr="00C3200A">
        <w:tc>
          <w:tcPr>
            <w:tcW w:w="2254" w:type="dxa"/>
          </w:tcPr>
          <w:p w14:paraId="5E83F8C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07EB221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c>
          <w:tcPr>
            <w:tcW w:w="2254" w:type="dxa"/>
          </w:tcPr>
          <w:p w14:paraId="628695C1"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Number</w:t>
            </w:r>
          </w:p>
        </w:tc>
        <w:tc>
          <w:tcPr>
            <w:tcW w:w="2254" w:type="dxa"/>
          </w:tcPr>
          <w:p w14:paraId="602BF410"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Percentage</w:t>
            </w:r>
          </w:p>
        </w:tc>
      </w:tr>
      <w:tr w:rsidR="0005099A" w:rsidRPr="0005099A" w14:paraId="4BB6311A" w14:textId="77777777" w:rsidTr="00C3200A">
        <w:tc>
          <w:tcPr>
            <w:tcW w:w="2254" w:type="dxa"/>
          </w:tcPr>
          <w:p w14:paraId="37FD6952"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303</w:t>
            </w:r>
          </w:p>
        </w:tc>
        <w:tc>
          <w:tcPr>
            <w:tcW w:w="2254" w:type="dxa"/>
          </w:tcPr>
          <w:p w14:paraId="0FBE31DA"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75.37</w:t>
            </w:r>
          </w:p>
        </w:tc>
        <w:tc>
          <w:tcPr>
            <w:tcW w:w="2254" w:type="dxa"/>
          </w:tcPr>
          <w:p w14:paraId="0E8B417B"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99</w:t>
            </w:r>
          </w:p>
        </w:tc>
        <w:tc>
          <w:tcPr>
            <w:tcW w:w="2254" w:type="dxa"/>
          </w:tcPr>
          <w:p w14:paraId="0F5BB18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24.63</w:t>
            </w:r>
          </w:p>
        </w:tc>
      </w:tr>
    </w:tbl>
    <w:p w14:paraId="2786A0F7" w14:textId="77777777" w:rsidR="0005099A" w:rsidRPr="0005099A" w:rsidRDefault="0005099A" w:rsidP="00C3200A">
      <w:pPr>
        <w:autoSpaceDE w:val="0"/>
        <w:autoSpaceDN w:val="0"/>
        <w:adjustRightInd w:val="0"/>
        <w:spacing w:after="200" w:line="48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Source: Primary Survey</w:t>
      </w:r>
    </w:p>
    <w:p w14:paraId="72D9FA7F"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in health insurance scheme is observed to be higher among the elderly households. Around three-fourth of the surveyed households opted for health insurance. The elderly individuals with health insurance coverage in these households accounted for 74.77 percent and those individuals without insurance accounted to be 25.23 percent.</w:t>
      </w:r>
    </w:p>
    <w:p w14:paraId="2F6BC104" w14:textId="16FD6D5C"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Enrolment of elderly individuals in health insurance schemes has been described in figure</w:t>
      </w:r>
      <w:r w:rsidR="004D237E">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3, which explains the type of coverage being opted by the elderly.</w:t>
      </w:r>
    </w:p>
    <w:p w14:paraId="32A9470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62EF5DDA" wp14:editId="13F05515">
            <wp:extent cx="4333875" cy="2428875"/>
            <wp:effectExtent l="0" t="0" r="0" b="0"/>
            <wp:docPr id="80715022" name="Chart 1">
              <a:extLst xmlns:a="http://schemas.openxmlformats.org/drawingml/2006/main">
                <a:ext uri="{FF2B5EF4-FFF2-40B4-BE49-F238E27FC236}">
                  <a16:creationId xmlns:a16="http://schemas.microsoft.com/office/drawing/2014/main" id="{A77AB74F-D848-C51F-7AF5-6F9945198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15FCA8" w14:textId="6264576D"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proofErr w:type="gramStart"/>
      <w:r w:rsidRPr="0005099A">
        <w:rPr>
          <w:rFonts w:ascii="Arial" w:eastAsiaTheme="minorEastAsia" w:hAnsi="Arial" w:cs="Arial"/>
          <w:i/>
          <w:iCs/>
          <w:kern w:val="0"/>
          <w:sz w:val="20"/>
          <w:szCs w:val="20"/>
          <w:lang w:val="en-US"/>
          <w14:ligatures w14:val="none"/>
        </w:rPr>
        <w:t>Source :</w:t>
      </w:r>
      <w:proofErr w:type="gramEnd"/>
      <w:r w:rsidRPr="0005099A">
        <w:rPr>
          <w:rFonts w:ascii="Arial" w:eastAsiaTheme="minorEastAsia" w:hAnsi="Arial" w:cs="Arial"/>
          <w:i/>
          <w:iCs/>
          <w:kern w:val="0"/>
          <w:sz w:val="20"/>
          <w:szCs w:val="20"/>
          <w:lang w:val="en-US"/>
          <w14:ligatures w14:val="none"/>
        </w:rPr>
        <w:t xml:space="preserve"> Primary survey</w:t>
      </w:r>
    </w:p>
    <w:p w14:paraId="6E8F0A41" w14:textId="3E7ADB39" w:rsidR="00C3200A" w:rsidRPr="0005099A" w:rsidRDefault="00C3200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w:t>
      </w:r>
      <w:r>
        <w:rPr>
          <w:rFonts w:ascii="Arial" w:eastAsiaTheme="minorEastAsia" w:hAnsi="Arial" w:cs="Arial"/>
          <w:b/>
          <w:bCs/>
          <w:kern w:val="0"/>
          <w:sz w:val="20"/>
          <w:szCs w:val="20"/>
          <w:lang w:val="en-US"/>
          <w14:ligatures w14:val="none"/>
        </w:rPr>
        <w:t xml:space="preserve"> </w:t>
      </w:r>
      <w:r w:rsidRPr="0005099A">
        <w:rPr>
          <w:rFonts w:ascii="Arial" w:eastAsiaTheme="minorEastAsia" w:hAnsi="Arial" w:cs="Arial"/>
          <w:b/>
          <w:bCs/>
          <w:kern w:val="0"/>
          <w:sz w:val="20"/>
          <w:szCs w:val="20"/>
          <w:lang w:val="en-US"/>
          <w14:ligatures w14:val="none"/>
        </w:rPr>
        <w:t>3. Health Insurance Coverage of Elderly Individuals</w:t>
      </w:r>
    </w:p>
    <w:p w14:paraId="1D8A8636" w14:textId="77777777"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It is evident from the data that more than half of the elderly individuals have enrolled in RSBY scheme. The coverage of employer specific health insurance is observed to be meagre. Private health insurance is getting popular among the elderly, especially among elderly falling in middle to higher income category. This statistic is observed to be twenty seven percent, in the study. Health Insurance sector has experienced an upward movement in coverage especially after the pandemic. The study also supports the fact that compared to earlier days health insurance has gained popularity and acceptance among elderly people of the state.</w:t>
      </w:r>
    </w:p>
    <w:p w14:paraId="6627310C" w14:textId="77777777" w:rsidR="0045587F" w:rsidRPr="0005099A" w:rsidRDefault="0045587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2B86D928" w14:textId="77777777" w:rsidR="000C3DBD" w:rsidRDefault="00C3200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C3200A">
        <w:rPr>
          <w:rFonts w:ascii="Arial" w:eastAsiaTheme="minorEastAsia" w:hAnsi="Arial" w:cs="Arial"/>
          <w:b/>
          <w:bCs/>
          <w:kern w:val="0"/>
          <w:lang w:val="en-US"/>
          <w14:ligatures w14:val="none"/>
        </w:rPr>
        <w:lastRenderedPageBreak/>
        <w:t>4.</w:t>
      </w:r>
      <w:r w:rsidR="000C3DBD">
        <w:rPr>
          <w:rFonts w:ascii="Arial" w:eastAsiaTheme="minorEastAsia" w:hAnsi="Arial" w:cs="Arial"/>
          <w:b/>
          <w:bCs/>
          <w:kern w:val="0"/>
          <w:lang w:val="en-US"/>
          <w14:ligatures w14:val="none"/>
        </w:rPr>
        <w:t>3</w:t>
      </w:r>
      <w:r w:rsidR="0005099A" w:rsidRPr="0005099A">
        <w:rPr>
          <w:rFonts w:ascii="Arial" w:eastAsiaTheme="minorEastAsia" w:hAnsi="Arial" w:cs="Arial"/>
          <w:b/>
          <w:bCs/>
          <w:kern w:val="0"/>
          <w:lang w:val="en-US"/>
          <w14:ligatures w14:val="none"/>
        </w:rPr>
        <w:t xml:space="preserve"> Coping Mechanism</w:t>
      </w:r>
    </w:p>
    <w:p w14:paraId="52BFC278" w14:textId="1DE9C066" w:rsidR="0005099A" w:rsidRPr="000C3DBD" w:rsidRDefault="0005099A" w:rsidP="0005099A">
      <w:pPr>
        <w:autoSpaceDE w:val="0"/>
        <w:autoSpaceDN w:val="0"/>
        <w:adjustRightInd w:val="0"/>
        <w:spacing w:after="200" w:line="240" w:lineRule="auto"/>
        <w:jc w:val="both"/>
        <w:rPr>
          <w:rFonts w:ascii="Arial" w:eastAsiaTheme="minorEastAsia" w:hAnsi="Arial" w:cs="Arial"/>
          <w:b/>
          <w:bCs/>
          <w:kern w:val="0"/>
          <w:lang w:val="en-US"/>
          <w14:ligatures w14:val="none"/>
        </w:rPr>
      </w:pPr>
      <w:r w:rsidRPr="0005099A">
        <w:rPr>
          <w:rFonts w:ascii="Arial" w:eastAsiaTheme="minorEastAsia" w:hAnsi="Arial" w:cs="Arial"/>
          <w:kern w:val="0"/>
          <w:sz w:val="20"/>
          <w:szCs w:val="20"/>
          <w:lang w:val="en-US"/>
          <w14:ligatures w14:val="none"/>
        </w:rPr>
        <w:t>Coping mechanism refers to the way households deal with the financial burden caused by catastrophic health expenditure. Health care financing poses a significant challenge for the elderly, as they often face increased medical expenses with limited income sources. Coping with these financial demands requires a combination of strategies, including income management, savings, external support, and reliance on social security schemes. By using these mechanisms, elderly individuals aim to ensure access to quality health care while maintaining financial stability and dignity.</w:t>
      </w:r>
    </w:p>
    <w:p w14:paraId="21946624" w14:textId="08B5C308"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One of the primary measures for coping with health care costs is incom</w:t>
      </w:r>
      <w:r w:rsidR="00F16823">
        <w:rPr>
          <w:rFonts w:ascii="Arial" w:eastAsiaTheme="minorEastAsia" w:hAnsi="Arial" w:cs="Arial"/>
          <w:kern w:val="0"/>
          <w:sz w:val="20"/>
          <w:szCs w:val="20"/>
          <w:lang w:val="en-US"/>
          <w14:ligatures w14:val="none"/>
        </w:rPr>
        <w:t>e</w:t>
      </w:r>
      <w:r w:rsidRPr="0005099A">
        <w:rPr>
          <w:rFonts w:ascii="Arial" w:eastAsiaTheme="minorEastAsia" w:hAnsi="Arial" w:cs="Arial"/>
          <w:kern w:val="0"/>
          <w:sz w:val="20"/>
          <w:szCs w:val="20"/>
          <w:lang w:val="en-US"/>
          <w14:ligatures w14:val="none"/>
        </w:rPr>
        <w:t>. For retired individuals, pensions and annuities serve as a steady source of income, helping cover routine medical expenses. Some elderly individuals seek part-time employment or freelance work to supplement their income. Savings, built over a lifetime, often act as a financial buffer, allowing seniors to manage sudden or recurring health care needs.</w:t>
      </w:r>
    </w:p>
    <w:p w14:paraId="551F2B46" w14:textId="6F7AE242"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Donations or direct financial assistance from loved ones</w:t>
      </w:r>
      <w:r w:rsidR="00617BCC">
        <w:rPr>
          <w:rFonts w:ascii="Arial" w:eastAsiaTheme="minorEastAsia" w:hAnsi="Arial" w:cs="Arial"/>
          <w:kern w:val="0"/>
          <w:sz w:val="20"/>
          <w:szCs w:val="20"/>
          <w:lang w:val="en-US"/>
          <w14:ligatures w14:val="none"/>
        </w:rPr>
        <w:t>, b</w:t>
      </w:r>
      <w:r w:rsidRPr="0005099A">
        <w:rPr>
          <w:rFonts w:ascii="Arial" w:eastAsiaTheme="minorEastAsia" w:hAnsi="Arial" w:cs="Arial"/>
          <w:kern w:val="0"/>
          <w:sz w:val="20"/>
          <w:szCs w:val="20"/>
          <w:lang w:val="en-US"/>
          <w14:ligatures w14:val="none"/>
        </w:rPr>
        <w:t>orrowing</w:t>
      </w:r>
      <w:r w:rsidR="00617BCC">
        <w:rPr>
          <w:rFonts w:ascii="Arial" w:eastAsiaTheme="minorEastAsia" w:hAnsi="Arial" w:cs="Arial"/>
          <w:kern w:val="0"/>
          <w:sz w:val="20"/>
          <w:szCs w:val="20"/>
          <w:lang w:val="en-US"/>
          <w14:ligatures w14:val="none"/>
        </w:rPr>
        <w:t xml:space="preserve">, </w:t>
      </w:r>
      <w:r w:rsidRPr="0005099A">
        <w:rPr>
          <w:rFonts w:ascii="Arial" w:eastAsiaTheme="minorEastAsia" w:hAnsi="Arial" w:cs="Arial"/>
          <w:kern w:val="0"/>
          <w:sz w:val="20"/>
          <w:szCs w:val="20"/>
          <w:lang w:val="en-US"/>
          <w14:ligatures w14:val="none"/>
        </w:rPr>
        <w:t>selling assets,</w:t>
      </w:r>
      <w:r w:rsidR="00617BCC" w:rsidRPr="00617BCC">
        <w:rPr>
          <w:rFonts w:ascii="Arial" w:eastAsiaTheme="minorEastAsia" w:hAnsi="Arial" w:cs="Arial"/>
          <w:kern w:val="0"/>
          <w:sz w:val="20"/>
          <w:szCs w:val="20"/>
          <w:lang w:val="en-US"/>
          <w14:ligatures w14:val="none"/>
        </w:rPr>
        <w:t xml:space="preserve"> </w:t>
      </w:r>
      <w:r w:rsidR="00617BCC">
        <w:rPr>
          <w:rFonts w:ascii="Arial" w:eastAsiaTheme="minorEastAsia" w:hAnsi="Arial" w:cs="Arial"/>
          <w:kern w:val="0"/>
          <w:sz w:val="20"/>
          <w:szCs w:val="20"/>
          <w:lang w:val="en-US"/>
          <w14:ligatures w14:val="none"/>
        </w:rPr>
        <w:t>s</w:t>
      </w:r>
      <w:r w:rsidR="00617BCC" w:rsidRPr="0005099A">
        <w:rPr>
          <w:rFonts w:ascii="Arial" w:eastAsiaTheme="minorEastAsia" w:hAnsi="Arial" w:cs="Arial"/>
          <w:kern w:val="0"/>
          <w:sz w:val="20"/>
          <w:szCs w:val="20"/>
          <w:lang w:val="en-US"/>
          <w14:ligatures w14:val="none"/>
        </w:rPr>
        <w:t xml:space="preserve">ocial security schemes and senior-specific insurance </w:t>
      </w:r>
      <w:r w:rsidR="00617BCC">
        <w:rPr>
          <w:rFonts w:ascii="Arial" w:eastAsiaTheme="minorEastAsia" w:hAnsi="Arial" w:cs="Arial"/>
          <w:kern w:val="0"/>
          <w:sz w:val="20"/>
          <w:szCs w:val="20"/>
          <w:lang w:val="en-US"/>
          <w14:ligatures w14:val="none"/>
        </w:rPr>
        <w:t>plans serves\ as coping mechanism.</w:t>
      </w:r>
    </w:p>
    <w:p w14:paraId="5806B77A"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Enquiry into these measures in this study reveals that 64.5 percent of the elderly rely on income as coping mechanism followed by savings with a share of 19.2 percent. Insurance and social security schemes constitute 13.36 per cent. Other measures were observed to be negligible in the sample.</w:t>
      </w:r>
    </w:p>
    <w:p w14:paraId="14B9A927"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1F316593"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noProof/>
          <w:kern w:val="0"/>
          <w:sz w:val="20"/>
          <w:szCs w:val="20"/>
          <w14:ligatures w14:val="none"/>
        </w:rPr>
        <w:drawing>
          <wp:inline distT="0" distB="0" distL="0" distR="0" wp14:anchorId="05FCB4CA" wp14:editId="4AB058AA">
            <wp:extent cx="4572000" cy="2686050"/>
            <wp:effectExtent l="0" t="0" r="0" b="0"/>
            <wp:docPr id="1962565361" name="Chart 1">
              <a:extLst xmlns:a="http://schemas.openxmlformats.org/drawingml/2006/main">
                <a:ext uri="{FF2B5EF4-FFF2-40B4-BE49-F238E27FC236}">
                  <a16:creationId xmlns:a16="http://schemas.microsoft.com/office/drawing/2014/main" id="{3B06D538-9264-FEED-2B61-B4CD06210A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1275D8" w14:textId="3BC3BAB7" w:rsidR="0005099A" w:rsidRDefault="0005099A" w:rsidP="0005099A">
      <w:pPr>
        <w:autoSpaceDE w:val="0"/>
        <w:autoSpaceDN w:val="0"/>
        <w:adjustRightInd w:val="0"/>
        <w:spacing w:after="200" w:line="240" w:lineRule="auto"/>
        <w:jc w:val="both"/>
        <w:rPr>
          <w:rFonts w:ascii="Arial" w:eastAsiaTheme="minorEastAsia" w:hAnsi="Arial" w:cs="Arial"/>
          <w:i/>
          <w:iCs/>
          <w:kern w:val="0"/>
          <w:sz w:val="20"/>
          <w:szCs w:val="20"/>
          <w:lang w:val="en-US"/>
          <w14:ligatures w14:val="none"/>
        </w:rPr>
      </w:pPr>
      <w:r w:rsidRPr="0005099A">
        <w:rPr>
          <w:rFonts w:ascii="Arial" w:eastAsiaTheme="minorEastAsia" w:hAnsi="Arial" w:cs="Arial"/>
          <w:i/>
          <w:iCs/>
          <w:kern w:val="0"/>
          <w:sz w:val="20"/>
          <w:szCs w:val="20"/>
          <w:lang w:val="en-US"/>
          <w14:ligatures w14:val="none"/>
        </w:rPr>
        <w:t xml:space="preserve"> Source: Primary Survey</w:t>
      </w:r>
    </w:p>
    <w:p w14:paraId="141BFDAB" w14:textId="77777777" w:rsidR="00C3200A" w:rsidRDefault="00C3200A" w:rsidP="00C3200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r w:rsidRPr="0005099A">
        <w:rPr>
          <w:rFonts w:ascii="Arial" w:eastAsiaTheme="minorEastAsia" w:hAnsi="Arial" w:cs="Arial"/>
          <w:b/>
          <w:bCs/>
          <w:kern w:val="0"/>
          <w:sz w:val="20"/>
          <w:szCs w:val="20"/>
          <w:lang w:val="en-US"/>
          <w14:ligatures w14:val="none"/>
        </w:rPr>
        <w:t>Figure 4 Coping Mechanism</w:t>
      </w:r>
    </w:p>
    <w:p w14:paraId="58A917BB" w14:textId="77777777" w:rsidR="0045587F" w:rsidRDefault="0045587F" w:rsidP="00C3200A">
      <w:pPr>
        <w:autoSpaceDE w:val="0"/>
        <w:autoSpaceDN w:val="0"/>
        <w:adjustRightInd w:val="0"/>
        <w:spacing w:after="200" w:line="240" w:lineRule="auto"/>
        <w:jc w:val="both"/>
        <w:rPr>
          <w:rFonts w:ascii="Arial" w:eastAsiaTheme="minorEastAsia" w:hAnsi="Arial" w:cs="Arial"/>
          <w:b/>
          <w:bCs/>
          <w:kern w:val="0"/>
          <w:sz w:val="20"/>
          <w:szCs w:val="20"/>
          <w:lang w:val="en-US"/>
          <w14:ligatures w14:val="none"/>
        </w:rPr>
      </w:pPr>
    </w:p>
    <w:p w14:paraId="2603CDCB" w14:textId="77777777" w:rsidR="0045587F" w:rsidRPr="0005099A" w:rsidRDefault="0045587F" w:rsidP="00C3200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002BFF6B" w14:textId="089198F7" w:rsidR="004D237E" w:rsidRPr="00420294" w:rsidRDefault="004D237E" w:rsidP="004D237E">
      <w:pPr>
        <w:keepNext/>
        <w:spacing w:after="0" w:line="240" w:lineRule="auto"/>
        <w:jc w:val="both"/>
        <w:rPr>
          <w:rFonts w:ascii="Arial" w:eastAsia="Times New Roman" w:hAnsi="Arial" w:cs="Arial"/>
          <w:b/>
          <w:caps/>
          <w:kern w:val="0"/>
          <w:szCs w:val="20"/>
          <w:lang w:val="en-US"/>
          <w14:ligatures w14:val="none"/>
        </w:rPr>
      </w:pPr>
      <w:r>
        <w:rPr>
          <w:rFonts w:ascii="Arial" w:eastAsia="Times New Roman" w:hAnsi="Arial" w:cs="Arial"/>
          <w:b/>
          <w:caps/>
          <w:kern w:val="0"/>
          <w:szCs w:val="20"/>
          <w:lang w:val="en-US"/>
          <w14:ligatures w14:val="none"/>
        </w:rPr>
        <w:lastRenderedPageBreak/>
        <w:t>5</w:t>
      </w:r>
      <w:r w:rsidRPr="00420294">
        <w:rPr>
          <w:rFonts w:ascii="Arial" w:eastAsia="Times New Roman" w:hAnsi="Arial" w:cs="Arial"/>
          <w:b/>
          <w:caps/>
          <w:kern w:val="0"/>
          <w:szCs w:val="20"/>
          <w:lang w:val="en-US"/>
          <w14:ligatures w14:val="none"/>
        </w:rPr>
        <w:t>. Conclusion</w:t>
      </w:r>
    </w:p>
    <w:p w14:paraId="15B3FCDB" w14:textId="77777777" w:rsidR="004D237E" w:rsidRDefault="004D237E"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p>
    <w:p w14:paraId="40E9CA1D"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Out-of-pocket (OOP) healthcare expenditure emerges as a predominant financial burden for elderly households, with 92% of surveyed households incurring such expenses. The data indicates substantial financial strain, as median and mean OOP expenditures are ₹2000 and ₹3412.35, respectively. Moreover, the skewed distribution of OOP expenditure, confirmed by normality tests, highlights significant disparities in healthcare spending. Components like medication purchases, diagnostic tests, and travel costs were identified as major contributors to OOP expenses, emphasizing the multifaceted demands of aging-related healthcare needs.</w:t>
      </w:r>
    </w:p>
    <w:p w14:paraId="63FB8C3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The study’s analysis of catastrophic health expenditure reveals the alarming financial vulnerability of elderly households. Approximately 38.06% of households experience catastrophic spending at the lowest threshold (5% of income), with the proportion decreasing as thresholds rise. Comparisons with previous studies corroborate the substantial impact of healthcare costs, particularly for elderly populations. Catastrophic expenditure not only disrupts household financial stability but also risks pushing families into poverty.</w:t>
      </w:r>
    </w:p>
    <w:p w14:paraId="443EA6A5"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Health insurance plays a critical role in mitigating financial risks, with 75.37% of surveyed households reporting enrolment in schemes such as the Rashtriya </w:t>
      </w:r>
      <w:proofErr w:type="spellStart"/>
      <w:r w:rsidRPr="0005099A">
        <w:rPr>
          <w:rFonts w:ascii="Arial" w:eastAsiaTheme="minorEastAsia" w:hAnsi="Arial" w:cs="Arial"/>
          <w:kern w:val="0"/>
          <w:sz w:val="20"/>
          <w:szCs w:val="20"/>
          <w:lang w:val="en-US"/>
          <w14:ligatures w14:val="none"/>
        </w:rPr>
        <w:t>Swasthya</w:t>
      </w:r>
      <w:proofErr w:type="spellEnd"/>
      <w:r w:rsidRPr="0005099A">
        <w:rPr>
          <w:rFonts w:ascii="Arial" w:eastAsiaTheme="minorEastAsia" w:hAnsi="Arial" w:cs="Arial"/>
          <w:kern w:val="0"/>
          <w:sz w:val="20"/>
          <w:szCs w:val="20"/>
          <w:lang w:val="en-US"/>
          <w14:ligatures w14:val="none"/>
        </w:rPr>
        <w:t xml:space="preserve"> Bima Yojana (RSBY) and state-specific programs like CHIS. Despite significant progress in health insurance coverage, gaps persist, particularly among low-income households and those without formal employment-linked insurance benefits. The findings underscore the need for expanded coverage and more inclusive policies to reduce financial barriers to healthcare access.</w:t>
      </w:r>
    </w:p>
    <w:p w14:paraId="328BD62B" w14:textId="77777777" w:rsidR="0005099A" w:rsidRP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Coping mechanisms employed by elderly households reveal a heavy reliance on income management, savings, and external support, including family assistance and social security schemes. However, the adequacy of these measures is variable, with many households still facing substantial financial challenges. The study highlights the importance of strengthening safety nets and ensuring equitable access to healthcare services.</w:t>
      </w:r>
    </w:p>
    <w:p w14:paraId="39A3FB60" w14:textId="5833308E" w:rsidR="0005099A" w:rsidRDefault="0005099A"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05099A">
        <w:rPr>
          <w:rFonts w:ascii="Arial" w:eastAsiaTheme="minorEastAsia" w:hAnsi="Arial" w:cs="Arial"/>
          <w:kern w:val="0"/>
          <w:sz w:val="20"/>
          <w:szCs w:val="20"/>
          <w:lang w:val="en-US"/>
          <w14:ligatures w14:val="none"/>
        </w:rPr>
        <w:t xml:space="preserve">In conclusion, the study provides a comprehensive understanding </w:t>
      </w:r>
      <w:r w:rsidR="000C3DBD">
        <w:rPr>
          <w:rFonts w:ascii="Arial" w:eastAsiaTheme="minorEastAsia" w:hAnsi="Arial" w:cs="Arial"/>
          <w:kern w:val="0"/>
          <w:sz w:val="20"/>
          <w:szCs w:val="20"/>
          <w:lang w:val="en-US"/>
          <w14:ligatures w14:val="none"/>
        </w:rPr>
        <w:t xml:space="preserve">of </w:t>
      </w:r>
      <w:r w:rsidRPr="0005099A">
        <w:rPr>
          <w:rFonts w:ascii="Arial" w:eastAsiaTheme="minorEastAsia" w:hAnsi="Arial" w:cs="Arial"/>
          <w:kern w:val="0"/>
          <w:sz w:val="20"/>
          <w:szCs w:val="20"/>
          <w:lang w:val="en-US"/>
          <w14:ligatures w14:val="none"/>
        </w:rPr>
        <w:t>the financial implications of OOP expenditure among elderly households in Kerala. The findings call for policy interventions to enhance health insurance penetration, address inequities in healthcare access, and reduce the financial burden on vulnerable elderly populations. Expanding government support, promoting preventive healthcare, and integrating comprehensive elder-specific policies are imperative to ensure sustainable and equitable healthcare systems for the aging population.</w:t>
      </w:r>
    </w:p>
    <w:p w14:paraId="22C45408" w14:textId="1043C91A" w:rsidR="00F437FB" w:rsidRDefault="00256903" w:rsidP="0005099A">
      <w:pPr>
        <w:autoSpaceDE w:val="0"/>
        <w:autoSpaceDN w:val="0"/>
        <w:adjustRightInd w:val="0"/>
        <w:spacing w:after="200" w:line="240" w:lineRule="auto"/>
        <w:jc w:val="both"/>
        <w:rPr>
          <w:rFonts w:ascii="Arial" w:hAnsi="Arial" w:cs="Arial"/>
          <w:b/>
        </w:rPr>
      </w:pPr>
      <w:r w:rsidRPr="00256903">
        <w:rPr>
          <w:rFonts w:ascii="Arial" w:hAnsi="Arial" w:cs="Arial"/>
          <w:b/>
        </w:rPr>
        <w:t>CONSENT</w:t>
      </w:r>
    </w:p>
    <w:p w14:paraId="62957D60" w14:textId="142F525B" w:rsidR="00256903" w:rsidRPr="00256903" w:rsidRDefault="00256903" w:rsidP="0005099A">
      <w:pPr>
        <w:autoSpaceDE w:val="0"/>
        <w:autoSpaceDN w:val="0"/>
        <w:adjustRightInd w:val="0"/>
        <w:spacing w:after="200" w:line="240" w:lineRule="auto"/>
        <w:jc w:val="both"/>
        <w:rPr>
          <w:rFonts w:ascii="Arial" w:eastAsiaTheme="minorEastAsia" w:hAnsi="Arial" w:cs="Arial"/>
          <w:b/>
          <w:kern w:val="0"/>
          <w:sz w:val="20"/>
          <w:szCs w:val="20"/>
          <w:lang w:val="en-US"/>
          <w14:ligatures w14:val="none"/>
        </w:rPr>
      </w:pPr>
      <w:r w:rsidRPr="00256903">
        <w:rPr>
          <w:rFonts w:ascii="Arial" w:eastAsia="Times New Roman" w:hAnsi="Arial" w:cs="Arial"/>
          <w:kern w:val="0"/>
          <w:sz w:val="20"/>
          <w:szCs w:val="20"/>
          <w:lang w:val="en-US"/>
          <w14:ligatures w14:val="none"/>
        </w:rPr>
        <w:t>Authors declare that consent has been obtained from the respondents for publication of the data collected</w:t>
      </w:r>
      <w:r>
        <w:rPr>
          <w:rFonts w:ascii="Arial" w:eastAsia="Times New Roman" w:hAnsi="Arial" w:cs="Arial"/>
          <w:kern w:val="0"/>
          <w:sz w:val="20"/>
          <w:szCs w:val="20"/>
          <w:lang w:val="en-US"/>
          <w14:ligatures w14:val="none"/>
        </w:rPr>
        <w:t>. Assurance has been given that the information collected will remain confidential and will be used strictly for academic purpose only.</w:t>
      </w:r>
    </w:p>
    <w:p w14:paraId="0E26F5CF" w14:textId="77777777" w:rsidR="00F437FB" w:rsidRDefault="00F437FB" w:rsidP="0005099A">
      <w:pPr>
        <w:autoSpaceDE w:val="0"/>
        <w:autoSpaceDN w:val="0"/>
        <w:adjustRightInd w:val="0"/>
        <w:spacing w:after="200" w:line="240" w:lineRule="auto"/>
        <w:jc w:val="both"/>
        <w:rPr>
          <w:rFonts w:ascii="Arial" w:eastAsiaTheme="minorEastAsia" w:hAnsi="Arial" w:cs="Arial"/>
          <w:b/>
          <w:bCs/>
          <w:kern w:val="0"/>
          <w14:ligatures w14:val="none"/>
        </w:rPr>
      </w:pPr>
    </w:p>
    <w:p w14:paraId="25238A8E" w14:textId="0100937E" w:rsidR="0024298F" w:rsidRDefault="0024298F" w:rsidP="0005099A">
      <w:pPr>
        <w:autoSpaceDE w:val="0"/>
        <w:autoSpaceDN w:val="0"/>
        <w:adjustRightInd w:val="0"/>
        <w:spacing w:after="200" w:line="240" w:lineRule="auto"/>
        <w:jc w:val="both"/>
        <w:rPr>
          <w:rFonts w:ascii="Arial" w:eastAsiaTheme="minorEastAsia" w:hAnsi="Arial" w:cs="Arial"/>
          <w:kern w:val="0"/>
          <w:sz w:val="20"/>
          <w:szCs w:val="20"/>
          <w14:ligatures w14:val="none"/>
        </w:rPr>
      </w:pPr>
      <w:r w:rsidRPr="0024298F">
        <w:rPr>
          <w:rFonts w:ascii="Arial" w:eastAsiaTheme="minorEastAsia" w:hAnsi="Arial" w:cs="Arial"/>
          <w:b/>
          <w:bCs/>
          <w:kern w:val="0"/>
          <w14:ligatures w14:val="none"/>
        </w:rPr>
        <w:t>DISCLAIMER (ARTIFICIAL INTELLIGENCE)</w:t>
      </w:r>
    </w:p>
    <w:p w14:paraId="0DF87C87" w14:textId="7E189B22" w:rsidR="0005099A" w:rsidRPr="0005099A" w:rsidRDefault="0024298F" w:rsidP="0005099A">
      <w:pPr>
        <w:autoSpaceDE w:val="0"/>
        <w:autoSpaceDN w:val="0"/>
        <w:adjustRightInd w:val="0"/>
        <w:spacing w:after="200" w:line="240" w:lineRule="auto"/>
        <w:jc w:val="both"/>
        <w:rPr>
          <w:rFonts w:ascii="Arial" w:eastAsiaTheme="minorEastAsia" w:hAnsi="Arial" w:cs="Arial"/>
          <w:kern w:val="0"/>
          <w:sz w:val="20"/>
          <w:szCs w:val="20"/>
          <w:lang w:val="en-US"/>
          <w14:ligatures w14:val="none"/>
        </w:rPr>
      </w:pPr>
      <w:r w:rsidRPr="0024298F">
        <w:rPr>
          <w:rFonts w:ascii="Arial" w:eastAsiaTheme="minorEastAsia" w:hAnsi="Arial" w:cs="Arial"/>
          <w:kern w:val="0"/>
          <w:sz w:val="20"/>
          <w:szCs w:val="20"/>
          <w14:ligatures w14:val="none"/>
        </w:rPr>
        <w:t xml:space="preserve">Authors hereby declare that NO generative AI </w:t>
      </w:r>
      <w:r w:rsidR="00C84203" w:rsidRPr="0024298F">
        <w:rPr>
          <w:rFonts w:ascii="Arial" w:eastAsiaTheme="minorEastAsia" w:hAnsi="Arial" w:cs="Arial"/>
          <w:kern w:val="0"/>
          <w:sz w:val="20"/>
          <w:szCs w:val="20"/>
          <w14:ligatures w14:val="none"/>
        </w:rPr>
        <w:t>technologies such as</w:t>
      </w:r>
      <w:r w:rsidRPr="0024298F">
        <w:rPr>
          <w:rFonts w:ascii="Arial" w:eastAsiaTheme="minorEastAsia" w:hAnsi="Arial" w:cs="Arial"/>
          <w:kern w:val="0"/>
          <w:sz w:val="20"/>
          <w:szCs w:val="20"/>
          <w14:ligatures w14:val="none"/>
        </w:rPr>
        <w:t xml:space="preserve"> Large Language Models (ChatGPT, COPILOT, etc) and text-to-image generators </w:t>
      </w:r>
      <w:r w:rsidR="003139A5" w:rsidRPr="0024298F">
        <w:rPr>
          <w:rFonts w:ascii="Arial" w:eastAsiaTheme="minorEastAsia" w:hAnsi="Arial" w:cs="Arial"/>
          <w:kern w:val="0"/>
          <w:sz w:val="20"/>
          <w:szCs w:val="20"/>
          <w14:ligatures w14:val="none"/>
        </w:rPr>
        <w:t>have been used</w:t>
      </w:r>
      <w:r w:rsidRPr="0024298F">
        <w:rPr>
          <w:rFonts w:ascii="Arial" w:eastAsiaTheme="minorEastAsia" w:hAnsi="Arial" w:cs="Arial"/>
          <w:kern w:val="0"/>
          <w:sz w:val="20"/>
          <w:szCs w:val="20"/>
          <w14:ligatures w14:val="none"/>
        </w:rPr>
        <w:t xml:space="preserve"> during writing or editing of this manuscript.</w:t>
      </w:r>
    </w:p>
    <w:p w14:paraId="2047020B" w14:textId="77777777" w:rsidR="0020338F" w:rsidRPr="00BC4F01" w:rsidRDefault="0020338F" w:rsidP="00BC4F01">
      <w:pPr>
        <w:spacing w:after="0" w:line="240" w:lineRule="auto"/>
        <w:jc w:val="both"/>
        <w:rPr>
          <w:rFonts w:ascii="Arial" w:eastAsia="Times New Roman" w:hAnsi="Arial" w:cs="Arial"/>
          <w:kern w:val="0"/>
          <w:sz w:val="20"/>
          <w:szCs w:val="20"/>
          <w:lang w:val="en-US"/>
          <w14:ligatures w14:val="none"/>
        </w:rPr>
      </w:pPr>
    </w:p>
    <w:p w14:paraId="06F082C9" w14:textId="77777777" w:rsid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4E532B9" w14:textId="49882497" w:rsidR="00420294" w:rsidRDefault="00420294" w:rsidP="00420294">
      <w:pPr>
        <w:keepNext/>
        <w:spacing w:after="0" w:line="240" w:lineRule="auto"/>
        <w:jc w:val="both"/>
        <w:rPr>
          <w:rFonts w:ascii="Arial" w:eastAsia="Times New Roman" w:hAnsi="Arial" w:cs="Arial"/>
          <w:b/>
          <w:caps/>
          <w:kern w:val="0"/>
          <w:szCs w:val="20"/>
          <w:lang w:val="en-US"/>
          <w14:ligatures w14:val="none"/>
        </w:rPr>
      </w:pPr>
      <w:r w:rsidRPr="00420294">
        <w:rPr>
          <w:rFonts w:ascii="Arial" w:eastAsia="Times New Roman" w:hAnsi="Arial" w:cs="Arial"/>
          <w:b/>
          <w:caps/>
          <w:kern w:val="0"/>
          <w:szCs w:val="20"/>
          <w:lang w:val="en-US"/>
          <w14:ligatures w14:val="none"/>
        </w:rPr>
        <w:t>References</w:t>
      </w:r>
    </w:p>
    <w:p w14:paraId="38653F70" w14:textId="77777777" w:rsidR="0024298F" w:rsidRPr="00420294" w:rsidRDefault="0024298F" w:rsidP="00420294">
      <w:pPr>
        <w:keepNext/>
        <w:spacing w:after="0" w:line="240" w:lineRule="auto"/>
        <w:jc w:val="both"/>
        <w:rPr>
          <w:rFonts w:ascii="Arial" w:eastAsia="Times New Roman" w:hAnsi="Arial" w:cs="Arial"/>
          <w:b/>
          <w:caps/>
          <w:kern w:val="0"/>
          <w:szCs w:val="20"/>
          <w:lang w:val="en-US"/>
          <w14:ligatures w14:val="none"/>
        </w:rPr>
      </w:pPr>
    </w:p>
    <w:p w14:paraId="27D7C1B2" w14:textId="77777777" w:rsidR="00420294" w:rsidRPr="00420294" w:rsidRDefault="00420294" w:rsidP="00420294">
      <w:pPr>
        <w:keepNext/>
        <w:spacing w:after="0" w:line="240" w:lineRule="auto"/>
        <w:jc w:val="both"/>
        <w:rPr>
          <w:rFonts w:ascii="Arial" w:eastAsia="Times New Roman" w:hAnsi="Arial" w:cs="Arial"/>
          <w:b/>
          <w:caps/>
          <w:kern w:val="0"/>
          <w:szCs w:val="20"/>
          <w:lang w:val="en-US"/>
          <w14:ligatures w14:val="none"/>
        </w:rPr>
      </w:pPr>
    </w:p>
    <w:p w14:paraId="4DBA171D" w14:textId="77777777" w:rsidR="004901E5" w:rsidRDefault="004901E5" w:rsidP="00C84203">
      <w:pPr>
        <w:spacing w:after="0" w:line="240" w:lineRule="auto"/>
        <w:ind w:left="720" w:hanging="720"/>
        <w:jc w:val="both"/>
        <w:rPr>
          <w:rFonts w:ascii="Helvetica" w:eastAsia="Times New Roman" w:hAnsi="Helvetica" w:cs="Times New Roman"/>
          <w:kern w:val="0"/>
          <w:sz w:val="20"/>
          <w:szCs w:val="20"/>
          <w:lang w:val="en-US"/>
          <w14:ligatures w14:val="none"/>
        </w:rPr>
      </w:pPr>
      <w:bookmarkStart w:id="2" w:name="_Hlk205879444"/>
      <w:r w:rsidRPr="00011299">
        <w:rPr>
          <w:rFonts w:ascii="Helvetica" w:eastAsia="Times New Roman" w:hAnsi="Helvetica" w:cs="Times New Roman"/>
          <w:kern w:val="0"/>
          <w:sz w:val="20"/>
          <w:szCs w:val="20"/>
          <w14:ligatures w14:val="none"/>
        </w:rPr>
        <w:t xml:space="preserve">United Nations. (2024). World Population Prospects 2024: Highlights. Retrieved from </w:t>
      </w:r>
      <w:hyperlink r:id="rId12" w:history="1">
        <w:r w:rsidRPr="00011299">
          <w:rPr>
            <w:rStyle w:val="Hyperlink"/>
            <w:rFonts w:ascii="Helvetica" w:eastAsia="Times New Roman" w:hAnsi="Helvetica" w:cs="Times New Roman"/>
            <w:kern w:val="0"/>
            <w:sz w:val="20"/>
            <w:szCs w:val="20"/>
            <w14:ligatures w14:val="none"/>
          </w:rPr>
          <w:t>https://population.un.org/wpp/Publications/Files/WPP2024_Highlights.pdf</w:t>
        </w:r>
      </w:hyperlink>
      <w:bookmarkEnd w:id="2"/>
    </w:p>
    <w:p w14:paraId="74BC0271"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177C8532" w14:textId="699D89CF" w:rsidR="00011299" w:rsidRDefault="00011299" w:rsidP="00C84203">
      <w:pPr>
        <w:spacing w:after="0" w:line="240" w:lineRule="auto"/>
        <w:ind w:left="720" w:hanging="720"/>
        <w:jc w:val="both"/>
        <w:rPr>
          <w:rFonts w:ascii="Helvetica" w:eastAsia="Times New Roman" w:hAnsi="Helvetica" w:cs="Times New Roman"/>
          <w:kern w:val="0"/>
          <w:sz w:val="20"/>
          <w:szCs w:val="20"/>
          <w14:ligatures w14:val="none"/>
        </w:rPr>
      </w:pPr>
      <w:r w:rsidRPr="00011299">
        <w:rPr>
          <w:rFonts w:ascii="Helvetica" w:eastAsia="Times New Roman" w:hAnsi="Helvetica" w:cs="Times New Roman"/>
          <w:kern w:val="0"/>
          <w:sz w:val="20"/>
          <w:szCs w:val="20"/>
          <w14:ligatures w14:val="none"/>
        </w:rPr>
        <w:t xml:space="preserve">United Nations Department of Economic and Social Affairs, Population Division. (2022). World Population Prospects 2022: Summary of Results. </w:t>
      </w:r>
      <w:hyperlink r:id="rId13" w:history="1">
        <w:r w:rsidR="00364CD4" w:rsidRPr="00011299">
          <w:rPr>
            <w:rStyle w:val="Hyperlink"/>
            <w:rFonts w:ascii="Helvetica" w:eastAsia="Times New Roman" w:hAnsi="Helvetica" w:cs="Times New Roman"/>
            <w:kern w:val="0"/>
            <w:sz w:val="20"/>
            <w:szCs w:val="20"/>
            <w14:ligatures w14:val="none"/>
          </w:rPr>
          <w:t>https://www.un.org/development/desa/pd/content/World-Population-Prospects-2022</w:t>
        </w:r>
      </w:hyperlink>
    </w:p>
    <w:p w14:paraId="31350A49" w14:textId="77777777" w:rsidR="00364CD4" w:rsidRPr="00011299" w:rsidRDefault="00364CD4" w:rsidP="00C84203">
      <w:pPr>
        <w:spacing w:after="0" w:line="240" w:lineRule="auto"/>
        <w:ind w:left="720" w:hanging="720"/>
        <w:jc w:val="both"/>
        <w:rPr>
          <w:rFonts w:ascii="Helvetica" w:eastAsia="Times New Roman" w:hAnsi="Helvetica" w:cs="Times New Roman"/>
          <w:kern w:val="0"/>
          <w:sz w:val="20"/>
          <w:szCs w:val="20"/>
          <w14:ligatures w14:val="none"/>
        </w:rPr>
      </w:pPr>
    </w:p>
    <w:p w14:paraId="2DE32093" w14:textId="19B810F5"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bookmarkStart w:id="3" w:name="_Hlk205286003"/>
      <w:r w:rsidRPr="004901E5">
        <w:rPr>
          <w:rFonts w:ascii="Helvetica" w:eastAsia="Times New Roman" w:hAnsi="Helvetica" w:cs="Times New Roman"/>
          <w:kern w:val="0"/>
          <w:sz w:val="20"/>
          <w:szCs w:val="20"/>
          <w14:ligatures w14:val="none"/>
        </w:rPr>
        <w:t>United Nations Population Fund. (2023). India Ageing Report, Caring for Our Elders: Institutional Responses. UNFPA, New Delhi, India.</w:t>
      </w:r>
    </w:p>
    <w:bookmarkEnd w:id="3"/>
    <w:p w14:paraId="5145D8F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427CAF2" w14:textId="5A92EAC8" w:rsidR="004901E5" w:rsidRPr="004901E5"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 xml:space="preserve">WHO. (2018). Ageing and Health. </w:t>
      </w:r>
      <w:hyperlink r:id="rId14" w:history="1">
        <w:r w:rsidRPr="004901E5">
          <w:rPr>
            <w:rStyle w:val="Hyperlink"/>
            <w:rFonts w:ascii="Helvetica" w:eastAsia="Times New Roman" w:hAnsi="Helvetica" w:cs="Times New Roman"/>
            <w:kern w:val="0"/>
            <w:sz w:val="20"/>
            <w:szCs w:val="20"/>
            <w14:ligatures w14:val="none"/>
          </w:rPr>
          <w:t>https://www.who.int/news-room/fact-sheets/detail/ageing-and-health</w:t>
        </w:r>
      </w:hyperlink>
    </w:p>
    <w:p w14:paraId="11CBF908"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D3A652" w14:textId="7FA2560C"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Rajan, S. I. &amp; Mishra, U.S. (2020). Senior Citizens of India: Emerging Challenges and Concerns. Springer Singapore.</w:t>
      </w:r>
    </w:p>
    <w:p w14:paraId="57EB3D64"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311F6F02" w14:textId="591D6652" w:rsidR="004901E5" w:rsidRPr="00C84203" w:rsidRDefault="004901E5" w:rsidP="00364CD4">
      <w:pPr>
        <w:spacing w:after="0" w:line="240" w:lineRule="auto"/>
        <w:ind w:left="720" w:hanging="720"/>
        <w:jc w:val="both"/>
        <w:rPr>
          <w:rFonts w:ascii="Helvetica" w:eastAsia="Times New Roman" w:hAnsi="Helvetica" w:cs="Times New Roman"/>
          <w:kern w:val="0"/>
          <w:sz w:val="20"/>
          <w:szCs w:val="20"/>
          <w14:ligatures w14:val="none"/>
        </w:rPr>
      </w:pPr>
      <w:r w:rsidRPr="004901E5">
        <w:rPr>
          <w:rFonts w:ascii="Helvetica" w:eastAsia="Times New Roman" w:hAnsi="Helvetica" w:cs="Times New Roman"/>
          <w:kern w:val="0"/>
          <w:sz w:val="20"/>
          <w:szCs w:val="20"/>
          <w14:ligatures w14:val="none"/>
        </w:rPr>
        <w:t>Government of Kerala. (2017). Economic Review 2017, Kerala State Planning Board, Thiruvananthapuram. spb.gov.in.</w:t>
      </w:r>
    </w:p>
    <w:p w14:paraId="4E70521E"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0F74D968" w14:textId="769F0ADA"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Kutty, V. R. (2000). Historical analysis of the development of health care facilities in Kerala State, India. Health Policy And Planning, 15(1), 103–109.</w:t>
      </w:r>
    </w:p>
    <w:p w14:paraId="35996ED0"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AA0D9CC" w14:textId="460B2BBB"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 xml:space="preserve">United Nations Population Fund (2013). Building a Knowledge Base on Population Ageing in India: Status of Elderly in Kerala ,2011. UNFPA, New Delhi, </w:t>
      </w:r>
      <w:proofErr w:type="gramStart"/>
      <w:r w:rsidRPr="00BE07E2">
        <w:rPr>
          <w:rFonts w:ascii="Helvetica" w:eastAsia="Times New Roman" w:hAnsi="Helvetica" w:cs="Times New Roman"/>
          <w:kern w:val="0"/>
          <w:sz w:val="20"/>
          <w:szCs w:val="20"/>
          <w14:ligatures w14:val="none"/>
        </w:rPr>
        <w:t>India..</w:t>
      </w:r>
      <w:proofErr w:type="gramEnd"/>
      <w:r w:rsidRPr="00BE07E2">
        <w:rPr>
          <w:rFonts w:ascii="Helvetica" w:eastAsia="Times New Roman" w:hAnsi="Helvetica" w:cs="Times New Roman"/>
          <w:kern w:val="0"/>
          <w:sz w:val="20"/>
          <w:szCs w:val="20"/>
          <w14:ligatures w14:val="none"/>
        </w:rPr>
        <w:t> </w:t>
      </w:r>
    </w:p>
    <w:p w14:paraId="7115299F" w14:textId="77777777" w:rsidR="00C84203" w:rsidRDefault="00C84203" w:rsidP="00364CD4">
      <w:pPr>
        <w:spacing w:after="0" w:line="240" w:lineRule="auto"/>
        <w:ind w:left="720" w:hanging="720"/>
        <w:jc w:val="both"/>
        <w:rPr>
          <w:rFonts w:ascii="Helvetica" w:eastAsia="Times New Roman" w:hAnsi="Helvetica" w:cs="Times New Roman"/>
          <w:kern w:val="0"/>
          <w:sz w:val="20"/>
          <w:szCs w:val="20"/>
          <w14:ligatures w14:val="none"/>
        </w:rPr>
      </w:pPr>
    </w:p>
    <w:p w14:paraId="78B3F5C5" w14:textId="5A3CFF26"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Rajeev, K., K., A., Suresh, A., &amp; Salim, A. (2023). Study on health seeking behaviour of elderly population for chronic diseases in a rural area of northern Kerala. International Journal of Research in Medical Sciences. </w:t>
      </w:r>
      <w:hyperlink r:id="rId15" w:history="1">
        <w:r w:rsidRPr="00C84203">
          <w:rPr>
            <w:rStyle w:val="Hyperlink"/>
            <w:rFonts w:ascii="Helvetica" w:eastAsia="Times New Roman" w:hAnsi="Helvetica" w:cs="Times New Roman"/>
            <w:kern w:val="0"/>
            <w:sz w:val="20"/>
            <w:szCs w:val="20"/>
            <w14:ligatures w14:val="none"/>
          </w:rPr>
          <w:t>https://doi.org/10.18203/2320-6012.ijrms20232418</w:t>
        </w:r>
      </w:hyperlink>
      <w:r w:rsidRPr="00BE07E2">
        <w:rPr>
          <w:rFonts w:ascii="Helvetica" w:eastAsia="Times New Roman" w:hAnsi="Helvetica" w:cs="Times New Roman"/>
          <w:kern w:val="0"/>
          <w:sz w:val="20"/>
          <w:szCs w:val="20"/>
          <w14:ligatures w14:val="none"/>
        </w:rPr>
        <w:t xml:space="preserve"> </w:t>
      </w:r>
    </w:p>
    <w:p w14:paraId="62A2D50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736B7D4" w14:textId="334E6C70" w:rsidR="00BE07E2" w:rsidRPr="00BE07E2"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Doorslaer, E.N. (2001). Quantifying Fairness, Catastrophe and Impoverishment with Application to Vietnam 1993-98. Policy Research Paper 2715, World Bank Development Research Group.</w:t>
      </w:r>
    </w:p>
    <w:p w14:paraId="7936F5F6" w14:textId="77777777" w:rsidR="00BE07E2" w:rsidRPr="00C84203" w:rsidRDefault="00BE07E2" w:rsidP="00364CD4">
      <w:pPr>
        <w:spacing w:after="0" w:line="240" w:lineRule="auto"/>
        <w:ind w:left="720" w:hanging="720"/>
        <w:jc w:val="both"/>
        <w:rPr>
          <w:rFonts w:ascii="Helvetica" w:eastAsia="Times New Roman" w:hAnsi="Helvetica" w:cs="Times New Roman"/>
          <w:kern w:val="0"/>
          <w:sz w:val="20"/>
          <w:szCs w:val="20"/>
          <w14:ligatures w14:val="none"/>
        </w:rPr>
      </w:pPr>
      <w:r w:rsidRPr="00BE07E2">
        <w:rPr>
          <w:rFonts w:ascii="Helvetica" w:eastAsia="Times New Roman" w:hAnsi="Helvetica" w:cs="Times New Roman"/>
          <w:kern w:val="0"/>
          <w:sz w:val="20"/>
          <w:szCs w:val="20"/>
          <w14:ligatures w14:val="none"/>
        </w:rPr>
        <w:t>Wagstaff, A., and Van Doorslaer. (2003). Catastrophe and Impoverishment in Paying for Health Care: With applications from Vietnam 1993-98. Health Economics, 12, 921-34.</w:t>
      </w:r>
    </w:p>
    <w:p w14:paraId="7AC967C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42C9041" w14:textId="1BD2A324" w:rsidR="00BE07E2" w:rsidRPr="00C84203" w:rsidRDefault="000D766E"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Xu, K., Evans, D. B., Carrin, G., Aguilar-Rivera, A. M., Musgrove, P., &amp; Evans, T. (2007). Protecting households from catastrophic health spending. Health Affairs, 26(4), 972-983</w:t>
      </w:r>
    </w:p>
    <w:p w14:paraId="21697421"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6437ED7" w14:textId="5CFD9E72"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Flores, G., Krishnakumar, J., O’Donnell, O., &amp; van Doorslaer, E. (2018). Coping with health-care costs: implications for the measurement of catastrophic expenditures and poverty. Health Economics, 27(5), e1-e14.</w:t>
      </w:r>
    </w:p>
    <w:p w14:paraId="146E4D9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E0B8587" w14:textId="0E2DF720" w:rsidR="000A0EB6" w:rsidRPr="000A0EB6"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Berman, P., Ahuja, R., &amp; Bhandari, L. (2010). The impoverishing effect of healthcare payments in India: new methodology and findings. Economic &amp; Political Weekly, 45(16), 65–71.</w:t>
      </w:r>
    </w:p>
    <w:p w14:paraId="1C2EE8DD"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14FB663" w14:textId="66A3277E"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Doorslaer, E. V., Odonnel, R. P., Eliya, R., Aparna, A.S., Adhikari, S., Garg, C.,</w:t>
      </w:r>
      <w:proofErr w:type="spellStart"/>
      <w:r w:rsidRPr="000A0EB6">
        <w:rPr>
          <w:rFonts w:ascii="Helvetica" w:eastAsia="Times New Roman" w:hAnsi="Helvetica" w:cs="Times New Roman"/>
          <w:kern w:val="0"/>
          <w:sz w:val="20"/>
          <w:szCs w:val="20"/>
          <w14:ligatures w14:val="none"/>
        </w:rPr>
        <w:t>Harbianto</w:t>
      </w:r>
      <w:proofErr w:type="spellEnd"/>
      <w:r w:rsidRPr="000A0EB6">
        <w:rPr>
          <w:rFonts w:ascii="Helvetica" w:eastAsia="Times New Roman" w:hAnsi="Helvetica" w:cs="Times New Roman"/>
          <w:kern w:val="0"/>
          <w:sz w:val="20"/>
          <w:szCs w:val="20"/>
          <w14:ligatures w14:val="none"/>
        </w:rPr>
        <w:t xml:space="preserve">, D., Herri, A.N., Huq, M. N., </w:t>
      </w:r>
      <w:proofErr w:type="spellStart"/>
      <w:r w:rsidRPr="000A0EB6">
        <w:rPr>
          <w:rFonts w:ascii="Helvetica" w:eastAsia="Times New Roman" w:hAnsi="Helvetica" w:cs="Times New Roman"/>
          <w:kern w:val="0"/>
          <w:sz w:val="20"/>
          <w:szCs w:val="20"/>
          <w14:ligatures w14:val="none"/>
        </w:rPr>
        <w:t>Ibragimovo</w:t>
      </w:r>
      <w:proofErr w:type="spellEnd"/>
      <w:r w:rsidRPr="000A0EB6">
        <w:rPr>
          <w:rFonts w:ascii="Helvetica" w:eastAsia="Times New Roman" w:hAnsi="Helvetica" w:cs="Times New Roman"/>
          <w:kern w:val="0"/>
          <w:sz w:val="20"/>
          <w:szCs w:val="20"/>
          <w14:ligatures w14:val="none"/>
        </w:rPr>
        <w:t xml:space="preserve">, S., Karan, A., Lee, T.J., Leung, G.M., Lu, J.F.R., </w:t>
      </w:r>
      <w:r w:rsidRPr="000A0EB6">
        <w:rPr>
          <w:rFonts w:ascii="Helvetica" w:eastAsia="Times New Roman" w:hAnsi="Helvetica" w:cs="Times New Roman"/>
          <w:kern w:val="0"/>
          <w:sz w:val="20"/>
          <w:szCs w:val="20"/>
          <w14:ligatures w14:val="none"/>
        </w:rPr>
        <w:lastRenderedPageBreak/>
        <w:t xml:space="preserve">Chiu, W.N., Pande, B.R., </w:t>
      </w:r>
      <w:proofErr w:type="spellStart"/>
      <w:r w:rsidRPr="000A0EB6">
        <w:rPr>
          <w:rFonts w:ascii="Helvetica" w:eastAsia="Times New Roman" w:hAnsi="Helvetica" w:cs="Times New Roman"/>
          <w:kern w:val="0"/>
          <w:sz w:val="20"/>
          <w:szCs w:val="20"/>
          <w14:ligatures w14:val="none"/>
        </w:rPr>
        <w:t>Raclis</w:t>
      </w:r>
      <w:proofErr w:type="spellEnd"/>
      <w:r w:rsidRPr="000A0EB6">
        <w:rPr>
          <w:rFonts w:ascii="Helvetica" w:eastAsia="Times New Roman" w:hAnsi="Helvetica" w:cs="Times New Roman"/>
          <w:kern w:val="0"/>
          <w:sz w:val="20"/>
          <w:szCs w:val="20"/>
          <w14:ligatures w14:val="none"/>
        </w:rPr>
        <w:t xml:space="preserve">, R., Tao, S., Tin, K., </w:t>
      </w:r>
      <w:proofErr w:type="spellStart"/>
      <w:r w:rsidRPr="000A0EB6">
        <w:rPr>
          <w:rFonts w:ascii="Helvetica" w:eastAsia="Times New Roman" w:hAnsi="Helvetica" w:cs="Times New Roman"/>
          <w:kern w:val="0"/>
          <w:sz w:val="20"/>
          <w:szCs w:val="20"/>
          <w14:ligatures w14:val="none"/>
        </w:rPr>
        <w:t>Tisayaticom</w:t>
      </w:r>
      <w:proofErr w:type="spellEnd"/>
      <w:r w:rsidRPr="000A0EB6">
        <w:rPr>
          <w:rFonts w:ascii="Helvetica" w:eastAsia="Times New Roman" w:hAnsi="Helvetica" w:cs="Times New Roman"/>
          <w:kern w:val="0"/>
          <w:sz w:val="20"/>
          <w:szCs w:val="20"/>
          <w14:ligatures w14:val="none"/>
        </w:rPr>
        <w:t xml:space="preserve">, K. L., </w:t>
      </w:r>
      <w:proofErr w:type="spellStart"/>
      <w:r w:rsidRPr="000A0EB6">
        <w:rPr>
          <w:rFonts w:ascii="Helvetica" w:eastAsia="Times New Roman" w:hAnsi="Helvetica" w:cs="Times New Roman"/>
          <w:kern w:val="0"/>
          <w:sz w:val="20"/>
          <w:szCs w:val="20"/>
          <w14:ligatures w14:val="none"/>
        </w:rPr>
        <w:t>Trisanantovo</w:t>
      </w:r>
      <w:proofErr w:type="spellEnd"/>
      <w:r w:rsidRPr="000A0EB6">
        <w:rPr>
          <w:rFonts w:ascii="Helvetica" w:eastAsia="Times New Roman" w:hAnsi="Helvetica" w:cs="Times New Roman"/>
          <w:kern w:val="0"/>
          <w:sz w:val="20"/>
          <w:szCs w:val="20"/>
          <w14:ligatures w14:val="none"/>
        </w:rPr>
        <w:t xml:space="preserve">, L., </w:t>
      </w:r>
      <w:proofErr w:type="spellStart"/>
      <w:r w:rsidRPr="000A0EB6">
        <w:rPr>
          <w:rFonts w:ascii="Helvetica" w:eastAsia="Times New Roman" w:hAnsi="Helvetica" w:cs="Times New Roman"/>
          <w:kern w:val="0"/>
          <w:sz w:val="20"/>
          <w:szCs w:val="20"/>
          <w14:ligatures w14:val="none"/>
        </w:rPr>
        <w:t>Vasavid</w:t>
      </w:r>
      <w:proofErr w:type="spellEnd"/>
      <w:r w:rsidRPr="000A0EB6">
        <w:rPr>
          <w:rFonts w:ascii="Helvetica" w:eastAsia="Times New Roman" w:hAnsi="Helvetica" w:cs="Times New Roman"/>
          <w:kern w:val="0"/>
          <w:sz w:val="20"/>
          <w:szCs w:val="20"/>
          <w14:ligatures w14:val="none"/>
        </w:rPr>
        <w:t xml:space="preserve">, C. and </w:t>
      </w:r>
      <w:proofErr w:type="spellStart"/>
      <w:r w:rsidRPr="000A0EB6">
        <w:rPr>
          <w:rFonts w:ascii="Helvetica" w:eastAsia="Times New Roman" w:hAnsi="Helvetica" w:cs="Times New Roman"/>
          <w:kern w:val="0"/>
          <w:sz w:val="20"/>
          <w:szCs w:val="20"/>
          <w14:ligatures w14:val="none"/>
        </w:rPr>
        <w:t>Zbae</w:t>
      </w:r>
      <w:proofErr w:type="spellEnd"/>
      <w:r w:rsidRPr="000A0EB6">
        <w:rPr>
          <w:rFonts w:ascii="Helvetica" w:eastAsia="Times New Roman" w:hAnsi="Helvetica" w:cs="Times New Roman"/>
          <w:kern w:val="0"/>
          <w:sz w:val="20"/>
          <w:szCs w:val="20"/>
          <w14:ligatures w14:val="none"/>
        </w:rPr>
        <w:t>, Y.,(2007). Catastrophic Payments for Health Care in Asia. Health Economics, 16, 1159-1184.</w:t>
      </w:r>
    </w:p>
    <w:p w14:paraId="234CEFD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B9F1C36" w14:textId="4EA822D4" w:rsidR="000A0EB6" w:rsidRPr="00C84203" w:rsidRDefault="000A0EB6" w:rsidP="00364CD4">
      <w:pPr>
        <w:spacing w:after="0" w:line="240" w:lineRule="auto"/>
        <w:ind w:left="720" w:hanging="720"/>
        <w:jc w:val="both"/>
        <w:rPr>
          <w:rFonts w:ascii="Helvetica" w:eastAsia="Times New Roman" w:hAnsi="Helvetica" w:cs="Times New Roman"/>
          <w:kern w:val="0"/>
          <w:sz w:val="20"/>
          <w:szCs w:val="20"/>
          <w14:ligatures w14:val="none"/>
        </w:rPr>
      </w:pPr>
      <w:r w:rsidRPr="000A0EB6">
        <w:rPr>
          <w:rFonts w:ascii="Helvetica" w:eastAsia="Times New Roman" w:hAnsi="Helvetica" w:cs="Times New Roman"/>
          <w:kern w:val="0"/>
          <w:sz w:val="20"/>
          <w:szCs w:val="20"/>
          <w14:ligatures w14:val="none"/>
        </w:rPr>
        <w:t>Joe, W., &amp; Mishra, U. (2009). Household Out-of-Pocket Healthcare Expenditure in India Levels, Patterns and Policy Concerns. Journal of Public Health in Asia, 4, 79-98.</w:t>
      </w:r>
    </w:p>
    <w:p w14:paraId="2260FCF2"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1CE6C9A6" w14:textId="599ACAC0"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Mohanty, S.K., Abhilasha, Upadhyay, </w:t>
      </w:r>
      <w:proofErr w:type="gramStart"/>
      <w:r w:rsidRPr="00B45C29">
        <w:rPr>
          <w:rFonts w:ascii="Helvetica" w:eastAsia="Times New Roman" w:hAnsi="Helvetica" w:cs="Times New Roman"/>
          <w:kern w:val="0"/>
          <w:sz w:val="20"/>
          <w:szCs w:val="20"/>
          <w14:ligatures w14:val="none"/>
        </w:rPr>
        <w:t>A.(</w:t>
      </w:r>
      <w:proofErr w:type="gramEnd"/>
      <w:r w:rsidRPr="00B45C29">
        <w:rPr>
          <w:rFonts w:ascii="Helvetica" w:eastAsia="Times New Roman" w:hAnsi="Helvetica" w:cs="Times New Roman"/>
          <w:kern w:val="0"/>
          <w:sz w:val="20"/>
          <w:szCs w:val="20"/>
          <w14:ligatures w14:val="none"/>
        </w:rPr>
        <w:t>2023). Health insurance coverage among elderly and nonelderly households in India. Handbook of Aging, Health and Public Policy: Perspectives from Asia,1-17.</w:t>
      </w:r>
    </w:p>
    <w:p w14:paraId="5FC6A236"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46CF9870" w14:textId="7DD4978B"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Garg, C.C., &amp; Karan, A.K. (2009). Reducing out-of-pocket expenditures to reduce poverty: a disaggregated analysis at rural-urban and state level in India. Health Policy and Planning, 24, 116–128.</w:t>
      </w:r>
    </w:p>
    <w:p w14:paraId="449912F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69792EC" w14:textId="6249CF0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Pandey, A., </w:t>
      </w:r>
      <w:proofErr w:type="spellStart"/>
      <w:r w:rsidRPr="00B45C29">
        <w:rPr>
          <w:rFonts w:ascii="Helvetica" w:eastAsia="Times New Roman" w:hAnsi="Helvetica" w:cs="Times New Roman"/>
          <w:kern w:val="0"/>
          <w:sz w:val="20"/>
          <w:szCs w:val="20"/>
          <w14:ligatures w14:val="none"/>
        </w:rPr>
        <w:t>Ploubidis</w:t>
      </w:r>
      <w:proofErr w:type="spellEnd"/>
      <w:r w:rsidRPr="00B45C29">
        <w:rPr>
          <w:rFonts w:ascii="Helvetica" w:eastAsia="Times New Roman" w:hAnsi="Helvetica" w:cs="Times New Roman"/>
          <w:kern w:val="0"/>
          <w:sz w:val="20"/>
          <w:szCs w:val="20"/>
          <w14:ligatures w14:val="none"/>
        </w:rPr>
        <w:t xml:space="preserve">, G. B., Clarke, L., &amp; </w:t>
      </w:r>
      <w:proofErr w:type="spellStart"/>
      <w:r w:rsidRPr="00B45C29">
        <w:rPr>
          <w:rFonts w:ascii="Helvetica" w:eastAsia="Times New Roman" w:hAnsi="Helvetica" w:cs="Times New Roman"/>
          <w:kern w:val="0"/>
          <w:sz w:val="20"/>
          <w:szCs w:val="20"/>
          <w14:ligatures w14:val="none"/>
        </w:rPr>
        <w:t>Dandona</w:t>
      </w:r>
      <w:proofErr w:type="spellEnd"/>
      <w:r w:rsidRPr="00B45C29">
        <w:rPr>
          <w:rFonts w:ascii="Helvetica" w:eastAsia="Times New Roman" w:hAnsi="Helvetica" w:cs="Times New Roman"/>
          <w:kern w:val="0"/>
          <w:sz w:val="20"/>
          <w:szCs w:val="20"/>
          <w14:ligatures w14:val="none"/>
        </w:rPr>
        <w:t xml:space="preserve">, L. (2018). Trends in catastrophic health expenditure in India: 1993 to 2014. Bulletin of the World Health Organization, 96(1), 18–28. </w:t>
      </w:r>
      <w:hyperlink r:id="rId16" w:history="1">
        <w:r w:rsidRPr="00B45C29">
          <w:rPr>
            <w:rStyle w:val="Hyperlink"/>
            <w:rFonts w:ascii="Helvetica" w:eastAsia="Times New Roman" w:hAnsi="Helvetica" w:cs="Times New Roman"/>
            <w:kern w:val="0"/>
            <w:sz w:val="20"/>
            <w:szCs w:val="20"/>
            <w14:ligatures w14:val="none"/>
          </w:rPr>
          <w:t>https://doi.org/10.2471/BLT.17.191759</w:t>
        </w:r>
      </w:hyperlink>
    </w:p>
    <w:p w14:paraId="344FA69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34B4CB3D" w14:textId="3F79877D" w:rsidR="00B45C29" w:rsidRPr="00C84203"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C84203">
        <w:rPr>
          <w:rFonts w:ascii="Helvetica" w:eastAsia="Times New Roman" w:hAnsi="Helvetica" w:cs="Times New Roman"/>
          <w:kern w:val="0"/>
          <w:sz w:val="20"/>
          <w:szCs w:val="20"/>
          <w14:ligatures w14:val="none"/>
        </w:rPr>
        <w:t xml:space="preserve">Damme, W.V., </w:t>
      </w:r>
      <w:proofErr w:type="spellStart"/>
      <w:r w:rsidRPr="00C84203">
        <w:rPr>
          <w:rFonts w:ascii="Helvetica" w:eastAsia="Times New Roman" w:hAnsi="Helvetica" w:cs="Times New Roman"/>
          <w:kern w:val="0"/>
          <w:sz w:val="20"/>
          <w:szCs w:val="20"/>
          <w14:ligatures w14:val="none"/>
        </w:rPr>
        <w:t>Leemput</w:t>
      </w:r>
      <w:proofErr w:type="spellEnd"/>
      <w:r w:rsidRPr="00C84203">
        <w:rPr>
          <w:rFonts w:ascii="Helvetica" w:eastAsia="Times New Roman" w:hAnsi="Helvetica" w:cs="Times New Roman"/>
          <w:kern w:val="0"/>
          <w:sz w:val="20"/>
          <w:szCs w:val="20"/>
          <w14:ligatures w14:val="none"/>
        </w:rPr>
        <w:t xml:space="preserve">, L.V., Por, I., Hardeman, W., </w:t>
      </w:r>
      <w:proofErr w:type="spellStart"/>
      <w:r w:rsidRPr="00C84203">
        <w:rPr>
          <w:rFonts w:ascii="Helvetica" w:eastAsia="Times New Roman" w:hAnsi="Helvetica" w:cs="Times New Roman"/>
          <w:kern w:val="0"/>
          <w:sz w:val="20"/>
          <w:szCs w:val="20"/>
          <w14:ligatures w14:val="none"/>
        </w:rPr>
        <w:t>Meessen</w:t>
      </w:r>
      <w:proofErr w:type="spellEnd"/>
      <w:r w:rsidRPr="00C84203">
        <w:rPr>
          <w:rFonts w:ascii="Helvetica" w:eastAsia="Times New Roman" w:hAnsi="Helvetica" w:cs="Times New Roman"/>
          <w:kern w:val="0"/>
          <w:sz w:val="20"/>
          <w:szCs w:val="20"/>
          <w14:ligatures w14:val="none"/>
        </w:rPr>
        <w:t xml:space="preserve">, B. (2004). Out-of-pocket health expenditure and debt in poor households: evidence from Cambodia. Tropical medicine &amp; international </w:t>
      </w:r>
      <w:proofErr w:type="gramStart"/>
      <w:r w:rsidRPr="00C84203">
        <w:rPr>
          <w:rFonts w:ascii="Helvetica" w:eastAsia="Times New Roman" w:hAnsi="Helvetica" w:cs="Times New Roman"/>
          <w:kern w:val="0"/>
          <w:sz w:val="20"/>
          <w:szCs w:val="20"/>
          <w14:ligatures w14:val="none"/>
        </w:rPr>
        <w:t>health :</w:t>
      </w:r>
      <w:proofErr w:type="gramEnd"/>
      <w:r w:rsidRPr="00C84203">
        <w:rPr>
          <w:rFonts w:ascii="Helvetica" w:eastAsia="Times New Roman" w:hAnsi="Helvetica" w:cs="Times New Roman"/>
          <w:kern w:val="0"/>
          <w:sz w:val="20"/>
          <w:szCs w:val="20"/>
          <w14:ligatures w14:val="none"/>
        </w:rPr>
        <w:t xml:space="preserve"> TM &amp; IH, 9(2), 273–280. </w:t>
      </w:r>
      <w:hyperlink r:id="rId17" w:history="1">
        <w:r w:rsidRPr="00C84203">
          <w:rPr>
            <w:rStyle w:val="Hyperlink"/>
            <w:rFonts w:ascii="Helvetica" w:eastAsia="Times New Roman" w:hAnsi="Helvetica" w:cs="Times New Roman"/>
            <w:kern w:val="0"/>
            <w:sz w:val="20"/>
            <w:szCs w:val="20"/>
            <w14:ligatures w14:val="none"/>
          </w:rPr>
          <w:t>https://doi.org/10.1046/j.1365-3156.2003.01194.x</w:t>
        </w:r>
      </w:hyperlink>
    </w:p>
    <w:p w14:paraId="1EC9C7D5"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4" w:name="_Hlk205290527"/>
    </w:p>
    <w:p w14:paraId="5E124625" w14:textId="6EB7DDED"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Kawabata, K., Xu, K., and Carrin, G. (2002). Preventing Impoverishment through Protection against Catastrophic Health Expenditures. Bulletin of World Health Organisation, 80(8). 612.</w:t>
      </w:r>
    </w:p>
    <w:p w14:paraId="3A3D250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bookmarkStart w:id="5" w:name="_Hlk205290608"/>
      <w:bookmarkEnd w:id="4"/>
    </w:p>
    <w:p w14:paraId="21DA0318" w14:textId="739FCEB0"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Panda, B.K., Mohanty, </w:t>
      </w:r>
      <w:proofErr w:type="gramStart"/>
      <w:r w:rsidRPr="00B45C29">
        <w:rPr>
          <w:rFonts w:ascii="Helvetica" w:eastAsia="Times New Roman" w:hAnsi="Helvetica" w:cs="Times New Roman"/>
          <w:kern w:val="0"/>
          <w:sz w:val="20"/>
          <w:szCs w:val="20"/>
          <w14:ligatures w14:val="none"/>
        </w:rPr>
        <w:t>S.K.(</w:t>
      </w:r>
      <w:proofErr w:type="gramEnd"/>
      <w:r w:rsidRPr="00B45C29">
        <w:rPr>
          <w:rFonts w:ascii="Helvetica" w:eastAsia="Times New Roman" w:hAnsi="Helvetica" w:cs="Times New Roman"/>
          <w:kern w:val="0"/>
          <w:sz w:val="20"/>
          <w:szCs w:val="20"/>
          <w14:ligatures w14:val="none"/>
        </w:rPr>
        <w:t>2022). Catastrophic health spending among older adults in India: Role of multiple deprivation. Aging and Health Research, 2(4).100100. https://doi.org/10.1016/j.ahr.2022.100100</w:t>
      </w:r>
    </w:p>
    <w:bookmarkEnd w:id="5"/>
    <w:p w14:paraId="1F8A1C08"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2C16E68" w14:textId="56C35B1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proofErr w:type="spellStart"/>
      <w:proofErr w:type="gramStart"/>
      <w:r w:rsidRPr="00B45C29">
        <w:rPr>
          <w:rFonts w:ascii="Helvetica" w:eastAsia="Times New Roman" w:hAnsi="Helvetica" w:cs="Times New Roman"/>
          <w:kern w:val="0"/>
          <w:sz w:val="20"/>
          <w:szCs w:val="20"/>
          <w14:ligatures w14:val="none"/>
        </w:rPr>
        <w:t>Ghosh,S</w:t>
      </w:r>
      <w:proofErr w:type="spellEnd"/>
      <w:r w:rsidRPr="00B45C29">
        <w:rPr>
          <w:rFonts w:ascii="Helvetica" w:eastAsia="Times New Roman" w:hAnsi="Helvetica" w:cs="Times New Roman"/>
          <w:kern w:val="0"/>
          <w:sz w:val="20"/>
          <w:szCs w:val="20"/>
          <w14:ligatures w14:val="none"/>
        </w:rPr>
        <w:t>.</w:t>
      </w:r>
      <w:proofErr w:type="gramEnd"/>
      <w:r w:rsidRPr="00B45C29">
        <w:rPr>
          <w:rFonts w:ascii="Helvetica" w:eastAsia="Times New Roman" w:hAnsi="Helvetica" w:cs="Times New Roman"/>
          <w:kern w:val="0"/>
          <w:sz w:val="20"/>
          <w:szCs w:val="20"/>
          <w14:ligatures w14:val="none"/>
        </w:rPr>
        <w:t xml:space="preserve">(2011). Catastrophic Payments and Impoverishment due to </w:t>
      </w:r>
      <w:proofErr w:type="gramStart"/>
      <w:r w:rsidRPr="00B45C29">
        <w:rPr>
          <w:rFonts w:ascii="Helvetica" w:eastAsia="Times New Roman" w:hAnsi="Helvetica" w:cs="Times New Roman"/>
          <w:kern w:val="0"/>
          <w:sz w:val="20"/>
          <w:szCs w:val="20"/>
          <w14:ligatures w14:val="none"/>
        </w:rPr>
        <w:t>Out of Pocket</w:t>
      </w:r>
      <w:proofErr w:type="gramEnd"/>
      <w:r w:rsidRPr="00B45C29">
        <w:rPr>
          <w:rFonts w:ascii="Helvetica" w:eastAsia="Times New Roman" w:hAnsi="Helvetica" w:cs="Times New Roman"/>
          <w:kern w:val="0"/>
          <w:sz w:val="20"/>
          <w:szCs w:val="20"/>
          <w14:ligatures w14:val="none"/>
        </w:rPr>
        <w:t xml:space="preserve"> Health Spending. Economic and Political Weekly, 46(47),63-70.</w:t>
      </w:r>
    </w:p>
    <w:p w14:paraId="21395F4E"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7626FA6F" w14:textId="10622BDC"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George, A.T. (2005). Good health at low cost: How good and how low. Economic and Political Weekly, 40(25). 2488-2491.</w:t>
      </w:r>
    </w:p>
    <w:p w14:paraId="6694AC74" w14:textId="77777777" w:rsidR="00364CD4" w:rsidRDefault="00364CD4" w:rsidP="00364CD4">
      <w:pPr>
        <w:spacing w:after="0" w:line="240" w:lineRule="auto"/>
        <w:ind w:left="720" w:hanging="720"/>
        <w:jc w:val="both"/>
        <w:rPr>
          <w:rFonts w:ascii="Helvetica" w:eastAsia="Times New Roman" w:hAnsi="Helvetica" w:cs="Times New Roman"/>
          <w:kern w:val="0"/>
          <w:sz w:val="20"/>
          <w:szCs w:val="20"/>
          <w14:ligatures w14:val="none"/>
        </w:rPr>
      </w:pPr>
    </w:p>
    <w:p w14:paraId="2AFF34D9" w14:textId="3109F8A5" w:rsidR="00B45C29" w:rsidRPr="00B45C29" w:rsidRDefault="00B45C29" w:rsidP="00364CD4">
      <w:pPr>
        <w:spacing w:after="0" w:line="240" w:lineRule="auto"/>
        <w:ind w:left="720" w:hanging="720"/>
        <w:jc w:val="both"/>
        <w:rPr>
          <w:rFonts w:ascii="Helvetica" w:eastAsia="Times New Roman" w:hAnsi="Helvetica" w:cs="Times New Roman"/>
          <w:kern w:val="0"/>
          <w:sz w:val="20"/>
          <w:szCs w:val="20"/>
          <w14:ligatures w14:val="none"/>
        </w:rPr>
      </w:pPr>
      <w:r w:rsidRPr="00B45C29">
        <w:rPr>
          <w:rFonts w:ascii="Helvetica" w:eastAsia="Times New Roman" w:hAnsi="Helvetica" w:cs="Times New Roman"/>
          <w:kern w:val="0"/>
          <w:sz w:val="20"/>
          <w:szCs w:val="20"/>
          <w14:ligatures w14:val="none"/>
        </w:rPr>
        <w:t xml:space="preserve">Rajan, </w:t>
      </w:r>
      <w:proofErr w:type="spellStart"/>
      <w:proofErr w:type="gramStart"/>
      <w:r w:rsidRPr="00B45C29">
        <w:rPr>
          <w:rFonts w:ascii="Helvetica" w:eastAsia="Times New Roman" w:hAnsi="Helvetica" w:cs="Times New Roman"/>
          <w:kern w:val="0"/>
          <w:sz w:val="20"/>
          <w:szCs w:val="20"/>
          <w14:ligatures w14:val="none"/>
        </w:rPr>
        <w:t>S.I.,Shajan</w:t>
      </w:r>
      <w:proofErr w:type="spellEnd"/>
      <w:proofErr w:type="gramEnd"/>
      <w:r w:rsidRPr="00B45C29">
        <w:rPr>
          <w:rFonts w:ascii="Helvetica" w:eastAsia="Times New Roman" w:hAnsi="Helvetica" w:cs="Times New Roman"/>
          <w:kern w:val="0"/>
          <w:sz w:val="20"/>
          <w:szCs w:val="20"/>
          <w14:ligatures w14:val="none"/>
        </w:rPr>
        <w:t>, A., and Sunitha, S. (2020</w:t>
      </w:r>
      <w:proofErr w:type="gramStart"/>
      <w:r w:rsidRPr="00B45C29">
        <w:rPr>
          <w:rFonts w:ascii="Helvetica" w:eastAsia="Times New Roman" w:hAnsi="Helvetica" w:cs="Times New Roman"/>
          <w:kern w:val="0"/>
          <w:sz w:val="20"/>
          <w:szCs w:val="20"/>
          <w14:ligatures w14:val="none"/>
        </w:rPr>
        <w:t>).Ageing</w:t>
      </w:r>
      <w:proofErr w:type="gramEnd"/>
      <w:r w:rsidRPr="00B45C29">
        <w:rPr>
          <w:rFonts w:ascii="Helvetica" w:eastAsia="Times New Roman" w:hAnsi="Helvetica" w:cs="Times New Roman"/>
          <w:kern w:val="0"/>
          <w:sz w:val="20"/>
          <w:szCs w:val="20"/>
          <w14:ligatures w14:val="none"/>
        </w:rPr>
        <w:t xml:space="preserve"> and Elderly Care in Kerala. China Report ,1-20.</w:t>
      </w:r>
    </w:p>
    <w:p w14:paraId="6B985A45" w14:textId="77777777" w:rsidR="003A5B05" w:rsidRPr="00C15CCF" w:rsidRDefault="003A5B05" w:rsidP="00C15CCF">
      <w:pPr>
        <w:rPr>
          <w:rFonts w:ascii="Times New Roman" w:eastAsiaTheme="minorEastAsia" w:hAnsi="Times New Roman" w:cs="Times New Roman"/>
          <w:b/>
          <w:bCs/>
          <w:lang w:val="en-US"/>
        </w:rPr>
      </w:pPr>
    </w:p>
    <w:sectPr w:rsidR="003A5B05" w:rsidRPr="00C15CCF" w:rsidSect="00C15CCF">
      <w:headerReference w:type="even" r:id="rId18"/>
      <w:headerReference w:type="default" r:id="rId19"/>
      <w:footerReference w:type="even" r:id="rId20"/>
      <w:footerReference w:type="default" r:id="rId21"/>
      <w:headerReference w:type="first" r:id="rId22"/>
      <w:footerReference w:type="first" r:id="rId23"/>
      <w:pgSz w:w="12242" w:h="15842" w:code="1"/>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4788" w14:textId="77777777" w:rsidR="009B7C82" w:rsidRDefault="009B7C82" w:rsidP="00C15CCF">
      <w:pPr>
        <w:spacing w:after="0" w:line="240" w:lineRule="auto"/>
      </w:pPr>
      <w:r>
        <w:separator/>
      </w:r>
    </w:p>
  </w:endnote>
  <w:endnote w:type="continuationSeparator" w:id="0">
    <w:p w14:paraId="7BA198D9" w14:textId="77777777" w:rsidR="009B7C82" w:rsidRDefault="009B7C82" w:rsidP="00C1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4CA5" w14:textId="77777777" w:rsidR="00106CA3" w:rsidRDefault="00106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4708" w14:textId="77777777" w:rsidR="00106CA3" w:rsidRDefault="00106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772D" w14:textId="77777777" w:rsidR="00106CA3" w:rsidRDefault="00106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A886" w14:textId="77777777" w:rsidR="009B7C82" w:rsidRDefault="009B7C82" w:rsidP="00C15CCF">
      <w:pPr>
        <w:spacing w:after="0" w:line="240" w:lineRule="auto"/>
      </w:pPr>
      <w:r>
        <w:separator/>
      </w:r>
    </w:p>
  </w:footnote>
  <w:footnote w:type="continuationSeparator" w:id="0">
    <w:p w14:paraId="6A1DDAD0" w14:textId="77777777" w:rsidR="009B7C82" w:rsidRDefault="009B7C82" w:rsidP="00C1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E3C3" w14:textId="2A6BD6EE" w:rsidR="00106CA3" w:rsidRDefault="00000000">
    <w:pPr>
      <w:pStyle w:val="Header"/>
    </w:pPr>
    <w:r>
      <w:rPr>
        <w:noProof/>
      </w:rPr>
      <w:pict w14:anchorId="7F0C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7510" w14:textId="4C3CEF7D" w:rsidR="00106CA3" w:rsidRDefault="00000000">
    <w:pPr>
      <w:pStyle w:val="Header"/>
    </w:pPr>
    <w:r>
      <w:rPr>
        <w:noProof/>
      </w:rPr>
      <w:pict w14:anchorId="49D00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EB4C" w14:textId="06FA57D0" w:rsidR="00106CA3" w:rsidRDefault="00000000">
    <w:pPr>
      <w:pStyle w:val="Header"/>
    </w:pPr>
    <w:r>
      <w:rPr>
        <w:noProof/>
      </w:rPr>
      <w:pict w14:anchorId="37DB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4191"/>
    <w:multiLevelType w:val="hybridMultilevel"/>
    <w:tmpl w:val="42FE7B04"/>
    <w:lvl w:ilvl="0" w:tplc="E45413E2">
      <w:start w:val="1"/>
      <w:numFmt w:val="bullet"/>
      <w:lvlText w:val=""/>
      <w:lvlJc w:val="left"/>
      <w:pPr>
        <w:tabs>
          <w:tab w:val="num" w:pos="720"/>
        </w:tabs>
        <w:ind w:left="720" w:hanging="360"/>
      </w:pPr>
      <w:rPr>
        <w:rFonts w:ascii="Symbol" w:hAnsi="Symbol" w:hint="default"/>
      </w:rPr>
    </w:lvl>
    <w:lvl w:ilvl="1" w:tplc="2988A1CA" w:tentative="1">
      <w:start w:val="1"/>
      <w:numFmt w:val="bullet"/>
      <w:lvlText w:val=""/>
      <w:lvlJc w:val="left"/>
      <w:pPr>
        <w:tabs>
          <w:tab w:val="num" w:pos="1440"/>
        </w:tabs>
        <w:ind w:left="1440" w:hanging="360"/>
      </w:pPr>
      <w:rPr>
        <w:rFonts w:ascii="Symbol" w:hAnsi="Symbol" w:hint="default"/>
      </w:rPr>
    </w:lvl>
    <w:lvl w:ilvl="2" w:tplc="61BAAC7A" w:tentative="1">
      <w:start w:val="1"/>
      <w:numFmt w:val="bullet"/>
      <w:lvlText w:val=""/>
      <w:lvlJc w:val="left"/>
      <w:pPr>
        <w:tabs>
          <w:tab w:val="num" w:pos="2160"/>
        </w:tabs>
        <w:ind w:left="2160" w:hanging="360"/>
      </w:pPr>
      <w:rPr>
        <w:rFonts w:ascii="Symbol" w:hAnsi="Symbol" w:hint="default"/>
      </w:rPr>
    </w:lvl>
    <w:lvl w:ilvl="3" w:tplc="57389BCA" w:tentative="1">
      <w:start w:val="1"/>
      <w:numFmt w:val="bullet"/>
      <w:lvlText w:val=""/>
      <w:lvlJc w:val="left"/>
      <w:pPr>
        <w:tabs>
          <w:tab w:val="num" w:pos="2880"/>
        </w:tabs>
        <w:ind w:left="2880" w:hanging="360"/>
      </w:pPr>
      <w:rPr>
        <w:rFonts w:ascii="Symbol" w:hAnsi="Symbol" w:hint="default"/>
      </w:rPr>
    </w:lvl>
    <w:lvl w:ilvl="4" w:tplc="25A232E6" w:tentative="1">
      <w:start w:val="1"/>
      <w:numFmt w:val="bullet"/>
      <w:lvlText w:val=""/>
      <w:lvlJc w:val="left"/>
      <w:pPr>
        <w:tabs>
          <w:tab w:val="num" w:pos="3600"/>
        </w:tabs>
        <w:ind w:left="3600" w:hanging="360"/>
      </w:pPr>
      <w:rPr>
        <w:rFonts w:ascii="Symbol" w:hAnsi="Symbol" w:hint="default"/>
      </w:rPr>
    </w:lvl>
    <w:lvl w:ilvl="5" w:tplc="1ABE6008" w:tentative="1">
      <w:start w:val="1"/>
      <w:numFmt w:val="bullet"/>
      <w:lvlText w:val=""/>
      <w:lvlJc w:val="left"/>
      <w:pPr>
        <w:tabs>
          <w:tab w:val="num" w:pos="4320"/>
        </w:tabs>
        <w:ind w:left="4320" w:hanging="360"/>
      </w:pPr>
      <w:rPr>
        <w:rFonts w:ascii="Symbol" w:hAnsi="Symbol" w:hint="default"/>
      </w:rPr>
    </w:lvl>
    <w:lvl w:ilvl="6" w:tplc="885EF550" w:tentative="1">
      <w:start w:val="1"/>
      <w:numFmt w:val="bullet"/>
      <w:lvlText w:val=""/>
      <w:lvlJc w:val="left"/>
      <w:pPr>
        <w:tabs>
          <w:tab w:val="num" w:pos="5040"/>
        </w:tabs>
        <w:ind w:left="5040" w:hanging="360"/>
      </w:pPr>
      <w:rPr>
        <w:rFonts w:ascii="Symbol" w:hAnsi="Symbol" w:hint="default"/>
      </w:rPr>
    </w:lvl>
    <w:lvl w:ilvl="7" w:tplc="C054FF5C" w:tentative="1">
      <w:start w:val="1"/>
      <w:numFmt w:val="bullet"/>
      <w:lvlText w:val=""/>
      <w:lvlJc w:val="left"/>
      <w:pPr>
        <w:tabs>
          <w:tab w:val="num" w:pos="5760"/>
        </w:tabs>
        <w:ind w:left="5760" w:hanging="360"/>
      </w:pPr>
      <w:rPr>
        <w:rFonts w:ascii="Symbol" w:hAnsi="Symbol" w:hint="default"/>
      </w:rPr>
    </w:lvl>
    <w:lvl w:ilvl="8" w:tplc="FE92D7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38119B"/>
    <w:multiLevelType w:val="hybridMultilevel"/>
    <w:tmpl w:val="52FAAD08"/>
    <w:lvl w:ilvl="0" w:tplc="B33220C4">
      <w:start w:val="1"/>
      <w:numFmt w:val="bullet"/>
      <w:lvlText w:val="•"/>
      <w:lvlJc w:val="left"/>
      <w:pPr>
        <w:tabs>
          <w:tab w:val="num" w:pos="720"/>
        </w:tabs>
        <w:ind w:left="720" w:hanging="360"/>
      </w:pPr>
      <w:rPr>
        <w:rFonts w:ascii="Arial" w:hAnsi="Arial" w:hint="default"/>
      </w:rPr>
    </w:lvl>
    <w:lvl w:ilvl="1" w:tplc="474A3114" w:tentative="1">
      <w:start w:val="1"/>
      <w:numFmt w:val="bullet"/>
      <w:lvlText w:val="•"/>
      <w:lvlJc w:val="left"/>
      <w:pPr>
        <w:tabs>
          <w:tab w:val="num" w:pos="1440"/>
        </w:tabs>
        <w:ind w:left="1440" w:hanging="360"/>
      </w:pPr>
      <w:rPr>
        <w:rFonts w:ascii="Arial" w:hAnsi="Arial" w:hint="default"/>
      </w:rPr>
    </w:lvl>
    <w:lvl w:ilvl="2" w:tplc="36B2AA16" w:tentative="1">
      <w:start w:val="1"/>
      <w:numFmt w:val="bullet"/>
      <w:lvlText w:val="•"/>
      <w:lvlJc w:val="left"/>
      <w:pPr>
        <w:tabs>
          <w:tab w:val="num" w:pos="2160"/>
        </w:tabs>
        <w:ind w:left="2160" w:hanging="360"/>
      </w:pPr>
      <w:rPr>
        <w:rFonts w:ascii="Arial" w:hAnsi="Arial" w:hint="default"/>
      </w:rPr>
    </w:lvl>
    <w:lvl w:ilvl="3" w:tplc="BE32F9B2" w:tentative="1">
      <w:start w:val="1"/>
      <w:numFmt w:val="bullet"/>
      <w:lvlText w:val="•"/>
      <w:lvlJc w:val="left"/>
      <w:pPr>
        <w:tabs>
          <w:tab w:val="num" w:pos="2880"/>
        </w:tabs>
        <w:ind w:left="2880" w:hanging="360"/>
      </w:pPr>
      <w:rPr>
        <w:rFonts w:ascii="Arial" w:hAnsi="Arial" w:hint="default"/>
      </w:rPr>
    </w:lvl>
    <w:lvl w:ilvl="4" w:tplc="A2F4F278" w:tentative="1">
      <w:start w:val="1"/>
      <w:numFmt w:val="bullet"/>
      <w:lvlText w:val="•"/>
      <w:lvlJc w:val="left"/>
      <w:pPr>
        <w:tabs>
          <w:tab w:val="num" w:pos="3600"/>
        </w:tabs>
        <w:ind w:left="3600" w:hanging="360"/>
      </w:pPr>
      <w:rPr>
        <w:rFonts w:ascii="Arial" w:hAnsi="Arial" w:hint="default"/>
      </w:rPr>
    </w:lvl>
    <w:lvl w:ilvl="5" w:tplc="AF0E619A" w:tentative="1">
      <w:start w:val="1"/>
      <w:numFmt w:val="bullet"/>
      <w:lvlText w:val="•"/>
      <w:lvlJc w:val="left"/>
      <w:pPr>
        <w:tabs>
          <w:tab w:val="num" w:pos="4320"/>
        </w:tabs>
        <w:ind w:left="4320" w:hanging="360"/>
      </w:pPr>
      <w:rPr>
        <w:rFonts w:ascii="Arial" w:hAnsi="Arial" w:hint="default"/>
      </w:rPr>
    </w:lvl>
    <w:lvl w:ilvl="6" w:tplc="B8CCD8AC" w:tentative="1">
      <w:start w:val="1"/>
      <w:numFmt w:val="bullet"/>
      <w:lvlText w:val="•"/>
      <w:lvlJc w:val="left"/>
      <w:pPr>
        <w:tabs>
          <w:tab w:val="num" w:pos="5040"/>
        </w:tabs>
        <w:ind w:left="5040" w:hanging="360"/>
      </w:pPr>
      <w:rPr>
        <w:rFonts w:ascii="Arial" w:hAnsi="Arial" w:hint="default"/>
      </w:rPr>
    </w:lvl>
    <w:lvl w:ilvl="7" w:tplc="DA92D342" w:tentative="1">
      <w:start w:val="1"/>
      <w:numFmt w:val="bullet"/>
      <w:lvlText w:val="•"/>
      <w:lvlJc w:val="left"/>
      <w:pPr>
        <w:tabs>
          <w:tab w:val="num" w:pos="5760"/>
        </w:tabs>
        <w:ind w:left="5760" w:hanging="360"/>
      </w:pPr>
      <w:rPr>
        <w:rFonts w:ascii="Arial" w:hAnsi="Arial" w:hint="default"/>
      </w:rPr>
    </w:lvl>
    <w:lvl w:ilvl="8" w:tplc="200CD0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80996"/>
    <w:multiLevelType w:val="multilevel"/>
    <w:tmpl w:val="C9BA9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7728D"/>
    <w:multiLevelType w:val="hybridMultilevel"/>
    <w:tmpl w:val="B8C05202"/>
    <w:lvl w:ilvl="0" w:tplc="726C00CC">
      <w:start w:val="1"/>
      <w:numFmt w:val="bullet"/>
      <w:lvlText w:val="•"/>
      <w:lvlJc w:val="left"/>
      <w:pPr>
        <w:tabs>
          <w:tab w:val="num" w:pos="720"/>
        </w:tabs>
        <w:ind w:left="720" w:hanging="360"/>
      </w:pPr>
      <w:rPr>
        <w:rFonts w:ascii="Arial" w:hAnsi="Arial" w:hint="default"/>
      </w:rPr>
    </w:lvl>
    <w:lvl w:ilvl="1" w:tplc="0C28CE9E" w:tentative="1">
      <w:start w:val="1"/>
      <w:numFmt w:val="bullet"/>
      <w:lvlText w:val="•"/>
      <w:lvlJc w:val="left"/>
      <w:pPr>
        <w:tabs>
          <w:tab w:val="num" w:pos="1440"/>
        </w:tabs>
        <w:ind w:left="1440" w:hanging="360"/>
      </w:pPr>
      <w:rPr>
        <w:rFonts w:ascii="Arial" w:hAnsi="Arial" w:hint="default"/>
      </w:rPr>
    </w:lvl>
    <w:lvl w:ilvl="2" w:tplc="FBA23C84" w:tentative="1">
      <w:start w:val="1"/>
      <w:numFmt w:val="bullet"/>
      <w:lvlText w:val="•"/>
      <w:lvlJc w:val="left"/>
      <w:pPr>
        <w:tabs>
          <w:tab w:val="num" w:pos="2160"/>
        </w:tabs>
        <w:ind w:left="2160" w:hanging="360"/>
      </w:pPr>
      <w:rPr>
        <w:rFonts w:ascii="Arial" w:hAnsi="Arial" w:hint="default"/>
      </w:rPr>
    </w:lvl>
    <w:lvl w:ilvl="3" w:tplc="FBA6A98C" w:tentative="1">
      <w:start w:val="1"/>
      <w:numFmt w:val="bullet"/>
      <w:lvlText w:val="•"/>
      <w:lvlJc w:val="left"/>
      <w:pPr>
        <w:tabs>
          <w:tab w:val="num" w:pos="2880"/>
        </w:tabs>
        <w:ind w:left="2880" w:hanging="360"/>
      </w:pPr>
      <w:rPr>
        <w:rFonts w:ascii="Arial" w:hAnsi="Arial" w:hint="default"/>
      </w:rPr>
    </w:lvl>
    <w:lvl w:ilvl="4" w:tplc="F5382494" w:tentative="1">
      <w:start w:val="1"/>
      <w:numFmt w:val="bullet"/>
      <w:lvlText w:val="•"/>
      <w:lvlJc w:val="left"/>
      <w:pPr>
        <w:tabs>
          <w:tab w:val="num" w:pos="3600"/>
        </w:tabs>
        <w:ind w:left="3600" w:hanging="360"/>
      </w:pPr>
      <w:rPr>
        <w:rFonts w:ascii="Arial" w:hAnsi="Arial" w:hint="default"/>
      </w:rPr>
    </w:lvl>
    <w:lvl w:ilvl="5" w:tplc="9BB2814A" w:tentative="1">
      <w:start w:val="1"/>
      <w:numFmt w:val="bullet"/>
      <w:lvlText w:val="•"/>
      <w:lvlJc w:val="left"/>
      <w:pPr>
        <w:tabs>
          <w:tab w:val="num" w:pos="4320"/>
        </w:tabs>
        <w:ind w:left="4320" w:hanging="360"/>
      </w:pPr>
      <w:rPr>
        <w:rFonts w:ascii="Arial" w:hAnsi="Arial" w:hint="default"/>
      </w:rPr>
    </w:lvl>
    <w:lvl w:ilvl="6" w:tplc="6FBE62F4" w:tentative="1">
      <w:start w:val="1"/>
      <w:numFmt w:val="bullet"/>
      <w:lvlText w:val="•"/>
      <w:lvlJc w:val="left"/>
      <w:pPr>
        <w:tabs>
          <w:tab w:val="num" w:pos="5040"/>
        </w:tabs>
        <w:ind w:left="5040" w:hanging="360"/>
      </w:pPr>
      <w:rPr>
        <w:rFonts w:ascii="Arial" w:hAnsi="Arial" w:hint="default"/>
      </w:rPr>
    </w:lvl>
    <w:lvl w:ilvl="7" w:tplc="C25A90FE" w:tentative="1">
      <w:start w:val="1"/>
      <w:numFmt w:val="bullet"/>
      <w:lvlText w:val="•"/>
      <w:lvlJc w:val="left"/>
      <w:pPr>
        <w:tabs>
          <w:tab w:val="num" w:pos="5760"/>
        </w:tabs>
        <w:ind w:left="5760" w:hanging="360"/>
      </w:pPr>
      <w:rPr>
        <w:rFonts w:ascii="Arial" w:hAnsi="Arial" w:hint="default"/>
      </w:rPr>
    </w:lvl>
    <w:lvl w:ilvl="8" w:tplc="D1B46A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876172"/>
    <w:multiLevelType w:val="multilevel"/>
    <w:tmpl w:val="3DB8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F2699"/>
    <w:multiLevelType w:val="hybridMultilevel"/>
    <w:tmpl w:val="DAD00C34"/>
    <w:lvl w:ilvl="0" w:tplc="6E24D20C">
      <w:start w:val="1"/>
      <w:numFmt w:val="bullet"/>
      <w:lvlText w:val="•"/>
      <w:lvlJc w:val="left"/>
      <w:pPr>
        <w:tabs>
          <w:tab w:val="num" w:pos="720"/>
        </w:tabs>
        <w:ind w:left="720" w:hanging="360"/>
      </w:pPr>
      <w:rPr>
        <w:rFonts w:ascii="Arial" w:hAnsi="Arial" w:hint="default"/>
      </w:rPr>
    </w:lvl>
    <w:lvl w:ilvl="1" w:tplc="A060FEDC" w:tentative="1">
      <w:start w:val="1"/>
      <w:numFmt w:val="bullet"/>
      <w:lvlText w:val="•"/>
      <w:lvlJc w:val="left"/>
      <w:pPr>
        <w:tabs>
          <w:tab w:val="num" w:pos="1440"/>
        </w:tabs>
        <w:ind w:left="1440" w:hanging="360"/>
      </w:pPr>
      <w:rPr>
        <w:rFonts w:ascii="Arial" w:hAnsi="Arial" w:hint="default"/>
      </w:rPr>
    </w:lvl>
    <w:lvl w:ilvl="2" w:tplc="DD824DB4" w:tentative="1">
      <w:start w:val="1"/>
      <w:numFmt w:val="bullet"/>
      <w:lvlText w:val="•"/>
      <w:lvlJc w:val="left"/>
      <w:pPr>
        <w:tabs>
          <w:tab w:val="num" w:pos="2160"/>
        </w:tabs>
        <w:ind w:left="2160" w:hanging="360"/>
      </w:pPr>
      <w:rPr>
        <w:rFonts w:ascii="Arial" w:hAnsi="Arial" w:hint="default"/>
      </w:rPr>
    </w:lvl>
    <w:lvl w:ilvl="3" w:tplc="43405938" w:tentative="1">
      <w:start w:val="1"/>
      <w:numFmt w:val="bullet"/>
      <w:lvlText w:val="•"/>
      <w:lvlJc w:val="left"/>
      <w:pPr>
        <w:tabs>
          <w:tab w:val="num" w:pos="2880"/>
        </w:tabs>
        <w:ind w:left="2880" w:hanging="360"/>
      </w:pPr>
      <w:rPr>
        <w:rFonts w:ascii="Arial" w:hAnsi="Arial" w:hint="default"/>
      </w:rPr>
    </w:lvl>
    <w:lvl w:ilvl="4" w:tplc="33B0617E" w:tentative="1">
      <w:start w:val="1"/>
      <w:numFmt w:val="bullet"/>
      <w:lvlText w:val="•"/>
      <w:lvlJc w:val="left"/>
      <w:pPr>
        <w:tabs>
          <w:tab w:val="num" w:pos="3600"/>
        </w:tabs>
        <w:ind w:left="3600" w:hanging="360"/>
      </w:pPr>
      <w:rPr>
        <w:rFonts w:ascii="Arial" w:hAnsi="Arial" w:hint="default"/>
      </w:rPr>
    </w:lvl>
    <w:lvl w:ilvl="5" w:tplc="B50E8F02" w:tentative="1">
      <w:start w:val="1"/>
      <w:numFmt w:val="bullet"/>
      <w:lvlText w:val="•"/>
      <w:lvlJc w:val="left"/>
      <w:pPr>
        <w:tabs>
          <w:tab w:val="num" w:pos="4320"/>
        </w:tabs>
        <w:ind w:left="4320" w:hanging="360"/>
      </w:pPr>
      <w:rPr>
        <w:rFonts w:ascii="Arial" w:hAnsi="Arial" w:hint="default"/>
      </w:rPr>
    </w:lvl>
    <w:lvl w:ilvl="6" w:tplc="EB522C96" w:tentative="1">
      <w:start w:val="1"/>
      <w:numFmt w:val="bullet"/>
      <w:lvlText w:val="•"/>
      <w:lvlJc w:val="left"/>
      <w:pPr>
        <w:tabs>
          <w:tab w:val="num" w:pos="5040"/>
        </w:tabs>
        <w:ind w:left="5040" w:hanging="360"/>
      </w:pPr>
      <w:rPr>
        <w:rFonts w:ascii="Arial" w:hAnsi="Arial" w:hint="default"/>
      </w:rPr>
    </w:lvl>
    <w:lvl w:ilvl="7" w:tplc="EF726834" w:tentative="1">
      <w:start w:val="1"/>
      <w:numFmt w:val="bullet"/>
      <w:lvlText w:val="•"/>
      <w:lvlJc w:val="left"/>
      <w:pPr>
        <w:tabs>
          <w:tab w:val="num" w:pos="5760"/>
        </w:tabs>
        <w:ind w:left="5760" w:hanging="360"/>
      </w:pPr>
      <w:rPr>
        <w:rFonts w:ascii="Arial" w:hAnsi="Arial" w:hint="default"/>
      </w:rPr>
    </w:lvl>
    <w:lvl w:ilvl="8" w:tplc="F808FB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791AAF"/>
    <w:multiLevelType w:val="hybridMultilevel"/>
    <w:tmpl w:val="DB90B7F2"/>
    <w:lvl w:ilvl="0" w:tplc="4086A742">
      <w:start w:val="1"/>
      <w:numFmt w:val="bullet"/>
      <w:lvlText w:val=""/>
      <w:lvlJc w:val="left"/>
      <w:pPr>
        <w:tabs>
          <w:tab w:val="num" w:pos="720"/>
        </w:tabs>
        <w:ind w:left="720" w:hanging="360"/>
      </w:pPr>
      <w:rPr>
        <w:rFonts w:ascii="Wingdings" w:hAnsi="Wingdings" w:hint="default"/>
      </w:rPr>
    </w:lvl>
    <w:lvl w:ilvl="1" w:tplc="FCE2FE84" w:tentative="1">
      <w:start w:val="1"/>
      <w:numFmt w:val="bullet"/>
      <w:lvlText w:val=""/>
      <w:lvlJc w:val="left"/>
      <w:pPr>
        <w:tabs>
          <w:tab w:val="num" w:pos="1440"/>
        </w:tabs>
        <w:ind w:left="1440" w:hanging="360"/>
      </w:pPr>
      <w:rPr>
        <w:rFonts w:ascii="Wingdings" w:hAnsi="Wingdings" w:hint="default"/>
      </w:rPr>
    </w:lvl>
    <w:lvl w:ilvl="2" w:tplc="DA28AB58" w:tentative="1">
      <w:start w:val="1"/>
      <w:numFmt w:val="bullet"/>
      <w:lvlText w:val=""/>
      <w:lvlJc w:val="left"/>
      <w:pPr>
        <w:tabs>
          <w:tab w:val="num" w:pos="2160"/>
        </w:tabs>
        <w:ind w:left="2160" w:hanging="360"/>
      </w:pPr>
      <w:rPr>
        <w:rFonts w:ascii="Wingdings" w:hAnsi="Wingdings" w:hint="default"/>
      </w:rPr>
    </w:lvl>
    <w:lvl w:ilvl="3" w:tplc="F9A00DBE" w:tentative="1">
      <w:start w:val="1"/>
      <w:numFmt w:val="bullet"/>
      <w:lvlText w:val=""/>
      <w:lvlJc w:val="left"/>
      <w:pPr>
        <w:tabs>
          <w:tab w:val="num" w:pos="2880"/>
        </w:tabs>
        <w:ind w:left="2880" w:hanging="360"/>
      </w:pPr>
      <w:rPr>
        <w:rFonts w:ascii="Wingdings" w:hAnsi="Wingdings" w:hint="default"/>
      </w:rPr>
    </w:lvl>
    <w:lvl w:ilvl="4" w:tplc="72AEE412" w:tentative="1">
      <w:start w:val="1"/>
      <w:numFmt w:val="bullet"/>
      <w:lvlText w:val=""/>
      <w:lvlJc w:val="left"/>
      <w:pPr>
        <w:tabs>
          <w:tab w:val="num" w:pos="3600"/>
        </w:tabs>
        <w:ind w:left="3600" w:hanging="360"/>
      </w:pPr>
      <w:rPr>
        <w:rFonts w:ascii="Wingdings" w:hAnsi="Wingdings" w:hint="default"/>
      </w:rPr>
    </w:lvl>
    <w:lvl w:ilvl="5" w:tplc="186A091E" w:tentative="1">
      <w:start w:val="1"/>
      <w:numFmt w:val="bullet"/>
      <w:lvlText w:val=""/>
      <w:lvlJc w:val="left"/>
      <w:pPr>
        <w:tabs>
          <w:tab w:val="num" w:pos="4320"/>
        </w:tabs>
        <w:ind w:left="4320" w:hanging="360"/>
      </w:pPr>
      <w:rPr>
        <w:rFonts w:ascii="Wingdings" w:hAnsi="Wingdings" w:hint="default"/>
      </w:rPr>
    </w:lvl>
    <w:lvl w:ilvl="6" w:tplc="12EE9E90" w:tentative="1">
      <w:start w:val="1"/>
      <w:numFmt w:val="bullet"/>
      <w:lvlText w:val=""/>
      <w:lvlJc w:val="left"/>
      <w:pPr>
        <w:tabs>
          <w:tab w:val="num" w:pos="5040"/>
        </w:tabs>
        <w:ind w:left="5040" w:hanging="360"/>
      </w:pPr>
      <w:rPr>
        <w:rFonts w:ascii="Wingdings" w:hAnsi="Wingdings" w:hint="default"/>
      </w:rPr>
    </w:lvl>
    <w:lvl w:ilvl="7" w:tplc="89F03558" w:tentative="1">
      <w:start w:val="1"/>
      <w:numFmt w:val="bullet"/>
      <w:lvlText w:val=""/>
      <w:lvlJc w:val="left"/>
      <w:pPr>
        <w:tabs>
          <w:tab w:val="num" w:pos="5760"/>
        </w:tabs>
        <w:ind w:left="5760" w:hanging="360"/>
      </w:pPr>
      <w:rPr>
        <w:rFonts w:ascii="Wingdings" w:hAnsi="Wingdings" w:hint="default"/>
      </w:rPr>
    </w:lvl>
    <w:lvl w:ilvl="8" w:tplc="F78A2B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260B7"/>
    <w:multiLevelType w:val="multilevel"/>
    <w:tmpl w:val="FF726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64535579">
    <w:abstractNumId w:val="2"/>
  </w:num>
  <w:num w:numId="2" w16cid:durableId="1052075457">
    <w:abstractNumId w:val="7"/>
  </w:num>
  <w:num w:numId="3" w16cid:durableId="574323406">
    <w:abstractNumId w:val="3"/>
  </w:num>
  <w:num w:numId="4" w16cid:durableId="2066641835">
    <w:abstractNumId w:val="1"/>
  </w:num>
  <w:num w:numId="5" w16cid:durableId="1984774032">
    <w:abstractNumId w:val="5"/>
  </w:num>
  <w:num w:numId="6" w16cid:durableId="143277943">
    <w:abstractNumId w:val="6"/>
  </w:num>
  <w:num w:numId="7" w16cid:durableId="757101024">
    <w:abstractNumId w:val="0"/>
  </w:num>
  <w:num w:numId="8" w16cid:durableId="207214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A"/>
    <w:rsid w:val="00011299"/>
    <w:rsid w:val="00030402"/>
    <w:rsid w:val="0005099A"/>
    <w:rsid w:val="00071AA9"/>
    <w:rsid w:val="000767A8"/>
    <w:rsid w:val="000A0EB6"/>
    <w:rsid w:val="000C1F1F"/>
    <w:rsid w:val="000C3DBD"/>
    <w:rsid w:val="000C700D"/>
    <w:rsid w:val="000D766E"/>
    <w:rsid w:val="00106CA3"/>
    <w:rsid w:val="0013454D"/>
    <w:rsid w:val="00155025"/>
    <w:rsid w:val="001741BF"/>
    <w:rsid w:val="0018382F"/>
    <w:rsid w:val="0018433E"/>
    <w:rsid w:val="0020338F"/>
    <w:rsid w:val="0023518C"/>
    <w:rsid w:val="00235D88"/>
    <w:rsid w:val="0024298F"/>
    <w:rsid w:val="00256903"/>
    <w:rsid w:val="00257434"/>
    <w:rsid w:val="00294243"/>
    <w:rsid w:val="002B5CA4"/>
    <w:rsid w:val="002F6B45"/>
    <w:rsid w:val="003139A5"/>
    <w:rsid w:val="0033123D"/>
    <w:rsid w:val="003362DA"/>
    <w:rsid w:val="00364CD4"/>
    <w:rsid w:val="003A5B05"/>
    <w:rsid w:val="003E2152"/>
    <w:rsid w:val="0040031D"/>
    <w:rsid w:val="00401BB1"/>
    <w:rsid w:val="00420294"/>
    <w:rsid w:val="004469C2"/>
    <w:rsid w:val="0045587F"/>
    <w:rsid w:val="004901E5"/>
    <w:rsid w:val="004A7DDA"/>
    <w:rsid w:val="004D237E"/>
    <w:rsid w:val="0050051C"/>
    <w:rsid w:val="0051358C"/>
    <w:rsid w:val="005C78FE"/>
    <w:rsid w:val="005D180B"/>
    <w:rsid w:val="005D749A"/>
    <w:rsid w:val="005E14F8"/>
    <w:rsid w:val="00617BCC"/>
    <w:rsid w:val="00624E38"/>
    <w:rsid w:val="00677309"/>
    <w:rsid w:val="00742894"/>
    <w:rsid w:val="007815F5"/>
    <w:rsid w:val="007A5B35"/>
    <w:rsid w:val="007E523B"/>
    <w:rsid w:val="00894D3F"/>
    <w:rsid w:val="008B387D"/>
    <w:rsid w:val="009A2A61"/>
    <w:rsid w:val="009B7C82"/>
    <w:rsid w:val="009D2854"/>
    <w:rsid w:val="009F2BDF"/>
    <w:rsid w:val="00A17F5E"/>
    <w:rsid w:val="00A55355"/>
    <w:rsid w:val="00A71323"/>
    <w:rsid w:val="00A87130"/>
    <w:rsid w:val="00AA7276"/>
    <w:rsid w:val="00AB0ED4"/>
    <w:rsid w:val="00B02FA0"/>
    <w:rsid w:val="00B04928"/>
    <w:rsid w:val="00B11664"/>
    <w:rsid w:val="00B45C29"/>
    <w:rsid w:val="00B46F43"/>
    <w:rsid w:val="00B73B5A"/>
    <w:rsid w:val="00B928E1"/>
    <w:rsid w:val="00BB6C02"/>
    <w:rsid w:val="00BC4F01"/>
    <w:rsid w:val="00BC7A0E"/>
    <w:rsid w:val="00BE07E2"/>
    <w:rsid w:val="00C02C49"/>
    <w:rsid w:val="00C15CCF"/>
    <w:rsid w:val="00C21794"/>
    <w:rsid w:val="00C3200A"/>
    <w:rsid w:val="00C513C0"/>
    <w:rsid w:val="00C84203"/>
    <w:rsid w:val="00C949D6"/>
    <w:rsid w:val="00CE2C3D"/>
    <w:rsid w:val="00D3063F"/>
    <w:rsid w:val="00D46480"/>
    <w:rsid w:val="00D5370D"/>
    <w:rsid w:val="00DC4441"/>
    <w:rsid w:val="00E524C3"/>
    <w:rsid w:val="00F102A0"/>
    <w:rsid w:val="00F16823"/>
    <w:rsid w:val="00F21C2D"/>
    <w:rsid w:val="00F437FB"/>
    <w:rsid w:val="00F75551"/>
    <w:rsid w:val="00F769CD"/>
    <w:rsid w:val="00F93483"/>
    <w:rsid w:val="00F97E0E"/>
    <w:rsid w:val="00FB127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19EBE"/>
  <w15:chartTrackingRefBased/>
  <w15:docId w15:val="{0963A25A-D5DC-4573-9315-FAD93A0D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243"/>
  </w:style>
  <w:style w:type="paragraph" w:styleId="Heading1">
    <w:name w:val="heading 1"/>
    <w:basedOn w:val="Normal"/>
    <w:next w:val="Normal"/>
    <w:link w:val="Heading1Char"/>
    <w:uiPriority w:val="9"/>
    <w:qFormat/>
    <w:rsid w:val="004A7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D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DA"/>
    <w:rPr>
      <w:rFonts w:eastAsiaTheme="majorEastAsia" w:cstheme="majorBidi"/>
      <w:color w:val="272727" w:themeColor="text1" w:themeTint="D8"/>
    </w:rPr>
  </w:style>
  <w:style w:type="paragraph" w:styleId="Title">
    <w:name w:val="Title"/>
    <w:basedOn w:val="Normal"/>
    <w:next w:val="Normal"/>
    <w:link w:val="TitleChar"/>
    <w:uiPriority w:val="10"/>
    <w:qFormat/>
    <w:rsid w:val="004A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DA"/>
    <w:pPr>
      <w:spacing w:before="160"/>
      <w:jc w:val="center"/>
    </w:pPr>
    <w:rPr>
      <w:i/>
      <w:iCs/>
      <w:color w:val="404040" w:themeColor="text1" w:themeTint="BF"/>
    </w:rPr>
  </w:style>
  <w:style w:type="character" w:customStyle="1" w:styleId="QuoteChar">
    <w:name w:val="Quote Char"/>
    <w:basedOn w:val="DefaultParagraphFont"/>
    <w:link w:val="Quote"/>
    <w:uiPriority w:val="29"/>
    <w:rsid w:val="004A7DDA"/>
    <w:rPr>
      <w:i/>
      <w:iCs/>
      <w:color w:val="404040" w:themeColor="text1" w:themeTint="BF"/>
    </w:rPr>
  </w:style>
  <w:style w:type="paragraph" w:styleId="ListParagraph">
    <w:name w:val="List Paragraph"/>
    <w:basedOn w:val="Normal"/>
    <w:uiPriority w:val="34"/>
    <w:qFormat/>
    <w:rsid w:val="004A7DDA"/>
    <w:pPr>
      <w:ind w:left="720"/>
      <w:contextualSpacing/>
    </w:pPr>
  </w:style>
  <w:style w:type="character" w:styleId="IntenseEmphasis">
    <w:name w:val="Intense Emphasis"/>
    <w:basedOn w:val="DefaultParagraphFont"/>
    <w:uiPriority w:val="21"/>
    <w:qFormat/>
    <w:rsid w:val="004A7DDA"/>
    <w:rPr>
      <w:i/>
      <w:iCs/>
      <w:color w:val="2F5496" w:themeColor="accent1" w:themeShade="BF"/>
    </w:rPr>
  </w:style>
  <w:style w:type="paragraph" w:styleId="IntenseQuote">
    <w:name w:val="Intense Quote"/>
    <w:basedOn w:val="Normal"/>
    <w:next w:val="Normal"/>
    <w:link w:val="IntenseQuoteChar"/>
    <w:uiPriority w:val="30"/>
    <w:qFormat/>
    <w:rsid w:val="004A7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DDA"/>
    <w:rPr>
      <w:i/>
      <w:iCs/>
      <w:color w:val="2F5496" w:themeColor="accent1" w:themeShade="BF"/>
    </w:rPr>
  </w:style>
  <w:style w:type="character" w:styleId="IntenseReference">
    <w:name w:val="Intense Reference"/>
    <w:basedOn w:val="DefaultParagraphFont"/>
    <w:uiPriority w:val="32"/>
    <w:qFormat/>
    <w:rsid w:val="004A7DDA"/>
    <w:rPr>
      <w:b/>
      <w:bCs/>
      <w:smallCaps/>
      <w:color w:val="2F5496" w:themeColor="accent1" w:themeShade="BF"/>
      <w:spacing w:val="5"/>
    </w:rPr>
  </w:style>
  <w:style w:type="paragraph" w:customStyle="1" w:styleId="Body">
    <w:name w:val="Body"/>
    <w:basedOn w:val="Normal"/>
    <w:rsid w:val="00C15CCF"/>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C1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CCF"/>
  </w:style>
  <w:style w:type="paragraph" w:styleId="Footer">
    <w:name w:val="footer"/>
    <w:basedOn w:val="Normal"/>
    <w:link w:val="FooterChar"/>
    <w:uiPriority w:val="99"/>
    <w:unhideWhenUsed/>
    <w:rsid w:val="00C1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CCF"/>
  </w:style>
  <w:style w:type="table" w:customStyle="1" w:styleId="TableGrid2">
    <w:name w:val="Table Grid2"/>
    <w:basedOn w:val="TableNormal"/>
    <w:next w:val="TableGrid"/>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299"/>
    <w:rPr>
      <w:color w:val="0563C1" w:themeColor="hyperlink"/>
      <w:u w:val="single"/>
    </w:rPr>
  </w:style>
  <w:style w:type="character" w:styleId="UnresolvedMention">
    <w:name w:val="Unresolved Mention"/>
    <w:basedOn w:val="DefaultParagraphFont"/>
    <w:uiPriority w:val="99"/>
    <w:semiHidden/>
    <w:unhideWhenUsed/>
    <w:rsid w:val="00011299"/>
    <w:rPr>
      <w:color w:val="605E5C"/>
      <w:shd w:val="clear" w:color="auto" w:fill="E1DFDD"/>
    </w:rPr>
  </w:style>
  <w:style w:type="character" w:styleId="PlaceholderText">
    <w:name w:val="Placeholder Text"/>
    <w:basedOn w:val="DefaultParagraphFont"/>
    <w:uiPriority w:val="99"/>
    <w:semiHidden/>
    <w:rsid w:val="007815F5"/>
    <w:rPr>
      <w:color w:val="666666"/>
    </w:rPr>
  </w:style>
  <w:style w:type="paragraph" w:customStyle="1" w:styleId="ReferHead">
    <w:name w:val="Refer Head"/>
    <w:basedOn w:val="Normal"/>
    <w:rsid w:val="00F437FB"/>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org/development/desa/pd/content/World-Population-Prospects-20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hyperlink" Target="https://population.un.org/wpp/Publications/Files/WPP2024_Highlights.pdf" TargetMode="External"/><Relationship Id="rId17" Type="http://schemas.openxmlformats.org/officeDocument/2006/relationships/hyperlink" Target="https://doi.org/10.1046/j.1365-3156.2003.01194.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471/BLT.17.19175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203/2320-6012.ijrms20232418"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who.int/news-room/fact-sheets/detail/ageing-and-health"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er\Desktop\Thesis\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user\Desktop\Thesis\Survey%20Data(AutoRecover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29897787166849"/>
          <c:y val="6.6006600660066E-2"/>
          <c:w val="0.44498644986449865"/>
          <c:h val="0.90319031903190317"/>
        </c:manualLayout>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79-4D57-BFBA-6E1AD5682C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79-4D57-BFBA-6E1AD5682C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79-4D57-BFBA-6E1AD5682C8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79-4D57-BFBA-6E1AD5682C8B}"/>
              </c:ext>
            </c:extLst>
          </c:dPt>
          <c:dLbls>
            <c:dLbl>
              <c:idx val="0"/>
              <c:tx>
                <c:rich>
                  <a:bodyPr/>
                  <a:lstStyle/>
                  <a:p>
                    <a:fld id="{31C175A7-52F7-4695-9CF3-70DE9C06C1AD}" type="VALUE">
                      <a:rPr lang="en-US"/>
                      <a:pPr/>
                      <a:t>[VALUE]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79-4D57-BFBA-6E1AD5682C8B}"/>
                </c:ext>
              </c:extLst>
            </c:dLbl>
            <c:dLbl>
              <c:idx val="1"/>
              <c:layout>
                <c:manualLayout>
                  <c:x val="9.0520152814737867E-2"/>
                  <c:y val="0.26015141055689556"/>
                </c:manualLayout>
              </c:layout>
              <c:tx>
                <c:rich>
                  <a:bodyPr/>
                  <a:lstStyle/>
                  <a:p>
                    <a:fld id="{BC5E377F-0BCC-4B48-A360-E3295B4CCEE8}" type="VALUE">
                      <a:rPr lang="en-US"/>
                      <a:pPr/>
                      <a:t>[VALUE]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79-4D57-BFBA-6E1AD5682C8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Presence of OOPE</c:v>
                </c:pt>
                <c:pt idx="1">
                  <c:v>Absence of OOPE</c:v>
                </c:pt>
              </c:strCache>
            </c:strRef>
          </c:cat>
          <c:val>
            <c:numRef>
              <c:f>Sheet1!$B$2:$B$5</c:f>
              <c:numCache>
                <c:formatCode>General</c:formatCode>
                <c:ptCount val="4"/>
                <c:pt idx="0">
                  <c:v>92.06</c:v>
                </c:pt>
                <c:pt idx="1">
                  <c:v>7.94</c:v>
                </c:pt>
              </c:numCache>
            </c:numRef>
          </c:val>
          <c:extLst>
            <c:ext xmlns:c16="http://schemas.microsoft.com/office/drawing/2014/chart" uri="{C3380CC4-5D6E-409C-BE32-E72D297353CC}">
              <c16:uniqueId val="{00000008-EB79-4D57-BFBA-6E1AD5682C8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246575342465752E-2"/>
          <c:y val="5.5611729019211326E-2"/>
          <c:w val="0.94618395303326808"/>
          <c:h val="0.69539819908760137"/>
        </c:manualLayout>
      </c:layout>
      <c:pie3DChart>
        <c:varyColors val="1"/>
        <c:ser>
          <c:idx val="0"/>
          <c:order val="0"/>
          <c:tx>
            <c:strRef>
              <c:f>Sheet3!$J$4</c:f>
              <c:strCache>
                <c:ptCount val="1"/>
                <c:pt idx="0">
                  <c:v>No of Households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Sheet3!$J$5:$J$10</c:f>
              <c:numCache>
                <c:formatCode>General</c:formatCode>
                <c:ptCount val="6"/>
                <c:pt idx="0" formatCode="0">
                  <c:v>291</c:v>
                </c:pt>
                <c:pt idx="1">
                  <c:v>42</c:v>
                </c:pt>
                <c:pt idx="2" formatCode="#,##0">
                  <c:v>35</c:v>
                </c:pt>
                <c:pt idx="3">
                  <c:v>6</c:v>
                </c:pt>
                <c:pt idx="4">
                  <c:v>18</c:v>
                </c:pt>
                <c:pt idx="5">
                  <c:v>10</c:v>
                </c:pt>
              </c:numCache>
              <c:extLst/>
            </c:numRef>
          </c:val>
          <c:extLst>
            <c:ext xmlns:c16="http://schemas.microsoft.com/office/drawing/2014/chart" uri="{C3380CC4-5D6E-409C-BE32-E72D297353CC}">
              <c16:uniqueId val="{0000000C-1439-4EBE-A825-740764F0E875}"/>
            </c:ext>
          </c:extLst>
        </c:ser>
        <c:ser>
          <c:idx val="1"/>
          <c:order val="1"/>
          <c:tx>
            <c:strRef>
              <c:f>Sheet3!$K$4</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1439-4EBE-A825-740764F0E87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1439-4EBE-A825-740764F0E87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1439-4EBE-A825-740764F0E87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1439-4EBE-A825-740764F0E87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1439-4EBE-A825-740764F0E87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1439-4EBE-A825-740764F0E875}"/>
              </c:ext>
            </c:extLst>
          </c:dPt>
          <c:cat>
            <c:strRef>
              <c:f>Sheet3!$I$5:$I$10</c:f>
              <c:strCache>
                <c:ptCount val="6"/>
                <c:pt idx="0">
                  <c:v>Purchase of Medicines</c:v>
                </c:pt>
                <c:pt idx="1">
                  <c:v>Diagnostic Tests</c:v>
                </c:pt>
                <c:pt idx="2">
                  <c:v>Travel</c:v>
                </c:pt>
                <c:pt idx="3">
                  <c:v>Accomodation</c:v>
                </c:pt>
                <c:pt idx="4">
                  <c:v>Consultation</c:v>
                </c:pt>
                <c:pt idx="5">
                  <c:v>Other miscellaneous expenses</c:v>
                </c:pt>
              </c:strCache>
              <c:extLst/>
            </c:strRef>
          </c:cat>
          <c:val>
            <c:numRef>
              <c:f>Sheet3!$K$5:$K$10</c:f>
              <c:numCache>
                <c:formatCode>0.00%</c:formatCode>
                <c:ptCount val="6"/>
                <c:pt idx="0">
                  <c:v>0.72388059701492535</c:v>
                </c:pt>
                <c:pt idx="1">
                  <c:v>0.1044776119402985</c:v>
                </c:pt>
                <c:pt idx="2">
                  <c:v>8.7064676616915429E-2</c:v>
                </c:pt>
                <c:pt idx="3">
                  <c:v>1.4925373134328358E-2</c:v>
                </c:pt>
                <c:pt idx="4">
                  <c:v>4.4776119402985072E-2</c:v>
                </c:pt>
                <c:pt idx="5">
                  <c:v>2.4875621890547265E-2</c:v>
                </c:pt>
              </c:numCache>
              <c:extLst/>
            </c:numRef>
          </c:val>
          <c:extLst>
            <c:ext xmlns:c16="http://schemas.microsoft.com/office/drawing/2014/chart" uri="{C3380CC4-5D6E-409C-BE32-E72D297353CC}">
              <c16:uniqueId val="{00000019-1439-4EBE-A825-740764F0E87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0055303495984936"/>
          <c:y val="0.77606252962873035"/>
          <c:w val="0.6534168544917015"/>
          <c:h val="0.18869517962237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8969925634295715"/>
          <c:w val="0.62111986001749786"/>
          <c:h val="0.75474518810148727"/>
        </c:manualLayout>
      </c:layout>
      <c:pie3DChart>
        <c:varyColors val="1"/>
        <c:ser>
          <c:idx val="0"/>
          <c:order val="0"/>
          <c:tx>
            <c:strRef>
              <c:f>Sheet2!$EC$142</c:f>
              <c:strCache>
                <c:ptCount val="1"/>
                <c:pt idx="0">
                  <c:v>Enrolment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Sheet2!$EC$143:$EC$146</c:f>
              <c:numCache>
                <c:formatCode>General</c:formatCode>
                <c:ptCount val="4"/>
                <c:pt idx="0">
                  <c:v>214</c:v>
                </c:pt>
                <c:pt idx="1">
                  <c:v>86</c:v>
                </c:pt>
                <c:pt idx="2">
                  <c:v>10</c:v>
                </c:pt>
                <c:pt idx="3">
                  <c:v>114</c:v>
                </c:pt>
              </c:numCache>
            </c:numRef>
          </c:val>
          <c:extLst>
            <c:ext xmlns:c16="http://schemas.microsoft.com/office/drawing/2014/chart" uri="{C3380CC4-5D6E-409C-BE32-E72D297353CC}">
              <c16:uniqueId val="{00000008-D47E-4DAE-ABB2-ED3BACDEA394}"/>
            </c:ext>
          </c:extLst>
        </c:ser>
        <c:ser>
          <c:idx val="1"/>
          <c:order val="1"/>
          <c:tx>
            <c:strRef>
              <c:f>Sheet2!$ED$142</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D47E-4DAE-ABB2-ED3BACDEA39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D47E-4DAE-ABB2-ED3BACDEA39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D47E-4DAE-ABB2-ED3BACDEA39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D47E-4DAE-ABB2-ED3BACDEA39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Sheet2!$EB$143:$EB$146</c:f>
              <c:strCache>
                <c:ptCount val="4"/>
                <c:pt idx="0">
                  <c:v>RSBY</c:v>
                </c:pt>
                <c:pt idx="1">
                  <c:v>CGHS/ESIS</c:v>
                </c:pt>
                <c:pt idx="2">
                  <c:v>Insurance from employer</c:v>
                </c:pt>
                <c:pt idx="3">
                  <c:v>Private</c:v>
                </c:pt>
              </c:strCache>
            </c:strRef>
          </c:cat>
          <c:val>
            <c:numRef>
              <c:f>Sheet2!$ED$143:$ED$146</c:f>
              <c:numCache>
                <c:formatCode>General</c:formatCode>
                <c:ptCount val="4"/>
                <c:pt idx="0">
                  <c:v>50.471698113207552</c:v>
                </c:pt>
                <c:pt idx="1">
                  <c:v>20.283018867924529</c:v>
                </c:pt>
                <c:pt idx="2">
                  <c:v>2.358490566037736</c:v>
                </c:pt>
                <c:pt idx="3">
                  <c:v>26.886792452830189</c:v>
                </c:pt>
              </c:numCache>
            </c:numRef>
          </c:val>
          <c:extLst>
            <c:ext xmlns:c16="http://schemas.microsoft.com/office/drawing/2014/chart" uri="{C3380CC4-5D6E-409C-BE32-E72D297353CC}">
              <c16:uniqueId val="{00000011-D47E-4DAE-ABB2-ED3BACDEA39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Sheet2!$EB$14</c:f>
              <c:strCache>
                <c:ptCount val="1"/>
                <c:pt idx="0">
                  <c:v>Number</c:v>
                </c:pt>
              </c:strCache>
            </c:strRef>
          </c:tx>
          <c:spPr>
            <a:solidFill>
              <a:schemeClr val="accent1"/>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Sheet2!$EB$15:$EB$21</c:f>
              <c:numCache>
                <c:formatCode>General</c:formatCode>
                <c:ptCount val="7"/>
                <c:pt idx="0">
                  <c:v>309</c:v>
                </c:pt>
                <c:pt idx="1">
                  <c:v>92</c:v>
                </c:pt>
                <c:pt idx="2">
                  <c:v>1</c:v>
                </c:pt>
                <c:pt idx="3">
                  <c:v>1</c:v>
                </c:pt>
                <c:pt idx="4">
                  <c:v>4</c:v>
                </c:pt>
                <c:pt idx="5">
                  <c:v>8</c:v>
                </c:pt>
                <c:pt idx="6">
                  <c:v>64</c:v>
                </c:pt>
              </c:numCache>
            </c:numRef>
          </c:val>
          <c:extLst>
            <c:ext xmlns:c16="http://schemas.microsoft.com/office/drawing/2014/chart" uri="{C3380CC4-5D6E-409C-BE32-E72D297353CC}">
              <c16:uniqueId val="{00000000-2942-4E3A-A9A2-E8584324A5BA}"/>
            </c:ext>
          </c:extLst>
        </c:ser>
        <c:ser>
          <c:idx val="1"/>
          <c:order val="1"/>
          <c:tx>
            <c:strRef>
              <c:f>Sheet2!$EC$14</c:f>
              <c:strCache>
                <c:ptCount val="1"/>
                <c:pt idx="0">
                  <c:v>Percentage</c:v>
                </c:pt>
              </c:strCache>
            </c:strRef>
          </c:tx>
          <c:spPr>
            <a:solidFill>
              <a:schemeClr val="accent2"/>
            </a:solidFill>
            <a:ln>
              <a:noFill/>
            </a:ln>
            <a:effectLst/>
            <a:sp3d/>
          </c:spPr>
          <c:invertIfNegative val="0"/>
          <c:cat>
            <c:strRef>
              <c:f>Sheet2!$EA$15:$EA$21</c:f>
              <c:strCache>
                <c:ptCount val="7"/>
                <c:pt idx="0">
                  <c:v>Income</c:v>
                </c:pt>
                <c:pt idx="1">
                  <c:v>Savings</c:v>
                </c:pt>
                <c:pt idx="2">
                  <c:v>Donation from friends nd relatives </c:v>
                </c:pt>
                <c:pt idx="3">
                  <c:v>Borrowings</c:v>
                </c:pt>
                <c:pt idx="4">
                  <c:v>sold consumables</c:v>
                </c:pt>
                <c:pt idx="5">
                  <c:v>Others</c:v>
                </c:pt>
                <c:pt idx="6">
                  <c:v>insurance/social protection schemes</c:v>
                </c:pt>
              </c:strCache>
            </c:strRef>
          </c:cat>
          <c:val>
            <c:numRef>
              <c:f>Sheet2!$EC$15:$EC$21</c:f>
              <c:numCache>
                <c:formatCode>General</c:formatCode>
                <c:ptCount val="7"/>
                <c:pt idx="0">
                  <c:v>64.509394572025045</c:v>
                </c:pt>
                <c:pt idx="1">
                  <c:v>19.206680584551147</c:v>
                </c:pt>
                <c:pt idx="2">
                  <c:v>0.20876826722338201</c:v>
                </c:pt>
                <c:pt idx="3">
                  <c:v>0.20876826722338201</c:v>
                </c:pt>
                <c:pt idx="4">
                  <c:v>0.83507306889352806</c:v>
                </c:pt>
                <c:pt idx="5">
                  <c:v>1.6701461377870561</c:v>
                </c:pt>
                <c:pt idx="6">
                  <c:v>13.361169102296449</c:v>
                </c:pt>
              </c:numCache>
            </c:numRef>
          </c:val>
          <c:extLst>
            <c:ext xmlns:c16="http://schemas.microsoft.com/office/drawing/2014/chart" uri="{C3380CC4-5D6E-409C-BE32-E72D297353CC}">
              <c16:uniqueId val="{00000001-2942-4E3A-A9A2-E8584324A5BA}"/>
            </c:ext>
          </c:extLst>
        </c:ser>
        <c:dLbls>
          <c:showLegendKey val="0"/>
          <c:showVal val="0"/>
          <c:showCatName val="0"/>
          <c:showSerName val="0"/>
          <c:showPercent val="0"/>
          <c:showBubbleSize val="0"/>
        </c:dLbls>
        <c:gapWidth val="150"/>
        <c:shape val="box"/>
        <c:axId val="305190016"/>
        <c:axId val="305191552"/>
        <c:axId val="0"/>
      </c:bar3DChart>
      <c:catAx>
        <c:axId val="305190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1552"/>
        <c:crosses val="autoZero"/>
        <c:auto val="0"/>
        <c:lblAlgn val="ctr"/>
        <c:lblOffset val="100"/>
        <c:noMultiLvlLbl val="0"/>
      </c:catAx>
      <c:valAx>
        <c:axId val="30519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1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1069</TotalTime>
  <Pages>14</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Niranjana Govind</dc:creator>
  <cp:keywords/>
  <dc:description/>
  <cp:lastModifiedBy>Niranjana Govind</cp:lastModifiedBy>
  <cp:revision>22</cp:revision>
  <dcterms:created xsi:type="dcterms:W3CDTF">2026-02-19T07:57:00Z</dcterms:created>
  <dcterms:modified xsi:type="dcterms:W3CDTF">2026-03-02T10:50:00Z</dcterms:modified>
</cp:coreProperties>
</file>