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4F" w:rsidRPr="00EF3FB7" w:rsidRDefault="0036198D" w:rsidP="00D644FD">
      <w:pPr>
        <w:shd w:val="clear" w:color="auto" w:fill="FFFFFF"/>
        <w:spacing w:after="0" w:line="360" w:lineRule="auto"/>
        <w:jc w:val="center"/>
        <w:rPr>
          <w:rFonts w:ascii="Times New Roman" w:eastAsia="Times New Roman" w:hAnsi="Times New Roman" w:cs="Times New Roman"/>
          <w:b/>
          <w:bCs/>
          <w:color w:val="232323"/>
          <w:sz w:val="32"/>
          <w:szCs w:val="32"/>
        </w:rPr>
      </w:pPr>
      <w:bookmarkStart w:id="0" w:name="_GoBack"/>
      <w:bookmarkEnd w:id="0"/>
      <w:r>
        <w:rPr>
          <w:rFonts w:ascii="Times New Roman" w:eastAsia="Times New Roman" w:hAnsi="Times New Roman" w:cs="Times New Roman"/>
          <w:b/>
          <w:bCs/>
          <w:color w:val="232323"/>
          <w:sz w:val="32"/>
          <w:szCs w:val="32"/>
        </w:rPr>
        <w:t>FACTORS DRIVING</w:t>
      </w:r>
      <w:r w:rsidR="00DA0B34">
        <w:rPr>
          <w:rFonts w:ascii="Times New Roman" w:eastAsia="Times New Roman" w:hAnsi="Times New Roman" w:cs="Times New Roman"/>
          <w:b/>
          <w:bCs/>
          <w:color w:val="232323"/>
          <w:sz w:val="32"/>
          <w:szCs w:val="32"/>
        </w:rPr>
        <w:t xml:space="preserve"> </w:t>
      </w:r>
      <w:r w:rsidR="00B756A8" w:rsidRPr="00EF3FB7">
        <w:rPr>
          <w:rFonts w:ascii="Times New Roman" w:eastAsia="Times New Roman" w:hAnsi="Times New Roman" w:cs="Times New Roman"/>
          <w:b/>
          <w:bCs/>
          <w:color w:val="232323"/>
          <w:sz w:val="32"/>
          <w:szCs w:val="32"/>
        </w:rPr>
        <w:t>POLICY HOLDERS</w:t>
      </w:r>
      <w:r w:rsidR="0053515D" w:rsidRPr="00EF3FB7">
        <w:rPr>
          <w:rFonts w:ascii="Times New Roman" w:eastAsia="Times New Roman" w:hAnsi="Times New Roman" w:cs="Times New Roman"/>
          <w:b/>
          <w:bCs/>
          <w:color w:val="232323"/>
          <w:sz w:val="32"/>
          <w:szCs w:val="32"/>
        </w:rPr>
        <w:t xml:space="preserve"> IN </w:t>
      </w:r>
      <w:r w:rsidR="00B756A8" w:rsidRPr="00EF3FB7">
        <w:rPr>
          <w:rFonts w:ascii="Times New Roman" w:eastAsia="Times New Roman" w:hAnsi="Times New Roman" w:cs="Times New Roman"/>
          <w:b/>
          <w:bCs/>
          <w:color w:val="232323"/>
          <w:sz w:val="32"/>
          <w:szCs w:val="32"/>
        </w:rPr>
        <w:t xml:space="preserve">SELECTING HEALTH </w:t>
      </w:r>
      <w:r w:rsidR="009C1EBD" w:rsidRPr="00EF3FB7">
        <w:rPr>
          <w:rFonts w:ascii="Times New Roman" w:eastAsia="Times New Roman" w:hAnsi="Times New Roman" w:cs="Times New Roman"/>
          <w:b/>
          <w:bCs/>
          <w:color w:val="232323"/>
          <w:sz w:val="32"/>
          <w:szCs w:val="32"/>
        </w:rPr>
        <w:t>INSURANCE COMPANIES</w:t>
      </w:r>
    </w:p>
    <w:p w:rsidR="00507C81" w:rsidRPr="00EF3FB7" w:rsidRDefault="00507C81" w:rsidP="00507C81">
      <w:pPr>
        <w:spacing w:after="0" w:line="240" w:lineRule="auto"/>
        <w:jc w:val="center"/>
        <w:rPr>
          <w:rFonts w:ascii="Times New Roman" w:eastAsia="Times New Roman" w:hAnsi="Times New Roman" w:cs="Times New Roman"/>
          <w:sz w:val="24"/>
          <w:szCs w:val="24"/>
        </w:rPr>
      </w:pPr>
    </w:p>
    <w:p w:rsidR="008D117E" w:rsidRPr="00EF3FB7" w:rsidRDefault="008D117E" w:rsidP="00507C81">
      <w:pPr>
        <w:spacing w:after="0" w:line="240" w:lineRule="auto"/>
        <w:jc w:val="center"/>
        <w:rPr>
          <w:rFonts w:ascii="Times New Roman" w:eastAsia="Times New Roman" w:hAnsi="Times New Roman" w:cs="Times New Roman"/>
          <w:sz w:val="24"/>
          <w:szCs w:val="24"/>
        </w:rPr>
      </w:pPr>
      <w:r w:rsidRPr="00EF3FB7">
        <w:rPr>
          <w:rFonts w:ascii="Times New Roman" w:eastAsia="Times New Roman" w:hAnsi="Times New Roman" w:cs="Times New Roman"/>
          <w:bCs/>
          <w:color w:val="000000"/>
          <w:sz w:val="24"/>
          <w:szCs w:val="24"/>
        </w:rPr>
        <w:t>______________________________________________________________________________</w:t>
      </w:r>
    </w:p>
    <w:p w:rsidR="00B11BD7" w:rsidRPr="00EF3FB7" w:rsidRDefault="00B11BD7" w:rsidP="009C1EBD">
      <w:pPr>
        <w:pStyle w:val="Heading3"/>
        <w:spacing w:before="0" w:line="360" w:lineRule="auto"/>
        <w:rPr>
          <w:rFonts w:ascii="Times New Roman" w:hAnsi="Times New Roman" w:cs="Times New Roman"/>
          <w:color w:val="auto"/>
          <w:sz w:val="28"/>
          <w:szCs w:val="28"/>
        </w:rPr>
      </w:pPr>
      <w:r w:rsidRPr="00EF3FB7">
        <w:rPr>
          <w:rFonts w:ascii="Times New Roman" w:hAnsi="Times New Roman" w:cs="Times New Roman"/>
          <w:color w:val="auto"/>
          <w:sz w:val="28"/>
          <w:szCs w:val="28"/>
        </w:rPr>
        <w:t>ABSTRACT</w:t>
      </w:r>
    </w:p>
    <w:p w:rsidR="00F14A73" w:rsidRDefault="00F14A73" w:rsidP="009C1EBD">
      <w:pPr>
        <w:pStyle w:val="Heading3"/>
        <w:spacing w:before="0" w:line="360" w:lineRule="auto"/>
        <w:jc w:val="both"/>
        <w:rPr>
          <w:rFonts w:ascii="Times New Roman" w:eastAsia="Times New Roman" w:hAnsi="Times New Roman" w:cs="Times New Roman"/>
          <w:b w:val="0"/>
          <w:bCs w:val="0"/>
          <w:color w:val="000000"/>
          <w:sz w:val="24"/>
          <w:szCs w:val="24"/>
        </w:rPr>
      </w:pPr>
      <w:r w:rsidRPr="00F14A73">
        <w:rPr>
          <w:rFonts w:ascii="Times New Roman" w:eastAsia="Times New Roman" w:hAnsi="Times New Roman" w:cs="Times New Roman"/>
          <w:b w:val="0"/>
          <w:bCs w:val="0"/>
          <w:color w:val="000000"/>
          <w:sz w:val="24"/>
          <w:szCs w:val="24"/>
        </w:rPr>
        <w:t>The health insurance market is highly competitive, requiring insurers to understand the factors influencing policyholders’ selection decisions. Using a quantitative approach and factor analysis, this study was conducted in Madurai during the year 2025 to identify the key determinants driving policyholders in choosing health insurance companies. The findings reveal two major dimensions: the Coverage Factor, which includes customizable policies and a wide hospital network, and the Service Factor, which comprises additional benefits, customer support quality, and comprehensive coverage. The results indicate that insurers should enhance service standards, expand flexible coverage options, and invest in user-friendly digital platforms to improve customer experience. Strengthening transparency, ethical practices, claim settlement efficiency, and value-added benefits will further build trust and customer loyalty. These strategic initiatives are essential for ensuring policyholder satisfaction and sustaining competitive advantage in the health insurance market.</w:t>
      </w:r>
    </w:p>
    <w:p w:rsidR="00B11BD7" w:rsidRPr="00EF3FB7" w:rsidRDefault="00B11BD7" w:rsidP="009C1EBD">
      <w:pPr>
        <w:pStyle w:val="Heading3"/>
        <w:spacing w:before="0" w:line="360" w:lineRule="auto"/>
        <w:jc w:val="both"/>
        <w:rPr>
          <w:rFonts w:ascii="Times New Roman" w:eastAsia="Times New Roman" w:hAnsi="Times New Roman" w:cs="Times New Roman"/>
          <w:bCs w:val="0"/>
          <w:color w:val="000000"/>
          <w:sz w:val="28"/>
          <w:szCs w:val="28"/>
        </w:rPr>
      </w:pPr>
      <w:r w:rsidRPr="00EF3FB7">
        <w:rPr>
          <w:rFonts w:ascii="Times New Roman" w:eastAsia="Times New Roman" w:hAnsi="Times New Roman" w:cs="Times New Roman"/>
          <w:bCs w:val="0"/>
          <w:color w:val="000000"/>
          <w:sz w:val="28"/>
          <w:szCs w:val="28"/>
        </w:rPr>
        <w:t>KEYWORDS</w:t>
      </w:r>
    </w:p>
    <w:p w:rsidR="008D117E" w:rsidRPr="00EF3FB7" w:rsidRDefault="00B11BD7" w:rsidP="002F524E">
      <w:pPr>
        <w:pStyle w:val="NormalWeb"/>
        <w:spacing w:before="0" w:beforeAutospacing="0" w:after="0" w:afterAutospacing="0" w:line="360" w:lineRule="auto"/>
        <w:jc w:val="both"/>
        <w:rPr>
          <w:color w:val="000000"/>
        </w:rPr>
      </w:pPr>
      <w:r w:rsidRPr="00EF3FB7">
        <w:rPr>
          <w:color w:val="000000"/>
        </w:rPr>
        <w:t xml:space="preserve">                 Health insurance, policyholder decisions, service quality, coverage flexibility, factor analysis, insurance selection factors, digital platforms, customer satisfaction</w:t>
      </w:r>
    </w:p>
    <w:p w:rsidR="0053515D" w:rsidRPr="00EF3FB7" w:rsidRDefault="00755941" w:rsidP="009C1EBD">
      <w:pPr>
        <w:shd w:val="clear" w:color="auto" w:fill="FFFFFF"/>
        <w:spacing w:after="0" w:line="360" w:lineRule="auto"/>
        <w:jc w:val="both"/>
        <w:rPr>
          <w:rFonts w:ascii="Times New Roman" w:eastAsia="Times New Roman" w:hAnsi="Times New Roman" w:cs="Times New Roman"/>
          <w:b/>
          <w:bCs/>
          <w:color w:val="232323"/>
          <w:sz w:val="28"/>
          <w:szCs w:val="28"/>
        </w:rPr>
      </w:pPr>
      <w:r w:rsidRPr="00EF3FB7">
        <w:rPr>
          <w:rFonts w:ascii="Times New Roman" w:eastAsia="Times New Roman" w:hAnsi="Times New Roman" w:cs="Times New Roman"/>
          <w:b/>
          <w:bCs/>
          <w:color w:val="232323"/>
          <w:sz w:val="28"/>
          <w:szCs w:val="28"/>
        </w:rPr>
        <w:t>INTRODUCTION</w:t>
      </w:r>
    </w:p>
    <w:p w:rsidR="004726E3" w:rsidRPr="00EF3FB7" w:rsidRDefault="004726E3" w:rsidP="00507C81">
      <w:pPr>
        <w:spacing w:after="0" w:line="360" w:lineRule="auto"/>
        <w:jc w:val="both"/>
        <w:rPr>
          <w:rFonts w:ascii="Times New Roman" w:eastAsia="Times New Roman" w:hAnsi="Times New Roman" w:cs="Times New Roman"/>
          <w:color w:val="222222"/>
          <w:sz w:val="24"/>
          <w:szCs w:val="24"/>
        </w:rPr>
      </w:pPr>
      <w:r w:rsidRPr="00EF3FB7">
        <w:rPr>
          <w:rFonts w:ascii="Times New Roman" w:eastAsia="Times New Roman" w:hAnsi="Times New Roman" w:cs="Times New Roman"/>
          <w:color w:val="222222"/>
          <w:sz w:val="24"/>
          <w:szCs w:val="24"/>
        </w:rPr>
        <w:t xml:space="preserve">Insurance serves as a fundamental mechanism for mitigating and hedging against the risk of unforeseen losses. Although risks are often associated with potential rewards, they also entail the possibility of significant losses. These losses can arise from various factors, both in professional and personal contexts. For instance, when initiating a new venture using personal savings, the </w:t>
      </w:r>
      <w:r w:rsidR="008D117E" w:rsidRPr="00EF3FB7">
        <w:rPr>
          <w:rFonts w:ascii="Times New Roman" w:eastAsia="Times New Roman" w:hAnsi="Times New Roman" w:cs="Times New Roman"/>
          <w:color w:val="222222"/>
          <w:sz w:val="24"/>
          <w:szCs w:val="24"/>
        </w:rPr>
        <w:t xml:space="preserve">outcome may result in either profit or loss. However, if the goods involved in the venture are lost due to an unforeseen event, the opportunity to sell them is entirely forfeited. </w:t>
      </w:r>
      <w:r w:rsidR="007D7066" w:rsidRPr="00EF3FB7">
        <w:rPr>
          <w:rFonts w:ascii="Times New Roman" w:eastAsia="Times New Roman" w:hAnsi="Times New Roman" w:cs="Times New Roman"/>
          <w:color w:val="222222"/>
          <w:sz w:val="24"/>
          <w:szCs w:val="24"/>
        </w:rPr>
        <w:t xml:space="preserve">While business risks can be predicted and may increase profits, unexpected events such as property damage, hospitalization, theft, and other disasters usually cause financial losses. </w:t>
      </w:r>
      <w:r w:rsidRPr="00EF3FB7">
        <w:rPr>
          <w:rFonts w:ascii="Times New Roman" w:eastAsia="Times New Roman" w:hAnsi="Times New Roman" w:cs="Times New Roman"/>
          <w:color w:val="222222"/>
          <w:sz w:val="24"/>
          <w:szCs w:val="24"/>
        </w:rPr>
        <w:t>Consequently, insuring against such risks becomes imperative to safeguard against potential financial detriment.</w:t>
      </w:r>
    </w:p>
    <w:p w:rsidR="00BA128A" w:rsidRPr="00EF3FB7" w:rsidRDefault="00BA128A" w:rsidP="009C1EBD">
      <w:pPr>
        <w:spacing w:after="0" w:line="360" w:lineRule="auto"/>
        <w:ind w:firstLine="720"/>
        <w:jc w:val="both"/>
        <w:rPr>
          <w:rFonts w:ascii="Times New Roman" w:hAnsi="Times New Roman" w:cs="Times New Roman"/>
          <w:sz w:val="24"/>
          <w:szCs w:val="24"/>
        </w:rPr>
      </w:pPr>
      <w:r w:rsidRPr="00EF3FB7">
        <w:rPr>
          <w:rFonts w:ascii="Times New Roman" w:hAnsi="Times New Roman" w:cs="Times New Roman"/>
          <w:sz w:val="24"/>
          <w:szCs w:val="24"/>
        </w:rPr>
        <w:lastRenderedPageBreak/>
        <w:t xml:space="preserve">One of the segments of insurance is health insurance, it serves as a crucial financial safeguard, designed to cover the cost of medical care for individuals and families. By paying a regular premium, policyholders receive coverage that helps offset the expenses associated with healthcare services, including doctor visits, hospital stays, prescription medications, preventive care, and various medical </w:t>
      </w:r>
      <w:r w:rsidR="00847B22" w:rsidRPr="00EF3FB7">
        <w:rPr>
          <w:rFonts w:ascii="Times New Roman" w:hAnsi="Times New Roman" w:cs="Times New Roman"/>
          <w:sz w:val="24"/>
          <w:szCs w:val="24"/>
        </w:rPr>
        <w:t>treatments. The</w:t>
      </w:r>
      <w:r w:rsidRPr="00EF3FB7">
        <w:rPr>
          <w:rFonts w:ascii="Times New Roman" w:hAnsi="Times New Roman" w:cs="Times New Roman"/>
          <w:sz w:val="24"/>
          <w:szCs w:val="24"/>
        </w:rPr>
        <w:t xml:space="preserve"> primary importance of health insurance lies in its ability to mitigate the financial impact of unexpected medical costs. Without</w:t>
      </w:r>
      <w:r w:rsidR="00755941" w:rsidRPr="00EF3FB7">
        <w:rPr>
          <w:rFonts w:ascii="Times New Roman" w:hAnsi="Times New Roman" w:cs="Times New Roman"/>
          <w:sz w:val="24"/>
          <w:szCs w:val="24"/>
        </w:rPr>
        <w:t xml:space="preserve"> health</w:t>
      </w:r>
      <w:r w:rsidRPr="00EF3FB7">
        <w:rPr>
          <w:rFonts w:ascii="Times New Roman" w:hAnsi="Times New Roman" w:cs="Times New Roman"/>
          <w:sz w:val="24"/>
          <w:szCs w:val="24"/>
        </w:rPr>
        <w:t xml:space="preserve"> insurance, the expenses associated with healthcare can be overwhelming, leading to significant financial strain or even the inability to access necessary medical care. Health insurance alleviates this burden by ensuring that individuals are not solely responsible for covering the full cost of medical services.</w:t>
      </w:r>
    </w:p>
    <w:p w:rsidR="004726E3" w:rsidRPr="00EF3FB7" w:rsidRDefault="004726E3" w:rsidP="009C1EBD">
      <w:pPr>
        <w:spacing w:after="0" w:line="360" w:lineRule="auto"/>
        <w:ind w:firstLine="720"/>
        <w:jc w:val="both"/>
        <w:rPr>
          <w:rFonts w:ascii="Times New Roman" w:hAnsi="Times New Roman" w:cs="Times New Roman"/>
          <w:sz w:val="24"/>
          <w:szCs w:val="24"/>
        </w:rPr>
      </w:pPr>
      <w:r w:rsidRPr="00EF3FB7">
        <w:rPr>
          <w:rFonts w:ascii="Times New Roman" w:hAnsi="Times New Roman" w:cs="Times New Roman"/>
          <w:sz w:val="24"/>
          <w:szCs w:val="24"/>
        </w:rPr>
        <w:t>Health insurance is essential for ensuring timely access to medical care, which significantly improves individual health and quality of life. Although some believe that emergency rooms guarantee universal access to care, this view fails to consider the substantial barriers that remain, even in well-supported areas. The Institute of Medicine (IOM) has emphasized that "coverage matters," with their recent multiyear analysis revealing that a lack of health insurance is linked to approximately 18,000 additional deaths annually among uninsured adults.</w:t>
      </w:r>
    </w:p>
    <w:p w:rsidR="004726E3" w:rsidRPr="00EF3FB7" w:rsidRDefault="00755941" w:rsidP="009C1EBD">
      <w:pPr>
        <w:shd w:val="clear" w:color="auto" w:fill="FFFFFF"/>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t>BENEFITS OF HEALTH INSURANCE:</w:t>
      </w:r>
    </w:p>
    <w:p w:rsidR="004726E3" w:rsidRPr="00EF3FB7" w:rsidRDefault="00755941" w:rsidP="009C1EBD">
      <w:pPr>
        <w:shd w:val="clear" w:color="auto" w:fill="FFFFFF"/>
        <w:spacing w:after="0" w:line="360" w:lineRule="auto"/>
        <w:jc w:val="both"/>
        <w:rPr>
          <w:rFonts w:ascii="Times New Roman" w:hAnsi="Times New Roman" w:cs="Times New Roman"/>
          <w:sz w:val="24"/>
          <w:szCs w:val="24"/>
        </w:rPr>
      </w:pPr>
      <w:r w:rsidRPr="00EF3FB7">
        <w:rPr>
          <w:rFonts w:ascii="Times New Roman" w:hAnsi="Times New Roman" w:cs="Times New Roman"/>
          <w:b/>
          <w:bCs/>
          <w:sz w:val="24"/>
          <w:szCs w:val="24"/>
        </w:rPr>
        <w:t>1. A</w:t>
      </w:r>
      <w:r w:rsidR="004726E3" w:rsidRPr="00EF3FB7">
        <w:rPr>
          <w:rFonts w:ascii="Times New Roman" w:hAnsi="Times New Roman" w:cs="Times New Roman"/>
          <w:b/>
          <w:bCs/>
          <w:sz w:val="24"/>
          <w:szCs w:val="24"/>
        </w:rPr>
        <w:t>ccess to Medical Services:</w:t>
      </w:r>
      <w:r w:rsidR="004726E3" w:rsidRPr="00EF3FB7">
        <w:rPr>
          <w:rFonts w:ascii="Times New Roman" w:hAnsi="Times New Roman" w:cs="Times New Roman"/>
          <w:sz w:val="24"/>
          <w:szCs w:val="24"/>
        </w:rPr>
        <w:t xml:space="preserve"> Uninsured individuals generally receive less medical care and experience more delays compared to those with private insurance. On average, uninsured people receive about half the medical care, in financial terms, even when free care is considered. This gap persists even after adjusting for factors like age, income, and health status. Preventive and screening services are less frequently and less timely provided to uninsured adults, leading to later diagnoses and less effective treatments, particularly for conditions such as cancer and cardiovascular issues. Uninsured pregnant women have lower rates of prenatal care, and uninsured individuals are less likely to have a regular healthcare provider or receive all recommended treatments. These discrepancies are especially severe for chronic conditions, with uninsured individuals being less likely to adhere to necessary treatments for conditions like hypertension.</w:t>
      </w:r>
    </w:p>
    <w:p w:rsidR="004726E3" w:rsidRPr="00EF3FB7" w:rsidRDefault="004726E3" w:rsidP="009C1EBD">
      <w:pPr>
        <w:shd w:val="clear" w:color="auto" w:fill="FFFFFF"/>
        <w:spacing w:after="0" w:line="360" w:lineRule="auto"/>
        <w:ind w:firstLine="720"/>
        <w:jc w:val="both"/>
        <w:rPr>
          <w:rFonts w:ascii="Times New Roman" w:hAnsi="Times New Roman" w:cs="Times New Roman"/>
          <w:sz w:val="24"/>
          <w:szCs w:val="24"/>
        </w:rPr>
      </w:pPr>
      <w:r w:rsidRPr="00EF3FB7">
        <w:rPr>
          <w:rFonts w:ascii="Times New Roman" w:hAnsi="Times New Roman" w:cs="Times New Roman"/>
          <w:sz w:val="24"/>
          <w:szCs w:val="24"/>
        </w:rPr>
        <w:t xml:space="preserve">It’s important to recognize that some individuals may choose not to obtain </w:t>
      </w:r>
      <w:r w:rsidR="00755941" w:rsidRPr="00EF3FB7">
        <w:rPr>
          <w:rFonts w:ascii="Times New Roman" w:hAnsi="Times New Roman" w:cs="Times New Roman"/>
          <w:sz w:val="24"/>
          <w:szCs w:val="24"/>
        </w:rPr>
        <w:t xml:space="preserve">health </w:t>
      </w:r>
      <w:r w:rsidRPr="00EF3FB7">
        <w:rPr>
          <w:rFonts w:ascii="Times New Roman" w:hAnsi="Times New Roman" w:cs="Times New Roman"/>
          <w:sz w:val="24"/>
          <w:szCs w:val="24"/>
        </w:rPr>
        <w:t xml:space="preserve">insurance because they don’t expect to need medical care. However, numerous studies that adjust </w:t>
      </w:r>
      <w:r w:rsidRPr="00EF3FB7">
        <w:rPr>
          <w:rFonts w:ascii="Times New Roman" w:hAnsi="Times New Roman" w:cs="Times New Roman"/>
          <w:sz w:val="24"/>
          <w:szCs w:val="24"/>
        </w:rPr>
        <w:lastRenderedPageBreak/>
        <w:t>for variables such as age and health status consistently show that uninsured individuals are less likely to receive necessary medical care. For example, a recent study found that uninsured individuals who experienced an accidental injury or developed a new chronic condition were less likely to seek medical care, and if they did, they were less likely to receive the recommended follow-up treatment.</w:t>
      </w:r>
    </w:p>
    <w:p w:rsidR="004726E3" w:rsidRPr="00EF3FB7" w:rsidRDefault="00AB60D7" w:rsidP="009C1EBD">
      <w:pPr>
        <w:shd w:val="clear" w:color="auto" w:fill="FFFFFF"/>
        <w:spacing w:after="0" w:line="360" w:lineRule="auto"/>
        <w:jc w:val="both"/>
        <w:rPr>
          <w:rFonts w:ascii="Times New Roman" w:hAnsi="Times New Roman" w:cs="Times New Roman"/>
          <w:sz w:val="24"/>
          <w:szCs w:val="24"/>
        </w:rPr>
      </w:pPr>
      <w:r w:rsidRPr="00EF3FB7">
        <w:rPr>
          <w:rFonts w:ascii="Times New Roman" w:hAnsi="Times New Roman" w:cs="Times New Roman"/>
          <w:b/>
          <w:bCs/>
          <w:sz w:val="24"/>
          <w:szCs w:val="24"/>
        </w:rPr>
        <w:t xml:space="preserve">2. </w:t>
      </w:r>
      <w:r w:rsidR="004726E3" w:rsidRPr="00EF3FB7">
        <w:rPr>
          <w:rFonts w:ascii="Times New Roman" w:hAnsi="Times New Roman" w:cs="Times New Roman"/>
          <w:b/>
          <w:bCs/>
          <w:sz w:val="24"/>
          <w:szCs w:val="24"/>
        </w:rPr>
        <w:t>Health Outcomes:</w:t>
      </w:r>
      <w:r w:rsidR="004726E3" w:rsidRPr="00EF3FB7">
        <w:rPr>
          <w:rFonts w:ascii="Times New Roman" w:hAnsi="Times New Roman" w:cs="Times New Roman"/>
          <w:sz w:val="24"/>
          <w:szCs w:val="24"/>
        </w:rPr>
        <w:t xml:space="preserve"> Uninsured individuals tend to experience worse health outcomes, being more prone to illness and premature death compared to those with insurance. On the other hand, having health insurance is strongly associated with better health outcomes. This conclusion is supported by extensive research using diverse data and methods. The risk of death is estimated to be 25 percent higher among uninsured individuals with certain chronic conditions, contributing to the IOM’s estimate of about 18,000 additional deaths annually due to lack of insurance.While some argue that poor health might lead to a lack of insurance rather than the reverse, studies that adjust for this possibility continue to find that being uninsured leads to poorer health outcomes. Further evidence comes from studies on unexpected injuries and new chronic conditions, showing that uninsured individuals are more likely to end their treatment prematurely and report poorer health outcomes.</w:t>
      </w:r>
    </w:p>
    <w:p w:rsidR="004723FF" w:rsidRPr="00EF3FB7" w:rsidRDefault="004723FF" w:rsidP="009C1EBD">
      <w:pPr>
        <w:shd w:val="clear" w:color="auto" w:fill="FFFFFF"/>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t xml:space="preserve">STATEMENT OF THE PROBLEM </w:t>
      </w:r>
    </w:p>
    <w:p w:rsidR="004723FF" w:rsidRPr="00EF3FB7" w:rsidRDefault="004723FF" w:rsidP="009C1EBD">
      <w:pPr>
        <w:shd w:val="clear" w:color="auto" w:fill="FFFFFF"/>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The selection of health insurance providers by policyholders is a complex decision-making process influenced by a variety of factors. Despite the critical importance of health insurance in ensuring access to medical care and financial protection, there remains limited understanding of the specific determinants that drive policyholders' choices. This gap in knowledge can lead to a misalignment between the offerings of health insurance providers and the actual needs and preferences of policyholders, potentially resulting in lower customer satisfaction, reduced policy uptake, and higher rates of policy </w:t>
      </w:r>
      <w:r w:rsidR="00D644FD" w:rsidRPr="00EF3FB7">
        <w:rPr>
          <w:rFonts w:ascii="Times New Roman" w:hAnsi="Times New Roman" w:cs="Times New Roman"/>
          <w:sz w:val="24"/>
          <w:szCs w:val="24"/>
        </w:rPr>
        <w:t>discontinuation. The</w:t>
      </w:r>
      <w:r w:rsidRPr="00EF3FB7">
        <w:rPr>
          <w:rFonts w:ascii="Times New Roman" w:hAnsi="Times New Roman" w:cs="Times New Roman"/>
          <w:sz w:val="24"/>
          <w:szCs w:val="24"/>
        </w:rPr>
        <w:t xml:space="preserve"> problem is further compounded by the diverse nature of policyholders, who may prioritize different aspects of health insurance based on their unique circumstances, such as demographic factors, socioeconomic status, health conditions, and prior experiences with healthcare systems. Without a clear understanding of these determinants, health insurance providers may struggle to design and market products that effectively resonate with their target audience.</w:t>
      </w:r>
    </w:p>
    <w:p w:rsidR="004723FF" w:rsidRPr="00EF3FB7" w:rsidRDefault="004723FF" w:rsidP="009C1EBD">
      <w:pPr>
        <w:shd w:val="clear" w:color="auto" w:fill="FFFFFF"/>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This research seeks to address this problem by systematically identifying and analyzing the key determinants influencing policyholders' </w:t>
      </w:r>
      <w:r w:rsidR="00847B22" w:rsidRPr="00EF3FB7">
        <w:rPr>
          <w:rFonts w:ascii="Times New Roman" w:hAnsi="Times New Roman" w:cs="Times New Roman"/>
          <w:sz w:val="24"/>
          <w:szCs w:val="24"/>
        </w:rPr>
        <w:t xml:space="preserve">in </w:t>
      </w:r>
      <w:r w:rsidRPr="00EF3FB7">
        <w:rPr>
          <w:rFonts w:ascii="Times New Roman" w:hAnsi="Times New Roman" w:cs="Times New Roman"/>
          <w:sz w:val="24"/>
          <w:szCs w:val="24"/>
        </w:rPr>
        <w:t xml:space="preserve">selection of health insurance providers. By doing so, it </w:t>
      </w:r>
      <w:r w:rsidRPr="00EF3FB7">
        <w:rPr>
          <w:rFonts w:ascii="Times New Roman" w:hAnsi="Times New Roman" w:cs="Times New Roman"/>
          <w:sz w:val="24"/>
          <w:szCs w:val="24"/>
        </w:rPr>
        <w:lastRenderedPageBreak/>
        <w:t>aims to provide actionable insights that can guide insurance providers in better aligning their offerings with the expectations and needs of their clients, ultimately contributing to improved policyholder satisfaction and the overall effectiveness of health insurance systems.</w:t>
      </w:r>
    </w:p>
    <w:p w:rsidR="004726E3" w:rsidRPr="00EF3FB7" w:rsidRDefault="004723FF" w:rsidP="009C1EBD">
      <w:pPr>
        <w:shd w:val="clear" w:color="auto" w:fill="FFFFFF"/>
        <w:spacing w:after="0" w:line="360" w:lineRule="auto"/>
        <w:jc w:val="both"/>
        <w:rPr>
          <w:rFonts w:ascii="Times New Roman" w:hAnsi="Times New Roman" w:cs="Times New Roman"/>
          <w:b/>
          <w:bCs/>
          <w:sz w:val="28"/>
          <w:szCs w:val="28"/>
        </w:rPr>
      </w:pPr>
      <w:r w:rsidRPr="00EF3FB7">
        <w:rPr>
          <w:rFonts w:ascii="Times New Roman" w:hAnsi="Times New Roman" w:cs="Times New Roman"/>
          <w:b/>
          <w:bCs/>
          <w:sz w:val="28"/>
          <w:szCs w:val="28"/>
        </w:rPr>
        <w:t>LITERATURE REVIEW</w:t>
      </w:r>
    </w:p>
    <w:p w:rsidR="00AC4DA3" w:rsidRPr="00EF3FB7" w:rsidRDefault="00B937E6" w:rsidP="00570A5B">
      <w:pPr>
        <w:shd w:val="clear" w:color="auto" w:fill="FFFFFF"/>
        <w:spacing w:after="0" w:line="360" w:lineRule="auto"/>
        <w:jc w:val="both"/>
        <w:rPr>
          <w:rFonts w:ascii="Times New Roman" w:hAnsi="Times New Roman" w:cs="Times New Roman"/>
          <w:bCs/>
          <w:sz w:val="24"/>
          <w:szCs w:val="24"/>
        </w:rPr>
      </w:pPr>
      <w:r w:rsidRPr="00EF3FB7">
        <w:rPr>
          <w:rFonts w:ascii="Times New Roman" w:hAnsi="Times New Roman" w:cs="Times New Roman"/>
          <w:bCs/>
          <w:sz w:val="24"/>
          <w:szCs w:val="24"/>
        </w:rPr>
        <w:t>The researcher has reviewed several related studies, particularly focusing on the health insurance sector.</w:t>
      </w:r>
    </w:p>
    <w:p w:rsidR="00160660" w:rsidRPr="00EF3FB7" w:rsidRDefault="003E479A" w:rsidP="00570A5B">
      <w:pPr>
        <w:shd w:val="clear" w:color="auto" w:fill="FFFFFF"/>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69214782"/>
          <w:citation/>
        </w:sdtPr>
        <w:sdtContent>
          <w:r w:rsidRPr="00EF3FB7">
            <w:rPr>
              <w:rFonts w:ascii="Times New Roman" w:hAnsi="Times New Roman" w:cs="Times New Roman"/>
              <w:bCs/>
              <w:sz w:val="24"/>
              <w:szCs w:val="24"/>
            </w:rPr>
            <w:fldChar w:fldCharType="begin"/>
          </w:r>
          <w:r w:rsidR="00BF3BFA" w:rsidRPr="00EF3FB7">
            <w:rPr>
              <w:rFonts w:ascii="Times New Roman" w:hAnsi="Times New Roman" w:cs="Times New Roman"/>
              <w:bCs/>
              <w:sz w:val="24"/>
              <w:szCs w:val="24"/>
              <w:lang w:val="en-IN"/>
            </w:rPr>
            <w:instrText xml:space="preserve"> CITATION Boa131 \l 16393 </w:instrText>
          </w:r>
          <w:r w:rsidRPr="00EF3FB7">
            <w:rPr>
              <w:rFonts w:ascii="Times New Roman" w:hAnsi="Times New Roman" w:cs="Times New Roman"/>
              <w:bCs/>
              <w:sz w:val="24"/>
              <w:szCs w:val="24"/>
            </w:rPr>
            <w:fldChar w:fldCharType="separate"/>
          </w:r>
          <w:r w:rsidR="00BF3BFA" w:rsidRPr="00EF3FB7">
            <w:rPr>
              <w:rFonts w:ascii="Times New Roman" w:hAnsi="Times New Roman" w:cs="Times New Roman"/>
              <w:noProof/>
              <w:sz w:val="24"/>
              <w:szCs w:val="24"/>
              <w:lang w:val="en-IN"/>
            </w:rPr>
            <w:t>(Boateng, 2013)</w:t>
          </w:r>
          <w:r w:rsidRPr="00EF3FB7">
            <w:rPr>
              <w:rFonts w:ascii="Times New Roman" w:hAnsi="Times New Roman" w:cs="Times New Roman"/>
              <w:bCs/>
              <w:sz w:val="24"/>
              <w:szCs w:val="24"/>
            </w:rPr>
            <w:fldChar w:fldCharType="end"/>
          </w:r>
        </w:sdtContent>
      </w:sdt>
      <w:r w:rsidR="00160660" w:rsidRPr="00EF3FB7">
        <w:rPr>
          <w:rFonts w:ascii="Times New Roman" w:hAnsi="Times New Roman" w:cs="Times New Roman"/>
          <w:bCs/>
          <w:sz w:val="24"/>
          <w:szCs w:val="24"/>
        </w:rPr>
        <w:t xml:space="preserve">The study entitled </w:t>
      </w:r>
      <w:r w:rsidR="00160660" w:rsidRPr="00EF3FB7">
        <w:rPr>
          <w:rFonts w:ascii="Times New Roman" w:hAnsi="Times New Roman" w:cs="Times New Roman"/>
          <w:bCs/>
          <w:iCs/>
          <w:sz w:val="24"/>
          <w:szCs w:val="24"/>
        </w:rPr>
        <w:t>“Health Insurance in Ghana: Evaluation of Policyholders’ Perceptions and Factors Influencing Policy Renewal in the Volta Region”</w:t>
      </w:r>
      <w:r w:rsidR="00160660" w:rsidRPr="00EF3FB7">
        <w:rPr>
          <w:rFonts w:ascii="Times New Roman" w:hAnsi="Times New Roman" w:cs="Times New Roman"/>
          <w:bCs/>
          <w:sz w:val="24"/>
          <w:szCs w:val="24"/>
        </w:rPr>
        <w:t xml:space="preserve"> aims to assess individuals’ attitudes toward health insurance policies and the factors influencing their decisions to renew their policies upon expiry. A cross-sectional study was conducted in the Volta Region of Ghana, where 300 respondents were randomly selected and interviewed at the household level. The data were analyzed using STATA software; descriptive statistics were applied to examine the demographic characteristics of the respondents, and a logistic regression model was used to identify the factors influencing enrolment and renewal decisions. The study concludes that the National Health Insurance Scheme (NHIS) has become well established, with clients acknowledging its benefits in maintaining their health and well-being, and it recommends that stakeholders, including the community, intensify awareness efforts to ensure optimal access to health insurance for all.</w:t>
      </w:r>
    </w:p>
    <w:p w:rsidR="00445429" w:rsidRPr="00EF3FB7" w:rsidRDefault="00445429" w:rsidP="00570A5B">
      <w:pPr>
        <w:shd w:val="clear" w:color="auto" w:fill="FFFFFF"/>
        <w:spacing w:after="0" w:line="360" w:lineRule="auto"/>
        <w:jc w:val="both"/>
        <w:rPr>
          <w:rFonts w:ascii="Times New Roman" w:hAnsi="Times New Roman" w:cs="Times New Roman"/>
          <w:bCs/>
          <w:sz w:val="24"/>
          <w:szCs w:val="24"/>
        </w:rPr>
      </w:pPr>
    </w:p>
    <w:p w:rsidR="00445429" w:rsidRPr="00EF3FB7" w:rsidRDefault="003E479A" w:rsidP="00570A5B">
      <w:pPr>
        <w:shd w:val="clear" w:color="auto" w:fill="FFFFFF"/>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69214783"/>
          <w:citation/>
        </w:sdtPr>
        <w:sdtContent>
          <w:r w:rsidRPr="00EF3FB7">
            <w:rPr>
              <w:rFonts w:ascii="Times New Roman" w:hAnsi="Times New Roman" w:cs="Times New Roman"/>
              <w:bCs/>
              <w:sz w:val="24"/>
              <w:szCs w:val="24"/>
            </w:rPr>
            <w:fldChar w:fldCharType="begin"/>
          </w:r>
          <w:r w:rsidR="00445429" w:rsidRPr="00EF3FB7">
            <w:rPr>
              <w:rFonts w:ascii="Times New Roman" w:hAnsi="Times New Roman" w:cs="Times New Roman"/>
              <w:bCs/>
              <w:sz w:val="24"/>
              <w:szCs w:val="24"/>
              <w:lang w:val="en-IN"/>
            </w:rPr>
            <w:instrText xml:space="preserve"> CITATION Pah19 \l 16393 </w:instrText>
          </w:r>
          <w:r w:rsidRPr="00EF3FB7">
            <w:rPr>
              <w:rFonts w:ascii="Times New Roman" w:hAnsi="Times New Roman" w:cs="Times New Roman"/>
              <w:bCs/>
              <w:sz w:val="24"/>
              <w:szCs w:val="24"/>
            </w:rPr>
            <w:fldChar w:fldCharType="separate"/>
          </w:r>
          <w:r w:rsidR="00445429" w:rsidRPr="00EF3FB7">
            <w:rPr>
              <w:rFonts w:ascii="Times New Roman" w:hAnsi="Times New Roman" w:cs="Times New Roman"/>
              <w:noProof/>
              <w:sz w:val="24"/>
              <w:szCs w:val="24"/>
              <w:lang w:val="en-IN"/>
            </w:rPr>
            <w:t>(Pahwa, 2019)</w:t>
          </w:r>
          <w:r w:rsidRPr="00EF3FB7">
            <w:rPr>
              <w:rFonts w:ascii="Times New Roman" w:hAnsi="Times New Roman" w:cs="Times New Roman"/>
              <w:bCs/>
              <w:sz w:val="24"/>
              <w:szCs w:val="24"/>
            </w:rPr>
            <w:fldChar w:fldCharType="end"/>
          </w:r>
        </w:sdtContent>
      </w:sdt>
      <w:r w:rsidR="00445429" w:rsidRPr="00EF3FB7">
        <w:rPr>
          <w:rFonts w:ascii="Times New Roman" w:hAnsi="Times New Roman" w:cs="Times New Roman"/>
          <w:bCs/>
          <w:sz w:val="24"/>
          <w:szCs w:val="24"/>
        </w:rPr>
        <w:t xml:space="preserve">The study titled </w:t>
      </w:r>
      <w:r w:rsidR="00445429" w:rsidRPr="00EF3FB7">
        <w:rPr>
          <w:rFonts w:ascii="Times New Roman" w:hAnsi="Times New Roman" w:cs="Times New Roman"/>
          <w:bCs/>
          <w:iCs/>
          <w:sz w:val="24"/>
          <w:szCs w:val="24"/>
        </w:rPr>
        <w:t>“A Study of Factors Influencing the Purchase Decision of Health Insurance Policies Using AHP Approach”</w:t>
      </w:r>
      <w:r w:rsidR="00445429" w:rsidRPr="00EF3FB7">
        <w:rPr>
          <w:rFonts w:ascii="Times New Roman" w:hAnsi="Times New Roman" w:cs="Times New Roman"/>
          <w:bCs/>
          <w:sz w:val="24"/>
          <w:szCs w:val="24"/>
        </w:rPr>
        <w:t xml:space="preserve"> aims to identify and evaluate the key factors affecting the purchase of health insurance policies by estimating their relative importance through the Analytical Hierarchy Process (AHP). A descriptive study was conducted in Haryana, with data collected from 500 respondents using a structured questionnaire, along with interviews of marketing executives to understand customer perceptions. The analysis, which included factor analysis, Confirmatory Factor Analysis (CFA), and AHP, revealed that demographic, company-related, product-related, psychological, and marketing factors significantly influence purchase decisions, with income, awareness, company goodwill, tax benefits, and agents identified as major determinants.</w:t>
      </w:r>
    </w:p>
    <w:p w:rsidR="00445429" w:rsidRPr="00EF3FB7" w:rsidRDefault="003E479A" w:rsidP="00570A5B">
      <w:pPr>
        <w:shd w:val="clear" w:color="auto" w:fill="FFFFFF"/>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69214784"/>
          <w:citation/>
        </w:sdtPr>
        <w:sdtContent>
          <w:r w:rsidRPr="00EF3FB7">
            <w:rPr>
              <w:rFonts w:ascii="Times New Roman" w:hAnsi="Times New Roman" w:cs="Times New Roman"/>
              <w:bCs/>
              <w:sz w:val="24"/>
              <w:szCs w:val="24"/>
            </w:rPr>
            <w:fldChar w:fldCharType="begin"/>
          </w:r>
          <w:r w:rsidR="007E18FB" w:rsidRPr="00EF3FB7">
            <w:rPr>
              <w:rFonts w:ascii="Times New Roman" w:hAnsi="Times New Roman" w:cs="Times New Roman"/>
              <w:bCs/>
              <w:sz w:val="24"/>
              <w:szCs w:val="24"/>
              <w:lang w:val="en-IN"/>
            </w:rPr>
            <w:instrText xml:space="preserve"> CITATION BIN24 \l 16393 </w:instrText>
          </w:r>
          <w:r w:rsidRPr="00EF3FB7">
            <w:rPr>
              <w:rFonts w:ascii="Times New Roman" w:hAnsi="Times New Roman" w:cs="Times New Roman"/>
              <w:bCs/>
              <w:sz w:val="24"/>
              <w:szCs w:val="24"/>
            </w:rPr>
            <w:fldChar w:fldCharType="separate"/>
          </w:r>
          <w:r w:rsidR="007E18FB" w:rsidRPr="00EF3FB7">
            <w:rPr>
              <w:rFonts w:ascii="Times New Roman" w:hAnsi="Times New Roman" w:cs="Times New Roman"/>
              <w:noProof/>
              <w:sz w:val="24"/>
              <w:szCs w:val="24"/>
              <w:lang w:val="en-IN"/>
            </w:rPr>
            <w:t>(BINGZHI, 2024)</w:t>
          </w:r>
          <w:r w:rsidRPr="00EF3FB7">
            <w:rPr>
              <w:rFonts w:ascii="Times New Roman" w:hAnsi="Times New Roman" w:cs="Times New Roman"/>
              <w:bCs/>
              <w:sz w:val="24"/>
              <w:szCs w:val="24"/>
            </w:rPr>
            <w:fldChar w:fldCharType="end"/>
          </w:r>
        </w:sdtContent>
      </w:sdt>
      <w:r w:rsidR="007E18FB" w:rsidRPr="00EF3FB7">
        <w:rPr>
          <w:rFonts w:ascii="Times New Roman" w:hAnsi="Times New Roman" w:cs="Times New Roman"/>
          <w:bCs/>
          <w:sz w:val="24"/>
          <w:szCs w:val="24"/>
        </w:rPr>
        <w:t xml:space="preserve">The study titled </w:t>
      </w:r>
      <w:r w:rsidR="007E18FB" w:rsidRPr="00EF3FB7">
        <w:rPr>
          <w:rFonts w:ascii="Times New Roman" w:hAnsi="Times New Roman" w:cs="Times New Roman"/>
          <w:bCs/>
          <w:iCs/>
          <w:sz w:val="24"/>
          <w:szCs w:val="24"/>
        </w:rPr>
        <w:t>“Prospective Policy Holders on H</w:t>
      </w:r>
      <w:r w:rsidR="00AB1DC2" w:rsidRPr="00EF3FB7">
        <w:rPr>
          <w:rFonts w:ascii="Times New Roman" w:hAnsi="Times New Roman" w:cs="Times New Roman"/>
          <w:bCs/>
          <w:iCs/>
          <w:sz w:val="24"/>
          <w:szCs w:val="24"/>
        </w:rPr>
        <w:t>ealth Insurance: An Assessment t</w:t>
      </w:r>
      <w:r w:rsidR="007E18FB" w:rsidRPr="00EF3FB7">
        <w:rPr>
          <w:rFonts w:ascii="Times New Roman" w:hAnsi="Times New Roman" w:cs="Times New Roman"/>
          <w:bCs/>
          <w:iCs/>
          <w:sz w:val="24"/>
          <w:szCs w:val="24"/>
        </w:rPr>
        <w:t>owards Marketing Plan Proposal”</w:t>
      </w:r>
      <w:r w:rsidR="007E18FB" w:rsidRPr="00EF3FB7">
        <w:rPr>
          <w:rFonts w:ascii="Times New Roman" w:hAnsi="Times New Roman" w:cs="Times New Roman"/>
          <w:bCs/>
          <w:sz w:val="24"/>
          <w:szCs w:val="24"/>
        </w:rPr>
        <w:t xml:space="preserve"> assesses health insurance from the perspective of </w:t>
      </w:r>
      <w:r w:rsidR="007E18FB" w:rsidRPr="00EF3FB7">
        <w:rPr>
          <w:rFonts w:ascii="Times New Roman" w:hAnsi="Times New Roman" w:cs="Times New Roman"/>
          <w:bCs/>
          <w:sz w:val="24"/>
          <w:szCs w:val="24"/>
        </w:rPr>
        <w:lastRenderedPageBreak/>
        <w:t>policyholders with the objective of formulating a strategic marketing plan. The study also examines the issues encountered by clients. The findings indicate that prospective policyholders strongly agree on the importance of evaluating premium increases, comparing costs across policies, and considering available discounts, while convenience factors such as telemedicine services and user-friendly interfaces are highly valued. Across the five main criteria that are premium, benefits, convenience, security, and claims shows no significant variations were observed in the assessments, leading to the acceptance of the null hypothesis that individual preferences and specific policy features are generally perceived similarly by policyholders. The survey further reveals a common consensus regarding the issues faced in health insurance, highlighting the need for well-formulated strategic marketing plans for health insurance companies.</w:t>
      </w:r>
    </w:p>
    <w:p w:rsidR="007E18FB" w:rsidRDefault="003E479A" w:rsidP="00570A5B">
      <w:pPr>
        <w:shd w:val="clear" w:color="auto" w:fill="FFFFFF"/>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69214785"/>
          <w:citation/>
        </w:sdtPr>
        <w:sdtContent>
          <w:r w:rsidRPr="00EF3FB7">
            <w:rPr>
              <w:rFonts w:ascii="Times New Roman" w:hAnsi="Times New Roman" w:cs="Times New Roman"/>
              <w:bCs/>
              <w:sz w:val="24"/>
              <w:szCs w:val="24"/>
            </w:rPr>
            <w:fldChar w:fldCharType="begin"/>
          </w:r>
          <w:r w:rsidR="000D7160" w:rsidRPr="00EF3FB7">
            <w:rPr>
              <w:rFonts w:ascii="Times New Roman" w:hAnsi="Times New Roman" w:cs="Times New Roman"/>
              <w:bCs/>
              <w:sz w:val="24"/>
              <w:szCs w:val="24"/>
              <w:lang w:val="en-IN"/>
            </w:rPr>
            <w:instrText xml:space="preserve"> CITATION Ger17 \l 16393 </w:instrText>
          </w:r>
          <w:r w:rsidRPr="00EF3FB7">
            <w:rPr>
              <w:rFonts w:ascii="Times New Roman" w:hAnsi="Times New Roman" w:cs="Times New Roman"/>
              <w:bCs/>
              <w:sz w:val="24"/>
              <w:szCs w:val="24"/>
            </w:rPr>
            <w:fldChar w:fldCharType="separate"/>
          </w:r>
          <w:r w:rsidR="000D7160" w:rsidRPr="00EF3FB7">
            <w:rPr>
              <w:rFonts w:ascii="Times New Roman" w:hAnsi="Times New Roman" w:cs="Times New Roman"/>
              <w:noProof/>
              <w:sz w:val="24"/>
              <w:szCs w:val="24"/>
              <w:lang w:val="en-IN"/>
            </w:rPr>
            <w:t>(Geruso, 2017)</w:t>
          </w:r>
          <w:r w:rsidRPr="00EF3FB7">
            <w:rPr>
              <w:rFonts w:ascii="Times New Roman" w:hAnsi="Times New Roman" w:cs="Times New Roman"/>
              <w:bCs/>
              <w:sz w:val="24"/>
              <w:szCs w:val="24"/>
            </w:rPr>
            <w:fldChar w:fldCharType="end"/>
          </w:r>
        </w:sdtContent>
      </w:sdt>
      <w:r w:rsidR="00DA62FA" w:rsidRPr="00EF3FB7">
        <w:rPr>
          <w:rFonts w:ascii="Times New Roman" w:hAnsi="Times New Roman" w:cs="Times New Roman"/>
          <w:bCs/>
          <w:sz w:val="24"/>
          <w:szCs w:val="24"/>
        </w:rPr>
        <w:t xml:space="preserve">The study titled </w:t>
      </w:r>
      <w:r w:rsidR="00DA62FA" w:rsidRPr="00EF3FB7">
        <w:rPr>
          <w:rFonts w:ascii="Times New Roman" w:hAnsi="Times New Roman" w:cs="Times New Roman"/>
          <w:bCs/>
          <w:iCs/>
          <w:sz w:val="24"/>
          <w:szCs w:val="24"/>
        </w:rPr>
        <w:t>“Selection in Health Insurance Markets and Its Policy Remedies”</w:t>
      </w:r>
      <w:r w:rsidR="00DA62FA" w:rsidRPr="00EF3FB7">
        <w:rPr>
          <w:rFonts w:ascii="Times New Roman" w:hAnsi="Times New Roman" w:cs="Times New Roman"/>
          <w:bCs/>
          <w:sz w:val="24"/>
          <w:szCs w:val="24"/>
        </w:rPr>
        <w:t xml:space="preserve"> analyzes adverse selection in publicly financed health insurance programs in the United States, where private insurers increasingly operate through consumer choice mechanisms such as Medicare Advantage and the Marketplaces established under the Patient Protection and Affordable Care Act. While policies such as risk adjustment, premium rating regulations, mandates, subsidies, and contract regulations aim to mitigate selection problems, the study highlights persistent challenges due to heterogeneous cost structures, imperfect competition, and the endogeneity of risk scores. Building on earlier theoretical work on optimal risk adjustment, the study argues that existing payment systems fail to capture all relevant dimensions of expected health care spending. It calls for the development of improved second-best payment policies, including refined risk adjustment mechanisms, carefully designed reinsurance programs that minimize moral hazard, and alternative contract-based compensation approaches, to ensure the long-term stability and efficiency of competitive health insurance markets.</w:t>
      </w:r>
    </w:p>
    <w:p w:rsidR="00FF6A55" w:rsidRPr="00EF3FB7" w:rsidRDefault="00FF6A55" w:rsidP="00570A5B">
      <w:pPr>
        <w:shd w:val="clear" w:color="auto" w:fill="FFFFFF"/>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422466532"/>
          <w:citation/>
        </w:sdtPr>
        <w:sdtContent>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CITATION Ogu19 \l 1033 </w:instrText>
          </w:r>
          <w:r>
            <w:rPr>
              <w:rFonts w:ascii="Times New Roman" w:hAnsi="Times New Roman" w:cs="Times New Roman"/>
              <w:bCs/>
              <w:sz w:val="24"/>
              <w:szCs w:val="24"/>
            </w:rPr>
            <w:fldChar w:fldCharType="separate"/>
          </w:r>
          <w:r w:rsidRPr="00FF6A55">
            <w:rPr>
              <w:rFonts w:ascii="Times New Roman" w:hAnsi="Times New Roman" w:cs="Times New Roman"/>
              <w:noProof/>
              <w:sz w:val="24"/>
              <w:szCs w:val="24"/>
            </w:rPr>
            <w:t>(Ogundeji, 2019)</w:t>
          </w:r>
          <w:r>
            <w:rPr>
              <w:rFonts w:ascii="Times New Roman" w:hAnsi="Times New Roman" w:cs="Times New Roman"/>
              <w:bCs/>
              <w:sz w:val="24"/>
              <w:szCs w:val="24"/>
            </w:rPr>
            <w:fldChar w:fldCharType="end"/>
          </w:r>
        </w:sdtContent>
      </w:sdt>
      <w:r w:rsidRPr="00FF6A55">
        <w:rPr>
          <w:rFonts w:ascii="Times New Roman" w:hAnsi="Times New Roman" w:cs="Times New Roman"/>
          <w:bCs/>
          <w:sz w:val="24"/>
          <w:szCs w:val="24"/>
        </w:rPr>
        <w:t xml:space="preserve">The study titled </w:t>
      </w:r>
      <w:r w:rsidRPr="00FF6A55">
        <w:rPr>
          <w:rFonts w:ascii="Times New Roman" w:hAnsi="Times New Roman" w:cs="Times New Roman"/>
          <w:bCs/>
          <w:i/>
          <w:iCs/>
          <w:sz w:val="24"/>
          <w:szCs w:val="24"/>
        </w:rPr>
        <w:t>Factors Influencing Willingness and Ability to Pay for Social Health Insurance in Nigeria</w:t>
      </w:r>
      <w:r w:rsidRPr="00FF6A55">
        <w:rPr>
          <w:rFonts w:ascii="Times New Roman" w:hAnsi="Times New Roman" w:cs="Times New Roman"/>
          <w:bCs/>
          <w:sz w:val="24"/>
          <w:szCs w:val="24"/>
        </w:rPr>
        <w:t xml:space="preserve"> examines the willingness to pay (WTP) for the newly introduced State Contributory Health Insurance Scheme (SHIS) in Kaduna State, North-West Nigeria, in the context of efforts by low- and middle-income countries to reduce out-of-pocket and catastrophic healthcare expenditures through pre-payment mechanisms. Using a three-stage cluster sampling technique, data were collected from 4,000 individuals across 1,020 households in six local government areas through a household survey, and contingent valuation with a bidding game </w:t>
      </w:r>
      <w:r w:rsidRPr="00FF6A55">
        <w:rPr>
          <w:rFonts w:ascii="Times New Roman" w:hAnsi="Times New Roman" w:cs="Times New Roman"/>
          <w:bCs/>
          <w:sz w:val="24"/>
          <w:szCs w:val="24"/>
        </w:rPr>
        <w:lastRenderedPageBreak/>
        <w:t>approach was employed to estimate WTP. The findings reveal that 82% of household heads were willing to pay insurance premiums, with an average WTP of 513 Naira (1.68 USD) per person per month, although the amount varied between rural and urban areas and was influenced by socioeconomic factors such as household size, education, occupation, and income. However, only 65% of households demonstrated the ability to pay the average premium, indicating the importance of awareness creation and potential public subsidies to bridge the gap between willingness to pay and the actual cost of the benefits package.</w:t>
      </w:r>
    </w:p>
    <w:p w:rsidR="00324BE5" w:rsidRPr="00EF3FB7" w:rsidRDefault="00324BE5" w:rsidP="009C1EBD">
      <w:pPr>
        <w:shd w:val="clear" w:color="auto" w:fill="FFFFFF"/>
        <w:spacing w:after="0" w:line="360" w:lineRule="auto"/>
        <w:rPr>
          <w:rFonts w:ascii="Times New Roman" w:eastAsia="Times New Roman" w:hAnsi="Times New Roman" w:cs="Times New Roman"/>
          <w:color w:val="000000"/>
          <w:sz w:val="28"/>
          <w:szCs w:val="28"/>
        </w:rPr>
      </w:pPr>
      <w:r w:rsidRPr="00EF3FB7">
        <w:rPr>
          <w:rFonts w:ascii="Times New Roman" w:hAnsi="Times New Roman" w:cs="Times New Roman"/>
          <w:b/>
          <w:bCs/>
          <w:sz w:val="28"/>
          <w:szCs w:val="28"/>
        </w:rPr>
        <w:t>RESEARCH GAP:</w:t>
      </w:r>
    </w:p>
    <w:p w:rsidR="003416DD" w:rsidRPr="003416DD" w:rsidRDefault="00324BE5" w:rsidP="003416DD">
      <w:pPr>
        <w:spacing w:after="0" w:line="360" w:lineRule="auto"/>
        <w:jc w:val="both"/>
        <w:rPr>
          <w:rFonts w:ascii="Times New Roman" w:hAnsi="Times New Roman" w:cs="Times New Roman"/>
          <w:sz w:val="24"/>
          <w:szCs w:val="24"/>
        </w:rPr>
      </w:pPr>
      <w:r w:rsidRPr="003416DD">
        <w:rPr>
          <w:rFonts w:ascii="Times New Roman" w:hAnsi="Times New Roman" w:cs="Times New Roman"/>
          <w:sz w:val="24"/>
          <w:szCs w:val="24"/>
        </w:rPr>
        <w:t xml:space="preserve">The previous studies </w:t>
      </w:r>
      <w:r w:rsidR="003416DD" w:rsidRPr="003416DD">
        <w:rPr>
          <w:rFonts w:ascii="Times New Roman" w:hAnsi="Times New Roman" w:cs="Times New Roman"/>
          <w:sz w:val="24"/>
          <w:szCs w:val="24"/>
        </w:rPr>
        <w:t>have made significant contributions by examining health insurance from policy, regulatory</w:t>
      </w:r>
      <w:r w:rsidR="003416DD">
        <w:rPr>
          <w:rFonts w:ascii="Times New Roman" w:hAnsi="Times New Roman" w:cs="Times New Roman"/>
          <w:sz w:val="24"/>
          <w:szCs w:val="24"/>
        </w:rPr>
        <w:t xml:space="preserve">, and market-level perspectives </w:t>
      </w:r>
      <w:r w:rsidR="003416DD" w:rsidRPr="003416DD">
        <w:rPr>
          <w:rFonts w:ascii="Times New Roman" w:hAnsi="Times New Roman" w:cs="Times New Roman"/>
          <w:sz w:val="24"/>
          <w:szCs w:val="24"/>
        </w:rPr>
        <w:t>such as adverse selection, risk adjustment mechanisms, and the performance of publ</w:t>
      </w:r>
      <w:r w:rsidR="003416DD">
        <w:rPr>
          <w:rFonts w:ascii="Times New Roman" w:hAnsi="Times New Roman" w:cs="Times New Roman"/>
          <w:sz w:val="24"/>
          <w:szCs w:val="24"/>
        </w:rPr>
        <w:t xml:space="preserve">icly financed insurance systems </w:t>
      </w:r>
      <w:r w:rsidR="003416DD" w:rsidRPr="003416DD">
        <w:rPr>
          <w:rFonts w:ascii="Times New Roman" w:hAnsi="Times New Roman" w:cs="Times New Roman"/>
          <w:sz w:val="24"/>
          <w:szCs w:val="24"/>
        </w:rPr>
        <w:t>comparatively less attention has been given to understanding how multiple provider-related attributes collectively influence policyholders’ selection of specific health insurance companies. Much of the existing literature emphasizes structural and financial aspects of insurance markets, while limited focus is placed on integrated, policyholder-centric determinants such as additional benefits, ethical and regulatory compliance, company reputation and trustworthiness, claim settlement performance, customer service quality, comprehensiveness and customization of coverage, premium affordability, digital convenience, and hospital network accessibility.</w:t>
      </w:r>
    </w:p>
    <w:p w:rsidR="003416DD" w:rsidRPr="003416DD" w:rsidRDefault="003416DD" w:rsidP="003416DD">
      <w:pPr>
        <w:spacing w:after="0" w:line="360" w:lineRule="auto"/>
        <w:jc w:val="both"/>
        <w:rPr>
          <w:rFonts w:ascii="Times New Roman" w:hAnsi="Times New Roman" w:cs="Times New Roman"/>
          <w:sz w:val="24"/>
          <w:szCs w:val="24"/>
        </w:rPr>
      </w:pPr>
      <w:r w:rsidRPr="003416DD">
        <w:rPr>
          <w:rFonts w:ascii="Times New Roman" w:hAnsi="Times New Roman" w:cs="Times New Roman"/>
          <w:sz w:val="24"/>
          <w:szCs w:val="24"/>
        </w:rPr>
        <w:t xml:space="preserve">Therefore, there is a need for a more comprehensive investigation that examines these factors together to understand how they shape policyholders’ decision-making. The present study titled </w:t>
      </w:r>
      <w:r w:rsidRPr="003416DD">
        <w:rPr>
          <w:rFonts w:ascii="Times New Roman" w:hAnsi="Times New Roman" w:cs="Times New Roman"/>
          <w:iCs/>
          <w:sz w:val="24"/>
          <w:szCs w:val="24"/>
        </w:rPr>
        <w:t>“Factors Drive Policy Holders in Selecting Health Insurance Companies”</w:t>
      </w:r>
      <w:r w:rsidRPr="003416DD">
        <w:rPr>
          <w:rFonts w:ascii="Times New Roman" w:hAnsi="Times New Roman" w:cs="Times New Roman"/>
          <w:sz w:val="24"/>
          <w:szCs w:val="24"/>
        </w:rPr>
        <w:t xml:space="preserve"> seeks to address this gap by providing a broader and integrated perspective on the determinants influencing the selection of health insurance providers.</w:t>
      </w:r>
    </w:p>
    <w:p w:rsidR="00324BE5" w:rsidRPr="00EF3FB7" w:rsidRDefault="00324BE5" w:rsidP="003416DD">
      <w:pPr>
        <w:spacing w:after="0" w:line="360" w:lineRule="auto"/>
        <w:jc w:val="both"/>
        <w:rPr>
          <w:rFonts w:ascii="Times New Roman" w:eastAsia="Times New Roman" w:hAnsi="Times New Roman" w:cs="Times New Roman"/>
          <w:sz w:val="28"/>
          <w:szCs w:val="28"/>
        </w:rPr>
      </w:pPr>
      <w:r w:rsidRPr="00EF3FB7">
        <w:rPr>
          <w:rFonts w:ascii="Times New Roman" w:eastAsia="Times New Roman" w:hAnsi="Times New Roman" w:cs="Times New Roman"/>
          <w:b/>
          <w:bCs/>
          <w:color w:val="000000"/>
          <w:sz w:val="28"/>
          <w:szCs w:val="28"/>
        </w:rPr>
        <w:t xml:space="preserve">OBJECTIVES </w:t>
      </w:r>
    </w:p>
    <w:p w:rsidR="00324BE5" w:rsidRPr="00EF3FB7" w:rsidRDefault="00324BE5" w:rsidP="009C1EBD">
      <w:pPr>
        <w:spacing w:after="0" w:line="360" w:lineRule="auto"/>
        <w:rPr>
          <w:rFonts w:ascii="Times New Roman" w:eastAsia="Times New Roman" w:hAnsi="Times New Roman" w:cs="Times New Roman"/>
          <w:sz w:val="24"/>
          <w:szCs w:val="24"/>
        </w:rPr>
      </w:pPr>
      <w:r w:rsidRPr="00EF3FB7">
        <w:rPr>
          <w:rFonts w:ascii="Times New Roman" w:eastAsia="Times New Roman" w:hAnsi="Times New Roman" w:cs="Times New Roman"/>
          <w:color w:val="000000"/>
          <w:sz w:val="24"/>
          <w:szCs w:val="24"/>
        </w:rPr>
        <w:t xml:space="preserve">The following are the objectives of the study: </w:t>
      </w:r>
    </w:p>
    <w:p w:rsidR="00324BE5" w:rsidRPr="00EF3FB7" w:rsidRDefault="00324BE5" w:rsidP="009C1EBD">
      <w:pPr>
        <w:spacing w:after="0" w:line="360" w:lineRule="auto"/>
        <w:rPr>
          <w:rFonts w:ascii="Times New Roman" w:eastAsia="Times New Roman" w:hAnsi="Times New Roman" w:cs="Times New Roman"/>
          <w:sz w:val="24"/>
          <w:szCs w:val="24"/>
        </w:rPr>
      </w:pPr>
      <w:r w:rsidRPr="00EF3FB7">
        <w:rPr>
          <w:rFonts w:ascii="Times New Roman" w:eastAsia="Times New Roman" w:hAnsi="Times New Roman" w:cs="Times New Roman"/>
          <w:color w:val="000000"/>
          <w:sz w:val="24"/>
          <w:szCs w:val="24"/>
        </w:rPr>
        <w:t xml:space="preserve">1. To study the socio economic profile of the respondents. </w:t>
      </w:r>
    </w:p>
    <w:p w:rsidR="00324BE5" w:rsidRPr="00EF3FB7" w:rsidRDefault="00324BE5" w:rsidP="009C1EBD">
      <w:pPr>
        <w:spacing w:after="0" w:line="360" w:lineRule="auto"/>
        <w:rPr>
          <w:rFonts w:ascii="Times New Roman" w:eastAsia="Times New Roman" w:hAnsi="Times New Roman" w:cs="Times New Roman"/>
          <w:sz w:val="24"/>
          <w:szCs w:val="24"/>
        </w:rPr>
      </w:pPr>
      <w:r w:rsidRPr="00EF3FB7">
        <w:rPr>
          <w:rFonts w:ascii="Times New Roman" w:eastAsia="Times New Roman" w:hAnsi="Times New Roman" w:cs="Times New Roman"/>
          <w:color w:val="000000"/>
          <w:sz w:val="24"/>
          <w:szCs w:val="24"/>
        </w:rPr>
        <w:t xml:space="preserve">2. To examine the factors influencing the policy holders </w:t>
      </w:r>
      <w:r w:rsidR="00E9634F" w:rsidRPr="00EF3FB7">
        <w:rPr>
          <w:rFonts w:ascii="Times New Roman" w:eastAsia="Times New Roman" w:hAnsi="Times New Roman" w:cs="Times New Roman"/>
          <w:color w:val="000000"/>
          <w:sz w:val="24"/>
          <w:szCs w:val="24"/>
        </w:rPr>
        <w:t>in selecting</w:t>
      </w:r>
      <w:r w:rsidRPr="00EF3FB7">
        <w:rPr>
          <w:rFonts w:ascii="Times New Roman" w:eastAsia="Times New Roman" w:hAnsi="Times New Roman" w:cs="Times New Roman"/>
          <w:color w:val="000000"/>
          <w:sz w:val="24"/>
          <w:szCs w:val="24"/>
        </w:rPr>
        <w:t xml:space="preserve"> the health insurance company. </w:t>
      </w:r>
    </w:p>
    <w:p w:rsidR="009F564B" w:rsidRPr="00EF3FB7" w:rsidRDefault="00324BE5" w:rsidP="00AF41A4">
      <w:pPr>
        <w:spacing w:after="0" w:line="360" w:lineRule="auto"/>
        <w:jc w:val="both"/>
        <w:rPr>
          <w:rFonts w:ascii="Times New Roman" w:eastAsia="Times New Roman" w:hAnsi="Times New Roman" w:cs="Times New Roman"/>
          <w:color w:val="000000"/>
          <w:sz w:val="24"/>
          <w:szCs w:val="24"/>
        </w:rPr>
      </w:pPr>
      <w:r w:rsidRPr="00EF3FB7">
        <w:rPr>
          <w:rFonts w:ascii="Times New Roman" w:eastAsia="Times New Roman" w:hAnsi="Times New Roman" w:cs="Times New Roman"/>
          <w:color w:val="000000"/>
          <w:sz w:val="24"/>
          <w:szCs w:val="24"/>
        </w:rPr>
        <w:t>3. To offer suitable suggestion based on the findings.</w:t>
      </w:r>
    </w:p>
    <w:p w:rsidR="005A0AB5" w:rsidRPr="00EF3FB7" w:rsidRDefault="005A0AB5" w:rsidP="00EF3FB7">
      <w:pPr>
        <w:tabs>
          <w:tab w:val="center" w:pos="4680"/>
        </w:tabs>
        <w:spacing w:after="0" w:line="360" w:lineRule="auto"/>
        <w:rPr>
          <w:rFonts w:ascii="Times New Roman" w:eastAsia="Times New Roman" w:hAnsi="Times New Roman" w:cs="Times New Roman"/>
          <w:b/>
          <w:bCs/>
          <w:color w:val="000000"/>
          <w:sz w:val="28"/>
          <w:szCs w:val="28"/>
        </w:rPr>
      </w:pPr>
      <w:r w:rsidRPr="00EF3FB7">
        <w:rPr>
          <w:rFonts w:ascii="Times New Roman" w:eastAsia="Times New Roman" w:hAnsi="Times New Roman" w:cs="Times New Roman"/>
          <w:b/>
          <w:bCs/>
          <w:color w:val="000000"/>
          <w:sz w:val="28"/>
          <w:szCs w:val="28"/>
        </w:rPr>
        <w:t xml:space="preserve">RESEARCH METHODOLOGY </w:t>
      </w:r>
      <w:r w:rsidR="00EF3FB7" w:rsidRPr="00EF3FB7">
        <w:rPr>
          <w:rFonts w:ascii="Times New Roman" w:eastAsia="Times New Roman" w:hAnsi="Times New Roman" w:cs="Times New Roman"/>
          <w:b/>
          <w:bCs/>
          <w:color w:val="000000"/>
          <w:sz w:val="28"/>
          <w:szCs w:val="28"/>
        </w:rPr>
        <w:tab/>
      </w:r>
    </w:p>
    <w:p w:rsidR="003F2B44" w:rsidRPr="00EF3FB7" w:rsidRDefault="003F2B44" w:rsidP="003F2B44">
      <w:pPr>
        <w:spacing w:after="0" w:line="360" w:lineRule="auto"/>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lastRenderedPageBreak/>
        <w:t>Research methodology is the structured approach used to conduct a study and gather relevant information. It includes the design of the research, which outlines the strategy and framework for the study. In this study, the descriptive method is applied to systematically describe the characteristics of the subject under investigation. This methodology involves selecting data collection methods, such as surveys or interviews, and analyzing the data to draw meaningful conclusions. It also addresses sampling techniques and ethical considerations to ensure the research is conducted systematically and responsibly.</w:t>
      </w:r>
    </w:p>
    <w:p w:rsidR="005A0AB5" w:rsidRPr="00EF3FB7" w:rsidRDefault="005A0AB5" w:rsidP="009C1EBD">
      <w:pPr>
        <w:spacing w:after="0" w:line="360" w:lineRule="auto"/>
        <w:rPr>
          <w:rFonts w:ascii="Times New Roman" w:eastAsia="Times New Roman" w:hAnsi="Times New Roman" w:cs="Times New Roman"/>
          <w:b/>
          <w:bCs/>
          <w:color w:val="000000"/>
          <w:sz w:val="28"/>
          <w:szCs w:val="28"/>
        </w:rPr>
      </w:pPr>
      <w:r w:rsidRPr="00EF3FB7">
        <w:rPr>
          <w:rFonts w:ascii="Times New Roman" w:eastAsia="Times New Roman" w:hAnsi="Times New Roman" w:cs="Times New Roman"/>
          <w:b/>
          <w:bCs/>
          <w:color w:val="000000"/>
          <w:sz w:val="28"/>
          <w:szCs w:val="28"/>
        </w:rPr>
        <w:t xml:space="preserve">SAMPLE DESIGN </w:t>
      </w:r>
    </w:p>
    <w:p w:rsidR="00C77BF6" w:rsidRPr="00EF3FB7" w:rsidRDefault="00FA506E" w:rsidP="009C1EBD">
      <w:pPr>
        <w:spacing w:after="0" w:line="360" w:lineRule="auto"/>
        <w:jc w:val="both"/>
        <w:rPr>
          <w:rFonts w:ascii="Times New Roman" w:eastAsia="Times New Roman" w:hAnsi="Times New Roman" w:cs="Times New Roman"/>
          <w:sz w:val="24"/>
          <w:szCs w:val="24"/>
        </w:rPr>
      </w:pPr>
      <w:r w:rsidRPr="00EF3FB7">
        <w:rPr>
          <w:rFonts w:ascii="Times New Roman" w:eastAsia="Times New Roman" w:hAnsi="Times New Roman" w:cs="Times New Roman"/>
          <w:bCs/>
          <w:sz w:val="24"/>
          <w:szCs w:val="24"/>
        </w:rPr>
        <w:t>Sample Design</w:t>
      </w:r>
      <w:r w:rsidRPr="00EF3FB7">
        <w:rPr>
          <w:rFonts w:ascii="Times New Roman" w:eastAsia="Times New Roman" w:hAnsi="Times New Roman" w:cs="Times New Roman"/>
          <w:sz w:val="24"/>
          <w:szCs w:val="24"/>
        </w:rPr>
        <w:t xml:space="preserve"> refers to the strategy and process used to select a subset of individuals from a larger population for research purposes. It involves defining how participants </w:t>
      </w:r>
      <w:r w:rsidR="00AF41A4" w:rsidRPr="00EF3FB7">
        <w:rPr>
          <w:rFonts w:ascii="Times New Roman" w:eastAsia="Times New Roman" w:hAnsi="Times New Roman" w:cs="Times New Roman"/>
          <w:sz w:val="24"/>
          <w:szCs w:val="24"/>
        </w:rPr>
        <w:t>are</w:t>
      </w:r>
      <w:r w:rsidRPr="00EF3FB7">
        <w:rPr>
          <w:rFonts w:ascii="Times New Roman" w:eastAsia="Times New Roman" w:hAnsi="Times New Roman" w:cs="Times New Roman"/>
          <w:sz w:val="24"/>
          <w:szCs w:val="24"/>
        </w:rPr>
        <w:t xml:space="preserve"> chosen, determining the sample size, and ensuring that the sample accurately represents the population. </w:t>
      </w:r>
    </w:p>
    <w:p w:rsidR="00FA506E" w:rsidRPr="00EF3FB7" w:rsidRDefault="00FA506E" w:rsidP="009C1EBD">
      <w:pPr>
        <w:spacing w:after="0" w:line="360" w:lineRule="auto"/>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 xml:space="preserve">In this study, a simple random sampling method </w:t>
      </w:r>
      <w:r w:rsidR="00AF41A4" w:rsidRPr="00EF3FB7">
        <w:rPr>
          <w:rFonts w:ascii="Times New Roman" w:eastAsia="Times New Roman" w:hAnsi="Times New Roman" w:cs="Times New Roman"/>
          <w:sz w:val="24"/>
          <w:szCs w:val="24"/>
        </w:rPr>
        <w:t xml:space="preserve">is used </w:t>
      </w:r>
      <w:r w:rsidRPr="00EF3FB7">
        <w:rPr>
          <w:rFonts w:ascii="Times New Roman" w:eastAsia="Times New Roman" w:hAnsi="Times New Roman" w:cs="Times New Roman"/>
          <w:sz w:val="24"/>
          <w:szCs w:val="24"/>
        </w:rPr>
        <w:t>to select participants. This method ensures that every individual in the population has an equal chance of being selected, thereby enhancing the representativeness and validity of the sample.</w:t>
      </w:r>
    </w:p>
    <w:p w:rsidR="000D7160" w:rsidRPr="00EF3FB7" w:rsidRDefault="000D7160" w:rsidP="009C1EBD">
      <w:pPr>
        <w:spacing w:after="0" w:line="360" w:lineRule="auto"/>
        <w:rPr>
          <w:rFonts w:ascii="Times New Roman" w:eastAsia="Times New Roman" w:hAnsi="Times New Roman" w:cs="Times New Roman"/>
          <w:b/>
          <w:bCs/>
          <w:color w:val="000000"/>
          <w:sz w:val="28"/>
          <w:szCs w:val="28"/>
        </w:rPr>
      </w:pPr>
    </w:p>
    <w:p w:rsidR="005A0AB5" w:rsidRPr="00EF3FB7" w:rsidRDefault="005A0AB5" w:rsidP="009C1EBD">
      <w:pPr>
        <w:spacing w:after="0" w:line="360" w:lineRule="auto"/>
        <w:rPr>
          <w:rFonts w:ascii="Times New Roman" w:eastAsia="Times New Roman" w:hAnsi="Times New Roman" w:cs="Times New Roman"/>
          <w:sz w:val="28"/>
          <w:szCs w:val="28"/>
        </w:rPr>
      </w:pPr>
      <w:r w:rsidRPr="00EF3FB7">
        <w:rPr>
          <w:rFonts w:ascii="Times New Roman" w:eastAsia="Times New Roman" w:hAnsi="Times New Roman" w:cs="Times New Roman"/>
          <w:b/>
          <w:bCs/>
          <w:color w:val="000000"/>
          <w:sz w:val="28"/>
          <w:szCs w:val="28"/>
        </w:rPr>
        <w:t xml:space="preserve">SOURCES OF DATA </w:t>
      </w:r>
    </w:p>
    <w:p w:rsidR="00950D4C" w:rsidRPr="00EF3FB7" w:rsidRDefault="00950D4C" w:rsidP="00950D4C">
      <w:pPr>
        <w:spacing w:after="0" w:line="360" w:lineRule="auto"/>
        <w:jc w:val="both"/>
        <w:rPr>
          <w:rFonts w:ascii="Times New Roman" w:eastAsia="Times New Roman" w:hAnsi="Times New Roman" w:cs="Times New Roman"/>
          <w:bCs/>
          <w:color w:val="000000"/>
          <w:sz w:val="24"/>
          <w:szCs w:val="24"/>
        </w:rPr>
      </w:pPr>
      <w:r w:rsidRPr="00EF3FB7">
        <w:rPr>
          <w:rFonts w:ascii="Times New Roman" w:eastAsia="Times New Roman" w:hAnsi="Times New Roman" w:cs="Times New Roman"/>
          <w:bCs/>
          <w:color w:val="000000"/>
          <w:sz w:val="24"/>
          <w:szCs w:val="24"/>
        </w:rPr>
        <w:t>Research data refers to the sources from which information is obtained. In this study, primary data were collected directly from participants using a self-administered questionnaire. This data provides firsthand information and offers direct insights into the research questions. When used, secondary data comes from existing sources such as published studies, reports, or statistical databases, and serves to complement the primary data by providing additional context and background.</w:t>
      </w:r>
    </w:p>
    <w:p w:rsidR="005A0AB5" w:rsidRPr="00EF3FB7" w:rsidRDefault="005A0AB5" w:rsidP="009C1EBD">
      <w:pPr>
        <w:spacing w:after="0" w:line="360" w:lineRule="auto"/>
        <w:rPr>
          <w:rFonts w:ascii="Times New Roman" w:eastAsia="Times New Roman" w:hAnsi="Times New Roman" w:cs="Times New Roman"/>
          <w:sz w:val="28"/>
          <w:szCs w:val="28"/>
        </w:rPr>
      </w:pPr>
      <w:r w:rsidRPr="00EF3FB7">
        <w:rPr>
          <w:rFonts w:ascii="Times New Roman" w:eastAsia="Times New Roman" w:hAnsi="Times New Roman" w:cs="Times New Roman"/>
          <w:b/>
          <w:bCs/>
          <w:color w:val="000000"/>
          <w:sz w:val="28"/>
          <w:szCs w:val="28"/>
        </w:rPr>
        <w:t xml:space="preserve">SAMPLE SIZE </w:t>
      </w:r>
    </w:p>
    <w:p w:rsidR="005A0AB5" w:rsidRPr="00EF3FB7" w:rsidRDefault="00FA506E" w:rsidP="009C1EBD">
      <w:pPr>
        <w:spacing w:after="0" w:line="360" w:lineRule="auto"/>
        <w:jc w:val="both"/>
        <w:rPr>
          <w:rFonts w:ascii="Times New Roman" w:eastAsia="Times New Roman" w:hAnsi="Times New Roman" w:cs="Times New Roman"/>
          <w:sz w:val="24"/>
          <w:szCs w:val="24"/>
        </w:rPr>
      </w:pPr>
      <w:r w:rsidRPr="00EF3FB7">
        <w:rPr>
          <w:rFonts w:ascii="Times New Roman" w:eastAsia="Times New Roman" w:hAnsi="Times New Roman" w:cs="Times New Roman"/>
          <w:color w:val="000000"/>
          <w:sz w:val="24"/>
          <w:szCs w:val="24"/>
        </w:rPr>
        <w:t>Sample size refers to the number of individuals selected from a larger population for participation in a research study. In this study, the sample size is set at 60 participants. This number is chosen to ensure that the data collected will be statistically meaningful and sufficient to draw reliable conclusions about the research objectives. The sample size of 60 allows for a manageable data collection process while providing enough data to analyze trends and make informed recommendations.</w:t>
      </w:r>
    </w:p>
    <w:p w:rsidR="005A0AB5" w:rsidRPr="00EF3FB7" w:rsidRDefault="005A0AB5" w:rsidP="009C1EBD">
      <w:pPr>
        <w:spacing w:after="0" w:line="360" w:lineRule="auto"/>
        <w:rPr>
          <w:rFonts w:ascii="Times New Roman" w:eastAsia="Times New Roman" w:hAnsi="Times New Roman" w:cs="Times New Roman"/>
          <w:b/>
          <w:bCs/>
          <w:color w:val="000000"/>
          <w:sz w:val="28"/>
          <w:szCs w:val="28"/>
        </w:rPr>
      </w:pPr>
      <w:r w:rsidRPr="00EF3FB7">
        <w:rPr>
          <w:rFonts w:ascii="Times New Roman" w:eastAsia="Times New Roman" w:hAnsi="Times New Roman" w:cs="Times New Roman"/>
          <w:b/>
          <w:bCs/>
          <w:color w:val="000000"/>
          <w:sz w:val="28"/>
          <w:szCs w:val="28"/>
        </w:rPr>
        <w:t xml:space="preserve">TOOLS FOR ANALYSIS: </w:t>
      </w:r>
    </w:p>
    <w:p w:rsidR="00FA506E" w:rsidRPr="00EF3FB7" w:rsidRDefault="00FA506E" w:rsidP="009C1EBD">
      <w:pPr>
        <w:spacing w:after="0" w:line="360" w:lineRule="auto"/>
        <w:jc w:val="both"/>
        <w:rPr>
          <w:rFonts w:ascii="Times New Roman" w:eastAsia="Times New Roman" w:hAnsi="Times New Roman" w:cs="Times New Roman"/>
          <w:color w:val="000000"/>
          <w:sz w:val="24"/>
          <w:szCs w:val="24"/>
        </w:rPr>
      </w:pPr>
      <w:r w:rsidRPr="00EF3FB7">
        <w:rPr>
          <w:rFonts w:ascii="Times New Roman" w:eastAsia="Times New Roman" w:hAnsi="Times New Roman" w:cs="Times New Roman"/>
          <w:color w:val="000000"/>
          <w:sz w:val="24"/>
          <w:szCs w:val="24"/>
        </w:rPr>
        <w:lastRenderedPageBreak/>
        <w:t xml:space="preserve">          Tools for analysis are methods and techniques employed to process, interpret, and evaluate data collected during research. They transform raw data into meaningful insights by applying statistical and analytical techniques, enabling researchers to identify patterns, relationships, and trends. These tools support the formulation of conclusions and recommendations based on the data findings.</w:t>
      </w:r>
    </w:p>
    <w:p w:rsidR="00FA506E" w:rsidRPr="00EF3FB7" w:rsidRDefault="00FA506E" w:rsidP="009C1EBD">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EF3FB7">
        <w:rPr>
          <w:rFonts w:ascii="Times New Roman" w:eastAsia="Times New Roman" w:hAnsi="Times New Roman" w:cs="Times New Roman"/>
          <w:color w:val="000000"/>
          <w:sz w:val="24"/>
          <w:szCs w:val="24"/>
        </w:rPr>
        <w:t>Percentage Analysi</w:t>
      </w:r>
      <w:r w:rsidR="00B258F0" w:rsidRPr="00EF3FB7">
        <w:rPr>
          <w:rFonts w:ascii="Times New Roman" w:eastAsia="Times New Roman" w:hAnsi="Times New Roman" w:cs="Times New Roman"/>
          <w:color w:val="000000"/>
          <w:sz w:val="24"/>
          <w:szCs w:val="24"/>
        </w:rPr>
        <w:t>s</w:t>
      </w:r>
    </w:p>
    <w:p w:rsidR="00FA506E" w:rsidRPr="00EF3FB7" w:rsidRDefault="00FA506E" w:rsidP="009C1EBD">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EF3FB7">
        <w:rPr>
          <w:rFonts w:ascii="Times New Roman" w:eastAsia="Times New Roman" w:hAnsi="Times New Roman" w:cs="Times New Roman"/>
          <w:color w:val="000000"/>
          <w:sz w:val="24"/>
          <w:szCs w:val="24"/>
        </w:rPr>
        <w:t>Factor Analysis</w:t>
      </w:r>
    </w:p>
    <w:p w:rsidR="005A0AB5" w:rsidRPr="00EF3FB7" w:rsidRDefault="00AD3DE7" w:rsidP="009C1EBD">
      <w:pPr>
        <w:spacing w:after="0" w:line="360" w:lineRule="auto"/>
        <w:jc w:val="both"/>
        <w:rPr>
          <w:rFonts w:ascii="Times New Roman" w:hAnsi="Times New Roman" w:cs="Times New Roman"/>
          <w:b/>
          <w:bCs/>
          <w:color w:val="000000"/>
          <w:sz w:val="28"/>
          <w:szCs w:val="28"/>
        </w:rPr>
      </w:pPr>
      <w:r w:rsidRPr="00EF3FB7">
        <w:rPr>
          <w:rFonts w:ascii="Times New Roman" w:hAnsi="Times New Roman" w:cs="Times New Roman"/>
          <w:b/>
          <w:bCs/>
          <w:color w:val="000000"/>
          <w:sz w:val="28"/>
          <w:szCs w:val="28"/>
        </w:rPr>
        <w:t>SCOPE OF THE STUDY</w:t>
      </w:r>
    </w:p>
    <w:p w:rsidR="000D7160" w:rsidRDefault="00AD3DE7"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bCs/>
          <w:sz w:val="24"/>
          <w:szCs w:val="24"/>
        </w:rPr>
        <w:t>The study</w:t>
      </w:r>
      <w:r w:rsidRPr="00EF3FB7">
        <w:rPr>
          <w:rFonts w:ascii="Times New Roman" w:hAnsi="Times New Roman" w:cs="Times New Roman"/>
          <w:sz w:val="24"/>
          <w:szCs w:val="24"/>
        </w:rPr>
        <w:t xml:space="preserve"> focuses on analyzing the factors affecting health insurance choices specifically within Madurai city. The study defines the population, geographical area, and time frame for research, aiming to provide insights into health insurance preferences and determinants in this urban context. This scope ensures a detailed examination of the subject matter while clarifying what will not be covered in the study.</w:t>
      </w:r>
    </w:p>
    <w:p w:rsidR="00F14A73" w:rsidRDefault="00F14A73" w:rsidP="009C1EBD">
      <w:pPr>
        <w:spacing w:after="0" w:line="360" w:lineRule="auto"/>
        <w:jc w:val="both"/>
        <w:rPr>
          <w:rFonts w:ascii="Times New Roman" w:hAnsi="Times New Roman" w:cs="Times New Roman"/>
          <w:sz w:val="24"/>
          <w:szCs w:val="24"/>
        </w:rPr>
      </w:pPr>
    </w:p>
    <w:p w:rsidR="00F14A73" w:rsidRPr="00E14BC2" w:rsidRDefault="00F14A73" w:rsidP="009C1EBD">
      <w:pPr>
        <w:spacing w:after="0" w:line="360" w:lineRule="auto"/>
        <w:jc w:val="both"/>
        <w:rPr>
          <w:rFonts w:ascii="Times New Roman" w:hAnsi="Times New Roman" w:cs="Times New Roman"/>
          <w:sz w:val="24"/>
          <w:szCs w:val="24"/>
        </w:rPr>
      </w:pPr>
    </w:p>
    <w:p w:rsidR="00083494" w:rsidRPr="00EF3FB7" w:rsidRDefault="00F073D5" w:rsidP="009C1EBD">
      <w:pPr>
        <w:spacing w:after="0" w:line="360" w:lineRule="auto"/>
        <w:jc w:val="both"/>
        <w:rPr>
          <w:rFonts w:ascii="Times New Roman" w:hAnsi="Times New Roman" w:cs="Times New Roman"/>
          <w:b/>
          <w:bCs/>
          <w:color w:val="000000"/>
          <w:sz w:val="28"/>
          <w:szCs w:val="28"/>
        </w:rPr>
      </w:pPr>
      <w:r w:rsidRPr="00EF3FB7">
        <w:rPr>
          <w:rFonts w:ascii="Times New Roman" w:hAnsi="Times New Roman" w:cs="Times New Roman"/>
          <w:b/>
          <w:bCs/>
          <w:color w:val="000000"/>
          <w:sz w:val="28"/>
          <w:szCs w:val="28"/>
        </w:rPr>
        <w:t>DATA ANALYSIS AND INTERPRETATION</w:t>
      </w:r>
    </w:p>
    <w:p w:rsidR="00B937E6" w:rsidRPr="00EF3FB7" w:rsidRDefault="00B0273F" w:rsidP="009C1EBD">
      <w:pPr>
        <w:spacing w:after="0" w:line="360" w:lineRule="auto"/>
        <w:jc w:val="both"/>
        <w:rPr>
          <w:rFonts w:ascii="Times New Roman" w:hAnsi="Times New Roman" w:cs="Times New Roman"/>
          <w:bCs/>
          <w:sz w:val="24"/>
          <w:szCs w:val="24"/>
        </w:rPr>
      </w:pPr>
      <w:r w:rsidRPr="00EF3FB7">
        <w:rPr>
          <w:rFonts w:ascii="Times New Roman" w:hAnsi="Times New Roman" w:cs="Times New Roman"/>
          <w:bCs/>
          <w:sz w:val="24"/>
          <w:szCs w:val="24"/>
        </w:rPr>
        <w:t>In this study involves examining the collected data from the self-administered questionnaires to identify patterns and factors influencing health insurance choices among policyholders in Madurai city. This process will help in uncovering key trends and relationships, leading to meaningful insights and conclusions that address the study's objectives and contribute to understanding policyholders' decision-making processes.</w:t>
      </w:r>
    </w:p>
    <w:p w:rsidR="00B258F0" w:rsidRPr="00EF3FB7" w:rsidRDefault="00B258F0" w:rsidP="009C1EBD">
      <w:pPr>
        <w:spacing w:after="0" w:line="360" w:lineRule="auto"/>
        <w:jc w:val="both"/>
        <w:rPr>
          <w:rFonts w:ascii="Times New Roman" w:eastAsia="Times New Roman" w:hAnsi="Times New Roman" w:cs="Times New Roman"/>
          <w:color w:val="000000"/>
          <w:sz w:val="28"/>
          <w:szCs w:val="28"/>
        </w:rPr>
      </w:pPr>
      <w:r w:rsidRPr="00EF3FB7">
        <w:rPr>
          <w:rFonts w:ascii="Times New Roman" w:eastAsia="Times New Roman" w:hAnsi="Times New Roman" w:cs="Times New Roman"/>
          <w:b/>
          <w:color w:val="000000"/>
          <w:sz w:val="28"/>
          <w:szCs w:val="28"/>
        </w:rPr>
        <w:t>PERCENTAGE ANALYSIS:</w:t>
      </w:r>
    </w:p>
    <w:p w:rsidR="009F564B" w:rsidRPr="00EF3FB7" w:rsidRDefault="00B258F0" w:rsidP="009F564B">
      <w:pPr>
        <w:spacing w:after="0" w:line="360" w:lineRule="auto"/>
        <w:jc w:val="both"/>
        <w:rPr>
          <w:rFonts w:ascii="Times New Roman" w:eastAsia="Times New Roman" w:hAnsi="Times New Roman" w:cs="Times New Roman"/>
          <w:color w:val="000000"/>
          <w:sz w:val="24"/>
          <w:szCs w:val="24"/>
        </w:rPr>
      </w:pPr>
      <w:r w:rsidRPr="00EF3FB7">
        <w:rPr>
          <w:rFonts w:ascii="Times New Roman" w:eastAsia="Times New Roman" w:hAnsi="Times New Roman" w:cs="Times New Roman"/>
          <w:color w:val="000000"/>
          <w:sz w:val="24"/>
          <w:szCs w:val="24"/>
        </w:rPr>
        <w:t>This tool involves calculating the proportion of responses for each category to understand the distribution and significance of different variables. It provides a clear summary of the data in an easily interpretable format.</w:t>
      </w:r>
    </w:p>
    <w:p w:rsidR="00EE48B0" w:rsidRPr="00EF3FB7" w:rsidRDefault="00D644FD" w:rsidP="009C1EBD">
      <w:pPr>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TABLE -1</w:t>
      </w:r>
    </w:p>
    <w:p w:rsidR="00EE48B0" w:rsidRPr="00EF3FB7" w:rsidRDefault="00D644FD" w:rsidP="00D644FD">
      <w:pPr>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DEMOGRAPHICS OF THE RESPONDENTS</w:t>
      </w:r>
    </w:p>
    <w:tbl>
      <w:tblPr>
        <w:tblStyle w:val="TableGrid"/>
        <w:tblW w:w="0" w:type="auto"/>
        <w:jc w:val="center"/>
        <w:tblLook w:val="04A0"/>
      </w:tblPr>
      <w:tblGrid>
        <w:gridCol w:w="2726"/>
        <w:gridCol w:w="2852"/>
        <w:gridCol w:w="1943"/>
        <w:gridCol w:w="2055"/>
      </w:tblGrid>
      <w:tr w:rsidR="00A17F15" w:rsidRPr="00EF3FB7" w:rsidTr="00A17F15">
        <w:trPr>
          <w:jc w:val="center"/>
        </w:trPr>
        <w:tc>
          <w:tcPr>
            <w:tcW w:w="2726" w:type="dxa"/>
          </w:tcPr>
          <w:p w:rsidR="00A17F15" w:rsidRPr="00EF3FB7" w:rsidRDefault="00A17F15" w:rsidP="009F564B">
            <w:pPr>
              <w:jc w:val="both"/>
              <w:rPr>
                <w:rFonts w:ascii="Times New Roman" w:hAnsi="Times New Roman" w:cs="Times New Roman"/>
                <w:b/>
                <w:sz w:val="24"/>
                <w:szCs w:val="24"/>
              </w:rPr>
            </w:pPr>
          </w:p>
        </w:tc>
        <w:tc>
          <w:tcPr>
            <w:tcW w:w="2852" w:type="dxa"/>
            <w:vAlign w:val="center"/>
          </w:tcPr>
          <w:p w:rsidR="00A17F15" w:rsidRPr="00EF3FB7" w:rsidRDefault="00A17F15" w:rsidP="009F564B">
            <w:pPr>
              <w:jc w:val="both"/>
              <w:rPr>
                <w:rFonts w:ascii="Times New Roman" w:hAnsi="Times New Roman" w:cs="Times New Roman"/>
                <w:b/>
                <w:sz w:val="24"/>
                <w:szCs w:val="24"/>
              </w:rPr>
            </w:pPr>
          </w:p>
        </w:tc>
        <w:tc>
          <w:tcPr>
            <w:tcW w:w="1943" w:type="dxa"/>
            <w:vAlign w:val="center"/>
          </w:tcPr>
          <w:p w:rsidR="00A17F15" w:rsidRPr="00EF3FB7" w:rsidRDefault="00A17F15" w:rsidP="009F564B">
            <w:pPr>
              <w:jc w:val="center"/>
              <w:rPr>
                <w:rFonts w:ascii="Times New Roman" w:hAnsi="Times New Roman" w:cs="Times New Roman"/>
                <w:b/>
                <w:sz w:val="24"/>
                <w:szCs w:val="24"/>
              </w:rPr>
            </w:pPr>
            <w:r w:rsidRPr="00EF3FB7">
              <w:rPr>
                <w:rFonts w:ascii="Times New Roman" w:hAnsi="Times New Roman" w:cs="Times New Roman"/>
                <w:b/>
                <w:sz w:val="24"/>
                <w:szCs w:val="24"/>
              </w:rPr>
              <w:t>No. of Respondents</w:t>
            </w:r>
          </w:p>
        </w:tc>
        <w:tc>
          <w:tcPr>
            <w:tcW w:w="2055" w:type="dxa"/>
            <w:vAlign w:val="center"/>
          </w:tcPr>
          <w:p w:rsidR="00A17F15" w:rsidRPr="00EF3FB7" w:rsidRDefault="00A17F15" w:rsidP="009F564B">
            <w:pPr>
              <w:jc w:val="center"/>
              <w:rPr>
                <w:rFonts w:ascii="Times New Roman" w:hAnsi="Times New Roman" w:cs="Times New Roman"/>
                <w:b/>
                <w:sz w:val="24"/>
                <w:szCs w:val="24"/>
              </w:rPr>
            </w:pPr>
            <w:r w:rsidRPr="00EF3FB7">
              <w:rPr>
                <w:rFonts w:ascii="Times New Roman" w:hAnsi="Times New Roman" w:cs="Times New Roman"/>
                <w:b/>
                <w:sz w:val="24"/>
                <w:szCs w:val="24"/>
              </w:rPr>
              <w:t>Percentage</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sz w:val="24"/>
                <w:szCs w:val="24"/>
              </w:rPr>
            </w:pPr>
            <w:r w:rsidRPr="00EF3FB7">
              <w:rPr>
                <w:rFonts w:ascii="Times New Roman" w:hAnsi="Times New Roman" w:cs="Times New Roman"/>
                <w:b/>
                <w:color w:val="000000"/>
                <w:sz w:val="24"/>
                <w:szCs w:val="24"/>
                <w:lang w:val="en-US"/>
              </w:rPr>
              <w:t>Gender</w:t>
            </w: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Male</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36</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Female</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24</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40</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color w:val="000000" w:themeColor="text1"/>
                <w:sz w:val="24"/>
                <w:szCs w:val="24"/>
              </w:rPr>
              <w:t>Age</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Below 30 Years</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17</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31 – 40 Years</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46</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78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41 – 50 Years</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Above 50 Years</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sz w:val="24"/>
                <w:szCs w:val="24"/>
              </w:rPr>
              <w:t>Place of residence</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Rural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35</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Urban</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25</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42</w:t>
            </w:r>
          </w:p>
        </w:tc>
      </w:tr>
      <w:tr w:rsidR="00A17F15" w:rsidRPr="00EF3FB7" w:rsidTr="00A17F15">
        <w:trPr>
          <w:trHeight w:val="270"/>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sz w:val="24"/>
                <w:szCs w:val="24"/>
              </w:rPr>
              <w:t>Education Level</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Up to S.S.L.C</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Higher Secondary</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7</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Graduate</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16</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27</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Diploma/ITI</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Post Graduate</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50</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Professionals</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sz w:val="24"/>
                <w:szCs w:val="24"/>
              </w:rPr>
              <w:t>Marital Status</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Married</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47</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78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Unmarried</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13</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22</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sz w:val="24"/>
                <w:szCs w:val="24"/>
              </w:rPr>
              <w:t>Occupation</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Government Employees</w:t>
            </w:r>
          </w:p>
        </w:tc>
        <w:tc>
          <w:tcPr>
            <w:tcW w:w="1943"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5</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Private Employees</w:t>
            </w:r>
          </w:p>
        </w:tc>
        <w:tc>
          <w:tcPr>
            <w:tcW w:w="1943"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18</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30</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Business man</w:t>
            </w:r>
          </w:p>
        </w:tc>
        <w:tc>
          <w:tcPr>
            <w:tcW w:w="1943"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29</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48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Agriculturalist</w:t>
            </w:r>
          </w:p>
        </w:tc>
        <w:tc>
          <w:tcPr>
            <w:tcW w:w="1943"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4</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7</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Professionals</w:t>
            </w:r>
          </w:p>
        </w:tc>
        <w:tc>
          <w:tcPr>
            <w:tcW w:w="1943"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4</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7</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sz w:val="24"/>
                <w:szCs w:val="24"/>
              </w:rPr>
            </w:pPr>
          </w:p>
        </w:tc>
        <w:tc>
          <w:tcPr>
            <w:tcW w:w="2852" w:type="dxa"/>
            <w:vAlign w:val="center"/>
          </w:tcPr>
          <w:p w:rsidR="00A17F15" w:rsidRPr="00EF3FB7" w:rsidRDefault="00A17F15" w:rsidP="009F564B">
            <w:pPr>
              <w:jc w:val="both"/>
              <w:rPr>
                <w:rFonts w:ascii="Times New Roman" w:hAnsi="Times New Roman" w:cs="Times New Roman"/>
                <w:sz w:val="24"/>
                <w:szCs w:val="24"/>
              </w:rPr>
            </w:pPr>
            <w:r w:rsidRPr="00EF3FB7">
              <w:rPr>
                <w:rFonts w:ascii="Times New Roman" w:hAnsi="Times New Roman" w:cs="Times New Roman"/>
                <w:sz w:val="24"/>
                <w:szCs w:val="24"/>
              </w:rPr>
              <w:t>Total</w:t>
            </w:r>
          </w:p>
        </w:tc>
        <w:tc>
          <w:tcPr>
            <w:tcW w:w="1943"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60</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sz w:val="24"/>
                <w:szCs w:val="24"/>
              </w:rPr>
              <w:t>Monthly Income</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Below Rs. 30,000</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Rs. 30,001 – Rs. 40,000</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35</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Rs. 40,001 – Rs. 50,000</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Rs. 50,001 – Rs. 60,000</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14</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23</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Above Rs. 60,001</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7</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color w:val="000000" w:themeColor="text1"/>
                <w:sz w:val="24"/>
                <w:szCs w:val="24"/>
              </w:rPr>
              <w:t>Nature of Family</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Nuclear</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47</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78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Joint Family</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13</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22</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r w:rsidR="00A17F15" w:rsidRPr="00EF3FB7" w:rsidTr="00A17F15">
        <w:trPr>
          <w:jc w:val="center"/>
        </w:trPr>
        <w:tc>
          <w:tcPr>
            <w:tcW w:w="2726" w:type="dxa"/>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eastAsia="Times New Roman" w:hAnsi="Times New Roman" w:cs="Times New Roman"/>
                <w:b/>
                <w:color w:val="000000" w:themeColor="text1"/>
                <w:sz w:val="24"/>
                <w:szCs w:val="24"/>
              </w:rPr>
              <w:t xml:space="preserve">Family size  </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Up to 3</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31</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51</w:t>
            </w:r>
          </w:p>
        </w:tc>
      </w:tr>
      <w:tr w:rsidR="00A17F15" w:rsidRPr="00EF3FB7" w:rsidTr="00A17F15">
        <w:trPr>
          <w:jc w:val="center"/>
        </w:trPr>
        <w:tc>
          <w:tcPr>
            <w:tcW w:w="2726" w:type="dxa"/>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4 – 5</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16</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27</w:t>
            </w:r>
          </w:p>
        </w:tc>
      </w:tr>
      <w:tr w:rsidR="00A17F15" w:rsidRPr="00EF3FB7" w:rsidTr="00A17F15">
        <w:trPr>
          <w:jc w:val="center"/>
        </w:trPr>
        <w:tc>
          <w:tcPr>
            <w:tcW w:w="2726" w:type="dxa"/>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Above 5</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13</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22</w:t>
            </w:r>
          </w:p>
        </w:tc>
      </w:tr>
      <w:tr w:rsidR="00A17F15" w:rsidRPr="00EF3FB7" w:rsidTr="00A17F15">
        <w:trPr>
          <w:jc w:val="center"/>
        </w:trPr>
        <w:tc>
          <w:tcPr>
            <w:tcW w:w="2726" w:type="dxa"/>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bl>
    <w:p w:rsidR="008616A7" w:rsidRPr="00EF3FB7" w:rsidRDefault="008616A7"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Source: </w:t>
      </w:r>
      <w:r w:rsidR="003021B2" w:rsidRPr="00EF3FB7">
        <w:rPr>
          <w:rFonts w:ascii="Times New Roman" w:hAnsi="Times New Roman" w:cs="Times New Roman"/>
          <w:sz w:val="24"/>
          <w:szCs w:val="24"/>
        </w:rPr>
        <w:t>Survey Data (2025)</w:t>
      </w:r>
    </w:p>
    <w:p w:rsidR="00E47192" w:rsidRPr="00EF3FB7" w:rsidRDefault="00E47192" w:rsidP="009C1EBD">
      <w:pPr>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t>INTREPRETATIONS</w:t>
      </w:r>
    </w:p>
    <w:p w:rsidR="009F006C" w:rsidRPr="00EF3FB7" w:rsidRDefault="009F006C"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Table 1 show that</w:t>
      </w:r>
      <w:r w:rsidR="00705D10" w:rsidRPr="00EF3FB7">
        <w:rPr>
          <w:rFonts w:ascii="Times New Roman" w:hAnsi="Times New Roman" w:cs="Times New Roman"/>
          <w:sz w:val="24"/>
          <w:szCs w:val="24"/>
        </w:rPr>
        <w:t xml:space="preserve"> 60 per cent</w:t>
      </w:r>
      <w:r w:rsidRPr="00EF3FB7">
        <w:rPr>
          <w:rFonts w:ascii="Times New Roman" w:hAnsi="Times New Roman" w:cs="Times New Roman"/>
          <w:sz w:val="24"/>
          <w:szCs w:val="24"/>
        </w:rPr>
        <w:t xml:space="preserve"> of the respondents are</w:t>
      </w:r>
      <w:r w:rsidR="00705D10" w:rsidRPr="00EF3FB7">
        <w:rPr>
          <w:rFonts w:ascii="Times New Roman" w:hAnsi="Times New Roman" w:cs="Times New Roman"/>
          <w:sz w:val="24"/>
          <w:szCs w:val="24"/>
        </w:rPr>
        <w:t xml:space="preserve"> being male and 40 per cent</w:t>
      </w:r>
      <w:r w:rsidRPr="00EF3FB7">
        <w:rPr>
          <w:rFonts w:ascii="Times New Roman" w:hAnsi="Times New Roman" w:cs="Times New Roman"/>
          <w:sz w:val="24"/>
          <w:szCs w:val="24"/>
        </w:rPr>
        <w:t xml:space="preserve"> are</w:t>
      </w:r>
      <w:r w:rsidR="00705D10" w:rsidRPr="00EF3FB7">
        <w:rPr>
          <w:rFonts w:ascii="Times New Roman" w:hAnsi="Times New Roman" w:cs="Times New Roman"/>
          <w:sz w:val="24"/>
          <w:szCs w:val="24"/>
        </w:rPr>
        <w:t xml:space="preserve"> female, indicating a slightly higher representation of males.</w:t>
      </w:r>
      <w:r w:rsidRPr="00EF3FB7">
        <w:rPr>
          <w:rFonts w:ascii="Times New Roman" w:hAnsi="Times New Roman" w:cs="Times New Roman"/>
          <w:sz w:val="24"/>
          <w:szCs w:val="24"/>
        </w:rPr>
        <w:t xml:space="preserve"> In terms of age, 78 per cent</w:t>
      </w:r>
      <w:r w:rsidR="00705D10" w:rsidRPr="00EF3FB7">
        <w:rPr>
          <w:rFonts w:ascii="Times New Roman" w:hAnsi="Times New Roman" w:cs="Times New Roman"/>
          <w:sz w:val="24"/>
          <w:szCs w:val="24"/>
        </w:rPr>
        <w:t xml:space="preserve"> are between 31 and 40 years, with 17 per cent below 30 years,</w:t>
      </w:r>
      <w:r w:rsidRPr="00EF3FB7">
        <w:rPr>
          <w:rFonts w:ascii="Times New Roman" w:hAnsi="Times New Roman" w:cs="Times New Roman"/>
          <w:sz w:val="24"/>
          <w:szCs w:val="24"/>
        </w:rPr>
        <w:t>Three</w:t>
      </w:r>
      <w:r w:rsidR="00705D10" w:rsidRPr="00EF3FB7">
        <w:rPr>
          <w:rFonts w:ascii="Times New Roman" w:hAnsi="Times New Roman" w:cs="Times New Roman"/>
          <w:sz w:val="24"/>
          <w:szCs w:val="24"/>
        </w:rPr>
        <w:t xml:space="preserve"> per cent aged </w:t>
      </w:r>
      <w:r w:rsidRPr="00EF3FB7">
        <w:rPr>
          <w:rFonts w:ascii="Times New Roman" w:hAnsi="Times New Roman" w:cs="Times New Roman"/>
          <w:sz w:val="24"/>
          <w:szCs w:val="24"/>
        </w:rPr>
        <w:t xml:space="preserve">between </w:t>
      </w:r>
      <w:r w:rsidR="00705D10" w:rsidRPr="00EF3FB7">
        <w:rPr>
          <w:rFonts w:ascii="Times New Roman" w:hAnsi="Times New Roman" w:cs="Times New Roman"/>
          <w:sz w:val="24"/>
          <w:szCs w:val="24"/>
        </w:rPr>
        <w:t xml:space="preserve">41 to 50, and only </w:t>
      </w:r>
      <w:r w:rsidRPr="00EF3FB7">
        <w:rPr>
          <w:rFonts w:ascii="Times New Roman" w:hAnsi="Times New Roman" w:cs="Times New Roman"/>
          <w:sz w:val="24"/>
          <w:szCs w:val="24"/>
        </w:rPr>
        <w:lastRenderedPageBreak/>
        <w:t>Two</w:t>
      </w:r>
      <w:r w:rsidR="00705D10" w:rsidRPr="00EF3FB7">
        <w:rPr>
          <w:rFonts w:ascii="Times New Roman" w:hAnsi="Times New Roman" w:cs="Times New Roman"/>
          <w:sz w:val="24"/>
          <w:szCs w:val="24"/>
        </w:rPr>
        <w:t xml:space="preserve"> per cent above 50 years. The respondents' place of residence reveals that 58 per cent are from rural areas, while 42 per cent are from urban </w:t>
      </w:r>
      <w:r w:rsidRPr="00EF3FB7">
        <w:rPr>
          <w:rFonts w:ascii="Times New Roman" w:hAnsi="Times New Roman" w:cs="Times New Roman"/>
          <w:sz w:val="24"/>
          <w:szCs w:val="24"/>
        </w:rPr>
        <w:t>areas</w:t>
      </w:r>
      <w:r w:rsidR="00705D10" w:rsidRPr="00EF3FB7">
        <w:rPr>
          <w:rFonts w:ascii="Times New Roman" w:hAnsi="Times New Roman" w:cs="Times New Roman"/>
          <w:sz w:val="24"/>
          <w:szCs w:val="24"/>
        </w:rPr>
        <w:t xml:space="preserve">. Education-wise, </w:t>
      </w:r>
      <w:r w:rsidRPr="00EF3FB7">
        <w:rPr>
          <w:rFonts w:ascii="Times New Roman" w:hAnsi="Times New Roman" w:cs="Times New Roman"/>
          <w:sz w:val="24"/>
          <w:szCs w:val="24"/>
        </w:rPr>
        <w:t xml:space="preserve">50 per cent </w:t>
      </w:r>
      <w:r w:rsidR="00705D10" w:rsidRPr="00EF3FB7">
        <w:rPr>
          <w:rFonts w:ascii="Times New Roman" w:hAnsi="Times New Roman" w:cs="Times New Roman"/>
          <w:sz w:val="24"/>
          <w:szCs w:val="24"/>
        </w:rPr>
        <w:t>of the respondents hold postgraduate degr</w:t>
      </w:r>
      <w:r w:rsidRPr="00EF3FB7">
        <w:rPr>
          <w:rFonts w:ascii="Times New Roman" w:hAnsi="Times New Roman" w:cs="Times New Roman"/>
          <w:sz w:val="24"/>
          <w:szCs w:val="24"/>
        </w:rPr>
        <w:t>ees, 27 per cent are graduates, eight</w:t>
      </w:r>
      <w:r w:rsidR="00705D10" w:rsidRPr="00EF3FB7">
        <w:rPr>
          <w:rFonts w:ascii="Times New Roman" w:hAnsi="Times New Roman" w:cs="Times New Roman"/>
          <w:sz w:val="24"/>
          <w:szCs w:val="24"/>
        </w:rPr>
        <w:t xml:space="preserve"> per cent are professionals, and the remaining hold lower qualifications, including </w:t>
      </w:r>
      <w:r w:rsidRPr="00EF3FB7">
        <w:rPr>
          <w:rFonts w:ascii="Times New Roman" w:hAnsi="Times New Roman" w:cs="Times New Roman"/>
          <w:sz w:val="24"/>
          <w:szCs w:val="24"/>
        </w:rPr>
        <w:t>seven</w:t>
      </w:r>
      <w:r w:rsidR="00705D10" w:rsidRPr="00EF3FB7">
        <w:rPr>
          <w:rFonts w:ascii="Times New Roman" w:hAnsi="Times New Roman" w:cs="Times New Roman"/>
          <w:sz w:val="24"/>
          <w:szCs w:val="24"/>
        </w:rPr>
        <w:t xml:space="preserve"> per cent with higher secondary, </w:t>
      </w:r>
      <w:r w:rsidRPr="00EF3FB7">
        <w:rPr>
          <w:rFonts w:ascii="Times New Roman" w:hAnsi="Times New Roman" w:cs="Times New Roman"/>
          <w:sz w:val="24"/>
          <w:szCs w:val="24"/>
        </w:rPr>
        <w:t>five</w:t>
      </w:r>
      <w:r w:rsidR="00705D10" w:rsidRPr="00EF3FB7">
        <w:rPr>
          <w:rFonts w:ascii="Times New Roman" w:hAnsi="Times New Roman" w:cs="Times New Roman"/>
          <w:sz w:val="24"/>
          <w:szCs w:val="24"/>
        </w:rPr>
        <w:t xml:space="preserve"> per cent up to S.S.L.C, and </w:t>
      </w:r>
      <w:r w:rsidRPr="00EF3FB7">
        <w:rPr>
          <w:rFonts w:ascii="Times New Roman" w:hAnsi="Times New Roman" w:cs="Times New Roman"/>
          <w:sz w:val="24"/>
          <w:szCs w:val="24"/>
        </w:rPr>
        <w:t>three</w:t>
      </w:r>
      <w:r w:rsidR="00705D10" w:rsidRPr="00EF3FB7">
        <w:rPr>
          <w:rFonts w:ascii="Times New Roman" w:hAnsi="Times New Roman" w:cs="Times New Roman"/>
          <w:sz w:val="24"/>
          <w:szCs w:val="24"/>
        </w:rPr>
        <w:t xml:space="preserve"> per cent with a diploma or ITI qualification. In terms of marital status, 78 per cent are married, and 22 per cent are unmarried. Regarding occupation, 48 per cent of respondents are business owners, 30 per cent work in the private sector,</w:t>
      </w:r>
      <w:r w:rsidRPr="00EF3FB7">
        <w:rPr>
          <w:rFonts w:ascii="Times New Roman" w:hAnsi="Times New Roman" w:cs="Times New Roman"/>
          <w:sz w:val="24"/>
          <w:szCs w:val="24"/>
        </w:rPr>
        <w:t xml:space="preserve"> eight</w:t>
      </w:r>
      <w:r w:rsidR="00705D10" w:rsidRPr="00EF3FB7">
        <w:rPr>
          <w:rFonts w:ascii="Times New Roman" w:hAnsi="Times New Roman" w:cs="Times New Roman"/>
          <w:sz w:val="24"/>
          <w:szCs w:val="24"/>
        </w:rPr>
        <w:t xml:space="preserve"> per cent are government employees, and</w:t>
      </w:r>
      <w:r w:rsidRPr="00EF3FB7">
        <w:rPr>
          <w:rFonts w:ascii="Times New Roman" w:hAnsi="Times New Roman" w:cs="Times New Roman"/>
          <w:sz w:val="24"/>
          <w:szCs w:val="24"/>
        </w:rPr>
        <w:t xml:space="preserve"> seven</w:t>
      </w:r>
      <w:r w:rsidR="00705D10" w:rsidRPr="00EF3FB7">
        <w:rPr>
          <w:rFonts w:ascii="Times New Roman" w:hAnsi="Times New Roman" w:cs="Times New Roman"/>
          <w:sz w:val="24"/>
          <w:szCs w:val="24"/>
        </w:rPr>
        <w:t xml:space="preserve"> per cent are agriculturalists </w:t>
      </w:r>
      <w:r w:rsidRPr="00EF3FB7">
        <w:rPr>
          <w:rFonts w:ascii="Times New Roman" w:hAnsi="Times New Roman" w:cs="Times New Roman"/>
          <w:sz w:val="24"/>
          <w:szCs w:val="24"/>
        </w:rPr>
        <w:t xml:space="preserve">and </w:t>
      </w:r>
      <w:r w:rsidR="00705D10" w:rsidRPr="00EF3FB7">
        <w:rPr>
          <w:rFonts w:ascii="Times New Roman" w:hAnsi="Times New Roman" w:cs="Times New Roman"/>
          <w:sz w:val="24"/>
          <w:szCs w:val="24"/>
        </w:rPr>
        <w:t>professionals. The monthly income distri</w:t>
      </w:r>
      <w:r w:rsidRPr="00EF3FB7">
        <w:rPr>
          <w:rFonts w:ascii="Times New Roman" w:hAnsi="Times New Roman" w:cs="Times New Roman"/>
          <w:sz w:val="24"/>
          <w:szCs w:val="24"/>
        </w:rPr>
        <w:t xml:space="preserve">bution shows that 58 per cent of the respondents </w:t>
      </w:r>
      <w:r w:rsidR="00705D10" w:rsidRPr="00EF3FB7">
        <w:rPr>
          <w:rFonts w:ascii="Times New Roman" w:hAnsi="Times New Roman" w:cs="Times New Roman"/>
          <w:sz w:val="24"/>
          <w:szCs w:val="24"/>
        </w:rPr>
        <w:t xml:space="preserve">earn between Rs. 30,001 and Rs. 40,000, while 23 per cent earn between Rs. 50,001 and Rs. 60,000, </w:t>
      </w:r>
      <w:r w:rsidRPr="00EF3FB7">
        <w:rPr>
          <w:rFonts w:ascii="Times New Roman" w:hAnsi="Times New Roman" w:cs="Times New Roman"/>
          <w:sz w:val="24"/>
          <w:szCs w:val="24"/>
        </w:rPr>
        <w:t>eight</w:t>
      </w:r>
      <w:r w:rsidR="00705D10" w:rsidRPr="00EF3FB7">
        <w:rPr>
          <w:rFonts w:ascii="Times New Roman" w:hAnsi="Times New Roman" w:cs="Times New Roman"/>
          <w:sz w:val="24"/>
          <w:szCs w:val="24"/>
        </w:rPr>
        <w:t xml:space="preserve"> per cent earn between Rs. 40,001 and Rs. 50,000, </w:t>
      </w:r>
      <w:r w:rsidRPr="00EF3FB7">
        <w:rPr>
          <w:rFonts w:ascii="Times New Roman" w:hAnsi="Times New Roman" w:cs="Times New Roman"/>
          <w:sz w:val="24"/>
          <w:szCs w:val="24"/>
        </w:rPr>
        <w:t>seven</w:t>
      </w:r>
      <w:r w:rsidR="00705D10" w:rsidRPr="00EF3FB7">
        <w:rPr>
          <w:rFonts w:ascii="Times New Roman" w:hAnsi="Times New Roman" w:cs="Times New Roman"/>
          <w:sz w:val="24"/>
          <w:szCs w:val="24"/>
        </w:rPr>
        <w:t xml:space="preserve"> per cent earn more than Rs. 60,001, and only </w:t>
      </w:r>
      <w:r w:rsidRPr="00EF3FB7">
        <w:rPr>
          <w:rFonts w:ascii="Times New Roman" w:hAnsi="Times New Roman" w:cs="Times New Roman"/>
          <w:sz w:val="24"/>
          <w:szCs w:val="24"/>
        </w:rPr>
        <w:t>three</w:t>
      </w:r>
      <w:r w:rsidR="00705D10" w:rsidRPr="00EF3FB7">
        <w:rPr>
          <w:rFonts w:ascii="Times New Roman" w:hAnsi="Times New Roman" w:cs="Times New Roman"/>
          <w:sz w:val="24"/>
          <w:szCs w:val="24"/>
        </w:rPr>
        <w:t xml:space="preserve"> per cent earn belo</w:t>
      </w:r>
      <w:r w:rsidRPr="00EF3FB7">
        <w:rPr>
          <w:rFonts w:ascii="Times New Roman" w:hAnsi="Times New Roman" w:cs="Times New Roman"/>
          <w:sz w:val="24"/>
          <w:szCs w:val="24"/>
        </w:rPr>
        <w:t xml:space="preserve">w Rs. 30,000. 78 per cent of the respondents </w:t>
      </w:r>
      <w:r w:rsidR="00705D10" w:rsidRPr="00EF3FB7">
        <w:rPr>
          <w:rFonts w:ascii="Times New Roman" w:hAnsi="Times New Roman" w:cs="Times New Roman"/>
          <w:sz w:val="24"/>
          <w:szCs w:val="24"/>
        </w:rPr>
        <w:t xml:space="preserve">belong to nuclear families, while 22 per cent are part of joint families. As for family size, 51 per cent have families with up to three members, 27 per cent have four to five members, and 22 per cent have more than five members. </w:t>
      </w:r>
    </w:p>
    <w:p w:rsidR="0093319E" w:rsidRPr="00EF3FB7" w:rsidRDefault="0093319E" w:rsidP="009C1EBD">
      <w:pPr>
        <w:autoSpaceDE w:val="0"/>
        <w:autoSpaceDN w:val="0"/>
        <w:adjustRightInd w:val="0"/>
        <w:spacing w:after="0" w:line="360" w:lineRule="auto"/>
        <w:jc w:val="both"/>
        <w:rPr>
          <w:rFonts w:ascii="Times New Roman" w:hAnsi="Times New Roman" w:cs="Times New Roman"/>
          <w:b/>
          <w:sz w:val="24"/>
          <w:szCs w:val="24"/>
        </w:rPr>
      </w:pPr>
      <w:r w:rsidRPr="00EF3FB7">
        <w:rPr>
          <w:rFonts w:ascii="Times New Roman" w:hAnsi="Times New Roman" w:cs="Times New Roman"/>
          <w:sz w:val="24"/>
          <w:szCs w:val="24"/>
        </w:rPr>
        <w:t>The results in Table 1 highlight that most participants are middle-aged, married, well-educated, involved in business, have moderate income, and belong to nuclear families</w:t>
      </w:r>
    </w:p>
    <w:p w:rsidR="008616A7" w:rsidRPr="00EF3FB7" w:rsidRDefault="00B258F0" w:rsidP="009C1EBD">
      <w:pPr>
        <w:autoSpaceDE w:val="0"/>
        <w:autoSpaceDN w:val="0"/>
        <w:adjustRightInd w:val="0"/>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t>FACTOR ANALYSIS</w:t>
      </w:r>
    </w:p>
    <w:p w:rsidR="0093319E" w:rsidRPr="00EF3FB7" w:rsidRDefault="00A119B4" w:rsidP="009C1EBD">
      <w:pPr>
        <w:autoSpaceDE w:val="0"/>
        <w:autoSpaceDN w:val="0"/>
        <w:adjustRightInd w:val="0"/>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      It is a statistical method used to identify underlying relationsh</w:t>
      </w:r>
    </w:p>
    <w:p w:rsidR="008616A7" w:rsidRPr="00EF3FB7" w:rsidRDefault="00A119B4" w:rsidP="009C1EBD">
      <w:pPr>
        <w:autoSpaceDE w:val="0"/>
        <w:autoSpaceDN w:val="0"/>
        <w:adjustRightInd w:val="0"/>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ips between variables by grouping them into factors that represent common dimensions. In your study, factor analysis will be employed to uncover the key determinants influencing policyholders' selection of health insurance providers. This technique will help in reducing the complexity of data by identifying the core factors that significantly impact policyholder decisions, thereby providing a clearer understanding of the factors driving health insurance choices.</w:t>
      </w:r>
    </w:p>
    <w:p w:rsidR="005A7F76" w:rsidRPr="00EF3FB7" w:rsidRDefault="005A7F76" w:rsidP="009C1EBD">
      <w:pPr>
        <w:autoSpaceDE w:val="0"/>
        <w:autoSpaceDN w:val="0"/>
        <w:adjustRightInd w:val="0"/>
        <w:spacing w:after="0" w:line="360" w:lineRule="auto"/>
        <w:rPr>
          <w:rFonts w:ascii="Times New Roman" w:hAnsi="Times New Roman" w:cs="Times New Roman"/>
          <w:b/>
          <w:sz w:val="28"/>
          <w:szCs w:val="28"/>
        </w:rPr>
      </w:pPr>
      <w:r w:rsidRPr="00EF3FB7">
        <w:rPr>
          <w:rFonts w:ascii="Times New Roman" w:hAnsi="Times New Roman" w:cs="Times New Roman"/>
          <w:b/>
          <w:sz w:val="28"/>
          <w:szCs w:val="28"/>
        </w:rPr>
        <w:t>KMO AND BARTLETT’S TEST OF SPHERCITY</w:t>
      </w:r>
    </w:p>
    <w:p w:rsidR="005A7F76" w:rsidRPr="00EF3FB7" w:rsidRDefault="005A7F76" w:rsidP="009C1EBD">
      <w:pPr>
        <w:autoSpaceDE w:val="0"/>
        <w:autoSpaceDN w:val="0"/>
        <w:adjustRightInd w:val="0"/>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     To evaluate the quality of the factor analysis, it's necessary to check the reliability and accuracy of the factor reduction. The table provides the results of the KMO and Bartlett's tests.</w:t>
      </w:r>
    </w:p>
    <w:p w:rsidR="008616A7" w:rsidRPr="00EF3FB7" w:rsidRDefault="00121D6A" w:rsidP="009C1EBD">
      <w:pPr>
        <w:autoSpaceDE w:val="0"/>
        <w:autoSpaceDN w:val="0"/>
        <w:adjustRightInd w:val="0"/>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TABLE 2</w:t>
      </w:r>
    </w:p>
    <w:p w:rsidR="008616A7" w:rsidRPr="00EF3FB7" w:rsidRDefault="00121D6A" w:rsidP="009C1EBD">
      <w:pPr>
        <w:autoSpaceDE w:val="0"/>
        <w:autoSpaceDN w:val="0"/>
        <w:adjustRightInd w:val="0"/>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KMO AND BARTLETT’S TEST OF SPHERCITY</w:t>
      </w:r>
    </w:p>
    <w:tbl>
      <w:tblPr>
        <w:tblStyle w:val="TableGrid"/>
        <w:tblW w:w="6004" w:type="dxa"/>
        <w:jc w:val="center"/>
        <w:tblLayout w:type="fixed"/>
        <w:tblLook w:val="0000"/>
      </w:tblPr>
      <w:tblGrid>
        <w:gridCol w:w="2492"/>
        <w:gridCol w:w="2342"/>
        <w:gridCol w:w="1170"/>
      </w:tblGrid>
      <w:tr w:rsidR="008616A7" w:rsidRPr="00EF3FB7" w:rsidTr="002755DF">
        <w:trPr>
          <w:jc w:val="center"/>
        </w:trPr>
        <w:tc>
          <w:tcPr>
            <w:tcW w:w="6004" w:type="dxa"/>
            <w:gridSpan w:val="3"/>
          </w:tcPr>
          <w:p w:rsidR="008616A7" w:rsidRPr="00EF3FB7"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EF3FB7">
              <w:rPr>
                <w:rFonts w:ascii="Times New Roman" w:hAnsi="Times New Roman" w:cs="Times New Roman"/>
                <w:b/>
                <w:bCs/>
                <w:color w:val="000000"/>
                <w:kern w:val="0"/>
                <w:sz w:val="24"/>
                <w:szCs w:val="24"/>
              </w:rPr>
              <w:t>KMO and Bartlett's Test</w:t>
            </w:r>
          </w:p>
        </w:tc>
      </w:tr>
      <w:tr w:rsidR="00F93C51" w:rsidRPr="00EF3FB7" w:rsidTr="002755DF">
        <w:trPr>
          <w:jc w:val="center"/>
        </w:trPr>
        <w:tc>
          <w:tcPr>
            <w:tcW w:w="4834" w:type="dxa"/>
            <w:gridSpan w:val="2"/>
          </w:tcPr>
          <w:p w:rsidR="00F93C51" w:rsidRPr="00EF3FB7" w:rsidRDefault="00041855" w:rsidP="009F564B">
            <w:pPr>
              <w:autoSpaceDE w:val="0"/>
              <w:autoSpaceDN w:val="0"/>
              <w:adjustRightInd w:val="0"/>
              <w:ind w:left="60" w:right="60"/>
              <w:jc w:val="both"/>
              <w:rPr>
                <w:rFonts w:ascii="Times New Roman" w:hAnsi="Times New Roman" w:cs="Times New Roman"/>
                <w:bCs/>
                <w:color w:val="000000"/>
                <w:sz w:val="24"/>
                <w:szCs w:val="24"/>
                <w:highlight w:val="yellow"/>
              </w:rPr>
            </w:pPr>
            <w:r w:rsidRPr="00EF3FB7">
              <w:rPr>
                <w:rFonts w:ascii="Times New Roman" w:hAnsi="Times New Roman" w:cs="Times New Roman"/>
                <w:bCs/>
                <w:color w:val="000000"/>
                <w:sz w:val="24"/>
                <w:szCs w:val="24"/>
              </w:rPr>
              <w:lastRenderedPageBreak/>
              <w:t>Keiser-Meiyer-Olkin</w:t>
            </w:r>
            <w:r w:rsidR="009D5D6F" w:rsidRPr="00EF3FB7">
              <w:rPr>
                <w:rFonts w:ascii="Times New Roman" w:hAnsi="Times New Roman" w:cs="Times New Roman"/>
                <w:bCs/>
                <w:color w:val="000000"/>
                <w:sz w:val="24"/>
                <w:szCs w:val="24"/>
              </w:rPr>
              <w:t>Measure of sampling adequacy</w:t>
            </w:r>
          </w:p>
        </w:tc>
        <w:tc>
          <w:tcPr>
            <w:tcW w:w="1170" w:type="dxa"/>
          </w:tcPr>
          <w:p w:rsidR="00F93C51" w:rsidRPr="00EF3FB7" w:rsidRDefault="002755DF" w:rsidP="009F564B">
            <w:pPr>
              <w:autoSpaceDE w:val="0"/>
              <w:autoSpaceDN w:val="0"/>
              <w:adjustRightInd w:val="0"/>
              <w:ind w:left="60" w:right="60"/>
              <w:jc w:val="center"/>
              <w:rPr>
                <w:rFonts w:ascii="Times New Roman" w:hAnsi="Times New Roman" w:cs="Times New Roman"/>
                <w:bCs/>
                <w:color w:val="000000"/>
                <w:sz w:val="24"/>
                <w:szCs w:val="24"/>
                <w:highlight w:val="yellow"/>
              </w:rPr>
            </w:pPr>
            <w:r w:rsidRPr="00EF3FB7">
              <w:rPr>
                <w:rFonts w:ascii="Times New Roman" w:hAnsi="Times New Roman" w:cs="Times New Roman"/>
                <w:bCs/>
                <w:color w:val="000000"/>
                <w:sz w:val="24"/>
                <w:szCs w:val="24"/>
              </w:rPr>
              <w:t>.902</w:t>
            </w:r>
          </w:p>
        </w:tc>
      </w:tr>
      <w:tr w:rsidR="008616A7" w:rsidRPr="00EF3FB7" w:rsidTr="002755DF">
        <w:trPr>
          <w:jc w:val="center"/>
        </w:trPr>
        <w:tc>
          <w:tcPr>
            <w:tcW w:w="2492" w:type="dxa"/>
            <w:vMerge w:val="restart"/>
          </w:tcPr>
          <w:p w:rsidR="008616A7" w:rsidRPr="00EF3FB7"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Bartlett's Test of Sphericity</w:t>
            </w:r>
          </w:p>
        </w:tc>
        <w:tc>
          <w:tcPr>
            <w:tcW w:w="2342" w:type="dxa"/>
          </w:tcPr>
          <w:p w:rsidR="008616A7" w:rsidRPr="00EF3FB7"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Approx. Chi-Square</w:t>
            </w:r>
          </w:p>
        </w:tc>
        <w:tc>
          <w:tcPr>
            <w:tcW w:w="1170" w:type="dxa"/>
          </w:tcPr>
          <w:p w:rsidR="008616A7" w:rsidRPr="00EF3FB7" w:rsidRDefault="008616A7" w:rsidP="009F564B">
            <w:pPr>
              <w:autoSpaceDE w:val="0"/>
              <w:autoSpaceDN w:val="0"/>
              <w:adjustRightInd w:val="0"/>
              <w:ind w:left="60" w:right="60"/>
              <w:jc w:val="center"/>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459</w:t>
            </w:r>
            <w:r w:rsidR="002755DF" w:rsidRPr="00EF3FB7">
              <w:rPr>
                <w:rFonts w:ascii="Times New Roman" w:hAnsi="Times New Roman" w:cs="Times New Roman"/>
                <w:color w:val="000000"/>
                <w:kern w:val="0"/>
                <w:sz w:val="24"/>
                <w:szCs w:val="24"/>
              </w:rPr>
              <w:t>.013</w:t>
            </w:r>
          </w:p>
        </w:tc>
      </w:tr>
      <w:tr w:rsidR="008616A7" w:rsidRPr="00EF3FB7" w:rsidTr="002755DF">
        <w:trPr>
          <w:jc w:val="center"/>
        </w:trPr>
        <w:tc>
          <w:tcPr>
            <w:tcW w:w="2492" w:type="dxa"/>
            <w:vMerge/>
          </w:tcPr>
          <w:p w:rsidR="008616A7" w:rsidRPr="00EF3FB7" w:rsidRDefault="008616A7" w:rsidP="009F564B">
            <w:pPr>
              <w:autoSpaceDE w:val="0"/>
              <w:autoSpaceDN w:val="0"/>
              <w:adjustRightInd w:val="0"/>
              <w:jc w:val="both"/>
              <w:rPr>
                <w:rFonts w:ascii="Times New Roman" w:hAnsi="Times New Roman" w:cs="Times New Roman"/>
                <w:color w:val="000000"/>
                <w:kern w:val="0"/>
                <w:sz w:val="24"/>
                <w:szCs w:val="24"/>
              </w:rPr>
            </w:pPr>
          </w:p>
        </w:tc>
        <w:tc>
          <w:tcPr>
            <w:tcW w:w="2342" w:type="dxa"/>
          </w:tcPr>
          <w:p w:rsidR="008616A7" w:rsidRPr="00EF3FB7"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df</w:t>
            </w:r>
          </w:p>
        </w:tc>
        <w:tc>
          <w:tcPr>
            <w:tcW w:w="1170" w:type="dxa"/>
          </w:tcPr>
          <w:p w:rsidR="008616A7" w:rsidRPr="00EF3FB7" w:rsidRDefault="008616A7" w:rsidP="009F564B">
            <w:pPr>
              <w:autoSpaceDE w:val="0"/>
              <w:autoSpaceDN w:val="0"/>
              <w:adjustRightInd w:val="0"/>
              <w:ind w:left="60" w:right="60"/>
              <w:jc w:val="center"/>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45</w:t>
            </w:r>
          </w:p>
        </w:tc>
      </w:tr>
      <w:tr w:rsidR="008616A7" w:rsidRPr="00EF3FB7" w:rsidTr="002755DF">
        <w:trPr>
          <w:jc w:val="center"/>
        </w:trPr>
        <w:tc>
          <w:tcPr>
            <w:tcW w:w="2492" w:type="dxa"/>
            <w:vMerge/>
          </w:tcPr>
          <w:p w:rsidR="008616A7" w:rsidRPr="00EF3FB7" w:rsidRDefault="008616A7" w:rsidP="009F564B">
            <w:pPr>
              <w:autoSpaceDE w:val="0"/>
              <w:autoSpaceDN w:val="0"/>
              <w:adjustRightInd w:val="0"/>
              <w:jc w:val="both"/>
              <w:rPr>
                <w:rFonts w:ascii="Times New Roman" w:hAnsi="Times New Roman" w:cs="Times New Roman"/>
                <w:color w:val="000000"/>
                <w:kern w:val="0"/>
                <w:sz w:val="24"/>
                <w:szCs w:val="24"/>
              </w:rPr>
            </w:pPr>
          </w:p>
        </w:tc>
        <w:tc>
          <w:tcPr>
            <w:tcW w:w="2342" w:type="dxa"/>
          </w:tcPr>
          <w:p w:rsidR="008616A7" w:rsidRPr="00EF3FB7"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Sig.</w:t>
            </w:r>
          </w:p>
        </w:tc>
        <w:tc>
          <w:tcPr>
            <w:tcW w:w="1170" w:type="dxa"/>
          </w:tcPr>
          <w:p w:rsidR="008616A7" w:rsidRPr="00EF3FB7" w:rsidRDefault="008616A7" w:rsidP="009F564B">
            <w:pPr>
              <w:autoSpaceDE w:val="0"/>
              <w:autoSpaceDN w:val="0"/>
              <w:adjustRightInd w:val="0"/>
              <w:ind w:left="60" w:right="60"/>
              <w:jc w:val="center"/>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.00</w:t>
            </w:r>
            <w:r w:rsidR="002755DF" w:rsidRPr="00EF3FB7">
              <w:rPr>
                <w:rFonts w:ascii="Times New Roman" w:hAnsi="Times New Roman" w:cs="Times New Roman"/>
                <w:color w:val="000000"/>
                <w:kern w:val="0"/>
                <w:sz w:val="24"/>
                <w:szCs w:val="24"/>
              </w:rPr>
              <w:t>0</w:t>
            </w:r>
          </w:p>
        </w:tc>
      </w:tr>
    </w:tbl>
    <w:p w:rsidR="008616A7" w:rsidRPr="00EF3FB7" w:rsidRDefault="008616A7"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Source: </w:t>
      </w:r>
      <w:r w:rsidR="00057469" w:rsidRPr="00EF3FB7">
        <w:rPr>
          <w:rFonts w:ascii="Times New Roman" w:hAnsi="Times New Roman" w:cs="Times New Roman"/>
          <w:sz w:val="24"/>
          <w:szCs w:val="24"/>
        </w:rPr>
        <w:t>Survey Year (2025)</w:t>
      </w:r>
    </w:p>
    <w:p w:rsidR="002478C9" w:rsidRPr="00EF3FB7" w:rsidRDefault="002478C9" w:rsidP="009C1EBD">
      <w:pPr>
        <w:autoSpaceDE w:val="0"/>
        <w:autoSpaceDN w:val="0"/>
        <w:adjustRightInd w:val="0"/>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The KMO test evaluates sampling adequacy, relying on the correlations and partial correlations of variables. For factor analysis to be satisfactory, the KMO value should be greater than 0.5. Kaiser (1974) suggests that a value of 0.5 is the minimum acceptable level, values between 0.7 and 0.8 are considered acceptable, and values above 0.9 are excellent. In Table 2, the KMO value is reported as 0.</w:t>
      </w:r>
      <w:r w:rsidR="002755DF" w:rsidRPr="00EF3FB7">
        <w:rPr>
          <w:rFonts w:ascii="Times New Roman" w:hAnsi="Times New Roman" w:cs="Times New Roman"/>
          <w:sz w:val="24"/>
          <w:szCs w:val="24"/>
        </w:rPr>
        <w:t>902</w:t>
      </w:r>
      <w:r w:rsidRPr="00EF3FB7">
        <w:rPr>
          <w:rFonts w:ascii="Times New Roman" w:hAnsi="Times New Roman" w:cs="Times New Roman"/>
          <w:sz w:val="24"/>
          <w:szCs w:val="24"/>
        </w:rPr>
        <w:t>, indicating that factor analysis is appropriate for the selected variables in this dataset.</w:t>
      </w:r>
    </w:p>
    <w:p w:rsidR="002478C9" w:rsidRPr="00EF3FB7" w:rsidRDefault="002478C9" w:rsidP="009C1EBD">
      <w:pPr>
        <w:autoSpaceDE w:val="0"/>
        <w:autoSpaceDN w:val="0"/>
        <w:adjustRightInd w:val="0"/>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Bartlett’s test further assesses the strength of relationships among variables by testing the null hypothesis that the correlation matrix is an identity matrix, where all diagonal elements are nearly 0. According to Table 2, the Bartlett’s Test of Sphericity yields a test value of 459 with </w:t>
      </w:r>
      <w:r w:rsidR="00121D6A" w:rsidRPr="00EF3FB7">
        <w:rPr>
          <w:rFonts w:ascii="Times New Roman" w:hAnsi="Times New Roman" w:cs="Times New Roman"/>
          <w:sz w:val="24"/>
          <w:szCs w:val="24"/>
        </w:rPr>
        <w:t>45</w:t>
      </w:r>
      <w:r w:rsidRPr="00EF3FB7">
        <w:rPr>
          <w:rFonts w:ascii="Times New Roman" w:hAnsi="Times New Roman" w:cs="Times New Roman"/>
          <w:sz w:val="24"/>
          <w:szCs w:val="24"/>
        </w:rPr>
        <w:t xml:space="preserve"> degrees of freedom. The significance level is le</w:t>
      </w:r>
      <w:r w:rsidR="00BC56B6" w:rsidRPr="00EF3FB7">
        <w:rPr>
          <w:rFonts w:ascii="Times New Roman" w:hAnsi="Times New Roman" w:cs="Times New Roman"/>
          <w:sz w:val="24"/>
          <w:szCs w:val="24"/>
        </w:rPr>
        <w:t>ss than 0.05 (specifically 0.000</w:t>
      </w:r>
      <w:r w:rsidRPr="00EF3FB7">
        <w:rPr>
          <w:rFonts w:ascii="Times New Roman" w:hAnsi="Times New Roman" w:cs="Times New Roman"/>
          <w:sz w:val="24"/>
          <w:szCs w:val="24"/>
        </w:rPr>
        <w:t>), which is sufficient to reject the null hypothesis (p &lt; 0.05). This means the correlation matrix is not an identity matrix, confirming the existence of correlations between the variables.</w:t>
      </w:r>
    </w:p>
    <w:p w:rsidR="00121D6A" w:rsidRPr="00EF3FB7" w:rsidRDefault="00705D10" w:rsidP="009C1EBD">
      <w:pPr>
        <w:autoSpaceDE w:val="0"/>
        <w:autoSpaceDN w:val="0"/>
        <w:adjustRightInd w:val="0"/>
        <w:spacing w:after="0" w:line="360" w:lineRule="auto"/>
        <w:rPr>
          <w:rFonts w:ascii="Times New Roman" w:hAnsi="Times New Roman" w:cs="Times New Roman"/>
          <w:b/>
          <w:sz w:val="28"/>
          <w:szCs w:val="28"/>
        </w:rPr>
      </w:pPr>
      <w:r w:rsidRPr="00EF3FB7">
        <w:rPr>
          <w:rFonts w:ascii="Times New Roman" w:hAnsi="Times New Roman" w:cs="Times New Roman"/>
          <w:b/>
          <w:sz w:val="28"/>
          <w:szCs w:val="28"/>
        </w:rPr>
        <w:t>COMPONENT MATRIX AND ROTATED FACTOR MATRIX</w:t>
      </w:r>
    </w:p>
    <w:p w:rsidR="00705D10" w:rsidRPr="00EF3FB7" w:rsidRDefault="00121D6A" w:rsidP="009C1EBD">
      <w:pPr>
        <w:autoSpaceDE w:val="0"/>
        <w:autoSpaceDN w:val="0"/>
        <w:adjustRightInd w:val="0"/>
        <w:spacing w:after="0" w:line="360" w:lineRule="auto"/>
        <w:jc w:val="both"/>
        <w:rPr>
          <w:rFonts w:ascii="Times New Roman" w:hAnsi="Times New Roman" w:cs="Times New Roman"/>
          <w:b/>
          <w:sz w:val="24"/>
          <w:szCs w:val="24"/>
        </w:rPr>
      </w:pPr>
      <w:r w:rsidRPr="00EF3FB7">
        <w:rPr>
          <w:rFonts w:ascii="Times New Roman" w:hAnsi="Times New Roman" w:cs="Times New Roman"/>
          <w:sz w:val="24"/>
          <w:szCs w:val="24"/>
        </w:rPr>
        <w:t xml:space="preserve">The Principal Component Analysis (PCA) method of factor analysis revealed two main dimensions from the data on factors influencing policyholders' selection of health insurance companies. These dimensions are defined as standardized variables, known as factors. The coefficient values obtained are used to calculate factor scores for each dimension, reflecting the contribution of each variable to these grouped factors. Rotated factor loadings are crucial for interpreting the results, as highlighted by Field (2000). The researcher opts for the rotated matrix, which shows the loadings after rotation for better clarity, whereas the factor matrix shows them before rotation. To simplify interpretation, a cut-off point of 0.5 is generally used, though there is no strict rule. Factors with loadings below 0.5 or those that load on multiple factors are excluded from further analysis. Table 3 provides the rotated factor matrix, with variables for each factor organized in descending order and highlighted. For clarity, the dimensions are labeled as the </w:t>
      </w:r>
      <w:r w:rsidRPr="00EF3FB7">
        <w:rPr>
          <w:rFonts w:ascii="Times New Roman" w:hAnsi="Times New Roman" w:cs="Times New Roman"/>
          <w:iCs/>
          <w:sz w:val="24"/>
          <w:szCs w:val="24"/>
        </w:rPr>
        <w:t>service factor</w:t>
      </w:r>
      <w:r w:rsidRPr="00EF3FB7">
        <w:rPr>
          <w:rFonts w:ascii="Times New Roman" w:hAnsi="Times New Roman" w:cs="Times New Roman"/>
          <w:sz w:val="24"/>
          <w:szCs w:val="24"/>
        </w:rPr>
        <w:t xml:space="preserve"> for the first dimension and the </w:t>
      </w:r>
      <w:r w:rsidRPr="00EF3FB7">
        <w:rPr>
          <w:rFonts w:ascii="Times New Roman" w:hAnsi="Times New Roman" w:cs="Times New Roman"/>
          <w:iCs/>
          <w:sz w:val="24"/>
          <w:szCs w:val="24"/>
        </w:rPr>
        <w:t>coverage factor</w:t>
      </w:r>
      <w:r w:rsidRPr="00EF3FB7">
        <w:rPr>
          <w:rFonts w:ascii="Times New Roman" w:hAnsi="Times New Roman" w:cs="Times New Roman"/>
          <w:sz w:val="24"/>
          <w:szCs w:val="24"/>
        </w:rPr>
        <w:t xml:space="preserve"> for the second dimension. The descriptive statistics for these factors are also presented in Table 3.</w:t>
      </w:r>
    </w:p>
    <w:p w:rsidR="005762F4" w:rsidRDefault="005762F4" w:rsidP="009C1EBD">
      <w:pPr>
        <w:autoSpaceDE w:val="0"/>
        <w:autoSpaceDN w:val="0"/>
        <w:adjustRightInd w:val="0"/>
        <w:spacing w:after="0" w:line="360" w:lineRule="auto"/>
        <w:jc w:val="center"/>
        <w:rPr>
          <w:rFonts w:ascii="Times New Roman" w:hAnsi="Times New Roman" w:cs="Times New Roman"/>
          <w:b/>
          <w:sz w:val="24"/>
          <w:szCs w:val="24"/>
        </w:rPr>
      </w:pPr>
    </w:p>
    <w:p w:rsidR="00705D10" w:rsidRPr="00EF3FB7" w:rsidRDefault="00121D6A" w:rsidP="009C1EBD">
      <w:pPr>
        <w:autoSpaceDE w:val="0"/>
        <w:autoSpaceDN w:val="0"/>
        <w:adjustRightInd w:val="0"/>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lastRenderedPageBreak/>
        <w:t>TABLE 3</w:t>
      </w:r>
    </w:p>
    <w:p w:rsidR="00705D10" w:rsidRPr="00EF3FB7" w:rsidRDefault="00705D10" w:rsidP="009C1EBD">
      <w:pPr>
        <w:spacing w:after="0" w:line="360" w:lineRule="auto"/>
        <w:jc w:val="center"/>
        <w:rPr>
          <w:rFonts w:ascii="Times New Roman" w:eastAsia="Calibri" w:hAnsi="Times New Roman" w:cs="Times New Roman"/>
          <w:b/>
          <w:sz w:val="24"/>
          <w:szCs w:val="24"/>
        </w:rPr>
      </w:pPr>
      <w:r w:rsidRPr="00EF3FB7">
        <w:rPr>
          <w:rFonts w:ascii="Times New Roman" w:eastAsia="Calibri" w:hAnsi="Times New Roman" w:cs="Times New Roman"/>
          <w:b/>
          <w:sz w:val="24"/>
          <w:szCs w:val="24"/>
        </w:rPr>
        <w:t>EXTRACTED ROTATED FACTOR MATRIX OF THE MODEL</w:t>
      </w:r>
    </w:p>
    <w:tbl>
      <w:tblPr>
        <w:tblStyle w:val="TableGrid"/>
        <w:tblW w:w="5000" w:type="pct"/>
        <w:tblLayout w:type="fixed"/>
        <w:tblLook w:val="04A0"/>
      </w:tblPr>
      <w:tblGrid>
        <w:gridCol w:w="818"/>
        <w:gridCol w:w="5926"/>
        <w:gridCol w:w="1417"/>
        <w:gridCol w:w="1415"/>
      </w:tblGrid>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jc w:val="center"/>
              <w:rPr>
                <w:rFonts w:ascii="Times New Roman" w:eastAsia="Aptos" w:hAnsi="Times New Roman" w:cs="Times New Roman"/>
                <w:b/>
                <w:sz w:val="24"/>
                <w:szCs w:val="24"/>
              </w:rPr>
            </w:pPr>
            <w:r w:rsidRPr="00EF3FB7">
              <w:rPr>
                <w:rFonts w:ascii="Times New Roman" w:eastAsia="Aptos" w:hAnsi="Times New Roman" w:cs="Times New Roman"/>
                <w:b/>
                <w:sz w:val="24"/>
                <w:szCs w:val="24"/>
              </w:rPr>
              <w:t>S.NO</w:t>
            </w: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jc w:val="center"/>
              <w:rPr>
                <w:rFonts w:ascii="Times New Roman" w:eastAsia="Aptos" w:hAnsi="Times New Roman" w:cs="Times New Roman"/>
                <w:b/>
                <w:sz w:val="24"/>
                <w:szCs w:val="24"/>
              </w:rPr>
            </w:pPr>
            <w:r w:rsidRPr="00EF3FB7">
              <w:rPr>
                <w:rFonts w:ascii="Times New Roman" w:eastAsia="Aptos" w:hAnsi="Times New Roman" w:cs="Times New Roman"/>
                <w:b/>
                <w:sz w:val="24"/>
                <w:szCs w:val="24"/>
              </w:rPr>
              <w:t>Statements</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b/>
                <w:color w:val="333333"/>
                <w:sz w:val="24"/>
                <w:szCs w:val="24"/>
              </w:rPr>
            </w:pPr>
            <w:r w:rsidRPr="00EF3FB7">
              <w:rPr>
                <w:rFonts w:ascii="Times New Roman" w:hAnsi="Times New Roman" w:cs="Times New Roman"/>
                <w:b/>
                <w:color w:val="333333"/>
                <w:sz w:val="24"/>
                <w:szCs w:val="24"/>
              </w:rPr>
              <w:t>Component 1</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jc w:val="center"/>
              <w:rPr>
                <w:rFonts w:ascii="Times New Roman" w:eastAsia="Aptos" w:hAnsi="Times New Roman" w:cs="Times New Roman"/>
                <w:b/>
                <w:sz w:val="24"/>
                <w:szCs w:val="24"/>
              </w:rPr>
            </w:pPr>
            <w:r w:rsidRPr="00EF3FB7">
              <w:rPr>
                <w:rFonts w:ascii="Times New Roman" w:eastAsia="Aptos" w:hAnsi="Times New Roman" w:cs="Times New Roman"/>
                <w:b/>
                <w:sz w:val="24"/>
                <w:szCs w:val="24"/>
              </w:rPr>
              <w:t>Component 2</w:t>
            </w: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Additional benefits the insurer provides, like wellness programs and discounts make the provider more attractive to policyholders.</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0.923</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Policyholders favour providers that adhere to regulatory standards and ethical practices, ensuring their investments are secure and reliable.</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0.877</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The reputation and trustworthiness of a provider play a significant role in attracting policyholders.</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0.826</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Policyholders prefer providers with high claim settlement ratios, indicating reliability in processing claims.</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0.775</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Excellent customer service from the provider influences policyholders' satisfaction and loyalty.</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0.560</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Providers offering comprehensive coverage options attract policyholders looking for extensive health protection.</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0.508</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Providers that offer customizable policies to meet individual needs appeal more to policyholders.</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0.968</w:t>
            </w: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Policyholders evaluate providers based on the affordability of premium rates, seeking value for money.</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0.584</w:t>
            </w: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Providers with user-friendly digital platforms and mobile apps enhance convenience for policyholders, influencing their choices.</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0.535</w:t>
            </w: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A provider's wide network of hospitals and clinics is a key factor for policyholders, ensuring easy access to medical services.</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0.510</w:t>
            </w:r>
          </w:p>
        </w:tc>
      </w:tr>
    </w:tbl>
    <w:p w:rsidR="00705D10" w:rsidRPr="00EF3FB7" w:rsidRDefault="00B8661E"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Source:</w:t>
      </w:r>
      <w:r w:rsidR="00FB3563" w:rsidRPr="00EF3FB7">
        <w:rPr>
          <w:rFonts w:ascii="Times New Roman" w:hAnsi="Times New Roman" w:cs="Times New Roman"/>
          <w:sz w:val="24"/>
          <w:szCs w:val="24"/>
        </w:rPr>
        <w:t xml:space="preserve"> Survey Year (2025)</w:t>
      </w:r>
    </w:p>
    <w:p w:rsidR="008D1663" w:rsidRPr="00EF3FB7" w:rsidRDefault="00B8661E" w:rsidP="009C1EBD">
      <w:pPr>
        <w:spacing w:after="0" w:line="360" w:lineRule="auto"/>
        <w:jc w:val="both"/>
        <w:rPr>
          <w:rFonts w:ascii="Times New Roman" w:eastAsia="Calibri" w:hAnsi="Times New Roman" w:cs="Times New Roman"/>
          <w:b/>
          <w:sz w:val="24"/>
          <w:szCs w:val="24"/>
        </w:rPr>
      </w:pPr>
      <w:r w:rsidRPr="00EF3FB7">
        <w:rPr>
          <w:rFonts w:ascii="Times New Roman" w:hAnsi="Times New Roman" w:cs="Times New Roman"/>
          <w:sz w:val="24"/>
          <w:szCs w:val="24"/>
        </w:rPr>
        <w:t>From the rotate</w:t>
      </w:r>
      <w:r w:rsidR="00965BD9" w:rsidRPr="00EF3FB7">
        <w:rPr>
          <w:rFonts w:ascii="Times New Roman" w:hAnsi="Times New Roman" w:cs="Times New Roman"/>
          <w:sz w:val="24"/>
          <w:szCs w:val="24"/>
        </w:rPr>
        <w:t>d factor matrix shown in Table 3</w:t>
      </w:r>
      <w:r w:rsidRPr="00EF3FB7">
        <w:rPr>
          <w:rFonts w:ascii="Times New Roman" w:hAnsi="Times New Roman" w:cs="Times New Roman"/>
          <w:sz w:val="24"/>
          <w:szCs w:val="24"/>
        </w:rPr>
        <w:t>, it is evident that all the statements related to factors driving policyholders in selecting health insurance companies have been retained. Each dimension's factor loading score exceeds 0.5, demonstrating strong representation of the factors. The subsequent step in the factor analysis involves naming these dimensions according to the variables associated with them. While there are no rigid rules for naming factors, the chosen names should accurately reflect the variables within each dimension. The analysis reveals two distinct dimensions that capture the key factors influencing policyholders' choices. Therefore, it is important to assign appropriate names to these latent factors based on their defining variables. Tables 4 and Table 5 display the two dimensions extracted through this process.</w:t>
      </w:r>
    </w:p>
    <w:p w:rsidR="008616A7" w:rsidRPr="00EF3FB7" w:rsidRDefault="005A231F" w:rsidP="009C1EBD">
      <w:pPr>
        <w:autoSpaceDE w:val="0"/>
        <w:autoSpaceDN w:val="0"/>
        <w:adjustRightInd w:val="0"/>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 xml:space="preserve">TABLE </w:t>
      </w:r>
      <w:r w:rsidR="00B8661E" w:rsidRPr="00EF3FB7">
        <w:rPr>
          <w:rFonts w:ascii="Times New Roman" w:hAnsi="Times New Roman" w:cs="Times New Roman"/>
          <w:b/>
          <w:sz w:val="24"/>
          <w:szCs w:val="24"/>
        </w:rPr>
        <w:t>4</w:t>
      </w:r>
    </w:p>
    <w:p w:rsidR="008616A7" w:rsidRPr="00EF3FB7" w:rsidRDefault="005A231F" w:rsidP="009C1EBD">
      <w:pPr>
        <w:autoSpaceDE w:val="0"/>
        <w:autoSpaceDN w:val="0"/>
        <w:adjustRightInd w:val="0"/>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SERVICE FACTOR</w:t>
      </w:r>
    </w:p>
    <w:tbl>
      <w:tblPr>
        <w:tblStyle w:val="TableGrid"/>
        <w:tblW w:w="0" w:type="auto"/>
        <w:jc w:val="center"/>
        <w:tblLook w:val="04A0"/>
      </w:tblPr>
      <w:tblGrid>
        <w:gridCol w:w="959"/>
        <w:gridCol w:w="7315"/>
        <w:gridCol w:w="1302"/>
      </w:tblGrid>
      <w:tr w:rsidR="00892C8D" w:rsidRPr="00EF3FB7" w:rsidTr="00892C8D">
        <w:trPr>
          <w:trHeight w:val="558"/>
          <w:jc w:val="center"/>
        </w:trPr>
        <w:tc>
          <w:tcPr>
            <w:tcW w:w="959" w:type="dxa"/>
          </w:tcPr>
          <w:p w:rsidR="00892C8D" w:rsidRPr="00EF3FB7" w:rsidRDefault="00892C8D" w:rsidP="009F564B">
            <w:pPr>
              <w:autoSpaceDE w:val="0"/>
              <w:autoSpaceDN w:val="0"/>
              <w:adjustRightInd w:val="0"/>
              <w:jc w:val="center"/>
              <w:rPr>
                <w:rFonts w:ascii="Times New Roman" w:hAnsi="Times New Roman" w:cs="Times New Roman"/>
                <w:b/>
                <w:sz w:val="24"/>
                <w:szCs w:val="24"/>
              </w:rPr>
            </w:pPr>
            <w:r w:rsidRPr="00EF3FB7">
              <w:rPr>
                <w:rFonts w:ascii="Times New Roman" w:hAnsi="Times New Roman" w:cs="Times New Roman"/>
                <w:b/>
                <w:sz w:val="24"/>
                <w:szCs w:val="24"/>
              </w:rPr>
              <w:lastRenderedPageBreak/>
              <w:t>S.No</w:t>
            </w:r>
          </w:p>
        </w:tc>
        <w:tc>
          <w:tcPr>
            <w:tcW w:w="7315" w:type="dxa"/>
          </w:tcPr>
          <w:p w:rsidR="00892C8D" w:rsidRPr="00EF3FB7" w:rsidRDefault="00892C8D" w:rsidP="009F564B">
            <w:pPr>
              <w:autoSpaceDE w:val="0"/>
              <w:autoSpaceDN w:val="0"/>
              <w:adjustRightInd w:val="0"/>
              <w:jc w:val="center"/>
              <w:rPr>
                <w:rFonts w:ascii="Times New Roman" w:hAnsi="Times New Roman" w:cs="Times New Roman"/>
                <w:b/>
                <w:kern w:val="0"/>
                <w:sz w:val="24"/>
                <w:szCs w:val="24"/>
              </w:rPr>
            </w:pPr>
            <w:r w:rsidRPr="00EF3FB7">
              <w:rPr>
                <w:rFonts w:ascii="Times New Roman" w:hAnsi="Times New Roman" w:cs="Times New Roman"/>
                <w:b/>
                <w:kern w:val="0"/>
                <w:sz w:val="24"/>
                <w:szCs w:val="24"/>
              </w:rPr>
              <w:t>Statements</w:t>
            </w:r>
          </w:p>
        </w:tc>
        <w:tc>
          <w:tcPr>
            <w:tcW w:w="1302" w:type="dxa"/>
          </w:tcPr>
          <w:p w:rsidR="00892C8D" w:rsidRPr="00EF3FB7" w:rsidRDefault="00892C8D" w:rsidP="009F564B">
            <w:pPr>
              <w:autoSpaceDE w:val="0"/>
              <w:autoSpaceDN w:val="0"/>
              <w:adjustRightInd w:val="0"/>
              <w:jc w:val="center"/>
              <w:rPr>
                <w:rFonts w:ascii="Times New Roman" w:eastAsia="Times New Roman" w:hAnsi="Times New Roman" w:cs="Times New Roman"/>
                <w:b/>
                <w:color w:val="333333"/>
                <w:sz w:val="24"/>
                <w:szCs w:val="24"/>
              </w:rPr>
            </w:pPr>
            <w:r w:rsidRPr="00EF3FB7">
              <w:rPr>
                <w:rFonts w:ascii="Times New Roman" w:eastAsia="Times New Roman" w:hAnsi="Times New Roman" w:cs="Times New Roman"/>
                <w:b/>
                <w:color w:val="333333"/>
                <w:sz w:val="24"/>
                <w:szCs w:val="24"/>
              </w:rPr>
              <w:t>Factor Loading</w:t>
            </w:r>
          </w:p>
        </w:tc>
      </w:tr>
      <w:tr w:rsidR="00892C8D" w:rsidRPr="00EF3FB7" w:rsidTr="00892C8D">
        <w:trPr>
          <w:jc w:val="center"/>
        </w:trPr>
        <w:tc>
          <w:tcPr>
            <w:tcW w:w="959" w:type="dxa"/>
          </w:tcPr>
          <w:p w:rsidR="00892C8D" w:rsidRPr="00EF3FB7" w:rsidRDefault="00892C8D" w:rsidP="00892C8D">
            <w:pPr>
              <w:pStyle w:val="ListParagraph"/>
              <w:numPr>
                <w:ilvl w:val="0"/>
                <w:numId w:val="14"/>
              </w:numPr>
              <w:autoSpaceDE w:val="0"/>
              <w:autoSpaceDN w:val="0"/>
              <w:adjustRightInd w:val="0"/>
              <w:spacing w:before="100" w:beforeAutospacing="1"/>
              <w:rPr>
                <w:rFonts w:ascii="Times New Roman" w:eastAsia="Aptos" w:hAnsi="Times New Roman" w:cs="Times New Roman"/>
                <w:sz w:val="24"/>
                <w:szCs w:val="24"/>
              </w:rPr>
            </w:pPr>
          </w:p>
        </w:tc>
        <w:tc>
          <w:tcPr>
            <w:tcW w:w="7315" w:type="dxa"/>
          </w:tcPr>
          <w:p w:rsidR="00892C8D" w:rsidRPr="00EF3FB7" w:rsidRDefault="00892C8D"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Additional benefits the insurer provides, like wellness programs and discounts make the provider more attractive to policyholders.</w:t>
            </w:r>
          </w:p>
        </w:tc>
        <w:tc>
          <w:tcPr>
            <w:tcW w:w="1302" w:type="dxa"/>
          </w:tcPr>
          <w:p w:rsidR="00892C8D" w:rsidRPr="00EF3FB7" w:rsidRDefault="00892C8D"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0.923</w:t>
            </w:r>
          </w:p>
        </w:tc>
      </w:tr>
      <w:tr w:rsidR="00892C8D" w:rsidRPr="00EF3FB7" w:rsidTr="00892C8D">
        <w:trPr>
          <w:jc w:val="center"/>
        </w:trPr>
        <w:tc>
          <w:tcPr>
            <w:tcW w:w="959" w:type="dxa"/>
          </w:tcPr>
          <w:p w:rsidR="00892C8D" w:rsidRPr="00EF3FB7" w:rsidRDefault="00892C8D" w:rsidP="00892C8D">
            <w:pPr>
              <w:pStyle w:val="ListParagraph"/>
              <w:numPr>
                <w:ilvl w:val="0"/>
                <w:numId w:val="14"/>
              </w:numPr>
              <w:autoSpaceDE w:val="0"/>
              <w:autoSpaceDN w:val="0"/>
              <w:adjustRightInd w:val="0"/>
              <w:spacing w:before="100" w:beforeAutospacing="1"/>
              <w:rPr>
                <w:rFonts w:ascii="Times New Roman" w:eastAsia="Aptos" w:hAnsi="Times New Roman" w:cs="Times New Roman"/>
                <w:sz w:val="24"/>
                <w:szCs w:val="24"/>
              </w:rPr>
            </w:pPr>
          </w:p>
        </w:tc>
        <w:tc>
          <w:tcPr>
            <w:tcW w:w="7315" w:type="dxa"/>
          </w:tcPr>
          <w:p w:rsidR="00892C8D" w:rsidRPr="00EF3FB7" w:rsidRDefault="00892C8D"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Policyholders favour providers that adhere to regulatory standards and ethical practices, ensuring their investments are secure and reliable.</w:t>
            </w:r>
          </w:p>
        </w:tc>
        <w:tc>
          <w:tcPr>
            <w:tcW w:w="1302" w:type="dxa"/>
          </w:tcPr>
          <w:p w:rsidR="00892C8D" w:rsidRPr="00EF3FB7" w:rsidRDefault="00892C8D"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0.877</w:t>
            </w:r>
          </w:p>
        </w:tc>
      </w:tr>
      <w:tr w:rsidR="00892C8D" w:rsidRPr="00EF3FB7" w:rsidTr="00892C8D">
        <w:trPr>
          <w:jc w:val="center"/>
        </w:trPr>
        <w:tc>
          <w:tcPr>
            <w:tcW w:w="959" w:type="dxa"/>
          </w:tcPr>
          <w:p w:rsidR="00892C8D" w:rsidRPr="00EF3FB7" w:rsidRDefault="00892C8D" w:rsidP="00892C8D">
            <w:pPr>
              <w:pStyle w:val="ListParagraph"/>
              <w:numPr>
                <w:ilvl w:val="0"/>
                <w:numId w:val="14"/>
              </w:numPr>
              <w:autoSpaceDE w:val="0"/>
              <w:autoSpaceDN w:val="0"/>
              <w:adjustRightInd w:val="0"/>
              <w:spacing w:before="100" w:beforeAutospacing="1"/>
              <w:rPr>
                <w:rFonts w:ascii="Times New Roman" w:eastAsia="Aptos" w:hAnsi="Times New Roman" w:cs="Times New Roman"/>
                <w:sz w:val="24"/>
                <w:szCs w:val="24"/>
              </w:rPr>
            </w:pPr>
          </w:p>
        </w:tc>
        <w:tc>
          <w:tcPr>
            <w:tcW w:w="7315" w:type="dxa"/>
          </w:tcPr>
          <w:p w:rsidR="00892C8D" w:rsidRPr="00EF3FB7" w:rsidRDefault="00892C8D"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The reputation and trustworthiness of a provider play a significant role in attracting policyholders.</w:t>
            </w:r>
          </w:p>
        </w:tc>
        <w:tc>
          <w:tcPr>
            <w:tcW w:w="1302" w:type="dxa"/>
          </w:tcPr>
          <w:p w:rsidR="00892C8D" w:rsidRPr="00EF3FB7" w:rsidRDefault="00892C8D"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0.826</w:t>
            </w:r>
          </w:p>
        </w:tc>
      </w:tr>
      <w:tr w:rsidR="00892C8D" w:rsidRPr="00EF3FB7" w:rsidTr="00892C8D">
        <w:trPr>
          <w:jc w:val="center"/>
        </w:trPr>
        <w:tc>
          <w:tcPr>
            <w:tcW w:w="959" w:type="dxa"/>
          </w:tcPr>
          <w:p w:rsidR="00892C8D" w:rsidRPr="00EF3FB7" w:rsidRDefault="00892C8D" w:rsidP="00892C8D">
            <w:pPr>
              <w:pStyle w:val="ListParagraph"/>
              <w:numPr>
                <w:ilvl w:val="0"/>
                <w:numId w:val="14"/>
              </w:numPr>
              <w:autoSpaceDE w:val="0"/>
              <w:autoSpaceDN w:val="0"/>
              <w:adjustRightInd w:val="0"/>
              <w:spacing w:before="100" w:beforeAutospacing="1"/>
              <w:rPr>
                <w:rFonts w:ascii="Times New Roman" w:eastAsia="Aptos" w:hAnsi="Times New Roman" w:cs="Times New Roman"/>
                <w:sz w:val="24"/>
                <w:szCs w:val="24"/>
              </w:rPr>
            </w:pPr>
          </w:p>
        </w:tc>
        <w:tc>
          <w:tcPr>
            <w:tcW w:w="7315" w:type="dxa"/>
          </w:tcPr>
          <w:p w:rsidR="00892C8D" w:rsidRPr="00EF3FB7" w:rsidRDefault="00892C8D"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Policyholders prefer providers with high claim settlement ratios, indicating reliability in processing claims.</w:t>
            </w:r>
          </w:p>
        </w:tc>
        <w:tc>
          <w:tcPr>
            <w:tcW w:w="1302" w:type="dxa"/>
          </w:tcPr>
          <w:p w:rsidR="00892C8D" w:rsidRPr="00EF3FB7" w:rsidRDefault="00892C8D"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0.775</w:t>
            </w:r>
          </w:p>
        </w:tc>
      </w:tr>
      <w:tr w:rsidR="00892C8D" w:rsidRPr="00EF3FB7" w:rsidTr="00892C8D">
        <w:trPr>
          <w:jc w:val="center"/>
        </w:trPr>
        <w:tc>
          <w:tcPr>
            <w:tcW w:w="959" w:type="dxa"/>
          </w:tcPr>
          <w:p w:rsidR="00892C8D" w:rsidRPr="00EF3FB7" w:rsidRDefault="00892C8D" w:rsidP="00892C8D">
            <w:pPr>
              <w:pStyle w:val="ListParagraph"/>
              <w:numPr>
                <w:ilvl w:val="0"/>
                <w:numId w:val="14"/>
              </w:numPr>
              <w:autoSpaceDE w:val="0"/>
              <w:autoSpaceDN w:val="0"/>
              <w:adjustRightInd w:val="0"/>
              <w:spacing w:before="100" w:beforeAutospacing="1"/>
              <w:rPr>
                <w:rFonts w:ascii="Times New Roman" w:eastAsia="Aptos" w:hAnsi="Times New Roman" w:cs="Times New Roman"/>
                <w:sz w:val="24"/>
                <w:szCs w:val="24"/>
              </w:rPr>
            </w:pPr>
          </w:p>
        </w:tc>
        <w:tc>
          <w:tcPr>
            <w:tcW w:w="7315" w:type="dxa"/>
          </w:tcPr>
          <w:p w:rsidR="00892C8D" w:rsidRPr="00EF3FB7" w:rsidRDefault="00892C8D"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Excellent customer service from the provider influences policyholders' satisfaction and loyalty.</w:t>
            </w:r>
          </w:p>
        </w:tc>
        <w:tc>
          <w:tcPr>
            <w:tcW w:w="1302" w:type="dxa"/>
          </w:tcPr>
          <w:p w:rsidR="00892C8D" w:rsidRPr="00EF3FB7" w:rsidRDefault="00892C8D"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0.560</w:t>
            </w:r>
          </w:p>
        </w:tc>
      </w:tr>
      <w:tr w:rsidR="00892C8D" w:rsidRPr="00EF3FB7" w:rsidTr="00892C8D">
        <w:trPr>
          <w:jc w:val="center"/>
        </w:trPr>
        <w:tc>
          <w:tcPr>
            <w:tcW w:w="959" w:type="dxa"/>
          </w:tcPr>
          <w:p w:rsidR="00892C8D" w:rsidRPr="00EF3FB7" w:rsidRDefault="00892C8D" w:rsidP="00892C8D">
            <w:pPr>
              <w:pStyle w:val="ListParagraph"/>
              <w:numPr>
                <w:ilvl w:val="0"/>
                <w:numId w:val="14"/>
              </w:numPr>
              <w:autoSpaceDE w:val="0"/>
              <w:autoSpaceDN w:val="0"/>
              <w:adjustRightInd w:val="0"/>
              <w:spacing w:before="100" w:beforeAutospacing="1"/>
              <w:rPr>
                <w:rFonts w:ascii="Times New Roman" w:eastAsia="Aptos" w:hAnsi="Times New Roman" w:cs="Times New Roman"/>
                <w:sz w:val="24"/>
                <w:szCs w:val="24"/>
              </w:rPr>
            </w:pPr>
          </w:p>
        </w:tc>
        <w:tc>
          <w:tcPr>
            <w:tcW w:w="7315" w:type="dxa"/>
          </w:tcPr>
          <w:p w:rsidR="00892C8D" w:rsidRPr="00EF3FB7" w:rsidRDefault="00892C8D"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Providers offering comprehensive coverage options attract policyholders looking for extensive health protection.</w:t>
            </w:r>
          </w:p>
        </w:tc>
        <w:tc>
          <w:tcPr>
            <w:tcW w:w="1302" w:type="dxa"/>
          </w:tcPr>
          <w:p w:rsidR="00892C8D" w:rsidRPr="00EF3FB7" w:rsidRDefault="00892C8D"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0.508</w:t>
            </w:r>
          </w:p>
        </w:tc>
      </w:tr>
    </w:tbl>
    <w:p w:rsidR="00705D10" w:rsidRPr="00EF3FB7" w:rsidRDefault="008616A7"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Source: </w:t>
      </w:r>
      <w:r w:rsidR="00D162BF" w:rsidRPr="00EF3FB7">
        <w:rPr>
          <w:rFonts w:ascii="Times New Roman" w:hAnsi="Times New Roman" w:cs="Times New Roman"/>
          <w:sz w:val="24"/>
          <w:szCs w:val="24"/>
        </w:rPr>
        <w:t>Survey year (2025)</w:t>
      </w:r>
    </w:p>
    <w:p w:rsidR="006672B0" w:rsidRPr="00EF3FB7" w:rsidRDefault="00965BD9" w:rsidP="009F564B">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The first dimension extracted from the factor analysis for factors driving policyholders in selecting health insurance companies includes six out of ten identified factors. Among these, the factor with a loading of 0.923 is "</w:t>
      </w:r>
      <w:r w:rsidRPr="00EF3FB7">
        <w:rPr>
          <w:rFonts w:ascii="Times New Roman" w:eastAsia="Aptos" w:hAnsi="Times New Roman" w:cs="Times New Roman"/>
          <w:sz w:val="24"/>
          <w:szCs w:val="24"/>
        </w:rPr>
        <w:t>Additional benefits the insurer provides, like wellness programs and discounts make the provider more attractive to policyholders</w:t>
      </w:r>
      <w:r w:rsidRPr="00EF3FB7">
        <w:rPr>
          <w:rFonts w:ascii="Times New Roman" w:hAnsi="Times New Roman" w:cs="Times New Roman"/>
          <w:sz w:val="24"/>
          <w:szCs w:val="24"/>
        </w:rPr>
        <w:t>," and another factor with a loading of 0.508 is "</w:t>
      </w:r>
      <w:r w:rsidRPr="00EF3FB7">
        <w:rPr>
          <w:rFonts w:ascii="Times New Roman" w:eastAsia="Aptos" w:hAnsi="Times New Roman" w:cs="Times New Roman"/>
          <w:sz w:val="24"/>
          <w:szCs w:val="24"/>
        </w:rPr>
        <w:t>Providers offering comprehensive coverage options attract policyholders looking for extensive health protection</w:t>
      </w:r>
      <w:r w:rsidRPr="00EF3FB7">
        <w:rPr>
          <w:rFonts w:ascii="Times New Roman" w:hAnsi="Times New Roman" w:cs="Times New Roman"/>
          <w:sz w:val="24"/>
          <w:szCs w:val="24"/>
        </w:rPr>
        <w:t>" These factors are collectively grouped under the dimension labeled as "Service Factor."</w:t>
      </w:r>
    </w:p>
    <w:p w:rsidR="008616A7" w:rsidRPr="00EF3FB7" w:rsidRDefault="005A231F" w:rsidP="009C1EBD">
      <w:pPr>
        <w:autoSpaceDE w:val="0"/>
        <w:autoSpaceDN w:val="0"/>
        <w:adjustRightInd w:val="0"/>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 xml:space="preserve">TABLE </w:t>
      </w:r>
      <w:r w:rsidR="0013180F" w:rsidRPr="00EF3FB7">
        <w:rPr>
          <w:rFonts w:ascii="Times New Roman" w:hAnsi="Times New Roman" w:cs="Times New Roman"/>
          <w:b/>
          <w:sz w:val="24"/>
          <w:szCs w:val="24"/>
        </w:rPr>
        <w:t>5</w:t>
      </w:r>
    </w:p>
    <w:p w:rsidR="008616A7" w:rsidRPr="00EF3FB7" w:rsidRDefault="005A231F" w:rsidP="009C1EBD">
      <w:pPr>
        <w:autoSpaceDE w:val="0"/>
        <w:autoSpaceDN w:val="0"/>
        <w:adjustRightInd w:val="0"/>
        <w:spacing w:after="0" w:line="360" w:lineRule="auto"/>
        <w:jc w:val="center"/>
        <w:rPr>
          <w:rFonts w:ascii="Times New Roman" w:hAnsi="Times New Roman" w:cs="Times New Roman"/>
          <w:sz w:val="24"/>
          <w:szCs w:val="24"/>
        </w:rPr>
      </w:pPr>
      <w:r w:rsidRPr="00EF3FB7">
        <w:rPr>
          <w:rFonts w:ascii="Times New Roman" w:hAnsi="Times New Roman" w:cs="Times New Roman"/>
          <w:b/>
          <w:sz w:val="24"/>
          <w:szCs w:val="24"/>
        </w:rPr>
        <w:t>COVERAGE FACTOR</w:t>
      </w:r>
    </w:p>
    <w:tbl>
      <w:tblPr>
        <w:tblStyle w:val="TableGrid"/>
        <w:tblW w:w="0" w:type="auto"/>
        <w:jc w:val="center"/>
        <w:tblLook w:val="04A0"/>
      </w:tblPr>
      <w:tblGrid>
        <w:gridCol w:w="1101"/>
        <w:gridCol w:w="7204"/>
        <w:gridCol w:w="1271"/>
      </w:tblGrid>
      <w:tr w:rsidR="00125BC7" w:rsidRPr="00EF3FB7" w:rsidTr="00125BC7">
        <w:trPr>
          <w:jc w:val="center"/>
        </w:trPr>
        <w:tc>
          <w:tcPr>
            <w:tcW w:w="1101" w:type="dxa"/>
          </w:tcPr>
          <w:p w:rsidR="00125BC7" w:rsidRPr="00EF3FB7" w:rsidRDefault="00125BC7" w:rsidP="009F564B">
            <w:pPr>
              <w:autoSpaceDE w:val="0"/>
              <w:autoSpaceDN w:val="0"/>
              <w:adjustRightInd w:val="0"/>
              <w:jc w:val="center"/>
              <w:rPr>
                <w:rFonts w:ascii="Times New Roman" w:hAnsi="Times New Roman" w:cs="Times New Roman"/>
                <w:b/>
                <w:sz w:val="24"/>
                <w:szCs w:val="24"/>
              </w:rPr>
            </w:pPr>
            <w:r w:rsidRPr="00EF3FB7">
              <w:rPr>
                <w:rFonts w:ascii="Times New Roman" w:hAnsi="Times New Roman" w:cs="Times New Roman"/>
                <w:b/>
                <w:sz w:val="24"/>
                <w:szCs w:val="24"/>
              </w:rPr>
              <w:t>S.No</w:t>
            </w:r>
          </w:p>
        </w:tc>
        <w:tc>
          <w:tcPr>
            <w:tcW w:w="7204" w:type="dxa"/>
          </w:tcPr>
          <w:p w:rsidR="00125BC7" w:rsidRPr="00EF3FB7" w:rsidRDefault="00125BC7" w:rsidP="009F564B">
            <w:pPr>
              <w:autoSpaceDE w:val="0"/>
              <w:autoSpaceDN w:val="0"/>
              <w:adjustRightInd w:val="0"/>
              <w:jc w:val="center"/>
              <w:rPr>
                <w:rFonts w:ascii="Times New Roman" w:hAnsi="Times New Roman" w:cs="Times New Roman"/>
                <w:b/>
                <w:kern w:val="0"/>
                <w:sz w:val="24"/>
                <w:szCs w:val="24"/>
              </w:rPr>
            </w:pPr>
            <w:r w:rsidRPr="00EF3FB7">
              <w:rPr>
                <w:rFonts w:ascii="Times New Roman" w:hAnsi="Times New Roman" w:cs="Times New Roman"/>
                <w:b/>
                <w:kern w:val="0"/>
                <w:sz w:val="24"/>
                <w:szCs w:val="24"/>
              </w:rPr>
              <w:t>Statements</w:t>
            </w:r>
          </w:p>
        </w:tc>
        <w:tc>
          <w:tcPr>
            <w:tcW w:w="1271" w:type="dxa"/>
          </w:tcPr>
          <w:p w:rsidR="00125BC7" w:rsidRPr="00EF3FB7" w:rsidRDefault="00125BC7" w:rsidP="009F564B">
            <w:pPr>
              <w:autoSpaceDE w:val="0"/>
              <w:autoSpaceDN w:val="0"/>
              <w:adjustRightInd w:val="0"/>
              <w:jc w:val="center"/>
              <w:rPr>
                <w:rFonts w:ascii="Times New Roman" w:hAnsi="Times New Roman" w:cs="Times New Roman"/>
                <w:b/>
                <w:kern w:val="0"/>
                <w:sz w:val="24"/>
                <w:szCs w:val="24"/>
              </w:rPr>
            </w:pPr>
            <w:r w:rsidRPr="00EF3FB7">
              <w:rPr>
                <w:rFonts w:ascii="Times New Roman" w:hAnsi="Times New Roman" w:cs="Times New Roman"/>
                <w:b/>
                <w:kern w:val="0"/>
                <w:sz w:val="24"/>
                <w:szCs w:val="24"/>
              </w:rPr>
              <w:t>Factor Loading</w:t>
            </w:r>
          </w:p>
        </w:tc>
      </w:tr>
      <w:tr w:rsidR="00125BC7" w:rsidRPr="00EF3FB7" w:rsidTr="00125BC7">
        <w:trPr>
          <w:jc w:val="center"/>
        </w:trPr>
        <w:tc>
          <w:tcPr>
            <w:tcW w:w="1101" w:type="dxa"/>
          </w:tcPr>
          <w:p w:rsidR="00125BC7" w:rsidRPr="00EF3FB7" w:rsidRDefault="00125BC7" w:rsidP="00125BC7">
            <w:pPr>
              <w:pStyle w:val="ListParagraph"/>
              <w:numPr>
                <w:ilvl w:val="0"/>
                <w:numId w:val="15"/>
              </w:numPr>
              <w:autoSpaceDE w:val="0"/>
              <w:autoSpaceDN w:val="0"/>
              <w:adjustRightInd w:val="0"/>
              <w:spacing w:before="100" w:beforeAutospacing="1"/>
              <w:rPr>
                <w:rFonts w:ascii="Times New Roman" w:eastAsia="Aptos" w:hAnsi="Times New Roman" w:cs="Times New Roman"/>
                <w:sz w:val="24"/>
                <w:szCs w:val="24"/>
              </w:rPr>
            </w:pPr>
          </w:p>
        </w:tc>
        <w:tc>
          <w:tcPr>
            <w:tcW w:w="7204" w:type="dxa"/>
          </w:tcPr>
          <w:p w:rsidR="00125BC7" w:rsidRPr="00EF3FB7" w:rsidRDefault="00125BC7"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Providers that offer customizable policies to meet individual needs appeal more to policyholders.</w:t>
            </w:r>
          </w:p>
        </w:tc>
        <w:tc>
          <w:tcPr>
            <w:tcW w:w="1271" w:type="dxa"/>
          </w:tcPr>
          <w:p w:rsidR="00125BC7" w:rsidRPr="00EF3FB7" w:rsidRDefault="00125BC7"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0.968</w:t>
            </w:r>
          </w:p>
        </w:tc>
      </w:tr>
      <w:tr w:rsidR="00125BC7" w:rsidRPr="00EF3FB7" w:rsidTr="00125BC7">
        <w:trPr>
          <w:jc w:val="center"/>
        </w:trPr>
        <w:tc>
          <w:tcPr>
            <w:tcW w:w="1101" w:type="dxa"/>
          </w:tcPr>
          <w:p w:rsidR="00125BC7" w:rsidRPr="00EF3FB7" w:rsidRDefault="00125BC7" w:rsidP="00125BC7">
            <w:pPr>
              <w:pStyle w:val="ListParagraph"/>
              <w:numPr>
                <w:ilvl w:val="0"/>
                <w:numId w:val="15"/>
              </w:numPr>
              <w:autoSpaceDE w:val="0"/>
              <w:autoSpaceDN w:val="0"/>
              <w:adjustRightInd w:val="0"/>
              <w:spacing w:before="100" w:beforeAutospacing="1"/>
              <w:rPr>
                <w:rFonts w:ascii="Times New Roman" w:eastAsia="Aptos" w:hAnsi="Times New Roman" w:cs="Times New Roman"/>
                <w:sz w:val="24"/>
                <w:szCs w:val="24"/>
              </w:rPr>
            </w:pPr>
          </w:p>
        </w:tc>
        <w:tc>
          <w:tcPr>
            <w:tcW w:w="7204" w:type="dxa"/>
          </w:tcPr>
          <w:p w:rsidR="00125BC7" w:rsidRPr="00EF3FB7" w:rsidRDefault="00125BC7"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Policyholders evaluate providers based on the affordability of premium rates, seeking value for money.</w:t>
            </w:r>
          </w:p>
        </w:tc>
        <w:tc>
          <w:tcPr>
            <w:tcW w:w="1271" w:type="dxa"/>
          </w:tcPr>
          <w:p w:rsidR="00125BC7" w:rsidRPr="00EF3FB7" w:rsidRDefault="00125BC7"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0.584</w:t>
            </w:r>
          </w:p>
        </w:tc>
      </w:tr>
      <w:tr w:rsidR="00125BC7" w:rsidRPr="00EF3FB7" w:rsidTr="00125BC7">
        <w:trPr>
          <w:jc w:val="center"/>
        </w:trPr>
        <w:tc>
          <w:tcPr>
            <w:tcW w:w="1101" w:type="dxa"/>
          </w:tcPr>
          <w:p w:rsidR="00125BC7" w:rsidRPr="00EF3FB7" w:rsidRDefault="00125BC7" w:rsidP="00125BC7">
            <w:pPr>
              <w:pStyle w:val="ListParagraph"/>
              <w:numPr>
                <w:ilvl w:val="0"/>
                <w:numId w:val="15"/>
              </w:numPr>
              <w:autoSpaceDE w:val="0"/>
              <w:autoSpaceDN w:val="0"/>
              <w:adjustRightInd w:val="0"/>
              <w:spacing w:before="100" w:beforeAutospacing="1"/>
              <w:rPr>
                <w:rFonts w:ascii="Times New Roman" w:eastAsia="Aptos" w:hAnsi="Times New Roman" w:cs="Times New Roman"/>
                <w:sz w:val="24"/>
                <w:szCs w:val="24"/>
              </w:rPr>
            </w:pPr>
          </w:p>
        </w:tc>
        <w:tc>
          <w:tcPr>
            <w:tcW w:w="7204" w:type="dxa"/>
          </w:tcPr>
          <w:p w:rsidR="00125BC7" w:rsidRPr="00EF3FB7" w:rsidRDefault="00125BC7"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Providers with user-friendly digital platforms and mobile apps enhance convenience for policyholders, influencing their choices.</w:t>
            </w:r>
          </w:p>
        </w:tc>
        <w:tc>
          <w:tcPr>
            <w:tcW w:w="1271" w:type="dxa"/>
          </w:tcPr>
          <w:p w:rsidR="00125BC7" w:rsidRPr="00EF3FB7" w:rsidRDefault="00125BC7"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0.535</w:t>
            </w:r>
          </w:p>
        </w:tc>
      </w:tr>
      <w:tr w:rsidR="00125BC7" w:rsidRPr="00EF3FB7" w:rsidTr="00125BC7">
        <w:trPr>
          <w:jc w:val="center"/>
        </w:trPr>
        <w:tc>
          <w:tcPr>
            <w:tcW w:w="1101" w:type="dxa"/>
          </w:tcPr>
          <w:p w:rsidR="00125BC7" w:rsidRPr="00EF3FB7" w:rsidRDefault="00125BC7" w:rsidP="00125BC7">
            <w:pPr>
              <w:pStyle w:val="ListParagraph"/>
              <w:numPr>
                <w:ilvl w:val="0"/>
                <w:numId w:val="15"/>
              </w:numPr>
              <w:autoSpaceDE w:val="0"/>
              <w:autoSpaceDN w:val="0"/>
              <w:adjustRightInd w:val="0"/>
              <w:spacing w:before="100" w:beforeAutospacing="1"/>
              <w:rPr>
                <w:rFonts w:ascii="Times New Roman" w:eastAsia="Aptos" w:hAnsi="Times New Roman" w:cs="Times New Roman"/>
                <w:sz w:val="24"/>
                <w:szCs w:val="24"/>
              </w:rPr>
            </w:pPr>
          </w:p>
        </w:tc>
        <w:tc>
          <w:tcPr>
            <w:tcW w:w="7204" w:type="dxa"/>
          </w:tcPr>
          <w:p w:rsidR="00125BC7" w:rsidRPr="00EF3FB7" w:rsidRDefault="00125BC7"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A provider's wide network of hospitals and clinics is a key factor for policyholders, ensuring easy access to medical services.</w:t>
            </w:r>
          </w:p>
        </w:tc>
        <w:tc>
          <w:tcPr>
            <w:tcW w:w="1271" w:type="dxa"/>
          </w:tcPr>
          <w:p w:rsidR="00125BC7" w:rsidRPr="00EF3FB7" w:rsidRDefault="00125BC7"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0.510</w:t>
            </w:r>
          </w:p>
        </w:tc>
      </w:tr>
    </w:tbl>
    <w:p w:rsidR="008616A7" w:rsidRPr="00EF3FB7" w:rsidRDefault="008616A7" w:rsidP="009F564B">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Source: </w:t>
      </w:r>
      <w:r w:rsidR="00B01423" w:rsidRPr="00EF3FB7">
        <w:rPr>
          <w:rFonts w:ascii="Times New Roman" w:hAnsi="Times New Roman" w:cs="Times New Roman"/>
          <w:sz w:val="24"/>
          <w:szCs w:val="24"/>
        </w:rPr>
        <w:t>Survey year (2025)</w:t>
      </w:r>
    </w:p>
    <w:p w:rsidR="00965BD9" w:rsidRPr="00EF3FB7" w:rsidRDefault="00965BD9"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The second dimension identified through the factor analysis for factors driving policyholders in selecting health insurance companies includes four out of ten factors. The factors with significant loadings are "</w:t>
      </w:r>
      <w:r w:rsidRPr="00EF3FB7">
        <w:rPr>
          <w:rFonts w:ascii="Times New Roman" w:eastAsia="Aptos" w:hAnsi="Times New Roman" w:cs="Times New Roman"/>
          <w:sz w:val="24"/>
          <w:szCs w:val="24"/>
        </w:rPr>
        <w:t>Providers that offer customizable policies to meet individual needs appeal more to policyholders</w:t>
      </w:r>
      <w:r w:rsidRPr="00EF3FB7">
        <w:rPr>
          <w:rFonts w:ascii="Times New Roman" w:hAnsi="Times New Roman" w:cs="Times New Roman"/>
          <w:sz w:val="24"/>
          <w:szCs w:val="24"/>
        </w:rPr>
        <w:t>," with a factor loading of 0.968, and "</w:t>
      </w:r>
      <w:r w:rsidRPr="00EF3FB7">
        <w:rPr>
          <w:rFonts w:ascii="Times New Roman" w:eastAsia="Aptos" w:hAnsi="Times New Roman" w:cs="Times New Roman"/>
          <w:sz w:val="24"/>
          <w:szCs w:val="24"/>
        </w:rPr>
        <w:t xml:space="preserve">A provider's wide network of hospitals and </w:t>
      </w:r>
      <w:r w:rsidRPr="00EF3FB7">
        <w:rPr>
          <w:rFonts w:ascii="Times New Roman" w:eastAsia="Aptos" w:hAnsi="Times New Roman" w:cs="Times New Roman"/>
          <w:sz w:val="24"/>
          <w:szCs w:val="24"/>
        </w:rPr>
        <w:lastRenderedPageBreak/>
        <w:t>clinics is a key factor for policyholders, ensuring easy access to medical services.</w:t>
      </w:r>
      <w:r w:rsidRPr="00EF3FB7">
        <w:rPr>
          <w:rFonts w:ascii="Times New Roman" w:hAnsi="Times New Roman" w:cs="Times New Roman"/>
          <w:sz w:val="24"/>
          <w:szCs w:val="24"/>
        </w:rPr>
        <w:t>," with a factor loading of 0.510. These factors are collectively grouped under the dimension labeled "Coverage Factor."</w:t>
      </w:r>
    </w:p>
    <w:p w:rsidR="003A2A69" w:rsidRPr="00EF3FB7" w:rsidRDefault="00705D10"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ab/>
      </w:r>
      <w:r w:rsidR="00965BD9" w:rsidRPr="00EF3FB7">
        <w:rPr>
          <w:rFonts w:ascii="Times New Roman" w:hAnsi="Times New Roman" w:cs="Times New Roman"/>
          <w:sz w:val="24"/>
          <w:szCs w:val="24"/>
        </w:rPr>
        <w:t>The researcher analyzed factors driving policyholders in selecting health insurance companies. The study reveals that policyholders prioritize aspects related to both service quality and coverage options. Specifically, factors such as additional benefits and comprehensive coverage are highly valued. Moreover, customizable policies and a broad network of medical facilities play a significant role in their decision-making process. Insurance providers should focus on enhancing these aspects to better meet policyholders' expectations and preferences.</w:t>
      </w:r>
    </w:p>
    <w:p w:rsidR="007E402F" w:rsidRPr="00EF3FB7" w:rsidRDefault="007E402F" w:rsidP="009C1EBD">
      <w:pPr>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t>SUGGESTIONS</w:t>
      </w:r>
    </w:p>
    <w:p w:rsidR="009F564B" w:rsidRPr="00E14BC2" w:rsidRDefault="00501AEA"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The health i</w:t>
      </w:r>
      <w:r w:rsidR="007E402F" w:rsidRPr="00EF3FB7">
        <w:rPr>
          <w:rFonts w:ascii="Times New Roman" w:hAnsi="Times New Roman" w:cs="Times New Roman"/>
          <w:sz w:val="24"/>
          <w:szCs w:val="24"/>
        </w:rPr>
        <w:t>nsurers should prioritize enhancing their service offerings by incorporating additional benefits such as wellness programs, discounts, and high-quality customer support, as these are key drivers in attracting policyholders. Expanding coverage options and providing customizable policies will cater to the diverse needs of policyholders, offering flexibility and tailored health plans. Moreover, investing in user-friendly digital platforms, including mobile apps and online portals, will significantly improve convenience, leading to greater satisfaction and loyalty. Establishing trust through transparency, ethical practices, and a strong reputation is equally important, as policyholders tend to choose providers with a solid record of reliability and high claim settlement ratios. Furthermore, insurers should broaden their network of hospitals and clinics, ensuring easier access to healthcare services, which in turn makes their policies more appealing. Addressing these aspects will allow insurance companies to better meet policyholders' expectations and maintain a competitive edge in the market.</w:t>
      </w:r>
    </w:p>
    <w:p w:rsidR="007E402F" w:rsidRPr="00EF3FB7" w:rsidRDefault="007E402F" w:rsidP="009C1EBD">
      <w:pPr>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t>CONCLUSIONS</w:t>
      </w:r>
    </w:p>
    <w:p w:rsidR="00501AEA" w:rsidRPr="00EF3FB7" w:rsidRDefault="00501AEA"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          </w:t>
      </w:r>
      <w:r w:rsidR="001E31B7" w:rsidRPr="001E31B7">
        <w:rPr>
          <w:rFonts w:ascii="Times New Roman" w:hAnsi="Times New Roman" w:cs="Times New Roman"/>
          <w:sz w:val="24"/>
          <w:szCs w:val="24"/>
        </w:rPr>
        <w:t>The study, conducted in Madurai in 2025, has highlighted critical factors influencing policyholders' decisions in selecting health insurance companies. The findings indicate that service quality and coverage flexibility are primary considerations among policyholders in the region. Policyholders value additional benefits, comprehensive options, and the ability to customize policies according to individual needs. Insurance companies should focus on improving their service and coverage offerings, while also strengthening their digital presence and network of medical facilities. By addressing these areas, insurers can better meet the expectations of their policyholders and gain a competitive edge in the market.</w:t>
      </w:r>
    </w:p>
    <w:p w:rsidR="00401CE0" w:rsidRPr="00EF3FB7" w:rsidRDefault="00401CE0" w:rsidP="00401CE0">
      <w:pPr>
        <w:rPr>
          <w:rFonts w:ascii="Times New Roman" w:hAnsi="Times New Roman" w:cs="Times New Roman"/>
          <w:b/>
          <w:highlight w:val="yellow"/>
        </w:rPr>
      </w:pPr>
      <w:r w:rsidRPr="00EF3FB7">
        <w:rPr>
          <w:rFonts w:ascii="Times New Roman" w:hAnsi="Times New Roman" w:cs="Times New Roman"/>
          <w:b/>
          <w:highlight w:val="yellow"/>
        </w:rPr>
        <w:lastRenderedPageBreak/>
        <w:t>Disclaimer (Artificial intelligence)</w:t>
      </w:r>
    </w:p>
    <w:p w:rsidR="00401CE0" w:rsidRPr="00EF3FB7" w:rsidRDefault="00401CE0" w:rsidP="00401CE0">
      <w:pPr>
        <w:rPr>
          <w:rFonts w:ascii="Times New Roman" w:hAnsi="Times New Roman" w:cs="Times New Roman"/>
          <w:highlight w:val="yellow"/>
        </w:rPr>
      </w:pPr>
      <w:r w:rsidRPr="00EF3FB7">
        <w:rPr>
          <w:rFonts w:ascii="Times New Roman"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p>
    <w:p w:rsidR="00401CE0" w:rsidRPr="00EF3FB7" w:rsidRDefault="00401CE0" w:rsidP="009C1EBD">
      <w:pPr>
        <w:spacing w:after="0" w:line="360" w:lineRule="auto"/>
        <w:jc w:val="both"/>
        <w:rPr>
          <w:rFonts w:ascii="Times New Roman" w:hAnsi="Times New Roman" w:cs="Times New Roman"/>
          <w:sz w:val="24"/>
          <w:szCs w:val="24"/>
        </w:rPr>
      </w:pPr>
    </w:p>
    <w:p w:rsidR="009F564B" w:rsidRPr="00EF3FB7" w:rsidRDefault="006672B0" w:rsidP="006672B0">
      <w:pPr>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t>References</w:t>
      </w:r>
    </w:p>
    <w:p w:rsidR="000D7160" w:rsidRPr="00EF3FB7" w:rsidRDefault="000D7160" w:rsidP="00D7112C">
      <w:pPr>
        <w:pStyle w:val="Bibliography"/>
        <w:numPr>
          <w:ilvl w:val="0"/>
          <w:numId w:val="17"/>
        </w:numPr>
        <w:rPr>
          <w:rFonts w:ascii="Times New Roman" w:hAnsi="Times New Roman" w:cs="Times New Roman"/>
          <w:noProof/>
          <w:lang w:val="en-IN"/>
        </w:rPr>
      </w:pPr>
      <w:r w:rsidRPr="00EF3FB7">
        <w:rPr>
          <w:rFonts w:ascii="Times New Roman" w:hAnsi="Times New Roman" w:cs="Times New Roman"/>
          <w:noProof/>
          <w:lang w:val="en-IN"/>
        </w:rPr>
        <w:t xml:space="preserve">Boateng, D. &amp;.-V. (2013). Health insurance in Ghana: evaluation of policy holders’ perceptions and factors influencing policy renewal in the Volta region. </w:t>
      </w:r>
      <w:r w:rsidRPr="00EF3FB7">
        <w:rPr>
          <w:rFonts w:ascii="Times New Roman" w:hAnsi="Times New Roman" w:cs="Times New Roman"/>
          <w:iCs/>
          <w:noProof/>
          <w:lang w:val="en-IN"/>
        </w:rPr>
        <w:t>International journal for equity in health</w:t>
      </w:r>
      <w:r w:rsidRPr="00EF3FB7">
        <w:rPr>
          <w:rFonts w:ascii="Times New Roman" w:hAnsi="Times New Roman" w:cs="Times New Roman"/>
          <w:noProof/>
          <w:lang w:val="en-IN"/>
        </w:rPr>
        <w:t xml:space="preserve"> , 12(1), 50.</w:t>
      </w:r>
      <w:r w:rsidR="003E479A" w:rsidRPr="00EF3FB7">
        <w:rPr>
          <w:rFonts w:ascii="Times New Roman" w:hAnsi="Times New Roman" w:cs="Times New Roman"/>
          <w:b/>
          <w:sz w:val="28"/>
          <w:szCs w:val="28"/>
        </w:rPr>
        <w:fldChar w:fldCharType="begin"/>
      </w:r>
      <w:r w:rsidRPr="00EF3FB7">
        <w:rPr>
          <w:rFonts w:ascii="Times New Roman" w:hAnsi="Times New Roman" w:cs="Times New Roman"/>
          <w:b/>
          <w:sz w:val="28"/>
          <w:szCs w:val="28"/>
          <w:lang w:val="en-IN"/>
        </w:rPr>
        <w:instrText xml:space="preserve"> BIBLIOGRAPHY  \l 16393 </w:instrText>
      </w:r>
      <w:r w:rsidR="003E479A" w:rsidRPr="00EF3FB7">
        <w:rPr>
          <w:rFonts w:ascii="Times New Roman" w:hAnsi="Times New Roman" w:cs="Times New Roman"/>
          <w:b/>
          <w:sz w:val="28"/>
          <w:szCs w:val="28"/>
        </w:rPr>
        <w:fldChar w:fldCharType="separate"/>
      </w:r>
    </w:p>
    <w:p w:rsidR="000D7160" w:rsidRPr="00EF3FB7" w:rsidRDefault="000D7160" w:rsidP="00D7112C">
      <w:pPr>
        <w:pStyle w:val="Bibliography"/>
        <w:numPr>
          <w:ilvl w:val="0"/>
          <w:numId w:val="17"/>
        </w:numPr>
        <w:rPr>
          <w:rFonts w:ascii="Times New Roman" w:hAnsi="Times New Roman" w:cs="Times New Roman"/>
          <w:noProof/>
          <w:lang w:val="en-IN"/>
        </w:rPr>
      </w:pPr>
      <w:r w:rsidRPr="00EF3FB7">
        <w:rPr>
          <w:rFonts w:ascii="Times New Roman" w:hAnsi="Times New Roman" w:cs="Times New Roman"/>
          <w:noProof/>
          <w:lang w:val="en-IN"/>
        </w:rPr>
        <w:t xml:space="preserve">BINGZHI, W. Y. (2024). Prospective Policy Holders on Health Insurance: An Assessment Towards Marketing Plan Proposal. </w:t>
      </w:r>
      <w:r w:rsidRPr="00EF3FB7">
        <w:rPr>
          <w:rFonts w:ascii="Times New Roman" w:hAnsi="Times New Roman" w:cs="Times New Roman"/>
          <w:iCs/>
          <w:noProof/>
          <w:lang w:val="en-IN"/>
        </w:rPr>
        <w:t>Journal of Business and Management Studies</w:t>
      </w:r>
      <w:r w:rsidRPr="00EF3FB7">
        <w:rPr>
          <w:rFonts w:ascii="Times New Roman" w:hAnsi="Times New Roman" w:cs="Times New Roman"/>
          <w:noProof/>
          <w:lang w:val="en-IN"/>
        </w:rPr>
        <w:t xml:space="preserve"> , 6(6), 298-321.</w:t>
      </w:r>
    </w:p>
    <w:p w:rsidR="000D7160" w:rsidRPr="00EF3FB7" w:rsidRDefault="000D7160" w:rsidP="00D7112C">
      <w:pPr>
        <w:pStyle w:val="Bibliography"/>
        <w:numPr>
          <w:ilvl w:val="0"/>
          <w:numId w:val="17"/>
        </w:numPr>
        <w:rPr>
          <w:rFonts w:ascii="Times New Roman" w:hAnsi="Times New Roman" w:cs="Times New Roman"/>
          <w:noProof/>
          <w:lang w:val="en-IN"/>
        </w:rPr>
      </w:pPr>
      <w:r w:rsidRPr="00EF3FB7">
        <w:rPr>
          <w:rFonts w:ascii="Times New Roman" w:hAnsi="Times New Roman" w:cs="Times New Roman"/>
          <w:noProof/>
          <w:lang w:val="en-IN"/>
        </w:rPr>
        <w:t xml:space="preserve">Geruso, M. &amp;. (2017). Selection in health insurance markets and its policy remedies. . </w:t>
      </w:r>
      <w:r w:rsidRPr="00EF3FB7">
        <w:rPr>
          <w:rFonts w:ascii="Times New Roman" w:hAnsi="Times New Roman" w:cs="Times New Roman"/>
          <w:iCs/>
          <w:noProof/>
          <w:lang w:val="en-IN"/>
        </w:rPr>
        <w:t>Journal of Economic Perspectives,</w:t>
      </w:r>
      <w:r w:rsidRPr="00EF3FB7">
        <w:rPr>
          <w:rFonts w:ascii="Times New Roman" w:hAnsi="Times New Roman" w:cs="Times New Roman"/>
          <w:noProof/>
          <w:lang w:val="en-IN"/>
        </w:rPr>
        <w:t xml:space="preserve"> , 31(4), 23-50.</w:t>
      </w:r>
    </w:p>
    <w:p w:rsidR="000D7160" w:rsidRPr="00EF3FB7" w:rsidRDefault="000D7160" w:rsidP="00D7112C">
      <w:pPr>
        <w:pStyle w:val="Bibliography"/>
        <w:numPr>
          <w:ilvl w:val="0"/>
          <w:numId w:val="17"/>
        </w:numPr>
        <w:rPr>
          <w:rFonts w:ascii="Times New Roman" w:hAnsi="Times New Roman" w:cs="Times New Roman"/>
          <w:noProof/>
          <w:lang w:val="en-IN"/>
        </w:rPr>
      </w:pPr>
      <w:r w:rsidRPr="00EF3FB7">
        <w:rPr>
          <w:rFonts w:ascii="Times New Roman" w:hAnsi="Times New Roman" w:cs="Times New Roman"/>
          <w:noProof/>
          <w:lang w:val="en-IN"/>
        </w:rPr>
        <w:t xml:space="preserve">Pahwa, B. &amp;. (2019). A study of factors influencing the purchase decision of health insurance policies using AHP approach. . </w:t>
      </w:r>
      <w:r w:rsidRPr="00EF3FB7">
        <w:rPr>
          <w:rFonts w:ascii="Times New Roman" w:hAnsi="Times New Roman" w:cs="Times New Roman"/>
          <w:iCs/>
          <w:noProof/>
          <w:lang w:val="en-IN"/>
        </w:rPr>
        <w:t>Compusoft</w:t>
      </w:r>
      <w:r w:rsidRPr="00EF3FB7">
        <w:rPr>
          <w:rFonts w:ascii="Times New Roman" w:hAnsi="Times New Roman" w:cs="Times New Roman"/>
          <w:noProof/>
          <w:lang w:val="en-IN"/>
        </w:rPr>
        <w:t xml:space="preserve"> , 8(7), 3285-3293.</w:t>
      </w:r>
    </w:p>
    <w:p w:rsidR="009F564B" w:rsidRDefault="003E479A" w:rsidP="00D7112C">
      <w:pPr>
        <w:pStyle w:val="Bibliography"/>
        <w:numPr>
          <w:ilvl w:val="0"/>
          <w:numId w:val="17"/>
        </w:numPr>
        <w:rPr>
          <w:rFonts w:ascii="Times New Roman" w:hAnsi="Times New Roman" w:cs="Times New Roman"/>
          <w:noProof/>
          <w:lang w:val="en-IN"/>
        </w:rPr>
      </w:pPr>
      <w:r w:rsidRPr="00EF3FB7">
        <w:rPr>
          <w:rFonts w:ascii="Times New Roman" w:hAnsi="Times New Roman" w:cs="Times New Roman"/>
          <w:b/>
          <w:sz w:val="28"/>
          <w:szCs w:val="28"/>
        </w:rPr>
        <w:fldChar w:fldCharType="end"/>
      </w:r>
      <w:r w:rsidR="009F564B" w:rsidRPr="00EF3FB7">
        <w:rPr>
          <w:rFonts w:ascii="Times New Roman" w:hAnsi="Times New Roman" w:cs="Times New Roman"/>
          <w:noProof/>
          <w:lang w:val="en-IN"/>
        </w:rPr>
        <w:t>Kumar,R.&amp;.(2021). Health Insurance as a Healthcare financing Mechanism in India:Key Strategic Insights and a Business Model Persective.Vikalpa,46((2)),112-128.</w:t>
      </w:r>
    </w:p>
    <w:p w:rsidR="00FF6A55" w:rsidRDefault="00FF6A55" w:rsidP="00FF6A55">
      <w:pPr>
        <w:pStyle w:val="Bibliography"/>
        <w:numPr>
          <w:ilvl w:val="0"/>
          <w:numId w:val="17"/>
        </w:numPr>
        <w:rPr>
          <w:noProof/>
        </w:rPr>
      </w:pPr>
      <w:r>
        <w:rPr>
          <w:noProof/>
        </w:rPr>
        <w:t xml:space="preserve">Ogundeji, Y. K. (2019). Factors influencing willingness and ability to pay for social health insurance in Nigeria. </w:t>
      </w:r>
      <w:r>
        <w:rPr>
          <w:i/>
          <w:iCs/>
          <w:noProof/>
        </w:rPr>
        <w:t>PloS one</w:t>
      </w:r>
      <w:r>
        <w:rPr>
          <w:noProof/>
        </w:rPr>
        <w:t xml:space="preserve"> , 14(8), e0220558.</w:t>
      </w:r>
    </w:p>
    <w:p w:rsidR="009F564B" w:rsidRPr="00EF3FB7" w:rsidRDefault="009F564B" w:rsidP="00D7112C">
      <w:pPr>
        <w:pStyle w:val="Bibliography"/>
        <w:numPr>
          <w:ilvl w:val="0"/>
          <w:numId w:val="17"/>
        </w:numPr>
        <w:rPr>
          <w:rFonts w:ascii="Times New Roman" w:hAnsi="Times New Roman" w:cs="Times New Roman"/>
          <w:sz w:val="24"/>
          <w:szCs w:val="24"/>
        </w:rPr>
      </w:pPr>
      <w:r w:rsidRPr="00EF3FB7">
        <w:rPr>
          <w:rFonts w:ascii="Times New Roman" w:hAnsi="Times New Roman" w:cs="Times New Roman"/>
          <w:noProof/>
          <w:lang w:val="en-IN"/>
        </w:rPr>
        <w:t>Institute of Medicine (US) Committee on the Consequences of Uninsurance.Care Without Coverage: Too Little, Too Late. Washington(DC);National Academies Press(US);2002.3</w:t>
      </w:r>
      <w:r w:rsidR="0066607C" w:rsidRPr="00EF3FB7">
        <w:rPr>
          <w:rFonts w:ascii="Times New Roman" w:hAnsi="Times New Roman" w:cs="Times New Roman"/>
          <w:noProof/>
          <w:lang w:val="en-IN"/>
        </w:rPr>
        <w:t xml:space="preserve"> Effects of Health Insurance on Health Available from: </w:t>
      </w:r>
      <w:hyperlink r:id="rId8" w:history="1">
        <w:r w:rsidR="0066607C" w:rsidRPr="00EF3FB7">
          <w:rPr>
            <w:rStyle w:val="Hyperlink"/>
            <w:rFonts w:ascii="Times New Roman" w:hAnsi="Times New Roman" w:cs="Times New Roman"/>
            <w:sz w:val="24"/>
            <w:szCs w:val="24"/>
          </w:rPr>
          <w:t>https://www.ncbi.nlm.nih.gov/books/NBK220636/wilperap,woolhandlers,lasserke,mccormickd,bordh,himmelsteindu.healthinsuranceandmortalityinusadults.amjpublichealth.2009dec;99(12):2289-95,doi:10.2105/ajph.2008.157685.epub2009sep17.pmid:19762659;pmcid:pmc2775760</w:t>
        </w:r>
      </w:hyperlink>
    </w:p>
    <w:p w:rsidR="0066607C" w:rsidRPr="00D7112C" w:rsidRDefault="0066607C" w:rsidP="00D7112C">
      <w:pPr>
        <w:pStyle w:val="ListParagraph"/>
        <w:numPr>
          <w:ilvl w:val="0"/>
          <w:numId w:val="17"/>
        </w:numPr>
        <w:spacing w:after="0" w:line="360" w:lineRule="auto"/>
        <w:rPr>
          <w:rFonts w:ascii="Times New Roman" w:hAnsi="Times New Roman" w:cs="Times New Roman"/>
          <w:sz w:val="24"/>
          <w:szCs w:val="24"/>
        </w:rPr>
      </w:pPr>
      <w:r w:rsidRPr="00D7112C">
        <w:rPr>
          <w:rFonts w:ascii="Times New Roman" w:hAnsi="Times New Roman" w:cs="Times New Roman"/>
          <w:noProof/>
          <w:lang w:val="en-IN"/>
        </w:rPr>
        <w:t>Institute of Medicine(IOM).2001.Coverage Matters: Insurance and Health Care, Washington, DC:</w:t>
      </w:r>
      <w:r w:rsidR="001E0EB3" w:rsidRPr="00D7112C">
        <w:rPr>
          <w:rFonts w:ascii="Times New Roman" w:hAnsi="Times New Roman" w:cs="Times New Roman"/>
          <w:noProof/>
          <w:lang w:val="en-IN"/>
        </w:rPr>
        <w:t xml:space="preserve"> Na</w:t>
      </w:r>
      <w:r w:rsidRPr="00D7112C">
        <w:rPr>
          <w:rFonts w:ascii="Times New Roman" w:hAnsi="Times New Roman" w:cs="Times New Roman"/>
          <w:noProof/>
          <w:lang w:val="en-IN"/>
        </w:rPr>
        <w:t>tional</w:t>
      </w:r>
      <w:r w:rsidR="001E0EB3" w:rsidRPr="00D7112C">
        <w:rPr>
          <w:rFonts w:ascii="Times New Roman" w:hAnsi="Times New Roman" w:cs="Times New Roman"/>
          <w:noProof/>
          <w:lang w:val="en-IN"/>
        </w:rPr>
        <w:t xml:space="preserve"> Academics Press. This was the first six books released during 2001-04; see </w:t>
      </w:r>
      <w:hyperlink r:id="rId9" w:history="1">
        <w:r w:rsidR="001E0EB3" w:rsidRPr="00D7112C">
          <w:rPr>
            <w:rStyle w:val="Hyperlink"/>
            <w:rFonts w:ascii="Times New Roman" w:hAnsi="Times New Roman" w:cs="Times New Roman"/>
            <w:sz w:val="24"/>
            <w:szCs w:val="24"/>
          </w:rPr>
          <w:t>http://www.iom.edu/CMS/3809/4660/4662.aspx</w:t>
        </w:r>
      </w:hyperlink>
      <w:r w:rsidR="001E0EB3" w:rsidRPr="00D7112C">
        <w:rPr>
          <w:rFonts w:ascii="Times New Roman" w:hAnsi="Times New Roman" w:cs="Times New Roman"/>
          <w:sz w:val="24"/>
          <w:szCs w:val="24"/>
        </w:rPr>
        <w:t>.</w:t>
      </w:r>
    </w:p>
    <w:p w:rsidR="001E0EB3" w:rsidRPr="00EF3FB7" w:rsidRDefault="001E0EB3" w:rsidP="00AE6E18">
      <w:pPr>
        <w:pStyle w:val="Bibliography"/>
        <w:spacing w:after="0" w:line="360" w:lineRule="auto"/>
        <w:rPr>
          <w:rFonts w:ascii="Times New Roman" w:hAnsi="Times New Roman" w:cs="Times New Roman"/>
          <w:sz w:val="24"/>
          <w:szCs w:val="24"/>
        </w:rPr>
      </w:pPr>
    </w:p>
    <w:sectPr w:rsidR="001E0EB3" w:rsidRPr="00EF3FB7" w:rsidSect="001655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D82" w:rsidRDefault="00631D82" w:rsidP="00BA128A">
      <w:pPr>
        <w:spacing w:after="0" w:line="240" w:lineRule="auto"/>
      </w:pPr>
      <w:r>
        <w:separator/>
      </w:r>
    </w:p>
  </w:endnote>
  <w:endnote w:type="continuationSeparator" w:id="1">
    <w:p w:rsidR="00631D82" w:rsidRDefault="00631D82" w:rsidP="00BA1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351" w:rsidRDefault="006813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351" w:rsidRDefault="006813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351" w:rsidRDefault="006813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D82" w:rsidRDefault="00631D82" w:rsidP="00BA128A">
      <w:pPr>
        <w:spacing w:after="0" w:line="240" w:lineRule="auto"/>
      </w:pPr>
      <w:r>
        <w:separator/>
      </w:r>
    </w:p>
  </w:footnote>
  <w:footnote w:type="continuationSeparator" w:id="1">
    <w:p w:rsidR="00631D82" w:rsidRDefault="00631D82" w:rsidP="00BA12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351" w:rsidRDefault="003E47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351" w:rsidRDefault="003E47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351" w:rsidRDefault="003E47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22C5"/>
    <w:multiLevelType w:val="hybridMultilevel"/>
    <w:tmpl w:val="2E6E7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A0244"/>
    <w:multiLevelType w:val="hybridMultilevel"/>
    <w:tmpl w:val="342E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E3587"/>
    <w:multiLevelType w:val="hybridMultilevel"/>
    <w:tmpl w:val="5D061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D3B7A"/>
    <w:multiLevelType w:val="hybridMultilevel"/>
    <w:tmpl w:val="1632D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7758A"/>
    <w:multiLevelType w:val="hybridMultilevel"/>
    <w:tmpl w:val="2E6E78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877861"/>
    <w:multiLevelType w:val="hybridMultilevel"/>
    <w:tmpl w:val="8CAE6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6F066D"/>
    <w:multiLevelType w:val="hybridMultilevel"/>
    <w:tmpl w:val="77BE3D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A84872"/>
    <w:multiLevelType w:val="hybridMultilevel"/>
    <w:tmpl w:val="1BAA9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08165D"/>
    <w:multiLevelType w:val="hybridMultilevel"/>
    <w:tmpl w:val="2FA08B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F4A439F"/>
    <w:multiLevelType w:val="hybridMultilevel"/>
    <w:tmpl w:val="F60CB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83D27"/>
    <w:multiLevelType w:val="hybridMultilevel"/>
    <w:tmpl w:val="1DF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4D591D"/>
    <w:multiLevelType w:val="hybridMultilevel"/>
    <w:tmpl w:val="60029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886ACA"/>
    <w:multiLevelType w:val="hybridMultilevel"/>
    <w:tmpl w:val="29B80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EF1E9A"/>
    <w:multiLevelType w:val="hybridMultilevel"/>
    <w:tmpl w:val="7B3E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BD4D4D"/>
    <w:multiLevelType w:val="multilevel"/>
    <w:tmpl w:val="7DF0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CC5415"/>
    <w:multiLevelType w:val="multilevel"/>
    <w:tmpl w:val="02BC3A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7A4F7CED"/>
    <w:multiLevelType w:val="hybridMultilevel"/>
    <w:tmpl w:val="E954B7CC"/>
    <w:lvl w:ilvl="0" w:tplc="E75674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6"/>
  </w:num>
  <w:num w:numId="4">
    <w:abstractNumId w:val="0"/>
  </w:num>
  <w:num w:numId="5">
    <w:abstractNumId w:val="4"/>
  </w:num>
  <w:num w:numId="6">
    <w:abstractNumId w:val="10"/>
  </w:num>
  <w:num w:numId="7">
    <w:abstractNumId w:val="1"/>
  </w:num>
  <w:num w:numId="8">
    <w:abstractNumId w:val="2"/>
  </w:num>
  <w:num w:numId="9">
    <w:abstractNumId w:val="13"/>
  </w:num>
  <w:num w:numId="10">
    <w:abstractNumId w:val="9"/>
  </w:num>
  <w:num w:numId="11">
    <w:abstractNumId w:val="12"/>
  </w:num>
  <w:num w:numId="12">
    <w:abstractNumId w:val="7"/>
  </w:num>
  <w:num w:numId="13">
    <w:abstractNumId w:val="5"/>
  </w:num>
  <w:num w:numId="14">
    <w:abstractNumId w:val="3"/>
  </w:num>
  <w:num w:numId="15">
    <w:abstractNumId w:val="11"/>
  </w:num>
  <w:num w:numId="16">
    <w:abstractNumId w:val="1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87FBD"/>
    <w:rsid w:val="00016D7C"/>
    <w:rsid w:val="00032D1D"/>
    <w:rsid w:val="000363C0"/>
    <w:rsid w:val="00041855"/>
    <w:rsid w:val="00057469"/>
    <w:rsid w:val="0006536C"/>
    <w:rsid w:val="00083494"/>
    <w:rsid w:val="00093A0C"/>
    <w:rsid w:val="000C3463"/>
    <w:rsid w:val="000D7160"/>
    <w:rsid w:val="000E55B7"/>
    <w:rsid w:val="0011409C"/>
    <w:rsid w:val="00121D6A"/>
    <w:rsid w:val="00125BC7"/>
    <w:rsid w:val="0013180F"/>
    <w:rsid w:val="00160660"/>
    <w:rsid w:val="00162432"/>
    <w:rsid w:val="0016558D"/>
    <w:rsid w:val="00185449"/>
    <w:rsid w:val="00187FBD"/>
    <w:rsid w:val="001B7ED7"/>
    <w:rsid w:val="001E0EB3"/>
    <w:rsid w:val="001E31B7"/>
    <w:rsid w:val="00202505"/>
    <w:rsid w:val="00202677"/>
    <w:rsid w:val="00211C7C"/>
    <w:rsid w:val="002478C9"/>
    <w:rsid w:val="0025012E"/>
    <w:rsid w:val="002537A2"/>
    <w:rsid w:val="00273DB1"/>
    <w:rsid w:val="002742C5"/>
    <w:rsid w:val="002755DF"/>
    <w:rsid w:val="002C7C32"/>
    <w:rsid w:val="002E6002"/>
    <w:rsid w:val="002F524E"/>
    <w:rsid w:val="003021B2"/>
    <w:rsid w:val="003039DD"/>
    <w:rsid w:val="00315FE1"/>
    <w:rsid w:val="00324BE5"/>
    <w:rsid w:val="003416DD"/>
    <w:rsid w:val="0036198D"/>
    <w:rsid w:val="0036568A"/>
    <w:rsid w:val="003A2A69"/>
    <w:rsid w:val="003D1E39"/>
    <w:rsid w:val="003E479A"/>
    <w:rsid w:val="003E7AD8"/>
    <w:rsid w:val="003F2B44"/>
    <w:rsid w:val="003F4C13"/>
    <w:rsid w:val="00401CE0"/>
    <w:rsid w:val="00445429"/>
    <w:rsid w:val="004457DB"/>
    <w:rsid w:val="00464BDE"/>
    <w:rsid w:val="004723FF"/>
    <w:rsid w:val="004726E3"/>
    <w:rsid w:val="00495654"/>
    <w:rsid w:val="004A73D9"/>
    <w:rsid w:val="004C5509"/>
    <w:rsid w:val="004E2F74"/>
    <w:rsid w:val="0050085F"/>
    <w:rsid w:val="00501AEA"/>
    <w:rsid w:val="0050536C"/>
    <w:rsid w:val="00507C81"/>
    <w:rsid w:val="0053515D"/>
    <w:rsid w:val="00563861"/>
    <w:rsid w:val="00563CD0"/>
    <w:rsid w:val="00570A5B"/>
    <w:rsid w:val="00571B97"/>
    <w:rsid w:val="005762F4"/>
    <w:rsid w:val="00584878"/>
    <w:rsid w:val="005A0A84"/>
    <w:rsid w:val="005A0AB5"/>
    <w:rsid w:val="005A231F"/>
    <w:rsid w:val="005A7F76"/>
    <w:rsid w:val="005D3E8D"/>
    <w:rsid w:val="00631D82"/>
    <w:rsid w:val="0066607C"/>
    <w:rsid w:val="006672B0"/>
    <w:rsid w:val="00667CB7"/>
    <w:rsid w:val="00681351"/>
    <w:rsid w:val="006A3A16"/>
    <w:rsid w:val="00705D10"/>
    <w:rsid w:val="00755941"/>
    <w:rsid w:val="00756688"/>
    <w:rsid w:val="00770DAA"/>
    <w:rsid w:val="00782DA6"/>
    <w:rsid w:val="007A1B3C"/>
    <w:rsid w:val="007D7066"/>
    <w:rsid w:val="007E18FB"/>
    <w:rsid w:val="007E402F"/>
    <w:rsid w:val="00806C4D"/>
    <w:rsid w:val="00820CDD"/>
    <w:rsid w:val="0084149D"/>
    <w:rsid w:val="00847B22"/>
    <w:rsid w:val="008616A7"/>
    <w:rsid w:val="00892C8D"/>
    <w:rsid w:val="008A3C6D"/>
    <w:rsid w:val="008B3245"/>
    <w:rsid w:val="008D117E"/>
    <w:rsid w:val="008D1663"/>
    <w:rsid w:val="008D64D6"/>
    <w:rsid w:val="008F29E9"/>
    <w:rsid w:val="00901DFE"/>
    <w:rsid w:val="0093319E"/>
    <w:rsid w:val="009373FA"/>
    <w:rsid w:val="00944605"/>
    <w:rsid w:val="00950D4C"/>
    <w:rsid w:val="00965BD9"/>
    <w:rsid w:val="009C1EBD"/>
    <w:rsid w:val="009D5D6F"/>
    <w:rsid w:val="009F006C"/>
    <w:rsid w:val="009F564B"/>
    <w:rsid w:val="00A119B4"/>
    <w:rsid w:val="00A17F15"/>
    <w:rsid w:val="00A47F3D"/>
    <w:rsid w:val="00A72A73"/>
    <w:rsid w:val="00A84EDC"/>
    <w:rsid w:val="00AB1DC2"/>
    <w:rsid w:val="00AB60D7"/>
    <w:rsid w:val="00AC4DA3"/>
    <w:rsid w:val="00AC6C46"/>
    <w:rsid w:val="00AD0D68"/>
    <w:rsid w:val="00AD3DE7"/>
    <w:rsid w:val="00AE6E18"/>
    <w:rsid w:val="00AF41A4"/>
    <w:rsid w:val="00AF457A"/>
    <w:rsid w:val="00B01423"/>
    <w:rsid w:val="00B0273F"/>
    <w:rsid w:val="00B11BD7"/>
    <w:rsid w:val="00B258F0"/>
    <w:rsid w:val="00B756A8"/>
    <w:rsid w:val="00B8661E"/>
    <w:rsid w:val="00B91EF3"/>
    <w:rsid w:val="00B937E6"/>
    <w:rsid w:val="00BA128A"/>
    <w:rsid w:val="00BA5711"/>
    <w:rsid w:val="00BC13E2"/>
    <w:rsid w:val="00BC56B6"/>
    <w:rsid w:val="00BD4ADE"/>
    <w:rsid w:val="00BF1786"/>
    <w:rsid w:val="00BF3BFA"/>
    <w:rsid w:val="00C14CFB"/>
    <w:rsid w:val="00C27EBF"/>
    <w:rsid w:val="00C67C34"/>
    <w:rsid w:val="00C77BF6"/>
    <w:rsid w:val="00C8010A"/>
    <w:rsid w:val="00CB0DE7"/>
    <w:rsid w:val="00CB69B0"/>
    <w:rsid w:val="00D162BF"/>
    <w:rsid w:val="00D644FD"/>
    <w:rsid w:val="00D7112C"/>
    <w:rsid w:val="00DA0B34"/>
    <w:rsid w:val="00DA62FA"/>
    <w:rsid w:val="00E054F2"/>
    <w:rsid w:val="00E14BC2"/>
    <w:rsid w:val="00E43F39"/>
    <w:rsid w:val="00E47192"/>
    <w:rsid w:val="00E801E1"/>
    <w:rsid w:val="00E82739"/>
    <w:rsid w:val="00E9634F"/>
    <w:rsid w:val="00EC7E8B"/>
    <w:rsid w:val="00EE48B0"/>
    <w:rsid w:val="00EF124F"/>
    <w:rsid w:val="00EF3FB7"/>
    <w:rsid w:val="00EF68AE"/>
    <w:rsid w:val="00F073D5"/>
    <w:rsid w:val="00F109C5"/>
    <w:rsid w:val="00F1336E"/>
    <w:rsid w:val="00F14A73"/>
    <w:rsid w:val="00F347F0"/>
    <w:rsid w:val="00F63164"/>
    <w:rsid w:val="00F93C51"/>
    <w:rsid w:val="00FA506E"/>
    <w:rsid w:val="00FB3563"/>
    <w:rsid w:val="00FB567F"/>
    <w:rsid w:val="00FE308C"/>
    <w:rsid w:val="00FF6A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BD"/>
  </w:style>
  <w:style w:type="paragraph" w:styleId="Heading1">
    <w:name w:val="heading 1"/>
    <w:basedOn w:val="Normal"/>
    <w:next w:val="Normal"/>
    <w:link w:val="Heading1Char"/>
    <w:uiPriority w:val="9"/>
    <w:qFormat/>
    <w:rsid w:val="00B937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11B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42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0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0A"/>
    <w:rPr>
      <w:rFonts w:ascii="Tahoma" w:hAnsi="Tahoma" w:cs="Tahoma"/>
      <w:sz w:val="16"/>
      <w:szCs w:val="16"/>
    </w:rPr>
  </w:style>
  <w:style w:type="table" w:styleId="TableGrid">
    <w:name w:val="Table Grid"/>
    <w:basedOn w:val="TableNormal"/>
    <w:uiPriority w:val="99"/>
    <w:rsid w:val="008616A7"/>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A1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28A"/>
    <w:rPr>
      <w:sz w:val="20"/>
      <w:szCs w:val="20"/>
    </w:rPr>
  </w:style>
  <w:style w:type="character" w:styleId="FootnoteReference">
    <w:name w:val="footnote reference"/>
    <w:basedOn w:val="DefaultParagraphFont"/>
    <w:uiPriority w:val="99"/>
    <w:semiHidden/>
    <w:unhideWhenUsed/>
    <w:rsid w:val="00BA128A"/>
    <w:rPr>
      <w:vertAlign w:val="superscript"/>
    </w:rPr>
  </w:style>
  <w:style w:type="paragraph" w:styleId="ListParagraph">
    <w:name w:val="List Paragraph"/>
    <w:basedOn w:val="Normal"/>
    <w:uiPriority w:val="34"/>
    <w:qFormat/>
    <w:rsid w:val="00755941"/>
    <w:pPr>
      <w:ind w:left="720"/>
      <w:contextualSpacing/>
    </w:pPr>
  </w:style>
  <w:style w:type="character" w:customStyle="1" w:styleId="Heading1Char">
    <w:name w:val="Heading 1 Char"/>
    <w:basedOn w:val="DefaultParagraphFont"/>
    <w:link w:val="Heading1"/>
    <w:uiPriority w:val="9"/>
    <w:rsid w:val="00B937E6"/>
    <w:rPr>
      <w:rFonts w:asciiTheme="majorHAnsi" w:eastAsiaTheme="majorEastAsia" w:hAnsiTheme="majorHAnsi" w:cstheme="majorBidi"/>
      <w:b/>
      <w:bCs/>
      <w:color w:val="365F91" w:themeColor="accent1" w:themeShade="BF"/>
      <w:sz w:val="28"/>
      <w:szCs w:val="28"/>
    </w:rPr>
  </w:style>
  <w:style w:type="character" w:customStyle="1" w:styleId="ff2">
    <w:name w:val="ff2"/>
    <w:basedOn w:val="DefaultParagraphFont"/>
    <w:rsid w:val="00AC4DA3"/>
  </w:style>
  <w:style w:type="character" w:customStyle="1" w:styleId="a">
    <w:name w:val="_"/>
    <w:basedOn w:val="DefaultParagraphFont"/>
    <w:rsid w:val="00AC4DA3"/>
  </w:style>
  <w:style w:type="character" w:styleId="Emphasis">
    <w:name w:val="Emphasis"/>
    <w:basedOn w:val="DefaultParagraphFont"/>
    <w:uiPriority w:val="20"/>
    <w:qFormat/>
    <w:rsid w:val="00121D6A"/>
    <w:rPr>
      <w:i/>
      <w:iCs/>
    </w:rPr>
  </w:style>
  <w:style w:type="character" w:customStyle="1" w:styleId="overflow-hidden">
    <w:name w:val="overflow-hidden"/>
    <w:basedOn w:val="DefaultParagraphFont"/>
    <w:rsid w:val="00121D6A"/>
  </w:style>
  <w:style w:type="paragraph" w:styleId="Bibliography">
    <w:name w:val="Bibliography"/>
    <w:basedOn w:val="Normal"/>
    <w:next w:val="Normal"/>
    <w:uiPriority w:val="37"/>
    <w:unhideWhenUsed/>
    <w:rsid w:val="004A73D9"/>
  </w:style>
  <w:style w:type="character" w:customStyle="1" w:styleId="Heading3Char">
    <w:name w:val="Heading 3 Char"/>
    <w:basedOn w:val="DefaultParagraphFont"/>
    <w:link w:val="Heading3"/>
    <w:uiPriority w:val="9"/>
    <w:rsid w:val="00B11BD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C1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EBD"/>
  </w:style>
  <w:style w:type="paragraph" w:styleId="Footer">
    <w:name w:val="footer"/>
    <w:basedOn w:val="Normal"/>
    <w:link w:val="FooterChar"/>
    <w:uiPriority w:val="99"/>
    <w:unhideWhenUsed/>
    <w:rsid w:val="009C1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EBD"/>
  </w:style>
  <w:style w:type="paragraph" w:styleId="EndnoteText">
    <w:name w:val="endnote text"/>
    <w:basedOn w:val="Normal"/>
    <w:link w:val="EndnoteTextChar"/>
    <w:uiPriority w:val="99"/>
    <w:semiHidden/>
    <w:unhideWhenUsed/>
    <w:rsid w:val="008D11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117E"/>
    <w:rPr>
      <w:sz w:val="20"/>
      <w:szCs w:val="20"/>
    </w:rPr>
  </w:style>
  <w:style w:type="character" w:styleId="EndnoteReference">
    <w:name w:val="endnote reference"/>
    <w:basedOn w:val="DefaultParagraphFont"/>
    <w:uiPriority w:val="99"/>
    <w:semiHidden/>
    <w:unhideWhenUsed/>
    <w:rsid w:val="008D117E"/>
    <w:rPr>
      <w:vertAlign w:val="superscript"/>
    </w:rPr>
  </w:style>
  <w:style w:type="character" w:styleId="Hyperlink">
    <w:name w:val="Hyperlink"/>
    <w:basedOn w:val="DefaultParagraphFont"/>
    <w:uiPriority w:val="99"/>
    <w:unhideWhenUsed/>
    <w:rsid w:val="0066607C"/>
    <w:rPr>
      <w:color w:val="0000FF" w:themeColor="hyperlink"/>
      <w:u w:val="single"/>
    </w:rPr>
  </w:style>
  <w:style w:type="character" w:customStyle="1" w:styleId="UnresolvedMention1">
    <w:name w:val="Unresolved Mention1"/>
    <w:basedOn w:val="DefaultParagraphFont"/>
    <w:uiPriority w:val="99"/>
    <w:semiHidden/>
    <w:unhideWhenUsed/>
    <w:rsid w:val="00CB69B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0981655">
      <w:bodyDiv w:val="1"/>
      <w:marLeft w:val="0"/>
      <w:marRight w:val="0"/>
      <w:marTop w:val="0"/>
      <w:marBottom w:val="0"/>
      <w:divBdr>
        <w:top w:val="none" w:sz="0" w:space="0" w:color="auto"/>
        <w:left w:val="none" w:sz="0" w:space="0" w:color="auto"/>
        <w:bottom w:val="none" w:sz="0" w:space="0" w:color="auto"/>
        <w:right w:val="none" w:sz="0" w:space="0" w:color="auto"/>
      </w:divBdr>
    </w:div>
    <w:div w:id="235557361">
      <w:bodyDiv w:val="1"/>
      <w:marLeft w:val="0"/>
      <w:marRight w:val="0"/>
      <w:marTop w:val="0"/>
      <w:marBottom w:val="0"/>
      <w:divBdr>
        <w:top w:val="none" w:sz="0" w:space="0" w:color="auto"/>
        <w:left w:val="none" w:sz="0" w:space="0" w:color="auto"/>
        <w:bottom w:val="none" w:sz="0" w:space="0" w:color="auto"/>
        <w:right w:val="none" w:sz="0" w:space="0" w:color="auto"/>
      </w:divBdr>
    </w:div>
    <w:div w:id="244654704">
      <w:bodyDiv w:val="1"/>
      <w:marLeft w:val="0"/>
      <w:marRight w:val="0"/>
      <w:marTop w:val="0"/>
      <w:marBottom w:val="0"/>
      <w:divBdr>
        <w:top w:val="none" w:sz="0" w:space="0" w:color="auto"/>
        <w:left w:val="none" w:sz="0" w:space="0" w:color="auto"/>
        <w:bottom w:val="none" w:sz="0" w:space="0" w:color="auto"/>
        <w:right w:val="none" w:sz="0" w:space="0" w:color="auto"/>
      </w:divBdr>
    </w:div>
    <w:div w:id="298390132">
      <w:bodyDiv w:val="1"/>
      <w:marLeft w:val="0"/>
      <w:marRight w:val="0"/>
      <w:marTop w:val="0"/>
      <w:marBottom w:val="0"/>
      <w:divBdr>
        <w:top w:val="none" w:sz="0" w:space="0" w:color="auto"/>
        <w:left w:val="none" w:sz="0" w:space="0" w:color="auto"/>
        <w:bottom w:val="none" w:sz="0" w:space="0" w:color="auto"/>
        <w:right w:val="none" w:sz="0" w:space="0" w:color="auto"/>
      </w:divBdr>
    </w:div>
    <w:div w:id="327483858">
      <w:bodyDiv w:val="1"/>
      <w:marLeft w:val="0"/>
      <w:marRight w:val="0"/>
      <w:marTop w:val="0"/>
      <w:marBottom w:val="0"/>
      <w:divBdr>
        <w:top w:val="none" w:sz="0" w:space="0" w:color="auto"/>
        <w:left w:val="none" w:sz="0" w:space="0" w:color="auto"/>
        <w:bottom w:val="none" w:sz="0" w:space="0" w:color="auto"/>
        <w:right w:val="none" w:sz="0" w:space="0" w:color="auto"/>
      </w:divBdr>
    </w:div>
    <w:div w:id="355472147">
      <w:bodyDiv w:val="1"/>
      <w:marLeft w:val="0"/>
      <w:marRight w:val="0"/>
      <w:marTop w:val="0"/>
      <w:marBottom w:val="0"/>
      <w:divBdr>
        <w:top w:val="none" w:sz="0" w:space="0" w:color="auto"/>
        <w:left w:val="none" w:sz="0" w:space="0" w:color="auto"/>
        <w:bottom w:val="none" w:sz="0" w:space="0" w:color="auto"/>
        <w:right w:val="none" w:sz="0" w:space="0" w:color="auto"/>
      </w:divBdr>
    </w:div>
    <w:div w:id="356852113">
      <w:bodyDiv w:val="1"/>
      <w:marLeft w:val="0"/>
      <w:marRight w:val="0"/>
      <w:marTop w:val="0"/>
      <w:marBottom w:val="0"/>
      <w:divBdr>
        <w:top w:val="none" w:sz="0" w:space="0" w:color="auto"/>
        <w:left w:val="none" w:sz="0" w:space="0" w:color="auto"/>
        <w:bottom w:val="none" w:sz="0" w:space="0" w:color="auto"/>
        <w:right w:val="none" w:sz="0" w:space="0" w:color="auto"/>
      </w:divBdr>
    </w:div>
    <w:div w:id="377247297">
      <w:bodyDiv w:val="1"/>
      <w:marLeft w:val="0"/>
      <w:marRight w:val="0"/>
      <w:marTop w:val="0"/>
      <w:marBottom w:val="0"/>
      <w:divBdr>
        <w:top w:val="none" w:sz="0" w:space="0" w:color="auto"/>
        <w:left w:val="none" w:sz="0" w:space="0" w:color="auto"/>
        <w:bottom w:val="none" w:sz="0" w:space="0" w:color="auto"/>
        <w:right w:val="none" w:sz="0" w:space="0" w:color="auto"/>
      </w:divBdr>
    </w:div>
    <w:div w:id="414864828">
      <w:bodyDiv w:val="1"/>
      <w:marLeft w:val="0"/>
      <w:marRight w:val="0"/>
      <w:marTop w:val="0"/>
      <w:marBottom w:val="0"/>
      <w:divBdr>
        <w:top w:val="none" w:sz="0" w:space="0" w:color="auto"/>
        <w:left w:val="none" w:sz="0" w:space="0" w:color="auto"/>
        <w:bottom w:val="none" w:sz="0" w:space="0" w:color="auto"/>
        <w:right w:val="none" w:sz="0" w:space="0" w:color="auto"/>
      </w:divBdr>
    </w:div>
    <w:div w:id="422997219">
      <w:bodyDiv w:val="1"/>
      <w:marLeft w:val="0"/>
      <w:marRight w:val="0"/>
      <w:marTop w:val="0"/>
      <w:marBottom w:val="0"/>
      <w:divBdr>
        <w:top w:val="none" w:sz="0" w:space="0" w:color="auto"/>
        <w:left w:val="none" w:sz="0" w:space="0" w:color="auto"/>
        <w:bottom w:val="none" w:sz="0" w:space="0" w:color="auto"/>
        <w:right w:val="none" w:sz="0" w:space="0" w:color="auto"/>
      </w:divBdr>
    </w:div>
    <w:div w:id="457264468">
      <w:bodyDiv w:val="1"/>
      <w:marLeft w:val="0"/>
      <w:marRight w:val="0"/>
      <w:marTop w:val="0"/>
      <w:marBottom w:val="0"/>
      <w:divBdr>
        <w:top w:val="none" w:sz="0" w:space="0" w:color="auto"/>
        <w:left w:val="none" w:sz="0" w:space="0" w:color="auto"/>
        <w:bottom w:val="none" w:sz="0" w:space="0" w:color="auto"/>
        <w:right w:val="none" w:sz="0" w:space="0" w:color="auto"/>
      </w:divBdr>
    </w:div>
    <w:div w:id="518352303">
      <w:bodyDiv w:val="1"/>
      <w:marLeft w:val="0"/>
      <w:marRight w:val="0"/>
      <w:marTop w:val="0"/>
      <w:marBottom w:val="0"/>
      <w:divBdr>
        <w:top w:val="none" w:sz="0" w:space="0" w:color="auto"/>
        <w:left w:val="none" w:sz="0" w:space="0" w:color="auto"/>
        <w:bottom w:val="none" w:sz="0" w:space="0" w:color="auto"/>
        <w:right w:val="none" w:sz="0" w:space="0" w:color="auto"/>
      </w:divBdr>
    </w:div>
    <w:div w:id="557857571">
      <w:bodyDiv w:val="1"/>
      <w:marLeft w:val="0"/>
      <w:marRight w:val="0"/>
      <w:marTop w:val="0"/>
      <w:marBottom w:val="0"/>
      <w:divBdr>
        <w:top w:val="none" w:sz="0" w:space="0" w:color="auto"/>
        <w:left w:val="none" w:sz="0" w:space="0" w:color="auto"/>
        <w:bottom w:val="none" w:sz="0" w:space="0" w:color="auto"/>
        <w:right w:val="none" w:sz="0" w:space="0" w:color="auto"/>
      </w:divBdr>
    </w:div>
    <w:div w:id="588077595">
      <w:bodyDiv w:val="1"/>
      <w:marLeft w:val="0"/>
      <w:marRight w:val="0"/>
      <w:marTop w:val="0"/>
      <w:marBottom w:val="0"/>
      <w:divBdr>
        <w:top w:val="none" w:sz="0" w:space="0" w:color="auto"/>
        <w:left w:val="none" w:sz="0" w:space="0" w:color="auto"/>
        <w:bottom w:val="none" w:sz="0" w:space="0" w:color="auto"/>
        <w:right w:val="none" w:sz="0" w:space="0" w:color="auto"/>
      </w:divBdr>
    </w:div>
    <w:div w:id="713818170">
      <w:bodyDiv w:val="1"/>
      <w:marLeft w:val="0"/>
      <w:marRight w:val="0"/>
      <w:marTop w:val="0"/>
      <w:marBottom w:val="0"/>
      <w:divBdr>
        <w:top w:val="none" w:sz="0" w:space="0" w:color="auto"/>
        <w:left w:val="none" w:sz="0" w:space="0" w:color="auto"/>
        <w:bottom w:val="none" w:sz="0" w:space="0" w:color="auto"/>
        <w:right w:val="none" w:sz="0" w:space="0" w:color="auto"/>
      </w:divBdr>
    </w:div>
    <w:div w:id="850682752">
      <w:bodyDiv w:val="1"/>
      <w:marLeft w:val="0"/>
      <w:marRight w:val="0"/>
      <w:marTop w:val="0"/>
      <w:marBottom w:val="0"/>
      <w:divBdr>
        <w:top w:val="none" w:sz="0" w:space="0" w:color="auto"/>
        <w:left w:val="none" w:sz="0" w:space="0" w:color="auto"/>
        <w:bottom w:val="none" w:sz="0" w:space="0" w:color="auto"/>
        <w:right w:val="none" w:sz="0" w:space="0" w:color="auto"/>
      </w:divBdr>
    </w:div>
    <w:div w:id="861669438">
      <w:bodyDiv w:val="1"/>
      <w:marLeft w:val="0"/>
      <w:marRight w:val="0"/>
      <w:marTop w:val="0"/>
      <w:marBottom w:val="0"/>
      <w:divBdr>
        <w:top w:val="none" w:sz="0" w:space="0" w:color="auto"/>
        <w:left w:val="none" w:sz="0" w:space="0" w:color="auto"/>
        <w:bottom w:val="none" w:sz="0" w:space="0" w:color="auto"/>
        <w:right w:val="none" w:sz="0" w:space="0" w:color="auto"/>
      </w:divBdr>
    </w:div>
    <w:div w:id="876434185">
      <w:bodyDiv w:val="1"/>
      <w:marLeft w:val="0"/>
      <w:marRight w:val="0"/>
      <w:marTop w:val="0"/>
      <w:marBottom w:val="0"/>
      <w:divBdr>
        <w:top w:val="none" w:sz="0" w:space="0" w:color="auto"/>
        <w:left w:val="none" w:sz="0" w:space="0" w:color="auto"/>
        <w:bottom w:val="none" w:sz="0" w:space="0" w:color="auto"/>
        <w:right w:val="none" w:sz="0" w:space="0" w:color="auto"/>
      </w:divBdr>
    </w:div>
    <w:div w:id="883492465">
      <w:bodyDiv w:val="1"/>
      <w:marLeft w:val="0"/>
      <w:marRight w:val="0"/>
      <w:marTop w:val="0"/>
      <w:marBottom w:val="0"/>
      <w:divBdr>
        <w:top w:val="none" w:sz="0" w:space="0" w:color="auto"/>
        <w:left w:val="none" w:sz="0" w:space="0" w:color="auto"/>
        <w:bottom w:val="none" w:sz="0" w:space="0" w:color="auto"/>
        <w:right w:val="none" w:sz="0" w:space="0" w:color="auto"/>
      </w:divBdr>
    </w:div>
    <w:div w:id="888303884">
      <w:bodyDiv w:val="1"/>
      <w:marLeft w:val="0"/>
      <w:marRight w:val="0"/>
      <w:marTop w:val="0"/>
      <w:marBottom w:val="0"/>
      <w:divBdr>
        <w:top w:val="none" w:sz="0" w:space="0" w:color="auto"/>
        <w:left w:val="none" w:sz="0" w:space="0" w:color="auto"/>
        <w:bottom w:val="none" w:sz="0" w:space="0" w:color="auto"/>
        <w:right w:val="none" w:sz="0" w:space="0" w:color="auto"/>
      </w:divBdr>
      <w:divsChild>
        <w:div w:id="267930318">
          <w:marLeft w:val="0"/>
          <w:marRight w:val="0"/>
          <w:marTop w:val="0"/>
          <w:marBottom w:val="0"/>
          <w:divBdr>
            <w:top w:val="none" w:sz="0" w:space="0" w:color="auto"/>
            <w:left w:val="none" w:sz="0" w:space="0" w:color="auto"/>
            <w:bottom w:val="none" w:sz="0" w:space="0" w:color="auto"/>
            <w:right w:val="none" w:sz="0" w:space="0" w:color="auto"/>
          </w:divBdr>
        </w:div>
        <w:div w:id="1820879289">
          <w:marLeft w:val="0"/>
          <w:marRight w:val="0"/>
          <w:marTop w:val="0"/>
          <w:marBottom w:val="0"/>
          <w:divBdr>
            <w:top w:val="none" w:sz="0" w:space="0" w:color="auto"/>
            <w:left w:val="none" w:sz="0" w:space="0" w:color="auto"/>
            <w:bottom w:val="none" w:sz="0" w:space="0" w:color="auto"/>
            <w:right w:val="none" w:sz="0" w:space="0" w:color="auto"/>
          </w:divBdr>
        </w:div>
        <w:div w:id="2069915401">
          <w:marLeft w:val="0"/>
          <w:marRight w:val="0"/>
          <w:marTop w:val="0"/>
          <w:marBottom w:val="0"/>
          <w:divBdr>
            <w:top w:val="none" w:sz="0" w:space="0" w:color="auto"/>
            <w:left w:val="none" w:sz="0" w:space="0" w:color="auto"/>
            <w:bottom w:val="none" w:sz="0" w:space="0" w:color="auto"/>
            <w:right w:val="none" w:sz="0" w:space="0" w:color="auto"/>
          </w:divBdr>
        </w:div>
        <w:div w:id="1765807618">
          <w:marLeft w:val="0"/>
          <w:marRight w:val="0"/>
          <w:marTop w:val="0"/>
          <w:marBottom w:val="0"/>
          <w:divBdr>
            <w:top w:val="none" w:sz="0" w:space="0" w:color="auto"/>
            <w:left w:val="none" w:sz="0" w:space="0" w:color="auto"/>
            <w:bottom w:val="none" w:sz="0" w:space="0" w:color="auto"/>
            <w:right w:val="none" w:sz="0" w:space="0" w:color="auto"/>
          </w:divBdr>
        </w:div>
      </w:divsChild>
    </w:div>
    <w:div w:id="953630605">
      <w:bodyDiv w:val="1"/>
      <w:marLeft w:val="0"/>
      <w:marRight w:val="0"/>
      <w:marTop w:val="0"/>
      <w:marBottom w:val="0"/>
      <w:divBdr>
        <w:top w:val="none" w:sz="0" w:space="0" w:color="auto"/>
        <w:left w:val="none" w:sz="0" w:space="0" w:color="auto"/>
        <w:bottom w:val="none" w:sz="0" w:space="0" w:color="auto"/>
        <w:right w:val="none" w:sz="0" w:space="0" w:color="auto"/>
      </w:divBdr>
      <w:divsChild>
        <w:div w:id="1116945557">
          <w:marLeft w:val="0"/>
          <w:marRight w:val="0"/>
          <w:marTop w:val="0"/>
          <w:marBottom w:val="0"/>
          <w:divBdr>
            <w:top w:val="none" w:sz="0" w:space="0" w:color="auto"/>
            <w:left w:val="none" w:sz="0" w:space="0" w:color="auto"/>
            <w:bottom w:val="none" w:sz="0" w:space="0" w:color="auto"/>
            <w:right w:val="none" w:sz="0" w:space="0" w:color="auto"/>
          </w:divBdr>
          <w:divsChild>
            <w:div w:id="1553078956">
              <w:marLeft w:val="0"/>
              <w:marRight w:val="0"/>
              <w:marTop w:val="0"/>
              <w:marBottom w:val="0"/>
              <w:divBdr>
                <w:top w:val="none" w:sz="0" w:space="0" w:color="auto"/>
                <w:left w:val="none" w:sz="0" w:space="0" w:color="auto"/>
                <w:bottom w:val="none" w:sz="0" w:space="0" w:color="auto"/>
                <w:right w:val="none" w:sz="0" w:space="0" w:color="auto"/>
              </w:divBdr>
              <w:divsChild>
                <w:div w:id="385304807">
                  <w:marLeft w:val="0"/>
                  <w:marRight w:val="0"/>
                  <w:marTop w:val="0"/>
                  <w:marBottom w:val="0"/>
                  <w:divBdr>
                    <w:top w:val="none" w:sz="0" w:space="0" w:color="auto"/>
                    <w:left w:val="none" w:sz="0" w:space="0" w:color="auto"/>
                    <w:bottom w:val="none" w:sz="0" w:space="0" w:color="auto"/>
                    <w:right w:val="none" w:sz="0" w:space="0" w:color="auto"/>
                  </w:divBdr>
                  <w:divsChild>
                    <w:div w:id="1828395651">
                      <w:marLeft w:val="0"/>
                      <w:marRight w:val="0"/>
                      <w:marTop w:val="0"/>
                      <w:marBottom w:val="0"/>
                      <w:divBdr>
                        <w:top w:val="none" w:sz="0" w:space="0" w:color="auto"/>
                        <w:left w:val="none" w:sz="0" w:space="0" w:color="auto"/>
                        <w:bottom w:val="none" w:sz="0" w:space="0" w:color="auto"/>
                        <w:right w:val="none" w:sz="0" w:space="0" w:color="auto"/>
                      </w:divBdr>
                      <w:divsChild>
                        <w:div w:id="1770420035">
                          <w:marLeft w:val="0"/>
                          <w:marRight w:val="0"/>
                          <w:marTop w:val="0"/>
                          <w:marBottom w:val="0"/>
                          <w:divBdr>
                            <w:top w:val="none" w:sz="0" w:space="0" w:color="auto"/>
                            <w:left w:val="none" w:sz="0" w:space="0" w:color="auto"/>
                            <w:bottom w:val="none" w:sz="0" w:space="0" w:color="auto"/>
                            <w:right w:val="none" w:sz="0" w:space="0" w:color="auto"/>
                          </w:divBdr>
                          <w:divsChild>
                            <w:div w:id="7900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829876">
      <w:bodyDiv w:val="1"/>
      <w:marLeft w:val="0"/>
      <w:marRight w:val="0"/>
      <w:marTop w:val="0"/>
      <w:marBottom w:val="0"/>
      <w:divBdr>
        <w:top w:val="none" w:sz="0" w:space="0" w:color="auto"/>
        <w:left w:val="none" w:sz="0" w:space="0" w:color="auto"/>
        <w:bottom w:val="none" w:sz="0" w:space="0" w:color="auto"/>
        <w:right w:val="none" w:sz="0" w:space="0" w:color="auto"/>
      </w:divBdr>
    </w:div>
    <w:div w:id="1054234493">
      <w:bodyDiv w:val="1"/>
      <w:marLeft w:val="0"/>
      <w:marRight w:val="0"/>
      <w:marTop w:val="0"/>
      <w:marBottom w:val="0"/>
      <w:divBdr>
        <w:top w:val="none" w:sz="0" w:space="0" w:color="auto"/>
        <w:left w:val="none" w:sz="0" w:space="0" w:color="auto"/>
        <w:bottom w:val="none" w:sz="0" w:space="0" w:color="auto"/>
        <w:right w:val="none" w:sz="0" w:space="0" w:color="auto"/>
      </w:divBdr>
      <w:divsChild>
        <w:div w:id="610283952">
          <w:marLeft w:val="0"/>
          <w:marRight w:val="0"/>
          <w:marTop w:val="0"/>
          <w:marBottom w:val="0"/>
          <w:divBdr>
            <w:top w:val="none" w:sz="0" w:space="0" w:color="auto"/>
            <w:left w:val="none" w:sz="0" w:space="0" w:color="auto"/>
            <w:bottom w:val="none" w:sz="0" w:space="0" w:color="auto"/>
            <w:right w:val="none" w:sz="0" w:space="0" w:color="auto"/>
          </w:divBdr>
          <w:divsChild>
            <w:div w:id="580332528">
              <w:marLeft w:val="0"/>
              <w:marRight w:val="0"/>
              <w:marTop w:val="0"/>
              <w:marBottom w:val="0"/>
              <w:divBdr>
                <w:top w:val="none" w:sz="0" w:space="0" w:color="auto"/>
                <w:left w:val="none" w:sz="0" w:space="0" w:color="auto"/>
                <w:bottom w:val="none" w:sz="0" w:space="0" w:color="auto"/>
                <w:right w:val="none" w:sz="0" w:space="0" w:color="auto"/>
              </w:divBdr>
              <w:divsChild>
                <w:div w:id="1209801434">
                  <w:marLeft w:val="0"/>
                  <w:marRight w:val="0"/>
                  <w:marTop w:val="0"/>
                  <w:marBottom w:val="0"/>
                  <w:divBdr>
                    <w:top w:val="none" w:sz="0" w:space="0" w:color="auto"/>
                    <w:left w:val="none" w:sz="0" w:space="0" w:color="auto"/>
                    <w:bottom w:val="none" w:sz="0" w:space="0" w:color="auto"/>
                    <w:right w:val="none" w:sz="0" w:space="0" w:color="auto"/>
                  </w:divBdr>
                  <w:divsChild>
                    <w:div w:id="604508593">
                      <w:marLeft w:val="0"/>
                      <w:marRight w:val="0"/>
                      <w:marTop w:val="0"/>
                      <w:marBottom w:val="0"/>
                      <w:divBdr>
                        <w:top w:val="none" w:sz="0" w:space="0" w:color="auto"/>
                        <w:left w:val="none" w:sz="0" w:space="0" w:color="auto"/>
                        <w:bottom w:val="none" w:sz="0" w:space="0" w:color="auto"/>
                        <w:right w:val="none" w:sz="0" w:space="0" w:color="auto"/>
                      </w:divBdr>
                      <w:divsChild>
                        <w:div w:id="1336808473">
                          <w:marLeft w:val="0"/>
                          <w:marRight w:val="0"/>
                          <w:marTop w:val="0"/>
                          <w:marBottom w:val="0"/>
                          <w:divBdr>
                            <w:top w:val="none" w:sz="0" w:space="0" w:color="auto"/>
                            <w:left w:val="none" w:sz="0" w:space="0" w:color="auto"/>
                            <w:bottom w:val="none" w:sz="0" w:space="0" w:color="auto"/>
                            <w:right w:val="none" w:sz="0" w:space="0" w:color="auto"/>
                          </w:divBdr>
                          <w:divsChild>
                            <w:div w:id="1470660279">
                              <w:marLeft w:val="0"/>
                              <w:marRight w:val="0"/>
                              <w:marTop w:val="0"/>
                              <w:marBottom w:val="0"/>
                              <w:divBdr>
                                <w:top w:val="none" w:sz="0" w:space="0" w:color="auto"/>
                                <w:left w:val="none" w:sz="0" w:space="0" w:color="auto"/>
                                <w:bottom w:val="none" w:sz="0" w:space="0" w:color="auto"/>
                                <w:right w:val="none" w:sz="0" w:space="0" w:color="auto"/>
                              </w:divBdr>
                              <w:divsChild>
                                <w:div w:id="3422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333883">
      <w:bodyDiv w:val="1"/>
      <w:marLeft w:val="0"/>
      <w:marRight w:val="0"/>
      <w:marTop w:val="0"/>
      <w:marBottom w:val="0"/>
      <w:divBdr>
        <w:top w:val="none" w:sz="0" w:space="0" w:color="auto"/>
        <w:left w:val="none" w:sz="0" w:space="0" w:color="auto"/>
        <w:bottom w:val="none" w:sz="0" w:space="0" w:color="auto"/>
        <w:right w:val="none" w:sz="0" w:space="0" w:color="auto"/>
      </w:divBdr>
    </w:div>
    <w:div w:id="1120420687">
      <w:bodyDiv w:val="1"/>
      <w:marLeft w:val="0"/>
      <w:marRight w:val="0"/>
      <w:marTop w:val="0"/>
      <w:marBottom w:val="0"/>
      <w:divBdr>
        <w:top w:val="none" w:sz="0" w:space="0" w:color="auto"/>
        <w:left w:val="none" w:sz="0" w:space="0" w:color="auto"/>
        <w:bottom w:val="none" w:sz="0" w:space="0" w:color="auto"/>
        <w:right w:val="none" w:sz="0" w:space="0" w:color="auto"/>
      </w:divBdr>
    </w:div>
    <w:div w:id="1144275158">
      <w:bodyDiv w:val="1"/>
      <w:marLeft w:val="0"/>
      <w:marRight w:val="0"/>
      <w:marTop w:val="0"/>
      <w:marBottom w:val="0"/>
      <w:divBdr>
        <w:top w:val="none" w:sz="0" w:space="0" w:color="auto"/>
        <w:left w:val="none" w:sz="0" w:space="0" w:color="auto"/>
        <w:bottom w:val="none" w:sz="0" w:space="0" w:color="auto"/>
        <w:right w:val="none" w:sz="0" w:space="0" w:color="auto"/>
      </w:divBdr>
    </w:div>
    <w:div w:id="1152722301">
      <w:bodyDiv w:val="1"/>
      <w:marLeft w:val="0"/>
      <w:marRight w:val="0"/>
      <w:marTop w:val="0"/>
      <w:marBottom w:val="0"/>
      <w:divBdr>
        <w:top w:val="none" w:sz="0" w:space="0" w:color="auto"/>
        <w:left w:val="none" w:sz="0" w:space="0" w:color="auto"/>
        <w:bottom w:val="none" w:sz="0" w:space="0" w:color="auto"/>
        <w:right w:val="none" w:sz="0" w:space="0" w:color="auto"/>
      </w:divBdr>
      <w:divsChild>
        <w:div w:id="5401179">
          <w:marLeft w:val="0"/>
          <w:marRight w:val="0"/>
          <w:marTop w:val="0"/>
          <w:marBottom w:val="0"/>
          <w:divBdr>
            <w:top w:val="none" w:sz="0" w:space="0" w:color="auto"/>
            <w:left w:val="none" w:sz="0" w:space="0" w:color="auto"/>
            <w:bottom w:val="none" w:sz="0" w:space="0" w:color="auto"/>
            <w:right w:val="none" w:sz="0" w:space="0" w:color="auto"/>
          </w:divBdr>
          <w:divsChild>
            <w:div w:id="1672484448">
              <w:marLeft w:val="0"/>
              <w:marRight w:val="0"/>
              <w:marTop w:val="0"/>
              <w:marBottom w:val="0"/>
              <w:divBdr>
                <w:top w:val="none" w:sz="0" w:space="0" w:color="auto"/>
                <w:left w:val="none" w:sz="0" w:space="0" w:color="auto"/>
                <w:bottom w:val="none" w:sz="0" w:space="0" w:color="auto"/>
                <w:right w:val="none" w:sz="0" w:space="0" w:color="auto"/>
              </w:divBdr>
              <w:divsChild>
                <w:div w:id="1345128638">
                  <w:marLeft w:val="0"/>
                  <w:marRight w:val="0"/>
                  <w:marTop w:val="0"/>
                  <w:marBottom w:val="0"/>
                  <w:divBdr>
                    <w:top w:val="none" w:sz="0" w:space="0" w:color="auto"/>
                    <w:left w:val="none" w:sz="0" w:space="0" w:color="auto"/>
                    <w:bottom w:val="none" w:sz="0" w:space="0" w:color="auto"/>
                    <w:right w:val="none" w:sz="0" w:space="0" w:color="auto"/>
                  </w:divBdr>
                  <w:divsChild>
                    <w:div w:id="1989287306">
                      <w:marLeft w:val="0"/>
                      <w:marRight w:val="0"/>
                      <w:marTop w:val="0"/>
                      <w:marBottom w:val="0"/>
                      <w:divBdr>
                        <w:top w:val="none" w:sz="0" w:space="0" w:color="auto"/>
                        <w:left w:val="none" w:sz="0" w:space="0" w:color="auto"/>
                        <w:bottom w:val="none" w:sz="0" w:space="0" w:color="auto"/>
                        <w:right w:val="none" w:sz="0" w:space="0" w:color="auto"/>
                      </w:divBdr>
                      <w:divsChild>
                        <w:div w:id="719674334">
                          <w:marLeft w:val="0"/>
                          <w:marRight w:val="0"/>
                          <w:marTop w:val="0"/>
                          <w:marBottom w:val="0"/>
                          <w:divBdr>
                            <w:top w:val="none" w:sz="0" w:space="0" w:color="auto"/>
                            <w:left w:val="none" w:sz="0" w:space="0" w:color="auto"/>
                            <w:bottom w:val="none" w:sz="0" w:space="0" w:color="auto"/>
                            <w:right w:val="none" w:sz="0" w:space="0" w:color="auto"/>
                          </w:divBdr>
                          <w:divsChild>
                            <w:div w:id="1865560649">
                              <w:marLeft w:val="0"/>
                              <w:marRight w:val="0"/>
                              <w:marTop w:val="0"/>
                              <w:marBottom w:val="0"/>
                              <w:divBdr>
                                <w:top w:val="none" w:sz="0" w:space="0" w:color="auto"/>
                                <w:left w:val="none" w:sz="0" w:space="0" w:color="auto"/>
                                <w:bottom w:val="none" w:sz="0" w:space="0" w:color="auto"/>
                                <w:right w:val="none" w:sz="0" w:space="0" w:color="auto"/>
                              </w:divBdr>
                              <w:divsChild>
                                <w:div w:id="17968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145297">
      <w:bodyDiv w:val="1"/>
      <w:marLeft w:val="0"/>
      <w:marRight w:val="0"/>
      <w:marTop w:val="0"/>
      <w:marBottom w:val="0"/>
      <w:divBdr>
        <w:top w:val="none" w:sz="0" w:space="0" w:color="auto"/>
        <w:left w:val="none" w:sz="0" w:space="0" w:color="auto"/>
        <w:bottom w:val="none" w:sz="0" w:space="0" w:color="auto"/>
        <w:right w:val="none" w:sz="0" w:space="0" w:color="auto"/>
      </w:divBdr>
    </w:div>
    <w:div w:id="1279795225">
      <w:bodyDiv w:val="1"/>
      <w:marLeft w:val="0"/>
      <w:marRight w:val="0"/>
      <w:marTop w:val="0"/>
      <w:marBottom w:val="0"/>
      <w:divBdr>
        <w:top w:val="none" w:sz="0" w:space="0" w:color="auto"/>
        <w:left w:val="none" w:sz="0" w:space="0" w:color="auto"/>
        <w:bottom w:val="none" w:sz="0" w:space="0" w:color="auto"/>
        <w:right w:val="none" w:sz="0" w:space="0" w:color="auto"/>
      </w:divBdr>
      <w:divsChild>
        <w:div w:id="1434937483">
          <w:marLeft w:val="0"/>
          <w:marRight w:val="0"/>
          <w:marTop w:val="0"/>
          <w:marBottom w:val="0"/>
          <w:divBdr>
            <w:top w:val="none" w:sz="0" w:space="0" w:color="auto"/>
            <w:left w:val="none" w:sz="0" w:space="0" w:color="auto"/>
            <w:bottom w:val="none" w:sz="0" w:space="0" w:color="auto"/>
            <w:right w:val="none" w:sz="0" w:space="0" w:color="auto"/>
          </w:divBdr>
          <w:divsChild>
            <w:div w:id="1449423205">
              <w:marLeft w:val="0"/>
              <w:marRight w:val="0"/>
              <w:marTop w:val="0"/>
              <w:marBottom w:val="0"/>
              <w:divBdr>
                <w:top w:val="none" w:sz="0" w:space="0" w:color="auto"/>
                <w:left w:val="none" w:sz="0" w:space="0" w:color="auto"/>
                <w:bottom w:val="none" w:sz="0" w:space="0" w:color="auto"/>
                <w:right w:val="none" w:sz="0" w:space="0" w:color="auto"/>
              </w:divBdr>
              <w:divsChild>
                <w:div w:id="887838702">
                  <w:marLeft w:val="0"/>
                  <w:marRight w:val="0"/>
                  <w:marTop w:val="0"/>
                  <w:marBottom w:val="0"/>
                  <w:divBdr>
                    <w:top w:val="none" w:sz="0" w:space="0" w:color="auto"/>
                    <w:left w:val="none" w:sz="0" w:space="0" w:color="auto"/>
                    <w:bottom w:val="none" w:sz="0" w:space="0" w:color="auto"/>
                    <w:right w:val="none" w:sz="0" w:space="0" w:color="auto"/>
                  </w:divBdr>
                  <w:divsChild>
                    <w:div w:id="872688718">
                      <w:marLeft w:val="0"/>
                      <w:marRight w:val="0"/>
                      <w:marTop w:val="0"/>
                      <w:marBottom w:val="0"/>
                      <w:divBdr>
                        <w:top w:val="none" w:sz="0" w:space="0" w:color="auto"/>
                        <w:left w:val="none" w:sz="0" w:space="0" w:color="auto"/>
                        <w:bottom w:val="none" w:sz="0" w:space="0" w:color="auto"/>
                        <w:right w:val="none" w:sz="0" w:space="0" w:color="auto"/>
                      </w:divBdr>
                      <w:divsChild>
                        <w:div w:id="2041083049">
                          <w:marLeft w:val="0"/>
                          <w:marRight w:val="0"/>
                          <w:marTop w:val="0"/>
                          <w:marBottom w:val="0"/>
                          <w:divBdr>
                            <w:top w:val="none" w:sz="0" w:space="0" w:color="auto"/>
                            <w:left w:val="none" w:sz="0" w:space="0" w:color="auto"/>
                            <w:bottom w:val="none" w:sz="0" w:space="0" w:color="auto"/>
                            <w:right w:val="none" w:sz="0" w:space="0" w:color="auto"/>
                          </w:divBdr>
                          <w:divsChild>
                            <w:div w:id="3476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23463">
      <w:bodyDiv w:val="1"/>
      <w:marLeft w:val="0"/>
      <w:marRight w:val="0"/>
      <w:marTop w:val="0"/>
      <w:marBottom w:val="0"/>
      <w:divBdr>
        <w:top w:val="none" w:sz="0" w:space="0" w:color="auto"/>
        <w:left w:val="none" w:sz="0" w:space="0" w:color="auto"/>
        <w:bottom w:val="none" w:sz="0" w:space="0" w:color="auto"/>
        <w:right w:val="none" w:sz="0" w:space="0" w:color="auto"/>
      </w:divBdr>
    </w:div>
    <w:div w:id="1347487978">
      <w:bodyDiv w:val="1"/>
      <w:marLeft w:val="0"/>
      <w:marRight w:val="0"/>
      <w:marTop w:val="0"/>
      <w:marBottom w:val="0"/>
      <w:divBdr>
        <w:top w:val="none" w:sz="0" w:space="0" w:color="auto"/>
        <w:left w:val="none" w:sz="0" w:space="0" w:color="auto"/>
        <w:bottom w:val="none" w:sz="0" w:space="0" w:color="auto"/>
        <w:right w:val="none" w:sz="0" w:space="0" w:color="auto"/>
      </w:divBdr>
    </w:div>
    <w:div w:id="1356420210">
      <w:bodyDiv w:val="1"/>
      <w:marLeft w:val="0"/>
      <w:marRight w:val="0"/>
      <w:marTop w:val="0"/>
      <w:marBottom w:val="0"/>
      <w:divBdr>
        <w:top w:val="none" w:sz="0" w:space="0" w:color="auto"/>
        <w:left w:val="none" w:sz="0" w:space="0" w:color="auto"/>
        <w:bottom w:val="none" w:sz="0" w:space="0" w:color="auto"/>
        <w:right w:val="none" w:sz="0" w:space="0" w:color="auto"/>
      </w:divBdr>
    </w:div>
    <w:div w:id="1369180546">
      <w:bodyDiv w:val="1"/>
      <w:marLeft w:val="0"/>
      <w:marRight w:val="0"/>
      <w:marTop w:val="0"/>
      <w:marBottom w:val="0"/>
      <w:divBdr>
        <w:top w:val="none" w:sz="0" w:space="0" w:color="auto"/>
        <w:left w:val="none" w:sz="0" w:space="0" w:color="auto"/>
        <w:bottom w:val="none" w:sz="0" w:space="0" w:color="auto"/>
        <w:right w:val="none" w:sz="0" w:space="0" w:color="auto"/>
      </w:divBdr>
    </w:div>
    <w:div w:id="1405764309">
      <w:bodyDiv w:val="1"/>
      <w:marLeft w:val="0"/>
      <w:marRight w:val="0"/>
      <w:marTop w:val="0"/>
      <w:marBottom w:val="0"/>
      <w:divBdr>
        <w:top w:val="none" w:sz="0" w:space="0" w:color="auto"/>
        <w:left w:val="none" w:sz="0" w:space="0" w:color="auto"/>
        <w:bottom w:val="none" w:sz="0" w:space="0" w:color="auto"/>
        <w:right w:val="none" w:sz="0" w:space="0" w:color="auto"/>
      </w:divBdr>
      <w:divsChild>
        <w:div w:id="1770540739">
          <w:marLeft w:val="0"/>
          <w:marRight w:val="0"/>
          <w:marTop w:val="0"/>
          <w:marBottom w:val="0"/>
          <w:divBdr>
            <w:top w:val="none" w:sz="0" w:space="0" w:color="auto"/>
            <w:left w:val="none" w:sz="0" w:space="0" w:color="auto"/>
            <w:bottom w:val="none" w:sz="0" w:space="0" w:color="auto"/>
            <w:right w:val="none" w:sz="0" w:space="0" w:color="auto"/>
          </w:divBdr>
          <w:divsChild>
            <w:div w:id="944191625">
              <w:marLeft w:val="0"/>
              <w:marRight w:val="0"/>
              <w:marTop w:val="0"/>
              <w:marBottom w:val="0"/>
              <w:divBdr>
                <w:top w:val="none" w:sz="0" w:space="0" w:color="auto"/>
                <w:left w:val="none" w:sz="0" w:space="0" w:color="auto"/>
                <w:bottom w:val="none" w:sz="0" w:space="0" w:color="auto"/>
                <w:right w:val="none" w:sz="0" w:space="0" w:color="auto"/>
              </w:divBdr>
              <w:divsChild>
                <w:div w:id="542063888">
                  <w:marLeft w:val="0"/>
                  <w:marRight w:val="0"/>
                  <w:marTop w:val="0"/>
                  <w:marBottom w:val="0"/>
                  <w:divBdr>
                    <w:top w:val="none" w:sz="0" w:space="0" w:color="auto"/>
                    <w:left w:val="none" w:sz="0" w:space="0" w:color="auto"/>
                    <w:bottom w:val="none" w:sz="0" w:space="0" w:color="auto"/>
                    <w:right w:val="none" w:sz="0" w:space="0" w:color="auto"/>
                  </w:divBdr>
                  <w:divsChild>
                    <w:div w:id="16391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9211">
          <w:marLeft w:val="0"/>
          <w:marRight w:val="0"/>
          <w:marTop w:val="0"/>
          <w:marBottom w:val="0"/>
          <w:divBdr>
            <w:top w:val="none" w:sz="0" w:space="0" w:color="auto"/>
            <w:left w:val="none" w:sz="0" w:space="0" w:color="auto"/>
            <w:bottom w:val="none" w:sz="0" w:space="0" w:color="auto"/>
            <w:right w:val="none" w:sz="0" w:space="0" w:color="auto"/>
          </w:divBdr>
          <w:divsChild>
            <w:div w:id="1795172695">
              <w:marLeft w:val="0"/>
              <w:marRight w:val="0"/>
              <w:marTop w:val="0"/>
              <w:marBottom w:val="0"/>
              <w:divBdr>
                <w:top w:val="none" w:sz="0" w:space="0" w:color="auto"/>
                <w:left w:val="none" w:sz="0" w:space="0" w:color="auto"/>
                <w:bottom w:val="none" w:sz="0" w:space="0" w:color="auto"/>
                <w:right w:val="none" w:sz="0" w:space="0" w:color="auto"/>
              </w:divBdr>
              <w:divsChild>
                <w:div w:id="577516677">
                  <w:marLeft w:val="0"/>
                  <w:marRight w:val="0"/>
                  <w:marTop w:val="0"/>
                  <w:marBottom w:val="0"/>
                  <w:divBdr>
                    <w:top w:val="none" w:sz="0" w:space="0" w:color="auto"/>
                    <w:left w:val="none" w:sz="0" w:space="0" w:color="auto"/>
                    <w:bottom w:val="none" w:sz="0" w:space="0" w:color="auto"/>
                    <w:right w:val="none" w:sz="0" w:space="0" w:color="auto"/>
                  </w:divBdr>
                  <w:divsChild>
                    <w:div w:id="673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16738">
      <w:bodyDiv w:val="1"/>
      <w:marLeft w:val="0"/>
      <w:marRight w:val="0"/>
      <w:marTop w:val="0"/>
      <w:marBottom w:val="0"/>
      <w:divBdr>
        <w:top w:val="none" w:sz="0" w:space="0" w:color="auto"/>
        <w:left w:val="none" w:sz="0" w:space="0" w:color="auto"/>
        <w:bottom w:val="none" w:sz="0" w:space="0" w:color="auto"/>
        <w:right w:val="none" w:sz="0" w:space="0" w:color="auto"/>
      </w:divBdr>
      <w:divsChild>
        <w:div w:id="683703924">
          <w:marLeft w:val="0"/>
          <w:marRight w:val="0"/>
          <w:marTop w:val="0"/>
          <w:marBottom w:val="0"/>
          <w:divBdr>
            <w:top w:val="none" w:sz="0" w:space="0" w:color="auto"/>
            <w:left w:val="none" w:sz="0" w:space="0" w:color="auto"/>
            <w:bottom w:val="none" w:sz="0" w:space="0" w:color="auto"/>
            <w:right w:val="none" w:sz="0" w:space="0" w:color="auto"/>
          </w:divBdr>
        </w:div>
      </w:divsChild>
    </w:div>
    <w:div w:id="1479226496">
      <w:bodyDiv w:val="1"/>
      <w:marLeft w:val="0"/>
      <w:marRight w:val="0"/>
      <w:marTop w:val="0"/>
      <w:marBottom w:val="0"/>
      <w:divBdr>
        <w:top w:val="none" w:sz="0" w:space="0" w:color="auto"/>
        <w:left w:val="none" w:sz="0" w:space="0" w:color="auto"/>
        <w:bottom w:val="none" w:sz="0" w:space="0" w:color="auto"/>
        <w:right w:val="none" w:sz="0" w:space="0" w:color="auto"/>
      </w:divBdr>
    </w:div>
    <w:div w:id="1505045840">
      <w:bodyDiv w:val="1"/>
      <w:marLeft w:val="0"/>
      <w:marRight w:val="0"/>
      <w:marTop w:val="0"/>
      <w:marBottom w:val="0"/>
      <w:divBdr>
        <w:top w:val="none" w:sz="0" w:space="0" w:color="auto"/>
        <w:left w:val="none" w:sz="0" w:space="0" w:color="auto"/>
        <w:bottom w:val="none" w:sz="0" w:space="0" w:color="auto"/>
        <w:right w:val="none" w:sz="0" w:space="0" w:color="auto"/>
      </w:divBdr>
    </w:div>
    <w:div w:id="1544438635">
      <w:bodyDiv w:val="1"/>
      <w:marLeft w:val="0"/>
      <w:marRight w:val="0"/>
      <w:marTop w:val="0"/>
      <w:marBottom w:val="0"/>
      <w:divBdr>
        <w:top w:val="none" w:sz="0" w:space="0" w:color="auto"/>
        <w:left w:val="none" w:sz="0" w:space="0" w:color="auto"/>
        <w:bottom w:val="none" w:sz="0" w:space="0" w:color="auto"/>
        <w:right w:val="none" w:sz="0" w:space="0" w:color="auto"/>
      </w:divBdr>
    </w:div>
    <w:div w:id="1559509226">
      <w:bodyDiv w:val="1"/>
      <w:marLeft w:val="0"/>
      <w:marRight w:val="0"/>
      <w:marTop w:val="0"/>
      <w:marBottom w:val="0"/>
      <w:divBdr>
        <w:top w:val="none" w:sz="0" w:space="0" w:color="auto"/>
        <w:left w:val="none" w:sz="0" w:space="0" w:color="auto"/>
        <w:bottom w:val="none" w:sz="0" w:space="0" w:color="auto"/>
        <w:right w:val="none" w:sz="0" w:space="0" w:color="auto"/>
      </w:divBdr>
    </w:div>
    <w:div w:id="1605914021">
      <w:bodyDiv w:val="1"/>
      <w:marLeft w:val="0"/>
      <w:marRight w:val="0"/>
      <w:marTop w:val="0"/>
      <w:marBottom w:val="0"/>
      <w:divBdr>
        <w:top w:val="none" w:sz="0" w:space="0" w:color="auto"/>
        <w:left w:val="none" w:sz="0" w:space="0" w:color="auto"/>
        <w:bottom w:val="none" w:sz="0" w:space="0" w:color="auto"/>
        <w:right w:val="none" w:sz="0" w:space="0" w:color="auto"/>
      </w:divBdr>
    </w:div>
    <w:div w:id="1614441342">
      <w:bodyDiv w:val="1"/>
      <w:marLeft w:val="0"/>
      <w:marRight w:val="0"/>
      <w:marTop w:val="0"/>
      <w:marBottom w:val="0"/>
      <w:divBdr>
        <w:top w:val="none" w:sz="0" w:space="0" w:color="auto"/>
        <w:left w:val="none" w:sz="0" w:space="0" w:color="auto"/>
        <w:bottom w:val="none" w:sz="0" w:space="0" w:color="auto"/>
        <w:right w:val="none" w:sz="0" w:space="0" w:color="auto"/>
      </w:divBdr>
    </w:div>
    <w:div w:id="1688099352">
      <w:bodyDiv w:val="1"/>
      <w:marLeft w:val="0"/>
      <w:marRight w:val="0"/>
      <w:marTop w:val="0"/>
      <w:marBottom w:val="0"/>
      <w:divBdr>
        <w:top w:val="none" w:sz="0" w:space="0" w:color="auto"/>
        <w:left w:val="none" w:sz="0" w:space="0" w:color="auto"/>
        <w:bottom w:val="none" w:sz="0" w:space="0" w:color="auto"/>
        <w:right w:val="none" w:sz="0" w:space="0" w:color="auto"/>
      </w:divBdr>
    </w:div>
    <w:div w:id="1706366938">
      <w:bodyDiv w:val="1"/>
      <w:marLeft w:val="0"/>
      <w:marRight w:val="0"/>
      <w:marTop w:val="0"/>
      <w:marBottom w:val="0"/>
      <w:divBdr>
        <w:top w:val="none" w:sz="0" w:space="0" w:color="auto"/>
        <w:left w:val="none" w:sz="0" w:space="0" w:color="auto"/>
        <w:bottom w:val="none" w:sz="0" w:space="0" w:color="auto"/>
        <w:right w:val="none" w:sz="0" w:space="0" w:color="auto"/>
      </w:divBdr>
    </w:div>
    <w:div w:id="1712605770">
      <w:bodyDiv w:val="1"/>
      <w:marLeft w:val="0"/>
      <w:marRight w:val="0"/>
      <w:marTop w:val="0"/>
      <w:marBottom w:val="0"/>
      <w:divBdr>
        <w:top w:val="none" w:sz="0" w:space="0" w:color="auto"/>
        <w:left w:val="none" w:sz="0" w:space="0" w:color="auto"/>
        <w:bottom w:val="none" w:sz="0" w:space="0" w:color="auto"/>
        <w:right w:val="none" w:sz="0" w:space="0" w:color="auto"/>
      </w:divBdr>
      <w:divsChild>
        <w:div w:id="639648055">
          <w:marLeft w:val="0"/>
          <w:marRight w:val="0"/>
          <w:marTop w:val="0"/>
          <w:marBottom w:val="0"/>
          <w:divBdr>
            <w:top w:val="none" w:sz="0" w:space="0" w:color="auto"/>
            <w:left w:val="none" w:sz="0" w:space="0" w:color="auto"/>
            <w:bottom w:val="none" w:sz="0" w:space="0" w:color="auto"/>
            <w:right w:val="none" w:sz="0" w:space="0" w:color="auto"/>
          </w:divBdr>
          <w:divsChild>
            <w:div w:id="366760216">
              <w:marLeft w:val="0"/>
              <w:marRight w:val="0"/>
              <w:marTop w:val="0"/>
              <w:marBottom w:val="0"/>
              <w:divBdr>
                <w:top w:val="none" w:sz="0" w:space="0" w:color="auto"/>
                <w:left w:val="none" w:sz="0" w:space="0" w:color="auto"/>
                <w:bottom w:val="none" w:sz="0" w:space="0" w:color="auto"/>
                <w:right w:val="none" w:sz="0" w:space="0" w:color="auto"/>
              </w:divBdr>
              <w:divsChild>
                <w:div w:id="756486629">
                  <w:marLeft w:val="0"/>
                  <w:marRight w:val="0"/>
                  <w:marTop w:val="0"/>
                  <w:marBottom w:val="0"/>
                  <w:divBdr>
                    <w:top w:val="none" w:sz="0" w:space="0" w:color="auto"/>
                    <w:left w:val="none" w:sz="0" w:space="0" w:color="auto"/>
                    <w:bottom w:val="none" w:sz="0" w:space="0" w:color="auto"/>
                    <w:right w:val="none" w:sz="0" w:space="0" w:color="auto"/>
                  </w:divBdr>
                  <w:divsChild>
                    <w:div w:id="137458434">
                      <w:marLeft w:val="0"/>
                      <w:marRight w:val="0"/>
                      <w:marTop w:val="0"/>
                      <w:marBottom w:val="0"/>
                      <w:divBdr>
                        <w:top w:val="none" w:sz="0" w:space="0" w:color="auto"/>
                        <w:left w:val="none" w:sz="0" w:space="0" w:color="auto"/>
                        <w:bottom w:val="none" w:sz="0" w:space="0" w:color="auto"/>
                        <w:right w:val="none" w:sz="0" w:space="0" w:color="auto"/>
                      </w:divBdr>
                      <w:divsChild>
                        <w:div w:id="2077392752">
                          <w:marLeft w:val="0"/>
                          <w:marRight w:val="0"/>
                          <w:marTop w:val="0"/>
                          <w:marBottom w:val="0"/>
                          <w:divBdr>
                            <w:top w:val="none" w:sz="0" w:space="0" w:color="auto"/>
                            <w:left w:val="none" w:sz="0" w:space="0" w:color="auto"/>
                            <w:bottom w:val="none" w:sz="0" w:space="0" w:color="auto"/>
                            <w:right w:val="none" w:sz="0" w:space="0" w:color="auto"/>
                          </w:divBdr>
                          <w:divsChild>
                            <w:div w:id="2710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6524">
      <w:bodyDiv w:val="1"/>
      <w:marLeft w:val="0"/>
      <w:marRight w:val="0"/>
      <w:marTop w:val="0"/>
      <w:marBottom w:val="0"/>
      <w:divBdr>
        <w:top w:val="none" w:sz="0" w:space="0" w:color="auto"/>
        <w:left w:val="none" w:sz="0" w:space="0" w:color="auto"/>
        <w:bottom w:val="none" w:sz="0" w:space="0" w:color="auto"/>
        <w:right w:val="none" w:sz="0" w:space="0" w:color="auto"/>
      </w:divBdr>
    </w:div>
    <w:div w:id="1744178462">
      <w:bodyDiv w:val="1"/>
      <w:marLeft w:val="0"/>
      <w:marRight w:val="0"/>
      <w:marTop w:val="0"/>
      <w:marBottom w:val="0"/>
      <w:divBdr>
        <w:top w:val="none" w:sz="0" w:space="0" w:color="auto"/>
        <w:left w:val="none" w:sz="0" w:space="0" w:color="auto"/>
        <w:bottom w:val="none" w:sz="0" w:space="0" w:color="auto"/>
        <w:right w:val="none" w:sz="0" w:space="0" w:color="auto"/>
      </w:divBdr>
      <w:divsChild>
        <w:div w:id="2024819741">
          <w:marLeft w:val="0"/>
          <w:marRight w:val="0"/>
          <w:marTop w:val="0"/>
          <w:marBottom w:val="0"/>
          <w:divBdr>
            <w:top w:val="none" w:sz="0" w:space="0" w:color="auto"/>
            <w:left w:val="none" w:sz="0" w:space="0" w:color="auto"/>
            <w:bottom w:val="none" w:sz="0" w:space="0" w:color="auto"/>
            <w:right w:val="none" w:sz="0" w:space="0" w:color="auto"/>
          </w:divBdr>
        </w:div>
        <w:div w:id="431977446">
          <w:marLeft w:val="0"/>
          <w:marRight w:val="0"/>
          <w:marTop w:val="0"/>
          <w:marBottom w:val="0"/>
          <w:divBdr>
            <w:top w:val="none" w:sz="0" w:space="0" w:color="auto"/>
            <w:left w:val="none" w:sz="0" w:space="0" w:color="auto"/>
            <w:bottom w:val="none" w:sz="0" w:space="0" w:color="auto"/>
            <w:right w:val="none" w:sz="0" w:space="0" w:color="auto"/>
          </w:divBdr>
        </w:div>
        <w:div w:id="1444496990">
          <w:marLeft w:val="0"/>
          <w:marRight w:val="0"/>
          <w:marTop w:val="0"/>
          <w:marBottom w:val="0"/>
          <w:divBdr>
            <w:top w:val="none" w:sz="0" w:space="0" w:color="auto"/>
            <w:left w:val="none" w:sz="0" w:space="0" w:color="auto"/>
            <w:bottom w:val="none" w:sz="0" w:space="0" w:color="auto"/>
            <w:right w:val="none" w:sz="0" w:space="0" w:color="auto"/>
          </w:divBdr>
        </w:div>
        <w:div w:id="830288683">
          <w:marLeft w:val="0"/>
          <w:marRight w:val="0"/>
          <w:marTop w:val="0"/>
          <w:marBottom w:val="0"/>
          <w:divBdr>
            <w:top w:val="none" w:sz="0" w:space="0" w:color="auto"/>
            <w:left w:val="none" w:sz="0" w:space="0" w:color="auto"/>
            <w:bottom w:val="none" w:sz="0" w:space="0" w:color="auto"/>
            <w:right w:val="none" w:sz="0" w:space="0" w:color="auto"/>
          </w:divBdr>
        </w:div>
        <w:div w:id="279265946">
          <w:marLeft w:val="0"/>
          <w:marRight w:val="0"/>
          <w:marTop w:val="0"/>
          <w:marBottom w:val="0"/>
          <w:divBdr>
            <w:top w:val="none" w:sz="0" w:space="0" w:color="auto"/>
            <w:left w:val="none" w:sz="0" w:space="0" w:color="auto"/>
            <w:bottom w:val="none" w:sz="0" w:space="0" w:color="auto"/>
            <w:right w:val="none" w:sz="0" w:space="0" w:color="auto"/>
          </w:divBdr>
        </w:div>
        <w:div w:id="560409184">
          <w:marLeft w:val="0"/>
          <w:marRight w:val="0"/>
          <w:marTop w:val="0"/>
          <w:marBottom w:val="0"/>
          <w:divBdr>
            <w:top w:val="none" w:sz="0" w:space="0" w:color="auto"/>
            <w:left w:val="none" w:sz="0" w:space="0" w:color="auto"/>
            <w:bottom w:val="none" w:sz="0" w:space="0" w:color="auto"/>
            <w:right w:val="none" w:sz="0" w:space="0" w:color="auto"/>
          </w:divBdr>
        </w:div>
        <w:div w:id="1073966928">
          <w:marLeft w:val="0"/>
          <w:marRight w:val="0"/>
          <w:marTop w:val="0"/>
          <w:marBottom w:val="0"/>
          <w:divBdr>
            <w:top w:val="none" w:sz="0" w:space="0" w:color="auto"/>
            <w:left w:val="none" w:sz="0" w:space="0" w:color="auto"/>
            <w:bottom w:val="none" w:sz="0" w:space="0" w:color="auto"/>
            <w:right w:val="none" w:sz="0" w:space="0" w:color="auto"/>
          </w:divBdr>
        </w:div>
        <w:div w:id="2133933672">
          <w:marLeft w:val="0"/>
          <w:marRight w:val="0"/>
          <w:marTop w:val="0"/>
          <w:marBottom w:val="0"/>
          <w:divBdr>
            <w:top w:val="none" w:sz="0" w:space="0" w:color="auto"/>
            <w:left w:val="none" w:sz="0" w:space="0" w:color="auto"/>
            <w:bottom w:val="none" w:sz="0" w:space="0" w:color="auto"/>
            <w:right w:val="none" w:sz="0" w:space="0" w:color="auto"/>
          </w:divBdr>
        </w:div>
        <w:div w:id="1111627857">
          <w:marLeft w:val="0"/>
          <w:marRight w:val="0"/>
          <w:marTop w:val="0"/>
          <w:marBottom w:val="0"/>
          <w:divBdr>
            <w:top w:val="none" w:sz="0" w:space="0" w:color="auto"/>
            <w:left w:val="none" w:sz="0" w:space="0" w:color="auto"/>
            <w:bottom w:val="none" w:sz="0" w:space="0" w:color="auto"/>
            <w:right w:val="none" w:sz="0" w:space="0" w:color="auto"/>
          </w:divBdr>
        </w:div>
        <w:div w:id="2096316489">
          <w:marLeft w:val="0"/>
          <w:marRight w:val="0"/>
          <w:marTop w:val="0"/>
          <w:marBottom w:val="0"/>
          <w:divBdr>
            <w:top w:val="none" w:sz="0" w:space="0" w:color="auto"/>
            <w:left w:val="none" w:sz="0" w:space="0" w:color="auto"/>
            <w:bottom w:val="none" w:sz="0" w:space="0" w:color="auto"/>
            <w:right w:val="none" w:sz="0" w:space="0" w:color="auto"/>
          </w:divBdr>
        </w:div>
        <w:div w:id="1123690020">
          <w:marLeft w:val="0"/>
          <w:marRight w:val="0"/>
          <w:marTop w:val="0"/>
          <w:marBottom w:val="0"/>
          <w:divBdr>
            <w:top w:val="none" w:sz="0" w:space="0" w:color="auto"/>
            <w:left w:val="none" w:sz="0" w:space="0" w:color="auto"/>
            <w:bottom w:val="none" w:sz="0" w:space="0" w:color="auto"/>
            <w:right w:val="none" w:sz="0" w:space="0" w:color="auto"/>
          </w:divBdr>
        </w:div>
        <w:div w:id="1066680790">
          <w:marLeft w:val="0"/>
          <w:marRight w:val="0"/>
          <w:marTop w:val="0"/>
          <w:marBottom w:val="0"/>
          <w:divBdr>
            <w:top w:val="none" w:sz="0" w:space="0" w:color="auto"/>
            <w:left w:val="none" w:sz="0" w:space="0" w:color="auto"/>
            <w:bottom w:val="none" w:sz="0" w:space="0" w:color="auto"/>
            <w:right w:val="none" w:sz="0" w:space="0" w:color="auto"/>
          </w:divBdr>
        </w:div>
        <w:div w:id="1047994116">
          <w:marLeft w:val="0"/>
          <w:marRight w:val="0"/>
          <w:marTop w:val="0"/>
          <w:marBottom w:val="0"/>
          <w:divBdr>
            <w:top w:val="none" w:sz="0" w:space="0" w:color="auto"/>
            <w:left w:val="none" w:sz="0" w:space="0" w:color="auto"/>
            <w:bottom w:val="none" w:sz="0" w:space="0" w:color="auto"/>
            <w:right w:val="none" w:sz="0" w:space="0" w:color="auto"/>
          </w:divBdr>
        </w:div>
        <w:div w:id="1790321115">
          <w:marLeft w:val="0"/>
          <w:marRight w:val="0"/>
          <w:marTop w:val="0"/>
          <w:marBottom w:val="0"/>
          <w:divBdr>
            <w:top w:val="none" w:sz="0" w:space="0" w:color="auto"/>
            <w:left w:val="none" w:sz="0" w:space="0" w:color="auto"/>
            <w:bottom w:val="none" w:sz="0" w:space="0" w:color="auto"/>
            <w:right w:val="none" w:sz="0" w:space="0" w:color="auto"/>
          </w:divBdr>
        </w:div>
        <w:div w:id="1564024720">
          <w:marLeft w:val="0"/>
          <w:marRight w:val="0"/>
          <w:marTop w:val="0"/>
          <w:marBottom w:val="0"/>
          <w:divBdr>
            <w:top w:val="none" w:sz="0" w:space="0" w:color="auto"/>
            <w:left w:val="none" w:sz="0" w:space="0" w:color="auto"/>
            <w:bottom w:val="none" w:sz="0" w:space="0" w:color="auto"/>
            <w:right w:val="none" w:sz="0" w:space="0" w:color="auto"/>
          </w:divBdr>
        </w:div>
      </w:divsChild>
    </w:div>
    <w:div w:id="1749157473">
      <w:bodyDiv w:val="1"/>
      <w:marLeft w:val="0"/>
      <w:marRight w:val="0"/>
      <w:marTop w:val="0"/>
      <w:marBottom w:val="0"/>
      <w:divBdr>
        <w:top w:val="none" w:sz="0" w:space="0" w:color="auto"/>
        <w:left w:val="none" w:sz="0" w:space="0" w:color="auto"/>
        <w:bottom w:val="none" w:sz="0" w:space="0" w:color="auto"/>
        <w:right w:val="none" w:sz="0" w:space="0" w:color="auto"/>
      </w:divBdr>
    </w:div>
    <w:div w:id="1749300783">
      <w:bodyDiv w:val="1"/>
      <w:marLeft w:val="0"/>
      <w:marRight w:val="0"/>
      <w:marTop w:val="0"/>
      <w:marBottom w:val="0"/>
      <w:divBdr>
        <w:top w:val="none" w:sz="0" w:space="0" w:color="auto"/>
        <w:left w:val="none" w:sz="0" w:space="0" w:color="auto"/>
        <w:bottom w:val="none" w:sz="0" w:space="0" w:color="auto"/>
        <w:right w:val="none" w:sz="0" w:space="0" w:color="auto"/>
      </w:divBdr>
    </w:div>
    <w:div w:id="1756659054">
      <w:bodyDiv w:val="1"/>
      <w:marLeft w:val="0"/>
      <w:marRight w:val="0"/>
      <w:marTop w:val="0"/>
      <w:marBottom w:val="0"/>
      <w:divBdr>
        <w:top w:val="none" w:sz="0" w:space="0" w:color="auto"/>
        <w:left w:val="none" w:sz="0" w:space="0" w:color="auto"/>
        <w:bottom w:val="none" w:sz="0" w:space="0" w:color="auto"/>
        <w:right w:val="none" w:sz="0" w:space="0" w:color="auto"/>
      </w:divBdr>
      <w:divsChild>
        <w:div w:id="1557660266">
          <w:marLeft w:val="0"/>
          <w:marRight w:val="0"/>
          <w:marTop w:val="0"/>
          <w:marBottom w:val="0"/>
          <w:divBdr>
            <w:top w:val="none" w:sz="0" w:space="0" w:color="auto"/>
            <w:left w:val="none" w:sz="0" w:space="0" w:color="auto"/>
            <w:bottom w:val="none" w:sz="0" w:space="0" w:color="auto"/>
            <w:right w:val="none" w:sz="0" w:space="0" w:color="auto"/>
          </w:divBdr>
        </w:div>
        <w:div w:id="779839824">
          <w:marLeft w:val="0"/>
          <w:marRight w:val="0"/>
          <w:marTop w:val="0"/>
          <w:marBottom w:val="0"/>
          <w:divBdr>
            <w:top w:val="none" w:sz="0" w:space="0" w:color="auto"/>
            <w:left w:val="none" w:sz="0" w:space="0" w:color="auto"/>
            <w:bottom w:val="none" w:sz="0" w:space="0" w:color="auto"/>
            <w:right w:val="none" w:sz="0" w:space="0" w:color="auto"/>
          </w:divBdr>
        </w:div>
        <w:div w:id="916129432">
          <w:marLeft w:val="0"/>
          <w:marRight w:val="0"/>
          <w:marTop w:val="0"/>
          <w:marBottom w:val="0"/>
          <w:divBdr>
            <w:top w:val="none" w:sz="0" w:space="0" w:color="auto"/>
            <w:left w:val="none" w:sz="0" w:space="0" w:color="auto"/>
            <w:bottom w:val="none" w:sz="0" w:space="0" w:color="auto"/>
            <w:right w:val="none" w:sz="0" w:space="0" w:color="auto"/>
          </w:divBdr>
        </w:div>
        <w:div w:id="2102292342">
          <w:marLeft w:val="0"/>
          <w:marRight w:val="0"/>
          <w:marTop w:val="0"/>
          <w:marBottom w:val="0"/>
          <w:divBdr>
            <w:top w:val="none" w:sz="0" w:space="0" w:color="auto"/>
            <w:left w:val="none" w:sz="0" w:space="0" w:color="auto"/>
            <w:bottom w:val="none" w:sz="0" w:space="0" w:color="auto"/>
            <w:right w:val="none" w:sz="0" w:space="0" w:color="auto"/>
          </w:divBdr>
        </w:div>
        <w:div w:id="911352871">
          <w:marLeft w:val="0"/>
          <w:marRight w:val="0"/>
          <w:marTop w:val="0"/>
          <w:marBottom w:val="0"/>
          <w:divBdr>
            <w:top w:val="none" w:sz="0" w:space="0" w:color="auto"/>
            <w:left w:val="none" w:sz="0" w:space="0" w:color="auto"/>
            <w:bottom w:val="none" w:sz="0" w:space="0" w:color="auto"/>
            <w:right w:val="none" w:sz="0" w:space="0" w:color="auto"/>
          </w:divBdr>
        </w:div>
        <w:div w:id="1925452803">
          <w:marLeft w:val="0"/>
          <w:marRight w:val="0"/>
          <w:marTop w:val="0"/>
          <w:marBottom w:val="0"/>
          <w:divBdr>
            <w:top w:val="none" w:sz="0" w:space="0" w:color="auto"/>
            <w:left w:val="none" w:sz="0" w:space="0" w:color="auto"/>
            <w:bottom w:val="none" w:sz="0" w:space="0" w:color="auto"/>
            <w:right w:val="none" w:sz="0" w:space="0" w:color="auto"/>
          </w:divBdr>
        </w:div>
        <w:div w:id="992374974">
          <w:marLeft w:val="0"/>
          <w:marRight w:val="0"/>
          <w:marTop w:val="0"/>
          <w:marBottom w:val="0"/>
          <w:divBdr>
            <w:top w:val="none" w:sz="0" w:space="0" w:color="auto"/>
            <w:left w:val="none" w:sz="0" w:space="0" w:color="auto"/>
            <w:bottom w:val="none" w:sz="0" w:space="0" w:color="auto"/>
            <w:right w:val="none" w:sz="0" w:space="0" w:color="auto"/>
          </w:divBdr>
        </w:div>
        <w:div w:id="1587300799">
          <w:marLeft w:val="0"/>
          <w:marRight w:val="0"/>
          <w:marTop w:val="0"/>
          <w:marBottom w:val="0"/>
          <w:divBdr>
            <w:top w:val="none" w:sz="0" w:space="0" w:color="auto"/>
            <w:left w:val="none" w:sz="0" w:space="0" w:color="auto"/>
            <w:bottom w:val="none" w:sz="0" w:space="0" w:color="auto"/>
            <w:right w:val="none" w:sz="0" w:space="0" w:color="auto"/>
          </w:divBdr>
        </w:div>
        <w:div w:id="1145513604">
          <w:marLeft w:val="0"/>
          <w:marRight w:val="0"/>
          <w:marTop w:val="0"/>
          <w:marBottom w:val="0"/>
          <w:divBdr>
            <w:top w:val="none" w:sz="0" w:space="0" w:color="auto"/>
            <w:left w:val="none" w:sz="0" w:space="0" w:color="auto"/>
            <w:bottom w:val="none" w:sz="0" w:space="0" w:color="auto"/>
            <w:right w:val="none" w:sz="0" w:space="0" w:color="auto"/>
          </w:divBdr>
        </w:div>
        <w:div w:id="760949921">
          <w:marLeft w:val="0"/>
          <w:marRight w:val="0"/>
          <w:marTop w:val="0"/>
          <w:marBottom w:val="0"/>
          <w:divBdr>
            <w:top w:val="none" w:sz="0" w:space="0" w:color="auto"/>
            <w:left w:val="none" w:sz="0" w:space="0" w:color="auto"/>
            <w:bottom w:val="none" w:sz="0" w:space="0" w:color="auto"/>
            <w:right w:val="none" w:sz="0" w:space="0" w:color="auto"/>
          </w:divBdr>
        </w:div>
        <w:div w:id="673919799">
          <w:marLeft w:val="0"/>
          <w:marRight w:val="0"/>
          <w:marTop w:val="0"/>
          <w:marBottom w:val="0"/>
          <w:divBdr>
            <w:top w:val="none" w:sz="0" w:space="0" w:color="auto"/>
            <w:left w:val="none" w:sz="0" w:space="0" w:color="auto"/>
            <w:bottom w:val="none" w:sz="0" w:space="0" w:color="auto"/>
            <w:right w:val="none" w:sz="0" w:space="0" w:color="auto"/>
          </w:divBdr>
        </w:div>
      </w:divsChild>
    </w:div>
    <w:div w:id="1760442215">
      <w:bodyDiv w:val="1"/>
      <w:marLeft w:val="0"/>
      <w:marRight w:val="0"/>
      <w:marTop w:val="0"/>
      <w:marBottom w:val="0"/>
      <w:divBdr>
        <w:top w:val="none" w:sz="0" w:space="0" w:color="auto"/>
        <w:left w:val="none" w:sz="0" w:space="0" w:color="auto"/>
        <w:bottom w:val="none" w:sz="0" w:space="0" w:color="auto"/>
        <w:right w:val="none" w:sz="0" w:space="0" w:color="auto"/>
      </w:divBdr>
      <w:divsChild>
        <w:div w:id="1586068648">
          <w:marLeft w:val="0"/>
          <w:marRight w:val="0"/>
          <w:marTop w:val="0"/>
          <w:marBottom w:val="0"/>
          <w:divBdr>
            <w:top w:val="none" w:sz="0" w:space="0" w:color="auto"/>
            <w:left w:val="none" w:sz="0" w:space="0" w:color="auto"/>
            <w:bottom w:val="none" w:sz="0" w:space="0" w:color="auto"/>
            <w:right w:val="none" w:sz="0" w:space="0" w:color="auto"/>
          </w:divBdr>
          <w:divsChild>
            <w:div w:id="1393503458">
              <w:marLeft w:val="0"/>
              <w:marRight w:val="0"/>
              <w:marTop w:val="0"/>
              <w:marBottom w:val="0"/>
              <w:divBdr>
                <w:top w:val="none" w:sz="0" w:space="0" w:color="auto"/>
                <w:left w:val="none" w:sz="0" w:space="0" w:color="auto"/>
                <w:bottom w:val="none" w:sz="0" w:space="0" w:color="auto"/>
                <w:right w:val="none" w:sz="0" w:space="0" w:color="auto"/>
              </w:divBdr>
              <w:divsChild>
                <w:div w:id="1905216206">
                  <w:marLeft w:val="0"/>
                  <w:marRight w:val="0"/>
                  <w:marTop w:val="0"/>
                  <w:marBottom w:val="0"/>
                  <w:divBdr>
                    <w:top w:val="none" w:sz="0" w:space="0" w:color="auto"/>
                    <w:left w:val="none" w:sz="0" w:space="0" w:color="auto"/>
                    <w:bottom w:val="none" w:sz="0" w:space="0" w:color="auto"/>
                    <w:right w:val="none" w:sz="0" w:space="0" w:color="auto"/>
                  </w:divBdr>
                  <w:divsChild>
                    <w:div w:id="594437827">
                      <w:marLeft w:val="0"/>
                      <w:marRight w:val="0"/>
                      <w:marTop w:val="0"/>
                      <w:marBottom w:val="0"/>
                      <w:divBdr>
                        <w:top w:val="none" w:sz="0" w:space="0" w:color="auto"/>
                        <w:left w:val="none" w:sz="0" w:space="0" w:color="auto"/>
                        <w:bottom w:val="none" w:sz="0" w:space="0" w:color="auto"/>
                        <w:right w:val="none" w:sz="0" w:space="0" w:color="auto"/>
                      </w:divBdr>
                      <w:divsChild>
                        <w:div w:id="1646936910">
                          <w:marLeft w:val="0"/>
                          <w:marRight w:val="0"/>
                          <w:marTop w:val="0"/>
                          <w:marBottom w:val="0"/>
                          <w:divBdr>
                            <w:top w:val="none" w:sz="0" w:space="0" w:color="auto"/>
                            <w:left w:val="none" w:sz="0" w:space="0" w:color="auto"/>
                            <w:bottom w:val="none" w:sz="0" w:space="0" w:color="auto"/>
                            <w:right w:val="none" w:sz="0" w:space="0" w:color="auto"/>
                          </w:divBdr>
                          <w:divsChild>
                            <w:div w:id="19685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208993">
      <w:bodyDiv w:val="1"/>
      <w:marLeft w:val="0"/>
      <w:marRight w:val="0"/>
      <w:marTop w:val="0"/>
      <w:marBottom w:val="0"/>
      <w:divBdr>
        <w:top w:val="none" w:sz="0" w:space="0" w:color="auto"/>
        <w:left w:val="none" w:sz="0" w:space="0" w:color="auto"/>
        <w:bottom w:val="none" w:sz="0" w:space="0" w:color="auto"/>
        <w:right w:val="none" w:sz="0" w:space="0" w:color="auto"/>
      </w:divBdr>
    </w:div>
    <w:div w:id="1802572458">
      <w:bodyDiv w:val="1"/>
      <w:marLeft w:val="0"/>
      <w:marRight w:val="0"/>
      <w:marTop w:val="0"/>
      <w:marBottom w:val="0"/>
      <w:divBdr>
        <w:top w:val="none" w:sz="0" w:space="0" w:color="auto"/>
        <w:left w:val="none" w:sz="0" w:space="0" w:color="auto"/>
        <w:bottom w:val="none" w:sz="0" w:space="0" w:color="auto"/>
        <w:right w:val="none" w:sz="0" w:space="0" w:color="auto"/>
      </w:divBdr>
      <w:divsChild>
        <w:div w:id="1237980604">
          <w:marLeft w:val="0"/>
          <w:marRight w:val="0"/>
          <w:marTop w:val="0"/>
          <w:marBottom w:val="0"/>
          <w:divBdr>
            <w:top w:val="none" w:sz="0" w:space="0" w:color="auto"/>
            <w:left w:val="none" w:sz="0" w:space="0" w:color="auto"/>
            <w:bottom w:val="none" w:sz="0" w:space="0" w:color="auto"/>
            <w:right w:val="none" w:sz="0" w:space="0" w:color="auto"/>
          </w:divBdr>
          <w:divsChild>
            <w:div w:id="608855055">
              <w:marLeft w:val="0"/>
              <w:marRight w:val="0"/>
              <w:marTop w:val="0"/>
              <w:marBottom w:val="0"/>
              <w:divBdr>
                <w:top w:val="none" w:sz="0" w:space="0" w:color="auto"/>
                <w:left w:val="none" w:sz="0" w:space="0" w:color="auto"/>
                <w:bottom w:val="none" w:sz="0" w:space="0" w:color="auto"/>
                <w:right w:val="none" w:sz="0" w:space="0" w:color="auto"/>
              </w:divBdr>
              <w:divsChild>
                <w:div w:id="316687139">
                  <w:marLeft w:val="0"/>
                  <w:marRight w:val="0"/>
                  <w:marTop w:val="0"/>
                  <w:marBottom w:val="0"/>
                  <w:divBdr>
                    <w:top w:val="none" w:sz="0" w:space="0" w:color="auto"/>
                    <w:left w:val="none" w:sz="0" w:space="0" w:color="auto"/>
                    <w:bottom w:val="none" w:sz="0" w:space="0" w:color="auto"/>
                    <w:right w:val="none" w:sz="0" w:space="0" w:color="auto"/>
                  </w:divBdr>
                  <w:divsChild>
                    <w:div w:id="13603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6451">
          <w:marLeft w:val="0"/>
          <w:marRight w:val="0"/>
          <w:marTop w:val="0"/>
          <w:marBottom w:val="0"/>
          <w:divBdr>
            <w:top w:val="none" w:sz="0" w:space="0" w:color="auto"/>
            <w:left w:val="none" w:sz="0" w:space="0" w:color="auto"/>
            <w:bottom w:val="none" w:sz="0" w:space="0" w:color="auto"/>
            <w:right w:val="none" w:sz="0" w:space="0" w:color="auto"/>
          </w:divBdr>
          <w:divsChild>
            <w:div w:id="2021468943">
              <w:marLeft w:val="0"/>
              <w:marRight w:val="0"/>
              <w:marTop w:val="0"/>
              <w:marBottom w:val="0"/>
              <w:divBdr>
                <w:top w:val="none" w:sz="0" w:space="0" w:color="auto"/>
                <w:left w:val="none" w:sz="0" w:space="0" w:color="auto"/>
                <w:bottom w:val="none" w:sz="0" w:space="0" w:color="auto"/>
                <w:right w:val="none" w:sz="0" w:space="0" w:color="auto"/>
              </w:divBdr>
              <w:divsChild>
                <w:div w:id="462582728">
                  <w:marLeft w:val="0"/>
                  <w:marRight w:val="0"/>
                  <w:marTop w:val="0"/>
                  <w:marBottom w:val="0"/>
                  <w:divBdr>
                    <w:top w:val="none" w:sz="0" w:space="0" w:color="auto"/>
                    <w:left w:val="none" w:sz="0" w:space="0" w:color="auto"/>
                    <w:bottom w:val="none" w:sz="0" w:space="0" w:color="auto"/>
                    <w:right w:val="none" w:sz="0" w:space="0" w:color="auto"/>
                  </w:divBdr>
                  <w:divsChild>
                    <w:div w:id="17580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25044">
      <w:bodyDiv w:val="1"/>
      <w:marLeft w:val="0"/>
      <w:marRight w:val="0"/>
      <w:marTop w:val="0"/>
      <w:marBottom w:val="0"/>
      <w:divBdr>
        <w:top w:val="none" w:sz="0" w:space="0" w:color="auto"/>
        <w:left w:val="none" w:sz="0" w:space="0" w:color="auto"/>
        <w:bottom w:val="none" w:sz="0" w:space="0" w:color="auto"/>
        <w:right w:val="none" w:sz="0" w:space="0" w:color="auto"/>
      </w:divBdr>
      <w:divsChild>
        <w:div w:id="1726636692">
          <w:marLeft w:val="0"/>
          <w:marRight w:val="0"/>
          <w:marTop w:val="0"/>
          <w:marBottom w:val="0"/>
          <w:divBdr>
            <w:top w:val="none" w:sz="0" w:space="0" w:color="auto"/>
            <w:left w:val="none" w:sz="0" w:space="0" w:color="auto"/>
            <w:bottom w:val="none" w:sz="0" w:space="0" w:color="auto"/>
            <w:right w:val="none" w:sz="0" w:space="0" w:color="auto"/>
          </w:divBdr>
        </w:div>
        <w:div w:id="1597590345">
          <w:marLeft w:val="0"/>
          <w:marRight w:val="0"/>
          <w:marTop w:val="0"/>
          <w:marBottom w:val="0"/>
          <w:divBdr>
            <w:top w:val="none" w:sz="0" w:space="0" w:color="auto"/>
            <w:left w:val="none" w:sz="0" w:space="0" w:color="auto"/>
            <w:bottom w:val="none" w:sz="0" w:space="0" w:color="auto"/>
            <w:right w:val="none" w:sz="0" w:space="0" w:color="auto"/>
          </w:divBdr>
        </w:div>
        <w:div w:id="1235047791">
          <w:marLeft w:val="0"/>
          <w:marRight w:val="0"/>
          <w:marTop w:val="0"/>
          <w:marBottom w:val="0"/>
          <w:divBdr>
            <w:top w:val="none" w:sz="0" w:space="0" w:color="auto"/>
            <w:left w:val="none" w:sz="0" w:space="0" w:color="auto"/>
            <w:bottom w:val="none" w:sz="0" w:space="0" w:color="auto"/>
            <w:right w:val="none" w:sz="0" w:space="0" w:color="auto"/>
          </w:divBdr>
        </w:div>
      </w:divsChild>
    </w:div>
    <w:div w:id="2047560708">
      <w:bodyDiv w:val="1"/>
      <w:marLeft w:val="0"/>
      <w:marRight w:val="0"/>
      <w:marTop w:val="0"/>
      <w:marBottom w:val="0"/>
      <w:divBdr>
        <w:top w:val="none" w:sz="0" w:space="0" w:color="auto"/>
        <w:left w:val="none" w:sz="0" w:space="0" w:color="auto"/>
        <w:bottom w:val="none" w:sz="0" w:space="0" w:color="auto"/>
        <w:right w:val="none" w:sz="0" w:space="0" w:color="auto"/>
      </w:divBdr>
    </w:div>
    <w:div w:id="2064017611">
      <w:bodyDiv w:val="1"/>
      <w:marLeft w:val="0"/>
      <w:marRight w:val="0"/>
      <w:marTop w:val="0"/>
      <w:marBottom w:val="0"/>
      <w:divBdr>
        <w:top w:val="none" w:sz="0" w:space="0" w:color="auto"/>
        <w:left w:val="none" w:sz="0" w:space="0" w:color="auto"/>
        <w:bottom w:val="none" w:sz="0" w:space="0" w:color="auto"/>
        <w:right w:val="none" w:sz="0" w:space="0" w:color="auto"/>
      </w:divBdr>
    </w:div>
    <w:div w:id="2069568132">
      <w:bodyDiv w:val="1"/>
      <w:marLeft w:val="0"/>
      <w:marRight w:val="0"/>
      <w:marTop w:val="0"/>
      <w:marBottom w:val="0"/>
      <w:divBdr>
        <w:top w:val="none" w:sz="0" w:space="0" w:color="auto"/>
        <w:left w:val="none" w:sz="0" w:space="0" w:color="auto"/>
        <w:bottom w:val="none" w:sz="0" w:space="0" w:color="auto"/>
        <w:right w:val="none" w:sz="0" w:space="0" w:color="auto"/>
      </w:divBdr>
      <w:divsChild>
        <w:div w:id="1200169586">
          <w:marLeft w:val="0"/>
          <w:marRight w:val="0"/>
          <w:marTop w:val="0"/>
          <w:marBottom w:val="0"/>
          <w:divBdr>
            <w:top w:val="none" w:sz="0" w:space="0" w:color="auto"/>
            <w:left w:val="none" w:sz="0" w:space="0" w:color="auto"/>
            <w:bottom w:val="none" w:sz="0" w:space="0" w:color="auto"/>
            <w:right w:val="none" w:sz="0" w:space="0" w:color="auto"/>
          </w:divBdr>
        </w:div>
      </w:divsChild>
    </w:div>
    <w:div w:id="2111854653">
      <w:bodyDiv w:val="1"/>
      <w:marLeft w:val="0"/>
      <w:marRight w:val="0"/>
      <w:marTop w:val="0"/>
      <w:marBottom w:val="0"/>
      <w:divBdr>
        <w:top w:val="none" w:sz="0" w:space="0" w:color="auto"/>
        <w:left w:val="none" w:sz="0" w:space="0" w:color="auto"/>
        <w:bottom w:val="none" w:sz="0" w:space="0" w:color="auto"/>
        <w:right w:val="none" w:sz="0" w:space="0" w:color="auto"/>
      </w:divBdr>
    </w:div>
    <w:div w:id="21270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220636/wilperap,woolhandlers,lasserke,mccormickd,bordh,himmelsteindu.healthinsuranceandmortalityinusadults.amjpublichealth.2009dec;99(12):2289-95,doi:10.2105/ajph.2008.157685.epub2009sep17.pmid:19762659;pmcid:pmc27757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om.edu/CMS/3809/4660/4662.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Bha22</b:Tag>
    <b:SourceType>JournalArticle</b:SourceType>
    <b:Guid>{C0B0EB6B-84B3-4E29-ADAF-C30F2D14092C}</b:Guid>
    <b:Author>
      <b:Author>
        <b:NameList>
          <b:Person>
            <b:Last>Bhageerathy Reshmi</b:Last>
            <b:First>1</b:First>
            <b:Middle>Bhaskaran Unnikrishnan,2 Eti Rajwar,3 Shradha S Parsekar,3 Ratheebhai Vijayamma,4 and Bhumika Tumkur Venkateshcorresponding author3</b:Middle>
          </b:Person>
        </b:NameList>
      </b:Author>
    </b:Author>
    <b:Title>Impact of public-funded health insurances in India on health care utilisation and financial risk protection: a systematic review</b:Title>
    <b:JournalName>BMJ Open</b:JournalName>
    <b:Year>2021 Dec 22</b:Year>
    <b:Pages>11(12):e050077. doi: 10.1136/bmjopen-2021-050077. PMID: 34937714; PMCID: PMC8704974.</b:Pages>
    <b:RefOrder>6</b:RefOrder>
  </b:Source>
  <b:Source>
    <b:Tag>Kum21</b:Tag>
    <b:SourceType>JournalArticle</b:SourceType>
    <b:Guid>{7533C6E2-29CC-4B0F-8F11-D654F274BD11}</b:Guid>
    <b:Author>
      <b:Author>
        <b:NameList>
          <b:Person>
            <b:Last>Kumar</b:Last>
            <b:First>R.,</b:First>
            <b:Middle>&amp; Duggirala, A.</b:Middle>
          </b:Person>
        </b:NameList>
      </b:Author>
    </b:Author>
    <b:Title>Health Insurance as a Healthcare Financing Mechanism in India: Key Strategic Insights and a Business Model Perspective.</b:Title>
    <b:JournalName>Vikalpa</b:JournalName>
    <b:Year>2021</b:Year>
    <b:Pages>112-128.</b:Pages>
    <b:Volume>46</b:Volume>
    <b:Issue>(2)</b:Issue>
    <b:RefOrder>7</b:RefOrder>
  </b:Source>
  <b:Source>
    <b:Tag>Var16</b:Tag>
    <b:SourceType>JournalArticle</b:SourceType>
    <b:Guid>{A480C25B-5477-4495-87A9-4EAB0BE6BA68}</b:Guid>
    <b:Author>
      <b:Author>
        <b:NameList>
          <b:Person>
            <b:Last>Varier</b:Last>
            <b:First>Mamatha</b:First>
          </b:Person>
        </b:NameList>
      </b:Author>
    </b:Author>
    <b:Title>Satisfaction of Health Insurance Policy Holders: Comparison between Public and Private Sector</b:Title>
    <b:JournalName>International Journal of Engineering Science Advanced Computing and Bio-Technology</b:JournalName>
    <b:Year>2016</b:Year>
    <b:Pages>5418-5420</b:Pages>
    <b:Volume>6</b:Volume>
    <b:Issue>5</b:Issue>
    <b:RefOrder>8</b:RefOrder>
  </b:Source>
  <b:Source>
    <b:Tag>Ash24</b:Tag>
    <b:SourceType>JournalArticle</b:SourceType>
    <b:Guid>{680A05FD-A1B1-4A8D-8646-FF2F16F3D5CB}</b:Guid>
    <b:Author>
      <b:Author>
        <b:NameList>
          <b:Person>
            <b:Last>Ashok Mishra</b:Last>
            <b:First>Mohammed</b:First>
            <b:Middle>Jamshed, Asad Ahmad, Swati Garg and Dag Øivind Madsen</b:Middle>
          </b:Person>
        </b:NameList>
      </b:Author>
    </b:Author>
    <b:Title>Factors influencing the intention to purchase health insurance: a study of Indian tobacco and alcohol consumers</b:Title>
    <b:JournalName>Front. Public Health</b:JournalName>
    <b:Year>2024</b:Year>
    <b:Pages>1-10</b:Pages>
    <b:Month>March</b:Month>
    <b:Day>15</b:Day>
    <b:RefOrder>9</b:RefOrder>
  </b:Source>
  <b:Source>
    <b:Tag>Boa131</b:Tag>
    <b:SourceType>JournalArticle</b:SourceType>
    <b:Guid>{36DEF42D-4815-414D-AD2D-82FBF5BF6610}</b:Guid>
    <b:Author>
      <b:Author>
        <b:NameList>
          <b:Person>
            <b:Last>Boateng</b:Last>
            <b:First>D.,</b:First>
            <b:Middle>&amp; Awunyor-Vitor, D</b:Middle>
          </b:Person>
        </b:NameList>
      </b:Author>
    </b:Author>
    <b:Title>Health insurance in Ghana: evaluation of policy holders’ perceptions and factors influencing policy renewal in the Volta region.</b:Title>
    <b:JournalName>International journal for equity in health</b:JournalName>
    <b:Year>2013</b:Year>
    <b:Pages>12(1), 50</b:Pages>
    <b:RefOrder>1</b:RefOrder>
  </b:Source>
  <b:Source>
    <b:Tag>Pah19</b:Tag>
    <b:SourceType>JournalArticle</b:SourceType>
    <b:Guid>{DCFD22AC-329B-4304-A885-A059FCB6902B}</b:Guid>
    <b:Author>
      <b:Author>
        <b:NameList>
          <b:Person>
            <b:Last>Pahwa</b:Last>
            <b:First>B.,</b:First>
            <b:Middle>&amp; Gupta, M.</b:Middle>
          </b:Person>
        </b:NameList>
      </b:Author>
    </b:Author>
    <b:Title>A study of factors influencing the purchase decision of health insurance policies using AHP approach. </b:Title>
    <b:JournalName>Compusoft</b:JournalName>
    <b:Year>2019</b:Year>
    <b:Pages>8(7), 3285-3293.</b:Pages>
    <b:RefOrder>2</b:RefOrder>
  </b:Source>
  <b:Source>
    <b:Tag>BIN24</b:Tag>
    <b:SourceType>JournalArticle</b:SourceType>
    <b:Guid>{249396FC-4E88-4D05-A853-0C81321D0F46}</b:Guid>
    <b:Author>
      <b:Author>
        <b:NameList>
          <b:Person>
            <b:Last>BINGZHI</b:Last>
            <b:First>W.,</b:First>
            <b:Middle>YONGQUAN, L., YANCHAO, D., &amp; XIAOQIN, F.</b:Middle>
          </b:Person>
        </b:NameList>
      </b:Author>
    </b:Author>
    <b:Title>Prospective Policy Holders on Health Insurance: An Assessment Towards Marketing Plan Proposal.</b:Title>
    <b:JournalName>Journal of Business and Management Studies</b:JournalName>
    <b:Year>2024</b:Year>
    <b:Pages>6(6), 298-321.</b:Pages>
    <b:RefOrder>3</b:RefOrder>
  </b:Source>
  <b:Source>
    <b:Tag>Ger17</b:Tag>
    <b:SourceType>JournalArticle</b:SourceType>
    <b:Guid>{FCC17CDA-EEC1-4565-9FC5-F5709D2D1895}</b:Guid>
    <b:Author>
      <b:Author>
        <b:NameList>
          <b:Person>
            <b:Last>Geruso</b:Last>
            <b:First>M.,</b:First>
            <b:Middle>&amp; Layton, T. J.</b:Middle>
          </b:Person>
        </b:NameList>
      </b:Author>
    </b:Author>
    <b:Title>Selection in health insurance markets and its policy remedies. </b:Title>
    <b:JournalName> Journal of Economic Perspectives,</b:JournalName>
    <b:Year>2017</b:Year>
    <b:Pages>31(4), 23-50.</b:Pages>
    <b:RefOrder>4</b:RefOrder>
  </b:Source>
  <b:Source>
    <b:Tag>Ogu19</b:Tag>
    <b:SourceType>JournalArticle</b:SourceType>
    <b:Guid>{DBACB465-5FCD-44CF-8BFB-079D06F11D03}</b:Guid>
    <b:LCID>0</b:LCID>
    <b:Author>
      <b:Author>
        <b:NameList>
          <b:Person>
            <b:Last>Ogundeji</b:Last>
            <b:First>Y.</b:First>
            <b:Middle>K., Akomolafe, B., Ohiri, K., &amp; Butawa, N. N.</b:Middle>
          </b:Person>
        </b:NameList>
      </b:Author>
    </b:Author>
    <b:Title>Factors influencing willingness and ability to pay for social health insurance in Nigeria</b:Title>
    <b:JournalName>PloS one</b:JournalName>
    <b:Year>2019</b:Year>
    <b:Pages>14(8), e0220558.</b:Pages>
    <b:RefOrder>5</b:RefOrder>
  </b:Source>
</b:Sources>
</file>

<file path=customXml/itemProps1.xml><?xml version="1.0" encoding="utf-8"?>
<ds:datastoreItem xmlns:ds="http://schemas.openxmlformats.org/officeDocument/2006/customXml" ds:itemID="{CA56A61E-96CE-431A-A16A-0B2587A2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15</Pages>
  <Words>5172</Words>
  <Characters>29486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SANPOL 11</dc:creator>
  <cp:lastModifiedBy>Acer</cp:lastModifiedBy>
  <cp:revision>123</cp:revision>
  <dcterms:created xsi:type="dcterms:W3CDTF">2024-09-06T05:25:00Z</dcterms:created>
  <dcterms:modified xsi:type="dcterms:W3CDTF">2026-03-02T09:16:00Z</dcterms:modified>
</cp:coreProperties>
</file>