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C845A" w14:textId="6410AE60" w:rsidR="00896056" w:rsidRPr="00ED2FD6" w:rsidRDefault="000B2DD7" w:rsidP="009F7292">
      <w:pPr>
        <w:spacing w:after="120" w:line="276" w:lineRule="auto"/>
        <w:jc w:val="center"/>
        <w:rPr>
          <w:rFonts w:ascii="Times New Roman" w:hAnsi="Times New Roman" w:cs="Times New Roman"/>
          <w:b/>
          <w:bCs/>
        </w:rPr>
      </w:pPr>
      <w:bookmarkStart w:id="0" w:name="_GoBack"/>
      <w:bookmarkEnd w:id="0"/>
      <w:r w:rsidRPr="000B2DD7">
        <w:rPr>
          <w:rFonts w:ascii="Times New Roman" w:hAnsi="Times New Roman" w:cs="Times New Roman"/>
          <w:b/>
          <w:bCs/>
        </w:rPr>
        <w:t>Macroeconomic Drivers and Policy Trade-offs in India’s Renewable Energy Transition: A Time-Series Evidence</w:t>
      </w:r>
    </w:p>
    <w:p w14:paraId="10AE08AC" w14:textId="45A65978" w:rsidR="00D21BAD" w:rsidRPr="00D21BAD" w:rsidRDefault="00D21BAD" w:rsidP="00D21BAD">
      <w:pPr>
        <w:spacing w:after="120" w:line="480" w:lineRule="auto"/>
        <w:jc w:val="both"/>
        <w:rPr>
          <w:rFonts w:ascii="Times New Roman" w:hAnsi="Times New Roman" w:cs="Times New Roman"/>
          <w:sz w:val="22"/>
          <w:szCs w:val="22"/>
        </w:rPr>
      </w:pPr>
    </w:p>
    <w:p w14:paraId="793E30AE" w14:textId="19D80E6C" w:rsidR="00896056" w:rsidRPr="006E5ECF" w:rsidRDefault="00896056" w:rsidP="001E515E">
      <w:pPr>
        <w:spacing w:after="120" w:line="480" w:lineRule="auto"/>
        <w:rPr>
          <w:rFonts w:ascii="Times New Roman" w:hAnsi="Times New Roman" w:cs="Times New Roman"/>
          <w:b/>
          <w:bCs/>
          <w:sz w:val="22"/>
          <w:szCs w:val="22"/>
        </w:rPr>
      </w:pPr>
      <w:r w:rsidRPr="006E5ECF">
        <w:rPr>
          <w:rFonts w:ascii="Times New Roman" w:hAnsi="Times New Roman" w:cs="Times New Roman"/>
          <w:b/>
          <w:bCs/>
          <w:sz w:val="22"/>
          <w:szCs w:val="22"/>
        </w:rPr>
        <w:t>Abstract</w:t>
      </w:r>
    </w:p>
    <w:p w14:paraId="785BC689" w14:textId="30A47607" w:rsidR="007A7D55" w:rsidRPr="006E5ECF" w:rsidRDefault="007A7D55" w:rsidP="001E515E">
      <w:pPr>
        <w:spacing w:after="120" w:line="480" w:lineRule="auto"/>
        <w:jc w:val="both"/>
        <w:rPr>
          <w:rFonts w:ascii="Times New Roman" w:hAnsi="Times New Roman" w:cs="Times New Roman"/>
          <w:sz w:val="22"/>
          <w:szCs w:val="22"/>
        </w:rPr>
      </w:pPr>
      <w:r w:rsidRPr="006E5ECF">
        <w:rPr>
          <w:rFonts w:ascii="Times New Roman" w:hAnsi="Times New Roman" w:cs="Times New Roman"/>
          <w:sz w:val="22"/>
          <w:szCs w:val="22"/>
        </w:rPr>
        <w:t>Developing economies like India face a significant challenge in balancing economic growth with energy sustainability. This study empirically analyses the policy trade-offs between urbanisation, economic development, foreign direct investment (FDI), and the adoption of renewable energy (RE) in India. It addresses the complex “development-environment dilemma”, where urbanisation and economic growth drive energy demand, necessitating a shift from fossil fuels to unconventional energy sources to ensure a sustainable ecosystem. Employing a quantitative approach, this paper utilises time-series data for India spanning 1996 to 2024. The study investigates the relationship between renewable energy generation (RE) as the dependent variable and Gross Domestic Product (GDP), Foreign Direct Investment (FDI), and urbanisation as independent variables. The empirical analysis involves testing for stationarity using the Phillips-Perron test, checking for cointegration, and estimating the long-run coefficients using Dynamic Ordinary Least Squares (DOLS) and Fully Modified Ordinary Least Squares (FMOLS) models. Pairwise Granger-causality tests are also conducted to determine the direction of causality. The empirical results reveal a complex dynamic. Both DOLS and FMOLS estimations consistently show that GDP has a significant positive impact on renewable energy consumption, suggesting economic growth enhances the capacity to invest in sustainable energy. Conversely, urbanisation exhibits a significant negative effect on RE adoption. The impact of FDI on RE is found to be statistically weak. Granger causality tests confirm unidirectional causality running from both GDP and urbanisation to RE. Interestingly, while FDI does not appear to cause RE, the results show that RE does Granger-cause FDI, implying that a growing renewable sector attracts foreign investment. The study concludes that India faces a critical policy trade-off. While economic growth stimulates renewable energy adoption, rapid, unplanned urbanisation currently dampens this transition. The findings underscore that an integrated policy framework is urgently needed to reconcile the growth-urbanisation-sustainability nexus, recommending sustainable urban planning and green infrastructure investments to achieve India’s net-zero targets.</w:t>
      </w:r>
    </w:p>
    <w:p w14:paraId="3116833D" w14:textId="65114A76" w:rsidR="00896056" w:rsidRPr="006E5ECF" w:rsidRDefault="00896056" w:rsidP="001E515E">
      <w:pPr>
        <w:spacing w:after="120" w:line="480" w:lineRule="auto"/>
        <w:jc w:val="both"/>
        <w:rPr>
          <w:rFonts w:ascii="Times New Roman" w:hAnsi="Times New Roman" w:cs="Times New Roman"/>
          <w:sz w:val="22"/>
          <w:szCs w:val="22"/>
        </w:rPr>
      </w:pPr>
      <w:r w:rsidRPr="006E5ECF">
        <w:rPr>
          <w:rFonts w:ascii="Times New Roman" w:hAnsi="Times New Roman" w:cs="Times New Roman"/>
          <w:b/>
          <w:bCs/>
          <w:sz w:val="22"/>
          <w:szCs w:val="22"/>
        </w:rPr>
        <w:lastRenderedPageBreak/>
        <w:t>Keywords:</w:t>
      </w:r>
      <w:r w:rsidRPr="006E5ECF">
        <w:rPr>
          <w:rFonts w:ascii="Times New Roman" w:hAnsi="Times New Roman" w:cs="Times New Roman"/>
          <w:sz w:val="22"/>
          <w:szCs w:val="22"/>
        </w:rPr>
        <w:t xml:space="preserve"> Energy Sustainability; Urban Growth; Foreign Investment; DOLS and FMOLS; </w:t>
      </w:r>
      <w:r w:rsidR="00F227FD" w:rsidRPr="006E5ECF">
        <w:rPr>
          <w:rFonts w:ascii="Times New Roman" w:hAnsi="Times New Roman" w:cs="Times New Roman"/>
          <w:sz w:val="22"/>
          <w:szCs w:val="22"/>
        </w:rPr>
        <w:t>Development-Environment Dilemma.</w:t>
      </w:r>
    </w:p>
    <w:p w14:paraId="0CFCDE1E" w14:textId="2A8A34BB" w:rsidR="000A5D73" w:rsidRPr="006E5ECF" w:rsidRDefault="003A5FF3" w:rsidP="001E515E">
      <w:pPr>
        <w:spacing w:after="120" w:line="480" w:lineRule="auto"/>
        <w:rPr>
          <w:rFonts w:ascii="Times New Roman" w:hAnsi="Times New Roman" w:cs="Times New Roman"/>
          <w:b/>
          <w:bCs/>
          <w:sz w:val="22"/>
          <w:szCs w:val="22"/>
        </w:rPr>
      </w:pPr>
      <w:r w:rsidRPr="006E5ECF">
        <w:rPr>
          <w:rFonts w:ascii="Times New Roman" w:hAnsi="Times New Roman" w:cs="Times New Roman"/>
          <w:b/>
          <w:bCs/>
          <w:sz w:val="22"/>
          <w:szCs w:val="22"/>
        </w:rPr>
        <w:t xml:space="preserve">1. </w:t>
      </w:r>
      <w:r w:rsidR="000A5D73" w:rsidRPr="006E5ECF">
        <w:rPr>
          <w:rFonts w:ascii="Times New Roman" w:hAnsi="Times New Roman" w:cs="Times New Roman"/>
          <w:b/>
          <w:bCs/>
          <w:sz w:val="22"/>
          <w:szCs w:val="22"/>
        </w:rPr>
        <w:t>Introduction</w:t>
      </w:r>
    </w:p>
    <w:p w14:paraId="5BE1EB08"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In changing global dynamics, every economy is facing a challenge of ensuring energy sustainability while attaining higher economic growth for creating a sustainable condition for future generations (Adedoyin et al., 2020). In this the major concern for modern society is that attaining economic development will lead towards the scarcity of natural resources (World Economic Forum, 2021). Developing economies, like India, are more prone to consequences of this development process. However, creating environmental strategy depends on various areas, like, businesses, industrial production, power generation and transportation (Adedoyin et al., 2020); which cannot be achieved by one solution for correcting all the strategic areas. This creates an obligation for all the stakeholder, mainly policymakers, to create strategies which helps in shaping the self-sustaining economy, without any disruption in the course of economic development (Anbu, 2020).</w:t>
      </w:r>
    </w:p>
    <w:p w14:paraId="05026C59"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In the post-COVID 19 era, many economic hustles were formed which formed a new global value chain paradigm in production and consumption. International trade has emerged as key driver of the new world economic order (Pahl &amp; Timmer, 2020). Therefore, during this economic turmoil the path to sustainability can be achieved with solving the development-environment dilemma (Combes Motel et al., 2014; </w:t>
      </w:r>
      <w:proofErr w:type="spellStart"/>
      <w:r w:rsidRPr="006E5ECF">
        <w:rPr>
          <w:rFonts w:ascii="Times New Roman" w:hAnsi="Times New Roman" w:cs="Times New Roman"/>
          <w:sz w:val="22"/>
          <w:szCs w:val="22"/>
        </w:rPr>
        <w:t>Piddington</w:t>
      </w:r>
      <w:proofErr w:type="spellEnd"/>
      <w:r w:rsidRPr="006E5ECF">
        <w:rPr>
          <w:rFonts w:ascii="Times New Roman" w:hAnsi="Times New Roman" w:cs="Times New Roman"/>
          <w:sz w:val="22"/>
          <w:szCs w:val="22"/>
        </w:rPr>
        <w:t xml:space="preserve">, 1990; </w:t>
      </w:r>
      <w:proofErr w:type="spellStart"/>
      <w:r w:rsidRPr="006E5ECF">
        <w:rPr>
          <w:rFonts w:ascii="Times New Roman" w:hAnsi="Times New Roman" w:cs="Times New Roman"/>
          <w:sz w:val="22"/>
          <w:szCs w:val="22"/>
        </w:rPr>
        <w:t>Staniškis</w:t>
      </w:r>
      <w:proofErr w:type="spellEnd"/>
      <w:r w:rsidRPr="006E5ECF">
        <w:rPr>
          <w:rFonts w:ascii="Times New Roman" w:hAnsi="Times New Roman" w:cs="Times New Roman"/>
          <w:sz w:val="22"/>
          <w:szCs w:val="22"/>
        </w:rPr>
        <w:t xml:space="preserve">, 2020). In the same way studies, like </w:t>
      </w:r>
      <w:proofErr w:type="spellStart"/>
      <w:r w:rsidRPr="006E5ECF">
        <w:rPr>
          <w:rFonts w:ascii="Times New Roman" w:hAnsi="Times New Roman" w:cs="Times New Roman"/>
          <w:sz w:val="22"/>
          <w:szCs w:val="22"/>
        </w:rPr>
        <w:t>Anser</w:t>
      </w:r>
      <w:proofErr w:type="spellEnd"/>
      <w:r w:rsidRPr="006E5ECF">
        <w:rPr>
          <w:rFonts w:ascii="Times New Roman" w:hAnsi="Times New Roman" w:cs="Times New Roman"/>
          <w:sz w:val="22"/>
          <w:szCs w:val="22"/>
        </w:rPr>
        <w:t xml:space="preserve"> et al., 2020; Behera &amp; Dash, 2017; </w:t>
      </w:r>
      <w:proofErr w:type="spellStart"/>
      <w:r w:rsidRPr="006E5ECF">
        <w:rPr>
          <w:rFonts w:ascii="Times New Roman" w:hAnsi="Times New Roman" w:cs="Times New Roman"/>
          <w:sz w:val="22"/>
          <w:szCs w:val="22"/>
        </w:rPr>
        <w:t>Iheonu</w:t>
      </w:r>
      <w:proofErr w:type="spellEnd"/>
      <w:r w:rsidRPr="006E5ECF">
        <w:rPr>
          <w:rFonts w:ascii="Times New Roman" w:hAnsi="Times New Roman" w:cs="Times New Roman"/>
          <w:sz w:val="22"/>
          <w:szCs w:val="22"/>
        </w:rPr>
        <w:t xml:space="preserve"> et al., 2021; </w:t>
      </w:r>
      <w:proofErr w:type="spellStart"/>
      <w:r w:rsidRPr="006E5ECF">
        <w:rPr>
          <w:rFonts w:ascii="Times New Roman" w:hAnsi="Times New Roman" w:cs="Times New Roman"/>
          <w:sz w:val="22"/>
          <w:szCs w:val="22"/>
        </w:rPr>
        <w:t>Nketiah</w:t>
      </w:r>
      <w:proofErr w:type="spellEnd"/>
      <w:r w:rsidRPr="006E5ECF">
        <w:rPr>
          <w:rFonts w:ascii="Times New Roman" w:hAnsi="Times New Roman" w:cs="Times New Roman"/>
          <w:sz w:val="22"/>
          <w:szCs w:val="22"/>
        </w:rPr>
        <w:t xml:space="preserve"> et al., 2020, have incorporated additional variables like, urbanisation, foreign direct investment to counter the biasness involved while dealing with the economic development of an economy.</w:t>
      </w:r>
    </w:p>
    <w:p w14:paraId="49034F06"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Urbanisation is a major requirement for the economic growth as the increase in the urban population causes an upsurge in the energy consumption which plays a relevant role in the advancement of an economy. In spite of that it is observed that urbanisation leads the way to bring social, economic, and sustainability into increasingly challenged surroundings (Bai et al., 2012; Douglas, 2012; Macomber, 2013) because it starts to degrade both environment and human life, due to requirement of energy based on fossil fuels. To avoid these circumstances, an economy can invest in renewable energy sources and </w:t>
      </w:r>
      <w:r w:rsidRPr="006E5ECF">
        <w:rPr>
          <w:rFonts w:ascii="Times New Roman" w:hAnsi="Times New Roman" w:cs="Times New Roman"/>
          <w:sz w:val="22"/>
          <w:szCs w:val="22"/>
        </w:rPr>
        <w:lastRenderedPageBreak/>
        <w:t>curb emission by reducing its reliance on fossil fuels. This can create a clean and sustainable economy while increasing the level of urbanisation. Here, it seems only option to bypass the dilemma is unconventional energy. Renewable energy reduces import dependence, provide sustainable growth, with high employment opportunities. According to the International Renewable Energy Agency (IRENA) ninety per cent of the world’s electricity will come from renewable energy by 2050. India aims to increase renewable energy use and achieve zero carbon emissions by 2070, with a 30% reduction by 2030. According to Niti Aayog Report, “India is already in the midst of a transition toward a low carbon economy. The share of coal in the energy mix of India is likely to decline to 40% by 2040 from 46% currently”</w:t>
      </w:r>
      <w:sdt>
        <w:sdtPr>
          <w:rPr>
            <w:rFonts w:ascii="Times New Roman" w:hAnsi="Times New Roman" w:cs="Times New Roman"/>
            <w:sz w:val="22"/>
            <w:szCs w:val="22"/>
          </w:rPr>
          <w:id w:val="-691379989"/>
          <w:citation/>
        </w:sdtPr>
        <w:sdtEndPr/>
        <w:sdtContent>
          <w:r w:rsidRPr="006E5ECF">
            <w:rPr>
              <w:rFonts w:ascii="Times New Roman" w:hAnsi="Times New Roman" w:cs="Times New Roman"/>
              <w:sz w:val="22"/>
              <w:szCs w:val="22"/>
            </w:rPr>
            <w:fldChar w:fldCharType="begin"/>
          </w:r>
          <w:r w:rsidRPr="006E5ECF">
            <w:rPr>
              <w:rFonts w:ascii="Times New Roman" w:hAnsi="Times New Roman" w:cs="Times New Roman"/>
              <w:sz w:val="22"/>
              <w:szCs w:val="22"/>
            </w:rPr>
            <w:instrText xml:space="preserve"> CITATION Sar21 \l 1033 </w:instrText>
          </w:r>
          <w:r w:rsidRPr="006E5ECF">
            <w:rPr>
              <w:rFonts w:ascii="Times New Roman" w:hAnsi="Times New Roman" w:cs="Times New Roman"/>
              <w:sz w:val="22"/>
              <w:szCs w:val="22"/>
            </w:rPr>
            <w:fldChar w:fldCharType="separate"/>
          </w:r>
          <w:r w:rsidRPr="006E5ECF">
            <w:rPr>
              <w:rFonts w:ascii="Times New Roman" w:hAnsi="Times New Roman" w:cs="Times New Roman"/>
              <w:sz w:val="22"/>
              <w:szCs w:val="22"/>
            </w:rPr>
            <w:t xml:space="preserve"> (Saraswat &amp; Bansal, 2021)</w:t>
          </w:r>
          <w:r w:rsidRPr="006E5ECF">
            <w:rPr>
              <w:rFonts w:ascii="Times New Roman" w:hAnsi="Times New Roman" w:cs="Times New Roman"/>
              <w:sz w:val="22"/>
              <w:szCs w:val="22"/>
            </w:rPr>
            <w:fldChar w:fldCharType="end"/>
          </w:r>
        </w:sdtContent>
      </w:sdt>
      <w:r w:rsidRPr="006E5ECF">
        <w:rPr>
          <w:rFonts w:ascii="Times New Roman" w:hAnsi="Times New Roman" w:cs="Times New Roman"/>
          <w:sz w:val="22"/>
          <w:szCs w:val="22"/>
        </w:rPr>
        <w:t>. Previous studies, although worked on the aspect of environmental sustainability, but they are mostly confined around the carbon emission and only few studies have attempted to analyse this important topic with renewable energy perspective, like, Royal et al. (2023). Therefore, it is a need of the hour to make environmental policies which could shift demand for energy from conventional to unconventional sources of energy. This will enlarge the scope for investors in the area of renewable energy and create a supportive environment for the growth of unconventional energy sources. It is crucial to reassess trade openness in conjunction with development to gain a deeper understanding of the sustainability of its outcomes. This study opts for FDI inflows over exports, as FDI more effectively captures the dynamics of both developed and emerging economies. From the perspective of developed nations, FDI is driven by the aim to tap into the growing demand in emerging markets. Conversely, for developing countries like India, FDI primarily supports investment aimed at import substitution.</w:t>
      </w:r>
    </w:p>
    <w:p w14:paraId="06BD9715" w14:textId="77777777" w:rsidR="00883876" w:rsidRPr="006E5ECF" w:rsidRDefault="003A5FF3" w:rsidP="001E515E">
      <w:pPr>
        <w:tabs>
          <w:tab w:val="left" w:pos="2024"/>
        </w:tabs>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 xml:space="preserve">2. </w:t>
      </w:r>
      <w:r w:rsidR="00883876" w:rsidRPr="006E5ECF">
        <w:rPr>
          <w:rFonts w:ascii="Times New Roman" w:hAnsi="Times New Roman" w:cs="Times New Roman"/>
          <w:b/>
          <w:bCs/>
          <w:sz w:val="22"/>
          <w:szCs w:val="22"/>
        </w:rPr>
        <w:t>Conceptual Framework</w:t>
      </w:r>
    </w:p>
    <w:p w14:paraId="71F42956" w14:textId="77777777" w:rsidR="0010740F" w:rsidRPr="006E5ECF" w:rsidRDefault="003E1136"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This conceptual framework illustrates a dynamic model of economic development </w:t>
      </w:r>
      <w:r w:rsidR="00F3222D" w:rsidRPr="006E5ECF">
        <w:rPr>
          <w:rFonts w:ascii="Times New Roman" w:hAnsi="Times New Roman" w:cs="Times New Roman"/>
          <w:sz w:val="22"/>
          <w:szCs w:val="22"/>
        </w:rPr>
        <w:t>centred</w:t>
      </w:r>
      <w:r w:rsidRPr="006E5ECF">
        <w:rPr>
          <w:rFonts w:ascii="Times New Roman" w:hAnsi="Times New Roman" w:cs="Times New Roman"/>
          <w:sz w:val="22"/>
          <w:szCs w:val="22"/>
        </w:rPr>
        <w:t xml:space="preserve"> on a transition to renewable energy. The system is set in motion by a set of primary drivers. Foreign Direct investment (FDI) acts as a primary catalyst, directly </w:t>
      </w:r>
      <w:r w:rsidR="00F3222D" w:rsidRPr="006E5ECF">
        <w:rPr>
          <w:rFonts w:ascii="Times New Roman" w:hAnsi="Times New Roman" w:cs="Times New Roman"/>
          <w:sz w:val="22"/>
          <w:szCs w:val="22"/>
        </w:rPr>
        <w:t>fuelling</w:t>
      </w:r>
      <w:r w:rsidRPr="006E5ECF">
        <w:rPr>
          <w:rFonts w:ascii="Times New Roman" w:hAnsi="Times New Roman" w:cs="Times New Roman"/>
          <w:sz w:val="22"/>
          <w:szCs w:val="22"/>
        </w:rPr>
        <w:t xml:space="preserve"> Economic Growth (GDP), Urbani</w:t>
      </w:r>
      <w:r w:rsidR="00F3222D" w:rsidRPr="006E5ECF">
        <w:rPr>
          <w:rFonts w:ascii="Times New Roman" w:hAnsi="Times New Roman" w:cs="Times New Roman"/>
          <w:sz w:val="22"/>
          <w:szCs w:val="22"/>
        </w:rPr>
        <w:t>s</w:t>
      </w:r>
      <w:r w:rsidRPr="006E5ECF">
        <w:rPr>
          <w:rFonts w:ascii="Times New Roman" w:hAnsi="Times New Roman" w:cs="Times New Roman"/>
          <w:sz w:val="22"/>
          <w:szCs w:val="22"/>
        </w:rPr>
        <w:t>ation, and Concentrated Industriali</w:t>
      </w:r>
      <w:r w:rsidR="00F3222D" w:rsidRPr="006E5ECF">
        <w:rPr>
          <w:rFonts w:ascii="Times New Roman" w:hAnsi="Times New Roman" w:cs="Times New Roman"/>
          <w:sz w:val="22"/>
          <w:szCs w:val="22"/>
        </w:rPr>
        <w:t>s</w:t>
      </w:r>
      <w:r w:rsidRPr="006E5ECF">
        <w:rPr>
          <w:rFonts w:ascii="Times New Roman" w:hAnsi="Times New Roman" w:cs="Times New Roman"/>
          <w:sz w:val="22"/>
          <w:szCs w:val="22"/>
        </w:rPr>
        <w:t>ation</w:t>
      </w:r>
      <w:r w:rsidR="0010740F" w:rsidRPr="006E5ECF">
        <w:rPr>
          <w:rStyle w:val="FootnoteReference"/>
          <w:rFonts w:ascii="Times New Roman" w:hAnsi="Times New Roman" w:cs="Times New Roman"/>
          <w:sz w:val="22"/>
          <w:szCs w:val="22"/>
        </w:rPr>
        <w:footnoteReference w:id="1"/>
      </w:r>
      <w:r w:rsidRPr="006E5ECF">
        <w:rPr>
          <w:rFonts w:ascii="Times New Roman" w:hAnsi="Times New Roman" w:cs="Times New Roman"/>
          <w:sz w:val="22"/>
          <w:szCs w:val="22"/>
        </w:rPr>
        <w:t xml:space="preserve">. </w:t>
      </w:r>
    </w:p>
    <w:p w14:paraId="624CEAFC" w14:textId="115A0234" w:rsidR="0010740F" w:rsidRPr="006E5ECF" w:rsidRDefault="0010740F" w:rsidP="007C0A45">
      <w:pPr>
        <w:tabs>
          <w:tab w:val="left" w:pos="2024"/>
        </w:tabs>
        <w:jc w:val="both"/>
        <w:rPr>
          <w:rFonts w:ascii="Times New Roman" w:hAnsi="Times New Roman" w:cs="Times New Roman"/>
          <w:b/>
          <w:bCs/>
          <w:sz w:val="22"/>
          <w:szCs w:val="22"/>
        </w:rPr>
      </w:pPr>
      <w:r w:rsidRPr="006E5ECF">
        <w:rPr>
          <w:rFonts w:ascii="Times New Roman" w:hAnsi="Times New Roman" w:cs="Times New Roman"/>
          <w:b/>
          <w:bCs/>
          <w:sz w:val="22"/>
          <w:szCs w:val="22"/>
        </w:rPr>
        <w:t xml:space="preserve">Figure 1: </w:t>
      </w:r>
      <w:r w:rsidR="00445E7E" w:rsidRPr="00445E7E">
        <w:rPr>
          <w:rFonts w:ascii="Times New Roman" w:hAnsi="Times New Roman" w:cs="Times New Roman"/>
          <w:b/>
          <w:bCs/>
          <w:sz w:val="22"/>
          <w:szCs w:val="22"/>
        </w:rPr>
        <w:t>Interrelationship of Foreign Direct Investment, Urbanisation, and Renewable Energy</w:t>
      </w:r>
    </w:p>
    <w:p w14:paraId="3BDFAC93" w14:textId="77777777" w:rsidR="0010740F" w:rsidRPr="006E5ECF" w:rsidRDefault="0010740F" w:rsidP="007C0A45">
      <w:pPr>
        <w:jc w:val="both"/>
        <w:rPr>
          <w:rFonts w:ascii="Times New Roman" w:hAnsi="Times New Roman" w:cs="Times New Roman"/>
          <w:b/>
          <w:bCs/>
          <w:sz w:val="22"/>
          <w:szCs w:val="22"/>
        </w:rPr>
      </w:pPr>
      <w:r w:rsidRPr="006E5ECF">
        <w:rPr>
          <w:rFonts w:ascii="Times New Roman" w:hAnsi="Times New Roman" w:cs="Times New Roman"/>
          <w:b/>
          <w:bCs/>
          <w:noProof/>
          <w:sz w:val="22"/>
          <w:szCs w:val="22"/>
        </w:rPr>
        <w:lastRenderedPageBreak/>
        <w:drawing>
          <wp:inline distT="0" distB="0" distL="0" distR="0" wp14:anchorId="1B5A955D" wp14:editId="7D20D438">
            <wp:extent cx="5731510" cy="3319976"/>
            <wp:effectExtent l="38100" t="38100" r="34290" b="33020"/>
            <wp:docPr id="82557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57620" name="Picture 82557620"/>
                    <pic:cNvPicPr/>
                  </pic:nvPicPr>
                  <pic:blipFill>
                    <a:blip r:embed="rId8" cstate="print">
                      <a:alphaModFix/>
                      <a:extLst>
                        <a:ext uri="{BEBA8EAE-BF5A-486C-A8C5-ECC9F3942E4B}">
                          <a14:imgProps xmlns:a14="http://schemas.microsoft.com/office/drawing/2010/main">
                            <a14:imgLayer r:embed="rId9">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797743" cy="3358341"/>
                    </a:xfrm>
                    <a:prstGeom prst="rect">
                      <a:avLst/>
                    </a:prstGeom>
                    <a:ln w="28575">
                      <a:solidFill>
                        <a:schemeClr val="tx1"/>
                      </a:solidFill>
                    </a:ln>
                  </pic:spPr>
                </pic:pic>
              </a:graphicData>
            </a:graphic>
          </wp:inline>
        </w:drawing>
      </w:r>
    </w:p>
    <w:p w14:paraId="198A591F" w14:textId="5114D995" w:rsidR="0010740F" w:rsidRPr="006E5ECF" w:rsidRDefault="0010740F" w:rsidP="001E515E">
      <w:pPr>
        <w:spacing w:line="480" w:lineRule="auto"/>
        <w:jc w:val="both"/>
        <w:rPr>
          <w:rFonts w:ascii="Times New Roman" w:hAnsi="Times New Roman" w:cs="Times New Roman"/>
          <w:sz w:val="22"/>
          <w:szCs w:val="22"/>
        </w:rPr>
      </w:pPr>
      <w:r w:rsidRPr="00ED2FD6">
        <w:rPr>
          <w:rFonts w:ascii="Times New Roman" w:hAnsi="Times New Roman" w:cs="Times New Roman"/>
          <w:sz w:val="20"/>
          <w:szCs w:val="20"/>
        </w:rPr>
        <w:t>Source: Authors’ Compilation</w:t>
      </w:r>
    </w:p>
    <w:p w14:paraId="7F974D88" w14:textId="0AF05FF5" w:rsidR="003E1136" w:rsidRPr="006E5ECF" w:rsidRDefault="003E1136"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The FDI driver is also shown to </w:t>
      </w:r>
      <w:r w:rsidR="00DF5C42" w:rsidRPr="006E5ECF">
        <w:rPr>
          <w:rFonts w:ascii="Times New Roman" w:hAnsi="Times New Roman" w:cs="Times New Roman"/>
          <w:sz w:val="22"/>
          <w:szCs w:val="22"/>
        </w:rPr>
        <w:t>“</w:t>
      </w:r>
      <w:r w:rsidRPr="006E5ECF">
        <w:rPr>
          <w:rFonts w:ascii="Times New Roman" w:hAnsi="Times New Roman" w:cs="Times New Roman"/>
          <w:sz w:val="22"/>
          <w:szCs w:val="22"/>
        </w:rPr>
        <w:t>Provide Capital,</w:t>
      </w:r>
      <w:r w:rsidR="00DF5C42" w:rsidRPr="006E5ECF">
        <w:rPr>
          <w:rFonts w:ascii="Times New Roman" w:hAnsi="Times New Roman" w:cs="Times New Roman"/>
          <w:sz w:val="22"/>
          <w:szCs w:val="22"/>
        </w:rPr>
        <w:t>”</w:t>
      </w:r>
      <w:r w:rsidRPr="006E5ECF">
        <w:rPr>
          <w:rFonts w:ascii="Times New Roman" w:hAnsi="Times New Roman" w:cs="Times New Roman"/>
          <w:sz w:val="22"/>
          <w:szCs w:val="22"/>
        </w:rPr>
        <w:t xml:space="preserve"> which flows as a direct input to Economic Growth (GDP)</w:t>
      </w:r>
      <w:r w:rsidR="00697A0D" w:rsidRPr="006E5ECF">
        <w:rPr>
          <w:rStyle w:val="FootnoteReference"/>
          <w:rFonts w:ascii="Times New Roman" w:hAnsi="Times New Roman" w:cs="Times New Roman"/>
          <w:sz w:val="22"/>
          <w:szCs w:val="22"/>
        </w:rPr>
        <w:footnoteReference w:id="2"/>
      </w:r>
      <w:r w:rsidRPr="006E5ECF">
        <w:rPr>
          <w:rFonts w:ascii="Times New Roman" w:hAnsi="Times New Roman" w:cs="Times New Roman"/>
          <w:sz w:val="22"/>
          <w:szCs w:val="22"/>
        </w:rPr>
        <w:t>. These drivers are interconnected: Urbani</w:t>
      </w:r>
      <w:r w:rsidR="00DF5C42" w:rsidRPr="006E5ECF">
        <w:rPr>
          <w:rFonts w:ascii="Times New Roman" w:hAnsi="Times New Roman" w:cs="Times New Roman"/>
          <w:sz w:val="22"/>
          <w:szCs w:val="22"/>
        </w:rPr>
        <w:t>s</w:t>
      </w:r>
      <w:r w:rsidRPr="006E5ECF">
        <w:rPr>
          <w:rFonts w:ascii="Times New Roman" w:hAnsi="Times New Roman" w:cs="Times New Roman"/>
          <w:sz w:val="22"/>
          <w:szCs w:val="22"/>
        </w:rPr>
        <w:t>ation, also stemming from FDI, further contributes to GDP and industriali</w:t>
      </w:r>
      <w:r w:rsidR="00DF5C42" w:rsidRPr="006E5ECF">
        <w:rPr>
          <w:rFonts w:ascii="Times New Roman" w:hAnsi="Times New Roman" w:cs="Times New Roman"/>
          <w:sz w:val="22"/>
          <w:szCs w:val="22"/>
        </w:rPr>
        <w:t>s</w:t>
      </w:r>
      <w:r w:rsidRPr="006E5ECF">
        <w:rPr>
          <w:rFonts w:ascii="Times New Roman" w:hAnsi="Times New Roman" w:cs="Times New Roman"/>
          <w:sz w:val="22"/>
          <w:szCs w:val="22"/>
        </w:rPr>
        <w:t>ation while simultaneously increasing Energy Demand. Similarly, Concentrated Industriali</w:t>
      </w:r>
      <w:r w:rsidR="00DF5C42" w:rsidRPr="006E5ECF">
        <w:rPr>
          <w:rFonts w:ascii="Times New Roman" w:hAnsi="Times New Roman" w:cs="Times New Roman"/>
          <w:sz w:val="22"/>
          <w:szCs w:val="22"/>
        </w:rPr>
        <w:t>s</w:t>
      </w:r>
      <w:r w:rsidRPr="006E5ECF">
        <w:rPr>
          <w:rFonts w:ascii="Times New Roman" w:hAnsi="Times New Roman" w:cs="Times New Roman"/>
          <w:sz w:val="22"/>
          <w:szCs w:val="22"/>
        </w:rPr>
        <w:t>ation boosts GDP and places additional demands on energy.</w:t>
      </w:r>
    </w:p>
    <w:p w14:paraId="6A865AFB" w14:textId="35D6FB46" w:rsidR="003E1136" w:rsidRPr="006E5ECF" w:rsidRDefault="003E1136"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These drivers converge on the core model, where Economic Growth (GDP) is the central hub. </w:t>
      </w:r>
      <w:r w:rsidR="00DF5C42" w:rsidRPr="006E5ECF">
        <w:rPr>
          <w:rFonts w:ascii="Times New Roman" w:hAnsi="Times New Roman" w:cs="Times New Roman"/>
          <w:sz w:val="22"/>
          <w:szCs w:val="22"/>
        </w:rPr>
        <w:t>Fuelled</w:t>
      </w:r>
      <w:r w:rsidRPr="006E5ECF">
        <w:rPr>
          <w:rFonts w:ascii="Times New Roman" w:hAnsi="Times New Roman" w:cs="Times New Roman"/>
          <w:sz w:val="22"/>
          <w:szCs w:val="22"/>
        </w:rPr>
        <w:t xml:space="preserve"> by the primary drivers, GDP itself has two key effects. First, it drives the need for energy, adding to the total Energy Demand. Second, and most critically, it influences the response to that demand through two distinct pathways.</w:t>
      </w:r>
    </w:p>
    <w:p w14:paraId="3F5D43B3" w14:textId="1168D843" w:rsidR="003E1136" w:rsidRPr="006E5ECF" w:rsidRDefault="003E1136" w:rsidP="001E515E">
      <w:pPr>
        <w:pStyle w:val="ListParagraph"/>
        <w:numPr>
          <w:ilvl w:val="0"/>
          <w:numId w:val="11"/>
        </w:num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The Policy Pathway: GDP influences policy via the </w:t>
      </w:r>
      <w:r w:rsidR="00FD5B39" w:rsidRPr="006E5ECF">
        <w:rPr>
          <w:rFonts w:ascii="Times New Roman" w:hAnsi="Times New Roman" w:cs="Times New Roman"/>
          <w:sz w:val="22"/>
          <w:szCs w:val="22"/>
        </w:rPr>
        <w:t>“</w:t>
      </w:r>
      <w:r w:rsidRPr="006E5ECF">
        <w:rPr>
          <w:rFonts w:ascii="Times New Roman" w:hAnsi="Times New Roman" w:cs="Times New Roman"/>
          <w:sz w:val="22"/>
          <w:szCs w:val="22"/>
        </w:rPr>
        <w:t>Influences Policy (EKC)</w:t>
      </w:r>
      <w:r w:rsidR="00FD5B39" w:rsidRPr="006E5ECF">
        <w:rPr>
          <w:rFonts w:ascii="Times New Roman" w:hAnsi="Times New Roman" w:cs="Times New Roman"/>
          <w:sz w:val="22"/>
          <w:szCs w:val="22"/>
        </w:rPr>
        <w:t>”</w:t>
      </w:r>
      <w:r w:rsidR="00FD5B39" w:rsidRPr="006E5ECF">
        <w:rPr>
          <w:rStyle w:val="FootnoteReference"/>
          <w:rFonts w:ascii="Times New Roman" w:hAnsi="Times New Roman" w:cs="Times New Roman"/>
          <w:sz w:val="22"/>
          <w:szCs w:val="22"/>
        </w:rPr>
        <w:footnoteReference w:id="3"/>
      </w:r>
      <w:r w:rsidRPr="006E5ECF">
        <w:rPr>
          <w:rFonts w:ascii="Times New Roman" w:hAnsi="Times New Roman" w:cs="Times New Roman"/>
          <w:sz w:val="22"/>
          <w:szCs w:val="22"/>
        </w:rPr>
        <w:t xml:space="preserve"> mechanism and by creating </w:t>
      </w:r>
      <w:r w:rsidR="00187C70" w:rsidRPr="006E5ECF">
        <w:rPr>
          <w:rFonts w:ascii="Times New Roman" w:hAnsi="Times New Roman" w:cs="Times New Roman"/>
          <w:sz w:val="22"/>
          <w:szCs w:val="22"/>
        </w:rPr>
        <w:t>“</w:t>
      </w:r>
      <w:r w:rsidRPr="006E5ECF">
        <w:rPr>
          <w:rFonts w:ascii="Times New Roman" w:hAnsi="Times New Roman" w:cs="Times New Roman"/>
          <w:sz w:val="22"/>
          <w:szCs w:val="22"/>
        </w:rPr>
        <w:t>Influences Policy (Political Will)</w:t>
      </w:r>
      <w:r w:rsidR="00187C70" w:rsidRPr="006E5ECF">
        <w:rPr>
          <w:rFonts w:ascii="Times New Roman" w:hAnsi="Times New Roman" w:cs="Times New Roman"/>
          <w:sz w:val="22"/>
          <w:szCs w:val="22"/>
        </w:rPr>
        <w:t>”</w:t>
      </w:r>
      <w:r w:rsidRPr="006E5ECF">
        <w:rPr>
          <w:rFonts w:ascii="Times New Roman" w:hAnsi="Times New Roman" w:cs="Times New Roman"/>
          <w:sz w:val="22"/>
          <w:szCs w:val="22"/>
        </w:rPr>
        <w:t xml:space="preserve">. These factors shape the societal </w:t>
      </w:r>
      <w:r w:rsidR="00CE71B9" w:rsidRPr="006E5ECF">
        <w:rPr>
          <w:rFonts w:ascii="Times New Roman" w:hAnsi="Times New Roman" w:cs="Times New Roman"/>
          <w:sz w:val="22"/>
          <w:szCs w:val="22"/>
        </w:rPr>
        <w:t>“</w:t>
      </w:r>
      <w:r w:rsidRPr="006E5ECF">
        <w:rPr>
          <w:rFonts w:ascii="Times New Roman" w:hAnsi="Times New Roman" w:cs="Times New Roman"/>
          <w:sz w:val="22"/>
          <w:szCs w:val="22"/>
        </w:rPr>
        <w:t>Choice: Meet Demand,</w:t>
      </w:r>
      <w:r w:rsidR="00CE71B9" w:rsidRPr="006E5ECF">
        <w:rPr>
          <w:rFonts w:ascii="Times New Roman" w:hAnsi="Times New Roman" w:cs="Times New Roman"/>
          <w:sz w:val="22"/>
          <w:szCs w:val="22"/>
        </w:rPr>
        <w:t>”</w:t>
      </w:r>
      <w:r w:rsidRPr="006E5ECF">
        <w:rPr>
          <w:rFonts w:ascii="Times New Roman" w:hAnsi="Times New Roman" w:cs="Times New Roman"/>
          <w:sz w:val="22"/>
          <w:szCs w:val="22"/>
        </w:rPr>
        <w:t xml:space="preserve"> which in turn leads to the </w:t>
      </w:r>
      <w:r w:rsidR="00CE71B9" w:rsidRPr="006E5ECF">
        <w:rPr>
          <w:rFonts w:ascii="Times New Roman" w:hAnsi="Times New Roman" w:cs="Times New Roman"/>
          <w:sz w:val="22"/>
          <w:szCs w:val="22"/>
        </w:rPr>
        <w:t>“</w:t>
      </w:r>
      <w:r w:rsidRPr="006E5ECF">
        <w:rPr>
          <w:rFonts w:ascii="Times New Roman" w:hAnsi="Times New Roman" w:cs="Times New Roman"/>
          <w:sz w:val="22"/>
          <w:szCs w:val="22"/>
        </w:rPr>
        <w:t>Path Chosen to Grow RE.</w:t>
      </w:r>
      <w:r w:rsidR="00CE71B9" w:rsidRPr="006E5ECF">
        <w:rPr>
          <w:rFonts w:ascii="Times New Roman" w:hAnsi="Times New Roman" w:cs="Times New Roman"/>
          <w:sz w:val="22"/>
          <w:szCs w:val="22"/>
        </w:rPr>
        <w:t>”</w:t>
      </w:r>
    </w:p>
    <w:p w14:paraId="77FAEECF" w14:textId="4C8E9E2D" w:rsidR="003E1136" w:rsidRPr="006E5ECF" w:rsidRDefault="003E1136" w:rsidP="001E515E">
      <w:pPr>
        <w:pStyle w:val="ListParagraph"/>
        <w:numPr>
          <w:ilvl w:val="0"/>
          <w:numId w:val="11"/>
        </w:num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lastRenderedPageBreak/>
        <w:t xml:space="preserve">The Technology Pathway: GDP also directly </w:t>
      </w:r>
      <w:r w:rsidR="00C15AB3" w:rsidRPr="006E5ECF">
        <w:rPr>
          <w:rFonts w:ascii="Times New Roman" w:hAnsi="Times New Roman" w:cs="Times New Roman"/>
          <w:sz w:val="22"/>
          <w:szCs w:val="22"/>
        </w:rPr>
        <w:t>“</w:t>
      </w:r>
      <w:r w:rsidRPr="006E5ECF">
        <w:rPr>
          <w:rFonts w:ascii="Times New Roman" w:hAnsi="Times New Roman" w:cs="Times New Roman"/>
          <w:sz w:val="22"/>
          <w:szCs w:val="22"/>
        </w:rPr>
        <w:t>Influences Tech (HALO/HAVEN)</w:t>
      </w:r>
      <w:r w:rsidR="00C15AB3" w:rsidRPr="006E5ECF">
        <w:rPr>
          <w:rFonts w:ascii="Times New Roman" w:hAnsi="Times New Roman" w:cs="Times New Roman"/>
          <w:sz w:val="22"/>
          <w:szCs w:val="22"/>
        </w:rPr>
        <w:t>”</w:t>
      </w:r>
      <w:r w:rsidR="00C15AB3" w:rsidRPr="006E5ECF">
        <w:rPr>
          <w:rStyle w:val="FootnoteReference"/>
          <w:rFonts w:ascii="Times New Roman" w:hAnsi="Times New Roman" w:cs="Times New Roman"/>
          <w:sz w:val="22"/>
          <w:szCs w:val="22"/>
        </w:rPr>
        <w:footnoteReference w:id="4"/>
      </w:r>
      <w:r w:rsidRPr="006E5ECF">
        <w:rPr>
          <w:rFonts w:ascii="Times New Roman" w:hAnsi="Times New Roman" w:cs="Times New Roman"/>
          <w:sz w:val="22"/>
          <w:szCs w:val="22"/>
        </w:rPr>
        <w:t>, which in turn provides the technological and spillover benefits that directly support the development of Renewable Energy (RE).</w:t>
      </w:r>
    </w:p>
    <w:p w14:paraId="26D27846" w14:textId="72157AD9" w:rsidR="00A6431C" w:rsidRPr="006E5ECF" w:rsidRDefault="003E1136"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Finally, the implementation of Renewable Energy</w:t>
      </w:r>
      <w:r w:rsidR="003001EB" w:rsidRPr="006E5ECF">
        <w:rPr>
          <w:rFonts w:ascii="Times New Roman" w:hAnsi="Times New Roman" w:cs="Times New Roman"/>
          <w:sz w:val="22"/>
          <w:szCs w:val="22"/>
        </w:rPr>
        <w:t xml:space="preserve">, </w:t>
      </w:r>
      <w:r w:rsidRPr="006E5ECF">
        <w:rPr>
          <w:rFonts w:ascii="Times New Roman" w:hAnsi="Times New Roman" w:cs="Times New Roman"/>
          <w:sz w:val="22"/>
          <w:szCs w:val="22"/>
        </w:rPr>
        <w:t>driven by both the policy choice and the technology-transfer (Halo) effect</w:t>
      </w:r>
      <w:r w:rsidR="003001EB" w:rsidRPr="006E5ECF">
        <w:rPr>
          <w:rFonts w:ascii="Times New Roman" w:hAnsi="Times New Roman" w:cs="Times New Roman"/>
          <w:sz w:val="22"/>
          <w:szCs w:val="22"/>
        </w:rPr>
        <w:t xml:space="preserve"> </w:t>
      </w:r>
      <w:r w:rsidRPr="006E5ECF">
        <w:rPr>
          <w:rFonts w:ascii="Times New Roman" w:hAnsi="Times New Roman" w:cs="Times New Roman"/>
          <w:sz w:val="22"/>
          <w:szCs w:val="22"/>
        </w:rPr>
        <w:t xml:space="preserve">triggers two significant reinforcing feedback loops. The first is an investment loop: the new RE sector </w:t>
      </w:r>
      <w:r w:rsidR="003001EB" w:rsidRPr="006E5ECF">
        <w:rPr>
          <w:rFonts w:ascii="Times New Roman" w:hAnsi="Times New Roman" w:cs="Times New Roman"/>
          <w:sz w:val="22"/>
          <w:szCs w:val="22"/>
        </w:rPr>
        <w:t>“</w:t>
      </w:r>
      <w:r w:rsidRPr="006E5ECF">
        <w:rPr>
          <w:rFonts w:ascii="Times New Roman" w:hAnsi="Times New Roman" w:cs="Times New Roman"/>
          <w:sz w:val="22"/>
          <w:szCs w:val="22"/>
        </w:rPr>
        <w:t xml:space="preserve">Attracts </w:t>
      </w:r>
      <w:r w:rsidR="003001EB" w:rsidRPr="006E5ECF">
        <w:rPr>
          <w:rFonts w:ascii="Times New Roman" w:hAnsi="Times New Roman" w:cs="Times New Roman"/>
          <w:sz w:val="22"/>
          <w:szCs w:val="22"/>
        </w:rPr>
        <w:t>‘</w:t>
      </w:r>
      <w:r w:rsidRPr="006E5ECF">
        <w:rPr>
          <w:rFonts w:ascii="Times New Roman" w:hAnsi="Times New Roman" w:cs="Times New Roman"/>
          <w:sz w:val="22"/>
          <w:szCs w:val="22"/>
        </w:rPr>
        <w:t>Green</w:t>
      </w:r>
      <w:r w:rsidR="003001EB" w:rsidRPr="006E5ECF">
        <w:rPr>
          <w:rFonts w:ascii="Times New Roman" w:hAnsi="Times New Roman" w:cs="Times New Roman"/>
          <w:sz w:val="22"/>
          <w:szCs w:val="22"/>
        </w:rPr>
        <w:t>’</w:t>
      </w:r>
      <w:r w:rsidRPr="006E5ECF">
        <w:rPr>
          <w:rFonts w:ascii="Times New Roman" w:hAnsi="Times New Roman" w:cs="Times New Roman"/>
          <w:sz w:val="22"/>
          <w:szCs w:val="22"/>
        </w:rPr>
        <w:t xml:space="preserve"> FDI,</w:t>
      </w:r>
      <w:r w:rsidR="003001EB" w:rsidRPr="006E5ECF">
        <w:rPr>
          <w:rFonts w:ascii="Times New Roman" w:hAnsi="Times New Roman" w:cs="Times New Roman"/>
          <w:sz w:val="22"/>
          <w:szCs w:val="22"/>
        </w:rPr>
        <w:t>”</w:t>
      </w:r>
      <w:r w:rsidR="003001EB" w:rsidRPr="006E5ECF">
        <w:rPr>
          <w:rStyle w:val="FootnoteReference"/>
          <w:rFonts w:ascii="Times New Roman" w:hAnsi="Times New Roman" w:cs="Times New Roman"/>
          <w:sz w:val="22"/>
          <w:szCs w:val="22"/>
        </w:rPr>
        <w:footnoteReference w:id="5"/>
      </w:r>
      <w:r w:rsidRPr="006E5ECF">
        <w:rPr>
          <w:rFonts w:ascii="Times New Roman" w:hAnsi="Times New Roman" w:cs="Times New Roman"/>
          <w:sz w:val="22"/>
          <w:szCs w:val="22"/>
        </w:rPr>
        <w:t xml:space="preserve"> which flows back to the initial Foreign Direct Investment driver, strengthening the entire cycle. The second is an economic loop: the RE sector </w:t>
      </w:r>
      <w:r w:rsidR="00AA32A9" w:rsidRPr="006E5ECF">
        <w:rPr>
          <w:rFonts w:ascii="Times New Roman" w:hAnsi="Times New Roman" w:cs="Times New Roman"/>
          <w:sz w:val="22"/>
          <w:szCs w:val="22"/>
        </w:rPr>
        <w:t>“</w:t>
      </w:r>
      <w:r w:rsidRPr="006E5ECF">
        <w:rPr>
          <w:rFonts w:ascii="Times New Roman" w:hAnsi="Times New Roman" w:cs="Times New Roman"/>
          <w:sz w:val="22"/>
          <w:szCs w:val="22"/>
        </w:rPr>
        <w:t>Boosts GDP via Power Sector,</w:t>
      </w:r>
      <w:r w:rsidR="00AA32A9" w:rsidRPr="006E5ECF">
        <w:rPr>
          <w:rFonts w:ascii="Times New Roman" w:hAnsi="Times New Roman" w:cs="Times New Roman"/>
          <w:sz w:val="22"/>
          <w:szCs w:val="22"/>
        </w:rPr>
        <w:t>”</w:t>
      </w:r>
      <w:r w:rsidR="00AA32A9" w:rsidRPr="006E5ECF">
        <w:rPr>
          <w:rStyle w:val="FootnoteReference"/>
          <w:rFonts w:ascii="Times New Roman" w:hAnsi="Times New Roman" w:cs="Times New Roman"/>
          <w:sz w:val="22"/>
          <w:szCs w:val="22"/>
        </w:rPr>
        <w:footnoteReference w:id="6"/>
      </w:r>
      <w:r w:rsidRPr="006E5ECF">
        <w:rPr>
          <w:rFonts w:ascii="Times New Roman" w:hAnsi="Times New Roman" w:cs="Times New Roman"/>
          <w:sz w:val="22"/>
          <w:szCs w:val="22"/>
        </w:rPr>
        <w:t xml:space="preserve"> directly feeding back into the Economic Growth (GDP) node. This dynamic demonstrates how a country</w:t>
      </w:r>
      <w:r w:rsidR="00F16C19" w:rsidRPr="006E5ECF">
        <w:rPr>
          <w:rFonts w:ascii="Times New Roman" w:hAnsi="Times New Roman" w:cs="Times New Roman"/>
          <w:sz w:val="22"/>
          <w:szCs w:val="22"/>
        </w:rPr>
        <w:t>’</w:t>
      </w:r>
      <w:r w:rsidRPr="006E5ECF">
        <w:rPr>
          <w:rFonts w:ascii="Times New Roman" w:hAnsi="Times New Roman" w:cs="Times New Roman"/>
          <w:sz w:val="22"/>
          <w:szCs w:val="22"/>
        </w:rPr>
        <w:t>s growth can create both the political will and the technological conditions (via the Halo effect) to adopt renewable energy, which in turn becomes a new engine for growth.</w:t>
      </w:r>
    </w:p>
    <w:p w14:paraId="37776209" w14:textId="1A1F52AF" w:rsidR="00197303" w:rsidRPr="006E5ECF" w:rsidRDefault="00197303" w:rsidP="001E515E">
      <w:pPr>
        <w:tabs>
          <w:tab w:val="left" w:pos="2024"/>
        </w:tabs>
        <w:spacing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2.1 The “Halo” vs. “Haven” Hypotheses</w:t>
      </w:r>
    </w:p>
    <w:p w14:paraId="79F8C9BC" w14:textId="0F7B267B" w:rsidR="00197303" w:rsidRPr="006E5ECF" w:rsidRDefault="00197303"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This term refers to a central debate in environmental economics about the effect of Foreign Direct Investment (FDI) on a host country</w:t>
      </w:r>
      <w:r w:rsidR="000B19EF" w:rsidRPr="006E5ECF">
        <w:rPr>
          <w:rFonts w:ascii="Times New Roman" w:hAnsi="Times New Roman" w:cs="Times New Roman"/>
          <w:sz w:val="22"/>
          <w:szCs w:val="22"/>
        </w:rPr>
        <w:t>’</w:t>
      </w:r>
      <w:r w:rsidRPr="006E5ECF">
        <w:rPr>
          <w:rFonts w:ascii="Times New Roman" w:hAnsi="Times New Roman" w:cs="Times New Roman"/>
          <w:sz w:val="22"/>
          <w:szCs w:val="22"/>
        </w:rPr>
        <w:t>s environment and technology.</w:t>
      </w:r>
    </w:p>
    <w:p w14:paraId="586022AA" w14:textId="749B9E0D" w:rsidR="00197303" w:rsidRPr="006E5ECF" w:rsidRDefault="00197303" w:rsidP="001E515E">
      <w:pPr>
        <w:pStyle w:val="ListParagraph"/>
        <w:numPr>
          <w:ilvl w:val="0"/>
          <w:numId w:val="12"/>
        </w:num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i/>
          <w:iCs/>
          <w:sz w:val="22"/>
          <w:szCs w:val="22"/>
        </w:rPr>
        <w:t>Pollution Haven Hypothesis (</w:t>
      </w:r>
      <w:r w:rsidR="000B19EF" w:rsidRPr="006E5ECF">
        <w:rPr>
          <w:rFonts w:ascii="Times New Roman" w:hAnsi="Times New Roman" w:cs="Times New Roman"/>
          <w:i/>
          <w:iCs/>
          <w:sz w:val="22"/>
          <w:szCs w:val="22"/>
        </w:rPr>
        <w:t>“</w:t>
      </w:r>
      <w:r w:rsidRPr="006E5ECF">
        <w:rPr>
          <w:rFonts w:ascii="Times New Roman" w:hAnsi="Times New Roman" w:cs="Times New Roman"/>
          <w:i/>
          <w:iCs/>
          <w:sz w:val="22"/>
          <w:szCs w:val="22"/>
        </w:rPr>
        <w:t>Haven</w:t>
      </w:r>
      <w:r w:rsidR="000B19EF" w:rsidRPr="006E5ECF">
        <w:rPr>
          <w:rFonts w:ascii="Times New Roman" w:hAnsi="Times New Roman" w:cs="Times New Roman"/>
          <w:i/>
          <w:iCs/>
          <w:sz w:val="22"/>
          <w:szCs w:val="22"/>
        </w:rPr>
        <w:t>”</w:t>
      </w:r>
      <w:r w:rsidRPr="006E5ECF">
        <w:rPr>
          <w:rFonts w:ascii="Times New Roman" w:hAnsi="Times New Roman" w:cs="Times New Roman"/>
          <w:i/>
          <w:iCs/>
          <w:sz w:val="22"/>
          <w:szCs w:val="22"/>
        </w:rPr>
        <w:t>):</w:t>
      </w:r>
      <w:r w:rsidRPr="006E5ECF">
        <w:rPr>
          <w:rFonts w:ascii="Times New Roman" w:hAnsi="Times New Roman" w:cs="Times New Roman"/>
          <w:sz w:val="22"/>
          <w:szCs w:val="22"/>
        </w:rPr>
        <w:t xml:space="preserve"> This theory suggests that developing countries with weak environmental regulations will attract </w:t>
      </w:r>
      <w:r w:rsidR="000B19EF" w:rsidRPr="006E5ECF">
        <w:rPr>
          <w:rFonts w:ascii="Times New Roman" w:hAnsi="Times New Roman" w:cs="Times New Roman"/>
          <w:sz w:val="22"/>
          <w:szCs w:val="22"/>
        </w:rPr>
        <w:t>“</w:t>
      </w:r>
      <w:r w:rsidRPr="006E5ECF">
        <w:rPr>
          <w:rFonts w:ascii="Times New Roman" w:hAnsi="Times New Roman" w:cs="Times New Roman"/>
          <w:sz w:val="22"/>
          <w:szCs w:val="22"/>
        </w:rPr>
        <w:t>dirty</w:t>
      </w:r>
      <w:r w:rsidR="000B19EF" w:rsidRPr="006E5ECF">
        <w:rPr>
          <w:rFonts w:ascii="Times New Roman" w:hAnsi="Times New Roman" w:cs="Times New Roman"/>
          <w:sz w:val="22"/>
          <w:szCs w:val="22"/>
        </w:rPr>
        <w:t>”</w:t>
      </w:r>
      <w:r w:rsidRPr="006E5ECF">
        <w:rPr>
          <w:rFonts w:ascii="Times New Roman" w:hAnsi="Times New Roman" w:cs="Times New Roman"/>
          <w:sz w:val="22"/>
          <w:szCs w:val="22"/>
        </w:rPr>
        <w:t xml:space="preserve"> industries from developed countries. In this view, FDI worsens the environment by making the country a </w:t>
      </w:r>
      <w:r w:rsidR="000E36EA" w:rsidRPr="006E5ECF">
        <w:rPr>
          <w:rFonts w:ascii="Times New Roman" w:hAnsi="Times New Roman" w:cs="Times New Roman"/>
          <w:sz w:val="22"/>
          <w:szCs w:val="22"/>
        </w:rPr>
        <w:t>“</w:t>
      </w:r>
      <w:r w:rsidRPr="006E5ECF">
        <w:rPr>
          <w:rFonts w:ascii="Times New Roman" w:hAnsi="Times New Roman" w:cs="Times New Roman"/>
          <w:sz w:val="22"/>
          <w:szCs w:val="22"/>
        </w:rPr>
        <w:t>haven</w:t>
      </w:r>
      <w:r w:rsidR="000E36EA" w:rsidRPr="006E5ECF">
        <w:rPr>
          <w:rFonts w:ascii="Times New Roman" w:hAnsi="Times New Roman" w:cs="Times New Roman"/>
          <w:sz w:val="22"/>
          <w:szCs w:val="22"/>
        </w:rPr>
        <w:t>”</w:t>
      </w:r>
      <w:r w:rsidRPr="006E5ECF">
        <w:rPr>
          <w:rFonts w:ascii="Times New Roman" w:hAnsi="Times New Roman" w:cs="Times New Roman"/>
          <w:sz w:val="22"/>
          <w:szCs w:val="22"/>
        </w:rPr>
        <w:t xml:space="preserve"> for polluters, bringing in outdated, polluting technology.</w:t>
      </w:r>
    </w:p>
    <w:p w14:paraId="4DACF557" w14:textId="1C558055" w:rsidR="00197303" w:rsidRPr="006E5ECF" w:rsidRDefault="00197303" w:rsidP="001E515E">
      <w:pPr>
        <w:pStyle w:val="ListParagraph"/>
        <w:numPr>
          <w:ilvl w:val="0"/>
          <w:numId w:val="12"/>
        </w:num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i/>
          <w:iCs/>
          <w:sz w:val="22"/>
          <w:szCs w:val="22"/>
        </w:rPr>
        <w:t>Pollution Halo Hypothesis (</w:t>
      </w:r>
      <w:r w:rsidR="000E36EA" w:rsidRPr="006E5ECF">
        <w:rPr>
          <w:rFonts w:ascii="Times New Roman" w:hAnsi="Times New Roman" w:cs="Times New Roman"/>
          <w:i/>
          <w:iCs/>
          <w:sz w:val="22"/>
          <w:szCs w:val="22"/>
        </w:rPr>
        <w:t>“</w:t>
      </w:r>
      <w:r w:rsidRPr="006E5ECF">
        <w:rPr>
          <w:rFonts w:ascii="Times New Roman" w:hAnsi="Times New Roman" w:cs="Times New Roman"/>
          <w:i/>
          <w:iCs/>
          <w:sz w:val="22"/>
          <w:szCs w:val="22"/>
        </w:rPr>
        <w:t>Halo</w:t>
      </w:r>
      <w:r w:rsidR="000E36EA" w:rsidRPr="006E5ECF">
        <w:rPr>
          <w:rFonts w:ascii="Times New Roman" w:hAnsi="Times New Roman" w:cs="Times New Roman"/>
          <w:i/>
          <w:iCs/>
          <w:sz w:val="22"/>
          <w:szCs w:val="22"/>
        </w:rPr>
        <w:t>”</w:t>
      </w:r>
      <w:r w:rsidRPr="006E5ECF">
        <w:rPr>
          <w:rFonts w:ascii="Times New Roman" w:hAnsi="Times New Roman" w:cs="Times New Roman"/>
          <w:i/>
          <w:iCs/>
          <w:sz w:val="22"/>
          <w:szCs w:val="22"/>
        </w:rPr>
        <w:t>):</w:t>
      </w:r>
      <w:r w:rsidRPr="006E5ECF">
        <w:rPr>
          <w:rFonts w:ascii="Times New Roman" w:hAnsi="Times New Roman" w:cs="Times New Roman"/>
          <w:sz w:val="22"/>
          <w:szCs w:val="22"/>
        </w:rPr>
        <w:t xml:space="preserve"> This is the opposite theory. It argues that multinational firms (the source of FDI) often bring in superior, cleaner, and more efficient technology and management practices than what is domestically available. This creates a positive </w:t>
      </w:r>
      <w:r w:rsidR="000E36EA" w:rsidRPr="006E5ECF">
        <w:rPr>
          <w:rFonts w:ascii="Times New Roman" w:hAnsi="Times New Roman" w:cs="Times New Roman"/>
          <w:sz w:val="22"/>
          <w:szCs w:val="22"/>
        </w:rPr>
        <w:t>“</w:t>
      </w:r>
      <w:r w:rsidRPr="006E5ECF">
        <w:rPr>
          <w:rFonts w:ascii="Times New Roman" w:hAnsi="Times New Roman" w:cs="Times New Roman"/>
          <w:sz w:val="22"/>
          <w:szCs w:val="22"/>
        </w:rPr>
        <w:t>halo</w:t>
      </w:r>
      <w:r w:rsidR="000E36EA" w:rsidRPr="006E5ECF">
        <w:rPr>
          <w:rFonts w:ascii="Times New Roman" w:hAnsi="Times New Roman" w:cs="Times New Roman"/>
          <w:sz w:val="22"/>
          <w:szCs w:val="22"/>
        </w:rPr>
        <w:t>”</w:t>
      </w:r>
      <w:r w:rsidRPr="006E5ECF">
        <w:rPr>
          <w:rFonts w:ascii="Times New Roman" w:hAnsi="Times New Roman" w:cs="Times New Roman"/>
          <w:sz w:val="22"/>
          <w:szCs w:val="22"/>
        </w:rPr>
        <w:t xml:space="preserve"> effect, </w:t>
      </w:r>
      <w:r w:rsidRPr="006E5ECF">
        <w:rPr>
          <w:rFonts w:ascii="Times New Roman" w:hAnsi="Times New Roman" w:cs="Times New Roman"/>
          <w:sz w:val="22"/>
          <w:szCs w:val="22"/>
        </w:rPr>
        <w:lastRenderedPageBreak/>
        <w:t>transferring cleaner technology and higher environmental standards to the host country, which can then spill over to local firms.</w:t>
      </w:r>
    </w:p>
    <w:p w14:paraId="1C381C3B" w14:textId="6853311A" w:rsidR="00B720F5" w:rsidRPr="006E5ECF" w:rsidRDefault="00197303"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In </w:t>
      </w:r>
      <w:r w:rsidR="000E36EA" w:rsidRPr="006E5ECF">
        <w:rPr>
          <w:rFonts w:ascii="Times New Roman" w:hAnsi="Times New Roman" w:cs="Times New Roman"/>
          <w:sz w:val="22"/>
          <w:szCs w:val="22"/>
        </w:rPr>
        <w:t>the</w:t>
      </w:r>
      <w:r w:rsidRPr="006E5ECF">
        <w:rPr>
          <w:rFonts w:ascii="Times New Roman" w:hAnsi="Times New Roman" w:cs="Times New Roman"/>
          <w:sz w:val="22"/>
          <w:szCs w:val="22"/>
        </w:rPr>
        <w:t xml:space="preserve"> conceptual framework, the arrow goes from Economic Growth (GDP) to Influences Tech (HALO/HAVEN), and then from that box directly to Renewable Energy (RE).</w:t>
      </w:r>
      <w:r w:rsidR="00E352AA" w:rsidRPr="006E5ECF">
        <w:rPr>
          <w:rFonts w:ascii="Times New Roman" w:hAnsi="Times New Roman" w:cs="Times New Roman"/>
          <w:sz w:val="22"/>
          <w:szCs w:val="22"/>
        </w:rPr>
        <w:t xml:space="preserve"> </w:t>
      </w:r>
      <w:r w:rsidRPr="006E5ECF">
        <w:rPr>
          <w:rFonts w:ascii="Times New Roman" w:hAnsi="Times New Roman" w:cs="Times New Roman"/>
          <w:sz w:val="22"/>
          <w:szCs w:val="22"/>
        </w:rPr>
        <w:t>This specific path implies that your model is testing or asserting the Pollution Halo Hypothesis.</w:t>
      </w:r>
      <w:r w:rsidR="00E352AA" w:rsidRPr="006E5ECF">
        <w:rPr>
          <w:rFonts w:ascii="Times New Roman" w:hAnsi="Times New Roman" w:cs="Times New Roman"/>
          <w:sz w:val="22"/>
          <w:szCs w:val="22"/>
        </w:rPr>
        <w:t xml:space="preserve"> </w:t>
      </w:r>
      <w:r w:rsidRPr="006E5ECF">
        <w:rPr>
          <w:rFonts w:ascii="Times New Roman" w:hAnsi="Times New Roman" w:cs="Times New Roman"/>
          <w:sz w:val="22"/>
          <w:szCs w:val="22"/>
        </w:rPr>
        <w:t>The logic is as follows: As the country</w:t>
      </w:r>
      <w:r w:rsidR="00D162B8" w:rsidRPr="006E5ECF">
        <w:rPr>
          <w:rFonts w:ascii="Times New Roman" w:hAnsi="Times New Roman" w:cs="Times New Roman"/>
          <w:sz w:val="22"/>
          <w:szCs w:val="22"/>
        </w:rPr>
        <w:t>’</w:t>
      </w:r>
      <w:r w:rsidRPr="006E5ECF">
        <w:rPr>
          <w:rFonts w:ascii="Times New Roman" w:hAnsi="Times New Roman" w:cs="Times New Roman"/>
          <w:sz w:val="22"/>
          <w:szCs w:val="22"/>
        </w:rPr>
        <w:t xml:space="preserve">s GDP grows, it influences the technological landscape (the </w:t>
      </w:r>
      <w:r w:rsidR="00E352AA" w:rsidRPr="006E5ECF">
        <w:rPr>
          <w:rFonts w:ascii="Times New Roman" w:hAnsi="Times New Roman" w:cs="Times New Roman"/>
          <w:sz w:val="22"/>
          <w:szCs w:val="22"/>
        </w:rPr>
        <w:t>“</w:t>
      </w:r>
      <w:r w:rsidRPr="006E5ECF">
        <w:rPr>
          <w:rFonts w:ascii="Times New Roman" w:hAnsi="Times New Roman" w:cs="Times New Roman"/>
          <w:sz w:val="22"/>
          <w:szCs w:val="22"/>
        </w:rPr>
        <w:t>Halo/Haven</w:t>
      </w:r>
      <w:r w:rsidR="00E352AA" w:rsidRPr="006E5ECF">
        <w:rPr>
          <w:rFonts w:ascii="Times New Roman" w:hAnsi="Times New Roman" w:cs="Times New Roman"/>
          <w:sz w:val="22"/>
          <w:szCs w:val="22"/>
        </w:rPr>
        <w:t>”</w:t>
      </w:r>
      <w:r w:rsidRPr="006E5ECF">
        <w:rPr>
          <w:rFonts w:ascii="Times New Roman" w:hAnsi="Times New Roman" w:cs="Times New Roman"/>
          <w:sz w:val="22"/>
          <w:szCs w:val="22"/>
        </w:rPr>
        <w:t xml:space="preserve"> dynamic). Because this node feeds into Renewable Energy, </w:t>
      </w:r>
      <w:r w:rsidR="00F7533F" w:rsidRPr="006E5ECF">
        <w:rPr>
          <w:rFonts w:ascii="Times New Roman" w:hAnsi="Times New Roman" w:cs="Times New Roman"/>
          <w:sz w:val="22"/>
          <w:szCs w:val="22"/>
        </w:rPr>
        <w:t>the</w:t>
      </w:r>
      <w:r w:rsidRPr="006E5ECF">
        <w:rPr>
          <w:rFonts w:ascii="Times New Roman" w:hAnsi="Times New Roman" w:cs="Times New Roman"/>
          <w:sz w:val="22"/>
          <w:szCs w:val="22"/>
        </w:rPr>
        <w:t xml:space="preserve"> model suggests that economic growth creates the conditions for a </w:t>
      </w:r>
      <w:r w:rsidR="00D162B8" w:rsidRPr="006E5ECF">
        <w:rPr>
          <w:rFonts w:ascii="Times New Roman" w:hAnsi="Times New Roman" w:cs="Times New Roman"/>
          <w:sz w:val="22"/>
          <w:szCs w:val="22"/>
        </w:rPr>
        <w:t>“</w:t>
      </w:r>
      <w:r w:rsidRPr="006E5ECF">
        <w:rPr>
          <w:rFonts w:ascii="Times New Roman" w:hAnsi="Times New Roman" w:cs="Times New Roman"/>
          <w:sz w:val="22"/>
          <w:szCs w:val="22"/>
        </w:rPr>
        <w:t>Halo</w:t>
      </w:r>
      <w:r w:rsidR="00D162B8" w:rsidRPr="006E5ECF">
        <w:rPr>
          <w:rFonts w:ascii="Times New Roman" w:hAnsi="Times New Roman" w:cs="Times New Roman"/>
          <w:sz w:val="22"/>
          <w:szCs w:val="22"/>
        </w:rPr>
        <w:t>”</w:t>
      </w:r>
      <w:r w:rsidRPr="006E5ECF">
        <w:rPr>
          <w:rFonts w:ascii="Times New Roman" w:hAnsi="Times New Roman" w:cs="Times New Roman"/>
          <w:sz w:val="22"/>
          <w:szCs w:val="22"/>
        </w:rPr>
        <w:t xml:space="preserve"> </w:t>
      </w:r>
      <w:r w:rsidR="00D162B8" w:rsidRPr="006E5ECF">
        <w:rPr>
          <w:rFonts w:ascii="Times New Roman" w:hAnsi="Times New Roman" w:cs="Times New Roman"/>
          <w:sz w:val="22"/>
          <w:szCs w:val="22"/>
        </w:rPr>
        <w:t xml:space="preserve">effect </w:t>
      </w:r>
      <w:r w:rsidRPr="006E5ECF">
        <w:rPr>
          <w:rFonts w:ascii="Times New Roman" w:hAnsi="Times New Roman" w:cs="Times New Roman"/>
          <w:sz w:val="22"/>
          <w:szCs w:val="22"/>
        </w:rPr>
        <w:t>attracting FDI that brings in the advanced, clean, and green technologies necessary to build a Renewable Energy sector. It</w:t>
      </w:r>
      <w:r w:rsidR="00D162B8" w:rsidRPr="006E5ECF">
        <w:rPr>
          <w:rFonts w:ascii="Times New Roman" w:hAnsi="Times New Roman" w:cs="Times New Roman"/>
          <w:sz w:val="22"/>
          <w:szCs w:val="22"/>
        </w:rPr>
        <w:t>’</w:t>
      </w:r>
      <w:r w:rsidRPr="006E5ECF">
        <w:rPr>
          <w:rFonts w:ascii="Times New Roman" w:hAnsi="Times New Roman" w:cs="Times New Roman"/>
          <w:sz w:val="22"/>
          <w:szCs w:val="22"/>
        </w:rPr>
        <w:t>s the mechanism for how the technology for RE is acquired and developed.</w:t>
      </w:r>
    </w:p>
    <w:p w14:paraId="1EFB77F7" w14:textId="23CB595D" w:rsidR="000A5D73" w:rsidRPr="006E5ECF" w:rsidRDefault="00A94FE0"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 xml:space="preserve">3. </w:t>
      </w:r>
      <w:r w:rsidR="000A5D73" w:rsidRPr="006E5ECF">
        <w:rPr>
          <w:rFonts w:ascii="Times New Roman" w:hAnsi="Times New Roman" w:cs="Times New Roman"/>
          <w:b/>
          <w:bCs/>
          <w:sz w:val="22"/>
          <w:szCs w:val="22"/>
        </w:rPr>
        <w:t>Literature Review</w:t>
      </w:r>
    </w:p>
    <w:p w14:paraId="30360FF4" w14:textId="756FD6A4"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In this section, an attempt has been made to précis all the previous studies associated with the subject matter. The literature has been scrutinised based on a period, sample, the methodology adopted for the study, and the findings. Further, the study tries to institute the trends among different variables based on the preceding literature.</w:t>
      </w:r>
    </w:p>
    <w:p w14:paraId="395D737F" w14:textId="0EAF41D6" w:rsidR="00FA684A" w:rsidRPr="006E5ECF" w:rsidRDefault="00A94FE0" w:rsidP="001E515E">
      <w:pPr>
        <w:spacing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3</w:t>
      </w:r>
      <w:r w:rsidR="00FA684A" w:rsidRPr="006E5ECF">
        <w:rPr>
          <w:rFonts w:ascii="Times New Roman" w:hAnsi="Times New Roman" w:cs="Times New Roman"/>
          <w:b/>
          <w:bCs/>
          <w:i/>
          <w:iCs/>
          <w:sz w:val="22"/>
          <w:szCs w:val="22"/>
        </w:rPr>
        <w:t>.1 The Economic Growth, Energy, and Environment Nexus</w:t>
      </w:r>
    </w:p>
    <w:p w14:paraId="0374719D" w14:textId="6C0D3CE5" w:rsidR="00FA684A" w:rsidRPr="006E5ECF" w:rsidRDefault="00FA684A"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The intricate relationship between economic growth, energy consumption, and environmental quality has been a central theme in academic and policy discourse for decades. A large body of literature, stemming from the Environmental Kuznets Curve (EKC) hypothesis, investigates whether economic growth inevitably leads to environmental degradation or if, after a certain threshold, prosperity fosters environmental protection (Nathaniel &amp; </w:t>
      </w:r>
      <w:proofErr w:type="spellStart"/>
      <w:r w:rsidRPr="006E5ECF">
        <w:rPr>
          <w:rFonts w:ascii="Times New Roman" w:hAnsi="Times New Roman" w:cs="Times New Roman"/>
          <w:sz w:val="22"/>
          <w:szCs w:val="22"/>
        </w:rPr>
        <w:t>Bekun</w:t>
      </w:r>
      <w:proofErr w:type="spellEnd"/>
      <w:r w:rsidRPr="006E5ECF">
        <w:rPr>
          <w:rFonts w:ascii="Times New Roman" w:hAnsi="Times New Roman" w:cs="Times New Roman"/>
          <w:sz w:val="22"/>
          <w:szCs w:val="22"/>
        </w:rPr>
        <w:t xml:space="preserve">, 2020). Concurrently, energy is widely recognized as the </w:t>
      </w:r>
      <w:r w:rsidR="0014481E" w:rsidRPr="006E5ECF">
        <w:rPr>
          <w:rFonts w:ascii="Times New Roman" w:hAnsi="Times New Roman" w:cs="Times New Roman"/>
          <w:sz w:val="22"/>
          <w:szCs w:val="22"/>
        </w:rPr>
        <w:t>“</w:t>
      </w:r>
      <w:r w:rsidRPr="006E5ECF">
        <w:rPr>
          <w:rFonts w:ascii="Times New Roman" w:hAnsi="Times New Roman" w:cs="Times New Roman"/>
          <w:sz w:val="22"/>
          <w:szCs w:val="22"/>
        </w:rPr>
        <w:t>engine of growth</w:t>
      </w:r>
      <w:r w:rsidR="0014481E" w:rsidRPr="006E5ECF">
        <w:rPr>
          <w:rFonts w:ascii="Times New Roman" w:hAnsi="Times New Roman" w:cs="Times New Roman"/>
          <w:sz w:val="22"/>
          <w:szCs w:val="22"/>
        </w:rPr>
        <w:t>”</w:t>
      </w:r>
      <w:r w:rsidRPr="006E5ECF">
        <w:rPr>
          <w:rFonts w:ascii="Times New Roman" w:hAnsi="Times New Roman" w:cs="Times New Roman"/>
          <w:sz w:val="22"/>
          <w:szCs w:val="22"/>
        </w:rPr>
        <w:t xml:space="preserve"> (Ali et al., 2020), creating a complex trilemma: fostering economic development (which requires energy) without compromising environmental sustainability.</w:t>
      </w:r>
    </w:p>
    <w:p w14:paraId="7B6C4BC6" w14:textId="70992976" w:rsidR="00FA684A" w:rsidRPr="006E5ECF" w:rsidRDefault="00FA684A"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Existing studies have explored these linkages extensively. For instance, renewable energy consumption is increasingly cited as a viable pathway to decouple growth from emissions, with studies showing its positive influence on sustainable development (Le &amp; Bao, 2020) and its role in creating a sustainable environment (Gyamfi et al., 2021). Conversely, a continued reliance on non-renewable sources, often </w:t>
      </w:r>
      <w:r w:rsidRPr="006E5ECF">
        <w:rPr>
          <w:rFonts w:ascii="Times New Roman" w:hAnsi="Times New Roman" w:cs="Times New Roman"/>
          <w:sz w:val="22"/>
          <w:szCs w:val="22"/>
        </w:rPr>
        <w:lastRenderedPageBreak/>
        <w:t>driven by rapid industrialization and growth, is linked to negative environmental impacts (Han et al., 2021).</w:t>
      </w:r>
    </w:p>
    <w:p w14:paraId="04A3DF4C" w14:textId="0AF3FB96" w:rsidR="00FA684A" w:rsidRPr="006E5ECF" w:rsidRDefault="00A94FE0" w:rsidP="001E515E">
      <w:pPr>
        <w:spacing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3</w:t>
      </w:r>
      <w:r w:rsidR="00FA684A" w:rsidRPr="006E5ECF">
        <w:rPr>
          <w:rFonts w:ascii="Times New Roman" w:hAnsi="Times New Roman" w:cs="Times New Roman"/>
          <w:b/>
          <w:bCs/>
          <w:i/>
          <w:iCs/>
          <w:sz w:val="22"/>
          <w:szCs w:val="22"/>
        </w:rPr>
        <w:t>.2 The Influence of Financial Development and Urbani</w:t>
      </w:r>
      <w:r w:rsidR="003A5FF3" w:rsidRPr="006E5ECF">
        <w:rPr>
          <w:rFonts w:ascii="Times New Roman" w:hAnsi="Times New Roman" w:cs="Times New Roman"/>
          <w:b/>
          <w:bCs/>
          <w:i/>
          <w:iCs/>
          <w:sz w:val="22"/>
          <w:szCs w:val="22"/>
        </w:rPr>
        <w:t>s</w:t>
      </w:r>
      <w:r w:rsidR="00FA684A" w:rsidRPr="006E5ECF">
        <w:rPr>
          <w:rFonts w:ascii="Times New Roman" w:hAnsi="Times New Roman" w:cs="Times New Roman"/>
          <w:b/>
          <w:bCs/>
          <w:i/>
          <w:iCs/>
          <w:sz w:val="22"/>
          <w:szCs w:val="22"/>
        </w:rPr>
        <w:t>ation</w:t>
      </w:r>
    </w:p>
    <w:p w14:paraId="080BC9B8" w14:textId="7B710206" w:rsidR="00FA684A" w:rsidRPr="006E5ECF" w:rsidRDefault="00FA684A"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This primary nexus is further complicated by two critical socio-economic factors: financial development and urbani</w:t>
      </w:r>
      <w:r w:rsidR="003A5FF3" w:rsidRPr="006E5ECF">
        <w:rPr>
          <w:rFonts w:ascii="Times New Roman" w:hAnsi="Times New Roman" w:cs="Times New Roman"/>
          <w:sz w:val="22"/>
          <w:szCs w:val="22"/>
        </w:rPr>
        <w:t>s</w:t>
      </w:r>
      <w:r w:rsidRPr="006E5ECF">
        <w:rPr>
          <w:rFonts w:ascii="Times New Roman" w:hAnsi="Times New Roman" w:cs="Times New Roman"/>
          <w:sz w:val="22"/>
          <w:szCs w:val="22"/>
        </w:rPr>
        <w:t>ation.</w:t>
      </w:r>
    </w:p>
    <w:p w14:paraId="546927A2" w14:textId="7B5E94F1" w:rsidR="00FA684A" w:rsidRPr="006E5ECF" w:rsidRDefault="00FA684A" w:rsidP="001E515E">
      <w:pPr>
        <w:pStyle w:val="ListParagraph"/>
        <w:numPr>
          <w:ilvl w:val="0"/>
          <w:numId w:val="6"/>
        </w:num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A well-developed financial sector can mobilize capital for economic expansion and, crucially, for green investments and energy innovation (Murshed et al., 2021). Many studies confirm a strong, often bidirectional, positive relationship between financial development and economic growth (Arif et al., 2020; Manta et al., 2020). However, its net effect on the environment is ambiguous; while it can fund renewable energy, it can also finance carbon-intensive industries.</w:t>
      </w:r>
    </w:p>
    <w:p w14:paraId="7B5CDB5E" w14:textId="15C5E16E" w:rsidR="00FA684A" w:rsidRPr="006E5ECF" w:rsidRDefault="00FA684A" w:rsidP="001E515E">
      <w:pPr>
        <w:pStyle w:val="ListParagraph"/>
        <w:numPr>
          <w:ilvl w:val="0"/>
          <w:numId w:val="6"/>
        </w:num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As populations shift to cities, the demand for energy, infrastructure, and services escalates. Research highlights a significant positive impact of </w:t>
      </w:r>
      <w:r w:rsidR="00062648" w:rsidRPr="006E5ECF">
        <w:rPr>
          <w:rFonts w:ascii="Times New Roman" w:hAnsi="Times New Roman" w:cs="Times New Roman"/>
          <w:sz w:val="22"/>
          <w:szCs w:val="22"/>
        </w:rPr>
        <w:t>urbanisation</w:t>
      </w:r>
      <w:r w:rsidRPr="006E5ECF">
        <w:rPr>
          <w:rFonts w:ascii="Times New Roman" w:hAnsi="Times New Roman" w:cs="Times New Roman"/>
          <w:sz w:val="22"/>
          <w:szCs w:val="22"/>
        </w:rPr>
        <w:t xml:space="preserve"> on electricity consumption (Faisal et al., 2018) and a strong causal link to economic growth (Adebayo et al., 2021). Yet, this rapid urban expansion can also increase energy intensity (Rafiq et al., 2016) and concentrate pollution, posing significant sustainability challenges (Zhang et al., 2021).</w:t>
      </w:r>
    </w:p>
    <w:p w14:paraId="34589791" w14:textId="2E9D66BB" w:rsidR="00FA684A" w:rsidRPr="006E5ECF" w:rsidRDefault="00A94FE0" w:rsidP="001E515E">
      <w:pPr>
        <w:spacing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3</w:t>
      </w:r>
      <w:r w:rsidR="00FA684A" w:rsidRPr="006E5ECF">
        <w:rPr>
          <w:rFonts w:ascii="Times New Roman" w:hAnsi="Times New Roman" w:cs="Times New Roman"/>
          <w:b/>
          <w:bCs/>
          <w:i/>
          <w:iCs/>
          <w:sz w:val="22"/>
          <w:szCs w:val="22"/>
        </w:rPr>
        <w:t>.3 Research Gaps</w:t>
      </w:r>
    </w:p>
    <w:p w14:paraId="4FE33426" w14:textId="1B05AA45" w:rsidR="00FA684A" w:rsidRPr="006E5ECF" w:rsidRDefault="00FA684A"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While the literature provides deep insights into the bilateral relationships between these variables (e.g., growth-energy, trade-growth, urbani</w:t>
      </w:r>
      <w:r w:rsidR="003A5FF3" w:rsidRPr="006E5ECF">
        <w:rPr>
          <w:rFonts w:ascii="Times New Roman" w:hAnsi="Times New Roman" w:cs="Times New Roman"/>
          <w:sz w:val="22"/>
          <w:szCs w:val="22"/>
        </w:rPr>
        <w:t>s</w:t>
      </w:r>
      <w:r w:rsidRPr="006E5ECF">
        <w:rPr>
          <w:rFonts w:ascii="Times New Roman" w:hAnsi="Times New Roman" w:cs="Times New Roman"/>
          <w:sz w:val="22"/>
          <w:szCs w:val="22"/>
        </w:rPr>
        <w:t>ation-growth), a comprehensive understanding of their simultaneous interaction remains fragmented. Key gaps persist:</w:t>
      </w:r>
      <w:r w:rsidR="003A5FF3" w:rsidRPr="006E5ECF">
        <w:rPr>
          <w:rFonts w:ascii="Times New Roman" w:hAnsi="Times New Roman" w:cs="Times New Roman"/>
          <w:sz w:val="22"/>
          <w:szCs w:val="22"/>
        </w:rPr>
        <w:t xml:space="preserve"> </w:t>
      </w:r>
      <w:r w:rsidRPr="006E5ECF">
        <w:rPr>
          <w:rFonts w:ascii="Times New Roman" w:hAnsi="Times New Roman" w:cs="Times New Roman"/>
          <w:sz w:val="22"/>
          <w:szCs w:val="22"/>
        </w:rPr>
        <w:t>The direction of causality is heavily debated. For example, does financial development drive economic growth, or vice-versa (Haseeb et al., 2018)? Does urbani</w:t>
      </w:r>
      <w:r w:rsidR="003A5FF3" w:rsidRPr="006E5ECF">
        <w:rPr>
          <w:rFonts w:ascii="Times New Roman" w:hAnsi="Times New Roman" w:cs="Times New Roman"/>
          <w:sz w:val="22"/>
          <w:szCs w:val="22"/>
        </w:rPr>
        <w:t>s</w:t>
      </w:r>
      <w:r w:rsidRPr="006E5ECF">
        <w:rPr>
          <w:rFonts w:ascii="Times New Roman" w:hAnsi="Times New Roman" w:cs="Times New Roman"/>
          <w:sz w:val="22"/>
          <w:szCs w:val="22"/>
        </w:rPr>
        <w:t>ation lead to energy consumption, which then fosters growth, or do other pathways dominate (Ali et al., 2020)? Findings often vary significantly across regions, income levels, and institutional settings, making it difficult to draw generalizable policy conclusions. The use of different econometric models, time-series, and panel-data techniques contributes to divergent findings, even when studying similar economies.</w:t>
      </w:r>
    </w:p>
    <w:p w14:paraId="56C1ADFC" w14:textId="37F6ABF7" w:rsidR="00FA684A" w:rsidRPr="006E5ECF" w:rsidRDefault="00FA684A"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Given these conflicts and the fragmented nature of the evidence, a Systematic Literature Review (SLR) is warranted. A traditional narrative review risks overlooking key studies or being influenced by </w:t>
      </w:r>
      <w:r w:rsidRPr="006E5ECF">
        <w:rPr>
          <w:rFonts w:ascii="Times New Roman" w:hAnsi="Times New Roman" w:cs="Times New Roman"/>
          <w:sz w:val="22"/>
          <w:szCs w:val="22"/>
        </w:rPr>
        <w:lastRenderedPageBreak/>
        <w:t>selection bias. An SLR, by contrast, employs a replicable and transparent methodology to search, appraise, and synthesize all relevant high-quality research.</w:t>
      </w:r>
    </w:p>
    <w:p w14:paraId="5F3C92B5" w14:textId="72BE4E10" w:rsidR="00FA684A" w:rsidRPr="006E5ECF" w:rsidRDefault="00A94FE0" w:rsidP="001E515E">
      <w:pPr>
        <w:spacing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3</w:t>
      </w:r>
      <w:r w:rsidR="00FA684A" w:rsidRPr="006E5ECF">
        <w:rPr>
          <w:rFonts w:ascii="Times New Roman" w:hAnsi="Times New Roman" w:cs="Times New Roman"/>
          <w:b/>
          <w:bCs/>
          <w:i/>
          <w:iCs/>
          <w:sz w:val="22"/>
          <w:szCs w:val="22"/>
        </w:rPr>
        <w:t>.4 The Present Study</w:t>
      </w:r>
    </w:p>
    <w:p w14:paraId="4B71EE01" w14:textId="3C43FB00" w:rsidR="006B4A2C" w:rsidRPr="006E5ECF" w:rsidRDefault="006B4A2C"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The literature presents mixed findings on the relationship between Foreign Direct Investment (FDI) and environmental sustainability. Some studies suggest FDI can contribute to reducing emissions by mobili</w:t>
      </w:r>
      <w:r w:rsidR="00550AF7" w:rsidRPr="006E5ECF">
        <w:rPr>
          <w:rFonts w:ascii="Times New Roman" w:hAnsi="Times New Roman" w:cs="Times New Roman"/>
          <w:sz w:val="22"/>
          <w:szCs w:val="22"/>
        </w:rPr>
        <w:t>s</w:t>
      </w:r>
      <w:r w:rsidRPr="006E5ECF">
        <w:rPr>
          <w:rFonts w:ascii="Times New Roman" w:hAnsi="Times New Roman" w:cs="Times New Roman"/>
          <w:sz w:val="22"/>
          <w:szCs w:val="22"/>
        </w:rPr>
        <w:t xml:space="preserve">ing resources for green projects and facilitating technology transfer (e.g., </w:t>
      </w:r>
      <w:proofErr w:type="spellStart"/>
      <w:r w:rsidRPr="006E5ECF">
        <w:rPr>
          <w:rFonts w:ascii="Times New Roman" w:hAnsi="Times New Roman" w:cs="Times New Roman"/>
          <w:sz w:val="22"/>
          <w:szCs w:val="22"/>
        </w:rPr>
        <w:t>Tamazian</w:t>
      </w:r>
      <w:proofErr w:type="spellEnd"/>
      <w:r w:rsidRPr="006E5ECF">
        <w:rPr>
          <w:rFonts w:ascii="Times New Roman" w:hAnsi="Times New Roman" w:cs="Times New Roman"/>
          <w:sz w:val="22"/>
          <w:szCs w:val="22"/>
        </w:rPr>
        <w:t xml:space="preserve"> &amp; Rao, 2010; Shahbaz et al., 2013; Zhao &amp; Yang, 2020). Conversely, other research highlights its potential to increase environmental degradation, supporting the “Pollution Haven Hypothesis” where polluting industries relocate to regions with laxer environmental standards (e.g., Baloch et al., 2019; Gök, 2020). The overall findings suggest that the net impact of FDI on carbon emissions is context-dependent, heavily influenced by factors such as the host country</w:t>
      </w:r>
      <w:r w:rsidR="00550AF7" w:rsidRPr="006E5ECF">
        <w:rPr>
          <w:rFonts w:ascii="Times New Roman" w:hAnsi="Times New Roman" w:cs="Times New Roman"/>
          <w:sz w:val="22"/>
          <w:szCs w:val="22"/>
        </w:rPr>
        <w:t>’</w:t>
      </w:r>
      <w:r w:rsidRPr="006E5ECF">
        <w:rPr>
          <w:rFonts w:ascii="Times New Roman" w:hAnsi="Times New Roman" w:cs="Times New Roman"/>
          <w:sz w:val="22"/>
          <w:szCs w:val="22"/>
        </w:rPr>
        <w:t>s energy mix, trade openness, and the strength of its regional policy frameworks.</w:t>
      </w:r>
    </w:p>
    <w:p w14:paraId="65A06E67" w14:textId="58867FD5" w:rsidR="00B0615F" w:rsidRPr="006E5ECF" w:rsidRDefault="006B4A2C"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This study aims to address the identified gaps by conducting a systematic review of the empirical literature from the last decade. The primary objective is to synthesise the evidence on the complex, dynamic interrelationships between economic growth, financial development, trade, urbanisation, energy consumption, and environmental sustainability. By systematically collating and analysing the findings, this review seeks to provide a clear and comprehensive map of the consensus, conflicts, and causal pathways within this critical body of research.</w:t>
      </w:r>
    </w:p>
    <w:p w14:paraId="49A31DAE" w14:textId="7B071740" w:rsidR="000A5D73" w:rsidRPr="006E5ECF" w:rsidRDefault="00B0615F" w:rsidP="001E515E">
      <w:pPr>
        <w:tabs>
          <w:tab w:val="left" w:pos="2024"/>
        </w:tabs>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 xml:space="preserve">4. </w:t>
      </w:r>
      <w:r w:rsidR="000A5D73" w:rsidRPr="006E5ECF">
        <w:rPr>
          <w:rFonts w:ascii="Times New Roman" w:hAnsi="Times New Roman" w:cs="Times New Roman"/>
          <w:b/>
          <w:bCs/>
          <w:sz w:val="22"/>
          <w:szCs w:val="22"/>
        </w:rPr>
        <w:t>Data and Methodology</w:t>
      </w:r>
    </w:p>
    <w:p w14:paraId="370E07CD" w14:textId="45C27403" w:rsidR="00CB2769" w:rsidRPr="006E5ECF" w:rsidRDefault="00924F51" w:rsidP="001E515E">
      <w:pPr>
        <w:tabs>
          <w:tab w:val="left" w:pos="2024"/>
        </w:tabs>
        <w:spacing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4.1 Data Description</w:t>
      </w:r>
    </w:p>
    <w:p w14:paraId="11B6656B" w14:textId="01550E30" w:rsidR="000A5D73" w:rsidRPr="006E5ECF" w:rsidRDefault="000A5D73"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The data for India from 1996 to 2024 has been utilised for this study. Four variables, viz. GDP, FDI influx, total renewable energy generation per year, and Urbanisation.</w:t>
      </w:r>
      <w:r w:rsidR="00FD139F" w:rsidRPr="006E5ECF">
        <w:rPr>
          <w:rFonts w:ascii="Times New Roman" w:hAnsi="Times New Roman" w:cs="Times New Roman"/>
          <w:sz w:val="22"/>
          <w:szCs w:val="22"/>
        </w:rPr>
        <w:t xml:space="preserve"> </w:t>
      </w:r>
      <w:r w:rsidR="00916F27" w:rsidRPr="006E5ECF">
        <w:rPr>
          <w:rFonts w:ascii="Times New Roman" w:hAnsi="Times New Roman" w:cs="Times New Roman"/>
          <w:sz w:val="22"/>
          <w:szCs w:val="22"/>
        </w:rPr>
        <w:t xml:space="preserve">The data of urbanisation is available from 1996 in </w:t>
      </w:r>
      <w:r w:rsidR="00276981" w:rsidRPr="006E5ECF">
        <w:rPr>
          <w:rFonts w:ascii="Times New Roman" w:hAnsi="Times New Roman" w:cs="Times New Roman"/>
          <w:sz w:val="22"/>
          <w:szCs w:val="22"/>
        </w:rPr>
        <w:t>Projected Population from Census.</w:t>
      </w:r>
      <w:r w:rsidR="003907EC" w:rsidRPr="006E5ECF">
        <w:rPr>
          <w:rFonts w:ascii="Times New Roman" w:hAnsi="Times New Roman" w:cs="Times New Roman"/>
          <w:sz w:val="22"/>
          <w:szCs w:val="22"/>
        </w:rPr>
        <w:t xml:space="preserve"> The </w:t>
      </w:r>
      <w:r w:rsidR="00A57CC3" w:rsidRPr="006E5ECF">
        <w:rPr>
          <w:rFonts w:ascii="Times New Roman" w:hAnsi="Times New Roman" w:cs="Times New Roman"/>
          <w:sz w:val="22"/>
          <w:szCs w:val="22"/>
        </w:rPr>
        <w:t xml:space="preserve">number of </w:t>
      </w:r>
      <w:r w:rsidR="00B0615F" w:rsidRPr="006E5ECF">
        <w:rPr>
          <w:rFonts w:ascii="Times New Roman" w:hAnsi="Times New Roman" w:cs="Times New Roman"/>
          <w:sz w:val="22"/>
          <w:szCs w:val="22"/>
        </w:rPr>
        <w:t>observations</w:t>
      </w:r>
      <w:r w:rsidR="00A57CC3" w:rsidRPr="006E5ECF">
        <w:rPr>
          <w:rFonts w:ascii="Times New Roman" w:hAnsi="Times New Roman" w:cs="Times New Roman"/>
          <w:sz w:val="22"/>
          <w:szCs w:val="22"/>
        </w:rPr>
        <w:t xml:space="preserve"> is 28 for the study.</w:t>
      </w:r>
    </w:p>
    <w:p w14:paraId="1D5D7F1B" w14:textId="1EE7D645" w:rsidR="000A5D73" w:rsidRPr="006E5ECF" w:rsidRDefault="000A5D73" w:rsidP="001E515E">
      <w:pPr>
        <w:spacing w:line="480" w:lineRule="auto"/>
        <w:jc w:val="center"/>
        <w:rPr>
          <w:rFonts w:ascii="Times New Roman" w:hAnsi="Times New Roman" w:cs="Times New Roman"/>
          <w:b/>
          <w:bCs/>
          <w:sz w:val="22"/>
          <w:szCs w:val="22"/>
        </w:rPr>
      </w:pPr>
      <w:r w:rsidRPr="006E5ECF">
        <w:rPr>
          <w:rFonts w:ascii="Times New Roman" w:hAnsi="Times New Roman" w:cs="Times New Roman"/>
          <w:b/>
          <w:bCs/>
          <w:sz w:val="22"/>
          <w:szCs w:val="22"/>
        </w:rPr>
        <w:t xml:space="preserve">Table </w:t>
      </w:r>
      <w:r w:rsidR="00BC4125" w:rsidRPr="006E5ECF">
        <w:rPr>
          <w:rFonts w:ascii="Times New Roman" w:hAnsi="Times New Roman" w:cs="Times New Roman"/>
          <w:b/>
          <w:bCs/>
          <w:sz w:val="22"/>
          <w:szCs w:val="22"/>
        </w:rPr>
        <w:t>1</w:t>
      </w:r>
      <w:r w:rsidRPr="006E5ECF">
        <w:rPr>
          <w:rFonts w:ascii="Times New Roman" w:hAnsi="Times New Roman" w:cs="Times New Roman"/>
          <w:b/>
          <w:bCs/>
          <w:sz w:val="22"/>
          <w:szCs w:val="22"/>
        </w:rPr>
        <w:t>: Variables Name and Descriptions</w:t>
      </w:r>
    </w:p>
    <w:tbl>
      <w:tblPr>
        <w:tblStyle w:val="TableGrid"/>
        <w:tblW w:w="0" w:type="auto"/>
        <w:tblLook w:val="04A0" w:firstRow="1" w:lastRow="0" w:firstColumn="1" w:lastColumn="0" w:noHBand="0" w:noVBand="1"/>
      </w:tblPr>
      <w:tblGrid>
        <w:gridCol w:w="1552"/>
        <w:gridCol w:w="4088"/>
        <w:gridCol w:w="1830"/>
        <w:gridCol w:w="1510"/>
      </w:tblGrid>
      <w:tr w:rsidR="000A5D73" w:rsidRPr="006E5ECF" w14:paraId="1B517D3A" w14:textId="77777777" w:rsidTr="00147DAD">
        <w:trPr>
          <w:trHeight w:val="20"/>
        </w:trPr>
        <w:tc>
          <w:tcPr>
            <w:tcW w:w="1552" w:type="dxa"/>
            <w:tcBorders>
              <w:top w:val="single" w:sz="18" w:space="0" w:color="auto"/>
              <w:left w:val="single" w:sz="18" w:space="0" w:color="auto"/>
              <w:bottom w:val="single" w:sz="18" w:space="0" w:color="auto"/>
              <w:right w:val="single" w:sz="18" w:space="0" w:color="auto"/>
            </w:tcBorders>
          </w:tcPr>
          <w:p w14:paraId="26E2025B"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Abbreviation</w:t>
            </w:r>
          </w:p>
        </w:tc>
        <w:tc>
          <w:tcPr>
            <w:tcW w:w="4088" w:type="dxa"/>
            <w:tcBorders>
              <w:top w:val="single" w:sz="18" w:space="0" w:color="auto"/>
              <w:left w:val="single" w:sz="18" w:space="0" w:color="auto"/>
              <w:bottom w:val="single" w:sz="18" w:space="0" w:color="auto"/>
            </w:tcBorders>
          </w:tcPr>
          <w:p w14:paraId="478124D7"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Variable Name</w:t>
            </w:r>
          </w:p>
        </w:tc>
        <w:tc>
          <w:tcPr>
            <w:tcW w:w="1830" w:type="dxa"/>
            <w:tcBorders>
              <w:top w:val="single" w:sz="18" w:space="0" w:color="auto"/>
              <w:bottom w:val="single" w:sz="18" w:space="0" w:color="auto"/>
            </w:tcBorders>
          </w:tcPr>
          <w:p w14:paraId="406F2665"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Dimensions</w:t>
            </w:r>
          </w:p>
        </w:tc>
        <w:tc>
          <w:tcPr>
            <w:tcW w:w="1510" w:type="dxa"/>
            <w:tcBorders>
              <w:top w:val="single" w:sz="18" w:space="0" w:color="auto"/>
              <w:bottom w:val="single" w:sz="18" w:space="0" w:color="auto"/>
              <w:right w:val="single" w:sz="18" w:space="0" w:color="auto"/>
            </w:tcBorders>
          </w:tcPr>
          <w:p w14:paraId="0320C5D0"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Source</w:t>
            </w:r>
          </w:p>
        </w:tc>
      </w:tr>
      <w:tr w:rsidR="000A5D73" w:rsidRPr="006E5ECF" w14:paraId="61A64B0C" w14:textId="77777777" w:rsidTr="00147DAD">
        <w:tc>
          <w:tcPr>
            <w:tcW w:w="1552" w:type="dxa"/>
            <w:tcBorders>
              <w:top w:val="single" w:sz="18" w:space="0" w:color="auto"/>
              <w:left w:val="single" w:sz="18" w:space="0" w:color="auto"/>
              <w:right w:val="single" w:sz="18" w:space="0" w:color="auto"/>
            </w:tcBorders>
          </w:tcPr>
          <w:p w14:paraId="203DEA8C"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GDP</w:t>
            </w:r>
          </w:p>
        </w:tc>
        <w:tc>
          <w:tcPr>
            <w:tcW w:w="4088" w:type="dxa"/>
            <w:tcBorders>
              <w:top w:val="single" w:sz="18" w:space="0" w:color="auto"/>
              <w:left w:val="single" w:sz="18" w:space="0" w:color="auto"/>
            </w:tcBorders>
          </w:tcPr>
          <w:p w14:paraId="025BCA7D"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Gross Domestic Product</w:t>
            </w:r>
          </w:p>
        </w:tc>
        <w:tc>
          <w:tcPr>
            <w:tcW w:w="1830" w:type="dxa"/>
            <w:tcBorders>
              <w:top w:val="single" w:sz="18" w:space="0" w:color="auto"/>
            </w:tcBorders>
          </w:tcPr>
          <w:p w14:paraId="1673D7C8"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Rupees Crore</w:t>
            </w:r>
          </w:p>
        </w:tc>
        <w:tc>
          <w:tcPr>
            <w:tcW w:w="1510" w:type="dxa"/>
            <w:tcBorders>
              <w:top w:val="single" w:sz="18" w:space="0" w:color="auto"/>
              <w:right w:val="single" w:sz="18" w:space="0" w:color="auto"/>
            </w:tcBorders>
          </w:tcPr>
          <w:p w14:paraId="7529DA3D"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HSIE</w:t>
            </w:r>
          </w:p>
        </w:tc>
      </w:tr>
      <w:tr w:rsidR="000A5D73" w:rsidRPr="006E5ECF" w14:paraId="07AABE3C" w14:textId="77777777" w:rsidTr="00147DAD">
        <w:tc>
          <w:tcPr>
            <w:tcW w:w="1552" w:type="dxa"/>
            <w:tcBorders>
              <w:left w:val="single" w:sz="18" w:space="0" w:color="auto"/>
              <w:right w:val="single" w:sz="18" w:space="0" w:color="auto"/>
            </w:tcBorders>
          </w:tcPr>
          <w:p w14:paraId="4399F2FC" w14:textId="77777777" w:rsidR="000A5D73" w:rsidRPr="006E5ECF" w:rsidRDefault="000A5D73" w:rsidP="001E515E">
            <w:pPr>
              <w:spacing w:line="480" w:lineRule="auto"/>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lastRenderedPageBreak/>
              <w:t>FDI</w:t>
            </w:r>
          </w:p>
        </w:tc>
        <w:tc>
          <w:tcPr>
            <w:tcW w:w="4088" w:type="dxa"/>
            <w:tcBorders>
              <w:left w:val="single" w:sz="18" w:space="0" w:color="auto"/>
            </w:tcBorders>
          </w:tcPr>
          <w:p w14:paraId="040B8F68"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Foreign Direct Investment Inflow</w:t>
            </w:r>
          </w:p>
        </w:tc>
        <w:tc>
          <w:tcPr>
            <w:tcW w:w="1830" w:type="dxa"/>
          </w:tcPr>
          <w:p w14:paraId="4A8944CC"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Rupees Crore</w:t>
            </w:r>
          </w:p>
        </w:tc>
        <w:tc>
          <w:tcPr>
            <w:tcW w:w="1510" w:type="dxa"/>
            <w:tcBorders>
              <w:right w:val="single" w:sz="18" w:space="0" w:color="auto"/>
            </w:tcBorders>
          </w:tcPr>
          <w:p w14:paraId="0F2132E9"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HSIE</w:t>
            </w:r>
          </w:p>
        </w:tc>
      </w:tr>
      <w:tr w:rsidR="000A5D73" w:rsidRPr="006E5ECF" w14:paraId="70C57E0D" w14:textId="77777777" w:rsidTr="00147DAD">
        <w:tc>
          <w:tcPr>
            <w:tcW w:w="1552" w:type="dxa"/>
            <w:tcBorders>
              <w:left w:val="single" w:sz="18" w:space="0" w:color="auto"/>
              <w:bottom w:val="single" w:sz="4" w:space="0" w:color="auto"/>
              <w:right w:val="single" w:sz="18" w:space="0" w:color="auto"/>
            </w:tcBorders>
          </w:tcPr>
          <w:p w14:paraId="3C50B001"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Urban</w:t>
            </w:r>
          </w:p>
        </w:tc>
        <w:tc>
          <w:tcPr>
            <w:tcW w:w="4088" w:type="dxa"/>
            <w:tcBorders>
              <w:left w:val="single" w:sz="18" w:space="0" w:color="auto"/>
              <w:bottom w:val="single" w:sz="4" w:space="0" w:color="auto"/>
            </w:tcBorders>
          </w:tcPr>
          <w:p w14:paraId="7E7CF6A5"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Size of the Population living in Urban Areas (Urbanisation)</w:t>
            </w:r>
          </w:p>
        </w:tc>
        <w:tc>
          <w:tcPr>
            <w:tcW w:w="1830" w:type="dxa"/>
            <w:tcBorders>
              <w:bottom w:val="single" w:sz="4" w:space="0" w:color="auto"/>
            </w:tcBorders>
          </w:tcPr>
          <w:p w14:paraId="1B0F0171"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Unit of Person</w:t>
            </w:r>
          </w:p>
        </w:tc>
        <w:tc>
          <w:tcPr>
            <w:tcW w:w="1510" w:type="dxa"/>
            <w:tcBorders>
              <w:bottom w:val="single" w:sz="4" w:space="0" w:color="auto"/>
              <w:right w:val="single" w:sz="18" w:space="0" w:color="auto"/>
            </w:tcBorders>
          </w:tcPr>
          <w:p w14:paraId="29B71C4D"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Projected Population from Census</w:t>
            </w:r>
          </w:p>
        </w:tc>
      </w:tr>
      <w:tr w:rsidR="000A5D73" w:rsidRPr="006E5ECF" w14:paraId="65DF4371" w14:textId="77777777" w:rsidTr="00147DAD">
        <w:tc>
          <w:tcPr>
            <w:tcW w:w="1552" w:type="dxa"/>
            <w:tcBorders>
              <w:left w:val="single" w:sz="18" w:space="0" w:color="auto"/>
              <w:bottom w:val="single" w:sz="18" w:space="0" w:color="auto"/>
              <w:right w:val="single" w:sz="18" w:space="0" w:color="auto"/>
            </w:tcBorders>
          </w:tcPr>
          <w:p w14:paraId="6381AEE2" w14:textId="77777777" w:rsidR="000A5D73" w:rsidRPr="006E5ECF" w:rsidRDefault="000A5D73" w:rsidP="001E515E">
            <w:pPr>
              <w:spacing w:line="480" w:lineRule="auto"/>
              <w:jc w:val="both"/>
              <w:rPr>
                <w:rFonts w:ascii="Times New Roman" w:eastAsia="Times New Roman" w:hAnsi="Times New Roman" w:cs="Times New Roman"/>
                <w:b/>
                <w:bCs/>
                <w:kern w:val="0"/>
                <w:sz w:val="22"/>
                <w:szCs w:val="22"/>
                <w:lang w:eastAsia="en-GB"/>
                <w14:ligatures w14:val="none"/>
              </w:rPr>
            </w:pPr>
            <w:r w:rsidRPr="006E5ECF">
              <w:rPr>
                <w:rFonts w:ascii="Times New Roman" w:eastAsia="Times New Roman" w:hAnsi="Times New Roman" w:cs="Times New Roman"/>
                <w:b/>
                <w:bCs/>
                <w:kern w:val="0"/>
                <w:sz w:val="22"/>
                <w:szCs w:val="22"/>
                <w:lang w:eastAsia="en-GB"/>
                <w14:ligatures w14:val="none"/>
              </w:rPr>
              <w:t>RE</w:t>
            </w:r>
          </w:p>
        </w:tc>
        <w:tc>
          <w:tcPr>
            <w:tcW w:w="4088" w:type="dxa"/>
            <w:tcBorders>
              <w:left w:val="single" w:sz="18" w:space="0" w:color="auto"/>
              <w:bottom w:val="single" w:sz="18" w:space="0" w:color="auto"/>
            </w:tcBorders>
          </w:tcPr>
          <w:p w14:paraId="011EFF2E"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Renewable Energy</w:t>
            </w:r>
          </w:p>
        </w:tc>
        <w:tc>
          <w:tcPr>
            <w:tcW w:w="1830" w:type="dxa"/>
            <w:tcBorders>
              <w:bottom w:val="single" w:sz="18" w:space="0" w:color="auto"/>
            </w:tcBorders>
          </w:tcPr>
          <w:p w14:paraId="1D302A7B"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r w:rsidRPr="006E5ECF">
              <w:rPr>
                <w:rFonts w:ascii="Times New Roman" w:eastAsia="Times New Roman" w:hAnsi="Times New Roman" w:cs="Times New Roman"/>
                <w:kern w:val="0"/>
                <w:sz w:val="22"/>
                <w:szCs w:val="22"/>
                <w:lang w:eastAsia="en-GB"/>
                <w14:ligatures w14:val="none"/>
              </w:rPr>
              <w:t>Billion KWH</w:t>
            </w:r>
          </w:p>
        </w:tc>
        <w:tc>
          <w:tcPr>
            <w:tcW w:w="1510" w:type="dxa"/>
            <w:tcBorders>
              <w:bottom w:val="single" w:sz="18" w:space="0" w:color="auto"/>
              <w:right w:val="single" w:sz="18" w:space="0" w:color="auto"/>
            </w:tcBorders>
          </w:tcPr>
          <w:p w14:paraId="5BDA6EF3" w14:textId="77777777" w:rsidR="000A5D73" w:rsidRPr="006E5ECF" w:rsidRDefault="000A5D73" w:rsidP="001E515E">
            <w:pPr>
              <w:spacing w:line="480" w:lineRule="auto"/>
              <w:jc w:val="both"/>
              <w:rPr>
                <w:rFonts w:ascii="Times New Roman" w:eastAsia="Times New Roman" w:hAnsi="Times New Roman" w:cs="Times New Roman"/>
                <w:kern w:val="0"/>
                <w:sz w:val="22"/>
                <w:szCs w:val="22"/>
                <w:lang w:eastAsia="en-GB"/>
                <w14:ligatures w14:val="none"/>
              </w:rPr>
            </w:pPr>
            <w:proofErr w:type="spellStart"/>
            <w:r w:rsidRPr="006E5ECF">
              <w:rPr>
                <w:rFonts w:ascii="Times New Roman" w:eastAsia="Times New Roman" w:hAnsi="Times New Roman" w:cs="Times New Roman"/>
                <w:kern w:val="0"/>
                <w:sz w:val="22"/>
                <w:szCs w:val="22"/>
                <w:lang w:eastAsia="en-GB"/>
                <w14:ligatures w14:val="none"/>
              </w:rPr>
              <w:t>Indiastat</w:t>
            </w:r>
            <w:proofErr w:type="spellEnd"/>
          </w:p>
        </w:tc>
      </w:tr>
    </w:tbl>
    <w:p w14:paraId="412B4282" w14:textId="77777777" w:rsidR="000A5D73" w:rsidRPr="00ED2FD6" w:rsidRDefault="000A5D73" w:rsidP="001E515E">
      <w:pPr>
        <w:spacing w:after="120" w:line="480" w:lineRule="auto"/>
        <w:jc w:val="both"/>
        <w:rPr>
          <w:rFonts w:ascii="Times New Roman" w:hAnsi="Times New Roman" w:cs="Times New Roman"/>
          <w:i/>
          <w:iCs/>
          <w:sz w:val="20"/>
          <w:szCs w:val="20"/>
        </w:rPr>
      </w:pPr>
      <w:r w:rsidRPr="00ED2FD6">
        <w:rPr>
          <w:rFonts w:ascii="Times New Roman" w:hAnsi="Times New Roman" w:cs="Times New Roman"/>
          <w:i/>
          <w:iCs/>
          <w:sz w:val="20"/>
          <w:szCs w:val="20"/>
        </w:rPr>
        <w:t>Note: HSIE=Handbook of Statistics on Indian Economy retrieved from Reserve Bank of India repository +</w:t>
      </w:r>
    </w:p>
    <w:p w14:paraId="33A343C1" w14:textId="5AAB8689" w:rsidR="000A5D73" w:rsidRPr="006E5ECF" w:rsidRDefault="00CB2769" w:rsidP="001E515E">
      <w:pPr>
        <w:spacing w:after="120" w:line="480" w:lineRule="auto"/>
        <w:jc w:val="both"/>
        <w:rPr>
          <w:rFonts w:ascii="Times New Roman" w:hAnsi="Times New Roman" w:cs="Times New Roman"/>
          <w:b/>
          <w:bCs/>
          <w:i/>
          <w:iCs/>
          <w:sz w:val="22"/>
          <w:szCs w:val="22"/>
        </w:rPr>
      </w:pPr>
      <w:r w:rsidRPr="006E5ECF">
        <w:rPr>
          <w:rFonts w:ascii="Times New Roman" w:hAnsi="Times New Roman" w:cs="Times New Roman"/>
          <w:b/>
          <w:bCs/>
          <w:i/>
          <w:iCs/>
          <w:sz w:val="22"/>
          <w:szCs w:val="22"/>
        </w:rPr>
        <w:t xml:space="preserve">4.2 </w:t>
      </w:r>
      <w:r w:rsidR="000A5D73" w:rsidRPr="006E5ECF">
        <w:rPr>
          <w:rFonts w:ascii="Times New Roman" w:hAnsi="Times New Roman" w:cs="Times New Roman"/>
          <w:b/>
          <w:bCs/>
          <w:i/>
          <w:iCs/>
          <w:sz w:val="22"/>
          <w:szCs w:val="22"/>
        </w:rPr>
        <w:t>Model Estimation</w:t>
      </w:r>
    </w:p>
    <w:p w14:paraId="196B0461" w14:textId="77777777" w:rsidR="000A5D73" w:rsidRPr="006E5ECF" w:rsidRDefault="000A5D73"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Though there were multiple studies that have jointly perceived the interconnection of Conventional and non-conventional sources of energy with carbon-dioxide emanations (</w:t>
      </w:r>
      <w:proofErr w:type="spellStart"/>
      <w:r w:rsidRPr="006E5ECF">
        <w:rPr>
          <w:rFonts w:ascii="Times New Roman" w:hAnsi="Times New Roman" w:cs="Times New Roman"/>
          <w:sz w:val="22"/>
          <w:szCs w:val="22"/>
        </w:rPr>
        <w:t>Inglesi-Lotz</w:t>
      </w:r>
      <w:proofErr w:type="spellEnd"/>
      <w:r w:rsidRPr="006E5ECF">
        <w:rPr>
          <w:rFonts w:ascii="Times New Roman" w:hAnsi="Times New Roman" w:cs="Times New Roman"/>
          <w:sz w:val="22"/>
          <w:szCs w:val="22"/>
        </w:rPr>
        <w:t xml:space="preserve"> &amp; Dogan, 2018; Nguyen &amp; </w:t>
      </w:r>
      <w:proofErr w:type="spellStart"/>
      <w:r w:rsidRPr="006E5ECF">
        <w:rPr>
          <w:rFonts w:ascii="Times New Roman" w:hAnsi="Times New Roman" w:cs="Times New Roman"/>
          <w:sz w:val="22"/>
          <w:szCs w:val="22"/>
        </w:rPr>
        <w:t>Kakinaka</w:t>
      </w:r>
      <w:proofErr w:type="spellEnd"/>
      <w:r w:rsidRPr="006E5ECF">
        <w:rPr>
          <w:rFonts w:ascii="Times New Roman" w:hAnsi="Times New Roman" w:cs="Times New Roman"/>
          <w:sz w:val="22"/>
          <w:szCs w:val="22"/>
        </w:rPr>
        <w:t xml:space="preserve">, 2019; </w:t>
      </w:r>
      <w:proofErr w:type="spellStart"/>
      <w:r w:rsidRPr="006E5ECF">
        <w:rPr>
          <w:rFonts w:ascii="Times New Roman" w:hAnsi="Times New Roman" w:cs="Times New Roman"/>
          <w:sz w:val="22"/>
          <w:szCs w:val="22"/>
        </w:rPr>
        <w:t>Shakouri</w:t>
      </w:r>
      <w:proofErr w:type="spellEnd"/>
      <w:r w:rsidRPr="006E5ECF">
        <w:rPr>
          <w:rFonts w:ascii="Times New Roman" w:hAnsi="Times New Roman" w:cs="Times New Roman"/>
          <w:sz w:val="22"/>
          <w:szCs w:val="22"/>
        </w:rPr>
        <w:t xml:space="preserve"> &amp; </w:t>
      </w:r>
      <w:proofErr w:type="spellStart"/>
      <w:r w:rsidRPr="006E5ECF">
        <w:rPr>
          <w:rFonts w:ascii="Times New Roman" w:hAnsi="Times New Roman" w:cs="Times New Roman"/>
          <w:sz w:val="22"/>
          <w:szCs w:val="22"/>
        </w:rPr>
        <w:t>Khoshnevis</w:t>
      </w:r>
      <w:proofErr w:type="spellEnd"/>
      <w:r w:rsidRPr="006E5ECF">
        <w:rPr>
          <w:rFonts w:ascii="Times New Roman" w:hAnsi="Times New Roman" w:cs="Times New Roman"/>
          <w:sz w:val="22"/>
          <w:szCs w:val="22"/>
        </w:rPr>
        <w:t xml:space="preserve"> </w:t>
      </w:r>
      <w:proofErr w:type="spellStart"/>
      <w:r w:rsidRPr="006E5ECF">
        <w:rPr>
          <w:rFonts w:ascii="Times New Roman" w:hAnsi="Times New Roman" w:cs="Times New Roman"/>
          <w:sz w:val="22"/>
          <w:szCs w:val="22"/>
        </w:rPr>
        <w:t>Yazdi</w:t>
      </w:r>
      <w:proofErr w:type="spellEnd"/>
      <w:r w:rsidRPr="006E5ECF">
        <w:rPr>
          <w:rFonts w:ascii="Times New Roman" w:hAnsi="Times New Roman" w:cs="Times New Roman"/>
          <w:sz w:val="22"/>
          <w:szCs w:val="22"/>
        </w:rPr>
        <w:t xml:space="preserve">, 2017), the reported study has practically implemented the notion concisely for India. Moreover, our investigation distinctively integrated sustainability to replace resource rent in the study conducted by </w:t>
      </w:r>
      <w:proofErr w:type="spellStart"/>
      <w:r w:rsidRPr="006E5ECF">
        <w:rPr>
          <w:rFonts w:ascii="Times New Roman" w:hAnsi="Times New Roman" w:cs="Times New Roman"/>
          <w:sz w:val="22"/>
          <w:szCs w:val="22"/>
        </w:rPr>
        <w:t>Bekun</w:t>
      </w:r>
      <w:proofErr w:type="spellEnd"/>
      <w:r w:rsidRPr="006E5ECF">
        <w:rPr>
          <w:rFonts w:ascii="Times New Roman" w:hAnsi="Times New Roman" w:cs="Times New Roman"/>
          <w:sz w:val="22"/>
          <w:szCs w:val="22"/>
        </w:rPr>
        <w:t xml:space="preserve"> et al., 2019 such that:</w:t>
      </w:r>
    </w:p>
    <w:p w14:paraId="3993B8BB" w14:textId="77777777"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m:oMath>
        <m:r>
          <w:rPr>
            <w:rFonts w:ascii="Cambria Math" w:hAnsi="Cambria Math" w:cs="Times New Roman"/>
            <w:sz w:val="22"/>
            <w:szCs w:val="22"/>
          </w:rPr>
          <m:t>R</m:t>
        </m:r>
        <m:sSub>
          <m:sSubPr>
            <m:ctrlPr>
              <w:rPr>
                <w:rFonts w:ascii="Cambria Math" w:hAnsi="Cambria Math" w:cs="Times New Roman"/>
                <w:i/>
                <w:sz w:val="22"/>
                <w:szCs w:val="22"/>
              </w:rPr>
            </m:ctrlPr>
          </m:sSubPr>
          <m:e>
            <m:r>
              <w:rPr>
                <w:rFonts w:ascii="Cambria Math" w:hAnsi="Cambria Math" w:cs="Times New Roman"/>
                <w:sz w:val="22"/>
                <w:szCs w:val="22"/>
              </w:rPr>
              <m:t>E</m:t>
            </m:r>
          </m:e>
          <m:sub>
            <m:r>
              <w:rPr>
                <w:rFonts w:ascii="Cambria Math" w:hAnsi="Cambria Math" w:cs="Times New Roman"/>
                <w:sz w:val="22"/>
                <w:szCs w:val="22"/>
              </w:rPr>
              <m:t>t</m:t>
            </m:r>
          </m:sub>
        </m:sSub>
        <m:r>
          <w:rPr>
            <w:rFonts w:ascii="Cambria Math" w:hAnsi="Cambria Math" w:cs="Times New Roman"/>
            <w:sz w:val="22"/>
            <w:szCs w:val="22"/>
          </w:rPr>
          <m:t>=f(GD</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t</m:t>
            </m:r>
          </m:sub>
        </m:sSub>
        <m:r>
          <w:rPr>
            <w:rFonts w:ascii="Cambria Math" w:hAnsi="Cambria Math" w:cs="Times New Roman"/>
            <w:sz w:val="22"/>
            <w:szCs w:val="22"/>
          </w:rPr>
          <m:t>,FD</m:t>
        </m:r>
        <m:sSub>
          <m:sSubPr>
            <m:ctrlPr>
              <w:rPr>
                <w:rFonts w:ascii="Cambria Math" w:hAnsi="Cambria Math" w:cs="Times New Roman"/>
                <w:i/>
                <w:sz w:val="22"/>
                <w:szCs w:val="22"/>
              </w:rPr>
            </m:ctrlPr>
          </m:sSubPr>
          <m:e>
            <m:r>
              <w:rPr>
                <w:rFonts w:ascii="Cambria Math" w:hAnsi="Cambria Math" w:cs="Times New Roman"/>
                <w:sz w:val="22"/>
                <w:szCs w:val="22"/>
              </w:rPr>
              <m:t>I</m:t>
            </m:r>
          </m:e>
          <m:sub>
            <m:r>
              <w:rPr>
                <w:rFonts w:ascii="Cambria Math" w:hAnsi="Cambria Math" w:cs="Times New Roman"/>
                <w:sz w:val="22"/>
                <w:szCs w:val="22"/>
              </w:rPr>
              <m:t>t</m:t>
            </m:r>
          </m:sub>
        </m:sSub>
        <m:r>
          <w:rPr>
            <w:rFonts w:ascii="Cambria Math" w:hAnsi="Cambria Math" w:cs="Times New Roman"/>
            <w:sz w:val="22"/>
            <w:szCs w:val="22"/>
          </w:rPr>
          <m:t>,Urba</m:t>
        </m:r>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t</m:t>
            </m:r>
          </m:sub>
        </m:sSub>
        <m:r>
          <w:rPr>
            <w:rFonts w:ascii="Cambria Math" w:hAnsi="Cambria Math" w:cs="Times New Roman"/>
            <w:sz w:val="22"/>
            <w:szCs w:val="22"/>
          </w:rPr>
          <m:t>)</m:t>
        </m:r>
      </m:oMath>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r>
      <w:r w:rsidRPr="006E5ECF">
        <w:rPr>
          <w:rFonts w:ascii="Times New Roman" w:eastAsiaTheme="minorEastAsia" w:hAnsi="Times New Roman" w:cs="Times New Roman"/>
          <w:sz w:val="22"/>
          <w:szCs w:val="22"/>
        </w:rPr>
        <w:tab/>
        <w:t>(1)</w:t>
      </w:r>
    </w:p>
    <w:p w14:paraId="7322C050" w14:textId="77777777" w:rsidR="000A5D73" w:rsidRPr="006E5ECF" w:rsidRDefault="00DA0A2E" w:rsidP="001E515E">
      <w:pPr>
        <w:tabs>
          <w:tab w:val="left" w:pos="2024"/>
        </w:tabs>
        <w:spacing w:line="480" w:lineRule="auto"/>
        <w:jc w:val="both"/>
        <w:rPr>
          <w:rFonts w:ascii="Times New Roman" w:eastAsiaTheme="minorEastAsia" w:hAnsi="Times New Roman" w:cs="Times New Roman"/>
          <w:sz w:val="22"/>
          <w:szCs w:val="22"/>
        </w:rPr>
      </w:pPr>
      <m:oMath>
        <m:func>
          <m:funcPr>
            <m:ctrlPr>
              <w:rPr>
                <w:rFonts w:ascii="Cambria Math" w:hAnsi="Cambria Math" w:cs="Times New Roman"/>
                <w:sz w:val="22"/>
                <w:szCs w:val="22"/>
              </w:rPr>
            </m:ctrlPr>
          </m:funcPr>
          <m:fName>
            <m:r>
              <m:rPr>
                <m:sty m:val="p"/>
              </m:rPr>
              <w:rPr>
                <w:rFonts w:ascii="Cambria Math" w:hAnsi="Cambria Math" w:cs="Times New Roman"/>
                <w:sz w:val="22"/>
                <w:szCs w:val="22"/>
              </w:rPr>
              <m:t>ln</m:t>
            </m:r>
          </m:fName>
          <m:e>
            <m:d>
              <m:dPr>
                <m:ctrlPr>
                  <w:rPr>
                    <w:rFonts w:ascii="Cambria Math" w:hAnsi="Cambria Math" w:cs="Times New Roman"/>
                    <w:i/>
                    <w:sz w:val="22"/>
                    <w:szCs w:val="22"/>
                  </w:rPr>
                </m:ctrlPr>
              </m:dPr>
              <m:e>
                <m:r>
                  <w:rPr>
                    <w:rFonts w:ascii="Cambria Math" w:hAnsi="Cambria Math" w:cs="Times New Roman"/>
                    <w:sz w:val="22"/>
                    <w:szCs w:val="22"/>
                  </w:rPr>
                  <m:t>R</m:t>
                </m:r>
                <m:sSub>
                  <m:sSubPr>
                    <m:ctrlPr>
                      <w:rPr>
                        <w:rFonts w:ascii="Cambria Math" w:hAnsi="Cambria Math" w:cs="Times New Roman"/>
                        <w:i/>
                        <w:sz w:val="22"/>
                        <w:szCs w:val="22"/>
                      </w:rPr>
                    </m:ctrlPr>
                  </m:sSubPr>
                  <m:e>
                    <m:r>
                      <w:rPr>
                        <w:rFonts w:ascii="Cambria Math" w:hAnsi="Cambria Math" w:cs="Times New Roman"/>
                        <w:sz w:val="22"/>
                        <w:szCs w:val="22"/>
                      </w:rPr>
                      <m:t>E</m:t>
                    </m:r>
                  </m:e>
                  <m:sub>
                    <m:r>
                      <w:rPr>
                        <w:rFonts w:ascii="Cambria Math" w:hAnsi="Cambria Math" w:cs="Times New Roman"/>
                        <w:sz w:val="22"/>
                        <w:szCs w:val="22"/>
                      </w:rPr>
                      <m:t>t</m:t>
                    </m:r>
                  </m:sub>
                </m:sSub>
              </m:e>
            </m:d>
          </m:e>
        </m:func>
        <m:r>
          <w:rPr>
            <w:rFonts w:ascii="Cambria Math" w:hAnsi="Cambria Math" w:cs="Times New Roman"/>
            <w:sz w:val="22"/>
            <w:szCs w:val="22"/>
          </w:rPr>
          <m:t>=α+</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1</m:t>
            </m:r>
          </m:sub>
        </m:sSub>
        <m:r>
          <m:rPr>
            <m:sty m:val="p"/>
          </m:rPr>
          <w:rPr>
            <w:rFonts w:ascii="Cambria Math" w:hAnsi="Cambria Math" w:cs="Times New Roman"/>
            <w:sz w:val="22"/>
            <w:szCs w:val="22"/>
          </w:rPr>
          <m:t>ln⁡</m:t>
        </m:r>
        <m:r>
          <w:rPr>
            <w:rFonts w:ascii="Cambria Math" w:hAnsi="Cambria Math" w:cs="Times New Roman"/>
            <w:sz w:val="22"/>
            <w:szCs w:val="22"/>
          </w:rPr>
          <m:t>(GD</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t</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2</m:t>
            </m:r>
          </m:sub>
        </m:sSub>
        <m:r>
          <m:rPr>
            <m:sty m:val="p"/>
          </m:rPr>
          <w:rPr>
            <w:rFonts w:ascii="Cambria Math" w:hAnsi="Cambria Math" w:cs="Times New Roman"/>
            <w:sz w:val="22"/>
            <w:szCs w:val="22"/>
          </w:rPr>
          <m:t>ln⁡</m:t>
        </m:r>
        <m:r>
          <w:rPr>
            <w:rFonts w:ascii="Cambria Math" w:hAnsi="Cambria Math" w:cs="Times New Roman"/>
            <w:sz w:val="22"/>
            <w:szCs w:val="22"/>
          </w:rPr>
          <m:t>(FD</m:t>
        </m:r>
        <m:sSub>
          <m:sSubPr>
            <m:ctrlPr>
              <w:rPr>
                <w:rFonts w:ascii="Cambria Math" w:hAnsi="Cambria Math" w:cs="Times New Roman"/>
                <w:i/>
                <w:sz w:val="22"/>
                <w:szCs w:val="22"/>
              </w:rPr>
            </m:ctrlPr>
          </m:sSubPr>
          <m:e>
            <m:r>
              <w:rPr>
                <w:rFonts w:ascii="Cambria Math" w:hAnsi="Cambria Math" w:cs="Times New Roman"/>
                <w:sz w:val="22"/>
                <w:szCs w:val="22"/>
              </w:rPr>
              <m:t>I</m:t>
            </m:r>
          </m:e>
          <m:sub>
            <m:r>
              <w:rPr>
                <w:rFonts w:ascii="Cambria Math" w:hAnsi="Cambria Math" w:cs="Times New Roman"/>
                <w:sz w:val="22"/>
                <w:szCs w:val="22"/>
              </w:rPr>
              <m:t>t</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3</m:t>
            </m:r>
          </m:sub>
        </m:sSub>
        <m:r>
          <m:rPr>
            <m:sty m:val="p"/>
          </m:rPr>
          <w:rPr>
            <w:rFonts w:ascii="Cambria Math" w:hAnsi="Cambria Math" w:cs="Times New Roman"/>
            <w:sz w:val="22"/>
            <w:szCs w:val="22"/>
          </w:rPr>
          <m:t>ln⁡</m:t>
        </m:r>
        <m:r>
          <w:rPr>
            <w:rFonts w:ascii="Cambria Math" w:hAnsi="Cambria Math" w:cs="Times New Roman"/>
            <w:sz w:val="22"/>
            <w:szCs w:val="22"/>
          </w:rPr>
          <m:t>(Urba</m:t>
        </m:r>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t</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ε</m:t>
            </m:r>
          </m:e>
          <m:sub>
            <m:r>
              <w:rPr>
                <w:rFonts w:ascii="Cambria Math" w:hAnsi="Cambria Math" w:cs="Times New Roman"/>
                <w:sz w:val="22"/>
                <w:szCs w:val="22"/>
              </w:rPr>
              <m:t>t</m:t>
            </m:r>
          </m:sub>
        </m:sSub>
      </m:oMath>
      <w:r w:rsidR="000A5D73" w:rsidRPr="006E5ECF">
        <w:rPr>
          <w:rFonts w:ascii="Times New Roman" w:eastAsiaTheme="minorEastAsia" w:hAnsi="Times New Roman" w:cs="Times New Roman"/>
          <w:sz w:val="22"/>
          <w:szCs w:val="22"/>
        </w:rPr>
        <w:tab/>
      </w:r>
      <w:r w:rsidR="000A5D73" w:rsidRPr="006E5ECF">
        <w:rPr>
          <w:rFonts w:ascii="Times New Roman" w:eastAsiaTheme="minorEastAsia" w:hAnsi="Times New Roman" w:cs="Times New Roman"/>
          <w:sz w:val="22"/>
          <w:szCs w:val="22"/>
        </w:rPr>
        <w:tab/>
      </w:r>
      <w:r w:rsidR="000A5D73" w:rsidRPr="006E5ECF">
        <w:rPr>
          <w:rFonts w:ascii="Times New Roman" w:eastAsiaTheme="minorEastAsia" w:hAnsi="Times New Roman" w:cs="Times New Roman"/>
          <w:sz w:val="22"/>
          <w:szCs w:val="22"/>
        </w:rPr>
        <w:tab/>
      </w:r>
      <w:r w:rsidR="000A5D73" w:rsidRPr="006E5ECF">
        <w:rPr>
          <w:rFonts w:ascii="Times New Roman" w:eastAsiaTheme="minorEastAsia" w:hAnsi="Times New Roman" w:cs="Times New Roman"/>
          <w:sz w:val="22"/>
          <w:szCs w:val="22"/>
        </w:rPr>
        <w:tab/>
        <w:t>(2)</w:t>
      </w:r>
    </w:p>
    <w:p w14:paraId="1738A9DC" w14:textId="77777777" w:rsidR="000A5D73" w:rsidRPr="006E5ECF" w:rsidRDefault="000A5D73" w:rsidP="001E515E">
      <w:pPr>
        <w:tabs>
          <w:tab w:val="left" w:pos="2024"/>
        </w:tabs>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 xml:space="preserve">The current time-series utilises a logarithmic transformation to have a constant variance. In the estimated equation, energy sustainability (RE) is the output variable. Also, </w:t>
      </w:r>
      <m:oMath>
        <m:func>
          <m:funcPr>
            <m:ctrlPr>
              <w:rPr>
                <w:rFonts w:ascii="Cambria Math" w:hAnsi="Cambria Math" w:cs="Times New Roman"/>
                <w:sz w:val="22"/>
                <w:szCs w:val="22"/>
              </w:rPr>
            </m:ctrlPr>
          </m:funcPr>
          <m:fName>
            <m:r>
              <m:rPr>
                <m:sty m:val="p"/>
              </m:rPr>
              <w:rPr>
                <w:rFonts w:ascii="Cambria Math" w:hAnsi="Cambria Math" w:cs="Times New Roman"/>
                <w:sz w:val="22"/>
                <w:szCs w:val="22"/>
              </w:rPr>
              <m:t>ln</m:t>
            </m:r>
          </m:fName>
          <m:e>
            <m:d>
              <m:dPr>
                <m:ctrlPr>
                  <w:rPr>
                    <w:rFonts w:ascii="Cambria Math" w:hAnsi="Cambria Math" w:cs="Times New Roman"/>
                    <w:i/>
                    <w:sz w:val="22"/>
                    <w:szCs w:val="22"/>
                  </w:rPr>
                </m:ctrlPr>
              </m:dPr>
              <m:e>
                <m:r>
                  <w:rPr>
                    <w:rFonts w:ascii="Cambria Math" w:hAnsi="Cambria Math" w:cs="Times New Roman"/>
                    <w:sz w:val="22"/>
                    <w:szCs w:val="22"/>
                  </w:rPr>
                  <m:t>R</m:t>
                </m:r>
                <m:sSub>
                  <m:sSubPr>
                    <m:ctrlPr>
                      <w:rPr>
                        <w:rFonts w:ascii="Cambria Math" w:hAnsi="Cambria Math" w:cs="Times New Roman"/>
                        <w:i/>
                        <w:sz w:val="22"/>
                        <w:szCs w:val="22"/>
                      </w:rPr>
                    </m:ctrlPr>
                  </m:sSubPr>
                  <m:e>
                    <m:r>
                      <w:rPr>
                        <w:rFonts w:ascii="Cambria Math" w:hAnsi="Cambria Math" w:cs="Times New Roman"/>
                        <w:sz w:val="22"/>
                        <w:szCs w:val="22"/>
                      </w:rPr>
                      <m:t>E</m:t>
                    </m:r>
                  </m:e>
                  <m:sub>
                    <m:r>
                      <w:rPr>
                        <w:rFonts w:ascii="Cambria Math" w:hAnsi="Cambria Math" w:cs="Times New Roman"/>
                        <w:sz w:val="22"/>
                        <w:szCs w:val="22"/>
                      </w:rPr>
                      <m:t>t</m:t>
                    </m:r>
                  </m:sub>
                </m:sSub>
              </m:e>
            </m:d>
          </m:e>
        </m:func>
      </m:oMath>
      <w:r w:rsidRPr="006E5ECF">
        <w:rPr>
          <w:rFonts w:ascii="Times New Roman" w:hAnsi="Times New Roman" w:cs="Times New Roman"/>
          <w:sz w:val="22"/>
          <w:szCs w:val="22"/>
        </w:rPr>
        <w:t xml:space="preserve"> against </w:t>
      </w:r>
      <m:oMath>
        <m:r>
          <m:rPr>
            <m:sty m:val="p"/>
          </m:rPr>
          <w:rPr>
            <w:rFonts w:ascii="Cambria Math" w:hAnsi="Cambria Math" w:cs="Times New Roman"/>
            <w:sz w:val="22"/>
            <w:szCs w:val="22"/>
          </w:rPr>
          <m:t>ln⁡</m:t>
        </m:r>
        <m:r>
          <w:rPr>
            <w:rFonts w:ascii="Cambria Math" w:hAnsi="Cambria Math" w:cs="Times New Roman"/>
            <w:sz w:val="22"/>
            <w:szCs w:val="22"/>
          </w:rPr>
          <m:t>(FD</m:t>
        </m:r>
        <m:sSub>
          <m:sSubPr>
            <m:ctrlPr>
              <w:rPr>
                <w:rFonts w:ascii="Cambria Math" w:hAnsi="Cambria Math" w:cs="Times New Roman"/>
                <w:i/>
                <w:sz w:val="22"/>
                <w:szCs w:val="22"/>
              </w:rPr>
            </m:ctrlPr>
          </m:sSubPr>
          <m:e>
            <m:r>
              <w:rPr>
                <w:rFonts w:ascii="Cambria Math" w:hAnsi="Cambria Math" w:cs="Times New Roman"/>
                <w:sz w:val="22"/>
                <w:szCs w:val="22"/>
              </w:rPr>
              <m:t>I</m:t>
            </m:r>
          </m:e>
          <m:sub>
            <m:r>
              <w:rPr>
                <w:rFonts w:ascii="Cambria Math" w:hAnsi="Cambria Math" w:cs="Times New Roman"/>
                <w:sz w:val="22"/>
                <w:szCs w:val="22"/>
              </w:rPr>
              <m:t>t</m:t>
            </m:r>
          </m:sub>
        </m:sSub>
        <m:r>
          <w:rPr>
            <w:rFonts w:ascii="Cambria Math" w:hAnsi="Cambria Math" w:cs="Times New Roman"/>
            <w:sz w:val="22"/>
            <w:szCs w:val="22"/>
          </w:rPr>
          <m:t>)</m:t>
        </m:r>
      </m:oMath>
      <w:r w:rsidRPr="006E5ECF">
        <w:rPr>
          <w:rFonts w:ascii="Times New Roman" w:hAnsi="Times New Roman" w:cs="Times New Roman"/>
          <w:sz w:val="22"/>
          <w:szCs w:val="22"/>
        </w:rPr>
        <w:t xml:space="preserve">, </w:t>
      </w:r>
      <m:oMath>
        <m:r>
          <m:rPr>
            <m:sty m:val="p"/>
          </m:rPr>
          <w:rPr>
            <w:rFonts w:ascii="Cambria Math" w:hAnsi="Cambria Math" w:cs="Times New Roman"/>
            <w:sz w:val="22"/>
            <w:szCs w:val="22"/>
          </w:rPr>
          <m:t>ln⁡</m:t>
        </m:r>
        <m:r>
          <w:rPr>
            <w:rFonts w:ascii="Cambria Math" w:hAnsi="Cambria Math" w:cs="Times New Roman"/>
            <w:sz w:val="22"/>
            <w:szCs w:val="22"/>
          </w:rPr>
          <m:t>(GD</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t</m:t>
            </m:r>
          </m:sub>
        </m:sSub>
        <m:r>
          <w:rPr>
            <w:rFonts w:ascii="Cambria Math" w:hAnsi="Cambria Math" w:cs="Times New Roman"/>
            <w:sz w:val="22"/>
            <w:szCs w:val="22"/>
          </w:rPr>
          <m:t>)</m:t>
        </m:r>
      </m:oMath>
      <w:r w:rsidRPr="006E5ECF">
        <w:rPr>
          <w:rFonts w:ascii="Times New Roman" w:hAnsi="Times New Roman" w:cs="Times New Roman"/>
          <w:sz w:val="22"/>
          <w:szCs w:val="22"/>
        </w:rPr>
        <w:t xml:space="preserve">, and </w:t>
      </w:r>
      <m:oMath>
        <m:r>
          <m:rPr>
            <m:sty m:val="p"/>
          </m:rPr>
          <w:rPr>
            <w:rFonts w:ascii="Cambria Math" w:hAnsi="Cambria Math" w:cs="Times New Roman"/>
            <w:sz w:val="22"/>
            <w:szCs w:val="22"/>
          </w:rPr>
          <m:t>ln⁡</m:t>
        </m:r>
        <m:r>
          <w:rPr>
            <w:rFonts w:ascii="Cambria Math" w:hAnsi="Cambria Math" w:cs="Times New Roman"/>
            <w:sz w:val="22"/>
            <w:szCs w:val="22"/>
          </w:rPr>
          <m:t>(Urba</m:t>
        </m:r>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t</m:t>
            </m:r>
          </m:sub>
        </m:sSub>
        <m:r>
          <w:rPr>
            <w:rFonts w:ascii="Cambria Math" w:hAnsi="Cambria Math" w:cs="Times New Roman"/>
            <w:sz w:val="22"/>
            <w:szCs w:val="22"/>
          </w:rPr>
          <m:t>)</m:t>
        </m:r>
      </m:oMath>
      <w:r w:rsidRPr="006E5ECF">
        <w:rPr>
          <w:rFonts w:ascii="Times New Roman" w:hAnsi="Times New Roman" w:cs="Times New Roman"/>
          <w:sz w:val="22"/>
          <w:szCs w:val="22"/>
        </w:rPr>
        <w:t xml:space="preserve"> signifies the logarithmically modified dependent variable vs the independent one, </w:t>
      </w:r>
      <m:oMath>
        <m:r>
          <w:rPr>
            <w:rFonts w:ascii="Cambria Math" w:hAnsi="Cambria Math" w:cs="Times New Roman"/>
            <w:sz w:val="22"/>
            <w:szCs w:val="22"/>
          </w:rPr>
          <m:t>α</m:t>
        </m:r>
      </m:oMath>
      <w:r w:rsidRPr="006E5ECF">
        <w:rPr>
          <w:rFonts w:ascii="Times New Roman" w:hAnsi="Times New Roman" w:cs="Times New Roman"/>
          <w:sz w:val="22"/>
          <w:szCs w:val="22"/>
        </w:rPr>
        <w:t xml:space="preserve"> denotes the intercept value, </w:t>
      </w:r>
      <m:oMath>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i</m:t>
            </m:r>
          </m:sub>
        </m:sSub>
        <m:r>
          <w:rPr>
            <w:rFonts w:ascii="Cambria Math" w:eastAsiaTheme="minorEastAsia" w:hAnsi="Cambria Math" w:cs="Times New Roman"/>
            <w:sz w:val="22"/>
            <w:szCs w:val="22"/>
          </w:rPr>
          <m:t xml:space="preserve"> (i=1,2,3)</m:t>
        </m:r>
      </m:oMath>
      <w:r w:rsidRPr="006E5ECF">
        <w:rPr>
          <w:rFonts w:ascii="Times New Roman" w:hAnsi="Times New Roman" w:cs="Times New Roman"/>
          <w:sz w:val="22"/>
          <w:szCs w:val="22"/>
        </w:rPr>
        <w:t xml:space="preserve"> is the slope measurement, and </w:t>
      </w:r>
      <m:oMath>
        <m:sSub>
          <m:sSubPr>
            <m:ctrlPr>
              <w:rPr>
                <w:rFonts w:ascii="Cambria Math" w:hAnsi="Cambria Math" w:cs="Times New Roman"/>
                <w:i/>
                <w:sz w:val="22"/>
                <w:szCs w:val="22"/>
              </w:rPr>
            </m:ctrlPr>
          </m:sSubPr>
          <m:e>
            <m:r>
              <w:rPr>
                <w:rFonts w:ascii="Cambria Math" w:hAnsi="Cambria Math" w:cs="Times New Roman"/>
                <w:sz w:val="22"/>
                <w:szCs w:val="22"/>
              </w:rPr>
              <m:t>ε</m:t>
            </m:r>
          </m:e>
          <m:sub>
            <m:r>
              <w:rPr>
                <w:rFonts w:ascii="Cambria Math" w:hAnsi="Cambria Math" w:cs="Times New Roman"/>
                <w:sz w:val="22"/>
                <w:szCs w:val="22"/>
              </w:rPr>
              <m:t>t</m:t>
            </m:r>
          </m:sub>
        </m:sSub>
      </m:oMath>
      <w:r w:rsidRPr="006E5ECF">
        <w:rPr>
          <w:rFonts w:ascii="Times New Roman" w:eastAsiaTheme="minorEastAsia" w:hAnsi="Times New Roman" w:cs="Times New Roman"/>
          <w:sz w:val="22"/>
          <w:szCs w:val="22"/>
        </w:rPr>
        <w:t xml:space="preserve"> </w:t>
      </w:r>
      <w:r w:rsidRPr="006E5ECF">
        <w:rPr>
          <w:rFonts w:ascii="Times New Roman" w:hAnsi="Times New Roman" w:cs="Times New Roman"/>
          <w:sz w:val="22"/>
          <w:szCs w:val="22"/>
        </w:rPr>
        <w:t>is the white-noise error term.</w:t>
      </w:r>
    </w:p>
    <w:p w14:paraId="73D92CDE" w14:textId="77777777"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The present investigation embodies a three-phase approach for its empirical investigation. Starting with testing the stationarity of the distinct time-series, for robustness, one test utilised, i.e., Phillips and Perron (1991) test. (ii) The Co-integration (Pesaran et al., 1999) amid the reported variables is investigated to ascertain the prolonged association. (iii) Finally, causativeness among the variable has been analysed using pair-wise Granger-causality testing.</w:t>
      </w:r>
    </w:p>
    <w:p w14:paraId="37413F32" w14:textId="7069F569" w:rsidR="003B6507" w:rsidRPr="006E5ECF" w:rsidRDefault="006C36D4" w:rsidP="001E515E">
      <w:pPr>
        <w:tabs>
          <w:tab w:val="left" w:pos="2024"/>
        </w:tabs>
        <w:spacing w:line="480" w:lineRule="auto"/>
        <w:jc w:val="both"/>
        <w:rPr>
          <w:rFonts w:ascii="Times New Roman" w:eastAsiaTheme="minorEastAsia" w:hAnsi="Times New Roman" w:cs="Times New Roman"/>
          <w:b/>
          <w:bCs/>
          <w:i/>
          <w:iCs/>
          <w:sz w:val="22"/>
          <w:szCs w:val="22"/>
        </w:rPr>
      </w:pPr>
      <w:r w:rsidRPr="006E5ECF">
        <w:rPr>
          <w:rFonts w:ascii="Times New Roman" w:eastAsiaTheme="minorEastAsia" w:hAnsi="Times New Roman" w:cs="Times New Roman"/>
          <w:b/>
          <w:bCs/>
          <w:i/>
          <w:iCs/>
          <w:sz w:val="22"/>
          <w:szCs w:val="22"/>
        </w:rPr>
        <w:t>4.3 Methodology Description</w:t>
      </w:r>
    </w:p>
    <w:p w14:paraId="688ACB3A" w14:textId="77777777" w:rsidR="00870062" w:rsidRPr="006E5ECF" w:rsidRDefault="00870062"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lastRenderedPageBreak/>
        <w:t>The Stock-Watson dynamic ordinary least squares (DOLS) model (Stock &amp; Watson, 1993) is a popular parametric approach. Its key innovation is to augment the static cointegrating regression by adding leads and lags of the first-differenced independent variables.</w:t>
      </w:r>
    </w:p>
    <w:p w14:paraId="2FA34C15" w14:textId="77777777" w:rsidR="00870062" w:rsidRPr="006E5ECF" w:rsidRDefault="00870062"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The presence of these leads and lags for the different variables serves to eliminate the bias of simultaneity within a sample. This augmentation provides a better approach to a normal distribution for the estimators, allowing for standard hypothesis testing.</w:t>
      </w:r>
    </w:p>
    <w:p w14:paraId="7A6B98A4" w14:textId="4E456A37" w:rsidR="00870062" w:rsidRPr="006E5ECF" w:rsidRDefault="00870062"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 xml:space="preserve">The DOLS model with a dependent variable </w:t>
      </w: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y</m:t>
            </m:r>
          </m:e>
          <m:sub>
            <m:r>
              <w:rPr>
                <w:rFonts w:ascii="Cambria Math" w:eastAsiaTheme="minorEastAsia" w:hAnsi="Cambria Math" w:cs="Times New Roman"/>
                <w:sz w:val="22"/>
                <w:szCs w:val="22"/>
                <w:lang w:val="en-IN"/>
              </w:rPr>
              <m:t>t</m:t>
            </m:r>
          </m:sub>
        </m:sSub>
      </m:oMath>
      <w:r w:rsidRPr="006E5ECF">
        <w:rPr>
          <w:rFonts w:ascii="Times New Roman" w:eastAsiaTheme="minorEastAsia" w:hAnsi="Times New Roman" w:cs="Times New Roman"/>
          <w:sz w:val="22"/>
          <w:szCs w:val="22"/>
          <w:lang w:val="en-IN"/>
        </w:rPr>
        <w:t xml:space="preserve"> and an independent variable </w:t>
      </w: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x</m:t>
            </m:r>
          </m:e>
          <m:sub>
            <m:r>
              <w:rPr>
                <w:rFonts w:ascii="Cambria Math" w:eastAsiaTheme="minorEastAsia" w:hAnsi="Cambria Math" w:cs="Times New Roman"/>
                <w:sz w:val="22"/>
                <w:szCs w:val="22"/>
                <w:lang w:val="en-IN"/>
              </w:rPr>
              <m:t>t</m:t>
            </m:r>
          </m:sub>
        </m:sSub>
      </m:oMath>
      <w:r w:rsidRPr="006E5ECF">
        <w:rPr>
          <w:rFonts w:ascii="Times New Roman" w:eastAsiaTheme="minorEastAsia" w:hAnsi="Times New Roman" w:cs="Times New Roman"/>
          <w:sz w:val="22"/>
          <w:szCs w:val="22"/>
          <w:lang w:val="en-IN"/>
        </w:rPr>
        <w:t xml:space="preserve"> is specified as below:</w:t>
      </w:r>
    </w:p>
    <w:p w14:paraId="3AE59492" w14:textId="7CD4B979" w:rsidR="00D8489B" w:rsidRPr="006E5ECF" w:rsidRDefault="00DA0A2E" w:rsidP="001E515E">
      <w:pPr>
        <w:tabs>
          <w:tab w:val="left" w:pos="2024"/>
        </w:tabs>
        <w:spacing w:line="480" w:lineRule="auto"/>
        <w:jc w:val="both"/>
        <w:rPr>
          <w:rFonts w:ascii="Times New Roman" w:eastAsiaTheme="minorEastAsia" w:hAnsi="Times New Roman" w:cs="Times New Roman"/>
          <w:sz w:val="22"/>
          <w:szCs w:val="22"/>
          <w:lang w:val="en-IN"/>
        </w:rPr>
      </w:pPr>
      <m:oMathPara>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y</m:t>
              </m:r>
            </m:e>
            <m:sub>
              <m:r>
                <w:rPr>
                  <w:rFonts w:ascii="Cambria Math" w:eastAsiaTheme="minorEastAsia" w:hAnsi="Cambria Math" w:cs="Times New Roman"/>
                  <w:sz w:val="22"/>
                  <w:szCs w:val="22"/>
                  <w:lang w:val="en-IN"/>
                </w:rPr>
                <m:t>t</m:t>
              </m:r>
            </m:sub>
          </m:sSub>
          <m:r>
            <w:rPr>
              <w:rFonts w:ascii="Cambria Math" w:eastAsiaTheme="minorEastAsia" w:hAnsi="Cambria Math" w:cs="Times New Roman"/>
              <w:sz w:val="22"/>
              <w:szCs w:val="22"/>
              <w:lang w:val="en-IN"/>
            </w:rPr>
            <m:t xml:space="preserve">= </m:t>
          </m:r>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ϕ</m:t>
              </m:r>
            </m:e>
            <m:sub>
              <m:r>
                <w:rPr>
                  <w:rFonts w:ascii="Cambria Math" w:eastAsiaTheme="minorEastAsia" w:hAnsi="Cambria Math" w:cs="Times New Roman"/>
                  <w:sz w:val="22"/>
                  <w:szCs w:val="22"/>
                  <w:lang w:val="en-IN"/>
                </w:rPr>
                <m:t>0</m:t>
              </m:r>
            </m:sub>
          </m:sSub>
          <m:r>
            <w:rPr>
              <w:rFonts w:ascii="Cambria Math" w:eastAsiaTheme="minorEastAsia" w:hAnsi="Cambria Math" w:cs="Times New Roman"/>
              <w:sz w:val="22"/>
              <w:szCs w:val="22"/>
              <w:lang w:val="en-IN"/>
            </w:rPr>
            <m:t>+</m:t>
          </m:r>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ϕ</m:t>
              </m:r>
            </m:e>
            <m:sub>
              <m:r>
                <w:rPr>
                  <w:rFonts w:ascii="Cambria Math" w:eastAsiaTheme="minorEastAsia" w:hAnsi="Cambria Math" w:cs="Times New Roman"/>
                  <w:sz w:val="22"/>
                  <w:szCs w:val="22"/>
                  <w:lang w:val="en-IN"/>
                </w:rPr>
                <m:t>1</m:t>
              </m:r>
            </m:sub>
          </m:sSub>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x</m:t>
              </m:r>
            </m:e>
            <m:sub>
              <m:r>
                <w:rPr>
                  <w:rFonts w:ascii="Cambria Math" w:eastAsiaTheme="minorEastAsia" w:hAnsi="Cambria Math" w:cs="Times New Roman"/>
                  <w:sz w:val="22"/>
                  <w:szCs w:val="22"/>
                  <w:lang w:val="en-IN"/>
                </w:rPr>
                <m:t>t</m:t>
              </m:r>
            </m:sub>
          </m:sSub>
          <m:r>
            <w:rPr>
              <w:rFonts w:ascii="Cambria Math" w:eastAsiaTheme="minorEastAsia" w:hAnsi="Cambria Math" w:cs="Times New Roman"/>
              <w:sz w:val="22"/>
              <w:szCs w:val="22"/>
              <w:lang w:val="en-IN"/>
            </w:rPr>
            <m:t>+</m:t>
          </m:r>
          <m:nary>
            <m:naryPr>
              <m:chr m:val="∑"/>
              <m:ctrlPr>
                <w:rPr>
                  <w:rFonts w:ascii="Cambria Math" w:eastAsiaTheme="minorEastAsia" w:hAnsi="Cambria Math" w:cs="Times New Roman"/>
                  <w:i/>
                  <w:sz w:val="22"/>
                  <w:szCs w:val="22"/>
                  <w:lang w:val="en-IN"/>
                </w:rPr>
              </m:ctrlPr>
            </m:naryPr>
            <m:sub>
              <m:d>
                <m:dPr>
                  <m:begChr m:val="{"/>
                  <m:endChr m:val="}"/>
                  <m:ctrlPr>
                    <w:rPr>
                      <w:rFonts w:ascii="Cambria Math" w:eastAsiaTheme="minorEastAsia" w:hAnsi="Cambria Math" w:cs="Times New Roman"/>
                      <w:i/>
                      <w:sz w:val="22"/>
                      <w:szCs w:val="22"/>
                      <w:lang w:val="en-IN"/>
                    </w:rPr>
                  </m:ctrlPr>
                </m:dPr>
                <m:e>
                  <m:r>
                    <w:rPr>
                      <w:rFonts w:ascii="Cambria Math" w:eastAsiaTheme="minorEastAsia" w:hAnsi="Cambria Math" w:cs="Times New Roman"/>
                      <w:sz w:val="22"/>
                      <w:szCs w:val="22"/>
                      <w:lang w:val="en-IN"/>
                    </w:rPr>
                    <m:t>j=-n</m:t>
                  </m:r>
                </m:e>
              </m:d>
            </m:sub>
            <m:sup>
              <m:d>
                <m:dPr>
                  <m:begChr m:val="{"/>
                  <m:endChr m:val="}"/>
                  <m:ctrlPr>
                    <w:rPr>
                      <w:rFonts w:ascii="Cambria Math" w:eastAsiaTheme="minorEastAsia" w:hAnsi="Cambria Math" w:cs="Times New Roman"/>
                      <w:i/>
                      <w:sz w:val="22"/>
                      <w:szCs w:val="22"/>
                      <w:lang w:val="en-IN"/>
                    </w:rPr>
                  </m:ctrlPr>
                </m:dPr>
                <m:e>
                  <m:r>
                    <w:rPr>
                      <w:rFonts w:ascii="Cambria Math" w:eastAsiaTheme="minorEastAsia" w:hAnsi="Cambria Math" w:cs="Times New Roman"/>
                      <w:sz w:val="22"/>
                      <w:szCs w:val="22"/>
                      <w:lang w:val="en-IN"/>
                    </w:rPr>
                    <m:t>m</m:t>
                  </m:r>
                </m:e>
              </m:d>
            </m:sup>
            <m:e>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α</m:t>
                  </m:r>
                </m:e>
                <m:sub>
                  <m:r>
                    <w:rPr>
                      <w:rFonts w:ascii="Cambria Math" w:eastAsiaTheme="minorEastAsia" w:hAnsi="Cambria Math" w:cs="Times New Roman"/>
                      <w:sz w:val="22"/>
                      <w:szCs w:val="22"/>
                      <w:lang w:val="en-IN"/>
                    </w:rPr>
                    <m:t>j</m:t>
                  </m:r>
                </m:sub>
              </m:sSub>
              <m:r>
                <m:rPr>
                  <m:sty m:val="p"/>
                </m:rPr>
                <w:rPr>
                  <w:rFonts w:ascii="Cambria Math" w:eastAsiaTheme="minorEastAsia" w:hAnsi="Cambria Math" w:cs="Times New Roman"/>
                  <w:sz w:val="22"/>
                  <w:szCs w:val="22"/>
                  <w:lang w:val="en-IN"/>
                </w:rPr>
                <m:t>Δ</m:t>
              </m:r>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x</m:t>
                  </m:r>
                </m:e>
                <m:sub>
                  <m:d>
                    <m:dPr>
                      <m:begChr m:val="{"/>
                      <m:endChr m:val="}"/>
                      <m:ctrlPr>
                        <w:rPr>
                          <w:rFonts w:ascii="Cambria Math" w:eastAsiaTheme="minorEastAsia" w:hAnsi="Cambria Math" w:cs="Times New Roman"/>
                          <w:i/>
                          <w:sz w:val="22"/>
                          <w:szCs w:val="22"/>
                          <w:lang w:val="en-IN"/>
                        </w:rPr>
                      </m:ctrlPr>
                    </m:dPr>
                    <m:e>
                      <m:r>
                        <w:rPr>
                          <w:rFonts w:ascii="Cambria Math" w:eastAsiaTheme="minorEastAsia" w:hAnsi="Cambria Math" w:cs="Times New Roman"/>
                          <w:sz w:val="22"/>
                          <w:szCs w:val="22"/>
                          <w:lang w:val="en-IN"/>
                        </w:rPr>
                        <m:t>t-j</m:t>
                      </m:r>
                    </m:e>
                  </m:d>
                </m:sub>
              </m:sSub>
              <m:r>
                <w:rPr>
                  <w:rFonts w:ascii="Cambria Math" w:eastAsiaTheme="minorEastAsia" w:hAnsi="Cambria Math" w:cs="Times New Roman"/>
                  <w:sz w:val="22"/>
                  <w:szCs w:val="22"/>
                  <w:lang w:val="en-IN"/>
                </w:rPr>
                <m:t>+</m:t>
              </m:r>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ϵ</m:t>
                  </m:r>
                </m:e>
                <m:sub>
                  <m:r>
                    <w:rPr>
                      <w:rFonts w:ascii="Cambria Math" w:eastAsiaTheme="minorEastAsia" w:hAnsi="Cambria Math" w:cs="Times New Roman"/>
                      <w:sz w:val="22"/>
                      <w:szCs w:val="22"/>
                      <w:lang w:val="en-IN"/>
                    </w:rPr>
                    <m:t>t</m:t>
                  </m:r>
                </m:sub>
              </m:sSub>
            </m:e>
          </m:nary>
        </m:oMath>
      </m:oMathPara>
    </w:p>
    <w:p w14:paraId="0CCBCB09" w14:textId="32B3E85A" w:rsidR="00870062" w:rsidRPr="006E5ECF" w:rsidRDefault="00870062"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Where:</w:t>
      </w:r>
    </w:p>
    <w:p w14:paraId="0138CAB3" w14:textId="3459AF7A" w:rsidR="00870062" w:rsidRPr="006E5ECF" w:rsidRDefault="00DA0A2E" w:rsidP="001E515E">
      <w:pPr>
        <w:numPr>
          <w:ilvl w:val="0"/>
          <w:numId w:val="7"/>
        </w:numPr>
        <w:tabs>
          <w:tab w:val="left" w:pos="2024"/>
        </w:tabs>
        <w:spacing w:line="480" w:lineRule="auto"/>
        <w:jc w:val="both"/>
        <w:rPr>
          <w:rFonts w:ascii="Times New Roman" w:eastAsiaTheme="minorEastAsia" w:hAnsi="Times New Roman" w:cs="Times New Roman"/>
          <w:sz w:val="22"/>
          <w:szCs w:val="22"/>
          <w:lang w:val="en-IN"/>
        </w:rPr>
      </w:pP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ϕ</m:t>
            </m:r>
          </m:e>
          <m:sub>
            <m:r>
              <w:rPr>
                <w:rFonts w:ascii="Cambria Math" w:eastAsiaTheme="minorEastAsia" w:hAnsi="Cambria Math" w:cs="Times New Roman"/>
                <w:sz w:val="22"/>
                <w:szCs w:val="22"/>
                <w:lang w:val="en-IN"/>
              </w:rPr>
              <m:t>1</m:t>
            </m:r>
          </m:sub>
        </m:sSub>
      </m:oMath>
      <w:r w:rsidR="00963E83" w:rsidRPr="006E5ECF">
        <w:rPr>
          <w:rFonts w:ascii="Times New Roman" w:eastAsiaTheme="minorEastAsia" w:hAnsi="Times New Roman" w:cs="Times New Roman"/>
          <w:sz w:val="22"/>
          <w:szCs w:val="22"/>
          <w:lang w:val="en-IN"/>
        </w:rPr>
        <w:t xml:space="preserve"> </w:t>
      </w:r>
      <w:r w:rsidR="00870062" w:rsidRPr="006E5ECF">
        <w:rPr>
          <w:rFonts w:ascii="Times New Roman" w:eastAsiaTheme="minorEastAsia" w:hAnsi="Times New Roman" w:cs="Times New Roman"/>
          <w:sz w:val="22"/>
          <w:szCs w:val="22"/>
          <w:lang w:val="en-IN"/>
        </w:rPr>
        <w:t xml:space="preserve">indicates the long-run effect (the cointegrating coefficient) of a change in </w:t>
      </w:r>
      <m:oMath>
        <m:r>
          <w:rPr>
            <w:rFonts w:ascii="Cambria Math" w:eastAsiaTheme="minorEastAsia" w:hAnsi="Cambria Math" w:cs="Times New Roman"/>
            <w:sz w:val="22"/>
            <w:szCs w:val="22"/>
            <w:lang w:val="en-IN"/>
          </w:rPr>
          <m:t>x</m:t>
        </m:r>
      </m:oMath>
      <w:r w:rsidR="00870062" w:rsidRPr="006E5ECF">
        <w:rPr>
          <w:rFonts w:ascii="Times New Roman" w:eastAsiaTheme="minorEastAsia" w:hAnsi="Times New Roman" w:cs="Times New Roman"/>
          <w:sz w:val="22"/>
          <w:szCs w:val="22"/>
          <w:lang w:val="en-IN"/>
        </w:rPr>
        <w:t xml:space="preserve"> on </w:t>
      </w:r>
      <m:oMath>
        <m:r>
          <w:rPr>
            <w:rFonts w:ascii="Cambria Math" w:eastAsiaTheme="minorEastAsia" w:hAnsi="Cambria Math" w:cs="Times New Roman"/>
            <w:sz w:val="22"/>
            <w:szCs w:val="22"/>
            <w:lang w:val="en-IN"/>
          </w:rPr>
          <m:t>y</m:t>
        </m:r>
      </m:oMath>
      <w:r w:rsidR="00870062" w:rsidRPr="006E5ECF">
        <w:rPr>
          <w:rFonts w:ascii="Times New Roman" w:eastAsiaTheme="minorEastAsia" w:hAnsi="Times New Roman" w:cs="Times New Roman"/>
          <w:sz w:val="22"/>
          <w:szCs w:val="22"/>
          <w:lang w:val="en-IN"/>
        </w:rPr>
        <w:t>.</w:t>
      </w:r>
    </w:p>
    <w:p w14:paraId="7AC4F1DE" w14:textId="6D02BCBC" w:rsidR="00870062" w:rsidRPr="006E5ECF" w:rsidRDefault="002D23C6" w:rsidP="001E515E">
      <w:pPr>
        <w:numPr>
          <w:ilvl w:val="0"/>
          <w:numId w:val="7"/>
        </w:numPr>
        <w:tabs>
          <w:tab w:val="left" w:pos="2024"/>
        </w:tabs>
        <w:spacing w:line="480" w:lineRule="auto"/>
        <w:jc w:val="both"/>
        <w:rPr>
          <w:rFonts w:ascii="Times New Roman" w:eastAsiaTheme="minorEastAsia" w:hAnsi="Times New Roman" w:cs="Times New Roman"/>
          <w:sz w:val="22"/>
          <w:szCs w:val="22"/>
          <w:lang w:val="en-IN"/>
        </w:rPr>
      </w:pPr>
      <m:oMath>
        <m:r>
          <w:rPr>
            <w:rFonts w:ascii="Cambria Math" w:eastAsiaTheme="minorEastAsia" w:hAnsi="Cambria Math" w:cs="Times New Roman"/>
            <w:sz w:val="22"/>
            <w:szCs w:val="22"/>
            <w:lang w:val="en-IN"/>
          </w:rPr>
          <m:t>n</m:t>
        </m:r>
      </m:oMath>
      <w:r w:rsidR="00870062" w:rsidRPr="006E5ECF">
        <w:rPr>
          <w:rFonts w:ascii="Times New Roman" w:eastAsiaTheme="minorEastAsia" w:hAnsi="Times New Roman" w:cs="Times New Roman"/>
          <w:sz w:val="22"/>
          <w:szCs w:val="22"/>
          <w:lang w:val="en-IN"/>
        </w:rPr>
        <w:t xml:space="preserve"> and </w:t>
      </w:r>
      <m:oMath>
        <m:r>
          <w:rPr>
            <w:rFonts w:ascii="Cambria Math" w:eastAsiaTheme="minorEastAsia" w:hAnsi="Cambria Math" w:cs="Times New Roman"/>
            <w:sz w:val="22"/>
            <w:szCs w:val="22"/>
            <w:lang w:val="en-IN"/>
          </w:rPr>
          <m:t>m</m:t>
        </m:r>
      </m:oMath>
      <w:r w:rsidR="00870062" w:rsidRPr="006E5ECF">
        <w:rPr>
          <w:rFonts w:ascii="Times New Roman" w:eastAsiaTheme="minorEastAsia" w:hAnsi="Times New Roman" w:cs="Times New Roman"/>
          <w:sz w:val="22"/>
          <w:szCs w:val="22"/>
          <w:lang w:val="en-IN"/>
        </w:rPr>
        <w:t xml:space="preserve"> show the lag and lead length, respectively.</w:t>
      </w:r>
    </w:p>
    <w:p w14:paraId="707FBE5E" w14:textId="36EBE261" w:rsidR="00870062" w:rsidRPr="006E5ECF" w:rsidRDefault="00B70A67" w:rsidP="001E515E">
      <w:pPr>
        <w:numPr>
          <w:ilvl w:val="0"/>
          <w:numId w:val="7"/>
        </w:numPr>
        <w:tabs>
          <w:tab w:val="left" w:pos="2024"/>
        </w:tabs>
        <w:spacing w:line="480" w:lineRule="auto"/>
        <w:jc w:val="both"/>
        <w:rPr>
          <w:rFonts w:ascii="Times New Roman" w:eastAsiaTheme="minorEastAsia" w:hAnsi="Times New Roman" w:cs="Times New Roman"/>
          <w:sz w:val="22"/>
          <w:szCs w:val="22"/>
          <w:lang w:val="en-IN"/>
        </w:rPr>
      </w:pPr>
      <m:oMath>
        <m:r>
          <m:rPr>
            <m:sty m:val="p"/>
          </m:rPr>
          <w:rPr>
            <w:rFonts w:ascii="Cambria Math" w:eastAsiaTheme="minorEastAsia" w:hAnsi="Cambria Math" w:cs="Times New Roman"/>
            <w:sz w:val="22"/>
            <w:szCs w:val="22"/>
            <w:lang w:val="en-IN"/>
          </w:rPr>
          <m:t>Δ</m:t>
        </m:r>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x</m:t>
            </m:r>
          </m:e>
          <m:sub>
            <m:r>
              <w:rPr>
                <w:rFonts w:ascii="Cambria Math" w:eastAsiaTheme="minorEastAsia" w:hAnsi="Cambria Math" w:cs="Times New Roman"/>
                <w:sz w:val="22"/>
                <w:szCs w:val="22"/>
                <w:lang w:val="en-IN"/>
              </w:rPr>
              <m:t>t-j</m:t>
            </m:r>
          </m:sub>
        </m:sSub>
      </m:oMath>
      <w:r w:rsidRPr="006E5ECF">
        <w:rPr>
          <w:rFonts w:ascii="Times New Roman" w:eastAsiaTheme="minorEastAsia" w:hAnsi="Times New Roman" w:cs="Times New Roman"/>
          <w:sz w:val="22"/>
          <w:szCs w:val="22"/>
          <w:lang w:val="en-IN"/>
        </w:rPr>
        <w:t xml:space="preserve"> </w:t>
      </w:r>
      <w:r w:rsidR="00870062" w:rsidRPr="006E5ECF">
        <w:rPr>
          <w:rFonts w:ascii="Times New Roman" w:eastAsiaTheme="minorEastAsia" w:hAnsi="Times New Roman" w:cs="Times New Roman"/>
          <w:sz w:val="22"/>
          <w:szCs w:val="22"/>
          <w:lang w:val="en-IN"/>
        </w:rPr>
        <w:t xml:space="preserve">represents the leads (when </w:t>
      </w:r>
      <m:oMath>
        <m:r>
          <w:rPr>
            <w:rFonts w:ascii="Cambria Math" w:eastAsiaTheme="minorEastAsia" w:hAnsi="Cambria Math" w:cs="Times New Roman"/>
            <w:sz w:val="22"/>
            <w:szCs w:val="22"/>
            <w:lang w:val="en-IN"/>
          </w:rPr>
          <m:t>j</m:t>
        </m:r>
      </m:oMath>
      <w:r w:rsidR="00870062" w:rsidRPr="006E5ECF">
        <w:rPr>
          <w:rFonts w:ascii="Times New Roman" w:eastAsiaTheme="minorEastAsia" w:hAnsi="Times New Roman" w:cs="Times New Roman"/>
          <w:sz w:val="22"/>
          <w:szCs w:val="22"/>
          <w:lang w:val="en-IN"/>
        </w:rPr>
        <w:t xml:space="preserve"> is negative) and lags (when </w:t>
      </w:r>
      <m:oMath>
        <m:r>
          <w:rPr>
            <w:rFonts w:ascii="Cambria Math" w:eastAsiaTheme="minorEastAsia" w:hAnsi="Cambria Math" w:cs="Times New Roman"/>
            <w:sz w:val="22"/>
            <w:szCs w:val="22"/>
            <w:lang w:val="en-IN"/>
          </w:rPr>
          <m:t>j</m:t>
        </m:r>
      </m:oMath>
      <w:r w:rsidR="00870062" w:rsidRPr="006E5ECF">
        <w:rPr>
          <w:rFonts w:ascii="Times New Roman" w:eastAsiaTheme="minorEastAsia" w:hAnsi="Times New Roman" w:cs="Times New Roman"/>
          <w:sz w:val="22"/>
          <w:szCs w:val="22"/>
          <w:lang w:val="en-IN"/>
        </w:rPr>
        <w:t xml:space="preserve"> is positive) of the first-differenced regressor.</w:t>
      </w:r>
    </w:p>
    <w:p w14:paraId="6FB716F4" w14:textId="31A118A2" w:rsidR="00870062" w:rsidRPr="006E5ECF" w:rsidRDefault="00DA0A2E" w:rsidP="001E515E">
      <w:pPr>
        <w:numPr>
          <w:ilvl w:val="0"/>
          <w:numId w:val="7"/>
        </w:numPr>
        <w:tabs>
          <w:tab w:val="left" w:pos="2024"/>
        </w:tabs>
        <w:spacing w:line="480" w:lineRule="auto"/>
        <w:jc w:val="both"/>
        <w:rPr>
          <w:rFonts w:ascii="Times New Roman" w:eastAsiaTheme="minorEastAsia" w:hAnsi="Times New Roman" w:cs="Times New Roman"/>
          <w:sz w:val="22"/>
          <w:szCs w:val="22"/>
          <w:lang w:val="en-IN"/>
        </w:rPr>
      </w:pP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ϵ</m:t>
            </m:r>
          </m:e>
          <m:sub>
            <m:r>
              <w:rPr>
                <w:rFonts w:ascii="Cambria Math" w:eastAsiaTheme="minorEastAsia" w:hAnsi="Cambria Math" w:cs="Times New Roman"/>
                <w:sz w:val="22"/>
                <w:szCs w:val="22"/>
                <w:lang w:val="en-IN"/>
              </w:rPr>
              <m:t>t</m:t>
            </m:r>
          </m:sub>
        </m:sSub>
      </m:oMath>
      <w:r w:rsidR="00870062" w:rsidRPr="006E5ECF">
        <w:rPr>
          <w:rFonts w:ascii="Times New Roman" w:eastAsiaTheme="minorEastAsia" w:hAnsi="Times New Roman" w:cs="Times New Roman"/>
          <w:sz w:val="22"/>
          <w:szCs w:val="22"/>
          <w:lang w:val="en-IN"/>
        </w:rPr>
        <w:t xml:space="preserve"> is the residual term.</w:t>
      </w:r>
    </w:p>
    <w:p w14:paraId="21E3595C" w14:textId="4A5E5408" w:rsidR="00870062" w:rsidRPr="006E5ECF" w:rsidRDefault="00870062"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 xml:space="preserve">The reason why these lag and lead terms are included in the DOLS model is that they have the role of making its stochastic error term independent of all past innovations in the stochastic regressors (as noted in Baba et al., 1992). In simple terms, they “soak up” all the short-run dynamics and endogeneity, leaving the error term </w:t>
      </w: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ϵ</m:t>
            </m:r>
          </m:e>
          <m:sub>
            <m:r>
              <w:rPr>
                <w:rFonts w:ascii="Cambria Math" w:eastAsiaTheme="minorEastAsia" w:hAnsi="Cambria Math" w:cs="Times New Roman"/>
                <w:sz w:val="22"/>
                <w:szCs w:val="22"/>
                <w:lang w:val="en-IN"/>
              </w:rPr>
              <m:t>t</m:t>
            </m:r>
          </m:sub>
        </m:sSub>
      </m:oMath>
      <w:r w:rsidRPr="006E5ECF">
        <w:rPr>
          <w:rFonts w:ascii="Times New Roman" w:eastAsiaTheme="minorEastAsia" w:hAnsi="Times New Roman" w:cs="Times New Roman"/>
          <w:sz w:val="22"/>
          <w:szCs w:val="22"/>
          <w:lang w:val="en-IN"/>
        </w:rPr>
        <w:t xml:space="preserve"> “clean” and allowing the coefficient </w:t>
      </w: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ϕ</m:t>
            </m:r>
          </m:e>
          <m:sub>
            <m:r>
              <w:rPr>
                <w:rFonts w:ascii="Cambria Math" w:eastAsiaTheme="minorEastAsia" w:hAnsi="Cambria Math" w:cs="Times New Roman"/>
                <w:sz w:val="22"/>
                <w:szCs w:val="22"/>
                <w:lang w:val="en-IN"/>
              </w:rPr>
              <m:t>1</m:t>
            </m:r>
          </m:sub>
        </m:sSub>
      </m:oMath>
      <w:r w:rsidR="002D23C6" w:rsidRPr="006E5ECF">
        <w:rPr>
          <w:rFonts w:ascii="Times New Roman" w:eastAsiaTheme="minorEastAsia" w:hAnsi="Times New Roman" w:cs="Times New Roman"/>
          <w:sz w:val="22"/>
          <w:szCs w:val="22"/>
          <w:lang w:val="en-IN"/>
        </w:rPr>
        <w:t xml:space="preserve"> </w:t>
      </w:r>
      <w:r w:rsidRPr="006E5ECF">
        <w:rPr>
          <w:rFonts w:ascii="Times New Roman" w:eastAsiaTheme="minorEastAsia" w:hAnsi="Times New Roman" w:cs="Times New Roman"/>
          <w:sz w:val="22"/>
          <w:szCs w:val="22"/>
          <w:lang w:val="en-IN"/>
        </w:rPr>
        <w:t>to be an unbiased measure of the long-run relationship. It’s simple to implement (it’s just OLS on an augmented equation) and performs well in many cases.</w:t>
      </w:r>
    </w:p>
    <w:p w14:paraId="02CF3344" w14:textId="0273FA4A" w:rsidR="001D2B85" w:rsidRPr="006E5ECF" w:rsidRDefault="00E807FC"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The Fully Modified Ordinary Least Squares (FMOLS) estimator, developed by Phillips and Hansen (1990), is a non-parametric approach to fixing the OLS problems.</w:t>
      </w:r>
      <w:r w:rsidR="008C78A7" w:rsidRPr="006E5ECF">
        <w:rPr>
          <w:rFonts w:ascii="Times New Roman" w:eastAsiaTheme="minorEastAsia" w:hAnsi="Times New Roman" w:cs="Times New Roman"/>
          <w:sz w:val="22"/>
          <w:szCs w:val="22"/>
          <w:lang w:val="en-IN"/>
        </w:rPr>
        <w:t xml:space="preserve"> </w:t>
      </w:r>
      <w:r w:rsidRPr="006E5ECF">
        <w:rPr>
          <w:rFonts w:ascii="Times New Roman" w:eastAsiaTheme="minorEastAsia" w:hAnsi="Times New Roman" w:cs="Times New Roman"/>
          <w:sz w:val="22"/>
          <w:szCs w:val="22"/>
          <w:lang w:val="en-IN"/>
        </w:rPr>
        <w:t>Instead of adding more variables to the regression (like DOLS), FMOLS modifies the original OLS estimator itself. It uses a kernel-based technique to correct for the serial correlation and endogeneity non-parametrically. The process involves two main “modifications”</w:t>
      </w:r>
      <w:r w:rsidR="00637C21" w:rsidRPr="006E5ECF">
        <w:rPr>
          <w:rFonts w:ascii="Times New Roman" w:eastAsiaTheme="minorEastAsia" w:hAnsi="Times New Roman" w:cs="Times New Roman"/>
          <w:sz w:val="22"/>
          <w:szCs w:val="22"/>
          <w:lang w:val="en-IN"/>
        </w:rPr>
        <w:t xml:space="preserve">. </w:t>
      </w:r>
      <w:r w:rsidRPr="006E5ECF">
        <w:rPr>
          <w:rFonts w:ascii="Times New Roman" w:eastAsiaTheme="minorEastAsia" w:hAnsi="Times New Roman" w:cs="Times New Roman"/>
          <w:sz w:val="22"/>
          <w:szCs w:val="22"/>
          <w:lang w:val="en-IN"/>
        </w:rPr>
        <w:t xml:space="preserve">The OLS estimator is modified to account for the serial correlation in the error terms. This involves estimating the </w:t>
      </w:r>
      <w:r w:rsidR="00637C21" w:rsidRPr="006E5ECF">
        <w:rPr>
          <w:rFonts w:ascii="Times New Roman" w:eastAsiaTheme="minorEastAsia" w:hAnsi="Times New Roman" w:cs="Times New Roman"/>
          <w:sz w:val="22"/>
          <w:szCs w:val="22"/>
          <w:lang w:val="en-IN"/>
        </w:rPr>
        <w:t>“</w:t>
      </w:r>
      <w:r w:rsidRPr="006E5ECF">
        <w:rPr>
          <w:rFonts w:ascii="Times New Roman" w:eastAsiaTheme="minorEastAsia" w:hAnsi="Times New Roman" w:cs="Times New Roman"/>
          <w:sz w:val="22"/>
          <w:szCs w:val="22"/>
          <w:lang w:val="en-IN"/>
        </w:rPr>
        <w:t>long-run variance</w:t>
      </w:r>
      <w:r w:rsidR="00637C21" w:rsidRPr="006E5ECF">
        <w:rPr>
          <w:rFonts w:ascii="Times New Roman" w:eastAsiaTheme="minorEastAsia" w:hAnsi="Times New Roman" w:cs="Times New Roman"/>
          <w:sz w:val="22"/>
          <w:szCs w:val="22"/>
          <w:lang w:val="en-IN"/>
        </w:rPr>
        <w:t>”</w:t>
      </w:r>
      <w:r w:rsidRPr="006E5ECF">
        <w:rPr>
          <w:rFonts w:ascii="Times New Roman" w:eastAsiaTheme="minorEastAsia" w:hAnsi="Times New Roman" w:cs="Times New Roman"/>
          <w:sz w:val="22"/>
          <w:szCs w:val="22"/>
          <w:lang w:val="en-IN"/>
        </w:rPr>
        <w:t xml:space="preserve"> of the residuals. The dependent variable </w:t>
      </w:r>
      <w:r w:rsidRPr="006E5ECF">
        <w:rPr>
          <w:rFonts w:ascii="Times New Roman" w:eastAsiaTheme="minorEastAsia" w:hAnsi="Times New Roman" w:cs="Times New Roman"/>
          <w:sz w:val="22"/>
          <w:szCs w:val="22"/>
          <w:lang w:val="en-IN"/>
        </w:rPr>
        <w:lastRenderedPageBreak/>
        <w:t>(</w:t>
      </w:r>
      <m:oMath>
        <m:sSub>
          <m:sSubPr>
            <m:ctrlPr>
              <w:rPr>
                <w:rFonts w:ascii="Cambria Math" w:eastAsiaTheme="minorEastAsia" w:hAnsi="Cambria Math" w:cs="Times New Roman"/>
                <w:i/>
                <w:sz w:val="22"/>
                <w:szCs w:val="22"/>
                <w:lang w:val="en-IN"/>
              </w:rPr>
            </m:ctrlPr>
          </m:sSubPr>
          <m:e>
            <m:r>
              <w:rPr>
                <w:rFonts w:ascii="Cambria Math" w:eastAsiaTheme="minorEastAsia" w:hAnsi="Cambria Math" w:cs="Times New Roman"/>
                <w:sz w:val="22"/>
                <w:szCs w:val="22"/>
                <w:lang w:val="en-IN"/>
              </w:rPr>
              <m:t>y</m:t>
            </m:r>
          </m:e>
          <m:sub>
            <m:r>
              <w:rPr>
                <w:rFonts w:ascii="Cambria Math" w:eastAsiaTheme="minorEastAsia" w:hAnsi="Cambria Math" w:cs="Times New Roman"/>
                <w:sz w:val="22"/>
                <w:szCs w:val="22"/>
                <w:lang w:val="en-IN"/>
              </w:rPr>
              <m:t>t</m:t>
            </m:r>
          </m:sub>
        </m:sSub>
      </m:oMath>
      <w:r w:rsidRPr="006E5ECF">
        <w:rPr>
          <w:rFonts w:ascii="Times New Roman" w:eastAsiaTheme="minorEastAsia" w:hAnsi="Times New Roman" w:cs="Times New Roman"/>
          <w:sz w:val="22"/>
          <w:szCs w:val="22"/>
          <w:lang w:val="en-IN"/>
        </w:rPr>
        <w:t>) is transformed to remove the part of it that is correlated with the error term.</w:t>
      </w:r>
      <w:r w:rsidR="00637C21" w:rsidRPr="006E5ECF">
        <w:rPr>
          <w:rFonts w:ascii="Times New Roman" w:eastAsiaTheme="minorEastAsia" w:hAnsi="Times New Roman" w:cs="Times New Roman"/>
          <w:sz w:val="22"/>
          <w:szCs w:val="22"/>
          <w:lang w:val="en-IN"/>
        </w:rPr>
        <w:t xml:space="preserve"> </w:t>
      </w:r>
      <w:r w:rsidRPr="006E5ECF">
        <w:rPr>
          <w:rFonts w:ascii="Times New Roman" w:eastAsiaTheme="minorEastAsia" w:hAnsi="Times New Roman" w:cs="Times New Roman"/>
          <w:sz w:val="22"/>
          <w:szCs w:val="22"/>
          <w:lang w:val="en-IN"/>
        </w:rPr>
        <w:t xml:space="preserve">It does not require the researcher to choose the number of leads and lags. It is also known to perform well in smaller </w:t>
      </w:r>
      <w:r w:rsidR="00637C21" w:rsidRPr="006E5ECF">
        <w:rPr>
          <w:rFonts w:ascii="Times New Roman" w:eastAsiaTheme="minorEastAsia" w:hAnsi="Times New Roman" w:cs="Times New Roman"/>
          <w:sz w:val="22"/>
          <w:szCs w:val="22"/>
          <w:lang w:val="en-IN"/>
        </w:rPr>
        <w:t xml:space="preserve">samples. </w:t>
      </w:r>
    </w:p>
    <w:p w14:paraId="6F2AD843" w14:textId="77777777" w:rsidR="00D771FE" w:rsidRPr="006E5ECF" w:rsidRDefault="00EC71EF"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 xml:space="preserve">Both DOLS and FMOLS are usually preferred to the standard OLS estimator for cointegrated </w:t>
      </w:r>
      <w:r w:rsidR="002404DC" w:rsidRPr="006E5ECF">
        <w:rPr>
          <w:rFonts w:ascii="Times New Roman" w:eastAsiaTheme="minorEastAsia" w:hAnsi="Times New Roman" w:cs="Times New Roman"/>
          <w:sz w:val="22"/>
          <w:szCs w:val="22"/>
          <w:lang w:val="en-IN"/>
        </w:rPr>
        <w:t>variables</w:t>
      </w:r>
      <w:r w:rsidRPr="006E5ECF">
        <w:rPr>
          <w:rFonts w:ascii="Times New Roman" w:eastAsiaTheme="minorEastAsia" w:hAnsi="Times New Roman" w:cs="Times New Roman"/>
          <w:sz w:val="22"/>
          <w:szCs w:val="22"/>
          <w:lang w:val="en-IN"/>
        </w:rPr>
        <w:t>. This is because they are both designed to correct for the small sample bias and endogeneity bias that plague conventional OLS. However, they achieve this in different ways:</w:t>
      </w:r>
    </w:p>
    <w:p w14:paraId="187972CA" w14:textId="77777777" w:rsidR="00D771FE" w:rsidRPr="006E5ECF" w:rsidRDefault="00EC71EF" w:rsidP="001E515E">
      <w:pPr>
        <w:pStyle w:val="ListParagraph"/>
        <w:numPr>
          <w:ilvl w:val="0"/>
          <w:numId w:val="9"/>
        </w:num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 xml:space="preserve">DOLS is a parametric approach that explicitly includes leads and lags of the first-differenced regressors to control for these issues. </w:t>
      </w:r>
    </w:p>
    <w:p w14:paraId="3E665FEC" w14:textId="77777777" w:rsidR="00D771FE" w:rsidRPr="006E5ECF" w:rsidRDefault="00EC71EF" w:rsidP="001E515E">
      <w:pPr>
        <w:pStyle w:val="ListParagraph"/>
        <w:numPr>
          <w:ilvl w:val="0"/>
          <w:numId w:val="9"/>
        </w:num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 xml:space="preserve">FMOLS is a non-parametric approach that uses a kernel-based method to modify the OLS estimator and correct the standard errors. </w:t>
      </w:r>
    </w:p>
    <w:p w14:paraId="1D54FCAB" w14:textId="48DC16E0" w:rsidR="00EC71EF" w:rsidRPr="006E5ECF" w:rsidRDefault="00EC71EF" w:rsidP="001E515E">
      <w:pPr>
        <w:tabs>
          <w:tab w:val="left" w:pos="2024"/>
        </w:tabs>
        <w:spacing w:line="480" w:lineRule="auto"/>
        <w:jc w:val="both"/>
        <w:rPr>
          <w:rFonts w:ascii="Times New Roman" w:eastAsiaTheme="minorEastAsia" w:hAnsi="Times New Roman" w:cs="Times New Roman"/>
          <w:sz w:val="22"/>
          <w:szCs w:val="22"/>
          <w:lang w:val="en-IN"/>
        </w:rPr>
      </w:pPr>
      <w:r w:rsidRPr="006E5ECF">
        <w:rPr>
          <w:rFonts w:ascii="Times New Roman" w:eastAsiaTheme="minorEastAsia" w:hAnsi="Times New Roman" w:cs="Times New Roman"/>
          <w:sz w:val="22"/>
          <w:szCs w:val="22"/>
          <w:lang w:val="en-IN"/>
        </w:rPr>
        <w:t>The parametric DOLS is often preferred in applied work over the non-parametric FMOLS. A key reason is that FMOLS (unlike DOLS) can be more sensitive to specific underlying assumptions, such as the requirement that all variables be integrated of the same order, I(1), and that the regressors themselves are not cointegrated. While DOLS also performs best under these conditions, it is often considered more robust and straightforward to implement, as its main requirement is selecting the appropriate lag and lead length. (For a classic application of DOLS, see A. M. M. Masih and R. Masih (1996), Energy Economics, October, 18(4), 315 - 334).</w:t>
      </w:r>
    </w:p>
    <w:p w14:paraId="6D9B3995" w14:textId="02F3AEC3" w:rsidR="000A5D73" w:rsidRPr="006E5ECF" w:rsidRDefault="00525191"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 xml:space="preserve">5. </w:t>
      </w:r>
      <w:r w:rsidR="000A5D73" w:rsidRPr="006E5ECF">
        <w:rPr>
          <w:rFonts w:ascii="Times New Roman" w:eastAsiaTheme="minorEastAsia" w:hAnsi="Times New Roman" w:cs="Times New Roman"/>
          <w:b/>
          <w:bCs/>
          <w:sz w:val="22"/>
          <w:szCs w:val="22"/>
        </w:rPr>
        <w:t>Results and Interpretation</w:t>
      </w:r>
    </w:p>
    <w:p w14:paraId="75C939E4" w14:textId="7679DD39"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To avoid the spurious regression trap, it is obligatory to perform a stationarity analysis. The unit-root statistics have been conveyed in Table </w:t>
      </w:r>
      <w:r w:rsidR="00BC4125" w:rsidRPr="006E5ECF">
        <w:rPr>
          <w:rFonts w:ascii="Times New Roman" w:eastAsiaTheme="minorEastAsia" w:hAnsi="Times New Roman" w:cs="Times New Roman"/>
          <w:sz w:val="22"/>
          <w:szCs w:val="22"/>
        </w:rPr>
        <w:t>2</w:t>
      </w:r>
      <w:r w:rsidRPr="006E5ECF">
        <w:rPr>
          <w:rFonts w:ascii="Times New Roman" w:eastAsiaTheme="minorEastAsia" w:hAnsi="Times New Roman" w:cs="Times New Roman"/>
          <w:sz w:val="22"/>
          <w:szCs w:val="22"/>
        </w:rPr>
        <w:t xml:space="preserve">; we noticed that all of the required variables are first-difference stationery. </w:t>
      </w:r>
    </w:p>
    <w:p w14:paraId="43BED817" w14:textId="04DAC8E2" w:rsidR="000A5D73" w:rsidRPr="006E5ECF" w:rsidRDefault="000A5D73" w:rsidP="001E515E">
      <w:pPr>
        <w:spacing w:line="480" w:lineRule="auto"/>
        <w:jc w:val="center"/>
        <w:rPr>
          <w:rFonts w:ascii="Times New Roman" w:hAnsi="Times New Roman" w:cs="Times New Roman"/>
          <w:b/>
          <w:bCs/>
          <w:sz w:val="22"/>
          <w:szCs w:val="22"/>
        </w:rPr>
      </w:pPr>
      <w:r w:rsidRPr="006E5ECF">
        <w:rPr>
          <w:rFonts w:ascii="Times New Roman" w:hAnsi="Times New Roman" w:cs="Times New Roman"/>
          <w:b/>
          <w:bCs/>
          <w:sz w:val="22"/>
          <w:szCs w:val="22"/>
        </w:rPr>
        <w:t xml:space="preserve">Table </w:t>
      </w:r>
      <w:r w:rsidR="00BC4125" w:rsidRPr="006E5ECF">
        <w:rPr>
          <w:rFonts w:ascii="Times New Roman" w:hAnsi="Times New Roman" w:cs="Times New Roman"/>
          <w:b/>
          <w:bCs/>
          <w:sz w:val="22"/>
          <w:szCs w:val="22"/>
        </w:rPr>
        <w:t>2</w:t>
      </w:r>
      <w:r w:rsidRPr="006E5ECF">
        <w:rPr>
          <w:rFonts w:ascii="Times New Roman" w:hAnsi="Times New Roman" w:cs="Times New Roman"/>
          <w:b/>
          <w:bCs/>
          <w:sz w:val="22"/>
          <w:szCs w:val="22"/>
        </w:rPr>
        <w:t>: Phillips Perron Unit Root Test</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537"/>
        <w:gridCol w:w="1275"/>
        <w:gridCol w:w="3084"/>
        <w:gridCol w:w="3084"/>
      </w:tblGrid>
      <w:tr w:rsidR="000A5D73" w:rsidRPr="006E5ECF" w14:paraId="44FF9051" w14:textId="77777777" w:rsidTr="00147DAD">
        <w:tc>
          <w:tcPr>
            <w:tcW w:w="2812" w:type="dxa"/>
            <w:gridSpan w:val="2"/>
            <w:tcBorders>
              <w:top w:val="single" w:sz="18" w:space="0" w:color="auto"/>
              <w:bottom w:val="single" w:sz="18" w:space="0" w:color="auto"/>
              <w:right w:val="single" w:sz="18" w:space="0" w:color="auto"/>
            </w:tcBorders>
          </w:tcPr>
          <w:p w14:paraId="0B74B25D"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Variables</w:t>
            </w:r>
          </w:p>
        </w:tc>
        <w:tc>
          <w:tcPr>
            <w:tcW w:w="3084" w:type="dxa"/>
            <w:tcBorders>
              <w:top w:val="single" w:sz="18" w:space="0" w:color="auto"/>
              <w:left w:val="single" w:sz="18" w:space="0" w:color="auto"/>
              <w:bottom w:val="single" w:sz="18" w:space="0" w:color="auto"/>
              <w:right w:val="single" w:sz="8" w:space="0" w:color="auto"/>
            </w:tcBorders>
          </w:tcPr>
          <w:p w14:paraId="16EB629E" w14:textId="77777777" w:rsidR="000A5D73" w:rsidRPr="006E5ECF" w:rsidRDefault="000A5D73" w:rsidP="001E515E">
            <w:pPr>
              <w:spacing w:line="480" w:lineRule="auto"/>
              <w:jc w:val="both"/>
              <w:rPr>
                <w:rFonts w:ascii="Times New Roman" w:hAnsi="Times New Roman" w:cs="Times New Roman"/>
                <w:b/>
                <w:bCs/>
                <w:sz w:val="22"/>
                <w:szCs w:val="22"/>
              </w:rPr>
            </w:pPr>
            <w:proofErr w:type="gramStart"/>
            <w:r w:rsidRPr="006E5ECF">
              <w:rPr>
                <w:rFonts w:ascii="Times New Roman" w:hAnsi="Times New Roman" w:cs="Times New Roman"/>
                <w:b/>
                <w:bCs/>
                <w:sz w:val="22"/>
                <w:szCs w:val="22"/>
              </w:rPr>
              <w:t>I(</w:t>
            </w:r>
            <w:proofErr w:type="gramEnd"/>
            <w:r w:rsidRPr="006E5ECF">
              <w:rPr>
                <w:rFonts w:ascii="Times New Roman" w:hAnsi="Times New Roman" w:cs="Times New Roman"/>
                <w:b/>
                <w:bCs/>
                <w:sz w:val="22"/>
                <w:szCs w:val="22"/>
              </w:rPr>
              <w:t>0)</w:t>
            </w:r>
          </w:p>
        </w:tc>
        <w:tc>
          <w:tcPr>
            <w:tcW w:w="3084" w:type="dxa"/>
            <w:tcBorders>
              <w:top w:val="single" w:sz="18" w:space="0" w:color="auto"/>
              <w:left w:val="single" w:sz="8" w:space="0" w:color="auto"/>
              <w:bottom w:val="single" w:sz="18" w:space="0" w:color="auto"/>
            </w:tcBorders>
          </w:tcPr>
          <w:p w14:paraId="5F331027" w14:textId="77777777" w:rsidR="000A5D73" w:rsidRPr="006E5ECF" w:rsidRDefault="000A5D73" w:rsidP="001E515E">
            <w:pPr>
              <w:spacing w:line="480" w:lineRule="auto"/>
              <w:jc w:val="both"/>
              <w:rPr>
                <w:rFonts w:ascii="Times New Roman" w:hAnsi="Times New Roman" w:cs="Times New Roman"/>
                <w:b/>
                <w:bCs/>
                <w:sz w:val="22"/>
                <w:szCs w:val="22"/>
              </w:rPr>
            </w:pPr>
            <w:proofErr w:type="gramStart"/>
            <w:r w:rsidRPr="006E5ECF">
              <w:rPr>
                <w:rFonts w:ascii="Times New Roman" w:hAnsi="Times New Roman" w:cs="Times New Roman"/>
                <w:b/>
                <w:bCs/>
                <w:sz w:val="22"/>
                <w:szCs w:val="22"/>
              </w:rPr>
              <w:t>I(</w:t>
            </w:r>
            <w:proofErr w:type="gramEnd"/>
            <w:r w:rsidRPr="006E5ECF">
              <w:rPr>
                <w:rFonts w:ascii="Times New Roman" w:hAnsi="Times New Roman" w:cs="Times New Roman"/>
                <w:b/>
                <w:bCs/>
                <w:sz w:val="22"/>
                <w:szCs w:val="22"/>
              </w:rPr>
              <w:t>1)</w:t>
            </w:r>
          </w:p>
        </w:tc>
      </w:tr>
      <w:tr w:rsidR="000A5D73" w:rsidRPr="006E5ECF" w14:paraId="257CEFE3" w14:textId="77777777" w:rsidTr="00147DAD">
        <w:tc>
          <w:tcPr>
            <w:tcW w:w="2812" w:type="dxa"/>
            <w:gridSpan w:val="2"/>
            <w:tcBorders>
              <w:top w:val="single" w:sz="8" w:space="0" w:color="auto"/>
              <w:bottom w:val="nil"/>
              <w:right w:val="single" w:sz="18" w:space="0" w:color="auto"/>
            </w:tcBorders>
          </w:tcPr>
          <w:p w14:paraId="1B505FB3"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RE</w:t>
            </w:r>
          </w:p>
        </w:tc>
        <w:tc>
          <w:tcPr>
            <w:tcW w:w="3084" w:type="dxa"/>
            <w:tcBorders>
              <w:top w:val="single" w:sz="8" w:space="0" w:color="auto"/>
              <w:left w:val="single" w:sz="18" w:space="0" w:color="auto"/>
              <w:right w:val="single" w:sz="8" w:space="0" w:color="auto"/>
            </w:tcBorders>
          </w:tcPr>
          <w:p w14:paraId="75741B8F"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-2.45</w:t>
            </w:r>
          </w:p>
        </w:tc>
        <w:tc>
          <w:tcPr>
            <w:tcW w:w="3084" w:type="dxa"/>
            <w:tcBorders>
              <w:top w:val="single" w:sz="8" w:space="0" w:color="auto"/>
              <w:left w:val="single" w:sz="8" w:space="0" w:color="auto"/>
            </w:tcBorders>
          </w:tcPr>
          <w:p w14:paraId="02522C5F"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-4.562***</w:t>
            </w:r>
          </w:p>
        </w:tc>
      </w:tr>
      <w:tr w:rsidR="000A5D73" w:rsidRPr="006E5ECF" w14:paraId="4B807EDF" w14:textId="77777777" w:rsidTr="00147DAD">
        <w:tc>
          <w:tcPr>
            <w:tcW w:w="2812" w:type="dxa"/>
            <w:gridSpan w:val="2"/>
            <w:tcBorders>
              <w:top w:val="nil"/>
              <w:bottom w:val="nil"/>
              <w:right w:val="single" w:sz="18" w:space="0" w:color="auto"/>
            </w:tcBorders>
          </w:tcPr>
          <w:p w14:paraId="450B93DC"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GDP</w:t>
            </w:r>
          </w:p>
        </w:tc>
        <w:tc>
          <w:tcPr>
            <w:tcW w:w="3084" w:type="dxa"/>
            <w:tcBorders>
              <w:left w:val="single" w:sz="18" w:space="0" w:color="auto"/>
              <w:right w:val="single" w:sz="8" w:space="0" w:color="auto"/>
            </w:tcBorders>
          </w:tcPr>
          <w:p w14:paraId="683438D5" w14:textId="77777777" w:rsidR="000A5D73" w:rsidRPr="006E5ECF" w:rsidRDefault="000A5D73" w:rsidP="001E515E">
            <w:pPr>
              <w:spacing w:line="480" w:lineRule="auto"/>
              <w:rPr>
                <w:rFonts w:ascii="Times New Roman" w:hAnsi="Times New Roman" w:cs="Times New Roman"/>
                <w:sz w:val="22"/>
                <w:szCs w:val="22"/>
              </w:rPr>
            </w:pPr>
            <w:r w:rsidRPr="006E5ECF">
              <w:rPr>
                <w:rFonts w:ascii="Times New Roman" w:hAnsi="Times New Roman" w:cs="Times New Roman"/>
                <w:sz w:val="22"/>
                <w:szCs w:val="22"/>
              </w:rPr>
              <w:t>-1.235</w:t>
            </w:r>
          </w:p>
        </w:tc>
        <w:tc>
          <w:tcPr>
            <w:tcW w:w="3084" w:type="dxa"/>
            <w:tcBorders>
              <w:left w:val="single" w:sz="8" w:space="0" w:color="auto"/>
            </w:tcBorders>
          </w:tcPr>
          <w:p w14:paraId="36754262"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-3.714**</w:t>
            </w:r>
          </w:p>
        </w:tc>
      </w:tr>
      <w:tr w:rsidR="000A5D73" w:rsidRPr="006E5ECF" w14:paraId="236EC385" w14:textId="77777777" w:rsidTr="00147DAD">
        <w:tc>
          <w:tcPr>
            <w:tcW w:w="2812" w:type="dxa"/>
            <w:gridSpan w:val="2"/>
            <w:tcBorders>
              <w:top w:val="nil"/>
              <w:bottom w:val="nil"/>
              <w:right w:val="single" w:sz="18" w:space="0" w:color="auto"/>
            </w:tcBorders>
          </w:tcPr>
          <w:p w14:paraId="1B8FFF9D"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FDI</w:t>
            </w:r>
          </w:p>
        </w:tc>
        <w:tc>
          <w:tcPr>
            <w:tcW w:w="3084" w:type="dxa"/>
            <w:tcBorders>
              <w:left w:val="single" w:sz="18" w:space="0" w:color="auto"/>
              <w:right w:val="single" w:sz="8" w:space="0" w:color="auto"/>
            </w:tcBorders>
          </w:tcPr>
          <w:p w14:paraId="7E4DF243"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-2.396</w:t>
            </w:r>
          </w:p>
        </w:tc>
        <w:tc>
          <w:tcPr>
            <w:tcW w:w="3084" w:type="dxa"/>
            <w:tcBorders>
              <w:left w:val="single" w:sz="8" w:space="0" w:color="auto"/>
            </w:tcBorders>
          </w:tcPr>
          <w:p w14:paraId="0F53F871"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-6.466***</w:t>
            </w:r>
          </w:p>
        </w:tc>
      </w:tr>
      <w:tr w:rsidR="000A5D73" w:rsidRPr="006E5ECF" w14:paraId="728EBC0F" w14:textId="77777777" w:rsidTr="00147DAD">
        <w:tc>
          <w:tcPr>
            <w:tcW w:w="2812" w:type="dxa"/>
            <w:gridSpan w:val="2"/>
            <w:tcBorders>
              <w:top w:val="nil"/>
              <w:bottom w:val="nil"/>
              <w:right w:val="single" w:sz="18" w:space="0" w:color="auto"/>
            </w:tcBorders>
          </w:tcPr>
          <w:p w14:paraId="6B4F8F32"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Urban</w:t>
            </w:r>
          </w:p>
        </w:tc>
        <w:tc>
          <w:tcPr>
            <w:tcW w:w="3084" w:type="dxa"/>
            <w:tcBorders>
              <w:left w:val="single" w:sz="18" w:space="0" w:color="auto"/>
              <w:right w:val="single" w:sz="8" w:space="0" w:color="auto"/>
            </w:tcBorders>
          </w:tcPr>
          <w:p w14:paraId="66354EBF"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-1.780</w:t>
            </w:r>
          </w:p>
        </w:tc>
        <w:tc>
          <w:tcPr>
            <w:tcW w:w="3084" w:type="dxa"/>
            <w:tcBorders>
              <w:left w:val="single" w:sz="8" w:space="0" w:color="auto"/>
            </w:tcBorders>
          </w:tcPr>
          <w:p w14:paraId="261AF0A5"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-4.869***</w:t>
            </w:r>
          </w:p>
        </w:tc>
      </w:tr>
      <w:tr w:rsidR="000A5D73" w:rsidRPr="006E5ECF" w14:paraId="7F6579FF" w14:textId="77777777" w:rsidTr="00147DAD">
        <w:tc>
          <w:tcPr>
            <w:tcW w:w="1537" w:type="dxa"/>
            <w:vMerge w:val="restart"/>
            <w:tcBorders>
              <w:top w:val="single" w:sz="8" w:space="0" w:color="auto"/>
              <w:right w:val="single" w:sz="8" w:space="0" w:color="auto"/>
            </w:tcBorders>
            <w:vAlign w:val="center"/>
          </w:tcPr>
          <w:p w14:paraId="68D18EA6" w14:textId="77777777" w:rsidR="000A5D73" w:rsidRPr="006E5ECF" w:rsidRDefault="000A5D73" w:rsidP="001E515E">
            <w:pPr>
              <w:spacing w:line="480" w:lineRule="auto"/>
              <w:jc w:val="center"/>
              <w:rPr>
                <w:rFonts w:ascii="Times New Roman" w:hAnsi="Times New Roman" w:cs="Times New Roman"/>
                <w:b/>
                <w:bCs/>
                <w:sz w:val="22"/>
                <w:szCs w:val="22"/>
              </w:rPr>
            </w:pPr>
            <w:r w:rsidRPr="006E5ECF">
              <w:rPr>
                <w:rFonts w:ascii="Times New Roman" w:hAnsi="Times New Roman" w:cs="Times New Roman"/>
                <w:b/>
                <w:bCs/>
                <w:sz w:val="22"/>
                <w:szCs w:val="22"/>
              </w:rPr>
              <w:t>Critical Values:</w:t>
            </w:r>
          </w:p>
        </w:tc>
        <w:tc>
          <w:tcPr>
            <w:tcW w:w="1275" w:type="dxa"/>
            <w:tcBorders>
              <w:top w:val="single" w:sz="8" w:space="0" w:color="auto"/>
              <w:left w:val="single" w:sz="8" w:space="0" w:color="auto"/>
              <w:right w:val="single" w:sz="18" w:space="0" w:color="auto"/>
            </w:tcBorders>
          </w:tcPr>
          <w:p w14:paraId="4A5A523E"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1%</w:t>
            </w:r>
          </w:p>
        </w:tc>
        <w:tc>
          <w:tcPr>
            <w:tcW w:w="3084" w:type="dxa"/>
            <w:tcBorders>
              <w:top w:val="single" w:sz="8" w:space="0" w:color="auto"/>
              <w:left w:val="single" w:sz="18" w:space="0" w:color="auto"/>
              <w:right w:val="single" w:sz="8" w:space="0" w:color="auto"/>
            </w:tcBorders>
          </w:tcPr>
          <w:p w14:paraId="0611E97F"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-4.338</w:t>
            </w:r>
          </w:p>
        </w:tc>
        <w:tc>
          <w:tcPr>
            <w:tcW w:w="3084" w:type="dxa"/>
            <w:tcBorders>
              <w:top w:val="single" w:sz="8" w:space="0" w:color="auto"/>
              <w:left w:val="single" w:sz="8" w:space="0" w:color="auto"/>
            </w:tcBorders>
          </w:tcPr>
          <w:p w14:paraId="78375FDC"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-4.355</w:t>
            </w:r>
          </w:p>
        </w:tc>
      </w:tr>
      <w:tr w:rsidR="000A5D73" w:rsidRPr="006E5ECF" w14:paraId="580F4020" w14:textId="77777777" w:rsidTr="00147DAD">
        <w:tc>
          <w:tcPr>
            <w:tcW w:w="1537" w:type="dxa"/>
            <w:vMerge/>
            <w:tcBorders>
              <w:right w:val="single" w:sz="8" w:space="0" w:color="auto"/>
            </w:tcBorders>
          </w:tcPr>
          <w:p w14:paraId="73062E3C" w14:textId="77777777" w:rsidR="000A5D73" w:rsidRPr="006E5ECF" w:rsidRDefault="000A5D73" w:rsidP="001E515E">
            <w:pPr>
              <w:spacing w:line="480" w:lineRule="auto"/>
              <w:jc w:val="both"/>
              <w:rPr>
                <w:rFonts w:ascii="Times New Roman" w:hAnsi="Times New Roman" w:cs="Times New Roman"/>
                <w:b/>
                <w:bCs/>
                <w:sz w:val="22"/>
                <w:szCs w:val="22"/>
              </w:rPr>
            </w:pPr>
          </w:p>
        </w:tc>
        <w:tc>
          <w:tcPr>
            <w:tcW w:w="1275" w:type="dxa"/>
            <w:tcBorders>
              <w:left w:val="single" w:sz="8" w:space="0" w:color="auto"/>
              <w:right w:val="single" w:sz="18" w:space="0" w:color="auto"/>
            </w:tcBorders>
          </w:tcPr>
          <w:p w14:paraId="4F28A4B7"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5%</w:t>
            </w:r>
          </w:p>
        </w:tc>
        <w:tc>
          <w:tcPr>
            <w:tcW w:w="3084" w:type="dxa"/>
            <w:tcBorders>
              <w:left w:val="single" w:sz="18" w:space="0" w:color="auto"/>
              <w:right w:val="single" w:sz="8" w:space="0" w:color="auto"/>
            </w:tcBorders>
          </w:tcPr>
          <w:p w14:paraId="6543D021"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-3.587</w:t>
            </w:r>
          </w:p>
        </w:tc>
        <w:tc>
          <w:tcPr>
            <w:tcW w:w="3084" w:type="dxa"/>
            <w:tcBorders>
              <w:left w:val="single" w:sz="8" w:space="0" w:color="auto"/>
            </w:tcBorders>
          </w:tcPr>
          <w:p w14:paraId="75945F0C"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-3.594</w:t>
            </w:r>
          </w:p>
        </w:tc>
      </w:tr>
      <w:tr w:rsidR="000A5D73" w:rsidRPr="006E5ECF" w14:paraId="0A2D5DF7" w14:textId="77777777" w:rsidTr="00147DAD">
        <w:tc>
          <w:tcPr>
            <w:tcW w:w="1537" w:type="dxa"/>
            <w:vMerge/>
            <w:tcBorders>
              <w:bottom w:val="single" w:sz="18" w:space="0" w:color="auto"/>
              <w:right w:val="single" w:sz="8" w:space="0" w:color="auto"/>
            </w:tcBorders>
          </w:tcPr>
          <w:p w14:paraId="5C1BF3B3" w14:textId="77777777" w:rsidR="000A5D73" w:rsidRPr="006E5ECF" w:rsidRDefault="000A5D73" w:rsidP="001E515E">
            <w:pPr>
              <w:spacing w:line="480" w:lineRule="auto"/>
              <w:jc w:val="both"/>
              <w:rPr>
                <w:rFonts w:ascii="Times New Roman" w:hAnsi="Times New Roman" w:cs="Times New Roman"/>
                <w:b/>
                <w:bCs/>
                <w:sz w:val="22"/>
                <w:szCs w:val="22"/>
              </w:rPr>
            </w:pPr>
          </w:p>
        </w:tc>
        <w:tc>
          <w:tcPr>
            <w:tcW w:w="1275" w:type="dxa"/>
            <w:tcBorders>
              <w:left w:val="single" w:sz="8" w:space="0" w:color="auto"/>
              <w:bottom w:val="single" w:sz="18" w:space="0" w:color="auto"/>
              <w:right w:val="single" w:sz="18" w:space="0" w:color="auto"/>
            </w:tcBorders>
          </w:tcPr>
          <w:p w14:paraId="3760FF55" w14:textId="77777777" w:rsidR="000A5D73" w:rsidRPr="006E5ECF" w:rsidRDefault="000A5D73" w:rsidP="001E515E">
            <w:pPr>
              <w:spacing w:line="480" w:lineRule="auto"/>
              <w:jc w:val="both"/>
              <w:rPr>
                <w:rFonts w:ascii="Times New Roman" w:hAnsi="Times New Roman" w:cs="Times New Roman"/>
                <w:b/>
                <w:bCs/>
                <w:sz w:val="22"/>
                <w:szCs w:val="22"/>
              </w:rPr>
            </w:pPr>
            <w:r w:rsidRPr="006E5ECF">
              <w:rPr>
                <w:rFonts w:ascii="Times New Roman" w:hAnsi="Times New Roman" w:cs="Times New Roman"/>
                <w:b/>
                <w:bCs/>
                <w:sz w:val="22"/>
                <w:szCs w:val="22"/>
              </w:rPr>
              <w:t>10%</w:t>
            </w:r>
          </w:p>
        </w:tc>
        <w:tc>
          <w:tcPr>
            <w:tcW w:w="3084" w:type="dxa"/>
            <w:tcBorders>
              <w:left w:val="single" w:sz="18" w:space="0" w:color="auto"/>
              <w:right w:val="single" w:sz="8" w:space="0" w:color="auto"/>
            </w:tcBorders>
          </w:tcPr>
          <w:p w14:paraId="1F302989"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-3.228</w:t>
            </w:r>
          </w:p>
        </w:tc>
        <w:tc>
          <w:tcPr>
            <w:tcW w:w="3084" w:type="dxa"/>
            <w:tcBorders>
              <w:left w:val="single" w:sz="8" w:space="0" w:color="auto"/>
            </w:tcBorders>
          </w:tcPr>
          <w:p w14:paraId="15B63574" w14:textId="77777777" w:rsidR="000A5D73" w:rsidRPr="006E5ECF" w:rsidRDefault="000A5D73" w:rsidP="001E515E">
            <w:pPr>
              <w:spacing w:line="480" w:lineRule="auto"/>
              <w:jc w:val="both"/>
              <w:rPr>
                <w:rFonts w:ascii="Times New Roman" w:hAnsi="Times New Roman" w:cs="Times New Roman"/>
                <w:sz w:val="22"/>
                <w:szCs w:val="22"/>
              </w:rPr>
            </w:pPr>
            <w:r w:rsidRPr="006E5ECF">
              <w:rPr>
                <w:rFonts w:ascii="Times New Roman" w:hAnsi="Times New Roman" w:cs="Times New Roman"/>
                <w:sz w:val="22"/>
                <w:szCs w:val="22"/>
              </w:rPr>
              <w:t>-3.232</w:t>
            </w:r>
          </w:p>
        </w:tc>
      </w:tr>
    </w:tbl>
    <w:p w14:paraId="097A7066" w14:textId="77777777" w:rsidR="000A5D73" w:rsidRPr="00ED2FD6" w:rsidRDefault="000A5D73" w:rsidP="001E515E">
      <w:pPr>
        <w:spacing w:line="480" w:lineRule="auto"/>
        <w:jc w:val="both"/>
        <w:rPr>
          <w:rFonts w:ascii="Times New Roman" w:hAnsi="Times New Roman" w:cs="Times New Roman"/>
          <w:sz w:val="20"/>
          <w:szCs w:val="20"/>
        </w:rPr>
      </w:pPr>
      <w:r w:rsidRPr="00ED2FD6">
        <w:rPr>
          <w:rFonts w:ascii="Times New Roman" w:hAnsi="Times New Roman" w:cs="Times New Roman"/>
          <w:sz w:val="20"/>
          <w:szCs w:val="20"/>
        </w:rPr>
        <w:t>Source: Authors’ Calculation. Note: ‘***’, ‘**’, and ‘*’ signifies 1%, 5%, and 10% significance level.</w:t>
      </w:r>
    </w:p>
    <w:p w14:paraId="3936BE37" w14:textId="6FC0EE6E"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Since all the variables are at </w:t>
      </w:r>
      <w:proofErr w:type="gramStart"/>
      <w:r w:rsidRPr="006E5ECF">
        <w:rPr>
          <w:rFonts w:ascii="Times New Roman" w:eastAsiaTheme="minorEastAsia" w:hAnsi="Times New Roman" w:cs="Times New Roman"/>
          <w:sz w:val="22"/>
          <w:szCs w:val="22"/>
        </w:rPr>
        <w:t>I(</w:t>
      </w:r>
      <w:proofErr w:type="gramEnd"/>
      <w:r w:rsidRPr="006E5ECF">
        <w:rPr>
          <w:rFonts w:ascii="Times New Roman" w:eastAsiaTheme="minorEastAsia" w:hAnsi="Times New Roman" w:cs="Times New Roman"/>
          <w:sz w:val="22"/>
          <w:szCs w:val="22"/>
        </w:rPr>
        <w:t xml:space="preserve">1), we will apply the Johansen cointegration on the variables and then estimate which estimation method can be applied on the data. The cointegration result is presented in table </w:t>
      </w:r>
      <w:r w:rsidR="00BC4125" w:rsidRPr="006E5ECF">
        <w:rPr>
          <w:rFonts w:ascii="Times New Roman" w:eastAsiaTheme="minorEastAsia" w:hAnsi="Times New Roman" w:cs="Times New Roman"/>
          <w:sz w:val="22"/>
          <w:szCs w:val="22"/>
        </w:rPr>
        <w:t>3</w:t>
      </w:r>
      <w:r w:rsidRPr="006E5ECF">
        <w:rPr>
          <w:rFonts w:ascii="Times New Roman" w:eastAsiaTheme="minorEastAsia" w:hAnsi="Times New Roman" w:cs="Times New Roman"/>
          <w:sz w:val="22"/>
          <w:szCs w:val="22"/>
        </w:rPr>
        <w:t>.</w:t>
      </w:r>
    </w:p>
    <w:p w14:paraId="042C1090" w14:textId="12F802BD" w:rsidR="000A5D73" w:rsidRPr="006E5ECF" w:rsidRDefault="000A5D73" w:rsidP="001E515E">
      <w:pPr>
        <w:tabs>
          <w:tab w:val="left" w:pos="2024"/>
        </w:tabs>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 xml:space="preserve">Table </w:t>
      </w:r>
      <w:r w:rsidR="00BC4125" w:rsidRPr="006E5ECF">
        <w:rPr>
          <w:rFonts w:ascii="Times New Roman" w:eastAsiaTheme="minorEastAsia" w:hAnsi="Times New Roman" w:cs="Times New Roman"/>
          <w:b/>
          <w:bCs/>
          <w:sz w:val="22"/>
          <w:szCs w:val="22"/>
        </w:rPr>
        <w:t>3</w:t>
      </w:r>
      <w:r w:rsidRPr="006E5ECF">
        <w:rPr>
          <w:rFonts w:ascii="Times New Roman" w:eastAsiaTheme="minorEastAsia" w:hAnsi="Times New Roman" w:cs="Times New Roman"/>
          <w:b/>
          <w:bCs/>
          <w:sz w:val="22"/>
          <w:szCs w:val="22"/>
        </w:rPr>
        <w:t>: Johansen Cointegration Test</w:t>
      </w:r>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96"/>
        <w:gridCol w:w="1796"/>
        <w:gridCol w:w="1796"/>
        <w:gridCol w:w="1796"/>
        <w:gridCol w:w="1796"/>
      </w:tblGrid>
      <w:tr w:rsidR="000A5D73" w:rsidRPr="006E5ECF" w14:paraId="282185FB" w14:textId="77777777" w:rsidTr="00147DAD">
        <w:tc>
          <w:tcPr>
            <w:tcW w:w="1000" w:type="pct"/>
            <w:vMerge w:val="restart"/>
            <w:tcBorders>
              <w:top w:val="single" w:sz="18" w:space="0" w:color="auto"/>
              <w:right w:val="single" w:sz="8" w:space="0" w:color="auto"/>
            </w:tcBorders>
            <w:vAlign w:val="center"/>
          </w:tcPr>
          <w:p w14:paraId="298409DA"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Cointegrated Variables</w:t>
            </w:r>
          </w:p>
        </w:tc>
        <w:tc>
          <w:tcPr>
            <w:tcW w:w="1000" w:type="pct"/>
            <w:vMerge w:val="restart"/>
            <w:tcBorders>
              <w:top w:val="single" w:sz="18" w:space="0" w:color="auto"/>
              <w:left w:val="single" w:sz="8" w:space="0" w:color="auto"/>
              <w:right w:val="single" w:sz="8" w:space="0" w:color="auto"/>
            </w:tcBorders>
            <w:vAlign w:val="center"/>
          </w:tcPr>
          <w:p w14:paraId="497ACA1C"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Test</w:t>
            </w:r>
          </w:p>
          <w:p w14:paraId="06A86CD1"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Statistics</w:t>
            </w:r>
          </w:p>
        </w:tc>
        <w:tc>
          <w:tcPr>
            <w:tcW w:w="3000" w:type="pct"/>
            <w:gridSpan w:val="3"/>
            <w:tcBorders>
              <w:top w:val="single" w:sz="18" w:space="0" w:color="auto"/>
              <w:left w:val="single" w:sz="8" w:space="0" w:color="auto"/>
              <w:bottom w:val="single" w:sz="18" w:space="0" w:color="auto"/>
            </w:tcBorders>
            <w:vAlign w:val="center"/>
          </w:tcPr>
          <w:p w14:paraId="06633CD6" w14:textId="77777777" w:rsidR="000A5D73" w:rsidRPr="006E5ECF" w:rsidRDefault="000A5D73" w:rsidP="001E515E">
            <w:pPr>
              <w:tabs>
                <w:tab w:val="left" w:pos="1005"/>
              </w:tabs>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Critical Values</w:t>
            </w:r>
          </w:p>
        </w:tc>
      </w:tr>
      <w:tr w:rsidR="000A5D73" w:rsidRPr="006E5ECF" w14:paraId="51071F8C" w14:textId="77777777" w:rsidTr="00147DAD">
        <w:tc>
          <w:tcPr>
            <w:tcW w:w="1000" w:type="pct"/>
            <w:vMerge/>
            <w:tcBorders>
              <w:bottom w:val="single" w:sz="18" w:space="0" w:color="auto"/>
              <w:right w:val="single" w:sz="8" w:space="0" w:color="auto"/>
            </w:tcBorders>
            <w:vAlign w:val="center"/>
          </w:tcPr>
          <w:p w14:paraId="291DB66B"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p>
        </w:tc>
        <w:tc>
          <w:tcPr>
            <w:tcW w:w="1000" w:type="pct"/>
            <w:vMerge/>
            <w:tcBorders>
              <w:left w:val="single" w:sz="8" w:space="0" w:color="auto"/>
              <w:bottom w:val="single" w:sz="18" w:space="0" w:color="auto"/>
              <w:right w:val="single" w:sz="8" w:space="0" w:color="auto"/>
            </w:tcBorders>
            <w:vAlign w:val="center"/>
          </w:tcPr>
          <w:p w14:paraId="73EBDE3E"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p>
        </w:tc>
        <w:tc>
          <w:tcPr>
            <w:tcW w:w="1000" w:type="pct"/>
            <w:tcBorders>
              <w:top w:val="single" w:sz="18" w:space="0" w:color="auto"/>
              <w:left w:val="single" w:sz="8" w:space="0" w:color="auto"/>
              <w:bottom w:val="single" w:sz="18" w:space="0" w:color="auto"/>
              <w:right w:val="nil"/>
            </w:tcBorders>
            <w:vAlign w:val="center"/>
          </w:tcPr>
          <w:p w14:paraId="3AB9D348"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10%</w:t>
            </w:r>
          </w:p>
        </w:tc>
        <w:tc>
          <w:tcPr>
            <w:tcW w:w="1000" w:type="pct"/>
            <w:tcBorders>
              <w:top w:val="single" w:sz="18" w:space="0" w:color="auto"/>
              <w:left w:val="nil"/>
              <w:bottom w:val="single" w:sz="18" w:space="0" w:color="auto"/>
              <w:right w:val="nil"/>
            </w:tcBorders>
            <w:vAlign w:val="center"/>
          </w:tcPr>
          <w:p w14:paraId="05EB3412"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5%</w:t>
            </w:r>
          </w:p>
        </w:tc>
        <w:tc>
          <w:tcPr>
            <w:tcW w:w="1000" w:type="pct"/>
            <w:tcBorders>
              <w:top w:val="single" w:sz="18" w:space="0" w:color="auto"/>
              <w:left w:val="nil"/>
              <w:bottom w:val="single" w:sz="18" w:space="0" w:color="auto"/>
            </w:tcBorders>
            <w:vAlign w:val="center"/>
          </w:tcPr>
          <w:p w14:paraId="2B3951E2"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1%</w:t>
            </w:r>
          </w:p>
        </w:tc>
      </w:tr>
      <w:tr w:rsidR="000A5D73" w:rsidRPr="006E5ECF" w14:paraId="7BB7B2F7" w14:textId="77777777" w:rsidTr="00147DAD">
        <w:tc>
          <w:tcPr>
            <w:tcW w:w="5000" w:type="pct"/>
            <w:gridSpan w:val="5"/>
            <w:tcBorders>
              <w:top w:val="single" w:sz="18" w:space="0" w:color="auto"/>
            </w:tcBorders>
            <w:vAlign w:val="center"/>
          </w:tcPr>
          <w:p w14:paraId="19520C89"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Maximum Eigen Values</w:t>
            </w:r>
          </w:p>
        </w:tc>
      </w:tr>
      <w:tr w:rsidR="000A5D73" w:rsidRPr="006E5ECF" w14:paraId="175CB68D" w14:textId="77777777" w:rsidTr="00147DAD">
        <w:tc>
          <w:tcPr>
            <w:tcW w:w="1000" w:type="pct"/>
            <w:tcBorders>
              <w:top w:val="single" w:sz="8" w:space="0" w:color="auto"/>
              <w:bottom w:val="nil"/>
              <w:right w:val="single" w:sz="8" w:space="0" w:color="auto"/>
            </w:tcBorders>
            <w:vAlign w:val="center"/>
          </w:tcPr>
          <w:p w14:paraId="5159ADB5"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&lt;= 3</w:t>
            </w:r>
          </w:p>
        </w:tc>
        <w:tc>
          <w:tcPr>
            <w:tcW w:w="1000" w:type="pct"/>
            <w:tcBorders>
              <w:top w:val="single" w:sz="8" w:space="0" w:color="auto"/>
              <w:left w:val="single" w:sz="8" w:space="0" w:color="auto"/>
              <w:bottom w:val="nil"/>
              <w:right w:val="single" w:sz="8" w:space="0" w:color="auto"/>
            </w:tcBorders>
            <w:vAlign w:val="center"/>
          </w:tcPr>
          <w:p w14:paraId="7869DBE2"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0.66</w:t>
            </w:r>
          </w:p>
        </w:tc>
        <w:tc>
          <w:tcPr>
            <w:tcW w:w="1000" w:type="pct"/>
            <w:tcBorders>
              <w:top w:val="single" w:sz="8" w:space="0" w:color="auto"/>
              <w:left w:val="single" w:sz="8" w:space="0" w:color="auto"/>
              <w:bottom w:val="nil"/>
              <w:right w:val="nil"/>
            </w:tcBorders>
            <w:vAlign w:val="center"/>
          </w:tcPr>
          <w:p w14:paraId="102552DC"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6.50</w:t>
            </w:r>
          </w:p>
        </w:tc>
        <w:tc>
          <w:tcPr>
            <w:tcW w:w="1000" w:type="pct"/>
            <w:tcBorders>
              <w:top w:val="single" w:sz="8" w:space="0" w:color="auto"/>
              <w:left w:val="nil"/>
              <w:bottom w:val="nil"/>
              <w:right w:val="nil"/>
            </w:tcBorders>
            <w:vAlign w:val="center"/>
          </w:tcPr>
          <w:p w14:paraId="02E868AA"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8.18</w:t>
            </w:r>
          </w:p>
        </w:tc>
        <w:tc>
          <w:tcPr>
            <w:tcW w:w="1000" w:type="pct"/>
            <w:tcBorders>
              <w:top w:val="single" w:sz="8" w:space="0" w:color="auto"/>
              <w:left w:val="nil"/>
              <w:bottom w:val="nil"/>
            </w:tcBorders>
            <w:vAlign w:val="center"/>
          </w:tcPr>
          <w:p w14:paraId="2903F1B7"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11.65</w:t>
            </w:r>
          </w:p>
        </w:tc>
      </w:tr>
      <w:tr w:rsidR="000A5D73" w:rsidRPr="006E5ECF" w14:paraId="34B24C38" w14:textId="77777777" w:rsidTr="00147DAD">
        <w:tc>
          <w:tcPr>
            <w:tcW w:w="1000" w:type="pct"/>
            <w:tcBorders>
              <w:top w:val="nil"/>
              <w:bottom w:val="nil"/>
              <w:right w:val="single" w:sz="8" w:space="0" w:color="auto"/>
            </w:tcBorders>
            <w:vAlign w:val="center"/>
          </w:tcPr>
          <w:p w14:paraId="5AD40B20"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&lt;= 2</w:t>
            </w:r>
          </w:p>
        </w:tc>
        <w:tc>
          <w:tcPr>
            <w:tcW w:w="1000" w:type="pct"/>
            <w:tcBorders>
              <w:top w:val="nil"/>
              <w:left w:val="single" w:sz="8" w:space="0" w:color="auto"/>
              <w:bottom w:val="nil"/>
              <w:right w:val="single" w:sz="8" w:space="0" w:color="auto"/>
            </w:tcBorders>
            <w:vAlign w:val="center"/>
          </w:tcPr>
          <w:p w14:paraId="13BBA48B"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3.61</w:t>
            </w:r>
          </w:p>
        </w:tc>
        <w:tc>
          <w:tcPr>
            <w:tcW w:w="1000" w:type="pct"/>
            <w:tcBorders>
              <w:top w:val="nil"/>
              <w:left w:val="single" w:sz="8" w:space="0" w:color="auto"/>
              <w:bottom w:val="nil"/>
              <w:right w:val="nil"/>
            </w:tcBorders>
            <w:vAlign w:val="center"/>
          </w:tcPr>
          <w:p w14:paraId="20A41AC6"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12.91</w:t>
            </w:r>
          </w:p>
        </w:tc>
        <w:tc>
          <w:tcPr>
            <w:tcW w:w="1000" w:type="pct"/>
            <w:tcBorders>
              <w:top w:val="nil"/>
              <w:left w:val="nil"/>
              <w:bottom w:val="nil"/>
              <w:right w:val="nil"/>
            </w:tcBorders>
            <w:vAlign w:val="center"/>
          </w:tcPr>
          <w:p w14:paraId="52A3F333"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14.90</w:t>
            </w:r>
          </w:p>
        </w:tc>
        <w:tc>
          <w:tcPr>
            <w:tcW w:w="1000" w:type="pct"/>
            <w:tcBorders>
              <w:top w:val="nil"/>
              <w:left w:val="nil"/>
              <w:bottom w:val="nil"/>
            </w:tcBorders>
            <w:vAlign w:val="center"/>
          </w:tcPr>
          <w:p w14:paraId="76B5BA20"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19.19</w:t>
            </w:r>
          </w:p>
        </w:tc>
      </w:tr>
      <w:tr w:rsidR="000A5D73" w:rsidRPr="006E5ECF" w14:paraId="70920DA6" w14:textId="77777777" w:rsidTr="00147DAD">
        <w:tc>
          <w:tcPr>
            <w:tcW w:w="1000" w:type="pct"/>
            <w:tcBorders>
              <w:top w:val="nil"/>
              <w:bottom w:val="nil"/>
              <w:right w:val="single" w:sz="8" w:space="0" w:color="auto"/>
            </w:tcBorders>
            <w:vAlign w:val="center"/>
          </w:tcPr>
          <w:p w14:paraId="3722DE14"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&lt;= 1</w:t>
            </w:r>
          </w:p>
        </w:tc>
        <w:tc>
          <w:tcPr>
            <w:tcW w:w="1000" w:type="pct"/>
            <w:tcBorders>
              <w:top w:val="nil"/>
              <w:left w:val="single" w:sz="8" w:space="0" w:color="auto"/>
              <w:bottom w:val="nil"/>
              <w:right w:val="single" w:sz="8" w:space="0" w:color="auto"/>
            </w:tcBorders>
            <w:vAlign w:val="center"/>
          </w:tcPr>
          <w:p w14:paraId="4FAE8805"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8.69</w:t>
            </w:r>
          </w:p>
        </w:tc>
        <w:tc>
          <w:tcPr>
            <w:tcW w:w="1000" w:type="pct"/>
            <w:tcBorders>
              <w:top w:val="nil"/>
              <w:left w:val="single" w:sz="8" w:space="0" w:color="auto"/>
              <w:bottom w:val="nil"/>
              <w:right w:val="nil"/>
            </w:tcBorders>
            <w:vAlign w:val="center"/>
          </w:tcPr>
          <w:p w14:paraId="75A51116"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18.90</w:t>
            </w:r>
          </w:p>
        </w:tc>
        <w:tc>
          <w:tcPr>
            <w:tcW w:w="1000" w:type="pct"/>
            <w:tcBorders>
              <w:top w:val="nil"/>
              <w:left w:val="nil"/>
              <w:bottom w:val="nil"/>
              <w:right w:val="nil"/>
            </w:tcBorders>
            <w:vAlign w:val="center"/>
          </w:tcPr>
          <w:p w14:paraId="588D8110"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21.07</w:t>
            </w:r>
          </w:p>
        </w:tc>
        <w:tc>
          <w:tcPr>
            <w:tcW w:w="1000" w:type="pct"/>
            <w:tcBorders>
              <w:top w:val="nil"/>
              <w:left w:val="nil"/>
              <w:bottom w:val="nil"/>
            </w:tcBorders>
            <w:vAlign w:val="center"/>
          </w:tcPr>
          <w:p w14:paraId="479D1742"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25.75</w:t>
            </w:r>
          </w:p>
        </w:tc>
      </w:tr>
      <w:tr w:rsidR="000A5D73" w:rsidRPr="006E5ECF" w14:paraId="3263508D" w14:textId="77777777" w:rsidTr="00147DAD">
        <w:tc>
          <w:tcPr>
            <w:tcW w:w="1000" w:type="pct"/>
            <w:tcBorders>
              <w:top w:val="nil"/>
              <w:bottom w:val="nil"/>
              <w:right w:val="single" w:sz="8" w:space="0" w:color="auto"/>
            </w:tcBorders>
            <w:vAlign w:val="center"/>
          </w:tcPr>
          <w:p w14:paraId="2E228EDE"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 0</w:t>
            </w:r>
          </w:p>
        </w:tc>
        <w:tc>
          <w:tcPr>
            <w:tcW w:w="1000" w:type="pct"/>
            <w:tcBorders>
              <w:top w:val="nil"/>
              <w:left w:val="single" w:sz="8" w:space="0" w:color="auto"/>
              <w:bottom w:val="single" w:sz="8" w:space="0" w:color="auto"/>
              <w:right w:val="single" w:sz="8" w:space="0" w:color="auto"/>
            </w:tcBorders>
            <w:vAlign w:val="center"/>
          </w:tcPr>
          <w:p w14:paraId="7ECFB456" w14:textId="57C50F53"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w:t>
            </w:r>
            <w:r w:rsidR="00000EBF">
              <w:rPr>
                <w:rFonts w:ascii="Times New Roman" w:eastAsiaTheme="minorEastAsia" w:hAnsi="Times New Roman" w:cs="Times New Roman"/>
                <w:sz w:val="22"/>
                <w:szCs w:val="22"/>
              </w:rPr>
              <w:t>8</w:t>
            </w:r>
            <w:r w:rsidRPr="006E5ECF">
              <w:rPr>
                <w:rFonts w:ascii="Times New Roman" w:eastAsiaTheme="minorEastAsia" w:hAnsi="Times New Roman" w:cs="Times New Roman"/>
                <w:sz w:val="22"/>
                <w:szCs w:val="22"/>
              </w:rPr>
              <w:t>.</w:t>
            </w:r>
            <w:r w:rsidR="00000EBF">
              <w:rPr>
                <w:rFonts w:ascii="Times New Roman" w:eastAsiaTheme="minorEastAsia" w:hAnsi="Times New Roman" w:cs="Times New Roman"/>
                <w:sz w:val="22"/>
                <w:szCs w:val="22"/>
              </w:rPr>
              <w:t>54</w:t>
            </w:r>
          </w:p>
        </w:tc>
        <w:tc>
          <w:tcPr>
            <w:tcW w:w="1000" w:type="pct"/>
            <w:tcBorders>
              <w:top w:val="nil"/>
              <w:left w:val="single" w:sz="8" w:space="0" w:color="auto"/>
              <w:bottom w:val="single" w:sz="4" w:space="0" w:color="auto"/>
              <w:right w:val="nil"/>
            </w:tcBorders>
            <w:vAlign w:val="center"/>
          </w:tcPr>
          <w:p w14:paraId="01463158"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24.78</w:t>
            </w:r>
          </w:p>
        </w:tc>
        <w:tc>
          <w:tcPr>
            <w:tcW w:w="1000" w:type="pct"/>
            <w:tcBorders>
              <w:top w:val="nil"/>
              <w:left w:val="nil"/>
              <w:bottom w:val="single" w:sz="4" w:space="0" w:color="auto"/>
              <w:right w:val="nil"/>
            </w:tcBorders>
            <w:vAlign w:val="center"/>
          </w:tcPr>
          <w:p w14:paraId="7CDFB83C"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27.14</w:t>
            </w:r>
          </w:p>
        </w:tc>
        <w:tc>
          <w:tcPr>
            <w:tcW w:w="1000" w:type="pct"/>
            <w:tcBorders>
              <w:top w:val="nil"/>
              <w:left w:val="nil"/>
              <w:bottom w:val="single" w:sz="4" w:space="0" w:color="auto"/>
            </w:tcBorders>
            <w:vAlign w:val="center"/>
          </w:tcPr>
          <w:p w14:paraId="2DABC9A3"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32.14</w:t>
            </w:r>
          </w:p>
        </w:tc>
      </w:tr>
      <w:tr w:rsidR="000A5D73" w:rsidRPr="006E5ECF" w14:paraId="11E46B4F" w14:textId="77777777" w:rsidTr="00147DAD">
        <w:tc>
          <w:tcPr>
            <w:tcW w:w="5000" w:type="pct"/>
            <w:gridSpan w:val="5"/>
            <w:tcBorders>
              <w:top w:val="single" w:sz="8" w:space="0" w:color="auto"/>
              <w:bottom w:val="single" w:sz="8" w:space="0" w:color="auto"/>
            </w:tcBorders>
            <w:vAlign w:val="center"/>
          </w:tcPr>
          <w:p w14:paraId="2715FF00"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Trace Values</w:t>
            </w:r>
          </w:p>
        </w:tc>
      </w:tr>
      <w:tr w:rsidR="000A5D73" w:rsidRPr="006E5ECF" w14:paraId="7DBE4187" w14:textId="77777777" w:rsidTr="00147DAD">
        <w:tc>
          <w:tcPr>
            <w:tcW w:w="1000" w:type="pct"/>
            <w:tcBorders>
              <w:top w:val="single" w:sz="8" w:space="0" w:color="auto"/>
              <w:bottom w:val="nil"/>
              <w:right w:val="single" w:sz="8" w:space="0" w:color="auto"/>
            </w:tcBorders>
            <w:vAlign w:val="center"/>
          </w:tcPr>
          <w:p w14:paraId="02F5740B"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&lt;= 3</w:t>
            </w:r>
          </w:p>
        </w:tc>
        <w:tc>
          <w:tcPr>
            <w:tcW w:w="1000" w:type="pct"/>
            <w:tcBorders>
              <w:top w:val="single" w:sz="8" w:space="0" w:color="auto"/>
              <w:left w:val="single" w:sz="8" w:space="0" w:color="auto"/>
              <w:bottom w:val="nil"/>
              <w:right w:val="single" w:sz="8" w:space="0" w:color="auto"/>
            </w:tcBorders>
            <w:vAlign w:val="center"/>
          </w:tcPr>
          <w:p w14:paraId="1D718245"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0.66</w:t>
            </w:r>
          </w:p>
        </w:tc>
        <w:tc>
          <w:tcPr>
            <w:tcW w:w="1000" w:type="pct"/>
            <w:tcBorders>
              <w:top w:val="single" w:sz="8" w:space="0" w:color="auto"/>
              <w:left w:val="single" w:sz="8" w:space="0" w:color="auto"/>
              <w:bottom w:val="nil"/>
              <w:right w:val="nil"/>
            </w:tcBorders>
            <w:vAlign w:val="center"/>
          </w:tcPr>
          <w:p w14:paraId="269F545B"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6.50</w:t>
            </w:r>
          </w:p>
        </w:tc>
        <w:tc>
          <w:tcPr>
            <w:tcW w:w="1000" w:type="pct"/>
            <w:tcBorders>
              <w:top w:val="single" w:sz="8" w:space="0" w:color="auto"/>
              <w:left w:val="nil"/>
              <w:bottom w:val="nil"/>
              <w:right w:val="nil"/>
            </w:tcBorders>
            <w:vAlign w:val="center"/>
          </w:tcPr>
          <w:p w14:paraId="4973F5E2"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8.18</w:t>
            </w:r>
          </w:p>
        </w:tc>
        <w:tc>
          <w:tcPr>
            <w:tcW w:w="1000" w:type="pct"/>
            <w:tcBorders>
              <w:top w:val="single" w:sz="8" w:space="0" w:color="auto"/>
              <w:left w:val="nil"/>
              <w:bottom w:val="nil"/>
            </w:tcBorders>
            <w:vAlign w:val="center"/>
          </w:tcPr>
          <w:p w14:paraId="00ACBC3E"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11.65</w:t>
            </w:r>
          </w:p>
        </w:tc>
      </w:tr>
      <w:tr w:rsidR="000A5D73" w:rsidRPr="006E5ECF" w14:paraId="2383081F" w14:textId="77777777" w:rsidTr="00147DAD">
        <w:tc>
          <w:tcPr>
            <w:tcW w:w="1000" w:type="pct"/>
            <w:tcBorders>
              <w:top w:val="nil"/>
              <w:bottom w:val="nil"/>
              <w:right w:val="single" w:sz="8" w:space="0" w:color="auto"/>
            </w:tcBorders>
            <w:vAlign w:val="center"/>
          </w:tcPr>
          <w:p w14:paraId="06E4E24A"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&lt;= 2</w:t>
            </w:r>
          </w:p>
        </w:tc>
        <w:tc>
          <w:tcPr>
            <w:tcW w:w="1000" w:type="pct"/>
            <w:tcBorders>
              <w:top w:val="nil"/>
              <w:left w:val="single" w:sz="8" w:space="0" w:color="auto"/>
              <w:bottom w:val="nil"/>
              <w:right w:val="single" w:sz="8" w:space="0" w:color="auto"/>
            </w:tcBorders>
            <w:vAlign w:val="center"/>
          </w:tcPr>
          <w:p w14:paraId="15C9F4B2"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4.27</w:t>
            </w:r>
          </w:p>
        </w:tc>
        <w:tc>
          <w:tcPr>
            <w:tcW w:w="1000" w:type="pct"/>
            <w:tcBorders>
              <w:top w:val="nil"/>
              <w:left w:val="single" w:sz="8" w:space="0" w:color="auto"/>
              <w:bottom w:val="nil"/>
              <w:right w:val="nil"/>
            </w:tcBorders>
            <w:vAlign w:val="center"/>
          </w:tcPr>
          <w:p w14:paraId="7FBD12E6"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15.66</w:t>
            </w:r>
          </w:p>
        </w:tc>
        <w:tc>
          <w:tcPr>
            <w:tcW w:w="1000" w:type="pct"/>
            <w:tcBorders>
              <w:top w:val="nil"/>
              <w:left w:val="nil"/>
              <w:bottom w:val="nil"/>
              <w:right w:val="nil"/>
            </w:tcBorders>
            <w:vAlign w:val="center"/>
          </w:tcPr>
          <w:p w14:paraId="138AF147"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17.95</w:t>
            </w:r>
          </w:p>
        </w:tc>
        <w:tc>
          <w:tcPr>
            <w:tcW w:w="1000" w:type="pct"/>
            <w:tcBorders>
              <w:top w:val="nil"/>
              <w:left w:val="nil"/>
              <w:bottom w:val="nil"/>
            </w:tcBorders>
            <w:vAlign w:val="center"/>
          </w:tcPr>
          <w:p w14:paraId="5456DDAD"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23.52</w:t>
            </w:r>
          </w:p>
        </w:tc>
      </w:tr>
      <w:tr w:rsidR="000A5D73" w:rsidRPr="006E5ECF" w14:paraId="779EC0D4" w14:textId="77777777" w:rsidTr="00147DAD">
        <w:tc>
          <w:tcPr>
            <w:tcW w:w="1000" w:type="pct"/>
            <w:tcBorders>
              <w:top w:val="nil"/>
              <w:bottom w:val="nil"/>
              <w:right w:val="single" w:sz="8" w:space="0" w:color="auto"/>
            </w:tcBorders>
            <w:vAlign w:val="center"/>
          </w:tcPr>
          <w:p w14:paraId="74DB51AB"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&lt;= 1</w:t>
            </w:r>
          </w:p>
        </w:tc>
        <w:tc>
          <w:tcPr>
            <w:tcW w:w="1000" w:type="pct"/>
            <w:tcBorders>
              <w:top w:val="nil"/>
              <w:left w:val="single" w:sz="8" w:space="0" w:color="auto"/>
              <w:bottom w:val="nil"/>
              <w:right w:val="single" w:sz="8" w:space="0" w:color="auto"/>
            </w:tcBorders>
            <w:vAlign w:val="center"/>
          </w:tcPr>
          <w:p w14:paraId="1CD9071B"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12.96</w:t>
            </w:r>
          </w:p>
        </w:tc>
        <w:tc>
          <w:tcPr>
            <w:tcW w:w="1000" w:type="pct"/>
            <w:tcBorders>
              <w:top w:val="nil"/>
              <w:left w:val="single" w:sz="8" w:space="0" w:color="auto"/>
              <w:bottom w:val="nil"/>
              <w:right w:val="nil"/>
            </w:tcBorders>
            <w:vAlign w:val="center"/>
          </w:tcPr>
          <w:p w14:paraId="4CF2658F"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28.71</w:t>
            </w:r>
          </w:p>
        </w:tc>
        <w:tc>
          <w:tcPr>
            <w:tcW w:w="1000" w:type="pct"/>
            <w:tcBorders>
              <w:top w:val="nil"/>
              <w:left w:val="nil"/>
              <w:bottom w:val="nil"/>
              <w:right w:val="nil"/>
            </w:tcBorders>
            <w:vAlign w:val="center"/>
          </w:tcPr>
          <w:p w14:paraId="0A2EF51F"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31.52</w:t>
            </w:r>
          </w:p>
        </w:tc>
        <w:tc>
          <w:tcPr>
            <w:tcW w:w="1000" w:type="pct"/>
            <w:tcBorders>
              <w:top w:val="nil"/>
              <w:left w:val="nil"/>
              <w:bottom w:val="nil"/>
            </w:tcBorders>
            <w:vAlign w:val="center"/>
          </w:tcPr>
          <w:p w14:paraId="467E5564"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37.22</w:t>
            </w:r>
          </w:p>
        </w:tc>
      </w:tr>
      <w:tr w:rsidR="000A5D73" w:rsidRPr="006E5ECF" w14:paraId="4ABA6DE8" w14:textId="77777777" w:rsidTr="00147DAD">
        <w:tc>
          <w:tcPr>
            <w:tcW w:w="1000" w:type="pct"/>
            <w:tcBorders>
              <w:top w:val="nil"/>
              <w:bottom w:val="single" w:sz="18" w:space="0" w:color="auto"/>
              <w:right w:val="single" w:sz="8" w:space="0" w:color="auto"/>
            </w:tcBorders>
            <w:vAlign w:val="center"/>
          </w:tcPr>
          <w:p w14:paraId="20588D9D" w14:textId="77777777" w:rsidR="000A5D73" w:rsidRPr="006E5ECF" w:rsidRDefault="000A5D73" w:rsidP="001E515E">
            <w:pPr>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 = 0</w:t>
            </w:r>
          </w:p>
        </w:tc>
        <w:tc>
          <w:tcPr>
            <w:tcW w:w="1000" w:type="pct"/>
            <w:tcBorders>
              <w:top w:val="nil"/>
              <w:left w:val="single" w:sz="8" w:space="0" w:color="auto"/>
              <w:bottom w:val="single" w:sz="18" w:space="0" w:color="auto"/>
              <w:right w:val="single" w:sz="8" w:space="0" w:color="auto"/>
            </w:tcBorders>
            <w:vAlign w:val="center"/>
          </w:tcPr>
          <w:p w14:paraId="003D789C" w14:textId="57C8EF0B" w:rsidR="000A5D73" w:rsidRPr="006E5ECF" w:rsidRDefault="00CD4491" w:rsidP="001E515E">
            <w:pPr>
              <w:spacing w:line="480" w:lineRule="auto"/>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51</w:t>
            </w:r>
            <w:r w:rsidR="000A5D73" w:rsidRPr="006E5ECF">
              <w:rPr>
                <w:rFonts w:ascii="Times New Roman" w:eastAsiaTheme="minorEastAsia" w:hAnsi="Times New Roman" w:cs="Times New Roman"/>
                <w:sz w:val="22"/>
                <w:szCs w:val="22"/>
              </w:rPr>
              <w:t>.96</w:t>
            </w:r>
          </w:p>
        </w:tc>
        <w:tc>
          <w:tcPr>
            <w:tcW w:w="1000" w:type="pct"/>
            <w:tcBorders>
              <w:top w:val="nil"/>
              <w:left w:val="single" w:sz="8" w:space="0" w:color="auto"/>
              <w:bottom w:val="single" w:sz="18" w:space="0" w:color="auto"/>
              <w:right w:val="nil"/>
            </w:tcBorders>
            <w:vAlign w:val="center"/>
          </w:tcPr>
          <w:p w14:paraId="5148B177"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45.23</w:t>
            </w:r>
          </w:p>
        </w:tc>
        <w:tc>
          <w:tcPr>
            <w:tcW w:w="1000" w:type="pct"/>
            <w:tcBorders>
              <w:top w:val="nil"/>
              <w:left w:val="nil"/>
              <w:bottom w:val="single" w:sz="18" w:space="0" w:color="auto"/>
              <w:right w:val="nil"/>
            </w:tcBorders>
            <w:vAlign w:val="center"/>
          </w:tcPr>
          <w:p w14:paraId="6CCD164B"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48.28</w:t>
            </w:r>
          </w:p>
        </w:tc>
        <w:tc>
          <w:tcPr>
            <w:tcW w:w="1000" w:type="pct"/>
            <w:tcBorders>
              <w:top w:val="nil"/>
              <w:left w:val="nil"/>
              <w:bottom w:val="single" w:sz="18" w:space="0" w:color="auto"/>
            </w:tcBorders>
            <w:vAlign w:val="center"/>
          </w:tcPr>
          <w:p w14:paraId="12DD3156" w14:textId="77777777" w:rsidR="000A5D73" w:rsidRPr="006E5ECF" w:rsidRDefault="000A5D73" w:rsidP="001E515E">
            <w:pPr>
              <w:spacing w:line="480" w:lineRule="auto"/>
              <w:jc w:val="center"/>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55.43</w:t>
            </w:r>
          </w:p>
        </w:tc>
      </w:tr>
    </w:tbl>
    <w:p w14:paraId="6D1749ED" w14:textId="77777777" w:rsidR="000A5D73" w:rsidRPr="00ED2FD6" w:rsidRDefault="000A5D73" w:rsidP="001E515E">
      <w:pPr>
        <w:tabs>
          <w:tab w:val="left" w:pos="2024"/>
        </w:tabs>
        <w:spacing w:line="480" w:lineRule="auto"/>
        <w:jc w:val="both"/>
        <w:rPr>
          <w:rFonts w:ascii="Times New Roman" w:eastAsiaTheme="minorEastAsia" w:hAnsi="Times New Roman" w:cs="Times New Roman"/>
          <w:sz w:val="20"/>
          <w:szCs w:val="20"/>
        </w:rPr>
      </w:pPr>
      <w:r w:rsidRPr="00ED2FD6">
        <w:rPr>
          <w:rFonts w:ascii="Times New Roman" w:eastAsiaTheme="minorEastAsia" w:hAnsi="Times New Roman" w:cs="Times New Roman"/>
          <w:sz w:val="20"/>
          <w:szCs w:val="20"/>
        </w:rPr>
        <w:t>Source: Authors’ Computation</w:t>
      </w:r>
    </w:p>
    <w:p w14:paraId="317BF179" w14:textId="0F6B88B9"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Both Maximum Eigen Test and Trace Test shows that in the model, </w:t>
      </w:r>
      <w:r w:rsidR="00CD4491">
        <w:rPr>
          <w:rFonts w:ascii="Times New Roman" w:eastAsiaTheme="minorEastAsia" w:hAnsi="Times New Roman" w:cs="Times New Roman"/>
          <w:sz w:val="22"/>
          <w:szCs w:val="22"/>
        </w:rPr>
        <w:t>one</w:t>
      </w:r>
      <w:r w:rsidRPr="006E5ECF">
        <w:rPr>
          <w:rFonts w:ascii="Times New Roman" w:eastAsiaTheme="minorEastAsia" w:hAnsi="Times New Roman" w:cs="Times New Roman"/>
          <w:sz w:val="22"/>
          <w:szCs w:val="22"/>
        </w:rPr>
        <w:t xml:space="preserve"> of the </w:t>
      </w:r>
      <w:r w:rsidR="00CD4491" w:rsidRPr="006E5ECF">
        <w:rPr>
          <w:rFonts w:ascii="Times New Roman" w:eastAsiaTheme="minorEastAsia" w:hAnsi="Times New Roman" w:cs="Times New Roman"/>
          <w:sz w:val="22"/>
          <w:szCs w:val="22"/>
        </w:rPr>
        <w:t>variables</w:t>
      </w:r>
      <w:r w:rsidRPr="006E5ECF">
        <w:rPr>
          <w:rFonts w:ascii="Times New Roman" w:eastAsiaTheme="minorEastAsia" w:hAnsi="Times New Roman" w:cs="Times New Roman"/>
          <w:sz w:val="22"/>
          <w:szCs w:val="22"/>
        </w:rPr>
        <w:t xml:space="preserve"> is cointegrated. Due to this, we cannot proceed towards applying VECM estimation method and we now focus on applying dynamic OLS, integrated modified OLS and fully modified OLS on the estimated models. Applying these models, do not require cointegration among variables and can be only when variables are integrated at first difference. Table </w:t>
      </w:r>
      <w:r w:rsidR="00BC4125" w:rsidRPr="006E5ECF">
        <w:rPr>
          <w:rFonts w:ascii="Times New Roman" w:eastAsiaTheme="minorEastAsia" w:hAnsi="Times New Roman" w:cs="Times New Roman"/>
          <w:sz w:val="22"/>
          <w:szCs w:val="22"/>
        </w:rPr>
        <w:t>4</w:t>
      </w:r>
      <w:r w:rsidRPr="006E5ECF">
        <w:rPr>
          <w:rFonts w:ascii="Times New Roman" w:eastAsiaTheme="minorEastAsia" w:hAnsi="Times New Roman" w:cs="Times New Roman"/>
          <w:sz w:val="22"/>
          <w:szCs w:val="22"/>
        </w:rPr>
        <w:t xml:space="preserve"> presents the result from the DOLS, and FMOLS estimation.</w:t>
      </w:r>
    </w:p>
    <w:p w14:paraId="7AEB89D7" w14:textId="40A7DD63" w:rsidR="000A5D73" w:rsidRPr="006E5ECF" w:rsidRDefault="000A5D73" w:rsidP="001E515E">
      <w:pPr>
        <w:tabs>
          <w:tab w:val="left" w:pos="2024"/>
        </w:tabs>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 xml:space="preserve">Table </w:t>
      </w:r>
      <w:r w:rsidR="00BC4125" w:rsidRPr="006E5ECF">
        <w:rPr>
          <w:rFonts w:ascii="Times New Roman" w:eastAsiaTheme="minorEastAsia" w:hAnsi="Times New Roman" w:cs="Times New Roman"/>
          <w:b/>
          <w:bCs/>
          <w:sz w:val="22"/>
          <w:szCs w:val="22"/>
        </w:rPr>
        <w:t>4</w:t>
      </w:r>
      <w:r w:rsidRPr="006E5ECF">
        <w:rPr>
          <w:rFonts w:ascii="Times New Roman" w:eastAsiaTheme="minorEastAsia" w:hAnsi="Times New Roman" w:cs="Times New Roman"/>
          <w:b/>
          <w:bCs/>
          <w:sz w:val="22"/>
          <w:szCs w:val="22"/>
        </w:rPr>
        <w:t>: Model Estimation Result</w:t>
      </w:r>
    </w:p>
    <w:tbl>
      <w:tblPr>
        <w:tblStyle w:val="TableGrid"/>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994"/>
        <w:gridCol w:w="2994"/>
        <w:gridCol w:w="2992"/>
      </w:tblGrid>
      <w:tr w:rsidR="005F5739" w:rsidRPr="006E5ECF" w14:paraId="5E1F128D" w14:textId="77777777" w:rsidTr="005F5739">
        <w:tc>
          <w:tcPr>
            <w:tcW w:w="1667" w:type="pct"/>
            <w:tcBorders>
              <w:top w:val="single" w:sz="18" w:space="0" w:color="auto"/>
              <w:bottom w:val="single" w:sz="18" w:space="0" w:color="auto"/>
              <w:right w:val="single" w:sz="18" w:space="0" w:color="auto"/>
            </w:tcBorders>
          </w:tcPr>
          <w:p w14:paraId="391409F9" w14:textId="77777777" w:rsidR="005F5739" w:rsidRPr="006E5ECF" w:rsidRDefault="005F5739"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lastRenderedPageBreak/>
              <w:t>Dependent Variable: RE</w:t>
            </w:r>
          </w:p>
        </w:tc>
        <w:tc>
          <w:tcPr>
            <w:tcW w:w="1667" w:type="pct"/>
            <w:tcBorders>
              <w:top w:val="single" w:sz="18" w:space="0" w:color="auto"/>
              <w:left w:val="single" w:sz="18" w:space="0" w:color="auto"/>
              <w:bottom w:val="single" w:sz="18" w:space="0" w:color="auto"/>
            </w:tcBorders>
          </w:tcPr>
          <w:p w14:paraId="50CF5B84" w14:textId="77777777" w:rsidR="005F5739" w:rsidRPr="006E5ECF" w:rsidRDefault="005F5739"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DOLS estimation</w:t>
            </w:r>
          </w:p>
        </w:tc>
        <w:tc>
          <w:tcPr>
            <w:tcW w:w="1667" w:type="pct"/>
            <w:tcBorders>
              <w:top w:val="single" w:sz="18" w:space="0" w:color="auto"/>
              <w:bottom w:val="single" w:sz="18" w:space="0" w:color="auto"/>
            </w:tcBorders>
          </w:tcPr>
          <w:p w14:paraId="3AF4D869" w14:textId="77777777" w:rsidR="005F5739" w:rsidRPr="006E5ECF" w:rsidRDefault="005F5739"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FMOLS estimation</w:t>
            </w:r>
          </w:p>
        </w:tc>
      </w:tr>
      <w:tr w:rsidR="005F5739" w:rsidRPr="006E5ECF" w14:paraId="0C06E899" w14:textId="77777777" w:rsidTr="005F5739">
        <w:tc>
          <w:tcPr>
            <w:tcW w:w="1667" w:type="pct"/>
            <w:tcBorders>
              <w:top w:val="single" w:sz="18" w:space="0" w:color="auto"/>
              <w:bottom w:val="nil"/>
              <w:right w:val="single" w:sz="18" w:space="0" w:color="auto"/>
            </w:tcBorders>
          </w:tcPr>
          <w:p w14:paraId="6917A654" w14:textId="77777777" w:rsidR="005F5739" w:rsidRPr="006E5ECF" w:rsidRDefault="005F5739"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hAnsi="Times New Roman" w:cs="Times New Roman"/>
                <w:b/>
                <w:bCs/>
                <w:sz w:val="22"/>
                <w:szCs w:val="22"/>
              </w:rPr>
              <w:t>GDP</w:t>
            </w:r>
          </w:p>
        </w:tc>
        <w:tc>
          <w:tcPr>
            <w:tcW w:w="1667" w:type="pct"/>
            <w:tcBorders>
              <w:top w:val="single" w:sz="18" w:space="0" w:color="auto"/>
              <w:left w:val="single" w:sz="18" w:space="0" w:color="auto"/>
            </w:tcBorders>
          </w:tcPr>
          <w:p w14:paraId="4B54CF10" w14:textId="77777777" w:rsidR="005F5739" w:rsidRPr="006E5ECF" w:rsidRDefault="005F5739"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0.419*** (0.099)</w:t>
            </w:r>
          </w:p>
        </w:tc>
        <w:tc>
          <w:tcPr>
            <w:tcW w:w="1667" w:type="pct"/>
            <w:tcBorders>
              <w:top w:val="single" w:sz="18" w:space="0" w:color="auto"/>
            </w:tcBorders>
          </w:tcPr>
          <w:p w14:paraId="68226EF0" w14:textId="77777777" w:rsidR="005F5739" w:rsidRPr="006E5ECF" w:rsidRDefault="005F5739"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0.413*** (0.106)</w:t>
            </w:r>
          </w:p>
        </w:tc>
      </w:tr>
      <w:tr w:rsidR="005F5739" w:rsidRPr="006E5ECF" w14:paraId="3C8D9909" w14:textId="77777777" w:rsidTr="005F5739">
        <w:tc>
          <w:tcPr>
            <w:tcW w:w="1667" w:type="pct"/>
            <w:tcBorders>
              <w:top w:val="nil"/>
              <w:bottom w:val="nil"/>
              <w:right w:val="single" w:sz="18" w:space="0" w:color="auto"/>
            </w:tcBorders>
          </w:tcPr>
          <w:p w14:paraId="0015EF48" w14:textId="77777777" w:rsidR="005F5739" w:rsidRPr="006E5ECF" w:rsidRDefault="005F5739"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hAnsi="Times New Roman" w:cs="Times New Roman"/>
                <w:b/>
                <w:bCs/>
                <w:sz w:val="22"/>
                <w:szCs w:val="22"/>
              </w:rPr>
              <w:t>FDI</w:t>
            </w:r>
          </w:p>
        </w:tc>
        <w:tc>
          <w:tcPr>
            <w:tcW w:w="1667" w:type="pct"/>
            <w:tcBorders>
              <w:left w:val="single" w:sz="18" w:space="0" w:color="auto"/>
            </w:tcBorders>
          </w:tcPr>
          <w:p w14:paraId="64894B63" w14:textId="77777777" w:rsidR="005F5739" w:rsidRPr="006E5ECF" w:rsidRDefault="005F5739"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0.132* (0.069)</w:t>
            </w:r>
          </w:p>
        </w:tc>
        <w:tc>
          <w:tcPr>
            <w:tcW w:w="1667" w:type="pct"/>
          </w:tcPr>
          <w:p w14:paraId="51C98F5C" w14:textId="77777777" w:rsidR="005F5739" w:rsidRPr="006E5ECF" w:rsidRDefault="005F5739"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0.139* (0.072)</w:t>
            </w:r>
          </w:p>
        </w:tc>
      </w:tr>
      <w:tr w:rsidR="005F5739" w:rsidRPr="006E5ECF" w14:paraId="74FD36D9" w14:textId="77777777" w:rsidTr="005F5739">
        <w:tc>
          <w:tcPr>
            <w:tcW w:w="1667" w:type="pct"/>
            <w:tcBorders>
              <w:top w:val="nil"/>
              <w:bottom w:val="single" w:sz="18" w:space="0" w:color="auto"/>
              <w:right w:val="single" w:sz="18" w:space="0" w:color="auto"/>
            </w:tcBorders>
          </w:tcPr>
          <w:p w14:paraId="1F34CC3B" w14:textId="77777777" w:rsidR="005F5739" w:rsidRPr="006E5ECF" w:rsidRDefault="005F5739"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hAnsi="Times New Roman" w:cs="Times New Roman"/>
                <w:b/>
                <w:bCs/>
                <w:sz w:val="22"/>
                <w:szCs w:val="22"/>
              </w:rPr>
              <w:t>Urban</w:t>
            </w:r>
          </w:p>
        </w:tc>
        <w:tc>
          <w:tcPr>
            <w:tcW w:w="1667" w:type="pct"/>
            <w:tcBorders>
              <w:left w:val="single" w:sz="18" w:space="0" w:color="auto"/>
            </w:tcBorders>
          </w:tcPr>
          <w:p w14:paraId="478BC4BB" w14:textId="77777777" w:rsidR="005F5739" w:rsidRPr="006E5ECF" w:rsidRDefault="005F5739"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-0.160*** (0.042)</w:t>
            </w:r>
          </w:p>
        </w:tc>
        <w:tc>
          <w:tcPr>
            <w:tcW w:w="1667" w:type="pct"/>
          </w:tcPr>
          <w:p w14:paraId="23043F4D" w14:textId="77777777" w:rsidR="005F5739" w:rsidRPr="006E5ECF" w:rsidRDefault="005F5739"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-0.159*** (0.046)</w:t>
            </w:r>
          </w:p>
        </w:tc>
      </w:tr>
    </w:tbl>
    <w:p w14:paraId="312E26C8" w14:textId="77777777" w:rsidR="000A5D73" w:rsidRPr="00ED2FD6" w:rsidRDefault="000A5D73" w:rsidP="001E515E">
      <w:pPr>
        <w:tabs>
          <w:tab w:val="left" w:pos="2024"/>
        </w:tabs>
        <w:spacing w:line="480" w:lineRule="auto"/>
        <w:jc w:val="both"/>
        <w:rPr>
          <w:rFonts w:ascii="Times New Roman" w:eastAsiaTheme="minorEastAsia" w:hAnsi="Times New Roman" w:cs="Times New Roman"/>
          <w:sz w:val="20"/>
          <w:szCs w:val="20"/>
        </w:rPr>
      </w:pPr>
      <w:r w:rsidRPr="00ED2FD6">
        <w:rPr>
          <w:rFonts w:ascii="Times New Roman" w:eastAsiaTheme="minorEastAsia" w:hAnsi="Times New Roman" w:cs="Times New Roman"/>
          <w:sz w:val="20"/>
          <w:szCs w:val="20"/>
        </w:rPr>
        <w:t>Source: Authors’ Computation</w:t>
      </w:r>
    </w:p>
    <w:p w14:paraId="52929B8D" w14:textId="77777777"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The estimated coefficients from all the method shows that GDP has a positive impact on renewable energy consumption, while urbanisation has a negative impact on RE. However, the result estimates that FDI has a low significance in all the method which force us to say that there is not enough evidence showing an impact of FDI on RE. </w:t>
      </w:r>
    </w:p>
    <w:p w14:paraId="5D664258" w14:textId="77777777"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The finding that GDP exhibits a positive and significant effect on renewable energy consumption suggests that as a country’s economy grows, its capacity and propensity to invest in renewable energy also rise. Higher GDP typically means greater fiscal capacity, more institutional support, and stronger market demand for cleaner energy solutions. Economic expansion often incentivizes both public and private sectors to transition towards sustainable energy infrastructures, given the increasing energy needs and potential long-term cost savings </w:t>
      </w:r>
      <w:hyperlink r:id="rId10" w:history="1">
        <w:r w:rsidRPr="006E5ECF">
          <w:rPr>
            <w:rStyle w:val="Hyperlink"/>
            <w:rFonts w:ascii="Times New Roman" w:eastAsiaTheme="minorEastAsia" w:hAnsi="Times New Roman" w:cs="Times New Roman"/>
            <w:sz w:val="22"/>
            <w:szCs w:val="22"/>
          </w:rPr>
          <w:t>Gibba et al. (2024)</w:t>
        </w:r>
      </w:hyperlink>
      <w:r w:rsidRPr="006E5ECF">
        <w:rPr>
          <w:rFonts w:ascii="Times New Roman" w:eastAsiaTheme="minorEastAsia" w:hAnsi="Times New Roman" w:cs="Times New Roman"/>
          <w:sz w:val="22"/>
          <w:szCs w:val="22"/>
        </w:rPr>
        <w:t xml:space="preserve">. While I did not locate a study explicitly mirroring this exact phraseology, several empirical analyses echo the sentiment that economic growth catalyses renewable energy uptake and supports the energy transition, directly or via broader environmental sustainability frameworks </w:t>
      </w:r>
      <w:hyperlink r:id="rId11" w:history="1">
        <w:r w:rsidRPr="006E5ECF">
          <w:rPr>
            <w:rStyle w:val="Hyperlink"/>
            <w:rFonts w:ascii="Times New Roman" w:eastAsiaTheme="minorEastAsia" w:hAnsi="Times New Roman" w:cs="Times New Roman"/>
            <w:sz w:val="22"/>
            <w:szCs w:val="22"/>
          </w:rPr>
          <w:t>Wang et al. (2021)</w:t>
        </w:r>
      </w:hyperlink>
      <w:r w:rsidRPr="006E5ECF">
        <w:rPr>
          <w:rFonts w:ascii="Times New Roman" w:eastAsiaTheme="minorEastAsia" w:hAnsi="Times New Roman" w:cs="Times New Roman"/>
          <w:sz w:val="22"/>
          <w:szCs w:val="22"/>
        </w:rPr>
        <w:t xml:space="preserve">; </w:t>
      </w:r>
      <w:hyperlink r:id="rId12" w:history="1">
        <w:r w:rsidRPr="006E5ECF">
          <w:rPr>
            <w:rStyle w:val="Hyperlink"/>
            <w:rFonts w:ascii="Times New Roman" w:eastAsiaTheme="minorEastAsia" w:hAnsi="Times New Roman" w:cs="Times New Roman"/>
            <w:sz w:val="22"/>
            <w:szCs w:val="22"/>
          </w:rPr>
          <w:t>Gibba et al. (2024)</w:t>
        </w:r>
      </w:hyperlink>
      <w:r w:rsidRPr="006E5ECF">
        <w:rPr>
          <w:rFonts w:ascii="Times New Roman" w:eastAsiaTheme="minorEastAsia" w:hAnsi="Times New Roman" w:cs="Times New Roman"/>
          <w:sz w:val="22"/>
          <w:szCs w:val="22"/>
        </w:rPr>
        <w:t>.</w:t>
      </w:r>
    </w:p>
    <w:p w14:paraId="370C06CE" w14:textId="77777777"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On the other hand, urbanisation’s negative coefficient implies that increasing urban concentration is inversely related to renewable energy consumption in the models used. This can result from multiple structural factors: urban growth may prioritise existing non-renewable energy infrastructure, face higher upfront costs for renewable retrofitting, or encounter energy-efficiency challenges tied to rapid urban expansion </w:t>
      </w:r>
      <w:hyperlink r:id="rId13" w:history="1">
        <w:r w:rsidRPr="006E5ECF">
          <w:rPr>
            <w:rStyle w:val="Hyperlink"/>
            <w:rFonts w:ascii="Times New Roman" w:eastAsiaTheme="minorEastAsia" w:hAnsi="Times New Roman" w:cs="Times New Roman"/>
            <w:sz w:val="22"/>
            <w:szCs w:val="22"/>
          </w:rPr>
          <w:t>Xuan (2024)</w:t>
        </w:r>
      </w:hyperlink>
      <w:r w:rsidRPr="006E5ECF">
        <w:rPr>
          <w:rFonts w:ascii="Times New Roman" w:eastAsiaTheme="minorEastAsia" w:hAnsi="Times New Roman" w:cs="Times New Roman"/>
          <w:sz w:val="22"/>
          <w:szCs w:val="22"/>
        </w:rPr>
        <w:t xml:space="preserve">. Some studies have documented that while urbanisation leads to heightened overall energy demand, especially non-renewable, its direct impact on renewable usage may be muted or statistically negligible </w:t>
      </w:r>
      <w:hyperlink r:id="rId14" w:history="1">
        <w:r w:rsidRPr="006E5ECF">
          <w:rPr>
            <w:rStyle w:val="Hyperlink"/>
            <w:rFonts w:ascii="Times New Roman" w:eastAsiaTheme="minorEastAsia" w:hAnsi="Times New Roman" w:cs="Times New Roman"/>
            <w:sz w:val="22"/>
            <w:szCs w:val="22"/>
          </w:rPr>
          <w:t xml:space="preserve">Zhao and </w:t>
        </w:r>
        <w:proofErr w:type="spellStart"/>
        <w:r w:rsidRPr="006E5ECF">
          <w:rPr>
            <w:rStyle w:val="Hyperlink"/>
            <w:rFonts w:ascii="Times New Roman" w:eastAsiaTheme="minorEastAsia" w:hAnsi="Times New Roman" w:cs="Times New Roman"/>
            <w:sz w:val="22"/>
            <w:szCs w:val="22"/>
          </w:rPr>
          <w:t>Qamruzzaman</w:t>
        </w:r>
        <w:proofErr w:type="spellEnd"/>
        <w:r w:rsidRPr="006E5ECF">
          <w:rPr>
            <w:rStyle w:val="Hyperlink"/>
            <w:rFonts w:ascii="Times New Roman" w:eastAsiaTheme="minorEastAsia" w:hAnsi="Times New Roman" w:cs="Times New Roman"/>
            <w:sz w:val="22"/>
            <w:szCs w:val="22"/>
          </w:rPr>
          <w:t xml:space="preserve"> (2022)</w:t>
        </w:r>
      </w:hyperlink>
      <w:r w:rsidRPr="006E5ECF">
        <w:rPr>
          <w:rFonts w:ascii="Times New Roman" w:eastAsiaTheme="minorEastAsia" w:hAnsi="Times New Roman" w:cs="Times New Roman"/>
          <w:sz w:val="22"/>
          <w:szCs w:val="22"/>
        </w:rPr>
        <w:t>. In other words, urbanisation in isolation may not automatically translate into stronger adoption of renewables unless accompanied by targeted policies, infrastructure investment, or urban planning aligned with clean energy goals.</w:t>
      </w:r>
    </w:p>
    <w:p w14:paraId="636DE8B2" w14:textId="256EC568" w:rsidR="000A5D73" w:rsidRPr="006E5ECF" w:rsidRDefault="000A5D73" w:rsidP="001E515E">
      <w:pPr>
        <w:tabs>
          <w:tab w:val="left" w:pos="2024"/>
        </w:tabs>
        <w:spacing w:line="480" w:lineRule="auto"/>
        <w:jc w:val="center"/>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lastRenderedPageBreak/>
        <w:t xml:space="preserve">Table </w:t>
      </w:r>
      <w:r w:rsidR="00BC4125" w:rsidRPr="006E5ECF">
        <w:rPr>
          <w:rFonts w:ascii="Times New Roman" w:eastAsiaTheme="minorEastAsia" w:hAnsi="Times New Roman" w:cs="Times New Roman"/>
          <w:b/>
          <w:bCs/>
          <w:sz w:val="22"/>
          <w:szCs w:val="22"/>
        </w:rPr>
        <w:t>5</w:t>
      </w:r>
      <w:r w:rsidRPr="006E5ECF">
        <w:rPr>
          <w:rFonts w:ascii="Times New Roman" w:eastAsiaTheme="minorEastAsia" w:hAnsi="Times New Roman" w:cs="Times New Roman"/>
          <w:b/>
          <w:bCs/>
          <w:sz w:val="22"/>
          <w:szCs w:val="22"/>
        </w:rPr>
        <w:t>: Granger Causality Test</w:t>
      </w:r>
    </w:p>
    <w:tbl>
      <w:tblPr>
        <w:tblStyle w:val="TableGrid"/>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789"/>
        <w:gridCol w:w="706"/>
        <w:gridCol w:w="1124"/>
        <w:gridCol w:w="1361"/>
      </w:tblGrid>
      <w:tr w:rsidR="000A5D73" w:rsidRPr="006E5ECF" w14:paraId="78E09DA3" w14:textId="77777777" w:rsidTr="00147DAD">
        <w:tc>
          <w:tcPr>
            <w:tcW w:w="3223" w:type="pct"/>
            <w:tcBorders>
              <w:top w:val="single" w:sz="18" w:space="0" w:color="auto"/>
              <w:bottom w:val="single" w:sz="18" w:space="0" w:color="auto"/>
              <w:right w:val="single" w:sz="8" w:space="0" w:color="auto"/>
            </w:tcBorders>
            <w:vAlign w:val="center"/>
          </w:tcPr>
          <w:p w14:paraId="0A84E908" w14:textId="77777777" w:rsidR="000A5D73" w:rsidRPr="006E5ECF" w:rsidRDefault="000A5D73" w:rsidP="001E515E">
            <w:pPr>
              <w:tabs>
                <w:tab w:val="left" w:pos="2024"/>
              </w:tabs>
              <w:spacing w:line="480" w:lineRule="auto"/>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Null Hypothesis</w:t>
            </w:r>
          </w:p>
        </w:tc>
        <w:tc>
          <w:tcPr>
            <w:tcW w:w="393" w:type="pct"/>
            <w:tcBorders>
              <w:top w:val="single" w:sz="18" w:space="0" w:color="auto"/>
              <w:left w:val="single" w:sz="8" w:space="0" w:color="auto"/>
              <w:bottom w:val="nil"/>
              <w:right w:val="single" w:sz="8" w:space="0" w:color="auto"/>
            </w:tcBorders>
            <w:vAlign w:val="center"/>
          </w:tcPr>
          <w:p w14:paraId="27EC8EC1" w14:textId="77777777" w:rsidR="000A5D73" w:rsidRPr="006E5ECF" w:rsidRDefault="000A5D73" w:rsidP="001E515E">
            <w:pPr>
              <w:tabs>
                <w:tab w:val="left" w:pos="2024"/>
              </w:tabs>
              <w:spacing w:line="480" w:lineRule="auto"/>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Obs.</w:t>
            </w:r>
          </w:p>
        </w:tc>
        <w:tc>
          <w:tcPr>
            <w:tcW w:w="626" w:type="pct"/>
            <w:tcBorders>
              <w:top w:val="single" w:sz="18" w:space="0" w:color="auto"/>
              <w:left w:val="single" w:sz="8" w:space="0" w:color="auto"/>
              <w:bottom w:val="single" w:sz="18" w:space="0" w:color="auto"/>
              <w:right w:val="single" w:sz="8" w:space="0" w:color="auto"/>
            </w:tcBorders>
            <w:vAlign w:val="center"/>
          </w:tcPr>
          <w:p w14:paraId="392D5A74" w14:textId="77777777" w:rsidR="000A5D73" w:rsidRPr="006E5ECF" w:rsidRDefault="000A5D73" w:rsidP="001E515E">
            <w:pPr>
              <w:tabs>
                <w:tab w:val="left" w:pos="2024"/>
              </w:tabs>
              <w:spacing w:line="480" w:lineRule="auto"/>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F-stats.</w:t>
            </w:r>
          </w:p>
        </w:tc>
        <w:tc>
          <w:tcPr>
            <w:tcW w:w="758" w:type="pct"/>
            <w:tcBorders>
              <w:top w:val="single" w:sz="18" w:space="0" w:color="auto"/>
              <w:left w:val="single" w:sz="8" w:space="0" w:color="auto"/>
              <w:bottom w:val="single" w:sz="18" w:space="0" w:color="auto"/>
            </w:tcBorders>
            <w:vAlign w:val="center"/>
          </w:tcPr>
          <w:p w14:paraId="1BF3F3E7" w14:textId="77777777" w:rsidR="000A5D73" w:rsidRPr="006E5ECF" w:rsidRDefault="000A5D73" w:rsidP="001E515E">
            <w:pPr>
              <w:tabs>
                <w:tab w:val="left" w:pos="2024"/>
              </w:tabs>
              <w:spacing w:line="480" w:lineRule="auto"/>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Prob.</w:t>
            </w:r>
          </w:p>
        </w:tc>
      </w:tr>
      <w:tr w:rsidR="000A5D73" w:rsidRPr="006E5ECF" w14:paraId="3ACF81F6" w14:textId="77777777" w:rsidTr="00147DAD">
        <w:tc>
          <w:tcPr>
            <w:tcW w:w="3223" w:type="pct"/>
            <w:tcBorders>
              <w:top w:val="single" w:sz="18" w:space="0" w:color="auto"/>
              <w:bottom w:val="nil"/>
              <w:right w:val="single" w:sz="8" w:space="0" w:color="auto"/>
            </w:tcBorders>
            <w:vAlign w:val="center"/>
          </w:tcPr>
          <w:p w14:paraId="5C0C634F"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Urban does not Granger cause RE</w:t>
            </w:r>
          </w:p>
        </w:tc>
        <w:tc>
          <w:tcPr>
            <w:tcW w:w="393" w:type="pct"/>
            <w:vMerge w:val="restart"/>
            <w:tcBorders>
              <w:top w:val="single" w:sz="18" w:space="0" w:color="auto"/>
              <w:left w:val="single" w:sz="8" w:space="0" w:color="auto"/>
              <w:bottom w:val="nil"/>
              <w:right w:val="single" w:sz="8" w:space="0" w:color="auto"/>
            </w:tcBorders>
            <w:vAlign w:val="center"/>
          </w:tcPr>
          <w:p w14:paraId="624AB985"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25</w:t>
            </w:r>
          </w:p>
        </w:tc>
        <w:tc>
          <w:tcPr>
            <w:tcW w:w="626" w:type="pct"/>
            <w:tcBorders>
              <w:top w:val="single" w:sz="18" w:space="0" w:color="auto"/>
              <w:left w:val="single" w:sz="8" w:space="0" w:color="auto"/>
              <w:bottom w:val="nil"/>
              <w:right w:val="single" w:sz="8" w:space="0" w:color="auto"/>
            </w:tcBorders>
            <w:vAlign w:val="center"/>
          </w:tcPr>
          <w:p w14:paraId="67BC0BC4"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3.115</w:t>
            </w:r>
          </w:p>
        </w:tc>
        <w:tc>
          <w:tcPr>
            <w:tcW w:w="758" w:type="pct"/>
            <w:tcBorders>
              <w:top w:val="single" w:sz="18" w:space="0" w:color="auto"/>
              <w:left w:val="single" w:sz="8" w:space="0" w:color="auto"/>
              <w:bottom w:val="nil"/>
            </w:tcBorders>
            <w:vAlign w:val="center"/>
          </w:tcPr>
          <w:p w14:paraId="341C3FFC"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0.090*</w:t>
            </w:r>
          </w:p>
        </w:tc>
      </w:tr>
      <w:tr w:rsidR="000A5D73" w:rsidRPr="006E5ECF" w14:paraId="086EE191" w14:textId="77777777" w:rsidTr="00147DAD">
        <w:tc>
          <w:tcPr>
            <w:tcW w:w="3223" w:type="pct"/>
            <w:tcBorders>
              <w:top w:val="nil"/>
              <w:bottom w:val="single" w:sz="8" w:space="0" w:color="auto"/>
              <w:right w:val="single" w:sz="8" w:space="0" w:color="auto"/>
            </w:tcBorders>
            <w:vAlign w:val="center"/>
          </w:tcPr>
          <w:p w14:paraId="45B984EC"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RE does not Granger cause Urban</w:t>
            </w:r>
          </w:p>
        </w:tc>
        <w:tc>
          <w:tcPr>
            <w:tcW w:w="393" w:type="pct"/>
            <w:vMerge/>
            <w:tcBorders>
              <w:top w:val="nil"/>
              <w:left w:val="single" w:sz="8" w:space="0" w:color="auto"/>
              <w:bottom w:val="nil"/>
              <w:right w:val="single" w:sz="8" w:space="0" w:color="auto"/>
            </w:tcBorders>
            <w:vAlign w:val="center"/>
          </w:tcPr>
          <w:p w14:paraId="792D214E"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p>
        </w:tc>
        <w:tc>
          <w:tcPr>
            <w:tcW w:w="626" w:type="pct"/>
            <w:tcBorders>
              <w:top w:val="nil"/>
              <w:left w:val="single" w:sz="8" w:space="0" w:color="auto"/>
              <w:bottom w:val="single" w:sz="8" w:space="0" w:color="auto"/>
              <w:right w:val="single" w:sz="8" w:space="0" w:color="auto"/>
            </w:tcBorders>
            <w:vAlign w:val="center"/>
          </w:tcPr>
          <w:p w14:paraId="5363A9CA"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0.713</w:t>
            </w:r>
          </w:p>
        </w:tc>
        <w:tc>
          <w:tcPr>
            <w:tcW w:w="758" w:type="pct"/>
            <w:tcBorders>
              <w:top w:val="nil"/>
              <w:left w:val="single" w:sz="8" w:space="0" w:color="auto"/>
              <w:bottom w:val="single" w:sz="8" w:space="0" w:color="auto"/>
            </w:tcBorders>
            <w:vAlign w:val="center"/>
          </w:tcPr>
          <w:p w14:paraId="31759F59"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0.407</w:t>
            </w:r>
          </w:p>
        </w:tc>
      </w:tr>
      <w:tr w:rsidR="000A5D73" w:rsidRPr="006E5ECF" w14:paraId="24B2D999" w14:textId="77777777" w:rsidTr="00147DAD">
        <w:tc>
          <w:tcPr>
            <w:tcW w:w="3223" w:type="pct"/>
            <w:tcBorders>
              <w:top w:val="single" w:sz="8" w:space="0" w:color="auto"/>
              <w:bottom w:val="nil"/>
              <w:right w:val="single" w:sz="8" w:space="0" w:color="auto"/>
            </w:tcBorders>
            <w:vAlign w:val="center"/>
          </w:tcPr>
          <w:p w14:paraId="20D02F0D"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GDP does not Granger cause RE</w:t>
            </w:r>
          </w:p>
        </w:tc>
        <w:tc>
          <w:tcPr>
            <w:tcW w:w="393" w:type="pct"/>
            <w:vMerge w:val="restart"/>
            <w:tcBorders>
              <w:top w:val="single" w:sz="8" w:space="0" w:color="auto"/>
              <w:left w:val="single" w:sz="8" w:space="0" w:color="auto"/>
              <w:bottom w:val="nil"/>
              <w:right w:val="single" w:sz="8" w:space="0" w:color="auto"/>
            </w:tcBorders>
            <w:vAlign w:val="center"/>
          </w:tcPr>
          <w:p w14:paraId="6DA9C21D"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25</w:t>
            </w:r>
          </w:p>
        </w:tc>
        <w:tc>
          <w:tcPr>
            <w:tcW w:w="626" w:type="pct"/>
            <w:tcBorders>
              <w:top w:val="single" w:sz="8" w:space="0" w:color="auto"/>
              <w:left w:val="single" w:sz="8" w:space="0" w:color="auto"/>
              <w:bottom w:val="nil"/>
              <w:right w:val="single" w:sz="8" w:space="0" w:color="auto"/>
            </w:tcBorders>
            <w:vAlign w:val="center"/>
          </w:tcPr>
          <w:p w14:paraId="2488BBD0"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4.035</w:t>
            </w:r>
          </w:p>
        </w:tc>
        <w:tc>
          <w:tcPr>
            <w:tcW w:w="758" w:type="pct"/>
            <w:tcBorders>
              <w:top w:val="single" w:sz="8" w:space="0" w:color="auto"/>
              <w:left w:val="single" w:sz="8" w:space="0" w:color="auto"/>
              <w:bottom w:val="nil"/>
            </w:tcBorders>
            <w:vAlign w:val="center"/>
          </w:tcPr>
          <w:p w14:paraId="2C99D5FB"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0.056*</w:t>
            </w:r>
          </w:p>
        </w:tc>
      </w:tr>
      <w:tr w:rsidR="000A5D73" w:rsidRPr="006E5ECF" w14:paraId="7809D797" w14:textId="77777777" w:rsidTr="00147DAD">
        <w:tc>
          <w:tcPr>
            <w:tcW w:w="3223" w:type="pct"/>
            <w:tcBorders>
              <w:top w:val="nil"/>
              <w:bottom w:val="single" w:sz="8" w:space="0" w:color="auto"/>
              <w:right w:val="single" w:sz="8" w:space="0" w:color="auto"/>
            </w:tcBorders>
            <w:vAlign w:val="center"/>
          </w:tcPr>
          <w:p w14:paraId="7C528D22"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RE does not Granger cause GDP</w:t>
            </w:r>
          </w:p>
        </w:tc>
        <w:tc>
          <w:tcPr>
            <w:tcW w:w="393" w:type="pct"/>
            <w:vMerge/>
            <w:tcBorders>
              <w:top w:val="nil"/>
              <w:left w:val="single" w:sz="8" w:space="0" w:color="auto"/>
              <w:bottom w:val="single" w:sz="8" w:space="0" w:color="auto"/>
              <w:right w:val="single" w:sz="8" w:space="0" w:color="auto"/>
            </w:tcBorders>
            <w:vAlign w:val="center"/>
          </w:tcPr>
          <w:p w14:paraId="05FD474B"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p>
        </w:tc>
        <w:tc>
          <w:tcPr>
            <w:tcW w:w="626" w:type="pct"/>
            <w:tcBorders>
              <w:top w:val="nil"/>
              <w:left w:val="single" w:sz="8" w:space="0" w:color="auto"/>
              <w:bottom w:val="single" w:sz="8" w:space="0" w:color="auto"/>
              <w:right w:val="single" w:sz="8" w:space="0" w:color="auto"/>
            </w:tcBorders>
            <w:vAlign w:val="center"/>
          </w:tcPr>
          <w:p w14:paraId="60A4B7F9"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0.001</w:t>
            </w:r>
          </w:p>
        </w:tc>
        <w:tc>
          <w:tcPr>
            <w:tcW w:w="758" w:type="pct"/>
            <w:tcBorders>
              <w:top w:val="nil"/>
              <w:left w:val="single" w:sz="8" w:space="0" w:color="auto"/>
              <w:bottom w:val="single" w:sz="8" w:space="0" w:color="auto"/>
            </w:tcBorders>
            <w:vAlign w:val="center"/>
          </w:tcPr>
          <w:p w14:paraId="2A32C059"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0.998</w:t>
            </w:r>
          </w:p>
        </w:tc>
      </w:tr>
      <w:tr w:rsidR="000A5D73" w:rsidRPr="006E5ECF" w14:paraId="71D1E46C" w14:textId="77777777" w:rsidTr="00147DAD">
        <w:trPr>
          <w:trHeight w:val="20"/>
        </w:trPr>
        <w:tc>
          <w:tcPr>
            <w:tcW w:w="3223" w:type="pct"/>
            <w:tcBorders>
              <w:top w:val="single" w:sz="8" w:space="0" w:color="auto"/>
              <w:right w:val="single" w:sz="8" w:space="0" w:color="auto"/>
            </w:tcBorders>
            <w:vAlign w:val="center"/>
          </w:tcPr>
          <w:p w14:paraId="2CA0C414"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FDI does not Granger cause RE</w:t>
            </w:r>
          </w:p>
        </w:tc>
        <w:tc>
          <w:tcPr>
            <w:tcW w:w="393" w:type="pct"/>
            <w:vMerge w:val="restart"/>
            <w:tcBorders>
              <w:top w:val="single" w:sz="8" w:space="0" w:color="auto"/>
              <w:left w:val="single" w:sz="8" w:space="0" w:color="auto"/>
              <w:bottom w:val="single" w:sz="18" w:space="0" w:color="auto"/>
              <w:right w:val="single" w:sz="8" w:space="0" w:color="auto"/>
            </w:tcBorders>
            <w:vAlign w:val="center"/>
          </w:tcPr>
          <w:p w14:paraId="2E8EEF49"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25</w:t>
            </w:r>
          </w:p>
        </w:tc>
        <w:tc>
          <w:tcPr>
            <w:tcW w:w="626" w:type="pct"/>
            <w:tcBorders>
              <w:top w:val="single" w:sz="8" w:space="0" w:color="auto"/>
              <w:left w:val="single" w:sz="8" w:space="0" w:color="auto"/>
              <w:right w:val="single" w:sz="8" w:space="0" w:color="auto"/>
            </w:tcBorders>
            <w:vAlign w:val="center"/>
          </w:tcPr>
          <w:p w14:paraId="3C7E89F4"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0.004</w:t>
            </w:r>
          </w:p>
        </w:tc>
        <w:tc>
          <w:tcPr>
            <w:tcW w:w="758" w:type="pct"/>
            <w:tcBorders>
              <w:top w:val="single" w:sz="8" w:space="0" w:color="auto"/>
              <w:left w:val="single" w:sz="8" w:space="0" w:color="auto"/>
            </w:tcBorders>
            <w:vAlign w:val="center"/>
          </w:tcPr>
          <w:p w14:paraId="5D7F2596"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0.952</w:t>
            </w:r>
          </w:p>
        </w:tc>
      </w:tr>
      <w:tr w:rsidR="000A5D73" w:rsidRPr="006E5ECF" w14:paraId="5F52D725" w14:textId="77777777" w:rsidTr="00147DAD">
        <w:trPr>
          <w:trHeight w:val="20"/>
        </w:trPr>
        <w:tc>
          <w:tcPr>
            <w:tcW w:w="3223" w:type="pct"/>
            <w:tcBorders>
              <w:right w:val="single" w:sz="8" w:space="0" w:color="auto"/>
            </w:tcBorders>
            <w:vAlign w:val="center"/>
          </w:tcPr>
          <w:p w14:paraId="1C3509E2"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RE does not Granger cause FDI</w:t>
            </w:r>
          </w:p>
        </w:tc>
        <w:tc>
          <w:tcPr>
            <w:tcW w:w="393" w:type="pct"/>
            <w:vMerge/>
            <w:tcBorders>
              <w:top w:val="nil"/>
              <w:left w:val="single" w:sz="8" w:space="0" w:color="auto"/>
              <w:bottom w:val="single" w:sz="18" w:space="0" w:color="auto"/>
              <w:right w:val="single" w:sz="8" w:space="0" w:color="auto"/>
            </w:tcBorders>
            <w:vAlign w:val="center"/>
          </w:tcPr>
          <w:p w14:paraId="39C8E650"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p>
        </w:tc>
        <w:tc>
          <w:tcPr>
            <w:tcW w:w="626" w:type="pct"/>
            <w:tcBorders>
              <w:left w:val="single" w:sz="8" w:space="0" w:color="auto"/>
              <w:bottom w:val="single" w:sz="18" w:space="0" w:color="auto"/>
              <w:right w:val="single" w:sz="8" w:space="0" w:color="auto"/>
            </w:tcBorders>
            <w:vAlign w:val="center"/>
          </w:tcPr>
          <w:p w14:paraId="6B386247"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9.000</w:t>
            </w:r>
          </w:p>
        </w:tc>
        <w:tc>
          <w:tcPr>
            <w:tcW w:w="758" w:type="pct"/>
            <w:tcBorders>
              <w:left w:val="single" w:sz="8" w:space="0" w:color="auto"/>
              <w:bottom w:val="single" w:sz="18" w:space="0" w:color="auto"/>
            </w:tcBorders>
            <w:vAlign w:val="center"/>
          </w:tcPr>
          <w:p w14:paraId="6D1F281D" w14:textId="77777777" w:rsidR="000A5D73" w:rsidRPr="006E5ECF" w:rsidRDefault="000A5D73" w:rsidP="001E515E">
            <w:pPr>
              <w:tabs>
                <w:tab w:val="left" w:pos="2024"/>
              </w:tabs>
              <w:spacing w:line="480" w:lineRule="auto"/>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0.006***</w:t>
            </w:r>
          </w:p>
        </w:tc>
      </w:tr>
    </w:tbl>
    <w:p w14:paraId="081494F7" w14:textId="77777777" w:rsidR="000A5D73" w:rsidRPr="00ED2FD6" w:rsidRDefault="000A5D73" w:rsidP="001E515E">
      <w:pPr>
        <w:tabs>
          <w:tab w:val="left" w:pos="2024"/>
        </w:tabs>
        <w:spacing w:line="480" w:lineRule="auto"/>
        <w:jc w:val="both"/>
        <w:rPr>
          <w:rFonts w:ascii="Times New Roman" w:eastAsiaTheme="minorEastAsia" w:hAnsi="Times New Roman" w:cs="Times New Roman"/>
          <w:sz w:val="20"/>
          <w:szCs w:val="20"/>
        </w:rPr>
      </w:pPr>
      <w:r w:rsidRPr="00ED2FD6">
        <w:rPr>
          <w:rFonts w:ascii="Times New Roman" w:eastAsiaTheme="minorEastAsia" w:hAnsi="Times New Roman" w:cs="Times New Roman"/>
          <w:sz w:val="20"/>
          <w:szCs w:val="20"/>
        </w:rPr>
        <w:t>Source: Authors’ Computation</w:t>
      </w:r>
    </w:p>
    <w:p w14:paraId="18A37823" w14:textId="18E9468C"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The granger causality result validates the relationship shown in the table </w:t>
      </w:r>
      <w:r w:rsidR="00ED2B7D" w:rsidRPr="006E5ECF">
        <w:rPr>
          <w:rFonts w:ascii="Times New Roman" w:eastAsiaTheme="minorEastAsia" w:hAnsi="Times New Roman" w:cs="Times New Roman"/>
          <w:sz w:val="22"/>
          <w:szCs w:val="22"/>
        </w:rPr>
        <w:t>4</w:t>
      </w:r>
      <w:r w:rsidRPr="006E5ECF">
        <w:rPr>
          <w:rFonts w:ascii="Times New Roman" w:eastAsiaTheme="minorEastAsia" w:hAnsi="Times New Roman" w:cs="Times New Roman"/>
          <w:sz w:val="22"/>
          <w:szCs w:val="22"/>
        </w:rPr>
        <w:t xml:space="preserve">. The results </w:t>
      </w:r>
      <w:proofErr w:type="gramStart"/>
      <w:r w:rsidRPr="006E5ECF">
        <w:rPr>
          <w:rFonts w:ascii="Times New Roman" w:eastAsiaTheme="minorEastAsia" w:hAnsi="Times New Roman" w:cs="Times New Roman"/>
          <w:sz w:val="22"/>
          <w:szCs w:val="22"/>
        </w:rPr>
        <w:t>shows</w:t>
      </w:r>
      <w:proofErr w:type="gramEnd"/>
      <w:r w:rsidRPr="006E5ECF">
        <w:rPr>
          <w:rFonts w:ascii="Times New Roman" w:eastAsiaTheme="minorEastAsia" w:hAnsi="Times New Roman" w:cs="Times New Roman"/>
          <w:sz w:val="22"/>
          <w:szCs w:val="22"/>
        </w:rPr>
        <w:t xml:space="preserve"> that variables like Urban and GDP has unidirectional causation with the RE in India, i.e., with increase in these variables RE will get affected. However, with change in RE these variables are not certainly going to change. Also, it is found that change in FDI does not evidently change RE, but the reverse has been proved to be significant. The hypothesis behind this relationship is that when an economy starts to demand renewable energy, the developed economies start to invest in the green sector to get higher profits. So, in case of India, an emerging economy, the alignment towards renewable energy attracts higher FDI from developed economies.</w:t>
      </w:r>
    </w:p>
    <w:p w14:paraId="5244973A" w14:textId="6CB4A143" w:rsidR="000A5D73" w:rsidRPr="006E5ECF" w:rsidRDefault="00525191"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 xml:space="preserve">6. </w:t>
      </w:r>
      <w:r w:rsidR="000A5D73" w:rsidRPr="006E5ECF">
        <w:rPr>
          <w:rFonts w:ascii="Times New Roman" w:eastAsiaTheme="minorEastAsia" w:hAnsi="Times New Roman" w:cs="Times New Roman"/>
          <w:b/>
          <w:bCs/>
          <w:sz w:val="22"/>
          <w:szCs w:val="22"/>
        </w:rPr>
        <w:t>Conclusion</w:t>
      </w:r>
    </w:p>
    <w:p w14:paraId="2C6A74F9" w14:textId="77777777" w:rsidR="000A5D73" w:rsidRPr="006E5ECF"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The findings of this study reveal a clear policy trade-off between economic growth, urbanisation, and energy sustainability in India. The results consistently demonstrate that while GDP growth significantly stimulates renewable energy adoption, rapid urbanisation has a dampening effect on the transition toward clean energy. This outcome highlights the dual reality India faces on the one hand, sustained economic growth enhances the capacity to invest in renewable infrastructure, but on the other hand, unplanned and energy-intensive urbanisation continues to lock cities into conventional fossil-fuel-based systems. The role of FDI is found to be less decisive, with its contribution to renewable energy remaining statistically weak, suggesting that foreign capital alone cannot drive the clean energy shift without complementary domestic policy support and institutional readiness. Taken together, these </w:t>
      </w:r>
      <w:r w:rsidRPr="006E5ECF">
        <w:rPr>
          <w:rFonts w:ascii="Times New Roman" w:eastAsiaTheme="minorEastAsia" w:hAnsi="Times New Roman" w:cs="Times New Roman"/>
          <w:sz w:val="22"/>
          <w:szCs w:val="22"/>
        </w:rPr>
        <w:lastRenderedPageBreak/>
        <w:t>findings underscore the importance of deliberate policy design that harnesses economic growth for clean energy transitions while addressing the structural challenges of urbanisation.</w:t>
      </w:r>
    </w:p>
    <w:p w14:paraId="2F692533" w14:textId="658AC014" w:rsidR="00474610" w:rsidRDefault="000A5D73" w:rsidP="001E515E">
      <w:p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Going forward, India’s sustainability agenda requires an integrated policy framework that reconciles the growth-urbanisation-sustainability nexus. Stronger emphasis must be placed on sustainable urban planning, green infrastructure investment, and regulatory instruments that incentivise renewable energy adoption in urban ecosystems. Initiatives such as green bonds, renewable purchase obligations, and urban energy-efficiency programmes can bridge the existing gaps. Moreover, aligning urban expansion with renewable integration will be crucial if India is to honour its Paris Agreement commitments and its own ambitious net-zero targets. In this context, the findings of the study not only provide empirical evidence of the trade-offs but also suggest the pressing need for a reorientation of development priorities toward inclusive, resilient, and energy-sustainable pathways. This will ensure that economic prosperity and urban growth do not come at the cost of environmental degradation but rather act as catalysts in creating a sustainable and future-ready India.</w:t>
      </w:r>
    </w:p>
    <w:p w14:paraId="6AB23268" w14:textId="77777777" w:rsidR="00793844" w:rsidRDefault="00793844" w:rsidP="00793844">
      <w:pPr>
        <w:tabs>
          <w:tab w:val="left" w:pos="2024"/>
        </w:tabs>
        <w:spacing w:line="480" w:lineRule="auto"/>
        <w:jc w:val="both"/>
        <w:rPr>
          <w:rFonts w:ascii="Times New Roman" w:eastAsiaTheme="minorEastAsia" w:hAnsi="Times New Roman" w:cs="Times New Roman"/>
          <w:sz w:val="22"/>
          <w:szCs w:val="22"/>
        </w:rPr>
      </w:pPr>
    </w:p>
    <w:p w14:paraId="6A5B572B" w14:textId="2AFDEE78" w:rsidR="00793844" w:rsidRPr="00793844" w:rsidRDefault="00793844" w:rsidP="00793844">
      <w:pPr>
        <w:tabs>
          <w:tab w:val="left" w:pos="2024"/>
        </w:tabs>
        <w:spacing w:line="480" w:lineRule="auto"/>
        <w:jc w:val="both"/>
        <w:rPr>
          <w:rFonts w:ascii="Times New Roman" w:eastAsiaTheme="minorEastAsia" w:hAnsi="Times New Roman" w:cs="Times New Roman"/>
          <w:sz w:val="22"/>
          <w:szCs w:val="22"/>
        </w:rPr>
      </w:pPr>
      <w:r w:rsidRPr="00793844">
        <w:rPr>
          <w:rFonts w:ascii="Times New Roman" w:eastAsiaTheme="minorEastAsia" w:hAnsi="Times New Roman" w:cs="Times New Roman"/>
          <w:sz w:val="22"/>
          <w:szCs w:val="22"/>
        </w:rPr>
        <w:t>ACKNOWLEDGEMENT</w:t>
      </w:r>
    </w:p>
    <w:p w14:paraId="7E042B12" w14:textId="5075928B" w:rsidR="00793844" w:rsidRDefault="00793844" w:rsidP="00793844">
      <w:pPr>
        <w:tabs>
          <w:tab w:val="left" w:pos="2024"/>
        </w:tabs>
        <w:spacing w:line="480" w:lineRule="auto"/>
        <w:jc w:val="both"/>
        <w:rPr>
          <w:rFonts w:ascii="Times New Roman" w:eastAsiaTheme="minorEastAsia" w:hAnsi="Times New Roman" w:cs="Times New Roman"/>
          <w:sz w:val="22"/>
          <w:szCs w:val="22"/>
        </w:rPr>
      </w:pPr>
      <w:r w:rsidRPr="00793844">
        <w:rPr>
          <w:rFonts w:ascii="Times New Roman" w:eastAsiaTheme="minorEastAsia" w:hAnsi="Times New Roman" w:cs="Times New Roman"/>
          <w:sz w:val="22"/>
          <w:szCs w:val="22"/>
        </w:rPr>
        <w:t>Author acknowledge ICSSR, New Delhi for the award of a Full-Term Doctoral Fellowship in providing financial support for carrying out research. The research paper forms part of the research work sponsored by ICSSR under the provision of a Full-Term Doctoral Fellowship for the Research Scholars</w:t>
      </w:r>
      <w:r>
        <w:rPr>
          <w:rFonts w:ascii="Times New Roman" w:eastAsiaTheme="minorEastAsia" w:hAnsi="Times New Roman" w:cs="Times New Roman"/>
          <w:sz w:val="22"/>
          <w:szCs w:val="22"/>
        </w:rPr>
        <w:t>.</w:t>
      </w:r>
    </w:p>
    <w:p w14:paraId="3A8263A5" w14:textId="77777777" w:rsidR="00703524" w:rsidRPr="00703524" w:rsidRDefault="00703524" w:rsidP="00703524">
      <w:pPr>
        <w:tabs>
          <w:tab w:val="left" w:pos="2024"/>
        </w:tabs>
        <w:spacing w:line="480" w:lineRule="auto"/>
        <w:jc w:val="both"/>
        <w:rPr>
          <w:rFonts w:ascii="Times New Roman" w:eastAsiaTheme="minorEastAsia" w:hAnsi="Times New Roman" w:cs="Times New Roman"/>
          <w:sz w:val="22"/>
          <w:szCs w:val="22"/>
        </w:rPr>
      </w:pPr>
      <w:r w:rsidRPr="00703524">
        <w:rPr>
          <w:rFonts w:ascii="Times New Roman" w:eastAsiaTheme="minorEastAsia" w:hAnsi="Times New Roman" w:cs="Times New Roman"/>
          <w:sz w:val="22"/>
          <w:szCs w:val="22"/>
        </w:rPr>
        <w:t>Disclaimer (Artificial intelligence)</w:t>
      </w:r>
    </w:p>
    <w:p w14:paraId="4983C90B" w14:textId="3735810A" w:rsidR="00793844" w:rsidRPr="006E5ECF" w:rsidRDefault="00703524" w:rsidP="00703524">
      <w:pPr>
        <w:tabs>
          <w:tab w:val="left" w:pos="2024"/>
        </w:tabs>
        <w:spacing w:line="480" w:lineRule="auto"/>
        <w:jc w:val="both"/>
        <w:rPr>
          <w:rFonts w:ascii="Times New Roman" w:eastAsiaTheme="minorEastAsia" w:hAnsi="Times New Roman" w:cs="Times New Roman"/>
          <w:sz w:val="22"/>
          <w:szCs w:val="22"/>
        </w:rPr>
      </w:pPr>
      <w:r w:rsidRPr="00703524">
        <w:rPr>
          <w:rFonts w:ascii="Times New Roman" w:eastAsiaTheme="minorEastAsia" w:hAnsi="Times New Roman" w:cs="Times New Roman"/>
          <w:sz w:val="22"/>
          <w:szCs w:val="22"/>
        </w:rPr>
        <w:t>Author(s) hereby declare that NO generative AI technologies such as Large Language Models (</w:t>
      </w:r>
      <w:proofErr w:type="spellStart"/>
      <w:r w:rsidRPr="00703524">
        <w:rPr>
          <w:rFonts w:ascii="Times New Roman" w:eastAsiaTheme="minorEastAsia" w:hAnsi="Times New Roman" w:cs="Times New Roman"/>
          <w:sz w:val="22"/>
          <w:szCs w:val="22"/>
        </w:rPr>
        <w:t>ChatGPT</w:t>
      </w:r>
      <w:proofErr w:type="spellEnd"/>
      <w:r w:rsidRPr="00703524">
        <w:rPr>
          <w:rFonts w:ascii="Times New Roman" w:eastAsiaTheme="minorEastAsia" w:hAnsi="Times New Roman" w:cs="Times New Roman"/>
          <w:sz w:val="22"/>
          <w:szCs w:val="22"/>
        </w:rPr>
        <w:t>, COPILOT, etc.) and text-to-image generators have been used during the writing or editing of this manuscript.</w:t>
      </w:r>
    </w:p>
    <w:p w14:paraId="6DBBB9D6" w14:textId="77777777" w:rsidR="000A5D73" w:rsidRPr="006E5ECF" w:rsidRDefault="000A5D73" w:rsidP="001E515E">
      <w:pPr>
        <w:tabs>
          <w:tab w:val="left" w:pos="2024"/>
        </w:tabs>
        <w:spacing w:line="480" w:lineRule="auto"/>
        <w:jc w:val="both"/>
        <w:rPr>
          <w:rFonts w:ascii="Times New Roman" w:eastAsiaTheme="minorEastAsia" w:hAnsi="Times New Roman" w:cs="Times New Roman"/>
          <w:b/>
          <w:bCs/>
          <w:sz w:val="22"/>
          <w:szCs w:val="22"/>
        </w:rPr>
      </w:pPr>
      <w:r w:rsidRPr="006E5ECF">
        <w:rPr>
          <w:rFonts w:ascii="Times New Roman" w:eastAsiaTheme="minorEastAsia" w:hAnsi="Times New Roman" w:cs="Times New Roman"/>
          <w:b/>
          <w:bCs/>
          <w:sz w:val="22"/>
          <w:szCs w:val="22"/>
        </w:rPr>
        <w:t>References</w:t>
      </w:r>
    </w:p>
    <w:p w14:paraId="55D539E8"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Adebayo, T. S., Awosusi, A. A., </w:t>
      </w:r>
      <w:proofErr w:type="spellStart"/>
      <w:r w:rsidRPr="006E5ECF">
        <w:rPr>
          <w:rFonts w:ascii="Times New Roman" w:eastAsiaTheme="minorEastAsia" w:hAnsi="Times New Roman" w:cs="Times New Roman"/>
          <w:sz w:val="22"/>
          <w:szCs w:val="22"/>
        </w:rPr>
        <w:t>Odugbesan</w:t>
      </w:r>
      <w:proofErr w:type="spellEnd"/>
      <w:r w:rsidRPr="006E5ECF">
        <w:rPr>
          <w:rFonts w:ascii="Times New Roman" w:eastAsiaTheme="minorEastAsia" w:hAnsi="Times New Roman" w:cs="Times New Roman"/>
          <w:sz w:val="22"/>
          <w:szCs w:val="22"/>
        </w:rPr>
        <w:t xml:space="preserve">, J. A., Akinsola, G. D., Wong, W. K., &amp; </w:t>
      </w:r>
      <w:proofErr w:type="spellStart"/>
      <w:r w:rsidRPr="006E5ECF">
        <w:rPr>
          <w:rFonts w:ascii="Times New Roman" w:eastAsiaTheme="minorEastAsia" w:hAnsi="Times New Roman" w:cs="Times New Roman"/>
          <w:sz w:val="22"/>
          <w:szCs w:val="22"/>
        </w:rPr>
        <w:t>Rjoub</w:t>
      </w:r>
      <w:proofErr w:type="spellEnd"/>
      <w:r w:rsidRPr="006E5ECF">
        <w:rPr>
          <w:rFonts w:ascii="Times New Roman" w:eastAsiaTheme="minorEastAsia" w:hAnsi="Times New Roman" w:cs="Times New Roman"/>
          <w:sz w:val="22"/>
          <w:szCs w:val="22"/>
        </w:rPr>
        <w:t xml:space="preserve">, H. (2021). Sustainability of energy-induced growth nexus in Brazil: Do carbon emissions and urbanisation matter? Sustainability (Switzerland), 13(8). </w:t>
      </w:r>
      <w:hyperlink r:id="rId15" w:history="1">
        <w:r w:rsidRPr="006E5ECF">
          <w:rPr>
            <w:rStyle w:val="Hyperlink"/>
            <w:rFonts w:ascii="Times New Roman" w:eastAsiaTheme="minorEastAsia" w:hAnsi="Times New Roman" w:cs="Times New Roman"/>
            <w:sz w:val="22"/>
            <w:szCs w:val="22"/>
          </w:rPr>
          <w:t>https://doi.org/10.3390/su13084371</w:t>
        </w:r>
      </w:hyperlink>
      <w:r w:rsidRPr="006E5ECF">
        <w:rPr>
          <w:rFonts w:ascii="Times New Roman" w:eastAsiaTheme="minorEastAsia" w:hAnsi="Times New Roman" w:cs="Times New Roman"/>
          <w:sz w:val="22"/>
          <w:szCs w:val="22"/>
        </w:rPr>
        <w:t>.</w:t>
      </w:r>
    </w:p>
    <w:p w14:paraId="701B5A29"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Adedoyin, F. F., Alola, A. A.,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(2020). An assessment of environmental sustainability corridor: The role of economic expansion and research and development in EU </w:t>
      </w:r>
      <w:r w:rsidRPr="006E5ECF">
        <w:rPr>
          <w:rFonts w:ascii="Times New Roman" w:eastAsiaTheme="minorEastAsia" w:hAnsi="Times New Roman" w:cs="Times New Roman"/>
          <w:sz w:val="22"/>
          <w:szCs w:val="22"/>
        </w:rPr>
        <w:lastRenderedPageBreak/>
        <w:t xml:space="preserve">countries. Science of the Total Environment, 713. </w:t>
      </w:r>
      <w:hyperlink r:id="rId16" w:history="1">
        <w:r w:rsidRPr="006E5ECF">
          <w:rPr>
            <w:rStyle w:val="Hyperlink"/>
            <w:rFonts w:ascii="Times New Roman" w:eastAsiaTheme="minorEastAsia" w:hAnsi="Times New Roman" w:cs="Times New Roman"/>
            <w:sz w:val="22"/>
            <w:szCs w:val="22"/>
          </w:rPr>
          <w:t>https://doi.org/10.1016/j.scitotenv.2020.136726</w:t>
        </w:r>
      </w:hyperlink>
      <w:r w:rsidRPr="006E5ECF">
        <w:rPr>
          <w:rFonts w:ascii="Times New Roman" w:eastAsiaTheme="minorEastAsia" w:hAnsi="Times New Roman" w:cs="Times New Roman"/>
          <w:sz w:val="22"/>
          <w:szCs w:val="22"/>
        </w:rPr>
        <w:t>.</w:t>
      </w:r>
    </w:p>
    <w:p w14:paraId="645ED1C6"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Adedoyin, F., Ozturk, I., Abubakar, I., </w:t>
      </w:r>
      <w:proofErr w:type="spellStart"/>
      <w:r w:rsidRPr="006E5ECF">
        <w:rPr>
          <w:rFonts w:ascii="Times New Roman" w:eastAsiaTheme="minorEastAsia" w:hAnsi="Times New Roman" w:cs="Times New Roman"/>
          <w:sz w:val="22"/>
          <w:szCs w:val="22"/>
        </w:rPr>
        <w:t>Kumeka</w:t>
      </w:r>
      <w:proofErr w:type="spellEnd"/>
      <w:r w:rsidRPr="006E5ECF">
        <w:rPr>
          <w:rFonts w:ascii="Times New Roman" w:eastAsiaTheme="minorEastAsia" w:hAnsi="Times New Roman" w:cs="Times New Roman"/>
          <w:sz w:val="22"/>
          <w:szCs w:val="22"/>
        </w:rPr>
        <w:t xml:space="preserve">, T., Folarin, O.,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(2020). Structural breaks in CO2 emissions: Are they caused by climate change protests or other factors? Journal of Environmental Management, 266(December 2019), 110628. </w:t>
      </w:r>
      <w:hyperlink r:id="rId17" w:history="1">
        <w:r w:rsidRPr="006E5ECF">
          <w:rPr>
            <w:rStyle w:val="Hyperlink"/>
            <w:rFonts w:ascii="Times New Roman" w:eastAsiaTheme="minorEastAsia" w:hAnsi="Times New Roman" w:cs="Times New Roman"/>
            <w:sz w:val="22"/>
            <w:szCs w:val="22"/>
          </w:rPr>
          <w:t>https://doi.org/10.1016/j.jenvman.2020.110628</w:t>
        </w:r>
      </w:hyperlink>
      <w:r w:rsidRPr="006E5ECF">
        <w:rPr>
          <w:rFonts w:ascii="Times New Roman" w:eastAsiaTheme="minorEastAsia" w:hAnsi="Times New Roman" w:cs="Times New Roman"/>
          <w:sz w:val="22"/>
          <w:szCs w:val="22"/>
        </w:rPr>
        <w:t>.</w:t>
      </w:r>
    </w:p>
    <w:p w14:paraId="24A294F0"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Adewale Alola, A., Ozturk, I.,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(2021). Is clean energy prosperity and technological innovation rapidly mitigating sustainable energy-development deficit in selected sub-Saharan Africa? A myth or reality. Energy Policy, 158(May), 112520. </w:t>
      </w:r>
      <w:hyperlink r:id="rId18" w:history="1">
        <w:r w:rsidRPr="006E5ECF">
          <w:rPr>
            <w:rStyle w:val="Hyperlink"/>
            <w:rFonts w:ascii="Times New Roman" w:eastAsiaTheme="minorEastAsia" w:hAnsi="Times New Roman" w:cs="Times New Roman"/>
            <w:sz w:val="22"/>
            <w:szCs w:val="22"/>
          </w:rPr>
          <w:t>https://doi.org/10.1016/j.enpol.2021.112520</w:t>
        </w:r>
      </w:hyperlink>
      <w:r w:rsidRPr="006E5ECF">
        <w:rPr>
          <w:rFonts w:ascii="Times New Roman" w:eastAsiaTheme="minorEastAsia" w:hAnsi="Times New Roman" w:cs="Times New Roman"/>
          <w:sz w:val="22"/>
          <w:szCs w:val="22"/>
        </w:rPr>
        <w:t xml:space="preserve">.  </w:t>
      </w:r>
    </w:p>
    <w:p w14:paraId="0C388645"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Ali, H. S., Nathaniel, S. P., Uzuner, G.,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&amp; Sarkodie, S. A. (2020). </w:t>
      </w:r>
      <w:proofErr w:type="spellStart"/>
      <w:r w:rsidRPr="006E5ECF">
        <w:rPr>
          <w:rFonts w:ascii="Times New Roman" w:eastAsiaTheme="minorEastAsia" w:hAnsi="Times New Roman" w:cs="Times New Roman"/>
          <w:sz w:val="22"/>
          <w:szCs w:val="22"/>
        </w:rPr>
        <w:t>Trivariate</w:t>
      </w:r>
      <w:proofErr w:type="spellEnd"/>
      <w:r w:rsidRPr="006E5ECF">
        <w:rPr>
          <w:rFonts w:ascii="Times New Roman" w:eastAsiaTheme="minorEastAsia" w:hAnsi="Times New Roman" w:cs="Times New Roman"/>
          <w:sz w:val="22"/>
          <w:szCs w:val="22"/>
        </w:rPr>
        <w:t xml:space="preserve"> modelling of the nexus between electricity consumption, urbanisation and economic growth in Nigeria: fresh insights from Maki Co-integration and causality tests. </w:t>
      </w:r>
      <w:proofErr w:type="spellStart"/>
      <w:r w:rsidRPr="006E5ECF">
        <w:rPr>
          <w:rFonts w:ascii="Times New Roman" w:eastAsiaTheme="minorEastAsia" w:hAnsi="Times New Roman" w:cs="Times New Roman"/>
          <w:sz w:val="22"/>
          <w:szCs w:val="22"/>
        </w:rPr>
        <w:t>Heliyon</w:t>
      </w:r>
      <w:proofErr w:type="spellEnd"/>
      <w:r w:rsidRPr="006E5ECF">
        <w:rPr>
          <w:rFonts w:ascii="Times New Roman" w:eastAsiaTheme="minorEastAsia" w:hAnsi="Times New Roman" w:cs="Times New Roman"/>
          <w:sz w:val="22"/>
          <w:szCs w:val="22"/>
        </w:rPr>
        <w:t xml:space="preserve">, 6(2), e03400. </w:t>
      </w:r>
      <w:hyperlink r:id="rId19" w:history="1">
        <w:r w:rsidRPr="006E5ECF">
          <w:rPr>
            <w:rStyle w:val="Hyperlink"/>
            <w:rFonts w:ascii="Times New Roman" w:eastAsiaTheme="minorEastAsia" w:hAnsi="Times New Roman" w:cs="Times New Roman"/>
            <w:sz w:val="22"/>
            <w:szCs w:val="22"/>
          </w:rPr>
          <w:t>https://doi.org/10.1016/j.heliyon.2020.e03400</w:t>
        </w:r>
      </w:hyperlink>
      <w:r w:rsidRPr="006E5ECF">
        <w:rPr>
          <w:rFonts w:ascii="Times New Roman" w:eastAsiaTheme="minorEastAsia" w:hAnsi="Times New Roman" w:cs="Times New Roman"/>
          <w:sz w:val="22"/>
          <w:szCs w:val="22"/>
        </w:rPr>
        <w:t xml:space="preserve">.  </w:t>
      </w:r>
    </w:p>
    <w:p w14:paraId="6F83B8B0"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Ali, S., Yusop, Z., Kaliappan, S. R., &amp; Chin, L. (2020). Dynamic common correlated effects of trade openness, FDI, and institutional performance on environmental quality: evidence from OIC countries. Environmental Science and Pollution Research, 27(11), 11671–11682. </w:t>
      </w:r>
      <w:hyperlink r:id="rId20" w:history="1">
        <w:r w:rsidRPr="006E5ECF">
          <w:rPr>
            <w:rStyle w:val="Hyperlink"/>
            <w:rFonts w:ascii="Times New Roman" w:eastAsiaTheme="minorEastAsia" w:hAnsi="Times New Roman" w:cs="Times New Roman"/>
            <w:sz w:val="22"/>
            <w:szCs w:val="22"/>
          </w:rPr>
          <w:t>https://doi.org/10.1007/s11356-020-07768-7</w:t>
        </w:r>
      </w:hyperlink>
      <w:r w:rsidRPr="006E5ECF">
        <w:rPr>
          <w:rFonts w:ascii="Times New Roman" w:eastAsiaTheme="minorEastAsia" w:hAnsi="Times New Roman" w:cs="Times New Roman"/>
          <w:sz w:val="22"/>
          <w:szCs w:val="22"/>
        </w:rPr>
        <w:t xml:space="preserve">.  </w:t>
      </w:r>
    </w:p>
    <w:p w14:paraId="2B513DE9"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Anbu, S. (2020). Sustainable Development: The Balance between Conserving Environmental Resources and Economic Development.</w:t>
      </w:r>
    </w:p>
    <w:p w14:paraId="66C0E4CA"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Anser</w:t>
      </w:r>
      <w:proofErr w:type="spellEnd"/>
      <w:r w:rsidRPr="006E5ECF">
        <w:rPr>
          <w:rFonts w:ascii="Times New Roman" w:eastAsiaTheme="minorEastAsia" w:hAnsi="Times New Roman" w:cs="Times New Roman"/>
          <w:sz w:val="22"/>
          <w:szCs w:val="22"/>
        </w:rPr>
        <w:t>, M. K., Alharthi, M., Aziz, B., &amp; Wasim, S. (2020). Impact of urbanisation, economic growth, and population size on residential carbon emissions in the SAARC countries. Clean Technologies and Environmental Policy, 22, 923–936.</w:t>
      </w:r>
    </w:p>
    <w:p w14:paraId="11160EB9"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Arif, A., Sadiq, M., Shabbir, M. S., Yahya, G., Zamir, A., &amp; Bares Lopez, L. (2020). The role of globalisation in financial development, trade openness and sustainable environmental-economic growth: evidence from selected South Asian economies. Journal of Sustainable Finance and Investment, 0(0), 1–18. </w:t>
      </w:r>
      <w:hyperlink r:id="rId21" w:history="1">
        <w:r w:rsidRPr="006E5ECF">
          <w:rPr>
            <w:rStyle w:val="Hyperlink"/>
            <w:rFonts w:ascii="Times New Roman" w:eastAsiaTheme="minorEastAsia" w:hAnsi="Times New Roman" w:cs="Times New Roman"/>
            <w:sz w:val="22"/>
            <w:szCs w:val="22"/>
          </w:rPr>
          <w:t>https://doi.org/10.1080/20430795.2020.1861865</w:t>
        </w:r>
      </w:hyperlink>
      <w:r w:rsidRPr="006E5ECF">
        <w:rPr>
          <w:rFonts w:ascii="Times New Roman" w:eastAsiaTheme="minorEastAsia" w:hAnsi="Times New Roman" w:cs="Times New Roman"/>
          <w:sz w:val="22"/>
          <w:szCs w:val="22"/>
        </w:rPr>
        <w:t xml:space="preserve">.  </w:t>
      </w:r>
    </w:p>
    <w:p w14:paraId="163F93EB"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lastRenderedPageBreak/>
        <w:t xml:space="preserve">Asif, M., Sharma, R. B., &amp; Adow, A. H. E. (2015). An empirical investigation of the relationship between economic growth, urbanisation, energy consumption, and CO2 emission in GCC countries: A panel data analysis. Asian Social Science, 11(21), 270–284. </w:t>
      </w:r>
      <w:hyperlink r:id="rId22" w:history="1">
        <w:r w:rsidRPr="006E5ECF">
          <w:rPr>
            <w:rStyle w:val="Hyperlink"/>
            <w:rFonts w:ascii="Times New Roman" w:eastAsiaTheme="minorEastAsia" w:hAnsi="Times New Roman" w:cs="Times New Roman"/>
            <w:sz w:val="22"/>
            <w:szCs w:val="22"/>
          </w:rPr>
          <w:t>https://doi.org/10.5539/ass.v11n21p270</w:t>
        </w:r>
      </w:hyperlink>
      <w:r w:rsidRPr="006E5ECF">
        <w:rPr>
          <w:rFonts w:ascii="Times New Roman" w:eastAsiaTheme="minorEastAsia" w:hAnsi="Times New Roman" w:cs="Times New Roman"/>
          <w:sz w:val="22"/>
          <w:szCs w:val="22"/>
        </w:rPr>
        <w:t xml:space="preserve">.  </w:t>
      </w:r>
    </w:p>
    <w:p w14:paraId="201A6781"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Asumadu</w:t>
      </w:r>
      <w:proofErr w:type="spellEnd"/>
      <w:r w:rsidRPr="006E5ECF">
        <w:rPr>
          <w:rFonts w:ascii="Times New Roman" w:eastAsiaTheme="minorEastAsia" w:hAnsi="Times New Roman" w:cs="Times New Roman"/>
          <w:sz w:val="22"/>
          <w:szCs w:val="22"/>
        </w:rPr>
        <w:t xml:space="preserve">-Sarkodie, S., &amp; Owusu, P. A. (2016). Energy use, carbon dioxide emissions, GDP, industrialisation, financial development, and population, a causal nexus in Sri Lanka: With a subsequent prediction of energy use using neural network. Energy Sources, Part B: Economics, Planning and Policy, 11(9), 889–899. </w:t>
      </w:r>
      <w:hyperlink r:id="rId23" w:history="1">
        <w:r w:rsidRPr="006E5ECF">
          <w:rPr>
            <w:rStyle w:val="Hyperlink"/>
            <w:rFonts w:ascii="Times New Roman" w:eastAsiaTheme="minorEastAsia" w:hAnsi="Times New Roman" w:cs="Times New Roman"/>
            <w:sz w:val="22"/>
            <w:szCs w:val="22"/>
          </w:rPr>
          <w:t>https://doi.org/10.1080/15567249.2016.1217285</w:t>
        </w:r>
      </w:hyperlink>
      <w:r w:rsidRPr="006E5ECF">
        <w:rPr>
          <w:rFonts w:ascii="Times New Roman" w:eastAsiaTheme="minorEastAsia" w:hAnsi="Times New Roman" w:cs="Times New Roman"/>
          <w:sz w:val="22"/>
          <w:szCs w:val="22"/>
        </w:rPr>
        <w:t xml:space="preserve">.  </w:t>
      </w:r>
    </w:p>
    <w:p w14:paraId="30017E21"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Bai, X., Chen, J., &amp; Shi, P. (2012). Landscape urbanisation and economic growth in China: Positive feedback and sustainability dilemmas. Environmental Science and Technology, 46(1), 132–139. </w:t>
      </w:r>
      <w:hyperlink r:id="rId24" w:history="1">
        <w:r w:rsidRPr="006E5ECF">
          <w:rPr>
            <w:rStyle w:val="Hyperlink"/>
            <w:rFonts w:ascii="Times New Roman" w:eastAsiaTheme="minorEastAsia" w:hAnsi="Times New Roman" w:cs="Times New Roman"/>
            <w:sz w:val="22"/>
            <w:szCs w:val="22"/>
          </w:rPr>
          <w:t>https://doi.org/10.1021/es202329f</w:t>
        </w:r>
      </w:hyperlink>
      <w:r w:rsidRPr="006E5ECF">
        <w:rPr>
          <w:rFonts w:ascii="Times New Roman" w:eastAsiaTheme="minorEastAsia" w:hAnsi="Times New Roman" w:cs="Times New Roman"/>
          <w:sz w:val="22"/>
          <w:szCs w:val="22"/>
        </w:rPr>
        <w:t xml:space="preserve">.  </w:t>
      </w:r>
    </w:p>
    <w:p w14:paraId="39B0311F" w14:textId="7161B8B4" w:rsidR="001868F4" w:rsidRPr="006E5ECF" w:rsidRDefault="0027138B"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Baba, Y., Hendry, D. F., &amp; Starr, R. M. (1992). The Demand for M1 in the U.S.A., 1960–1988. The Review of Economic Studies, 59(1), 25–61.</w:t>
      </w:r>
    </w:p>
    <w:p w14:paraId="56C3CD4A" w14:textId="6AC39516" w:rsidR="002B5956" w:rsidRPr="006E5ECF" w:rsidRDefault="007F39FC"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Baloch, M. A., Zhang, J., Iqbal, K., &amp; Iqbal, Z. (2019). The effect of financial development on ecological footprint in BRI countries: evidence from panel data estimation. Environmental Science and Pollution Research, 26(6), 6199–6208.</w:t>
      </w:r>
    </w:p>
    <w:p w14:paraId="44508FA8" w14:textId="09F35300"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Baloch, M. A., Ozturk, I.,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&amp; Khan, D. (2021). </w:t>
      </w:r>
      <w:proofErr w:type="spellStart"/>
      <w:r w:rsidRPr="006E5ECF">
        <w:rPr>
          <w:rFonts w:ascii="Times New Roman" w:eastAsiaTheme="minorEastAsia" w:hAnsi="Times New Roman" w:cs="Times New Roman"/>
          <w:sz w:val="22"/>
          <w:szCs w:val="22"/>
        </w:rPr>
        <w:t>Modeling</w:t>
      </w:r>
      <w:proofErr w:type="spellEnd"/>
      <w:r w:rsidRPr="006E5ECF">
        <w:rPr>
          <w:rFonts w:ascii="Times New Roman" w:eastAsiaTheme="minorEastAsia" w:hAnsi="Times New Roman" w:cs="Times New Roman"/>
          <w:sz w:val="22"/>
          <w:szCs w:val="22"/>
        </w:rPr>
        <w:t xml:space="preserve"> the dynamic linkage between financial development, energy innovation, and environmental quality: Does globalisation matter? Business Strategy and the Environment, 30(1), 176–184. </w:t>
      </w:r>
      <w:hyperlink r:id="rId25" w:history="1">
        <w:r w:rsidRPr="006E5ECF">
          <w:rPr>
            <w:rStyle w:val="Hyperlink"/>
            <w:rFonts w:ascii="Times New Roman" w:eastAsiaTheme="minorEastAsia" w:hAnsi="Times New Roman" w:cs="Times New Roman"/>
            <w:sz w:val="22"/>
            <w:szCs w:val="22"/>
          </w:rPr>
          <w:t>https://doi.org/10.1002/bse.2615</w:t>
        </w:r>
      </w:hyperlink>
      <w:r w:rsidRPr="006E5ECF">
        <w:rPr>
          <w:rFonts w:ascii="Times New Roman" w:eastAsiaTheme="minorEastAsia" w:hAnsi="Times New Roman" w:cs="Times New Roman"/>
          <w:sz w:val="22"/>
          <w:szCs w:val="22"/>
        </w:rPr>
        <w:t xml:space="preserve">.  </w:t>
      </w:r>
    </w:p>
    <w:p w14:paraId="61A3E770"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Basu, S., Roy, M., &amp; Pal, P. (2020). Exploring the impact of economic growth, trade openness and urbanisation with evidence from a large developing economy of India towards a sustainable and practical energy policy. Clean Technologies and Environmental Policy, 22(4), 877–891. </w:t>
      </w:r>
      <w:hyperlink r:id="rId26" w:history="1">
        <w:r w:rsidRPr="006E5ECF">
          <w:rPr>
            <w:rStyle w:val="Hyperlink"/>
            <w:rFonts w:ascii="Times New Roman" w:eastAsiaTheme="minorEastAsia" w:hAnsi="Times New Roman" w:cs="Times New Roman"/>
            <w:sz w:val="22"/>
            <w:szCs w:val="22"/>
          </w:rPr>
          <w:t>https://doi.org/10.1007/s10098-020-01828-9</w:t>
        </w:r>
      </w:hyperlink>
      <w:r w:rsidRPr="006E5ECF">
        <w:rPr>
          <w:rFonts w:ascii="Times New Roman" w:eastAsiaTheme="minorEastAsia" w:hAnsi="Times New Roman" w:cs="Times New Roman"/>
          <w:sz w:val="22"/>
          <w:szCs w:val="22"/>
        </w:rPr>
        <w:t xml:space="preserve">.  </w:t>
      </w:r>
    </w:p>
    <w:p w14:paraId="67F2917F"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Behera, S. R., &amp; Dash, D. P. (2017). The effect of urbanisation, energy consumption, and foreign direct investment on the carbon dioxide emission in the SSEA (South and Southeast Asian) region. In Renewable and Sustainable Energy Reviews (Vol. 70, pp. 96–106). Elsevier Ltd. </w:t>
      </w:r>
      <w:hyperlink r:id="rId27" w:history="1">
        <w:r w:rsidRPr="006E5ECF">
          <w:rPr>
            <w:rStyle w:val="Hyperlink"/>
            <w:rFonts w:ascii="Times New Roman" w:eastAsiaTheme="minorEastAsia" w:hAnsi="Times New Roman" w:cs="Times New Roman"/>
            <w:sz w:val="22"/>
            <w:szCs w:val="22"/>
          </w:rPr>
          <w:t>https://doi.org/10.1016/j.rser.2016.11.201</w:t>
        </w:r>
      </w:hyperlink>
      <w:r w:rsidRPr="006E5ECF">
        <w:rPr>
          <w:rFonts w:ascii="Times New Roman" w:eastAsiaTheme="minorEastAsia" w:hAnsi="Times New Roman" w:cs="Times New Roman"/>
          <w:sz w:val="22"/>
          <w:szCs w:val="22"/>
        </w:rPr>
        <w:t xml:space="preserve">.  </w:t>
      </w:r>
    </w:p>
    <w:p w14:paraId="5FC49EDC"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lastRenderedPageBreak/>
        <w:t>Bekun</w:t>
      </w:r>
      <w:proofErr w:type="spellEnd"/>
      <w:r w:rsidRPr="006E5ECF">
        <w:rPr>
          <w:rFonts w:ascii="Times New Roman" w:eastAsiaTheme="minorEastAsia" w:hAnsi="Times New Roman" w:cs="Times New Roman"/>
          <w:sz w:val="22"/>
          <w:szCs w:val="22"/>
        </w:rPr>
        <w:t xml:space="preserve">, F. V., Alola, A. A., &amp; Sarkodie, S. A. (2019). Toward a sustainable environment: Nexus between CO2 emissions, resource rent, renewable and non-renewable energy in 16-EU countries. Science of the Total Environment, 657, 1023–1029. </w:t>
      </w:r>
      <w:hyperlink r:id="rId28" w:history="1">
        <w:r w:rsidRPr="006E5ECF">
          <w:rPr>
            <w:rStyle w:val="Hyperlink"/>
            <w:rFonts w:ascii="Times New Roman" w:eastAsiaTheme="minorEastAsia" w:hAnsi="Times New Roman" w:cs="Times New Roman"/>
            <w:sz w:val="22"/>
            <w:szCs w:val="22"/>
          </w:rPr>
          <w:t>https://doi.org/10.1016/j.scitotenv.2018.12.104</w:t>
        </w:r>
      </w:hyperlink>
      <w:r w:rsidRPr="006E5ECF">
        <w:rPr>
          <w:rFonts w:ascii="Times New Roman" w:eastAsiaTheme="minorEastAsia" w:hAnsi="Times New Roman" w:cs="Times New Roman"/>
          <w:sz w:val="22"/>
          <w:szCs w:val="22"/>
        </w:rPr>
        <w:t xml:space="preserve">.  </w:t>
      </w:r>
    </w:p>
    <w:p w14:paraId="150F4314"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Belloumi, M., &amp; </w:t>
      </w:r>
      <w:proofErr w:type="spellStart"/>
      <w:r w:rsidRPr="006E5ECF">
        <w:rPr>
          <w:rFonts w:ascii="Times New Roman" w:eastAsiaTheme="minorEastAsia" w:hAnsi="Times New Roman" w:cs="Times New Roman"/>
          <w:sz w:val="22"/>
          <w:szCs w:val="22"/>
        </w:rPr>
        <w:t>Alshehry</w:t>
      </w:r>
      <w:proofErr w:type="spellEnd"/>
      <w:r w:rsidRPr="006E5ECF">
        <w:rPr>
          <w:rFonts w:ascii="Times New Roman" w:eastAsiaTheme="minorEastAsia" w:hAnsi="Times New Roman" w:cs="Times New Roman"/>
          <w:sz w:val="22"/>
          <w:szCs w:val="22"/>
        </w:rPr>
        <w:t xml:space="preserve">, A. (2020). The impact of international trade on sustainable development in Saudi Arabia. Sustainability (Switzerland), 12(13). </w:t>
      </w:r>
      <w:hyperlink r:id="rId29" w:history="1">
        <w:r w:rsidRPr="006E5ECF">
          <w:rPr>
            <w:rStyle w:val="Hyperlink"/>
            <w:rFonts w:ascii="Times New Roman" w:eastAsiaTheme="minorEastAsia" w:hAnsi="Times New Roman" w:cs="Times New Roman"/>
            <w:sz w:val="22"/>
            <w:szCs w:val="22"/>
          </w:rPr>
          <w:t>https://doi.org/10.3390/su12135421</w:t>
        </w:r>
      </w:hyperlink>
      <w:r w:rsidRPr="006E5ECF">
        <w:rPr>
          <w:rFonts w:ascii="Times New Roman" w:eastAsiaTheme="minorEastAsia" w:hAnsi="Times New Roman" w:cs="Times New Roman"/>
          <w:sz w:val="22"/>
          <w:szCs w:val="22"/>
        </w:rPr>
        <w:t xml:space="preserve">.  </w:t>
      </w:r>
    </w:p>
    <w:p w14:paraId="058D11FD"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Chang, R., </w:t>
      </w:r>
      <w:proofErr w:type="spellStart"/>
      <w:r w:rsidRPr="006E5ECF">
        <w:rPr>
          <w:rFonts w:ascii="Times New Roman" w:eastAsiaTheme="minorEastAsia" w:hAnsi="Times New Roman" w:cs="Times New Roman"/>
          <w:sz w:val="22"/>
          <w:szCs w:val="22"/>
        </w:rPr>
        <w:t>Kaltani</w:t>
      </w:r>
      <w:proofErr w:type="spellEnd"/>
      <w:r w:rsidRPr="006E5ECF">
        <w:rPr>
          <w:rFonts w:ascii="Times New Roman" w:eastAsiaTheme="minorEastAsia" w:hAnsi="Times New Roman" w:cs="Times New Roman"/>
          <w:sz w:val="22"/>
          <w:szCs w:val="22"/>
        </w:rPr>
        <w:t xml:space="preserve">, L., &amp; Loayza, N. V. (2009). Openness can be good for growth: The role of policy complementarities. Journal of Development Economics, 90(1), 33–49. </w:t>
      </w:r>
      <w:hyperlink r:id="rId30" w:history="1">
        <w:r w:rsidRPr="006E5ECF">
          <w:rPr>
            <w:rStyle w:val="Hyperlink"/>
            <w:rFonts w:ascii="Times New Roman" w:eastAsiaTheme="minorEastAsia" w:hAnsi="Times New Roman" w:cs="Times New Roman"/>
            <w:sz w:val="22"/>
            <w:szCs w:val="22"/>
          </w:rPr>
          <w:t>https://doi.org/10.1016/j.jdeveco.2008.06.011</w:t>
        </w:r>
      </w:hyperlink>
      <w:r w:rsidRPr="006E5ECF">
        <w:rPr>
          <w:rFonts w:ascii="Times New Roman" w:eastAsiaTheme="minorEastAsia" w:hAnsi="Times New Roman" w:cs="Times New Roman"/>
          <w:sz w:val="22"/>
          <w:szCs w:val="22"/>
        </w:rPr>
        <w:t>.</w:t>
      </w:r>
    </w:p>
    <w:p w14:paraId="0FF7C179"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Combes Motel, P., Choumert, J., Minea, A., &amp; Sterner, T. (2014). Explorations in the Environment-Development Dilemma. Environmental and Resource Economics, 57(4), 479–485. </w:t>
      </w:r>
      <w:hyperlink r:id="rId31" w:history="1">
        <w:r w:rsidRPr="006E5ECF">
          <w:rPr>
            <w:rStyle w:val="Hyperlink"/>
            <w:rFonts w:ascii="Times New Roman" w:eastAsiaTheme="minorEastAsia" w:hAnsi="Times New Roman" w:cs="Times New Roman"/>
            <w:sz w:val="22"/>
            <w:szCs w:val="22"/>
          </w:rPr>
          <w:t>https://doi.org/10.1007/s10640-013-9745-9</w:t>
        </w:r>
      </w:hyperlink>
      <w:r w:rsidRPr="006E5ECF">
        <w:rPr>
          <w:rFonts w:ascii="Times New Roman" w:eastAsiaTheme="minorEastAsia" w:hAnsi="Times New Roman" w:cs="Times New Roman"/>
          <w:sz w:val="22"/>
          <w:szCs w:val="22"/>
        </w:rPr>
        <w:t>.</w:t>
      </w:r>
    </w:p>
    <w:p w14:paraId="2EC5F907"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Destek</w:t>
      </w:r>
      <w:proofErr w:type="spellEnd"/>
      <w:r w:rsidRPr="006E5ECF">
        <w:rPr>
          <w:rFonts w:ascii="Times New Roman" w:eastAsiaTheme="minorEastAsia" w:hAnsi="Times New Roman" w:cs="Times New Roman"/>
          <w:sz w:val="22"/>
          <w:szCs w:val="22"/>
        </w:rPr>
        <w:t xml:space="preserve">, M. A., &amp; Sarkodie, S. A. (2019). Investigation of environmental Kuznets curve for ecological footprint: The role of energy and financial development. Science of the Total Environment, 650, 2483–2489. </w:t>
      </w:r>
      <w:hyperlink r:id="rId32" w:history="1">
        <w:r w:rsidRPr="006E5ECF">
          <w:rPr>
            <w:rStyle w:val="Hyperlink"/>
            <w:rFonts w:ascii="Times New Roman" w:eastAsiaTheme="minorEastAsia" w:hAnsi="Times New Roman" w:cs="Times New Roman"/>
            <w:sz w:val="22"/>
            <w:szCs w:val="22"/>
          </w:rPr>
          <w:t>https://doi.org/10.1016/j.scitotenv.2018.10.017</w:t>
        </w:r>
      </w:hyperlink>
      <w:r w:rsidRPr="006E5ECF">
        <w:rPr>
          <w:rFonts w:ascii="Times New Roman" w:eastAsiaTheme="minorEastAsia" w:hAnsi="Times New Roman" w:cs="Times New Roman"/>
          <w:sz w:val="22"/>
          <w:szCs w:val="22"/>
        </w:rPr>
        <w:t>.</w:t>
      </w:r>
    </w:p>
    <w:p w14:paraId="7BEF529D"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Dollar, D., &amp; Kraay, A. (2004). TRADE, GROWTH, AND POVERTY*.</w:t>
      </w:r>
    </w:p>
    <w:p w14:paraId="27413F68"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Douglas, I. (2012). Urban ecology and urban ecosystems: Understanding the links to human health and well-being. Current Opinion in Environmental Sustainability, 4(4), 385–392. </w:t>
      </w:r>
      <w:hyperlink r:id="rId33" w:history="1">
        <w:r w:rsidRPr="006E5ECF">
          <w:rPr>
            <w:rStyle w:val="Hyperlink"/>
            <w:rFonts w:ascii="Times New Roman" w:eastAsiaTheme="minorEastAsia" w:hAnsi="Times New Roman" w:cs="Times New Roman"/>
            <w:sz w:val="22"/>
            <w:szCs w:val="22"/>
          </w:rPr>
          <w:t>https://doi.org/10.1016/j.cosust.2012.07.005</w:t>
        </w:r>
      </w:hyperlink>
      <w:r w:rsidRPr="006E5ECF">
        <w:rPr>
          <w:rFonts w:ascii="Times New Roman" w:eastAsiaTheme="minorEastAsia" w:hAnsi="Times New Roman" w:cs="Times New Roman"/>
          <w:sz w:val="22"/>
          <w:szCs w:val="22"/>
        </w:rPr>
        <w:t>.</w:t>
      </w:r>
    </w:p>
    <w:p w14:paraId="0D2A41B1" w14:textId="4BFC704F"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Royal, S., Kaushik, N., Chander, R., Chaudhary, N. (2023). A Nexus between Sustainability, Openness, Development, and </w:t>
      </w:r>
      <w:r w:rsidR="00062648" w:rsidRPr="006E5ECF">
        <w:rPr>
          <w:rFonts w:ascii="Times New Roman" w:eastAsiaTheme="minorEastAsia" w:hAnsi="Times New Roman" w:cs="Times New Roman"/>
          <w:sz w:val="22"/>
          <w:szCs w:val="22"/>
        </w:rPr>
        <w:t>Urbanisation</w:t>
      </w:r>
      <w:r w:rsidRPr="006E5ECF">
        <w:rPr>
          <w:rFonts w:ascii="Times New Roman" w:eastAsiaTheme="minorEastAsia" w:hAnsi="Times New Roman" w:cs="Times New Roman"/>
          <w:sz w:val="22"/>
          <w:szCs w:val="22"/>
        </w:rPr>
        <w:t>: Panel Data Evidence from QUAD Nations. Economic Studies Journal (</w:t>
      </w:r>
      <w:proofErr w:type="spellStart"/>
      <w:r w:rsidRPr="006E5ECF">
        <w:rPr>
          <w:rFonts w:ascii="Times New Roman" w:eastAsiaTheme="minorEastAsia" w:hAnsi="Times New Roman" w:cs="Times New Roman"/>
          <w:sz w:val="22"/>
          <w:szCs w:val="22"/>
        </w:rPr>
        <w:t>Ikonomicheski</w:t>
      </w:r>
      <w:proofErr w:type="spellEnd"/>
      <w:r w:rsidRPr="006E5ECF">
        <w:rPr>
          <w:rFonts w:ascii="Times New Roman" w:eastAsiaTheme="minorEastAsia" w:hAnsi="Times New Roman" w:cs="Times New Roman"/>
          <w:sz w:val="22"/>
          <w:szCs w:val="22"/>
        </w:rPr>
        <w:t xml:space="preserve"> </w:t>
      </w:r>
      <w:proofErr w:type="spellStart"/>
      <w:r w:rsidRPr="006E5ECF">
        <w:rPr>
          <w:rFonts w:ascii="Times New Roman" w:eastAsiaTheme="minorEastAsia" w:hAnsi="Times New Roman" w:cs="Times New Roman"/>
          <w:sz w:val="22"/>
          <w:szCs w:val="22"/>
        </w:rPr>
        <w:t>Izsledvania</w:t>
      </w:r>
      <w:proofErr w:type="spellEnd"/>
      <w:r w:rsidRPr="006E5ECF">
        <w:rPr>
          <w:rFonts w:ascii="Times New Roman" w:eastAsiaTheme="minorEastAsia" w:hAnsi="Times New Roman" w:cs="Times New Roman"/>
          <w:sz w:val="22"/>
          <w:szCs w:val="22"/>
        </w:rPr>
        <w:t>), 32(3), pp. 178-196.</w:t>
      </w:r>
    </w:p>
    <w:p w14:paraId="2926CCAA"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Faisal, F., </w:t>
      </w:r>
      <w:proofErr w:type="spellStart"/>
      <w:r w:rsidRPr="006E5ECF">
        <w:rPr>
          <w:rFonts w:ascii="Times New Roman" w:eastAsiaTheme="minorEastAsia" w:hAnsi="Times New Roman" w:cs="Times New Roman"/>
          <w:sz w:val="22"/>
          <w:szCs w:val="22"/>
        </w:rPr>
        <w:t>Tursoy</w:t>
      </w:r>
      <w:proofErr w:type="spellEnd"/>
      <w:r w:rsidRPr="006E5ECF">
        <w:rPr>
          <w:rFonts w:ascii="Times New Roman" w:eastAsiaTheme="minorEastAsia" w:hAnsi="Times New Roman" w:cs="Times New Roman"/>
          <w:sz w:val="22"/>
          <w:szCs w:val="22"/>
        </w:rPr>
        <w:t xml:space="preserve">, T., Gunsel </w:t>
      </w:r>
      <w:proofErr w:type="spellStart"/>
      <w:r w:rsidRPr="006E5ECF">
        <w:rPr>
          <w:rFonts w:ascii="Times New Roman" w:eastAsiaTheme="minorEastAsia" w:hAnsi="Times New Roman" w:cs="Times New Roman"/>
          <w:sz w:val="22"/>
          <w:szCs w:val="22"/>
        </w:rPr>
        <w:t>Resatoglu</w:t>
      </w:r>
      <w:proofErr w:type="spellEnd"/>
      <w:r w:rsidRPr="006E5ECF">
        <w:rPr>
          <w:rFonts w:ascii="Times New Roman" w:eastAsiaTheme="minorEastAsia" w:hAnsi="Times New Roman" w:cs="Times New Roman"/>
          <w:sz w:val="22"/>
          <w:szCs w:val="22"/>
        </w:rPr>
        <w:t>, N., &amp; Berk, N. (2018). Electricity consumption, economic growth, urbanisation and trade nexus: empirical evidence from Iceland. Economic Research-</w:t>
      </w:r>
      <w:proofErr w:type="spellStart"/>
      <w:r w:rsidRPr="006E5ECF">
        <w:rPr>
          <w:rFonts w:ascii="Times New Roman" w:eastAsiaTheme="minorEastAsia" w:hAnsi="Times New Roman" w:cs="Times New Roman"/>
          <w:sz w:val="22"/>
          <w:szCs w:val="22"/>
        </w:rPr>
        <w:t>Ekonomska</w:t>
      </w:r>
      <w:proofErr w:type="spellEnd"/>
      <w:r w:rsidRPr="006E5ECF">
        <w:rPr>
          <w:rFonts w:ascii="Times New Roman" w:eastAsiaTheme="minorEastAsia" w:hAnsi="Times New Roman" w:cs="Times New Roman"/>
          <w:sz w:val="22"/>
          <w:szCs w:val="22"/>
        </w:rPr>
        <w:t xml:space="preserve"> </w:t>
      </w:r>
      <w:proofErr w:type="spellStart"/>
      <w:r w:rsidRPr="006E5ECF">
        <w:rPr>
          <w:rFonts w:ascii="Times New Roman" w:eastAsiaTheme="minorEastAsia" w:hAnsi="Times New Roman" w:cs="Times New Roman"/>
          <w:sz w:val="22"/>
          <w:szCs w:val="22"/>
        </w:rPr>
        <w:t>Istrazivanja</w:t>
      </w:r>
      <w:proofErr w:type="spellEnd"/>
      <w:r w:rsidRPr="006E5ECF">
        <w:rPr>
          <w:rFonts w:ascii="Times New Roman" w:eastAsiaTheme="minorEastAsia" w:hAnsi="Times New Roman" w:cs="Times New Roman"/>
          <w:sz w:val="22"/>
          <w:szCs w:val="22"/>
        </w:rPr>
        <w:t xml:space="preserve">, 31(1), 664–680. </w:t>
      </w:r>
      <w:hyperlink r:id="rId34" w:history="1">
        <w:r w:rsidRPr="006E5ECF">
          <w:rPr>
            <w:rStyle w:val="Hyperlink"/>
            <w:rFonts w:ascii="Times New Roman" w:eastAsiaTheme="minorEastAsia" w:hAnsi="Times New Roman" w:cs="Times New Roman"/>
            <w:sz w:val="22"/>
            <w:szCs w:val="22"/>
          </w:rPr>
          <w:t>https://doi.org/10.1080/1331677X.2018.1438907</w:t>
        </w:r>
      </w:hyperlink>
      <w:r w:rsidRPr="006E5ECF">
        <w:rPr>
          <w:rFonts w:ascii="Times New Roman" w:eastAsiaTheme="minorEastAsia" w:hAnsi="Times New Roman" w:cs="Times New Roman"/>
          <w:sz w:val="22"/>
          <w:szCs w:val="22"/>
        </w:rPr>
        <w:t xml:space="preserve">. </w:t>
      </w:r>
    </w:p>
    <w:p w14:paraId="5086536C"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lastRenderedPageBreak/>
        <w:t xml:space="preserve">Fan, P., Chen, J., Ouyang, Z., Groisman, P., Loboda, T., Gutman, G., Prishchepov, A. V., Kvashnina, A., Messina, J., Moore, N., Myint, S. W., &amp; Qi, J. (2018). Urbanisation and sustainability under transitional economies: A synthesis for Asian Russia. Environmental Research Letters, 13(9). </w:t>
      </w:r>
      <w:hyperlink r:id="rId35" w:history="1">
        <w:r w:rsidRPr="006E5ECF">
          <w:rPr>
            <w:rStyle w:val="Hyperlink"/>
            <w:rFonts w:ascii="Times New Roman" w:eastAsiaTheme="minorEastAsia" w:hAnsi="Times New Roman" w:cs="Times New Roman"/>
            <w:sz w:val="22"/>
            <w:szCs w:val="22"/>
          </w:rPr>
          <w:t>https://doi.org/10.1088/1748-9326/aadbf8</w:t>
        </w:r>
      </w:hyperlink>
      <w:r w:rsidRPr="006E5ECF">
        <w:rPr>
          <w:rFonts w:ascii="Times New Roman" w:eastAsiaTheme="minorEastAsia" w:hAnsi="Times New Roman" w:cs="Times New Roman"/>
          <w:sz w:val="22"/>
          <w:szCs w:val="22"/>
        </w:rPr>
        <w:t>.</w:t>
      </w:r>
    </w:p>
    <w:p w14:paraId="4C3B42E1"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Frankel, J. A., &amp; Romer, D. (1999). Does Trade Cause Growth?</w:t>
      </w:r>
    </w:p>
    <w:p w14:paraId="013EC622" w14:textId="77777777" w:rsidR="00F16974"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Freund, C., &amp; Bolaky, B. (2008). Trade, regulations, and income. Journal of Development Economics, 87(2), 309–321. </w:t>
      </w:r>
      <w:hyperlink r:id="rId36" w:history="1">
        <w:r w:rsidRPr="006E5ECF">
          <w:rPr>
            <w:rStyle w:val="Hyperlink"/>
            <w:rFonts w:ascii="Times New Roman" w:eastAsiaTheme="minorEastAsia" w:hAnsi="Times New Roman" w:cs="Times New Roman"/>
            <w:sz w:val="22"/>
            <w:szCs w:val="22"/>
          </w:rPr>
          <w:t>https://doi.org/10.1016/j.jdeveco.2007.11.003</w:t>
        </w:r>
      </w:hyperlink>
      <w:r w:rsidRPr="006E5ECF">
        <w:rPr>
          <w:rFonts w:ascii="Times New Roman" w:eastAsiaTheme="minorEastAsia" w:hAnsi="Times New Roman" w:cs="Times New Roman"/>
          <w:sz w:val="22"/>
          <w:szCs w:val="22"/>
        </w:rPr>
        <w:t xml:space="preserve">. </w:t>
      </w:r>
    </w:p>
    <w:p w14:paraId="1B8D7719" w14:textId="77777777" w:rsidR="00F16974" w:rsidRPr="006E5ECF" w:rsidRDefault="00F16974"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Gök, A. (2020). FDI and environmental degradation: the role of political institutions in South Asian countries. Environmental Science and Pollution Research, 27(4), 3505–3516.</w:t>
      </w:r>
    </w:p>
    <w:p w14:paraId="3F022559" w14:textId="3AF9C87F"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Gries, T., Redlin, M., Gries, T., &amp; Redlin, M. (n.d.). Trade Openness and Economic Growth: A Panel Causality Analysis. </w:t>
      </w:r>
      <w:hyperlink r:id="rId37" w:history="1">
        <w:r w:rsidRPr="006E5ECF">
          <w:rPr>
            <w:rStyle w:val="Hyperlink"/>
            <w:rFonts w:ascii="Times New Roman" w:eastAsiaTheme="minorEastAsia" w:hAnsi="Times New Roman" w:cs="Times New Roman"/>
            <w:sz w:val="22"/>
            <w:szCs w:val="22"/>
          </w:rPr>
          <w:t>www.C-I-E.org</w:t>
        </w:r>
      </w:hyperlink>
      <w:r w:rsidRPr="006E5ECF">
        <w:rPr>
          <w:rFonts w:ascii="Times New Roman" w:eastAsiaTheme="minorEastAsia" w:hAnsi="Times New Roman" w:cs="Times New Roman"/>
          <w:sz w:val="22"/>
          <w:szCs w:val="22"/>
        </w:rPr>
        <w:t xml:space="preserve">. </w:t>
      </w:r>
    </w:p>
    <w:p w14:paraId="505FA6DD"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Gyamfi, B. A., Bein, M. A., Ozturk, I.,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(2020). The Moderating Role of Employment in an Environmental Kuznets Curve Framework Revisited in G7 Countries. Indonesian Journal of Sustainability Accounting and Management, 4(2), 241. </w:t>
      </w:r>
      <w:hyperlink r:id="rId38" w:history="1">
        <w:r w:rsidRPr="006E5ECF">
          <w:rPr>
            <w:rFonts w:ascii="Times New Roman" w:hAnsi="Times New Roman" w:cs="Times New Roman"/>
            <w:sz w:val="22"/>
            <w:szCs w:val="22"/>
          </w:rPr>
          <w:t>https://doi.org/10.28992/ijsam.v4i2.283</w:t>
        </w:r>
      </w:hyperlink>
      <w:r w:rsidRPr="006E5ECF">
        <w:rPr>
          <w:rFonts w:ascii="Times New Roman" w:eastAsiaTheme="minorEastAsia" w:hAnsi="Times New Roman" w:cs="Times New Roman"/>
          <w:sz w:val="22"/>
          <w:szCs w:val="22"/>
        </w:rPr>
        <w:t xml:space="preserve">. </w:t>
      </w:r>
    </w:p>
    <w:p w14:paraId="00915CD5"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Gyamfi, B. A., Ozturk, I., Bein, M. A.,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(2021). An investigation into the anthropogenic effect of biomass energy utilisation and economic sustainability on environmental degradation in E7 economies. Biofuels, Bioproducts and Biorefining, 15(3), 840–851. </w:t>
      </w:r>
      <w:hyperlink r:id="rId39" w:history="1">
        <w:r w:rsidRPr="006E5ECF">
          <w:rPr>
            <w:rFonts w:ascii="Times New Roman" w:hAnsi="Times New Roman" w:cs="Times New Roman"/>
            <w:sz w:val="22"/>
            <w:szCs w:val="22"/>
          </w:rPr>
          <w:t>https://doi.org/10.1002/bbb.2206</w:t>
        </w:r>
      </w:hyperlink>
      <w:r w:rsidRPr="006E5ECF">
        <w:rPr>
          <w:rFonts w:ascii="Times New Roman" w:eastAsiaTheme="minorEastAsia" w:hAnsi="Times New Roman" w:cs="Times New Roman"/>
          <w:sz w:val="22"/>
          <w:szCs w:val="22"/>
        </w:rPr>
        <w:t>.</w:t>
      </w:r>
    </w:p>
    <w:p w14:paraId="63A3041C" w14:textId="33D5AE8D"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Han, J., Zeeshan, M., Ullah, I., Rehman, A., &amp; Alam Afridi, F. E. (2021). Trade Openness and </w:t>
      </w:r>
      <w:r w:rsidR="00062648" w:rsidRPr="006E5ECF">
        <w:rPr>
          <w:rFonts w:ascii="Times New Roman" w:eastAsiaTheme="minorEastAsia" w:hAnsi="Times New Roman" w:cs="Times New Roman"/>
          <w:sz w:val="22"/>
          <w:szCs w:val="22"/>
        </w:rPr>
        <w:t>Urbanisation</w:t>
      </w:r>
      <w:r w:rsidRPr="006E5ECF">
        <w:rPr>
          <w:rFonts w:ascii="Times New Roman" w:eastAsiaTheme="minorEastAsia" w:hAnsi="Times New Roman" w:cs="Times New Roman"/>
          <w:sz w:val="22"/>
          <w:szCs w:val="22"/>
        </w:rPr>
        <w:t xml:space="preserve"> impact on Renewable and Non-Renewable Energy Consumption in China. </w:t>
      </w:r>
      <w:hyperlink r:id="rId40" w:history="1">
        <w:r w:rsidRPr="006E5ECF">
          <w:rPr>
            <w:rFonts w:ascii="Times New Roman" w:hAnsi="Times New Roman" w:cs="Times New Roman"/>
            <w:sz w:val="22"/>
            <w:szCs w:val="22"/>
          </w:rPr>
          <w:t>https://doi.org/10.21203/rs.3.rs-1000201/v1</w:t>
        </w:r>
      </w:hyperlink>
      <w:r w:rsidRPr="006E5ECF">
        <w:rPr>
          <w:rFonts w:ascii="Times New Roman" w:eastAsiaTheme="minorEastAsia" w:hAnsi="Times New Roman" w:cs="Times New Roman"/>
          <w:sz w:val="22"/>
          <w:szCs w:val="22"/>
        </w:rPr>
        <w:t xml:space="preserve">. </w:t>
      </w:r>
    </w:p>
    <w:p w14:paraId="7FE190DE"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Haseeb, A., Xia, E., Danish, Baloch, M. A., &amp; Abbas, K. (2018). Financial development, globalisation, and CO2 emission in the presence of EKC: evidence from BRICS countries. Environmental Science and Pollution Research, 25(31), 31283–31296. </w:t>
      </w:r>
      <w:hyperlink r:id="rId41" w:history="1">
        <w:r w:rsidRPr="006E5ECF">
          <w:rPr>
            <w:rFonts w:ascii="Times New Roman" w:hAnsi="Times New Roman" w:cs="Times New Roman"/>
            <w:sz w:val="22"/>
            <w:szCs w:val="22"/>
          </w:rPr>
          <w:t>https://doi.org/10.1007/s11356-018-3034-7</w:t>
        </w:r>
      </w:hyperlink>
      <w:r w:rsidRPr="006E5ECF">
        <w:rPr>
          <w:rFonts w:ascii="Times New Roman" w:eastAsiaTheme="minorEastAsia" w:hAnsi="Times New Roman" w:cs="Times New Roman"/>
          <w:sz w:val="22"/>
          <w:szCs w:val="22"/>
        </w:rPr>
        <w:t xml:space="preserve">. </w:t>
      </w:r>
    </w:p>
    <w:p w14:paraId="0B7F9322" w14:textId="437E372E"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Iheonu</w:t>
      </w:r>
      <w:proofErr w:type="spellEnd"/>
      <w:r w:rsidRPr="006E5ECF">
        <w:rPr>
          <w:rFonts w:ascii="Times New Roman" w:eastAsiaTheme="minorEastAsia" w:hAnsi="Times New Roman" w:cs="Times New Roman"/>
          <w:sz w:val="22"/>
          <w:szCs w:val="22"/>
        </w:rPr>
        <w:t xml:space="preserve">, C. O., Anyanwu, O. C., Odo, O. K., &amp; Nathaniel, S. P. (2021). Does Economic Growth, International Trade and </w:t>
      </w:r>
      <w:r w:rsidR="00062648" w:rsidRPr="006E5ECF">
        <w:rPr>
          <w:rFonts w:ascii="Times New Roman" w:eastAsiaTheme="minorEastAsia" w:hAnsi="Times New Roman" w:cs="Times New Roman"/>
          <w:sz w:val="22"/>
          <w:szCs w:val="22"/>
        </w:rPr>
        <w:t>Urbanisation</w:t>
      </w:r>
      <w:r w:rsidRPr="006E5ECF">
        <w:rPr>
          <w:rFonts w:ascii="Times New Roman" w:eastAsiaTheme="minorEastAsia" w:hAnsi="Times New Roman" w:cs="Times New Roman"/>
          <w:sz w:val="22"/>
          <w:szCs w:val="22"/>
        </w:rPr>
        <w:t xml:space="preserve"> uphold Environmental Sustainability in sub-Saharan </w:t>
      </w:r>
      <w:r w:rsidRPr="006E5ECF">
        <w:rPr>
          <w:rFonts w:ascii="Times New Roman" w:eastAsiaTheme="minorEastAsia" w:hAnsi="Times New Roman" w:cs="Times New Roman"/>
          <w:sz w:val="22"/>
          <w:szCs w:val="22"/>
        </w:rPr>
        <w:lastRenderedPageBreak/>
        <w:t xml:space="preserve">Africa? Insights from Quantile and Causality Procedures. Environmental Science and Pollution Research, 70234, 1–24. </w:t>
      </w:r>
      <w:hyperlink r:id="rId42" w:history="1">
        <w:r w:rsidRPr="006E5ECF">
          <w:rPr>
            <w:rFonts w:ascii="Times New Roman" w:hAnsi="Times New Roman" w:cs="Times New Roman"/>
            <w:sz w:val="22"/>
            <w:szCs w:val="22"/>
          </w:rPr>
          <w:t>http://clok.uclan.ac.uk/25161/1/25161Education-in-the-Diffusion-of-Knowledge-with-Mobile-for-Inclusive-dev.pd.pdf</w:t>
        </w:r>
      </w:hyperlink>
      <w:r w:rsidRPr="006E5ECF">
        <w:rPr>
          <w:rFonts w:ascii="Times New Roman" w:eastAsiaTheme="minorEastAsia" w:hAnsi="Times New Roman" w:cs="Times New Roman"/>
          <w:sz w:val="22"/>
          <w:szCs w:val="22"/>
        </w:rPr>
        <w:t>.</w:t>
      </w:r>
    </w:p>
    <w:p w14:paraId="383C23D8"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Inglesi-Lotz</w:t>
      </w:r>
      <w:proofErr w:type="spellEnd"/>
      <w:r w:rsidRPr="006E5ECF">
        <w:rPr>
          <w:rFonts w:ascii="Times New Roman" w:eastAsiaTheme="minorEastAsia" w:hAnsi="Times New Roman" w:cs="Times New Roman"/>
          <w:sz w:val="22"/>
          <w:szCs w:val="22"/>
        </w:rPr>
        <w:t xml:space="preserve">, R., &amp; Dogan, E. (2018). The role of renewable versus non-renewable energy to the level of CO2 emissions a panel analysis of sub-Saharan Africa’s </w:t>
      </w:r>
      <w:proofErr w:type="spellStart"/>
      <w:r w:rsidRPr="006E5ECF">
        <w:rPr>
          <w:rFonts w:ascii="Times New Roman" w:eastAsiaTheme="minorEastAsia" w:hAnsi="Times New Roman" w:cs="Times New Roman"/>
          <w:sz w:val="22"/>
          <w:szCs w:val="22"/>
        </w:rPr>
        <w:t>Βig</w:t>
      </w:r>
      <w:proofErr w:type="spellEnd"/>
      <w:r w:rsidRPr="006E5ECF">
        <w:rPr>
          <w:rFonts w:ascii="Times New Roman" w:eastAsiaTheme="minorEastAsia" w:hAnsi="Times New Roman" w:cs="Times New Roman"/>
          <w:sz w:val="22"/>
          <w:szCs w:val="22"/>
        </w:rPr>
        <w:t xml:space="preserve"> 10 electricity generators. Renewable Energy, 123, 36–43. </w:t>
      </w:r>
      <w:hyperlink r:id="rId43" w:history="1">
        <w:r w:rsidRPr="006E5ECF">
          <w:rPr>
            <w:rFonts w:ascii="Times New Roman" w:hAnsi="Times New Roman" w:cs="Times New Roman"/>
            <w:sz w:val="22"/>
            <w:szCs w:val="22"/>
          </w:rPr>
          <w:t>https://doi.org/10.1016/j.renene.2018.02.041</w:t>
        </w:r>
      </w:hyperlink>
      <w:r w:rsidRPr="006E5ECF">
        <w:rPr>
          <w:rFonts w:ascii="Times New Roman" w:eastAsiaTheme="minorEastAsia" w:hAnsi="Times New Roman" w:cs="Times New Roman"/>
          <w:sz w:val="22"/>
          <w:szCs w:val="22"/>
        </w:rPr>
        <w:t xml:space="preserve">. </w:t>
      </w:r>
    </w:p>
    <w:p w14:paraId="7637DA8D"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Intisar, R. A., Yaseen, M. R., Kousar, R., Usman, M., &amp; Amjad </w:t>
      </w:r>
      <w:proofErr w:type="spellStart"/>
      <w:r w:rsidRPr="006E5ECF">
        <w:rPr>
          <w:rFonts w:ascii="Times New Roman" w:eastAsiaTheme="minorEastAsia" w:hAnsi="Times New Roman" w:cs="Times New Roman"/>
          <w:sz w:val="22"/>
          <w:szCs w:val="22"/>
        </w:rPr>
        <w:t>Makhdum</w:t>
      </w:r>
      <w:proofErr w:type="spellEnd"/>
      <w:r w:rsidRPr="006E5ECF">
        <w:rPr>
          <w:rFonts w:ascii="Times New Roman" w:eastAsiaTheme="minorEastAsia" w:hAnsi="Times New Roman" w:cs="Times New Roman"/>
          <w:sz w:val="22"/>
          <w:szCs w:val="22"/>
        </w:rPr>
        <w:t xml:space="preserve">, M. S. (2020). Impact of trade openness and human capital on economic growth: A comparative investigation of Asian countries. Sustainability (Switzerland), 12(7). </w:t>
      </w:r>
      <w:hyperlink r:id="rId44" w:history="1">
        <w:r w:rsidRPr="006E5ECF">
          <w:rPr>
            <w:rFonts w:ascii="Times New Roman" w:hAnsi="Times New Roman" w:cs="Times New Roman"/>
            <w:sz w:val="22"/>
            <w:szCs w:val="22"/>
          </w:rPr>
          <w:t>https://doi.org/10.3390/su12072930</w:t>
        </w:r>
      </w:hyperlink>
      <w:r w:rsidRPr="006E5ECF">
        <w:rPr>
          <w:rFonts w:ascii="Times New Roman" w:eastAsiaTheme="minorEastAsia" w:hAnsi="Times New Roman" w:cs="Times New Roman"/>
          <w:sz w:val="22"/>
          <w:szCs w:val="22"/>
        </w:rPr>
        <w:t xml:space="preserve">. </w:t>
      </w:r>
    </w:p>
    <w:p w14:paraId="57C83F31"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Keho, Y. (2017). The impact of trade openness on economic growth: The case of Cote d’Ivoire. Cogent Economics and Finance, 5(1). </w:t>
      </w:r>
      <w:hyperlink r:id="rId45" w:history="1">
        <w:r w:rsidRPr="006E5ECF">
          <w:rPr>
            <w:rFonts w:ascii="Times New Roman" w:hAnsi="Times New Roman" w:cs="Times New Roman"/>
            <w:sz w:val="22"/>
            <w:szCs w:val="22"/>
          </w:rPr>
          <w:t>https://doi.org/10.1080/23322039.2017.1332820</w:t>
        </w:r>
      </w:hyperlink>
      <w:r w:rsidRPr="006E5ECF">
        <w:rPr>
          <w:rFonts w:ascii="Times New Roman" w:eastAsiaTheme="minorEastAsia" w:hAnsi="Times New Roman" w:cs="Times New Roman"/>
          <w:sz w:val="22"/>
          <w:szCs w:val="22"/>
        </w:rPr>
        <w:t xml:space="preserve">. </w:t>
      </w:r>
    </w:p>
    <w:p w14:paraId="382D3143"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Le, H. P., &amp; Bao, H. H. G. (2020). Renewable and non-renewable energy consumption, government expenditure, institution quality, financial development, trade openness, and sustainable development in Latin America and the Caribbean emerging market and developing economies. International Journal of Energy Economics and Policy, 10(1), 242–248. </w:t>
      </w:r>
      <w:hyperlink r:id="rId46" w:history="1">
        <w:r w:rsidRPr="006E5ECF">
          <w:rPr>
            <w:rFonts w:ascii="Times New Roman" w:hAnsi="Times New Roman" w:cs="Times New Roman"/>
            <w:sz w:val="22"/>
            <w:szCs w:val="22"/>
          </w:rPr>
          <w:t>https://doi.org/10.32479/ijeep.8506</w:t>
        </w:r>
      </w:hyperlink>
      <w:r w:rsidRPr="006E5ECF">
        <w:rPr>
          <w:rFonts w:ascii="Times New Roman" w:eastAsiaTheme="minorEastAsia" w:hAnsi="Times New Roman" w:cs="Times New Roman"/>
          <w:sz w:val="22"/>
          <w:szCs w:val="22"/>
        </w:rPr>
        <w:t xml:space="preserve">. </w:t>
      </w:r>
    </w:p>
    <w:p w14:paraId="38C7B7D9"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Liang, W., &amp; Yang, M. (2019). Urbanisation, economic growth and environmental pollution: Evidence from China. Sustainable Computing: Informatics and Systems, 21, 1–9. </w:t>
      </w:r>
      <w:hyperlink r:id="rId47" w:history="1">
        <w:r w:rsidRPr="006E5ECF">
          <w:rPr>
            <w:rFonts w:ascii="Times New Roman" w:hAnsi="Times New Roman" w:cs="Times New Roman"/>
            <w:sz w:val="22"/>
            <w:szCs w:val="22"/>
          </w:rPr>
          <w:t>https://doi.org/10.1016/j.suscom.2018.11.007</w:t>
        </w:r>
      </w:hyperlink>
      <w:r w:rsidRPr="006E5ECF">
        <w:rPr>
          <w:rFonts w:ascii="Times New Roman" w:eastAsiaTheme="minorEastAsia" w:hAnsi="Times New Roman" w:cs="Times New Roman"/>
          <w:sz w:val="22"/>
          <w:szCs w:val="22"/>
        </w:rPr>
        <w:t xml:space="preserve">. </w:t>
      </w:r>
    </w:p>
    <w:p w14:paraId="60E4D7DF"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Macomber, J. D. (2013). Building sustainable cities. Harvard Business Review, 91(7–8), 2013.</w:t>
      </w:r>
    </w:p>
    <w:p w14:paraId="463A7043"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Manta, A. G., Florea, N. M., </w:t>
      </w:r>
      <w:proofErr w:type="spellStart"/>
      <w:r w:rsidRPr="006E5ECF">
        <w:rPr>
          <w:rFonts w:ascii="Times New Roman" w:eastAsiaTheme="minorEastAsia" w:hAnsi="Times New Roman" w:cs="Times New Roman"/>
          <w:sz w:val="22"/>
          <w:szCs w:val="22"/>
        </w:rPr>
        <w:t>Badîrcea</w:t>
      </w:r>
      <w:proofErr w:type="spellEnd"/>
      <w:r w:rsidRPr="006E5ECF">
        <w:rPr>
          <w:rFonts w:ascii="Times New Roman" w:eastAsiaTheme="minorEastAsia" w:hAnsi="Times New Roman" w:cs="Times New Roman"/>
          <w:sz w:val="22"/>
          <w:szCs w:val="22"/>
        </w:rPr>
        <w:t xml:space="preserve">, R. M., Popescu, J., </w:t>
      </w:r>
      <w:proofErr w:type="spellStart"/>
      <w:r w:rsidRPr="006E5ECF">
        <w:rPr>
          <w:rFonts w:ascii="Times New Roman" w:eastAsiaTheme="minorEastAsia" w:hAnsi="Times New Roman" w:cs="Times New Roman"/>
          <w:sz w:val="22"/>
          <w:szCs w:val="22"/>
        </w:rPr>
        <w:t>Cîrciumaru</w:t>
      </w:r>
      <w:proofErr w:type="spellEnd"/>
      <w:r w:rsidRPr="006E5ECF">
        <w:rPr>
          <w:rFonts w:ascii="Times New Roman" w:eastAsiaTheme="minorEastAsia" w:hAnsi="Times New Roman" w:cs="Times New Roman"/>
          <w:sz w:val="22"/>
          <w:szCs w:val="22"/>
        </w:rPr>
        <w:t xml:space="preserve">, D., &amp; Doran, M. D. (2020). The nexus between carbon emissions, energy use, economic growth and financial development: Evidence from central and eastern European countries. Sustainability (Switzerland), 12(18). </w:t>
      </w:r>
      <w:hyperlink r:id="rId48" w:history="1">
        <w:r w:rsidRPr="006E5ECF">
          <w:rPr>
            <w:rFonts w:ascii="Times New Roman" w:hAnsi="Times New Roman" w:cs="Times New Roman"/>
            <w:sz w:val="22"/>
            <w:szCs w:val="22"/>
          </w:rPr>
          <w:t>https://doi.org/10.3390/SU12187747</w:t>
        </w:r>
      </w:hyperlink>
      <w:r w:rsidRPr="006E5ECF">
        <w:rPr>
          <w:rFonts w:ascii="Times New Roman" w:eastAsiaTheme="minorEastAsia" w:hAnsi="Times New Roman" w:cs="Times New Roman"/>
          <w:sz w:val="22"/>
          <w:szCs w:val="22"/>
        </w:rPr>
        <w:t xml:space="preserve">. </w:t>
      </w:r>
    </w:p>
    <w:p w14:paraId="677558B1" w14:textId="00A0A7AA" w:rsidR="00BE5072" w:rsidRPr="006E5ECF" w:rsidRDefault="00BE5072"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Masih, R., &amp; Masih, A. M. M. (1996). Stock-Watson dynamic OLS (DOLS) and error-correction modelling approaches to estimating long-and short-run elasticities in a demand function: new evidence and methodological implications from an application. Energy Economics, 18(4), 315–334.</w:t>
      </w:r>
    </w:p>
    <w:p w14:paraId="4AF1838B" w14:textId="6E7DB428"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lastRenderedPageBreak/>
        <w:t>Mehra, J. (2020). The Australia-India-Japan-US Quadrilateral: Dissecting the China Factor. ORF Occasional Paper No. 264, Observer Research Foundation.</w:t>
      </w:r>
    </w:p>
    <w:p w14:paraId="2E505718"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Murshed, M., </w:t>
      </w:r>
      <w:proofErr w:type="spellStart"/>
      <w:r w:rsidRPr="006E5ECF">
        <w:rPr>
          <w:rFonts w:ascii="Times New Roman" w:eastAsiaTheme="minorEastAsia" w:hAnsi="Times New Roman" w:cs="Times New Roman"/>
          <w:sz w:val="22"/>
          <w:szCs w:val="22"/>
        </w:rPr>
        <w:t>Elheddad</w:t>
      </w:r>
      <w:proofErr w:type="spellEnd"/>
      <w:r w:rsidRPr="006E5ECF">
        <w:rPr>
          <w:rFonts w:ascii="Times New Roman" w:eastAsiaTheme="minorEastAsia" w:hAnsi="Times New Roman" w:cs="Times New Roman"/>
          <w:sz w:val="22"/>
          <w:szCs w:val="22"/>
        </w:rPr>
        <w:t xml:space="preserve">, M., Ahmed, R., Bassim, M., &amp; Than, E. T. (2021). Foreign Direct Investments, Renewable Electricity Output, and Ecological Footprints: Do Financial Globalization Facilitate Renewable Energy Transition and Environmental Welfare in Bangladesh? Asia-Pacific Financial Markets. </w:t>
      </w:r>
      <w:hyperlink r:id="rId49" w:history="1">
        <w:r w:rsidRPr="006E5ECF">
          <w:rPr>
            <w:rFonts w:ascii="Times New Roman" w:hAnsi="Times New Roman" w:cs="Times New Roman"/>
            <w:sz w:val="22"/>
            <w:szCs w:val="22"/>
          </w:rPr>
          <w:t>https://doi.org/10.1007/s10690-021-09335-7</w:t>
        </w:r>
      </w:hyperlink>
      <w:r w:rsidRPr="006E5ECF">
        <w:rPr>
          <w:rFonts w:ascii="Times New Roman" w:eastAsiaTheme="minorEastAsia" w:hAnsi="Times New Roman" w:cs="Times New Roman"/>
          <w:sz w:val="22"/>
          <w:szCs w:val="22"/>
        </w:rPr>
        <w:t xml:space="preserve">. </w:t>
      </w:r>
    </w:p>
    <w:p w14:paraId="5B2A0743"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Nathaniel, S. P.,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(2020). Environmental management amidst energy use, urbanisation, trade openness, and deforestation: The Nigerian experience. Journal of Public Affairs, 20(2). </w:t>
      </w:r>
      <w:hyperlink r:id="rId50" w:history="1">
        <w:r w:rsidRPr="006E5ECF">
          <w:rPr>
            <w:rFonts w:ascii="Times New Roman" w:hAnsi="Times New Roman" w:cs="Times New Roman"/>
            <w:sz w:val="22"/>
            <w:szCs w:val="22"/>
          </w:rPr>
          <w:t>https://doi.org/10.1002/pa.2037</w:t>
        </w:r>
      </w:hyperlink>
      <w:r w:rsidRPr="006E5ECF">
        <w:rPr>
          <w:rFonts w:ascii="Times New Roman" w:eastAsiaTheme="minorEastAsia" w:hAnsi="Times New Roman" w:cs="Times New Roman"/>
          <w:sz w:val="22"/>
          <w:szCs w:val="22"/>
        </w:rPr>
        <w:t>.</w:t>
      </w:r>
    </w:p>
    <w:p w14:paraId="7665837B"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Nguyen, K. H., &amp; </w:t>
      </w:r>
      <w:proofErr w:type="spellStart"/>
      <w:r w:rsidRPr="006E5ECF">
        <w:rPr>
          <w:rFonts w:ascii="Times New Roman" w:eastAsiaTheme="minorEastAsia" w:hAnsi="Times New Roman" w:cs="Times New Roman"/>
          <w:sz w:val="22"/>
          <w:szCs w:val="22"/>
        </w:rPr>
        <w:t>Kakinaka</w:t>
      </w:r>
      <w:proofErr w:type="spellEnd"/>
      <w:r w:rsidRPr="006E5ECF">
        <w:rPr>
          <w:rFonts w:ascii="Times New Roman" w:eastAsiaTheme="minorEastAsia" w:hAnsi="Times New Roman" w:cs="Times New Roman"/>
          <w:sz w:val="22"/>
          <w:szCs w:val="22"/>
        </w:rPr>
        <w:t xml:space="preserve">, M. (2019). Renewable energy consumption, carbon emissions, and development stages: Some evidence from panel co-integration analysis. Renewable Energy, 132, 1049–1057. </w:t>
      </w:r>
      <w:hyperlink r:id="rId51" w:history="1">
        <w:r w:rsidRPr="006E5ECF">
          <w:rPr>
            <w:rFonts w:ascii="Times New Roman" w:hAnsi="Times New Roman" w:cs="Times New Roman"/>
            <w:sz w:val="22"/>
            <w:szCs w:val="22"/>
          </w:rPr>
          <w:t>https://doi.org/10.1016/j.renene.2018.08.069</w:t>
        </w:r>
      </w:hyperlink>
      <w:r w:rsidRPr="006E5ECF">
        <w:rPr>
          <w:rFonts w:ascii="Times New Roman" w:eastAsiaTheme="minorEastAsia" w:hAnsi="Times New Roman" w:cs="Times New Roman"/>
          <w:sz w:val="22"/>
          <w:szCs w:val="22"/>
        </w:rPr>
        <w:t xml:space="preserve">. </w:t>
      </w:r>
    </w:p>
    <w:p w14:paraId="2F720656"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Nketiah, E., Cai, X., Adjei, M., &amp; Boamah, B. B. (2020). Foreign Direct Investment, Trade Openness and Economic Growth: Evidence from Ghana. Open Journal of Business and Management, 08(01), 39–55. </w:t>
      </w:r>
      <w:hyperlink r:id="rId52" w:history="1">
        <w:r w:rsidRPr="006E5ECF">
          <w:rPr>
            <w:rFonts w:ascii="Times New Roman" w:hAnsi="Times New Roman" w:cs="Times New Roman"/>
            <w:sz w:val="22"/>
            <w:szCs w:val="22"/>
          </w:rPr>
          <w:t>https://doi.org/10.4236/ojbm.2020.81003</w:t>
        </w:r>
      </w:hyperlink>
      <w:r w:rsidRPr="006E5ECF">
        <w:rPr>
          <w:rFonts w:ascii="Times New Roman" w:eastAsiaTheme="minorEastAsia" w:hAnsi="Times New Roman" w:cs="Times New Roman"/>
          <w:sz w:val="22"/>
          <w:szCs w:val="22"/>
        </w:rPr>
        <w:t xml:space="preserve">. </w:t>
      </w:r>
    </w:p>
    <w:p w14:paraId="4469E670"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Olorogun</w:t>
      </w:r>
      <w:proofErr w:type="spellEnd"/>
      <w:r w:rsidRPr="006E5ECF">
        <w:rPr>
          <w:rFonts w:ascii="Times New Roman" w:eastAsiaTheme="minorEastAsia" w:hAnsi="Times New Roman" w:cs="Times New Roman"/>
          <w:sz w:val="22"/>
          <w:szCs w:val="22"/>
        </w:rPr>
        <w:t xml:space="preserve">, L. A., Salami, M. A., &amp;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(2020). Revisiting the Nexus between FDI, financial development and economic growth: Empirical evidence from Nigeria. Journal of Public Affairs. </w:t>
      </w:r>
      <w:hyperlink r:id="rId53" w:history="1">
        <w:r w:rsidRPr="006E5ECF">
          <w:rPr>
            <w:rFonts w:ascii="Times New Roman" w:hAnsi="Times New Roman" w:cs="Times New Roman"/>
            <w:sz w:val="22"/>
            <w:szCs w:val="22"/>
          </w:rPr>
          <w:t>https://doi.org/10.1002/pa.2561</w:t>
        </w:r>
      </w:hyperlink>
      <w:r w:rsidRPr="006E5ECF">
        <w:rPr>
          <w:rFonts w:ascii="Times New Roman" w:eastAsiaTheme="minorEastAsia" w:hAnsi="Times New Roman" w:cs="Times New Roman"/>
          <w:sz w:val="22"/>
          <w:szCs w:val="22"/>
        </w:rPr>
        <w:t xml:space="preserve">. </w:t>
      </w:r>
    </w:p>
    <w:p w14:paraId="2DBA1E52"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Pahl, S., &amp; Timmer, M. P. (2020). Do Global Value Chains Enhance Economic Upgrading? A Long View. Journal of Development Studies, 56(9), 1683–1705. </w:t>
      </w:r>
      <w:hyperlink r:id="rId54" w:history="1">
        <w:r w:rsidRPr="006E5ECF">
          <w:rPr>
            <w:rFonts w:ascii="Times New Roman" w:hAnsi="Times New Roman" w:cs="Times New Roman"/>
            <w:sz w:val="22"/>
            <w:szCs w:val="22"/>
          </w:rPr>
          <w:t>https://doi.org/10.1080/00220388.2019.1702159</w:t>
        </w:r>
      </w:hyperlink>
      <w:r w:rsidRPr="006E5ECF">
        <w:rPr>
          <w:rFonts w:ascii="Times New Roman" w:eastAsiaTheme="minorEastAsia" w:hAnsi="Times New Roman" w:cs="Times New Roman"/>
          <w:sz w:val="22"/>
          <w:szCs w:val="22"/>
        </w:rPr>
        <w:t xml:space="preserve">. </w:t>
      </w:r>
    </w:p>
    <w:p w14:paraId="5829FC24"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Pesaran, M. H., Shin, Y., &amp; Smith, R. P. (1999). Pooled Mean Group Estimation of Dynamic Heterogeneous Panels. Journal of the American Statistical Association, 94(446), 621. </w:t>
      </w:r>
      <w:hyperlink r:id="rId55" w:history="1">
        <w:r w:rsidRPr="006E5ECF">
          <w:rPr>
            <w:rFonts w:ascii="Times New Roman" w:hAnsi="Times New Roman" w:cs="Times New Roman"/>
            <w:sz w:val="22"/>
            <w:szCs w:val="22"/>
          </w:rPr>
          <w:t>https://doi.org/10.2307/2670182</w:t>
        </w:r>
      </w:hyperlink>
      <w:r w:rsidRPr="006E5ECF">
        <w:rPr>
          <w:rFonts w:ascii="Times New Roman" w:eastAsiaTheme="minorEastAsia" w:hAnsi="Times New Roman" w:cs="Times New Roman"/>
          <w:sz w:val="22"/>
          <w:szCs w:val="22"/>
        </w:rPr>
        <w:t xml:space="preserve">. </w:t>
      </w:r>
    </w:p>
    <w:p w14:paraId="249BF68E" w14:textId="1B1E7F6F" w:rsidR="00305C92" w:rsidRPr="006E5ECF" w:rsidRDefault="00305C92"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Phillips, P. C. B., &amp; Hansen, B. E. (1990). Statistical Inference in Instrumental Variables Regression with </w:t>
      </w:r>
      <w:proofErr w:type="gramStart"/>
      <w:r w:rsidRPr="006E5ECF">
        <w:rPr>
          <w:rFonts w:ascii="Times New Roman" w:eastAsiaTheme="minorEastAsia" w:hAnsi="Times New Roman" w:cs="Times New Roman"/>
          <w:sz w:val="22"/>
          <w:szCs w:val="22"/>
        </w:rPr>
        <w:t>I(</w:t>
      </w:r>
      <w:proofErr w:type="gramEnd"/>
      <w:r w:rsidRPr="006E5ECF">
        <w:rPr>
          <w:rFonts w:ascii="Times New Roman" w:eastAsiaTheme="minorEastAsia" w:hAnsi="Times New Roman" w:cs="Times New Roman"/>
          <w:sz w:val="22"/>
          <w:szCs w:val="22"/>
        </w:rPr>
        <w:t>1) Processes. The Review of Economic Studies, 57(1), 99–125.</w:t>
      </w:r>
    </w:p>
    <w:p w14:paraId="5DBACE70" w14:textId="0E711E16"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Piddington, K. W. (1990). Third World dilemma: development, environment. Forum for Applied Research &amp;amp; Public Policy, 5(3), 26–29.</w:t>
      </w:r>
    </w:p>
    <w:p w14:paraId="628E84F6"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lastRenderedPageBreak/>
        <w:t xml:space="preserve">Rafiq, S., Salim, R., &amp; Nielsen, I. (2016). Urbanisation, openness, emissions, and energy intensity: A study of increasingly urbanised emerging economies. Energy Economics, 56, 20–28. </w:t>
      </w:r>
      <w:hyperlink r:id="rId56" w:history="1">
        <w:r w:rsidRPr="006E5ECF">
          <w:rPr>
            <w:rFonts w:ascii="Times New Roman" w:hAnsi="Times New Roman" w:cs="Times New Roman"/>
            <w:sz w:val="22"/>
            <w:szCs w:val="22"/>
          </w:rPr>
          <w:t>https://doi.org/10.1016/j.eneco.2016.02.007</w:t>
        </w:r>
      </w:hyperlink>
      <w:r w:rsidRPr="006E5ECF">
        <w:rPr>
          <w:rFonts w:ascii="Times New Roman" w:eastAsiaTheme="minorEastAsia" w:hAnsi="Times New Roman" w:cs="Times New Roman"/>
          <w:sz w:val="22"/>
          <w:szCs w:val="22"/>
        </w:rPr>
        <w:t xml:space="preserve">. </w:t>
      </w:r>
    </w:p>
    <w:p w14:paraId="108FCF40"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Sarkodie, S. A. (2018). The invisible hand and EKC hypothesis: what are the drivers of environmental degradation and pollution in Africa? Environmental Science and Pollution Research, 25(22), 21993–22022. </w:t>
      </w:r>
      <w:hyperlink r:id="rId57" w:history="1">
        <w:r w:rsidRPr="006E5ECF">
          <w:rPr>
            <w:rFonts w:ascii="Times New Roman" w:hAnsi="Times New Roman" w:cs="Times New Roman"/>
            <w:sz w:val="22"/>
            <w:szCs w:val="22"/>
          </w:rPr>
          <w:t>https://doi.org/10.1007/s11356-018-2347-x</w:t>
        </w:r>
      </w:hyperlink>
      <w:r w:rsidRPr="006E5ECF">
        <w:rPr>
          <w:rFonts w:ascii="Times New Roman" w:eastAsiaTheme="minorEastAsia" w:hAnsi="Times New Roman" w:cs="Times New Roman"/>
          <w:sz w:val="22"/>
          <w:szCs w:val="22"/>
        </w:rPr>
        <w:t xml:space="preserve">. </w:t>
      </w:r>
    </w:p>
    <w:p w14:paraId="780E83B8"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Sarkodie, S. A., &amp; </w:t>
      </w:r>
      <w:proofErr w:type="spellStart"/>
      <w:r w:rsidRPr="006E5ECF">
        <w:rPr>
          <w:rFonts w:ascii="Times New Roman" w:eastAsiaTheme="minorEastAsia" w:hAnsi="Times New Roman" w:cs="Times New Roman"/>
          <w:sz w:val="22"/>
          <w:szCs w:val="22"/>
        </w:rPr>
        <w:t>Strezov</w:t>
      </w:r>
      <w:proofErr w:type="spellEnd"/>
      <w:r w:rsidRPr="006E5ECF">
        <w:rPr>
          <w:rFonts w:ascii="Times New Roman" w:eastAsiaTheme="minorEastAsia" w:hAnsi="Times New Roman" w:cs="Times New Roman"/>
          <w:sz w:val="22"/>
          <w:szCs w:val="22"/>
        </w:rPr>
        <w:t xml:space="preserve">, V. (2018). Empirical study of the Environmental Kuznets curve and Environmental Sustainability curve hypothesis for Australia, China, Ghana and USA. Journal of Cleaner Production, 201, 98–110. </w:t>
      </w:r>
      <w:hyperlink r:id="rId58" w:history="1">
        <w:r w:rsidRPr="006E5ECF">
          <w:rPr>
            <w:rFonts w:ascii="Times New Roman" w:hAnsi="Times New Roman" w:cs="Times New Roman"/>
            <w:sz w:val="22"/>
            <w:szCs w:val="22"/>
          </w:rPr>
          <w:t>https://doi.org/10.1016/j.jclepro.2018.08.039</w:t>
        </w:r>
      </w:hyperlink>
      <w:r w:rsidRPr="006E5ECF">
        <w:rPr>
          <w:rFonts w:ascii="Times New Roman" w:eastAsiaTheme="minorEastAsia" w:hAnsi="Times New Roman" w:cs="Times New Roman"/>
          <w:sz w:val="22"/>
          <w:szCs w:val="22"/>
        </w:rPr>
        <w:t xml:space="preserve">. </w:t>
      </w:r>
    </w:p>
    <w:p w14:paraId="5FE00FE5"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Sarkodie, S. A., &amp; </w:t>
      </w:r>
      <w:proofErr w:type="spellStart"/>
      <w:r w:rsidRPr="006E5ECF">
        <w:rPr>
          <w:rFonts w:ascii="Times New Roman" w:eastAsiaTheme="minorEastAsia" w:hAnsi="Times New Roman" w:cs="Times New Roman"/>
          <w:sz w:val="22"/>
          <w:szCs w:val="22"/>
        </w:rPr>
        <w:t>Strezov</w:t>
      </w:r>
      <w:proofErr w:type="spellEnd"/>
      <w:r w:rsidRPr="006E5ECF">
        <w:rPr>
          <w:rFonts w:ascii="Times New Roman" w:eastAsiaTheme="minorEastAsia" w:hAnsi="Times New Roman" w:cs="Times New Roman"/>
          <w:sz w:val="22"/>
          <w:szCs w:val="22"/>
        </w:rPr>
        <w:t xml:space="preserve">, V. (2019). Effect of foreign direct investments, economic development and energy consumption on greenhouse gas emissions in developing countries. Science of the Total Environment, 646, 862–871. </w:t>
      </w:r>
      <w:hyperlink r:id="rId59" w:history="1">
        <w:r w:rsidRPr="006E5ECF">
          <w:rPr>
            <w:rFonts w:ascii="Times New Roman" w:hAnsi="Times New Roman" w:cs="Times New Roman"/>
            <w:sz w:val="22"/>
            <w:szCs w:val="22"/>
          </w:rPr>
          <w:t>https://doi.org/10.1016/j.scitotenv.2018.07.365</w:t>
        </w:r>
      </w:hyperlink>
      <w:r w:rsidRPr="006E5ECF">
        <w:rPr>
          <w:rFonts w:ascii="Times New Roman" w:eastAsiaTheme="minorEastAsia" w:hAnsi="Times New Roman" w:cs="Times New Roman"/>
          <w:sz w:val="22"/>
          <w:szCs w:val="22"/>
        </w:rPr>
        <w:t xml:space="preserve">. </w:t>
      </w:r>
    </w:p>
    <w:p w14:paraId="4D554C58" w14:textId="5EFF8BAE" w:rsidR="00427AB7" w:rsidRPr="006E5ECF" w:rsidRDefault="00DD2155"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Shahbaz, M., Tiwari, A. K., &amp; Nasir, M. (2013). The effects of financial development, economic growth, coal consumption and trade openness on CO2 emissions in South Africa. Energy Policy, 61, 1452–1459.</w:t>
      </w:r>
    </w:p>
    <w:p w14:paraId="31CEAD2B" w14:textId="0CDB1F88"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Shakouri, B., &amp; </w:t>
      </w:r>
      <w:proofErr w:type="spellStart"/>
      <w:r w:rsidRPr="006E5ECF">
        <w:rPr>
          <w:rFonts w:ascii="Times New Roman" w:eastAsiaTheme="minorEastAsia" w:hAnsi="Times New Roman" w:cs="Times New Roman"/>
          <w:sz w:val="22"/>
          <w:szCs w:val="22"/>
        </w:rPr>
        <w:t>Khoshnevis</w:t>
      </w:r>
      <w:proofErr w:type="spellEnd"/>
      <w:r w:rsidRPr="006E5ECF">
        <w:rPr>
          <w:rFonts w:ascii="Times New Roman" w:eastAsiaTheme="minorEastAsia" w:hAnsi="Times New Roman" w:cs="Times New Roman"/>
          <w:sz w:val="22"/>
          <w:szCs w:val="22"/>
        </w:rPr>
        <w:t xml:space="preserve"> </w:t>
      </w:r>
      <w:proofErr w:type="spellStart"/>
      <w:r w:rsidRPr="006E5ECF">
        <w:rPr>
          <w:rFonts w:ascii="Times New Roman" w:eastAsiaTheme="minorEastAsia" w:hAnsi="Times New Roman" w:cs="Times New Roman"/>
          <w:sz w:val="22"/>
          <w:szCs w:val="22"/>
        </w:rPr>
        <w:t>Yazdi</w:t>
      </w:r>
      <w:proofErr w:type="spellEnd"/>
      <w:r w:rsidRPr="006E5ECF">
        <w:rPr>
          <w:rFonts w:ascii="Times New Roman" w:eastAsiaTheme="minorEastAsia" w:hAnsi="Times New Roman" w:cs="Times New Roman"/>
          <w:sz w:val="22"/>
          <w:szCs w:val="22"/>
        </w:rPr>
        <w:t xml:space="preserve">, S. (2017). Causality between renewable energy, energy consumption, and economic growth. Energy Sources, Part B: Economics, Planning and Policy, 12(9), 838–845. </w:t>
      </w:r>
      <w:hyperlink r:id="rId60" w:history="1">
        <w:r w:rsidRPr="006E5ECF">
          <w:rPr>
            <w:rFonts w:ascii="Times New Roman" w:hAnsi="Times New Roman" w:cs="Times New Roman"/>
            <w:sz w:val="22"/>
            <w:szCs w:val="22"/>
          </w:rPr>
          <w:t>https://doi.org/10.1080/15567249.2017.1312640</w:t>
        </w:r>
      </w:hyperlink>
      <w:r w:rsidRPr="006E5ECF">
        <w:rPr>
          <w:rFonts w:ascii="Times New Roman" w:eastAsiaTheme="minorEastAsia" w:hAnsi="Times New Roman" w:cs="Times New Roman"/>
          <w:sz w:val="22"/>
          <w:szCs w:val="22"/>
        </w:rPr>
        <w:t xml:space="preserve">. </w:t>
      </w:r>
    </w:p>
    <w:p w14:paraId="60D61074"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Sheikh, M. A., Malik, M. A., &amp; Masood, R. Z. (2020). Assessing the effects of trade openness on sustainable development: evidence from India. Asian Journal of Sustainability and Social Responsibility, 5(1). </w:t>
      </w:r>
      <w:hyperlink r:id="rId61" w:history="1">
        <w:r w:rsidRPr="006E5ECF">
          <w:rPr>
            <w:rFonts w:ascii="Times New Roman" w:hAnsi="Times New Roman" w:cs="Times New Roman"/>
            <w:sz w:val="22"/>
            <w:szCs w:val="22"/>
          </w:rPr>
          <w:t>https://doi.org/10.1186/s41180-019-0030-x</w:t>
        </w:r>
      </w:hyperlink>
      <w:r w:rsidRPr="006E5ECF">
        <w:rPr>
          <w:rFonts w:ascii="Times New Roman" w:eastAsiaTheme="minorEastAsia" w:hAnsi="Times New Roman" w:cs="Times New Roman"/>
          <w:sz w:val="22"/>
          <w:szCs w:val="22"/>
        </w:rPr>
        <w:t xml:space="preserve">. </w:t>
      </w:r>
    </w:p>
    <w:p w14:paraId="0F421713"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Staniškis, J. K. (2020). Future is now: science for achieving sustainable development– the global sustainable development report 2019. In G. Zilahy (Ed.), sustainability in transforming societies: proceedings of the 26th annual conference of the international sustainable development research society (ISDRS 2020) (pp. 831–839). Budapest University of Technology and Economics.</w:t>
      </w:r>
    </w:p>
    <w:p w14:paraId="01E455BA" w14:textId="3EF07B2B" w:rsidR="00DD2155" w:rsidRPr="006E5ECF" w:rsidRDefault="00DD2155"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lastRenderedPageBreak/>
        <w:t xml:space="preserve">Stock, J. H., &amp; Watson, M. W. (1993). A Simple Estimator of Cointegrating Vectors in Higher Order Integrated Systems. </w:t>
      </w:r>
      <w:proofErr w:type="spellStart"/>
      <w:r w:rsidRPr="006E5ECF">
        <w:rPr>
          <w:rFonts w:ascii="Times New Roman" w:eastAsiaTheme="minorEastAsia" w:hAnsi="Times New Roman" w:cs="Times New Roman"/>
          <w:sz w:val="22"/>
          <w:szCs w:val="22"/>
        </w:rPr>
        <w:t>Econometrica</w:t>
      </w:r>
      <w:proofErr w:type="spellEnd"/>
      <w:r w:rsidRPr="006E5ECF">
        <w:rPr>
          <w:rFonts w:ascii="Times New Roman" w:eastAsiaTheme="minorEastAsia" w:hAnsi="Times New Roman" w:cs="Times New Roman"/>
          <w:sz w:val="22"/>
          <w:szCs w:val="22"/>
        </w:rPr>
        <w:t>, 61(4), 783–820.</w:t>
      </w:r>
    </w:p>
    <w:p w14:paraId="17BC1B62" w14:textId="539B75DA" w:rsidR="00406622" w:rsidRPr="006E5ECF" w:rsidRDefault="00406622"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Tamazian</w:t>
      </w:r>
      <w:proofErr w:type="spellEnd"/>
      <w:r w:rsidRPr="006E5ECF">
        <w:rPr>
          <w:rFonts w:ascii="Times New Roman" w:eastAsiaTheme="minorEastAsia" w:hAnsi="Times New Roman" w:cs="Times New Roman"/>
          <w:sz w:val="22"/>
          <w:szCs w:val="22"/>
        </w:rPr>
        <w:t>, A., &amp; Rao, B. B. (2010). Do economic, financial and institutional developments matter for environmental degradation? Evidence from transitional economies. Energy Economics, 32(1), 137–145.</w:t>
      </w:r>
    </w:p>
    <w:p w14:paraId="757BDAB6" w14:textId="75F6CA4E"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Tecel</w:t>
      </w:r>
      <w:proofErr w:type="spellEnd"/>
      <w:r w:rsidRPr="006E5ECF">
        <w:rPr>
          <w:rFonts w:ascii="Times New Roman" w:eastAsiaTheme="minorEastAsia" w:hAnsi="Times New Roman" w:cs="Times New Roman"/>
          <w:sz w:val="22"/>
          <w:szCs w:val="22"/>
        </w:rPr>
        <w:t xml:space="preserve">, A., </w:t>
      </w:r>
      <w:proofErr w:type="spellStart"/>
      <w:r w:rsidRPr="006E5ECF">
        <w:rPr>
          <w:rFonts w:ascii="Times New Roman" w:eastAsiaTheme="minorEastAsia" w:hAnsi="Times New Roman" w:cs="Times New Roman"/>
          <w:sz w:val="22"/>
          <w:szCs w:val="22"/>
        </w:rPr>
        <w:t>Katircioğlu</w:t>
      </w:r>
      <w:proofErr w:type="spellEnd"/>
      <w:r w:rsidRPr="006E5ECF">
        <w:rPr>
          <w:rFonts w:ascii="Times New Roman" w:eastAsiaTheme="minorEastAsia" w:hAnsi="Times New Roman" w:cs="Times New Roman"/>
          <w:sz w:val="22"/>
          <w:szCs w:val="22"/>
        </w:rPr>
        <w:t xml:space="preserve">, S., Taheri, E., &amp; Victor Bekun, F. (2020). Causal interactions among tourism, foreign direct investment, domestic credits, and economic growth: evidence from selected Mediterranean countries. Portuguese Economic Journal, 19(3), 195–212. </w:t>
      </w:r>
      <w:hyperlink r:id="rId62" w:history="1">
        <w:r w:rsidRPr="006E5ECF">
          <w:rPr>
            <w:rFonts w:ascii="Times New Roman" w:hAnsi="Times New Roman" w:cs="Times New Roman"/>
            <w:sz w:val="22"/>
            <w:szCs w:val="22"/>
          </w:rPr>
          <w:t>https://doi.org/10.1007/s10258-020-00181-5</w:t>
        </w:r>
      </w:hyperlink>
      <w:r w:rsidRPr="006E5ECF">
        <w:rPr>
          <w:rFonts w:ascii="Times New Roman" w:eastAsiaTheme="minorEastAsia" w:hAnsi="Times New Roman" w:cs="Times New Roman"/>
          <w:sz w:val="22"/>
          <w:szCs w:val="22"/>
        </w:rPr>
        <w:t xml:space="preserve">.  </w:t>
      </w:r>
    </w:p>
    <w:p w14:paraId="2B827BC5"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Udi, J., </w:t>
      </w:r>
      <w:proofErr w:type="spellStart"/>
      <w:r w:rsidRPr="006E5ECF">
        <w:rPr>
          <w:rFonts w:ascii="Times New Roman" w:eastAsiaTheme="minorEastAsia" w:hAnsi="Times New Roman" w:cs="Times New Roman"/>
          <w:sz w:val="22"/>
          <w:szCs w:val="22"/>
        </w:rPr>
        <w:t>Bekun</w:t>
      </w:r>
      <w:proofErr w:type="spellEnd"/>
      <w:r w:rsidRPr="006E5ECF">
        <w:rPr>
          <w:rFonts w:ascii="Times New Roman" w:eastAsiaTheme="minorEastAsia" w:hAnsi="Times New Roman" w:cs="Times New Roman"/>
          <w:sz w:val="22"/>
          <w:szCs w:val="22"/>
        </w:rPr>
        <w:t xml:space="preserve">, F. V., &amp; Adedoyin, F. F. (2020). </w:t>
      </w:r>
      <w:proofErr w:type="spellStart"/>
      <w:r w:rsidRPr="006E5ECF">
        <w:rPr>
          <w:rFonts w:ascii="Times New Roman" w:eastAsiaTheme="minorEastAsia" w:hAnsi="Times New Roman" w:cs="Times New Roman"/>
          <w:sz w:val="22"/>
          <w:szCs w:val="22"/>
        </w:rPr>
        <w:t>Modeling</w:t>
      </w:r>
      <w:proofErr w:type="spellEnd"/>
      <w:r w:rsidRPr="006E5ECF">
        <w:rPr>
          <w:rFonts w:ascii="Times New Roman" w:eastAsiaTheme="minorEastAsia" w:hAnsi="Times New Roman" w:cs="Times New Roman"/>
          <w:sz w:val="22"/>
          <w:szCs w:val="22"/>
        </w:rPr>
        <w:t xml:space="preserve"> the nexus between coal consumption, FDI inflow and economic expansion: does industrialisation matter in South Africa? Environmental Science and Pollution Research, 27(10), 10553–10564. </w:t>
      </w:r>
      <w:hyperlink r:id="rId63" w:history="1">
        <w:r w:rsidRPr="006E5ECF">
          <w:rPr>
            <w:rFonts w:ascii="Times New Roman" w:hAnsi="Times New Roman" w:cs="Times New Roman"/>
            <w:sz w:val="22"/>
            <w:szCs w:val="22"/>
          </w:rPr>
          <w:t>https://doi.org/10.1007/s11356-020-07691-x</w:t>
        </w:r>
      </w:hyperlink>
      <w:r w:rsidRPr="006E5ECF">
        <w:rPr>
          <w:rFonts w:ascii="Times New Roman" w:eastAsiaTheme="minorEastAsia" w:hAnsi="Times New Roman" w:cs="Times New Roman"/>
          <w:sz w:val="22"/>
          <w:szCs w:val="22"/>
        </w:rPr>
        <w:t xml:space="preserve">.  </w:t>
      </w:r>
    </w:p>
    <w:p w14:paraId="47D2ED96"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proofErr w:type="spellStart"/>
      <w:r w:rsidRPr="006E5ECF">
        <w:rPr>
          <w:rFonts w:ascii="Times New Roman" w:eastAsiaTheme="minorEastAsia" w:hAnsi="Times New Roman" w:cs="Times New Roman"/>
          <w:sz w:val="22"/>
          <w:szCs w:val="22"/>
        </w:rPr>
        <w:t>Vitenu</w:t>
      </w:r>
      <w:proofErr w:type="spellEnd"/>
      <w:r w:rsidRPr="006E5ECF">
        <w:rPr>
          <w:rFonts w:ascii="Times New Roman" w:eastAsiaTheme="minorEastAsia" w:hAnsi="Times New Roman" w:cs="Times New Roman"/>
          <w:sz w:val="22"/>
          <w:szCs w:val="22"/>
        </w:rPr>
        <w:t xml:space="preserve">-Sackey, P. A., &amp; Barfi, R. (2021). The Impact of Covid-19 Pandemic on the Global Economy: Emphasis on Poverty Alleviation and Economic Growth. The Economics and Finance Letters, 8(1), 32–43. </w:t>
      </w:r>
      <w:hyperlink r:id="rId64" w:history="1">
        <w:r w:rsidRPr="006E5ECF">
          <w:rPr>
            <w:rFonts w:ascii="Times New Roman" w:hAnsi="Times New Roman" w:cs="Times New Roman"/>
            <w:sz w:val="22"/>
            <w:szCs w:val="22"/>
          </w:rPr>
          <w:t>https://doi.org/10.18488/journal.29.2021.81.32.43</w:t>
        </w:r>
      </w:hyperlink>
      <w:r w:rsidRPr="006E5ECF">
        <w:rPr>
          <w:rFonts w:ascii="Times New Roman" w:eastAsiaTheme="minorEastAsia" w:hAnsi="Times New Roman" w:cs="Times New Roman"/>
          <w:sz w:val="22"/>
          <w:szCs w:val="22"/>
        </w:rPr>
        <w:t xml:space="preserve">. </w:t>
      </w:r>
    </w:p>
    <w:p w14:paraId="01F1761A"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Were, M. (2015). Differential effects of trade on economic growth and investment: A cross-country empirical investigation</w:t>
      </w:r>
      <w:r w:rsidRPr="006E5ECF">
        <w:rPr>
          <w:rFonts w:ascii="Segoe UI Symbol" w:eastAsiaTheme="minorEastAsia" w:hAnsi="Segoe UI Symbol" w:cs="Segoe UI Symbol"/>
          <w:sz w:val="22"/>
          <w:szCs w:val="22"/>
        </w:rPr>
        <w:t>☆</w:t>
      </w:r>
      <w:r w:rsidRPr="006E5ECF">
        <w:rPr>
          <w:rFonts w:ascii="Times New Roman" w:eastAsiaTheme="minorEastAsia" w:hAnsi="Times New Roman" w:cs="Times New Roman"/>
          <w:sz w:val="22"/>
          <w:szCs w:val="22"/>
        </w:rPr>
        <w:t xml:space="preserve">. Journal of African Trade, 2(1–2), 71. </w:t>
      </w:r>
      <w:hyperlink r:id="rId65" w:history="1">
        <w:r w:rsidRPr="006E5ECF">
          <w:rPr>
            <w:rFonts w:ascii="Times New Roman" w:hAnsi="Times New Roman" w:cs="Times New Roman"/>
            <w:sz w:val="22"/>
            <w:szCs w:val="22"/>
          </w:rPr>
          <w:t>https://doi.org/10.1016/j.joat.2015.08.002</w:t>
        </w:r>
      </w:hyperlink>
      <w:r w:rsidRPr="006E5ECF">
        <w:rPr>
          <w:rFonts w:ascii="Times New Roman" w:eastAsiaTheme="minorEastAsia" w:hAnsi="Times New Roman" w:cs="Times New Roman"/>
          <w:sz w:val="22"/>
          <w:szCs w:val="22"/>
        </w:rPr>
        <w:t xml:space="preserve">. </w:t>
      </w:r>
    </w:p>
    <w:p w14:paraId="274C786C"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World Economic Forum. (2021). The Global Risks Report 2021: 16th Edition. In Weforum.Org. </w:t>
      </w:r>
      <w:hyperlink r:id="rId66" w:history="1">
        <w:r w:rsidRPr="006E5ECF">
          <w:rPr>
            <w:rFonts w:ascii="Times New Roman" w:hAnsi="Times New Roman" w:cs="Times New Roman"/>
            <w:sz w:val="22"/>
            <w:szCs w:val="22"/>
          </w:rPr>
          <w:t>http://www3.weforum.org/docs/WEF_The_Global_Risks_Report_2021.pdf</w:t>
        </w:r>
      </w:hyperlink>
      <w:r w:rsidRPr="006E5ECF">
        <w:rPr>
          <w:rFonts w:ascii="Times New Roman" w:eastAsiaTheme="minorEastAsia" w:hAnsi="Times New Roman" w:cs="Times New Roman"/>
          <w:sz w:val="22"/>
          <w:szCs w:val="22"/>
        </w:rPr>
        <w:t xml:space="preserve">. </w:t>
      </w:r>
    </w:p>
    <w:p w14:paraId="08138C64" w14:textId="77777777" w:rsidR="000A5D73"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 xml:space="preserve">Yang, B., </w:t>
      </w:r>
      <w:proofErr w:type="spellStart"/>
      <w:r w:rsidRPr="006E5ECF">
        <w:rPr>
          <w:rFonts w:ascii="Times New Roman" w:eastAsiaTheme="minorEastAsia" w:hAnsi="Times New Roman" w:cs="Times New Roman"/>
          <w:sz w:val="22"/>
          <w:szCs w:val="22"/>
        </w:rPr>
        <w:t>Jahanger</w:t>
      </w:r>
      <w:proofErr w:type="spellEnd"/>
      <w:r w:rsidRPr="006E5ECF">
        <w:rPr>
          <w:rFonts w:ascii="Times New Roman" w:eastAsiaTheme="minorEastAsia" w:hAnsi="Times New Roman" w:cs="Times New Roman"/>
          <w:sz w:val="22"/>
          <w:szCs w:val="22"/>
        </w:rPr>
        <w:t xml:space="preserve">, A., Usman, M., &amp; Khan, M. A. (2021). The dynamic linkage between globalisation, financial development, energy utilisation, and environmental sustainability in GCC countries. Environmental Science and Pollution Research, 28(13), 16568–16588. </w:t>
      </w:r>
      <w:hyperlink r:id="rId67" w:history="1">
        <w:r w:rsidRPr="006E5ECF">
          <w:rPr>
            <w:rFonts w:ascii="Times New Roman" w:hAnsi="Times New Roman" w:cs="Times New Roman"/>
            <w:sz w:val="22"/>
            <w:szCs w:val="22"/>
          </w:rPr>
          <w:t>https://doi.org/10.1007/s11356-020-11576-4</w:t>
        </w:r>
      </w:hyperlink>
      <w:r w:rsidRPr="006E5ECF">
        <w:rPr>
          <w:rFonts w:ascii="Times New Roman" w:eastAsiaTheme="minorEastAsia" w:hAnsi="Times New Roman" w:cs="Times New Roman"/>
          <w:sz w:val="22"/>
          <w:szCs w:val="22"/>
        </w:rPr>
        <w:t xml:space="preserve">. </w:t>
      </w:r>
    </w:p>
    <w:p w14:paraId="1A4A6408" w14:textId="5921FDD4" w:rsidR="00EC3518" w:rsidRPr="006E5ECF" w:rsidRDefault="000A5D73"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lastRenderedPageBreak/>
        <w:t xml:space="preserve">Zhang, Q., Naqvi, S. A. A., &amp; Shah, S. A. R. (2021). The contribution of outward foreign direct investment, human well-being, and technology toward a sustainable environment. Sustainability (Switzerland), 13(20). </w:t>
      </w:r>
      <w:hyperlink r:id="rId68" w:history="1">
        <w:r w:rsidRPr="006E5ECF">
          <w:rPr>
            <w:rFonts w:ascii="Times New Roman" w:eastAsiaTheme="minorEastAsia" w:hAnsi="Times New Roman" w:cs="Times New Roman"/>
            <w:sz w:val="22"/>
            <w:szCs w:val="22"/>
          </w:rPr>
          <w:t>https://doi.org/10.3390/su132011430</w:t>
        </w:r>
      </w:hyperlink>
      <w:r w:rsidRPr="006E5ECF">
        <w:rPr>
          <w:rFonts w:ascii="Times New Roman" w:eastAsiaTheme="minorEastAsia" w:hAnsi="Times New Roman" w:cs="Times New Roman"/>
          <w:sz w:val="22"/>
          <w:szCs w:val="22"/>
        </w:rPr>
        <w:t>.</w:t>
      </w:r>
    </w:p>
    <w:p w14:paraId="38085E2C" w14:textId="3A92C02B" w:rsidR="00406622" w:rsidRPr="006E5ECF" w:rsidRDefault="00406622" w:rsidP="001E515E">
      <w:pPr>
        <w:pStyle w:val="ListParagraph"/>
        <w:numPr>
          <w:ilvl w:val="0"/>
          <w:numId w:val="5"/>
        </w:numPr>
        <w:tabs>
          <w:tab w:val="left" w:pos="2024"/>
        </w:tabs>
        <w:spacing w:line="480" w:lineRule="auto"/>
        <w:jc w:val="both"/>
        <w:rPr>
          <w:rFonts w:ascii="Times New Roman" w:eastAsiaTheme="minorEastAsia" w:hAnsi="Times New Roman" w:cs="Times New Roman"/>
          <w:sz w:val="22"/>
          <w:szCs w:val="22"/>
        </w:rPr>
      </w:pPr>
      <w:r w:rsidRPr="006E5ECF">
        <w:rPr>
          <w:rFonts w:ascii="Times New Roman" w:eastAsiaTheme="minorEastAsia" w:hAnsi="Times New Roman" w:cs="Times New Roman"/>
          <w:sz w:val="22"/>
          <w:szCs w:val="22"/>
        </w:rPr>
        <w:t>Zhao, J., &amp; Yang, L. (2020). The Impact of Foreign Direct Investment on Environmental Pollution in China: Corruption Matters. International Journal of Environmental Research and Public Health, 17(18), 6477.</w:t>
      </w:r>
    </w:p>
    <w:sectPr w:rsidR="00406622" w:rsidRPr="006E5E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46F04" w14:textId="77777777" w:rsidR="00DA0A2E" w:rsidRDefault="00DA0A2E" w:rsidP="0010740F">
      <w:r>
        <w:separator/>
      </w:r>
    </w:p>
  </w:endnote>
  <w:endnote w:type="continuationSeparator" w:id="0">
    <w:p w14:paraId="1793F9B4" w14:textId="77777777" w:rsidR="00DA0A2E" w:rsidRDefault="00DA0A2E" w:rsidP="0010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277CF" w14:textId="77777777" w:rsidR="00DA0A2E" w:rsidRDefault="00DA0A2E" w:rsidP="0010740F">
      <w:r>
        <w:separator/>
      </w:r>
    </w:p>
  </w:footnote>
  <w:footnote w:type="continuationSeparator" w:id="0">
    <w:p w14:paraId="4CA40287" w14:textId="77777777" w:rsidR="00DA0A2E" w:rsidRDefault="00DA0A2E" w:rsidP="0010740F">
      <w:r>
        <w:continuationSeparator/>
      </w:r>
    </w:p>
  </w:footnote>
  <w:footnote w:id="1">
    <w:p w14:paraId="580C070D" w14:textId="2357F79C" w:rsidR="0010740F" w:rsidRPr="0010740F" w:rsidRDefault="0010740F" w:rsidP="0010740F">
      <w:pPr>
        <w:pStyle w:val="FootnoteText"/>
        <w:jc w:val="both"/>
        <w:rPr>
          <w:rFonts w:ascii="Times New Roman" w:hAnsi="Times New Roman" w:cs="Times New Roman"/>
          <w:lang w:val="en-US"/>
        </w:rPr>
      </w:pPr>
      <w:r w:rsidRPr="0010740F">
        <w:rPr>
          <w:rStyle w:val="FootnoteReference"/>
          <w:rFonts w:ascii="Times New Roman" w:hAnsi="Times New Roman" w:cs="Times New Roman"/>
        </w:rPr>
        <w:footnoteRef/>
      </w:r>
      <w:r w:rsidRPr="0010740F">
        <w:rPr>
          <w:rFonts w:ascii="Times New Roman" w:hAnsi="Times New Roman" w:cs="Times New Roman"/>
        </w:rPr>
        <w:t xml:space="preserve"> This relationship reflects standard macroeconomic growth models where capital inflows (FDI) and the concentration of </w:t>
      </w:r>
      <w:r w:rsidR="00F16C19" w:rsidRPr="0010740F">
        <w:rPr>
          <w:rFonts w:ascii="Times New Roman" w:hAnsi="Times New Roman" w:cs="Times New Roman"/>
        </w:rPr>
        <w:t>labour</w:t>
      </w:r>
      <w:r w:rsidRPr="0010740F">
        <w:rPr>
          <w:rFonts w:ascii="Times New Roman" w:hAnsi="Times New Roman" w:cs="Times New Roman"/>
        </w:rPr>
        <w:t xml:space="preserve"> and markets (Urbani</w:t>
      </w:r>
      <w:r w:rsidR="00F16C19">
        <w:rPr>
          <w:rFonts w:ascii="Times New Roman" w:hAnsi="Times New Roman" w:cs="Times New Roman"/>
        </w:rPr>
        <w:t>s</w:t>
      </w:r>
      <w:r w:rsidRPr="0010740F">
        <w:rPr>
          <w:rFonts w:ascii="Times New Roman" w:hAnsi="Times New Roman" w:cs="Times New Roman"/>
        </w:rPr>
        <w:t>ation) are key inputs for GDP. The link between industriali</w:t>
      </w:r>
      <w:r w:rsidR="00F16C19">
        <w:rPr>
          <w:rFonts w:ascii="Times New Roman" w:hAnsi="Times New Roman" w:cs="Times New Roman"/>
        </w:rPr>
        <w:t>s</w:t>
      </w:r>
      <w:r w:rsidRPr="0010740F">
        <w:rPr>
          <w:rFonts w:ascii="Times New Roman" w:hAnsi="Times New Roman" w:cs="Times New Roman"/>
        </w:rPr>
        <w:t>ation and energy demand is a foundational concept in energy economics.</w:t>
      </w:r>
    </w:p>
  </w:footnote>
  <w:footnote w:id="2">
    <w:p w14:paraId="039EE095" w14:textId="4D0A7C7F" w:rsidR="00697A0D" w:rsidRPr="00697A0D" w:rsidRDefault="00697A0D" w:rsidP="00697A0D">
      <w:pPr>
        <w:pStyle w:val="FootnoteText"/>
        <w:jc w:val="both"/>
        <w:rPr>
          <w:rFonts w:ascii="Times New Roman" w:hAnsi="Times New Roman" w:cs="Times New Roman"/>
          <w:lang w:val="en-US"/>
        </w:rPr>
      </w:pPr>
      <w:r w:rsidRPr="00697A0D">
        <w:rPr>
          <w:rStyle w:val="FootnoteReference"/>
          <w:rFonts w:ascii="Times New Roman" w:hAnsi="Times New Roman" w:cs="Times New Roman"/>
        </w:rPr>
        <w:footnoteRef/>
      </w:r>
      <w:r w:rsidRPr="00697A0D">
        <w:rPr>
          <w:rFonts w:ascii="Times New Roman" w:hAnsi="Times New Roman" w:cs="Times New Roman"/>
        </w:rPr>
        <w:t xml:space="preserve"> The </w:t>
      </w:r>
      <w:r w:rsidR="00C829FD">
        <w:rPr>
          <w:rFonts w:ascii="Times New Roman" w:hAnsi="Times New Roman" w:cs="Times New Roman"/>
        </w:rPr>
        <w:t>“</w:t>
      </w:r>
      <w:r w:rsidRPr="00697A0D">
        <w:rPr>
          <w:rFonts w:ascii="Times New Roman" w:hAnsi="Times New Roman" w:cs="Times New Roman"/>
        </w:rPr>
        <w:t>Provides Capital</w:t>
      </w:r>
      <w:r w:rsidR="00C829FD">
        <w:rPr>
          <w:rFonts w:ascii="Times New Roman" w:hAnsi="Times New Roman" w:cs="Times New Roman"/>
        </w:rPr>
        <w:t>”</w:t>
      </w:r>
      <w:r w:rsidRPr="00697A0D">
        <w:rPr>
          <w:rFonts w:ascii="Times New Roman" w:hAnsi="Times New Roman" w:cs="Times New Roman"/>
        </w:rPr>
        <w:t xml:space="preserve"> node, stemming from FDI, highlights the direct financial mechanism of this driver. This link emphasi</w:t>
      </w:r>
      <w:r w:rsidR="00C829FD">
        <w:rPr>
          <w:rFonts w:ascii="Times New Roman" w:hAnsi="Times New Roman" w:cs="Times New Roman"/>
        </w:rPr>
        <w:t>s</w:t>
      </w:r>
      <w:r w:rsidRPr="00697A0D">
        <w:rPr>
          <w:rFonts w:ascii="Times New Roman" w:hAnsi="Times New Roman" w:cs="Times New Roman"/>
        </w:rPr>
        <w:t>es its most direct impact: injecting the financial resources necessary for capital formation, which is a primary component of GDP growth.</w:t>
      </w:r>
    </w:p>
  </w:footnote>
  <w:footnote w:id="3">
    <w:p w14:paraId="4BC0406C" w14:textId="4E1AB91A" w:rsidR="00FD5B39" w:rsidRPr="00187C70" w:rsidRDefault="00FD5B39" w:rsidP="00187C70">
      <w:pPr>
        <w:pStyle w:val="FootnoteText"/>
        <w:jc w:val="both"/>
        <w:rPr>
          <w:rFonts w:ascii="Times New Roman" w:hAnsi="Times New Roman" w:cs="Times New Roman"/>
          <w:lang w:val="en-US"/>
        </w:rPr>
      </w:pPr>
      <w:r w:rsidRPr="00187C70">
        <w:rPr>
          <w:rStyle w:val="FootnoteReference"/>
          <w:rFonts w:ascii="Times New Roman" w:hAnsi="Times New Roman" w:cs="Times New Roman"/>
        </w:rPr>
        <w:footnoteRef/>
      </w:r>
      <w:r w:rsidRPr="00187C70">
        <w:rPr>
          <w:rFonts w:ascii="Times New Roman" w:hAnsi="Times New Roman" w:cs="Times New Roman"/>
        </w:rPr>
        <w:t xml:space="preserve"> </w:t>
      </w:r>
      <w:r w:rsidR="00FA3BC9">
        <w:rPr>
          <w:rFonts w:ascii="Times New Roman" w:hAnsi="Times New Roman" w:cs="Times New Roman"/>
        </w:rPr>
        <w:t>“</w:t>
      </w:r>
      <w:r w:rsidR="00187C70" w:rsidRPr="00187C70">
        <w:rPr>
          <w:rFonts w:ascii="Times New Roman" w:hAnsi="Times New Roman" w:cs="Times New Roman"/>
        </w:rPr>
        <w:t>EKC</w:t>
      </w:r>
      <w:r w:rsidR="00FA3BC9">
        <w:rPr>
          <w:rFonts w:ascii="Times New Roman" w:hAnsi="Times New Roman" w:cs="Times New Roman"/>
        </w:rPr>
        <w:t>”</w:t>
      </w:r>
      <w:r w:rsidR="00187C70" w:rsidRPr="00187C70">
        <w:rPr>
          <w:rFonts w:ascii="Times New Roman" w:hAnsi="Times New Roman" w:cs="Times New Roman"/>
        </w:rPr>
        <w:t xml:space="preserve"> stands for the Environmental Kuznets Curve. This hypothesis posits that as an economy grows, environmental degradation first increases but then, after a certain income level, begins to decrease. This </w:t>
      </w:r>
      <w:r w:rsidR="00FA3BC9">
        <w:rPr>
          <w:rFonts w:ascii="Times New Roman" w:hAnsi="Times New Roman" w:cs="Times New Roman"/>
        </w:rPr>
        <w:t>“</w:t>
      </w:r>
      <w:r w:rsidR="00187C70" w:rsidRPr="00187C70">
        <w:rPr>
          <w:rFonts w:ascii="Times New Roman" w:hAnsi="Times New Roman" w:cs="Times New Roman"/>
        </w:rPr>
        <w:t>turning point</w:t>
      </w:r>
      <w:r w:rsidR="00FA3BC9">
        <w:rPr>
          <w:rFonts w:ascii="Times New Roman" w:hAnsi="Times New Roman" w:cs="Times New Roman"/>
        </w:rPr>
        <w:t>”</w:t>
      </w:r>
      <w:r w:rsidR="00187C70" w:rsidRPr="00187C70">
        <w:rPr>
          <w:rFonts w:ascii="Times New Roman" w:hAnsi="Times New Roman" w:cs="Times New Roman"/>
        </w:rPr>
        <w:t xml:space="preserve"> is reached because a wealthier society has the resources and the </w:t>
      </w:r>
      <w:r w:rsidR="00FA3BC9">
        <w:rPr>
          <w:rFonts w:ascii="Times New Roman" w:hAnsi="Times New Roman" w:cs="Times New Roman"/>
        </w:rPr>
        <w:t>“</w:t>
      </w:r>
      <w:r w:rsidR="00187C70" w:rsidRPr="00187C70">
        <w:rPr>
          <w:rFonts w:ascii="Times New Roman" w:hAnsi="Times New Roman" w:cs="Times New Roman"/>
        </w:rPr>
        <w:t>Political Will</w:t>
      </w:r>
      <w:r w:rsidR="00FA3BC9">
        <w:rPr>
          <w:rFonts w:ascii="Times New Roman" w:hAnsi="Times New Roman" w:cs="Times New Roman"/>
        </w:rPr>
        <w:t>”</w:t>
      </w:r>
      <w:r w:rsidR="00187C70" w:rsidRPr="00187C70">
        <w:rPr>
          <w:rFonts w:ascii="Times New Roman" w:hAnsi="Times New Roman" w:cs="Times New Roman"/>
        </w:rPr>
        <w:t xml:space="preserve"> to demand and fund pro-environmental policies.</w:t>
      </w:r>
    </w:p>
  </w:footnote>
  <w:footnote w:id="4">
    <w:p w14:paraId="165707B5" w14:textId="78FA4D35" w:rsidR="00C15AB3" w:rsidRPr="00C15AB3" w:rsidRDefault="00C15AB3" w:rsidP="00C15AB3">
      <w:pPr>
        <w:pStyle w:val="FootnoteText"/>
        <w:jc w:val="both"/>
        <w:rPr>
          <w:rFonts w:ascii="Times New Roman" w:hAnsi="Times New Roman" w:cs="Times New Roman"/>
          <w:lang w:val="en-US"/>
        </w:rPr>
      </w:pPr>
      <w:r w:rsidRPr="00C15AB3">
        <w:rPr>
          <w:rStyle w:val="FootnoteReference"/>
          <w:rFonts w:ascii="Times New Roman" w:hAnsi="Times New Roman" w:cs="Times New Roman"/>
        </w:rPr>
        <w:footnoteRef/>
      </w:r>
      <w:r w:rsidRPr="00C15AB3">
        <w:rPr>
          <w:rFonts w:ascii="Times New Roman" w:hAnsi="Times New Roman" w:cs="Times New Roman"/>
        </w:rPr>
        <w:t xml:space="preserve"> </w:t>
      </w:r>
      <w:r w:rsidR="00FA3BC9">
        <w:rPr>
          <w:rFonts w:ascii="Times New Roman" w:hAnsi="Times New Roman" w:cs="Times New Roman"/>
        </w:rPr>
        <w:t>“</w:t>
      </w:r>
      <w:r w:rsidRPr="00C15AB3">
        <w:rPr>
          <w:rFonts w:ascii="Times New Roman" w:hAnsi="Times New Roman" w:cs="Times New Roman"/>
        </w:rPr>
        <w:t>HALO/HAVEN</w:t>
      </w:r>
      <w:r w:rsidR="00FA3BC9">
        <w:rPr>
          <w:rFonts w:ascii="Times New Roman" w:hAnsi="Times New Roman" w:cs="Times New Roman"/>
        </w:rPr>
        <w:t>”</w:t>
      </w:r>
      <w:r w:rsidRPr="00C15AB3">
        <w:rPr>
          <w:rFonts w:ascii="Times New Roman" w:hAnsi="Times New Roman" w:cs="Times New Roman"/>
        </w:rPr>
        <w:t xml:space="preserve"> refers to the </w:t>
      </w:r>
      <w:r w:rsidR="00FA3BC9">
        <w:rPr>
          <w:rFonts w:ascii="Times New Roman" w:hAnsi="Times New Roman" w:cs="Times New Roman"/>
        </w:rPr>
        <w:t>“</w:t>
      </w:r>
      <w:r w:rsidRPr="00C15AB3">
        <w:rPr>
          <w:rFonts w:ascii="Times New Roman" w:hAnsi="Times New Roman" w:cs="Times New Roman"/>
        </w:rPr>
        <w:t>Pollution Halo</w:t>
      </w:r>
      <w:r w:rsidR="00FA3BC9">
        <w:rPr>
          <w:rFonts w:ascii="Times New Roman" w:hAnsi="Times New Roman" w:cs="Times New Roman"/>
        </w:rPr>
        <w:t>”</w:t>
      </w:r>
      <w:r w:rsidRPr="00C15AB3">
        <w:rPr>
          <w:rFonts w:ascii="Times New Roman" w:hAnsi="Times New Roman" w:cs="Times New Roman"/>
        </w:rPr>
        <w:t xml:space="preserve"> vs. </w:t>
      </w:r>
      <w:r w:rsidR="00FA3BC9">
        <w:rPr>
          <w:rFonts w:ascii="Times New Roman" w:hAnsi="Times New Roman" w:cs="Times New Roman"/>
        </w:rPr>
        <w:t>“</w:t>
      </w:r>
      <w:r w:rsidRPr="00C15AB3">
        <w:rPr>
          <w:rFonts w:ascii="Times New Roman" w:hAnsi="Times New Roman" w:cs="Times New Roman"/>
        </w:rPr>
        <w:t>Pollution Haven</w:t>
      </w:r>
      <w:r w:rsidR="00FA3BC9">
        <w:rPr>
          <w:rFonts w:ascii="Times New Roman" w:hAnsi="Times New Roman" w:cs="Times New Roman"/>
        </w:rPr>
        <w:t>”</w:t>
      </w:r>
      <w:r w:rsidRPr="00C15AB3">
        <w:rPr>
          <w:rFonts w:ascii="Times New Roman" w:hAnsi="Times New Roman" w:cs="Times New Roman"/>
        </w:rPr>
        <w:t xml:space="preserve"> hypotheses. The </w:t>
      </w:r>
      <w:r w:rsidR="00FA3BC9">
        <w:rPr>
          <w:rFonts w:ascii="Times New Roman" w:hAnsi="Times New Roman" w:cs="Times New Roman"/>
        </w:rPr>
        <w:t>“</w:t>
      </w:r>
      <w:r w:rsidRPr="00C15AB3">
        <w:rPr>
          <w:rFonts w:ascii="Times New Roman" w:hAnsi="Times New Roman" w:cs="Times New Roman"/>
        </w:rPr>
        <w:t>Haven</w:t>
      </w:r>
      <w:r w:rsidR="00FA3BC9">
        <w:rPr>
          <w:rFonts w:ascii="Times New Roman" w:hAnsi="Times New Roman" w:cs="Times New Roman"/>
        </w:rPr>
        <w:t>”</w:t>
      </w:r>
      <w:r w:rsidRPr="00C15AB3">
        <w:rPr>
          <w:rFonts w:ascii="Times New Roman" w:hAnsi="Times New Roman" w:cs="Times New Roman"/>
        </w:rPr>
        <w:t xml:space="preserve"> hypothesis suggests FDI is drawn to weak environmental laws, bringing polluting tech. The </w:t>
      </w:r>
      <w:r w:rsidR="00FA3BC9">
        <w:rPr>
          <w:rFonts w:ascii="Times New Roman" w:hAnsi="Times New Roman" w:cs="Times New Roman"/>
        </w:rPr>
        <w:t>“</w:t>
      </w:r>
      <w:r w:rsidRPr="00C15AB3">
        <w:rPr>
          <w:rFonts w:ascii="Times New Roman" w:hAnsi="Times New Roman" w:cs="Times New Roman"/>
        </w:rPr>
        <w:t>Halo</w:t>
      </w:r>
      <w:r w:rsidR="00FA3BC9">
        <w:rPr>
          <w:rFonts w:ascii="Times New Roman" w:hAnsi="Times New Roman" w:cs="Times New Roman"/>
        </w:rPr>
        <w:t>”</w:t>
      </w:r>
      <w:r w:rsidRPr="00C15AB3">
        <w:rPr>
          <w:rFonts w:ascii="Times New Roman" w:hAnsi="Times New Roman" w:cs="Times New Roman"/>
        </w:rPr>
        <w:t xml:space="preserve"> hypothesis suggests FDI brings superior, cleaner technology. Since this node points to Renewable Energy, your model clearly posits a </w:t>
      </w:r>
      <w:r w:rsidR="00FA3BC9">
        <w:rPr>
          <w:rFonts w:ascii="Times New Roman" w:hAnsi="Times New Roman" w:cs="Times New Roman"/>
        </w:rPr>
        <w:t>“</w:t>
      </w:r>
      <w:r w:rsidRPr="00C15AB3">
        <w:rPr>
          <w:rFonts w:ascii="Times New Roman" w:hAnsi="Times New Roman" w:cs="Times New Roman"/>
        </w:rPr>
        <w:t>Pollution Halo</w:t>
      </w:r>
      <w:r w:rsidR="00FA3BC9">
        <w:rPr>
          <w:rFonts w:ascii="Times New Roman" w:hAnsi="Times New Roman" w:cs="Times New Roman"/>
        </w:rPr>
        <w:t>”</w:t>
      </w:r>
      <w:r w:rsidRPr="00C15AB3">
        <w:rPr>
          <w:rFonts w:ascii="Times New Roman" w:hAnsi="Times New Roman" w:cs="Times New Roman"/>
        </w:rPr>
        <w:t xml:space="preserve"> effect, where economic growth (GDP) attracts high-tech FDI that facilitates the transfer of clean, renewable technologies.</w:t>
      </w:r>
      <w:r w:rsidR="000B19EF">
        <w:rPr>
          <w:rFonts w:ascii="Times New Roman" w:hAnsi="Times New Roman" w:cs="Times New Roman"/>
        </w:rPr>
        <w:t xml:space="preserve"> </w:t>
      </w:r>
      <w:r w:rsidR="00A64D39">
        <w:rPr>
          <w:rFonts w:ascii="Times New Roman" w:hAnsi="Times New Roman" w:cs="Times New Roman"/>
        </w:rPr>
        <w:t>Detail d</w:t>
      </w:r>
      <w:r w:rsidR="000B19EF">
        <w:rPr>
          <w:rFonts w:ascii="Times New Roman" w:hAnsi="Times New Roman" w:cs="Times New Roman"/>
        </w:rPr>
        <w:t>escri</w:t>
      </w:r>
      <w:r w:rsidR="00A64D39">
        <w:rPr>
          <w:rFonts w:ascii="Times New Roman" w:hAnsi="Times New Roman" w:cs="Times New Roman"/>
        </w:rPr>
        <w:t>ption</w:t>
      </w:r>
      <w:r w:rsidR="000B19EF">
        <w:rPr>
          <w:rFonts w:ascii="Times New Roman" w:hAnsi="Times New Roman" w:cs="Times New Roman"/>
        </w:rPr>
        <w:t xml:space="preserve"> in </w:t>
      </w:r>
      <w:r w:rsidR="000E36EA">
        <w:rPr>
          <w:rFonts w:ascii="Times New Roman" w:hAnsi="Times New Roman" w:cs="Times New Roman"/>
        </w:rPr>
        <w:t xml:space="preserve">section </w:t>
      </w:r>
      <w:r w:rsidR="000B19EF">
        <w:rPr>
          <w:rFonts w:ascii="Times New Roman" w:hAnsi="Times New Roman" w:cs="Times New Roman"/>
        </w:rPr>
        <w:t>2.1</w:t>
      </w:r>
      <w:r w:rsidR="000E36EA">
        <w:rPr>
          <w:rFonts w:ascii="Times New Roman" w:hAnsi="Times New Roman" w:cs="Times New Roman"/>
        </w:rPr>
        <w:t>.</w:t>
      </w:r>
    </w:p>
  </w:footnote>
  <w:footnote w:id="5">
    <w:p w14:paraId="62D8EC40" w14:textId="0ECE8790" w:rsidR="003001EB" w:rsidRPr="00C829FD" w:rsidRDefault="003001EB" w:rsidP="00C829FD">
      <w:pPr>
        <w:pStyle w:val="FootnoteText"/>
        <w:jc w:val="both"/>
        <w:rPr>
          <w:rFonts w:ascii="Times New Roman" w:hAnsi="Times New Roman" w:cs="Times New Roman"/>
          <w:lang w:val="en-US"/>
        </w:rPr>
      </w:pPr>
      <w:r w:rsidRPr="00C829FD">
        <w:rPr>
          <w:rStyle w:val="FootnoteReference"/>
          <w:rFonts w:ascii="Times New Roman" w:hAnsi="Times New Roman" w:cs="Times New Roman"/>
        </w:rPr>
        <w:footnoteRef/>
      </w:r>
      <w:r w:rsidRPr="00C829FD">
        <w:rPr>
          <w:rFonts w:ascii="Times New Roman" w:hAnsi="Times New Roman" w:cs="Times New Roman"/>
        </w:rPr>
        <w:t xml:space="preserve"> </w:t>
      </w:r>
      <w:r w:rsidR="00AA32A9" w:rsidRPr="00C829FD">
        <w:rPr>
          <w:rFonts w:ascii="Times New Roman" w:hAnsi="Times New Roman" w:cs="Times New Roman"/>
        </w:rPr>
        <w:t xml:space="preserve">This </w:t>
      </w:r>
      <w:r w:rsidR="00FA3BC9">
        <w:rPr>
          <w:rFonts w:ascii="Times New Roman" w:hAnsi="Times New Roman" w:cs="Times New Roman"/>
        </w:rPr>
        <w:t>“</w:t>
      </w:r>
      <w:r w:rsidR="00AA32A9" w:rsidRPr="00C829FD">
        <w:rPr>
          <w:rFonts w:ascii="Times New Roman" w:hAnsi="Times New Roman" w:cs="Times New Roman"/>
        </w:rPr>
        <w:t xml:space="preserve">Attracts </w:t>
      </w:r>
      <w:r w:rsidR="00FA3BC9">
        <w:rPr>
          <w:rFonts w:ascii="Times New Roman" w:hAnsi="Times New Roman" w:cs="Times New Roman"/>
        </w:rPr>
        <w:t>‘</w:t>
      </w:r>
      <w:r w:rsidR="00AA32A9" w:rsidRPr="00C829FD">
        <w:rPr>
          <w:rFonts w:ascii="Times New Roman" w:hAnsi="Times New Roman" w:cs="Times New Roman"/>
        </w:rPr>
        <w:t>Green</w:t>
      </w:r>
      <w:r w:rsidR="00FA3BC9">
        <w:rPr>
          <w:rFonts w:ascii="Times New Roman" w:hAnsi="Times New Roman" w:cs="Times New Roman"/>
        </w:rPr>
        <w:t>’</w:t>
      </w:r>
      <w:r w:rsidR="00AA32A9" w:rsidRPr="00C829FD">
        <w:rPr>
          <w:rFonts w:ascii="Times New Roman" w:hAnsi="Times New Roman" w:cs="Times New Roman"/>
        </w:rPr>
        <w:t xml:space="preserve"> FDI</w:t>
      </w:r>
      <w:r w:rsidR="00FA3BC9">
        <w:rPr>
          <w:rFonts w:ascii="Times New Roman" w:hAnsi="Times New Roman" w:cs="Times New Roman"/>
        </w:rPr>
        <w:t>”</w:t>
      </w:r>
      <w:r w:rsidR="00AA32A9" w:rsidRPr="00C829FD">
        <w:rPr>
          <w:rFonts w:ascii="Times New Roman" w:hAnsi="Times New Roman" w:cs="Times New Roman"/>
        </w:rPr>
        <w:t xml:space="preserve"> loop describes a </w:t>
      </w:r>
      <w:r w:rsidR="00FA3BC9">
        <w:rPr>
          <w:rFonts w:ascii="Times New Roman" w:hAnsi="Times New Roman" w:cs="Times New Roman"/>
        </w:rPr>
        <w:t>“</w:t>
      </w:r>
      <w:r w:rsidR="00AA32A9" w:rsidRPr="00C829FD">
        <w:rPr>
          <w:rFonts w:ascii="Times New Roman" w:hAnsi="Times New Roman" w:cs="Times New Roman"/>
        </w:rPr>
        <w:t>virtuous cycle.</w:t>
      </w:r>
      <w:r w:rsidR="00FA3BC9">
        <w:rPr>
          <w:rFonts w:ascii="Times New Roman" w:hAnsi="Times New Roman" w:cs="Times New Roman"/>
        </w:rPr>
        <w:t>”</w:t>
      </w:r>
      <w:r w:rsidR="00AA32A9" w:rsidRPr="00C829FD">
        <w:rPr>
          <w:rFonts w:ascii="Times New Roman" w:hAnsi="Times New Roman" w:cs="Times New Roman"/>
        </w:rPr>
        <w:t xml:space="preserve"> It suggests that by investing in RE, a country signals market stability and technological leadership, which de-risks and attracts further private international investment into that specific sector.</w:t>
      </w:r>
    </w:p>
  </w:footnote>
  <w:footnote w:id="6">
    <w:p w14:paraId="4B2400B3" w14:textId="423BDBF9" w:rsidR="00AA32A9" w:rsidRPr="00AA32A9" w:rsidRDefault="00AA32A9" w:rsidP="00C829FD">
      <w:pPr>
        <w:pStyle w:val="FootnoteText"/>
        <w:jc w:val="both"/>
        <w:rPr>
          <w:lang w:val="en-US"/>
        </w:rPr>
      </w:pPr>
      <w:r w:rsidRPr="00C829FD">
        <w:rPr>
          <w:rStyle w:val="FootnoteReference"/>
          <w:rFonts w:ascii="Times New Roman" w:hAnsi="Times New Roman" w:cs="Times New Roman"/>
        </w:rPr>
        <w:footnoteRef/>
      </w:r>
      <w:r w:rsidRPr="00C829FD">
        <w:rPr>
          <w:rFonts w:ascii="Times New Roman" w:hAnsi="Times New Roman" w:cs="Times New Roman"/>
        </w:rPr>
        <w:t xml:space="preserve"> </w:t>
      </w:r>
      <w:r w:rsidR="00F16C19" w:rsidRPr="00C829FD">
        <w:rPr>
          <w:rFonts w:ascii="Times New Roman" w:hAnsi="Times New Roman" w:cs="Times New Roman"/>
        </w:rPr>
        <w:t xml:space="preserve">The </w:t>
      </w:r>
      <w:r w:rsidR="00C810E7">
        <w:rPr>
          <w:rFonts w:ascii="Times New Roman" w:hAnsi="Times New Roman" w:cs="Times New Roman"/>
        </w:rPr>
        <w:t>“</w:t>
      </w:r>
      <w:r w:rsidR="00F16C19" w:rsidRPr="00C829FD">
        <w:rPr>
          <w:rFonts w:ascii="Times New Roman" w:hAnsi="Times New Roman" w:cs="Times New Roman"/>
        </w:rPr>
        <w:t>Boosts GDP via Power Sector</w:t>
      </w:r>
      <w:r w:rsidR="00C810E7">
        <w:rPr>
          <w:rFonts w:ascii="Times New Roman" w:hAnsi="Times New Roman" w:cs="Times New Roman"/>
        </w:rPr>
        <w:t>”</w:t>
      </w:r>
      <w:r w:rsidR="00F16C19" w:rsidRPr="00C829FD">
        <w:rPr>
          <w:rFonts w:ascii="Times New Roman" w:hAnsi="Times New Roman" w:cs="Times New Roman"/>
        </w:rPr>
        <w:t xml:space="preserve"> loop illustrates a domestic economic multiplier effect. Investment in the RE sector creates jobs, generates income, lowers energy costs, and reduces reliance on volatile foreign energy imports, all contributing to a net positive impact on GDP.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90747"/>
    <w:multiLevelType w:val="hybridMultilevel"/>
    <w:tmpl w:val="B89EF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0391B"/>
    <w:multiLevelType w:val="hybridMultilevel"/>
    <w:tmpl w:val="D3BC8F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775742"/>
    <w:multiLevelType w:val="multilevel"/>
    <w:tmpl w:val="909E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431D3"/>
    <w:multiLevelType w:val="hybridMultilevel"/>
    <w:tmpl w:val="5E80E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1E1796"/>
    <w:multiLevelType w:val="hybridMultilevel"/>
    <w:tmpl w:val="6476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420A11"/>
    <w:multiLevelType w:val="hybridMultilevel"/>
    <w:tmpl w:val="C644C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763F34"/>
    <w:multiLevelType w:val="hybridMultilevel"/>
    <w:tmpl w:val="D3BC8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435B8F"/>
    <w:multiLevelType w:val="hybridMultilevel"/>
    <w:tmpl w:val="88742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957256"/>
    <w:multiLevelType w:val="hybridMultilevel"/>
    <w:tmpl w:val="5998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8226F"/>
    <w:multiLevelType w:val="hybridMultilevel"/>
    <w:tmpl w:val="5B2C1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A2089D"/>
    <w:multiLevelType w:val="hybridMultilevel"/>
    <w:tmpl w:val="450C6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A765D5"/>
    <w:multiLevelType w:val="hybridMultilevel"/>
    <w:tmpl w:val="C3DA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0"/>
  </w:num>
  <w:num w:numId="5">
    <w:abstractNumId w:val="6"/>
  </w:num>
  <w:num w:numId="6">
    <w:abstractNumId w:val="11"/>
  </w:num>
  <w:num w:numId="7">
    <w:abstractNumId w:val="2"/>
  </w:num>
  <w:num w:numId="8">
    <w:abstractNumId w:val="8"/>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56"/>
    <w:rsid w:val="000001F1"/>
    <w:rsid w:val="00000EBF"/>
    <w:rsid w:val="0001176C"/>
    <w:rsid w:val="00062648"/>
    <w:rsid w:val="00067518"/>
    <w:rsid w:val="00070A7D"/>
    <w:rsid w:val="000809E8"/>
    <w:rsid w:val="000846EC"/>
    <w:rsid w:val="000A5D73"/>
    <w:rsid w:val="000B19EF"/>
    <w:rsid w:val="000B2DD7"/>
    <w:rsid w:val="000D083D"/>
    <w:rsid w:val="000D69F2"/>
    <w:rsid w:val="000E36EA"/>
    <w:rsid w:val="000F0BCB"/>
    <w:rsid w:val="000F12C3"/>
    <w:rsid w:val="001014F3"/>
    <w:rsid w:val="0010740F"/>
    <w:rsid w:val="001133B6"/>
    <w:rsid w:val="00141DD2"/>
    <w:rsid w:val="0014481E"/>
    <w:rsid w:val="00147ACC"/>
    <w:rsid w:val="00154B1D"/>
    <w:rsid w:val="001605D3"/>
    <w:rsid w:val="00171565"/>
    <w:rsid w:val="001767B7"/>
    <w:rsid w:val="001868F4"/>
    <w:rsid w:val="00187C70"/>
    <w:rsid w:val="00197303"/>
    <w:rsid w:val="001C0D67"/>
    <w:rsid w:val="001D2B85"/>
    <w:rsid w:val="001E515E"/>
    <w:rsid w:val="001E5164"/>
    <w:rsid w:val="001F77D9"/>
    <w:rsid w:val="00205C02"/>
    <w:rsid w:val="00207D37"/>
    <w:rsid w:val="00211FAB"/>
    <w:rsid w:val="00235EA6"/>
    <w:rsid w:val="002404DC"/>
    <w:rsid w:val="00240926"/>
    <w:rsid w:val="0024291E"/>
    <w:rsid w:val="0025142C"/>
    <w:rsid w:val="0025644D"/>
    <w:rsid w:val="00262646"/>
    <w:rsid w:val="0027138B"/>
    <w:rsid w:val="00276981"/>
    <w:rsid w:val="00286559"/>
    <w:rsid w:val="002B1A9E"/>
    <w:rsid w:val="002B5956"/>
    <w:rsid w:val="002C03D7"/>
    <w:rsid w:val="002C53B9"/>
    <w:rsid w:val="002D23C6"/>
    <w:rsid w:val="003001EB"/>
    <w:rsid w:val="00305C92"/>
    <w:rsid w:val="00323114"/>
    <w:rsid w:val="00333D65"/>
    <w:rsid w:val="00363B41"/>
    <w:rsid w:val="003907EC"/>
    <w:rsid w:val="00394013"/>
    <w:rsid w:val="0039772B"/>
    <w:rsid w:val="003A0200"/>
    <w:rsid w:val="003A5FF3"/>
    <w:rsid w:val="003B6507"/>
    <w:rsid w:val="003D60C8"/>
    <w:rsid w:val="003E1136"/>
    <w:rsid w:val="003E7553"/>
    <w:rsid w:val="00406622"/>
    <w:rsid w:val="00411F2D"/>
    <w:rsid w:val="00417168"/>
    <w:rsid w:val="00427AB7"/>
    <w:rsid w:val="004458F8"/>
    <w:rsid w:val="00445E7E"/>
    <w:rsid w:val="00447019"/>
    <w:rsid w:val="0045513A"/>
    <w:rsid w:val="004658B8"/>
    <w:rsid w:val="004675B2"/>
    <w:rsid w:val="00474610"/>
    <w:rsid w:val="00476B80"/>
    <w:rsid w:val="00496653"/>
    <w:rsid w:val="004B6811"/>
    <w:rsid w:val="004E44D4"/>
    <w:rsid w:val="00504903"/>
    <w:rsid w:val="00525191"/>
    <w:rsid w:val="005400D5"/>
    <w:rsid w:val="00542205"/>
    <w:rsid w:val="00546FF2"/>
    <w:rsid w:val="005502F5"/>
    <w:rsid w:val="00550AF7"/>
    <w:rsid w:val="00563EB0"/>
    <w:rsid w:val="00577E73"/>
    <w:rsid w:val="00592DE8"/>
    <w:rsid w:val="005A7578"/>
    <w:rsid w:val="005B4066"/>
    <w:rsid w:val="005F46DA"/>
    <w:rsid w:val="005F5739"/>
    <w:rsid w:val="00610CC1"/>
    <w:rsid w:val="00614F50"/>
    <w:rsid w:val="006166C3"/>
    <w:rsid w:val="00637C21"/>
    <w:rsid w:val="00642E09"/>
    <w:rsid w:val="00645045"/>
    <w:rsid w:val="00697A0D"/>
    <w:rsid w:val="006A4FF7"/>
    <w:rsid w:val="006B08AD"/>
    <w:rsid w:val="006B093F"/>
    <w:rsid w:val="006B4A2C"/>
    <w:rsid w:val="006C36D4"/>
    <w:rsid w:val="006D3625"/>
    <w:rsid w:val="006E5ECF"/>
    <w:rsid w:val="006F7FB5"/>
    <w:rsid w:val="00703524"/>
    <w:rsid w:val="007119A8"/>
    <w:rsid w:val="00713743"/>
    <w:rsid w:val="00720910"/>
    <w:rsid w:val="007409FB"/>
    <w:rsid w:val="007672AF"/>
    <w:rsid w:val="00793844"/>
    <w:rsid w:val="007A7D55"/>
    <w:rsid w:val="007C0A45"/>
    <w:rsid w:val="007F2EE1"/>
    <w:rsid w:val="007F319F"/>
    <w:rsid w:val="007F39FC"/>
    <w:rsid w:val="00814F1F"/>
    <w:rsid w:val="00817625"/>
    <w:rsid w:val="0085709C"/>
    <w:rsid w:val="00866159"/>
    <w:rsid w:val="00870062"/>
    <w:rsid w:val="00871D28"/>
    <w:rsid w:val="00877E02"/>
    <w:rsid w:val="00883876"/>
    <w:rsid w:val="00896056"/>
    <w:rsid w:val="0089719D"/>
    <w:rsid w:val="008A50A5"/>
    <w:rsid w:val="008B4CBE"/>
    <w:rsid w:val="008C610E"/>
    <w:rsid w:val="008C78A7"/>
    <w:rsid w:val="008D7002"/>
    <w:rsid w:val="00903BEE"/>
    <w:rsid w:val="00910EE5"/>
    <w:rsid w:val="00916F27"/>
    <w:rsid w:val="00924F51"/>
    <w:rsid w:val="00954B61"/>
    <w:rsid w:val="009577C5"/>
    <w:rsid w:val="00963E83"/>
    <w:rsid w:val="00981011"/>
    <w:rsid w:val="009B2528"/>
    <w:rsid w:val="009B45CA"/>
    <w:rsid w:val="009B4CAA"/>
    <w:rsid w:val="009C487A"/>
    <w:rsid w:val="009E0969"/>
    <w:rsid w:val="009F5A93"/>
    <w:rsid w:val="009F7292"/>
    <w:rsid w:val="00A146B5"/>
    <w:rsid w:val="00A254D1"/>
    <w:rsid w:val="00A27DAB"/>
    <w:rsid w:val="00A46925"/>
    <w:rsid w:val="00A5265C"/>
    <w:rsid w:val="00A5289D"/>
    <w:rsid w:val="00A57CC3"/>
    <w:rsid w:val="00A6431C"/>
    <w:rsid w:val="00A64D39"/>
    <w:rsid w:val="00A94FE0"/>
    <w:rsid w:val="00A95E72"/>
    <w:rsid w:val="00AA32A9"/>
    <w:rsid w:val="00AB5894"/>
    <w:rsid w:val="00AF0A0F"/>
    <w:rsid w:val="00AF3C7D"/>
    <w:rsid w:val="00B0615F"/>
    <w:rsid w:val="00B1668F"/>
    <w:rsid w:val="00B22151"/>
    <w:rsid w:val="00B22E32"/>
    <w:rsid w:val="00B3079D"/>
    <w:rsid w:val="00B50196"/>
    <w:rsid w:val="00B5046F"/>
    <w:rsid w:val="00B70A67"/>
    <w:rsid w:val="00B720F5"/>
    <w:rsid w:val="00B77C76"/>
    <w:rsid w:val="00B83731"/>
    <w:rsid w:val="00B96FF0"/>
    <w:rsid w:val="00BC088E"/>
    <w:rsid w:val="00BC22D2"/>
    <w:rsid w:val="00BC4125"/>
    <w:rsid w:val="00BC5C67"/>
    <w:rsid w:val="00BE5072"/>
    <w:rsid w:val="00C0344F"/>
    <w:rsid w:val="00C15AB3"/>
    <w:rsid w:val="00C43217"/>
    <w:rsid w:val="00C43939"/>
    <w:rsid w:val="00C51C05"/>
    <w:rsid w:val="00C620B9"/>
    <w:rsid w:val="00C73F6A"/>
    <w:rsid w:val="00C80E94"/>
    <w:rsid w:val="00C810E7"/>
    <w:rsid w:val="00C829FD"/>
    <w:rsid w:val="00C8785C"/>
    <w:rsid w:val="00CA29DC"/>
    <w:rsid w:val="00CB2769"/>
    <w:rsid w:val="00CC0F30"/>
    <w:rsid w:val="00CD4491"/>
    <w:rsid w:val="00CD6BDA"/>
    <w:rsid w:val="00CE40AF"/>
    <w:rsid w:val="00CE71B9"/>
    <w:rsid w:val="00D06EF6"/>
    <w:rsid w:val="00D100B8"/>
    <w:rsid w:val="00D162B8"/>
    <w:rsid w:val="00D21BAD"/>
    <w:rsid w:val="00D26A22"/>
    <w:rsid w:val="00D328BF"/>
    <w:rsid w:val="00D443CC"/>
    <w:rsid w:val="00D771FE"/>
    <w:rsid w:val="00D8489B"/>
    <w:rsid w:val="00DA0A2E"/>
    <w:rsid w:val="00DB6A21"/>
    <w:rsid w:val="00DD2155"/>
    <w:rsid w:val="00DF5C42"/>
    <w:rsid w:val="00E15E75"/>
    <w:rsid w:val="00E34194"/>
    <w:rsid w:val="00E352AA"/>
    <w:rsid w:val="00E36E58"/>
    <w:rsid w:val="00E459F4"/>
    <w:rsid w:val="00E807FC"/>
    <w:rsid w:val="00E8578C"/>
    <w:rsid w:val="00EC3518"/>
    <w:rsid w:val="00EC71EF"/>
    <w:rsid w:val="00ED2B7D"/>
    <w:rsid w:val="00ED2FD6"/>
    <w:rsid w:val="00ED5453"/>
    <w:rsid w:val="00EE6E8F"/>
    <w:rsid w:val="00EE79FB"/>
    <w:rsid w:val="00F04EED"/>
    <w:rsid w:val="00F15E9D"/>
    <w:rsid w:val="00F16974"/>
    <w:rsid w:val="00F16C19"/>
    <w:rsid w:val="00F227FD"/>
    <w:rsid w:val="00F2303E"/>
    <w:rsid w:val="00F2707A"/>
    <w:rsid w:val="00F3222D"/>
    <w:rsid w:val="00F40ADE"/>
    <w:rsid w:val="00F52549"/>
    <w:rsid w:val="00F7533F"/>
    <w:rsid w:val="00F867E5"/>
    <w:rsid w:val="00FA3BC9"/>
    <w:rsid w:val="00FA684A"/>
    <w:rsid w:val="00FD139F"/>
    <w:rsid w:val="00FD5B39"/>
    <w:rsid w:val="00FD7D28"/>
    <w:rsid w:val="00FF6E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E5C7"/>
  <w15:chartTrackingRefBased/>
  <w15:docId w15:val="{DBA4C4D5-CEEE-6A41-8541-444D159A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056"/>
    <w:rPr>
      <w:lang w:val="en-GB"/>
    </w:rPr>
  </w:style>
  <w:style w:type="paragraph" w:styleId="Heading1">
    <w:name w:val="heading 1"/>
    <w:basedOn w:val="Normal"/>
    <w:next w:val="Normal"/>
    <w:link w:val="Heading1Char"/>
    <w:uiPriority w:val="9"/>
    <w:qFormat/>
    <w:rsid w:val="00896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0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0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0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0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Body"/>
    <w:basedOn w:val="Normal"/>
    <w:next w:val="Normal"/>
    <w:autoRedefine/>
    <w:uiPriority w:val="39"/>
    <w:unhideWhenUsed/>
    <w:qFormat/>
    <w:rsid w:val="00AF0A0F"/>
    <w:pPr>
      <w:spacing w:before="120" w:line="259" w:lineRule="auto"/>
    </w:pPr>
    <w:rPr>
      <w:rFonts w:ascii="Times New Roman" w:hAnsi="Times New Roman"/>
      <w:bCs/>
      <w:iCs/>
      <w:color w:val="000000" w:themeColor="text1"/>
      <w:lang w:bidi="hi-IN"/>
    </w:rPr>
  </w:style>
  <w:style w:type="paragraph" w:styleId="Bibliography">
    <w:name w:val="Bibliography"/>
    <w:basedOn w:val="Normal"/>
    <w:next w:val="Normal"/>
    <w:uiPriority w:val="37"/>
    <w:unhideWhenUsed/>
    <w:rsid w:val="00EE79FB"/>
    <w:rPr>
      <w:lang w:val="en-IN"/>
    </w:rPr>
  </w:style>
  <w:style w:type="character" w:customStyle="1" w:styleId="Heading1Char">
    <w:name w:val="Heading 1 Char"/>
    <w:basedOn w:val="DefaultParagraphFont"/>
    <w:link w:val="Heading1"/>
    <w:uiPriority w:val="9"/>
    <w:rsid w:val="0089605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9605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9605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9605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9605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9605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9605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9605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9605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960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05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960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05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960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056"/>
    <w:rPr>
      <w:i/>
      <w:iCs/>
      <w:color w:val="404040" w:themeColor="text1" w:themeTint="BF"/>
      <w:lang w:val="en-GB"/>
    </w:rPr>
  </w:style>
  <w:style w:type="paragraph" w:styleId="ListParagraph">
    <w:name w:val="List Paragraph"/>
    <w:basedOn w:val="Normal"/>
    <w:uiPriority w:val="34"/>
    <w:qFormat/>
    <w:rsid w:val="00896056"/>
    <w:pPr>
      <w:ind w:left="720"/>
      <w:contextualSpacing/>
    </w:pPr>
  </w:style>
  <w:style w:type="character" w:styleId="IntenseEmphasis">
    <w:name w:val="Intense Emphasis"/>
    <w:basedOn w:val="DefaultParagraphFont"/>
    <w:uiPriority w:val="21"/>
    <w:qFormat/>
    <w:rsid w:val="00896056"/>
    <w:rPr>
      <w:i/>
      <w:iCs/>
      <w:color w:val="0F4761" w:themeColor="accent1" w:themeShade="BF"/>
    </w:rPr>
  </w:style>
  <w:style w:type="paragraph" w:styleId="IntenseQuote">
    <w:name w:val="Intense Quote"/>
    <w:basedOn w:val="Normal"/>
    <w:next w:val="Normal"/>
    <w:link w:val="IntenseQuoteChar"/>
    <w:uiPriority w:val="30"/>
    <w:qFormat/>
    <w:rsid w:val="00896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056"/>
    <w:rPr>
      <w:i/>
      <w:iCs/>
      <w:color w:val="0F4761" w:themeColor="accent1" w:themeShade="BF"/>
      <w:lang w:val="en-GB"/>
    </w:rPr>
  </w:style>
  <w:style w:type="character" w:styleId="IntenseReference">
    <w:name w:val="Intense Reference"/>
    <w:basedOn w:val="DefaultParagraphFont"/>
    <w:uiPriority w:val="32"/>
    <w:qFormat/>
    <w:rsid w:val="00896056"/>
    <w:rPr>
      <w:b/>
      <w:bCs/>
      <w:smallCaps/>
      <w:color w:val="0F4761" w:themeColor="accent1" w:themeShade="BF"/>
      <w:spacing w:val="5"/>
    </w:rPr>
  </w:style>
  <w:style w:type="character" w:styleId="Hyperlink">
    <w:name w:val="Hyperlink"/>
    <w:basedOn w:val="DefaultParagraphFont"/>
    <w:uiPriority w:val="99"/>
    <w:unhideWhenUsed/>
    <w:rsid w:val="00154B1D"/>
    <w:rPr>
      <w:color w:val="467886" w:themeColor="hyperlink"/>
      <w:u w:val="single"/>
    </w:rPr>
  </w:style>
  <w:style w:type="table" w:styleId="TableGrid">
    <w:name w:val="Table Grid"/>
    <w:basedOn w:val="TableNormal"/>
    <w:uiPriority w:val="39"/>
    <w:rsid w:val="00363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0A5D7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0A5D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A5D73"/>
    <w:rPr>
      <w:color w:val="666666"/>
    </w:rPr>
  </w:style>
  <w:style w:type="character" w:customStyle="1" w:styleId="UnresolvedMention1">
    <w:name w:val="Unresolved Mention1"/>
    <w:basedOn w:val="DefaultParagraphFont"/>
    <w:uiPriority w:val="99"/>
    <w:semiHidden/>
    <w:unhideWhenUsed/>
    <w:rsid w:val="000A5D73"/>
    <w:rPr>
      <w:color w:val="605E5C"/>
      <w:shd w:val="clear" w:color="auto" w:fill="E1DFDD"/>
    </w:rPr>
  </w:style>
  <w:style w:type="character" w:styleId="FollowedHyperlink">
    <w:name w:val="FollowedHyperlink"/>
    <w:basedOn w:val="DefaultParagraphFont"/>
    <w:uiPriority w:val="99"/>
    <w:semiHidden/>
    <w:unhideWhenUsed/>
    <w:rsid w:val="000A5D73"/>
    <w:rPr>
      <w:color w:val="96607D" w:themeColor="followedHyperlink"/>
      <w:u w:val="single"/>
    </w:rPr>
  </w:style>
  <w:style w:type="paragraph" w:styleId="NormalWeb">
    <w:name w:val="Normal (Web)"/>
    <w:basedOn w:val="Normal"/>
    <w:uiPriority w:val="99"/>
    <w:unhideWhenUsed/>
    <w:rsid w:val="00F16974"/>
    <w:pPr>
      <w:spacing w:before="100" w:beforeAutospacing="1" w:after="100" w:afterAutospacing="1"/>
    </w:pPr>
    <w:rPr>
      <w:rFonts w:ascii="Times New Roman" w:eastAsia="Times New Roman" w:hAnsi="Times New Roman" w:cs="Times New Roman"/>
      <w:kern w:val="0"/>
      <w:lang w:val="en-IN" w:eastAsia="en-GB"/>
      <w14:ligatures w14:val="none"/>
    </w:rPr>
  </w:style>
  <w:style w:type="paragraph" w:styleId="FootnoteText">
    <w:name w:val="footnote text"/>
    <w:basedOn w:val="Normal"/>
    <w:link w:val="FootnoteTextChar"/>
    <w:uiPriority w:val="99"/>
    <w:semiHidden/>
    <w:unhideWhenUsed/>
    <w:rsid w:val="0010740F"/>
    <w:rPr>
      <w:sz w:val="20"/>
      <w:szCs w:val="20"/>
    </w:rPr>
  </w:style>
  <w:style w:type="character" w:customStyle="1" w:styleId="FootnoteTextChar">
    <w:name w:val="Footnote Text Char"/>
    <w:basedOn w:val="DefaultParagraphFont"/>
    <w:link w:val="FootnoteText"/>
    <w:uiPriority w:val="99"/>
    <w:semiHidden/>
    <w:rsid w:val="0010740F"/>
    <w:rPr>
      <w:sz w:val="20"/>
      <w:szCs w:val="20"/>
      <w:lang w:val="en-GB"/>
    </w:rPr>
  </w:style>
  <w:style w:type="character" w:styleId="FootnoteReference">
    <w:name w:val="footnote reference"/>
    <w:basedOn w:val="DefaultParagraphFont"/>
    <w:uiPriority w:val="99"/>
    <w:semiHidden/>
    <w:unhideWhenUsed/>
    <w:rsid w:val="00107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098-020-01828-9" TargetMode="External"/><Relationship Id="rId21" Type="http://schemas.openxmlformats.org/officeDocument/2006/relationships/hyperlink" Target="https://doi.org/10.1080/20430795.2020.1861865" TargetMode="External"/><Relationship Id="rId42" Type="http://schemas.openxmlformats.org/officeDocument/2006/relationships/hyperlink" Target="http://clok.uclan.ac.uk/25161/1/25161Education-in-the-Diffusion-of-Knowledge-with-Mobile-for-Inclusive-dev.pd.pdf" TargetMode="External"/><Relationship Id="rId47" Type="http://schemas.openxmlformats.org/officeDocument/2006/relationships/hyperlink" Target="https://doi.org/10.1016/j.suscom.2018.11.007" TargetMode="External"/><Relationship Id="rId63" Type="http://schemas.openxmlformats.org/officeDocument/2006/relationships/hyperlink" Target="https://doi.org/10.1007/s11356-020-07691-x" TargetMode="External"/><Relationship Id="rId68" Type="http://schemas.openxmlformats.org/officeDocument/2006/relationships/hyperlink" Target="https://doi.org/10.3390/su13201143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citotenv.2020.136726" TargetMode="External"/><Relationship Id="rId29" Type="http://schemas.openxmlformats.org/officeDocument/2006/relationships/hyperlink" Target="https://doi.org/10.3390/su12135421" TargetMode="External"/><Relationship Id="rId11" Type="http://schemas.openxmlformats.org/officeDocument/2006/relationships/hyperlink" Target="https://doi.org/10.3390/su132413747" TargetMode="External"/><Relationship Id="rId24" Type="http://schemas.openxmlformats.org/officeDocument/2006/relationships/hyperlink" Target="https://doi.org/10.1021/es202329f" TargetMode="External"/><Relationship Id="rId32" Type="http://schemas.openxmlformats.org/officeDocument/2006/relationships/hyperlink" Target="https://doi.org/10.1016/j.scitotenv.2018.10.017" TargetMode="External"/><Relationship Id="rId37" Type="http://schemas.openxmlformats.org/officeDocument/2006/relationships/hyperlink" Target="http://www.C-I-E.org" TargetMode="External"/><Relationship Id="rId40" Type="http://schemas.openxmlformats.org/officeDocument/2006/relationships/hyperlink" Target="https://doi.org/10.21203/rs.3.rs-1000201/v1" TargetMode="External"/><Relationship Id="rId45" Type="http://schemas.openxmlformats.org/officeDocument/2006/relationships/hyperlink" Target="https://doi.org/10.1080/23322039.2017.1332820" TargetMode="External"/><Relationship Id="rId53" Type="http://schemas.openxmlformats.org/officeDocument/2006/relationships/hyperlink" Target="https://doi.org/10.1002/pa.2561" TargetMode="External"/><Relationship Id="rId58" Type="http://schemas.openxmlformats.org/officeDocument/2006/relationships/hyperlink" Target="https://doi.org/10.1016/j.jclepro.2018.08.039" TargetMode="External"/><Relationship Id="rId66" Type="http://schemas.openxmlformats.org/officeDocument/2006/relationships/hyperlink" Target="http://www3.weforum.org/docs/WEF_The_Global_Risks_Report_2021.pdf" TargetMode="External"/><Relationship Id="rId5" Type="http://schemas.openxmlformats.org/officeDocument/2006/relationships/webSettings" Target="webSettings.xml"/><Relationship Id="rId61" Type="http://schemas.openxmlformats.org/officeDocument/2006/relationships/hyperlink" Target="https://doi.org/10.1186/s41180-019-0030-x" TargetMode="External"/><Relationship Id="rId19" Type="http://schemas.openxmlformats.org/officeDocument/2006/relationships/hyperlink" Target="https://doi.org/10.1016/j.heliyon.2020.e03400" TargetMode="External"/><Relationship Id="rId14" Type="http://schemas.openxmlformats.org/officeDocument/2006/relationships/hyperlink" Target="http://dx.doi.org/10.3389/fenvs.2022.930728" TargetMode="External"/><Relationship Id="rId22" Type="http://schemas.openxmlformats.org/officeDocument/2006/relationships/hyperlink" Target="https://doi.org/10.5539/ass.v11n21p270" TargetMode="External"/><Relationship Id="rId27" Type="http://schemas.openxmlformats.org/officeDocument/2006/relationships/hyperlink" Target="https://doi.org/10.1016/j.rser.2016.11.201" TargetMode="External"/><Relationship Id="rId30" Type="http://schemas.openxmlformats.org/officeDocument/2006/relationships/hyperlink" Target="https://doi.org/10.1016/j.jdeveco.2008.06.011" TargetMode="External"/><Relationship Id="rId35" Type="http://schemas.openxmlformats.org/officeDocument/2006/relationships/hyperlink" Target="https://doi.org/10.1088/1748-9326/aadbf8" TargetMode="External"/><Relationship Id="rId43" Type="http://schemas.openxmlformats.org/officeDocument/2006/relationships/hyperlink" Target="https://doi.org/10.1016/j.renene.2018.02.041" TargetMode="External"/><Relationship Id="rId48" Type="http://schemas.openxmlformats.org/officeDocument/2006/relationships/hyperlink" Target="https://doi.org/10.3390/SU12187747" TargetMode="External"/><Relationship Id="rId56" Type="http://schemas.openxmlformats.org/officeDocument/2006/relationships/hyperlink" Target="https://doi.org/10.1016/j.eneco.2016.02.007" TargetMode="External"/><Relationship Id="rId64" Type="http://schemas.openxmlformats.org/officeDocument/2006/relationships/hyperlink" Target="https://doi.org/10.18488/journal.29.2021.81.32.43"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016/j.renene.2018.08.069" TargetMode="External"/><Relationship Id="rId3" Type="http://schemas.openxmlformats.org/officeDocument/2006/relationships/styles" Target="styles.xml"/><Relationship Id="rId12" Type="http://schemas.openxmlformats.org/officeDocument/2006/relationships/hyperlink" Target="https://doi.org/10.3389/frevc.2024.1428754" TargetMode="External"/><Relationship Id="rId17" Type="http://schemas.openxmlformats.org/officeDocument/2006/relationships/hyperlink" Target="https://doi.org/10.1016/j.jenvman.2020.110628" TargetMode="External"/><Relationship Id="rId25" Type="http://schemas.openxmlformats.org/officeDocument/2006/relationships/hyperlink" Target="https://doi.org/10.1002/bse.2615" TargetMode="External"/><Relationship Id="rId33" Type="http://schemas.openxmlformats.org/officeDocument/2006/relationships/hyperlink" Target="https://doi.org/10.1016/j.cosust.2012.07.005" TargetMode="External"/><Relationship Id="rId38" Type="http://schemas.openxmlformats.org/officeDocument/2006/relationships/hyperlink" Target="https://doi.org/10.28992/ijsam.v4i2.283" TargetMode="External"/><Relationship Id="rId46" Type="http://schemas.openxmlformats.org/officeDocument/2006/relationships/hyperlink" Target="https://doi.org/10.32479/ijeep.8506" TargetMode="External"/><Relationship Id="rId59" Type="http://schemas.openxmlformats.org/officeDocument/2006/relationships/hyperlink" Target="https://doi.org/10.1016/j.scitotenv.2018.07.365" TargetMode="External"/><Relationship Id="rId67" Type="http://schemas.openxmlformats.org/officeDocument/2006/relationships/hyperlink" Target="https://doi.org/10.1007/s11356-020-11576-4" TargetMode="External"/><Relationship Id="rId20" Type="http://schemas.openxmlformats.org/officeDocument/2006/relationships/hyperlink" Target="https://doi.org/10.1007/s11356-020-07768-7" TargetMode="External"/><Relationship Id="rId41" Type="http://schemas.openxmlformats.org/officeDocument/2006/relationships/hyperlink" Target="https://doi.org/10.1007/s11356-018-3034-7" TargetMode="External"/><Relationship Id="rId54" Type="http://schemas.openxmlformats.org/officeDocument/2006/relationships/hyperlink" Target="https://doi.org/10.1080/00220388.2019.1702159" TargetMode="External"/><Relationship Id="rId62" Type="http://schemas.openxmlformats.org/officeDocument/2006/relationships/hyperlink" Target="https://doi.org/10.1007/s10258-020-00181-5"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su13084371" TargetMode="External"/><Relationship Id="rId23" Type="http://schemas.openxmlformats.org/officeDocument/2006/relationships/hyperlink" Target="https://doi.org/10.1080/15567249.2016.1217285" TargetMode="External"/><Relationship Id="rId28" Type="http://schemas.openxmlformats.org/officeDocument/2006/relationships/hyperlink" Target="https://doi.org/10.1016/j.scitotenv.2018.12.104" TargetMode="External"/><Relationship Id="rId36" Type="http://schemas.openxmlformats.org/officeDocument/2006/relationships/hyperlink" Target="https://doi.org/10.1016/j.jdeveco.2007.11.003" TargetMode="External"/><Relationship Id="rId49" Type="http://schemas.openxmlformats.org/officeDocument/2006/relationships/hyperlink" Target="https://doi.org/10.1007/s10690-021-09335-7" TargetMode="External"/><Relationship Id="rId57" Type="http://schemas.openxmlformats.org/officeDocument/2006/relationships/hyperlink" Target="https://doi.org/10.1007/s11356-018-2347-x" TargetMode="External"/><Relationship Id="rId10" Type="http://schemas.openxmlformats.org/officeDocument/2006/relationships/hyperlink" Target="https://doi.org/10.3389/frevc.2024.1428754" TargetMode="External"/><Relationship Id="rId31" Type="http://schemas.openxmlformats.org/officeDocument/2006/relationships/hyperlink" Target="https://doi.org/10.1007/s10640-013-9745-9" TargetMode="External"/><Relationship Id="rId44" Type="http://schemas.openxmlformats.org/officeDocument/2006/relationships/hyperlink" Target="https://doi.org/10.3390/su12072930" TargetMode="External"/><Relationship Id="rId52" Type="http://schemas.openxmlformats.org/officeDocument/2006/relationships/hyperlink" Target="https://doi.org/10.4236/ojbm.2020.81003" TargetMode="External"/><Relationship Id="rId60" Type="http://schemas.openxmlformats.org/officeDocument/2006/relationships/hyperlink" Target="https://doi.org/10.1080/15567249.2017.1312640" TargetMode="External"/><Relationship Id="rId65" Type="http://schemas.openxmlformats.org/officeDocument/2006/relationships/hyperlink" Target="https://doi.org/10.1016/j.joat.2015.08.002" TargetMode="Externa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yperlink" Target="https://doi.org/10.1177/11786302241288856" TargetMode="External"/><Relationship Id="rId18" Type="http://schemas.openxmlformats.org/officeDocument/2006/relationships/hyperlink" Target="https://doi.org/10.1016/j.enpol.2021.112520" TargetMode="External"/><Relationship Id="rId39" Type="http://schemas.openxmlformats.org/officeDocument/2006/relationships/hyperlink" Target="https://doi.org/10.1002/bbb.2206" TargetMode="External"/><Relationship Id="rId34" Type="http://schemas.openxmlformats.org/officeDocument/2006/relationships/hyperlink" Target="https://doi.org/10.1080/1331677X.2018.1438907" TargetMode="External"/><Relationship Id="rId50" Type="http://schemas.openxmlformats.org/officeDocument/2006/relationships/hyperlink" Target="https://doi.org/10.1002/pa.2037" TargetMode="External"/><Relationship Id="rId55" Type="http://schemas.openxmlformats.org/officeDocument/2006/relationships/hyperlink" Target="https://doi.org/10.2307/2670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Sar21</b:Tag>
    <b:SourceType>Report</b:SourceType>
    <b:Guid>{BDCC0679-9952-A84F-841C-06E4213F496F}</b:Guid>
    <b:Title>Methanol: A Competitive Alternate Fuel</b:Title>
    <b:Publisher>NITI Aayog, Government of India</b:Publisher>
    <b:City>New Delhi</b:City>
    <b:Year>2021</b:Year>
    <b:Author>
      <b:Author>
        <b:NameList>
          <b:Person>
            <b:Last>Saraswat</b:Last>
            <b:First>V.</b:First>
            <b:Middle>K.</b:Middle>
          </b:Person>
          <b:Person>
            <b:Last>Bansal</b:Last>
            <b:First>Ripunjaya</b:First>
          </b:Person>
        </b:NameList>
      </b:Author>
    </b:Author>
    <b:Institution>NITI Aayog</b:Institution>
    <b:ThesisType>Working Paper</b:ThesisType>
    <b:RefOrder>2</b:RefOrder>
  </b:Source>
  <b:Source>
    <b:Tag>Zha20</b:Tag>
    <b:SourceType>JournalArticle</b:SourceType>
    <b:Guid>{41E2CDFD-47CD-234B-956C-AC3629F66B29}</b:Guid>
    <b:Title>Does Financial Development influence CO2 Emissions? A Chinese Province-Level Study</b:Title>
    <b:JournalName>Energy</b:JournalName>
    <b:Year>2020</b:Year>
    <b:Author>
      <b:Author>
        <b:NameList>
          <b:Person>
            <b:Last>Zhao</b:Last>
            <b:First>B.</b:First>
          </b:Person>
          <b:Person>
            <b:Last>Yang</b:Last>
            <b:First>W.</b:First>
          </b:Person>
        </b:NameList>
      </b:Author>
    </b:Author>
    <b:RefOrder>19</b:RefOrder>
  </b:Source>
  <b:Source>
    <b:Tag>Fra99</b:Tag>
    <b:SourceType>JournalArticle</b:SourceType>
    <b:Guid>{3C2A400A-C00B-234D-B68F-9DC65A67E16D}</b:Guid>
    <b:Title>Does trade cause growth?</b:Title>
    <b:JournalName>American Economic Review</b:JournalName>
    <b:Year>1999</b:Year>
    <b:Pages>379–399</b:Pages>
    <b:Author>
      <b:Author>
        <b:NameList>
          <b:Person>
            <b:Last>Frankel</b:Last>
            <b:Middle>A.</b:Middle>
            <b:First>J.</b:First>
          </b:Person>
          <b:Person>
            <b:Last>Romer</b:Last>
            <b:Middle>H.</b:Middle>
            <b:First>D.</b:First>
          </b:Person>
        </b:NameList>
      </b:Author>
    </b:Author>
    <b:Volume>89</b:Volume>
    <b:Issue>3</b:Issue>
    <b:RefOrder>14</b:RefOrder>
  </b:Source>
  <b:Source>
    <b:Tag>Gök20</b:Tag>
    <b:SourceType>JournalArticle</b:SourceType>
    <b:Guid>{E01F6A26-4629-A84A-8FE8-E60766E78D15}</b:Guid>
    <b:Title>The Role of Financial Development on Carbon Emissions: A Meta Regression Analysis</b:Title>
    <b:JournalName>Environmental Science and Pollution Research</b:JournalName>
    <b:Year>2020</b:Year>
    <b:Pages>1-19</b:Pages>
    <b:Author>
      <b:Author>
        <b:NameList>
          <b:Person>
            <b:Last>Gök</b:Last>
            <b:First>A.</b:First>
          </b:Person>
        </b:NameList>
      </b:Author>
    </b:Author>
    <b:RefOrder>20</b:RefOrder>
  </b:Source>
</b:Sources>
</file>

<file path=customXml/itemProps1.xml><?xml version="1.0" encoding="utf-8"?>
<ds:datastoreItem xmlns:ds="http://schemas.openxmlformats.org/officeDocument/2006/customXml" ds:itemID="{57F2C894-0E5A-4AB5-95A9-919F099D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7626</Words>
  <Characters>43472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Agarwal</dc:creator>
  <cp:keywords/>
  <dc:description/>
  <cp:lastModifiedBy>SDI 1089</cp:lastModifiedBy>
  <cp:revision>145</cp:revision>
  <cp:lastPrinted>2025-10-30T14:00:00Z</cp:lastPrinted>
  <dcterms:created xsi:type="dcterms:W3CDTF">2025-10-18T09:02:00Z</dcterms:created>
  <dcterms:modified xsi:type="dcterms:W3CDTF">2026-03-26T09:33:00Z</dcterms:modified>
</cp:coreProperties>
</file>