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9D3" w:rsidRDefault="00F939D3">
      <w:pPr>
        <w:pStyle w:val="BodyText"/>
        <w:spacing w:before="9"/>
        <w:ind w:left="0"/>
        <w:rPr>
          <w:rFonts w:ascii="Lucida Sans Unicode"/>
          <w:sz w:val="22"/>
        </w:rPr>
      </w:pPr>
    </w:p>
    <w:p w:rsidR="00F939D3" w:rsidRDefault="005711C9">
      <w:pPr>
        <w:spacing w:line="360" w:lineRule="auto"/>
        <w:ind w:left="2362" w:right="1161" w:hanging="1524"/>
        <w:rPr>
          <w:rFonts w:ascii="Arial"/>
          <w:b/>
          <w:i/>
        </w:rPr>
      </w:pPr>
      <w:r>
        <w:rPr>
          <w:rFonts w:ascii="Arial"/>
          <w:b/>
        </w:rPr>
        <w:t>Phytochemical</w:t>
      </w:r>
      <w:r>
        <w:rPr>
          <w:rFonts w:ascii="Arial"/>
          <w:b/>
          <w:spacing w:val="-4"/>
        </w:rPr>
        <w:t xml:space="preserve"> </w:t>
      </w:r>
      <w:r>
        <w:rPr>
          <w:rFonts w:ascii="Arial"/>
          <w:b/>
        </w:rPr>
        <w:t>Profiling</w:t>
      </w:r>
      <w:r>
        <w:rPr>
          <w:rFonts w:ascii="Arial"/>
          <w:b/>
          <w:spacing w:val="-6"/>
        </w:rPr>
        <w:t xml:space="preserve"> </w:t>
      </w:r>
      <w:r>
        <w:rPr>
          <w:rFonts w:ascii="Arial"/>
          <w:b/>
        </w:rPr>
        <w:t>and</w:t>
      </w:r>
      <w:r>
        <w:rPr>
          <w:rFonts w:ascii="Arial"/>
          <w:b/>
          <w:spacing w:val="-4"/>
        </w:rPr>
        <w:t xml:space="preserve"> </w:t>
      </w:r>
      <w:r>
        <w:rPr>
          <w:rFonts w:ascii="Arial"/>
          <w:b/>
        </w:rPr>
        <w:t>Antibacterial</w:t>
      </w:r>
      <w:r>
        <w:rPr>
          <w:rFonts w:ascii="Arial"/>
          <w:b/>
          <w:spacing w:val="-2"/>
        </w:rPr>
        <w:t xml:space="preserve"> </w:t>
      </w:r>
      <w:r>
        <w:rPr>
          <w:rFonts w:ascii="Arial"/>
          <w:b/>
        </w:rPr>
        <w:t>Activity</w:t>
      </w:r>
      <w:r>
        <w:rPr>
          <w:rFonts w:ascii="Arial"/>
          <w:b/>
          <w:spacing w:val="-9"/>
        </w:rPr>
        <w:t xml:space="preserve"> </w:t>
      </w:r>
      <w:r>
        <w:rPr>
          <w:rFonts w:ascii="Arial"/>
          <w:b/>
        </w:rPr>
        <w:t>of</w:t>
      </w:r>
      <w:r>
        <w:rPr>
          <w:rFonts w:ascii="Arial"/>
          <w:b/>
          <w:spacing w:val="-5"/>
        </w:rPr>
        <w:t xml:space="preserve"> </w:t>
      </w:r>
      <w:r>
        <w:rPr>
          <w:rFonts w:ascii="Arial"/>
          <w:b/>
        </w:rPr>
        <w:t>Methanolic</w:t>
      </w:r>
      <w:r>
        <w:rPr>
          <w:rFonts w:ascii="Arial"/>
          <w:b/>
          <w:spacing w:val="-3"/>
        </w:rPr>
        <w:t xml:space="preserve"> </w:t>
      </w:r>
      <w:r>
        <w:rPr>
          <w:rFonts w:ascii="Arial"/>
          <w:b/>
          <w:i/>
        </w:rPr>
        <w:t>Citrus</w:t>
      </w:r>
      <w:r>
        <w:rPr>
          <w:rFonts w:ascii="Arial"/>
          <w:b/>
          <w:i/>
          <w:spacing w:val="-6"/>
        </w:rPr>
        <w:t xml:space="preserve"> </w:t>
      </w:r>
      <w:proofErr w:type="spellStart"/>
      <w:r>
        <w:rPr>
          <w:rFonts w:ascii="Arial"/>
          <w:b/>
          <w:i/>
        </w:rPr>
        <w:t>sinensis</w:t>
      </w:r>
      <w:proofErr w:type="spellEnd"/>
      <w:r>
        <w:rPr>
          <w:rFonts w:ascii="Arial"/>
          <w:b/>
          <w:i/>
          <w:spacing w:val="-5"/>
        </w:rPr>
        <w:t xml:space="preserve"> </w:t>
      </w:r>
      <w:r>
        <w:rPr>
          <w:rFonts w:ascii="Arial"/>
          <w:b/>
        </w:rPr>
        <w:t xml:space="preserve">Peel Extract on </w:t>
      </w:r>
      <w:r>
        <w:rPr>
          <w:rFonts w:ascii="Arial"/>
          <w:b/>
          <w:i/>
        </w:rPr>
        <w:t xml:space="preserve">Staphylococcus aureus </w:t>
      </w:r>
      <w:r>
        <w:rPr>
          <w:rFonts w:ascii="Arial"/>
          <w:b/>
        </w:rPr>
        <w:t xml:space="preserve">and </w:t>
      </w:r>
      <w:r>
        <w:rPr>
          <w:rFonts w:ascii="Arial"/>
          <w:b/>
          <w:i/>
        </w:rPr>
        <w:t>Escherichia coli</w:t>
      </w:r>
    </w:p>
    <w:p w:rsidR="00F939D3" w:rsidRDefault="00F939D3">
      <w:pPr>
        <w:pStyle w:val="BodyText"/>
        <w:ind w:left="0"/>
        <w:rPr>
          <w:rFonts w:ascii="Arial"/>
          <w:b/>
          <w:i/>
          <w:sz w:val="24"/>
        </w:rPr>
      </w:pPr>
    </w:p>
    <w:p w:rsidR="00F939D3" w:rsidRDefault="00F939D3">
      <w:pPr>
        <w:pStyle w:val="BodyText"/>
        <w:spacing w:before="149"/>
        <w:ind w:left="0"/>
        <w:rPr>
          <w:rFonts w:ascii="Arial"/>
          <w:b/>
          <w:i/>
          <w:sz w:val="24"/>
        </w:rPr>
      </w:pPr>
    </w:p>
    <w:p w:rsidR="00F939D3" w:rsidRDefault="005711C9">
      <w:pPr>
        <w:spacing w:line="339" w:lineRule="exact"/>
        <w:ind w:left="720"/>
        <w:rPr>
          <w:rFonts w:ascii="Lucida Sans Unicode"/>
          <w:sz w:val="24"/>
        </w:rPr>
      </w:pPr>
      <w:r>
        <w:rPr>
          <w:rFonts w:ascii="Lucida Sans Unicode"/>
          <w:spacing w:val="-2"/>
          <w:sz w:val="24"/>
        </w:rPr>
        <w:t>ABSTRACT</w:t>
      </w:r>
    </w:p>
    <w:p w:rsidR="00F939D3" w:rsidRDefault="005711C9">
      <w:pPr>
        <w:spacing w:line="200" w:lineRule="exact"/>
        <w:ind w:left="720"/>
        <w:jc w:val="both"/>
        <w:rPr>
          <w:sz w:val="20"/>
        </w:rPr>
      </w:pPr>
      <w:r>
        <w:rPr>
          <w:rFonts w:ascii="Arial"/>
          <w:b/>
          <w:sz w:val="20"/>
        </w:rPr>
        <w:t>Background:</w:t>
      </w:r>
      <w:r>
        <w:rPr>
          <w:rFonts w:ascii="Arial"/>
          <w:b/>
          <w:spacing w:val="4"/>
          <w:sz w:val="20"/>
        </w:rPr>
        <w:t xml:space="preserve"> </w:t>
      </w:r>
      <w:r>
        <w:rPr>
          <w:rFonts w:ascii="Arial"/>
          <w:i/>
          <w:sz w:val="20"/>
        </w:rPr>
        <w:t>Citrus</w:t>
      </w:r>
      <w:r>
        <w:rPr>
          <w:rFonts w:ascii="Arial"/>
          <w:i/>
          <w:spacing w:val="2"/>
          <w:sz w:val="20"/>
        </w:rPr>
        <w:t xml:space="preserve"> </w:t>
      </w:r>
      <w:proofErr w:type="spellStart"/>
      <w:r>
        <w:rPr>
          <w:rFonts w:ascii="Arial"/>
          <w:i/>
          <w:sz w:val="20"/>
        </w:rPr>
        <w:t>sinensis</w:t>
      </w:r>
      <w:proofErr w:type="spellEnd"/>
      <w:r>
        <w:rPr>
          <w:rFonts w:ascii="Arial"/>
          <w:i/>
          <w:spacing w:val="5"/>
          <w:sz w:val="20"/>
        </w:rPr>
        <w:t xml:space="preserve"> </w:t>
      </w:r>
      <w:r>
        <w:rPr>
          <w:sz w:val="20"/>
        </w:rPr>
        <w:t>is</w:t>
      </w:r>
      <w:r>
        <w:rPr>
          <w:spacing w:val="5"/>
          <w:sz w:val="20"/>
        </w:rPr>
        <w:t xml:space="preserve"> </w:t>
      </w:r>
      <w:r>
        <w:rPr>
          <w:sz w:val="20"/>
        </w:rPr>
        <w:t>an</w:t>
      </w:r>
      <w:r>
        <w:rPr>
          <w:spacing w:val="3"/>
          <w:sz w:val="20"/>
        </w:rPr>
        <w:t xml:space="preserve"> </w:t>
      </w:r>
      <w:r>
        <w:rPr>
          <w:sz w:val="20"/>
        </w:rPr>
        <w:t>important</w:t>
      </w:r>
      <w:r>
        <w:rPr>
          <w:spacing w:val="5"/>
          <w:sz w:val="20"/>
        </w:rPr>
        <w:t xml:space="preserve"> </w:t>
      </w:r>
      <w:r>
        <w:rPr>
          <w:sz w:val="20"/>
        </w:rPr>
        <w:t>commercial</w:t>
      </w:r>
      <w:r>
        <w:rPr>
          <w:spacing w:val="3"/>
          <w:sz w:val="20"/>
        </w:rPr>
        <w:t xml:space="preserve"> </w:t>
      </w:r>
      <w:r>
        <w:rPr>
          <w:sz w:val="20"/>
        </w:rPr>
        <w:t>fruit</w:t>
      </w:r>
      <w:r>
        <w:rPr>
          <w:spacing w:val="4"/>
          <w:sz w:val="20"/>
        </w:rPr>
        <w:t xml:space="preserve"> </w:t>
      </w:r>
      <w:r>
        <w:rPr>
          <w:sz w:val="20"/>
        </w:rPr>
        <w:t>crop</w:t>
      </w:r>
      <w:r>
        <w:rPr>
          <w:spacing w:val="7"/>
          <w:sz w:val="20"/>
        </w:rPr>
        <w:t xml:space="preserve"> </w:t>
      </w:r>
      <w:r>
        <w:rPr>
          <w:sz w:val="20"/>
        </w:rPr>
        <w:t>widely</w:t>
      </w:r>
      <w:r>
        <w:rPr>
          <w:spacing w:val="1"/>
          <w:sz w:val="20"/>
        </w:rPr>
        <w:t xml:space="preserve"> </w:t>
      </w:r>
      <w:r>
        <w:rPr>
          <w:sz w:val="20"/>
        </w:rPr>
        <w:t>cultivated</w:t>
      </w:r>
      <w:r>
        <w:rPr>
          <w:spacing w:val="6"/>
          <w:sz w:val="20"/>
        </w:rPr>
        <w:t xml:space="preserve"> </w:t>
      </w:r>
      <w:r>
        <w:rPr>
          <w:sz w:val="20"/>
        </w:rPr>
        <w:t>worldwide,</w:t>
      </w:r>
      <w:r>
        <w:rPr>
          <w:spacing w:val="7"/>
          <w:sz w:val="20"/>
        </w:rPr>
        <w:t xml:space="preserve"> </w:t>
      </w:r>
      <w:r>
        <w:rPr>
          <w:spacing w:val="-2"/>
          <w:sz w:val="20"/>
        </w:rPr>
        <w:t>including</w:t>
      </w:r>
    </w:p>
    <w:p w:rsidR="00F939D3" w:rsidRDefault="005711C9">
      <w:pPr>
        <w:pStyle w:val="BodyText"/>
        <w:spacing w:before="116" w:line="364" w:lineRule="auto"/>
        <w:ind w:right="1434"/>
        <w:jc w:val="both"/>
      </w:pPr>
      <w:r>
        <w:t xml:space="preserve">Nigeria, and belongs to the family </w:t>
      </w:r>
      <w:proofErr w:type="spellStart"/>
      <w:r>
        <w:t>Rutaceae</w:t>
      </w:r>
      <w:proofErr w:type="spellEnd"/>
      <w:r>
        <w:t xml:space="preserve">, with nutritional, medicinal, and economic value. </w:t>
      </w:r>
      <w:r>
        <w:rPr>
          <w:rFonts w:ascii="Arial"/>
          <w:i/>
        </w:rPr>
        <w:t xml:space="preserve">Citrus </w:t>
      </w:r>
      <w:proofErr w:type="spellStart"/>
      <w:r>
        <w:rPr>
          <w:rFonts w:ascii="Arial"/>
          <w:i/>
        </w:rPr>
        <w:t>sinensis</w:t>
      </w:r>
      <w:proofErr w:type="spellEnd"/>
      <w:r>
        <w:rPr>
          <w:rFonts w:ascii="Arial"/>
          <w:i/>
        </w:rPr>
        <w:t xml:space="preserve"> </w:t>
      </w:r>
      <w:r>
        <w:t>is commonly called the orange and is a major source of vitamins, including vitamin C, folacin, potassium, calcium, niacin, thiamine, and magnesium. It is the second most important and widely grown fruit crop after the banana, with a total global production of over 180 million tons.</w:t>
      </w:r>
    </w:p>
    <w:p w:rsidR="00F939D3" w:rsidRDefault="005711C9">
      <w:pPr>
        <w:spacing w:before="194" w:line="357" w:lineRule="auto"/>
        <w:ind w:left="720" w:right="1444"/>
        <w:jc w:val="both"/>
        <w:rPr>
          <w:rFonts w:ascii="Arial"/>
          <w:i/>
          <w:sz w:val="20"/>
        </w:rPr>
      </w:pPr>
      <w:r>
        <w:rPr>
          <w:rFonts w:ascii="Arial"/>
          <w:b/>
          <w:sz w:val="20"/>
        </w:rPr>
        <w:t xml:space="preserve">Aims: </w:t>
      </w:r>
      <w:r>
        <w:rPr>
          <w:sz w:val="20"/>
        </w:rPr>
        <w:t xml:space="preserve">This study evaluated the phytochemical composition and antibacterial activity of the methanolic peel extract of </w:t>
      </w:r>
      <w:r>
        <w:rPr>
          <w:rFonts w:ascii="Arial"/>
          <w:i/>
          <w:sz w:val="20"/>
        </w:rPr>
        <w:t xml:space="preserve">Citrus </w:t>
      </w:r>
      <w:proofErr w:type="spellStart"/>
      <w:r>
        <w:rPr>
          <w:rFonts w:ascii="Arial"/>
          <w:i/>
          <w:sz w:val="20"/>
        </w:rPr>
        <w:t>sinensis</w:t>
      </w:r>
      <w:proofErr w:type="spellEnd"/>
      <w:r>
        <w:rPr>
          <w:rFonts w:ascii="Arial"/>
          <w:i/>
          <w:sz w:val="20"/>
        </w:rPr>
        <w:t xml:space="preserve"> </w:t>
      </w:r>
      <w:r>
        <w:rPr>
          <w:sz w:val="20"/>
        </w:rPr>
        <w:t xml:space="preserve">on </w:t>
      </w:r>
      <w:r>
        <w:rPr>
          <w:rFonts w:ascii="Arial"/>
          <w:i/>
          <w:sz w:val="20"/>
        </w:rPr>
        <w:t xml:space="preserve">Staphylococcus aureus </w:t>
      </w:r>
      <w:r>
        <w:rPr>
          <w:sz w:val="20"/>
        </w:rPr>
        <w:t xml:space="preserve">and </w:t>
      </w:r>
      <w:r>
        <w:rPr>
          <w:rFonts w:ascii="Arial"/>
          <w:i/>
          <w:sz w:val="20"/>
        </w:rPr>
        <w:t>Escherichia coli.</w:t>
      </w:r>
    </w:p>
    <w:p w:rsidR="00F939D3" w:rsidRDefault="005711C9">
      <w:pPr>
        <w:pStyle w:val="BodyText"/>
        <w:spacing w:before="206" w:line="364" w:lineRule="auto"/>
        <w:ind w:right="1430"/>
        <w:jc w:val="both"/>
      </w:pPr>
      <w:r>
        <w:rPr>
          <w:rFonts w:ascii="Arial"/>
          <w:b/>
        </w:rPr>
        <w:t xml:space="preserve">Methods: </w:t>
      </w:r>
      <w:r>
        <w:t>The test organisms used in the study were obtained from the Specialist Hospital, Gombe; the plant part was extracted by maceration using methanol as the solvent. The phytochemical screening was carried out using standard protocol, while the inoculation of the test organisms was performed using standard microbiological procedures, and the antibacterial evaluation of the crude extract was conducted using the agar well diffusion method.</w:t>
      </w:r>
    </w:p>
    <w:p w:rsidR="00F939D3" w:rsidRDefault="005711C9">
      <w:pPr>
        <w:pStyle w:val="BodyText"/>
        <w:spacing w:before="199" w:line="362" w:lineRule="auto"/>
        <w:ind w:right="1432"/>
        <w:jc w:val="both"/>
        <w:rPr>
          <w:rFonts w:ascii="Arial"/>
          <w:i/>
        </w:rPr>
      </w:pPr>
      <w:r>
        <w:rPr>
          <w:rFonts w:ascii="Arial"/>
          <w:b/>
        </w:rPr>
        <w:t xml:space="preserve">Results: </w:t>
      </w:r>
      <w:r>
        <w:t xml:space="preserve">Phytochemical screening revealed the presence of bioactive compounds, including tannins, steroids, flavonoids, alkaloids, saponins, and phenolic compounds. The ethanolic extract of orange peel showed a remarkable zone of inhibition at 100mg/mL concentration against </w:t>
      </w:r>
      <w:r>
        <w:rPr>
          <w:rFonts w:ascii="Arial"/>
          <w:i/>
        </w:rPr>
        <w:t xml:space="preserve">E. coli </w:t>
      </w:r>
      <w:r>
        <w:t xml:space="preserve">(22mm) followed by 17mm at 50mg/mL concentration whereas the same extract showed a maximum zone of inhibition at 100mg/mL concentration for </w:t>
      </w:r>
      <w:r>
        <w:rPr>
          <w:rFonts w:ascii="Arial"/>
          <w:i/>
        </w:rPr>
        <w:t xml:space="preserve">S. aureus </w:t>
      </w:r>
      <w:r>
        <w:t>(16mm) followed with 14mm at 50gm/mL concentration</w:t>
      </w:r>
      <w:r>
        <w:rPr>
          <w:rFonts w:ascii="Arial"/>
          <w:i/>
        </w:rPr>
        <w:t xml:space="preserve">. </w:t>
      </w:r>
      <w:r>
        <w:t>Ciprofloxacin and clindamycin served as positive controls, producing inhibition zones of 30 mm and 23 mm, respectively. MIC and MBC values were 25 mg/mL and 50 mg/mL for</w:t>
      </w:r>
      <w:r>
        <w:rPr>
          <w:spacing w:val="40"/>
        </w:rPr>
        <w:t xml:space="preserve"> </w:t>
      </w:r>
      <w:r>
        <w:rPr>
          <w:rFonts w:ascii="Arial"/>
          <w:i/>
        </w:rPr>
        <w:t xml:space="preserve">Escherichia coli, </w:t>
      </w:r>
      <w:r>
        <w:t>and 50</w:t>
      </w:r>
      <w:r>
        <w:rPr>
          <w:spacing w:val="40"/>
        </w:rPr>
        <w:t xml:space="preserve"> </w:t>
      </w:r>
      <w:r>
        <w:t xml:space="preserve">mg/mL and 100 mg/mL for </w:t>
      </w:r>
      <w:r>
        <w:rPr>
          <w:rFonts w:ascii="Arial"/>
          <w:i/>
        </w:rPr>
        <w:t>Staphylococcus aureus.</w:t>
      </w:r>
    </w:p>
    <w:p w:rsidR="00F939D3" w:rsidRDefault="005711C9">
      <w:pPr>
        <w:pStyle w:val="BodyText"/>
        <w:spacing w:before="198" w:line="364" w:lineRule="auto"/>
        <w:ind w:right="1435"/>
        <w:jc w:val="both"/>
      </w:pPr>
      <w:r>
        <w:rPr>
          <w:rFonts w:ascii="Arial"/>
          <w:b/>
        </w:rPr>
        <w:t>Conclusion:</w:t>
      </w:r>
      <w:r>
        <w:rPr>
          <w:rFonts w:ascii="Arial"/>
          <w:b/>
          <w:spacing w:val="-2"/>
        </w:rPr>
        <w:t xml:space="preserve"> </w:t>
      </w:r>
      <w:r>
        <w:t>These</w:t>
      </w:r>
      <w:r>
        <w:rPr>
          <w:spacing w:val="-1"/>
        </w:rPr>
        <w:t xml:space="preserve"> </w:t>
      </w:r>
      <w:r>
        <w:t xml:space="preserve">findings indicate that </w:t>
      </w:r>
      <w:r>
        <w:rPr>
          <w:rFonts w:ascii="Arial"/>
          <w:i/>
        </w:rPr>
        <w:t>Citrus</w:t>
      </w:r>
      <w:r>
        <w:rPr>
          <w:rFonts w:ascii="Arial"/>
          <w:i/>
          <w:spacing w:val="-3"/>
        </w:rPr>
        <w:t xml:space="preserve"> </w:t>
      </w:r>
      <w:proofErr w:type="spellStart"/>
      <w:r>
        <w:rPr>
          <w:rFonts w:ascii="Arial"/>
          <w:i/>
        </w:rPr>
        <w:t>sinensis</w:t>
      </w:r>
      <w:proofErr w:type="spellEnd"/>
      <w:r>
        <w:rPr>
          <w:rFonts w:ascii="Arial"/>
          <w:i/>
        </w:rPr>
        <w:t xml:space="preserve"> </w:t>
      </w:r>
      <w:r>
        <w:t xml:space="preserve">peel possesses significant antibacterial potential and may serve as a natural alternative for combating bacterial infections. However, the study used only ethanol as a solvent and was unable to explore other solvents such as methanol, aqueous </w:t>
      </w:r>
      <w:proofErr w:type="spellStart"/>
      <w:r>
        <w:t>etc</w:t>
      </w:r>
      <w:proofErr w:type="spellEnd"/>
      <w:r>
        <w:t xml:space="preserve"> which may exhaustive extract all the bioactive compounds due to variation in their polarity.</w:t>
      </w:r>
    </w:p>
    <w:p w:rsidR="00F939D3" w:rsidRDefault="005711C9">
      <w:pPr>
        <w:pStyle w:val="Heading3"/>
        <w:spacing w:before="200"/>
      </w:pPr>
      <w:r>
        <w:rPr>
          <w:spacing w:val="-2"/>
        </w:rPr>
        <w:t>Keyword</w:t>
      </w:r>
    </w:p>
    <w:p w:rsidR="00F939D3" w:rsidRDefault="005711C9">
      <w:pPr>
        <w:spacing w:before="113" w:line="357" w:lineRule="auto"/>
        <w:ind w:left="720" w:right="1440"/>
        <w:jc w:val="both"/>
        <w:rPr>
          <w:rFonts w:ascii="Arial"/>
          <w:i/>
          <w:sz w:val="20"/>
        </w:rPr>
      </w:pPr>
      <w:r>
        <w:rPr>
          <w:rFonts w:ascii="Arial"/>
          <w:i/>
          <w:sz w:val="20"/>
        </w:rPr>
        <w:t xml:space="preserve">Citrus </w:t>
      </w:r>
      <w:proofErr w:type="spellStart"/>
      <w:r>
        <w:rPr>
          <w:rFonts w:ascii="Arial"/>
          <w:i/>
          <w:sz w:val="20"/>
        </w:rPr>
        <w:t>sinensis</w:t>
      </w:r>
      <w:proofErr w:type="spellEnd"/>
      <w:r>
        <w:rPr>
          <w:sz w:val="20"/>
        </w:rPr>
        <w:t xml:space="preserve">, Methanolic extract, Phytochemical screening, Antibacterial activity, </w:t>
      </w:r>
      <w:r>
        <w:rPr>
          <w:rFonts w:ascii="Arial"/>
          <w:i/>
          <w:sz w:val="20"/>
        </w:rPr>
        <w:t xml:space="preserve">Staphylococcus aureus, </w:t>
      </w:r>
      <w:r>
        <w:rPr>
          <w:sz w:val="20"/>
        </w:rPr>
        <w:t xml:space="preserve">and </w:t>
      </w:r>
      <w:r>
        <w:rPr>
          <w:rFonts w:ascii="Arial"/>
          <w:i/>
          <w:sz w:val="20"/>
        </w:rPr>
        <w:t>Escherichia coli</w:t>
      </w:r>
    </w:p>
    <w:p w:rsidR="00F939D3" w:rsidRDefault="00F939D3">
      <w:pPr>
        <w:spacing w:line="357" w:lineRule="auto"/>
        <w:jc w:val="both"/>
        <w:rPr>
          <w:rFonts w:ascii="Arial"/>
          <w:i/>
          <w:sz w:val="20"/>
        </w:rPr>
        <w:sectPr w:rsidR="00F939D3">
          <w:headerReference w:type="default" r:id="rId7"/>
          <w:type w:val="continuous"/>
          <w:pgSz w:w="12240" w:h="15840"/>
          <w:pgMar w:top="860" w:right="0" w:bottom="280" w:left="720" w:header="35" w:footer="0" w:gutter="0"/>
          <w:pgNumType w:start="1"/>
          <w:cols w:space="720"/>
        </w:sectPr>
      </w:pPr>
    </w:p>
    <w:p w:rsidR="00F939D3" w:rsidRDefault="00F939D3">
      <w:pPr>
        <w:pStyle w:val="BodyText"/>
        <w:spacing w:before="225"/>
        <w:ind w:left="0"/>
        <w:rPr>
          <w:rFonts w:ascii="Arial"/>
          <w:i/>
        </w:rPr>
      </w:pPr>
    </w:p>
    <w:p w:rsidR="00F939D3" w:rsidRDefault="00F939D3">
      <w:pPr>
        <w:pStyle w:val="BodyText"/>
        <w:rPr>
          <w:rFonts w:ascii="Arial"/>
          <w:i/>
        </w:rPr>
        <w:sectPr w:rsidR="00F939D3">
          <w:headerReference w:type="default" r:id="rId8"/>
          <w:footerReference w:type="default" r:id="rId9"/>
          <w:pgSz w:w="12240" w:h="15840"/>
          <w:pgMar w:top="860" w:right="0" w:bottom="1040" w:left="720" w:header="35" w:footer="854" w:gutter="0"/>
          <w:pgNumType w:start="2"/>
          <w:cols w:space="720"/>
        </w:sectPr>
      </w:pPr>
    </w:p>
    <w:p w:rsidR="00F939D3" w:rsidRDefault="005711C9">
      <w:pPr>
        <w:pStyle w:val="Heading1"/>
        <w:numPr>
          <w:ilvl w:val="0"/>
          <w:numId w:val="1"/>
        </w:numPr>
        <w:tabs>
          <w:tab w:val="left" w:pos="1084"/>
        </w:tabs>
        <w:spacing w:before="94"/>
        <w:ind w:left="1084" w:hanging="364"/>
      </w:pPr>
      <w:r>
        <w:rPr>
          <w:spacing w:val="-2"/>
        </w:rPr>
        <w:t>INTRODUCTION</w:t>
      </w:r>
    </w:p>
    <w:p w:rsidR="00F939D3" w:rsidRDefault="00F939D3">
      <w:pPr>
        <w:pStyle w:val="BodyText"/>
        <w:spacing w:before="80"/>
        <w:ind w:left="0"/>
        <w:rPr>
          <w:rFonts w:ascii="Arial"/>
          <w:b/>
          <w:sz w:val="22"/>
        </w:rPr>
      </w:pPr>
    </w:p>
    <w:p w:rsidR="00F939D3" w:rsidRDefault="005711C9">
      <w:pPr>
        <w:pStyle w:val="BodyText"/>
        <w:spacing w:line="364" w:lineRule="auto"/>
        <w:ind w:right="3"/>
        <w:jc w:val="both"/>
      </w:pPr>
      <w:r>
        <w:t>Medicinal plants have long played a vital role in managing infections and promoting health due</w:t>
      </w:r>
      <w:r>
        <w:rPr>
          <w:spacing w:val="80"/>
        </w:rPr>
        <w:t xml:space="preserve"> </w:t>
      </w:r>
      <w:r>
        <w:t>to their rich phytochemical profiles (</w:t>
      </w:r>
      <w:proofErr w:type="spellStart"/>
      <w:r>
        <w:t>Ahameethunisa</w:t>
      </w:r>
      <w:proofErr w:type="spellEnd"/>
      <w:r>
        <w:t xml:space="preserve"> &amp; Hopper, 2010; Bibi et al., 2011;</w:t>
      </w:r>
      <w:r>
        <w:rPr>
          <w:spacing w:val="-2"/>
        </w:rPr>
        <w:t xml:space="preserve"> </w:t>
      </w:r>
      <w:proofErr w:type="spellStart"/>
      <w:r>
        <w:t>Umer</w:t>
      </w:r>
      <w:proofErr w:type="spellEnd"/>
      <w:r>
        <w:rPr>
          <w:spacing w:val="-1"/>
        </w:rPr>
        <w:t xml:space="preserve"> </w:t>
      </w:r>
      <w:r>
        <w:t>et</w:t>
      </w:r>
      <w:r>
        <w:rPr>
          <w:spacing w:val="-2"/>
        </w:rPr>
        <w:t xml:space="preserve"> </w:t>
      </w:r>
      <w:r>
        <w:t xml:space="preserve">al., 2013; </w:t>
      </w:r>
      <w:proofErr w:type="spellStart"/>
      <w:r>
        <w:t>Awouafack</w:t>
      </w:r>
      <w:proofErr w:type="spellEnd"/>
      <w:r>
        <w:t xml:space="preserve"> et</w:t>
      </w:r>
      <w:r>
        <w:rPr>
          <w:spacing w:val="-2"/>
        </w:rPr>
        <w:t xml:space="preserve"> </w:t>
      </w:r>
      <w:r>
        <w:t>al., 2013)</w:t>
      </w:r>
    </w:p>
    <w:p w:rsidR="00F939D3" w:rsidRDefault="005711C9">
      <w:pPr>
        <w:pStyle w:val="BodyText"/>
        <w:spacing w:line="364" w:lineRule="auto"/>
        <w:jc w:val="both"/>
      </w:pPr>
      <w:r>
        <w:t xml:space="preserve">. Species such as </w:t>
      </w:r>
      <w:proofErr w:type="spellStart"/>
      <w:r>
        <w:rPr>
          <w:rFonts w:ascii="Arial"/>
          <w:i/>
        </w:rPr>
        <w:t>Azadirachta</w:t>
      </w:r>
      <w:proofErr w:type="spellEnd"/>
      <w:r>
        <w:rPr>
          <w:rFonts w:ascii="Arial"/>
          <w:i/>
        </w:rPr>
        <w:t xml:space="preserve"> </w:t>
      </w:r>
      <w:proofErr w:type="spellStart"/>
      <w:r>
        <w:rPr>
          <w:rFonts w:ascii="Arial"/>
          <w:i/>
        </w:rPr>
        <w:t>indica</w:t>
      </w:r>
      <w:proofErr w:type="spellEnd"/>
      <w:r>
        <w:rPr>
          <w:rFonts w:ascii="Arial"/>
          <w:i/>
        </w:rPr>
        <w:t xml:space="preserve"> </w:t>
      </w:r>
      <w:r>
        <w:t xml:space="preserve">(neem), </w:t>
      </w:r>
      <w:r>
        <w:rPr>
          <w:rFonts w:ascii="Arial"/>
          <w:i/>
        </w:rPr>
        <w:t xml:space="preserve">Allium sativum </w:t>
      </w:r>
      <w:r>
        <w:t xml:space="preserve">(garlic), </w:t>
      </w:r>
      <w:proofErr w:type="spellStart"/>
      <w:r>
        <w:rPr>
          <w:rFonts w:ascii="Arial"/>
          <w:i/>
        </w:rPr>
        <w:t>Zingiber</w:t>
      </w:r>
      <w:proofErr w:type="spellEnd"/>
      <w:r>
        <w:rPr>
          <w:rFonts w:ascii="Arial"/>
          <w:i/>
        </w:rPr>
        <w:t xml:space="preserve"> </w:t>
      </w:r>
      <w:proofErr w:type="spellStart"/>
      <w:r>
        <w:rPr>
          <w:rFonts w:ascii="Arial"/>
          <w:i/>
        </w:rPr>
        <w:t>officinale</w:t>
      </w:r>
      <w:proofErr w:type="spellEnd"/>
      <w:r>
        <w:rPr>
          <w:rFonts w:ascii="Arial"/>
          <w:i/>
        </w:rPr>
        <w:t xml:space="preserve"> </w:t>
      </w:r>
      <w:r>
        <w:t>(ginger),</w:t>
      </w:r>
      <w:r>
        <w:rPr>
          <w:spacing w:val="-5"/>
        </w:rPr>
        <w:t xml:space="preserve"> </w:t>
      </w:r>
      <w:r>
        <w:t>(</w:t>
      </w:r>
      <w:proofErr w:type="spellStart"/>
      <w:r>
        <w:t>Ahameethunisa</w:t>
      </w:r>
      <w:proofErr w:type="spellEnd"/>
      <w:r>
        <w:rPr>
          <w:spacing w:val="-4"/>
        </w:rPr>
        <w:t xml:space="preserve"> </w:t>
      </w:r>
      <w:r>
        <w:t>&amp;</w:t>
      </w:r>
      <w:r>
        <w:rPr>
          <w:spacing w:val="-5"/>
        </w:rPr>
        <w:t xml:space="preserve"> </w:t>
      </w:r>
      <w:r>
        <w:t>Hopper,</w:t>
      </w:r>
      <w:r>
        <w:rPr>
          <w:spacing w:val="-3"/>
        </w:rPr>
        <w:t xml:space="preserve"> </w:t>
      </w:r>
      <w:r>
        <w:t>2010;</w:t>
      </w:r>
      <w:r>
        <w:rPr>
          <w:spacing w:val="-6"/>
        </w:rPr>
        <w:t xml:space="preserve"> </w:t>
      </w:r>
      <w:proofErr w:type="spellStart"/>
      <w:r>
        <w:t>Umer</w:t>
      </w:r>
      <w:proofErr w:type="spellEnd"/>
      <w:r>
        <w:t xml:space="preserve"> et al., 2013; </w:t>
      </w:r>
      <w:proofErr w:type="spellStart"/>
      <w:r>
        <w:t>Pendota</w:t>
      </w:r>
      <w:proofErr w:type="spellEnd"/>
      <w:r>
        <w:t xml:space="preserve"> et al., 2017), </w:t>
      </w:r>
      <w:proofErr w:type="spellStart"/>
      <w:r>
        <w:rPr>
          <w:rFonts w:ascii="Arial"/>
          <w:i/>
        </w:rPr>
        <w:t>Arisaema</w:t>
      </w:r>
      <w:proofErr w:type="spellEnd"/>
      <w:r>
        <w:rPr>
          <w:rFonts w:ascii="Arial"/>
          <w:i/>
        </w:rPr>
        <w:t xml:space="preserve"> flavum </w:t>
      </w:r>
      <w:r>
        <w:t xml:space="preserve">(Bibi et al., 2011), </w:t>
      </w:r>
      <w:proofErr w:type="spellStart"/>
      <w:r>
        <w:rPr>
          <w:rFonts w:ascii="Arial"/>
          <w:i/>
        </w:rPr>
        <w:t>Syzygium</w:t>
      </w:r>
      <w:proofErr w:type="spellEnd"/>
      <w:r>
        <w:rPr>
          <w:rFonts w:ascii="Arial"/>
          <w:i/>
        </w:rPr>
        <w:t xml:space="preserve"> </w:t>
      </w:r>
      <w:proofErr w:type="spellStart"/>
      <w:r>
        <w:rPr>
          <w:rFonts w:ascii="Arial"/>
          <w:i/>
        </w:rPr>
        <w:t>cumini</w:t>
      </w:r>
      <w:proofErr w:type="spellEnd"/>
      <w:r>
        <w:rPr>
          <w:rFonts w:ascii="Arial"/>
          <w:i/>
        </w:rPr>
        <w:t xml:space="preserve"> </w:t>
      </w:r>
      <w:r>
        <w:t>(Jahan et al., 2011a) and</w:t>
      </w:r>
      <w:r>
        <w:rPr>
          <w:spacing w:val="40"/>
        </w:rPr>
        <w:t xml:space="preserve"> </w:t>
      </w:r>
      <w:r>
        <w:rPr>
          <w:rFonts w:ascii="Arial"/>
          <w:i/>
        </w:rPr>
        <w:t xml:space="preserve">Citrus </w:t>
      </w:r>
      <w:proofErr w:type="spellStart"/>
      <w:r>
        <w:rPr>
          <w:rFonts w:ascii="Arial"/>
          <w:i/>
        </w:rPr>
        <w:t>sinensis</w:t>
      </w:r>
      <w:proofErr w:type="spellEnd"/>
      <w:r>
        <w:rPr>
          <w:rFonts w:ascii="Arial"/>
          <w:i/>
        </w:rPr>
        <w:t xml:space="preserve"> </w:t>
      </w:r>
      <w:r>
        <w:t>(sweet orange) (</w:t>
      </w:r>
      <w:proofErr w:type="spellStart"/>
      <w:r>
        <w:t>Atwaa</w:t>
      </w:r>
      <w:proofErr w:type="spellEnd"/>
      <w:r>
        <w:t xml:space="preserve"> et al., 2022) possess strong antibacterial properties that inhibit the growth of various pathogenic microorganisms (</w:t>
      </w:r>
      <w:proofErr w:type="spellStart"/>
      <w:r>
        <w:t>Thielmann</w:t>
      </w:r>
      <w:proofErr w:type="spellEnd"/>
      <w:r>
        <w:t xml:space="preserve"> et</w:t>
      </w:r>
      <w:r>
        <w:rPr>
          <w:spacing w:val="-3"/>
        </w:rPr>
        <w:t xml:space="preserve"> </w:t>
      </w:r>
      <w:r>
        <w:t>al.,</w:t>
      </w:r>
      <w:r>
        <w:rPr>
          <w:spacing w:val="-3"/>
        </w:rPr>
        <w:t xml:space="preserve"> </w:t>
      </w:r>
      <w:r>
        <w:t>2019). The</w:t>
      </w:r>
      <w:r>
        <w:rPr>
          <w:spacing w:val="-3"/>
        </w:rPr>
        <w:t xml:space="preserve"> </w:t>
      </w:r>
      <w:r>
        <w:t>peels</w:t>
      </w:r>
      <w:r>
        <w:rPr>
          <w:spacing w:val="-1"/>
        </w:rPr>
        <w:t xml:space="preserve"> </w:t>
      </w:r>
      <w:r>
        <w:t xml:space="preserve">of </w:t>
      </w:r>
      <w:r>
        <w:rPr>
          <w:rFonts w:ascii="Arial"/>
          <w:i/>
        </w:rPr>
        <w:t>Citrus</w:t>
      </w:r>
      <w:r>
        <w:rPr>
          <w:rFonts w:ascii="Arial"/>
          <w:i/>
          <w:spacing w:val="-4"/>
        </w:rPr>
        <w:t xml:space="preserve"> </w:t>
      </w:r>
      <w:proofErr w:type="spellStart"/>
      <w:r>
        <w:rPr>
          <w:rFonts w:ascii="Arial"/>
          <w:i/>
        </w:rPr>
        <w:t>sinensis</w:t>
      </w:r>
      <w:proofErr w:type="spellEnd"/>
      <w:r>
        <w:rPr>
          <w:rFonts w:ascii="Arial"/>
          <w:i/>
          <w:spacing w:val="-2"/>
        </w:rPr>
        <w:t xml:space="preserve"> </w:t>
      </w:r>
      <w:r>
        <w:t>(</w:t>
      </w:r>
      <w:proofErr w:type="spellStart"/>
      <w:r>
        <w:t>Atwaa</w:t>
      </w:r>
      <w:proofErr w:type="spellEnd"/>
      <w:r>
        <w:t xml:space="preserve"> et al., 2022), in particular, are rich in flavonoids (</w:t>
      </w:r>
      <w:proofErr w:type="spellStart"/>
      <w:r>
        <w:t>Ahameethunisa</w:t>
      </w:r>
      <w:proofErr w:type="spellEnd"/>
      <w:r>
        <w:t xml:space="preserve"> &amp; Hopper, 2010), alkaloids (</w:t>
      </w:r>
      <w:proofErr w:type="spellStart"/>
      <w:r>
        <w:t>Djeussi</w:t>
      </w:r>
      <w:proofErr w:type="spellEnd"/>
      <w:r>
        <w:t xml:space="preserve"> et al., 2013), essential oils (</w:t>
      </w:r>
      <w:proofErr w:type="spellStart"/>
      <w:r>
        <w:t>Thielmann</w:t>
      </w:r>
      <w:proofErr w:type="spellEnd"/>
      <w:r>
        <w:rPr>
          <w:spacing w:val="40"/>
        </w:rPr>
        <w:t xml:space="preserve"> </w:t>
      </w:r>
      <w:r>
        <w:t>et al., 2019), and phenolic compounds that have been reported to exhibit potent antibacterial activity (</w:t>
      </w:r>
      <w:proofErr w:type="spellStart"/>
      <w:r>
        <w:t>Atwaa</w:t>
      </w:r>
      <w:proofErr w:type="spellEnd"/>
      <w:r>
        <w:t xml:space="preserve"> et al., 2022). These natural agents provide significant therapeutic value and serve as important alternatives or supplements</w:t>
      </w:r>
      <w:r>
        <w:rPr>
          <w:spacing w:val="40"/>
        </w:rPr>
        <w:t xml:space="preserve"> </w:t>
      </w:r>
      <w:r>
        <w:t>to modern antibiotic treatments.</w:t>
      </w:r>
    </w:p>
    <w:p w:rsidR="00F939D3" w:rsidRDefault="00F939D3">
      <w:pPr>
        <w:pStyle w:val="BodyText"/>
        <w:spacing w:before="104"/>
        <w:ind w:left="0"/>
      </w:pPr>
    </w:p>
    <w:p w:rsidR="00F939D3" w:rsidRDefault="005711C9">
      <w:pPr>
        <w:pStyle w:val="BodyText"/>
        <w:spacing w:line="364" w:lineRule="auto"/>
        <w:ind w:right="1"/>
        <w:jc w:val="both"/>
      </w:pPr>
      <w:r>
        <w:rPr>
          <w:rFonts w:ascii="Arial"/>
          <w:i/>
        </w:rPr>
        <w:t xml:space="preserve">Citrus </w:t>
      </w:r>
      <w:proofErr w:type="spellStart"/>
      <w:r>
        <w:rPr>
          <w:rFonts w:ascii="Arial"/>
          <w:i/>
        </w:rPr>
        <w:t>sinensis</w:t>
      </w:r>
      <w:proofErr w:type="spellEnd"/>
      <w:r>
        <w:rPr>
          <w:rFonts w:ascii="Arial"/>
          <w:i/>
        </w:rPr>
        <w:t xml:space="preserve"> </w:t>
      </w:r>
      <w:r>
        <w:t>(sweet orange) (</w:t>
      </w:r>
      <w:proofErr w:type="spellStart"/>
      <w:r>
        <w:t>Atwaa</w:t>
      </w:r>
      <w:proofErr w:type="spellEnd"/>
      <w:r>
        <w:t xml:space="preserve"> et al., 2022) is a</w:t>
      </w:r>
      <w:r>
        <w:rPr>
          <w:spacing w:val="-1"/>
        </w:rPr>
        <w:t xml:space="preserve"> </w:t>
      </w:r>
      <w:r>
        <w:t>widely</w:t>
      </w:r>
      <w:r>
        <w:rPr>
          <w:spacing w:val="-6"/>
        </w:rPr>
        <w:t xml:space="preserve"> </w:t>
      </w:r>
      <w:r>
        <w:t xml:space="preserve">cultivated </w:t>
      </w:r>
      <w:r>
        <w:rPr>
          <w:rFonts w:ascii="Arial"/>
          <w:i/>
        </w:rPr>
        <w:t>citrus</w:t>
      </w:r>
      <w:r>
        <w:rPr>
          <w:rFonts w:ascii="Arial"/>
          <w:i/>
          <w:spacing w:val="-4"/>
        </w:rPr>
        <w:t xml:space="preserve"> </w:t>
      </w:r>
      <w:r>
        <w:rPr>
          <w:rFonts w:ascii="Arial"/>
          <w:i/>
        </w:rPr>
        <w:t>species</w:t>
      </w:r>
      <w:r>
        <w:rPr>
          <w:rFonts w:ascii="Arial"/>
          <w:i/>
          <w:spacing w:val="-2"/>
        </w:rPr>
        <w:t xml:space="preserve"> </w:t>
      </w:r>
      <w:r>
        <w:t xml:space="preserve">known for its nutritional, aromatic, and medicinal value. Botanically belonging to the family </w:t>
      </w:r>
      <w:proofErr w:type="spellStart"/>
      <w:r>
        <w:t>Rutaceae</w:t>
      </w:r>
      <w:proofErr w:type="spellEnd"/>
      <w:r>
        <w:t xml:space="preserve">, </w:t>
      </w:r>
      <w:r>
        <w:rPr>
          <w:rFonts w:ascii="Arial"/>
          <w:i/>
        </w:rPr>
        <w:t xml:space="preserve">Citrus </w:t>
      </w:r>
      <w:proofErr w:type="spellStart"/>
      <w:r>
        <w:rPr>
          <w:rFonts w:ascii="Arial"/>
          <w:i/>
        </w:rPr>
        <w:t>sinensis</w:t>
      </w:r>
      <w:proofErr w:type="spellEnd"/>
      <w:r>
        <w:rPr>
          <w:rFonts w:ascii="Arial"/>
          <w:i/>
        </w:rPr>
        <w:t xml:space="preserve"> </w:t>
      </w:r>
      <w:r>
        <w:t xml:space="preserve">contains numerous bioactive secondary metabolites distributed across its peel, pulp, leaves, and seeds. Several phytochemical studies have demonstrated that extracts of </w:t>
      </w:r>
      <w:r>
        <w:rPr>
          <w:rFonts w:ascii="Arial"/>
          <w:i/>
        </w:rPr>
        <w:t xml:space="preserve">Citrus </w:t>
      </w:r>
      <w:proofErr w:type="spellStart"/>
      <w:r>
        <w:rPr>
          <w:rFonts w:ascii="Arial"/>
          <w:i/>
        </w:rPr>
        <w:t>sinensis</w:t>
      </w:r>
      <w:proofErr w:type="spellEnd"/>
      <w:r>
        <w:rPr>
          <w:rFonts w:ascii="Arial"/>
          <w:i/>
        </w:rPr>
        <w:t xml:space="preserve"> </w:t>
      </w:r>
      <w:r>
        <w:t>are rich in flavonoids, alkaloids,</w:t>
      </w:r>
      <w:r>
        <w:rPr>
          <w:spacing w:val="40"/>
        </w:rPr>
        <w:t xml:space="preserve"> </w:t>
      </w:r>
      <w:r>
        <w:t>quinones,</w:t>
      </w:r>
      <w:r>
        <w:rPr>
          <w:spacing w:val="40"/>
        </w:rPr>
        <w:t xml:space="preserve"> </w:t>
      </w:r>
      <w:r>
        <w:t>tannins,</w:t>
      </w:r>
      <w:r>
        <w:rPr>
          <w:spacing w:val="40"/>
        </w:rPr>
        <w:t xml:space="preserve"> </w:t>
      </w:r>
      <w:r>
        <w:t>saponins,</w:t>
      </w:r>
    </w:p>
    <w:p w:rsidR="00F939D3" w:rsidRDefault="005711C9">
      <w:pPr>
        <w:pStyle w:val="BodyText"/>
        <w:spacing w:before="99" w:line="364" w:lineRule="auto"/>
        <w:ind w:left="681" w:right="1435"/>
        <w:jc w:val="both"/>
      </w:pPr>
      <w:r>
        <w:br w:type="column"/>
      </w:r>
      <w:r>
        <w:t>terpenoids, essential oils, phenolic acids (</w:t>
      </w:r>
      <w:proofErr w:type="spellStart"/>
      <w:r>
        <w:t>Atwaa</w:t>
      </w:r>
      <w:proofErr w:type="spellEnd"/>
      <w:r>
        <w:t xml:space="preserve"> et al., 2022), and other antioxidant compounds (</w:t>
      </w:r>
      <w:proofErr w:type="spellStart"/>
      <w:r>
        <w:t>Pendota</w:t>
      </w:r>
      <w:proofErr w:type="spellEnd"/>
      <w:r>
        <w:t xml:space="preserve"> et al., 2017). These phytochemicals</w:t>
      </w:r>
      <w:r>
        <w:rPr>
          <w:spacing w:val="40"/>
        </w:rPr>
        <w:t xml:space="preserve"> </w:t>
      </w:r>
      <w:r>
        <w:t xml:space="preserve">are commonly identified through solvent extraction methods using ethanol (Jahan et al., 2011; </w:t>
      </w:r>
      <w:proofErr w:type="spellStart"/>
      <w:r>
        <w:t>Pirtarighat</w:t>
      </w:r>
      <w:proofErr w:type="spellEnd"/>
      <w:r>
        <w:t xml:space="preserve"> et al., 2019), methanol (Bibi et al., 2011; </w:t>
      </w:r>
      <w:proofErr w:type="spellStart"/>
      <w:r>
        <w:t>Umer</w:t>
      </w:r>
      <w:proofErr w:type="spellEnd"/>
      <w:r>
        <w:t xml:space="preserve"> et al., 2013), and aqueous ethanol (</w:t>
      </w:r>
      <w:proofErr w:type="spellStart"/>
      <w:r>
        <w:t>Atwaa</w:t>
      </w:r>
      <w:proofErr w:type="spellEnd"/>
      <w:r>
        <w:t xml:space="preserve"> et al., 2022), which have consistently shown the ability to extract significant quantities of hesperidin, naringin, limonene, linalool, </w:t>
      </w:r>
      <w:proofErr w:type="spellStart"/>
      <w:r>
        <w:t>polymethoxylated</w:t>
      </w:r>
      <w:proofErr w:type="spellEnd"/>
      <w:r>
        <w:t xml:space="preserve"> flavones, and other antimicrobial constituents. Because these compounds possess broad-spectrum antibacterial</w:t>
      </w:r>
      <w:r>
        <w:rPr>
          <w:spacing w:val="-6"/>
        </w:rPr>
        <w:t xml:space="preserve"> </w:t>
      </w:r>
      <w:r>
        <w:t>and</w:t>
      </w:r>
      <w:r>
        <w:rPr>
          <w:spacing w:val="-6"/>
        </w:rPr>
        <w:t xml:space="preserve"> </w:t>
      </w:r>
      <w:r>
        <w:t>antioxidant</w:t>
      </w:r>
      <w:r>
        <w:rPr>
          <w:spacing w:val="-6"/>
        </w:rPr>
        <w:t xml:space="preserve"> </w:t>
      </w:r>
      <w:r>
        <w:t>properties</w:t>
      </w:r>
      <w:r>
        <w:rPr>
          <w:spacing w:val="-3"/>
        </w:rPr>
        <w:t xml:space="preserve"> </w:t>
      </w:r>
      <w:r>
        <w:t>(</w:t>
      </w:r>
      <w:proofErr w:type="spellStart"/>
      <w:r>
        <w:t>Pendota</w:t>
      </w:r>
      <w:proofErr w:type="spellEnd"/>
      <w:r>
        <w:t xml:space="preserve"> et al., 2017), </w:t>
      </w:r>
      <w:r>
        <w:rPr>
          <w:rFonts w:ascii="Arial"/>
          <w:i/>
        </w:rPr>
        <w:t xml:space="preserve">Citrus </w:t>
      </w:r>
      <w:proofErr w:type="spellStart"/>
      <w:r>
        <w:rPr>
          <w:rFonts w:ascii="Arial"/>
          <w:i/>
        </w:rPr>
        <w:t>sinensis</w:t>
      </w:r>
      <w:proofErr w:type="spellEnd"/>
      <w:r>
        <w:rPr>
          <w:rFonts w:ascii="Arial"/>
          <w:i/>
        </w:rPr>
        <w:t xml:space="preserve"> </w:t>
      </w:r>
      <w:r>
        <w:t>has gained</w:t>
      </w:r>
      <w:r>
        <w:rPr>
          <w:spacing w:val="40"/>
        </w:rPr>
        <w:t xml:space="preserve"> </w:t>
      </w:r>
      <w:r>
        <w:t>research attention for inhibiting several pathogenic microorganisms.</w:t>
      </w:r>
    </w:p>
    <w:p w:rsidR="00F939D3" w:rsidRDefault="00F939D3">
      <w:pPr>
        <w:pStyle w:val="BodyText"/>
        <w:spacing w:before="128"/>
        <w:ind w:left="0"/>
      </w:pPr>
    </w:p>
    <w:p w:rsidR="00F939D3" w:rsidRDefault="005711C9">
      <w:pPr>
        <w:pStyle w:val="BodyText"/>
        <w:tabs>
          <w:tab w:val="left" w:pos="1266"/>
          <w:tab w:val="left" w:pos="1799"/>
          <w:tab w:val="left" w:pos="2450"/>
          <w:tab w:val="left" w:pos="3487"/>
        </w:tabs>
        <w:spacing w:before="1" w:line="364" w:lineRule="auto"/>
        <w:ind w:left="681" w:right="1471"/>
      </w:pPr>
      <w:r>
        <w:t>Previous</w:t>
      </w:r>
      <w:r>
        <w:rPr>
          <w:spacing w:val="40"/>
        </w:rPr>
        <w:t xml:space="preserve"> </w:t>
      </w:r>
      <w:r>
        <w:t>studies</w:t>
      </w:r>
      <w:r>
        <w:rPr>
          <w:spacing w:val="40"/>
        </w:rPr>
        <w:t xml:space="preserve"> </w:t>
      </w:r>
      <w:r>
        <w:t>have</w:t>
      </w:r>
      <w:r>
        <w:rPr>
          <w:spacing w:val="40"/>
        </w:rPr>
        <w:t xml:space="preserve"> </w:t>
      </w:r>
      <w:r>
        <w:t>reported</w:t>
      </w:r>
      <w:r>
        <w:rPr>
          <w:spacing w:val="40"/>
        </w:rPr>
        <w:t xml:space="preserve"> </w:t>
      </w:r>
      <w:r>
        <w:t>that</w:t>
      </w:r>
      <w:r>
        <w:rPr>
          <w:spacing w:val="40"/>
        </w:rPr>
        <w:t xml:space="preserve"> </w:t>
      </w:r>
      <w:r>
        <w:t xml:space="preserve">extracts, </w:t>
      </w:r>
      <w:r>
        <w:rPr>
          <w:spacing w:val="-2"/>
        </w:rPr>
        <w:t>especially</w:t>
      </w:r>
      <w:r>
        <w:tab/>
        <w:t>methanolic and ethanolic peel extracts</w:t>
      </w:r>
      <w:r>
        <w:rPr>
          <w:spacing w:val="37"/>
        </w:rPr>
        <w:t xml:space="preserve"> </w:t>
      </w:r>
      <w:r>
        <w:t>of</w:t>
      </w:r>
      <w:r>
        <w:rPr>
          <w:spacing w:val="37"/>
        </w:rPr>
        <w:t xml:space="preserve"> </w:t>
      </w:r>
      <w:r>
        <w:rPr>
          <w:rFonts w:ascii="Arial"/>
          <w:i/>
        </w:rPr>
        <w:t>Citrus</w:t>
      </w:r>
      <w:r>
        <w:rPr>
          <w:rFonts w:ascii="Arial"/>
          <w:i/>
          <w:spacing w:val="33"/>
        </w:rPr>
        <w:t xml:space="preserve"> </w:t>
      </w:r>
      <w:proofErr w:type="spellStart"/>
      <w:r>
        <w:rPr>
          <w:rFonts w:ascii="Arial"/>
          <w:i/>
        </w:rPr>
        <w:t>sinensis</w:t>
      </w:r>
      <w:proofErr w:type="spellEnd"/>
      <w:r>
        <w:rPr>
          <w:rFonts w:ascii="Arial"/>
          <w:i/>
        </w:rPr>
        <w:t>,</w:t>
      </w:r>
      <w:r>
        <w:rPr>
          <w:rFonts w:ascii="Arial"/>
          <w:i/>
          <w:spacing w:val="35"/>
        </w:rPr>
        <w:t xml:space="preserve"> </w:t>
      </w:r>
      <w:r>
        <w:t>exhibit</w:t>
      </w:r>
      <w:r>
        <w:rPr>
          <w:spacing w:val="36"/>
        </w:rPr>
        <w:t xml:space="preserve"> </w:t>
      </w:r>
      <w:r>
        <w:t>measurable antibacterial activity against</w:t>
      </w:r>
      <w:r>
        <w:rPr>
          <w:spacing w:val="-3"/>
        </w:rPr>
        <w:t xml:space="preserve"> </w:t>
      </w:r>
      <w:r>
        <w:t>both Gram-positive and</w:t>
      </w:r>
      <w:r>
        <w:rPr>
          <w:spacing w:val="40"/>
        </w:rPr>
        <w:t xml:space="preserve"> </w:t>
      </w:r>
      <w:r>
        <w:t>Gram-negative</w:t>
      </w:r>
      <w:r>
        <w:rPr>
          <w:spacing w:val="40"/>
        </w:rPr>
        <w:t xml:space="preserve"> </w:t>
      </w:r>
      <w:r>
        <w:t>bacteria</w:t>
      </w:r>
      <w:r>
        <w:rPr>
          <w:spacing w:val="40"/>
        </w:rPr>
        <w:t xml:space="preserve"> </w:t>
      </w:r>
      <w:r>
        <w:t>(</w:t>
      </w:r>
      <w:proofErr w:type="spellStart"/>
      <w:r>
        <w:t>Djeussi</w:t>
      </w:r>
      <w:proofErr w:type="spellEnd"/>
      <w:r>
        <w:rPr>
          <w:spacing w:val="40"/>
        </w:rPr>
        <w:t xml:space="preserve"> </w:t>
      </w:r>
      <w:r>
        <w:t>et</w:t>
      </w:r>
      <w:r>
        <w:rPr>
          <w:spacing w:val="40"/>
        </w:rPr>
        <w:t xml:space="preserve"> </w:t>
      </w:r>
      <w:r>
        <w:t>al., 2013). In particular, research has shown strong inhibitory potential against</w:t>
      </w:r>
      <w:r>
        <w:rPr>
          <w:spacing w:val="25"/>
        </w:rPr>
        <w:t xml:space="preserve"> </w:t>
      </w:r>
      <w:r>
        <w:rPr>
          <w:rFonts w:ascii="Arial"/>
          <w:i/>
        </w:rPr>
        <w:t xml:space="preserve">Escherichia coli </w:t>
      </w:r>
      <w:r>
        <w:t xml:space="preserve">and </w:t>
      </w:r>
      <w:r>
        <w:rPr>
          <w:rFonts w:ascii="Arial"/>
          <w:i/>
          <w:spacing w:val="-2"/>
        </w:rPr>
        <w:t>Staphylococcus</w:t>
      </w:r>
      <w:r>
        <w:rPr>
          <w:rFonts w:ascii="Arial"/>
          <w:i/>
        </w:rPr>
        <w:tab/>
      </w:r>
      <w:r>
        <w:rPr>
          <w:rFonts w:ascii="Arial"/>
          <w:i/>
          <w:spacing w:val="-2"/>
        </w:rPr>
        <w:t>aureus</w:t>
      </w:r>
      <w:r>
        <w:rPr>
          <w:spacing w:val="-2"/>
        </w:rPr>
        <w:t>,</w:t>
      </w:r>
      <w:r>
        <w:tab/>
        <w:t>two medically significant</w:t>
      </w:r>
      <w:r>
        <w:rPr>
          <w:spacing w:val="40"/>
        </w:rPr>
        <w:t xml:space="preserve"> </w:t>
      </w:r>
      <w:r>
        <w:t>pathogens</w:t>
      </w:r>
      <w:r>
        <w:rPr>
          <w:spacing w:val="40"/>
        </w:rPr>
        <w:t xml:space="preserve"> </w:t>
      </w:r>
      <w:r>
        <w:t>responsible</w:t>
      </w:r>
      <w:r>
        <w:rPr>
          <w:spacing w:val="40"/>
        </w:rPr>
        <w:t xml:space="preserve"> </w:t>
      </w:r>
      <w:r>
        <w:t>for</w:t>
      </w:r>
      <w:r>
        <w:rPr>
          <w:spacing w:val="40"/>
        </w:rPr>
        <w:t xml:space="preserve"> </w:t>
      </w:r>
      <w:r>
        <w:t>common gastrointestinal,</w:t>
      </w:r>
      <w:r>
        <w:rPr>
          <w:spacing w:val="25"/>
        </w:rPr>
        <w:t xml:space="preserve"> </w:t>
      </w:r>
      <w:r>
        <w:t>respiratory,</w:t>
      </w:r>
      <w:r>
        <w:rPr>
          <w:spacing w:val="25"/>
        </w:rPr>
        <w:t xml:space="preserve"> </w:t>
      </w:r>
      <w:r>
        <w:t>skin,</w:t>
      </w:r>
      <w:r>
        <w:rPr>
          <w:spacing w:val="24"/>
        </w:rPr>
        <w:t xml:space="preserve"> </w:t>
      </w:r>
      <w:r>
        <w:t>and</w:t>
      </w:r>
      <w:r>
        <w:rPr>
          <w:spacing w:val="25"/>
        </w:rPr>
        <w:t xml:space="preserve"> </w:t>
      </w:r>
      <w:r>
        <w:t>systemic infections</w:t>
      </w:r>
      <w:r>
        <w:rPr>
          <w:spacing w:val="25"/>
        </w:rPr>
        <w:t xml:space="preserve"> </w:t>
      </w:r>
      <w:r>
        <w:t>(</w:t>
      </w:r>
      <w:proofErr w:type="spellStart"/>
      <w:r>
        <w:t>Okigbo</w:t>
      </w:r>
      <w:proofErr w:type="spellEnd"/>
      <w:r>
        <w:rPr>
          <w:spacing w:val="24"/>
        </w:rPr>
        <w:t xml:space="preserve"> </w:t>
      </w:r>
      <w:r>
        <w:t>&amp;</w:t>
      </w:r>
      <w:r>
        <w:rPr>
          <w:spacing w:val="23"/>
        </w:rPr>
        <w:t xml:space="preserve"> </w:t>
      </w:r>
      <w:proofErr w:type="spellStart"/>
      <w:r>
        <w:t>Mmeka</w:t>
      </w:r>
      <w:proofErr w:type="spellEnd"/>
      <w:r>
        <w:t>, 2008;</w:t>
      </w:r>
      <w:r>
        <w:rPr>
          <w:spacing w:val="28"/>
        </w:rPr>
        <w:t xml:space="preserve"> </w:t>
      </w:r>
      <w:r>
        <w:t>Blanche et al.,</w:t>
      </w:r>
      <w:r>
        <w:rPr>
          <w:spacing w:val="33"/>
        </w:rPr>
        <w:t xml:space="preserve"> </w:t>
      </w:r>
      <w:r>
        <w:t>1996;</w:t>
      </w:r>
      <w:r>
        <w:rPr>
          <w:spacing w:val="35"/>
        </w:rPr>
        <w:t xml:space="preserve"> </w:t>
      </w:r>
      <w:r>
        <w:t>Snowden</w:t>
      </w:r>
      <w:r>
        <w:rPr>
          <w:spacing w:val="31"/>
        </w:rPr>
        <w:t xml:space="preserve"> </w:t>
      </w:r>
      <w:r>
        <w:t>et</w:t>
      </w:r>
      <w:r>
        <w:rPr>
          <w:spacing w:val="33"/>
        </w:rPr>
        <w:t xml:space="preserve"> </w:t>
      </w:r>
      <w:r>
        <w:t>al.,</w:t>
      </w:r>
      <w:r>
        <w:rPr>
          <w:spacing w:val="35"/>
        </w:rPr>
        <w:t xml:space="preserve"> </w:t>
      </w:r>
      <w:r>
        <w:t>2014;</w:t>
      </w:r>
      <w:r>
        <w:rPr>
          <w:spacing w:val="31"/>
        </w:rPr>
        <w:t xml:space="preserve"> </w:t>
      </w:r>
      <w:proofErr w:type="spellStart"/>
      <w:r>
        <w:t>Thielmann</w:t>
      </w:r>
      <w:proofErr w:type="spellEnd"/>
      <w:r>
        <w:rPr>
          <w:spacing w:val="31"/>
        </w:rPr>
        <w:t xml:space="preserve"> </w:t>
      </w:r>
      <w:r>
        <w:t>et al.,</w:t>
      </w:r>
      <w:r>
        <w:rPr>
          <w:spacing w:val="40"/>
        </w:rPr>
        <w:t xml:space="preserve"> </w:t>
      </w:r>
      <w:r>
        <w:t>2019;</w:t>
      </w:r>
      <w:r>
        <w:rPr>
          <w:spacing w:val="40"/>
        </w:rPr>
        <w:t xml:space="preserve"> </w:t>
      </w:r>
      <w:r>
        <w:t>Elisha</w:t>
      </w:r>
      <w:r>
        <w:rPr>
          <w:spacing w:val="40"/>
        </w:rPr>
        <w:t xml:space="preserve"> </w:t>
      </w:r>
      <w:r>
        <w:t>et</w:t>
      </w:r>
      <w:r>
        <w:rPr>
          <w:spacing w:val="40"/>
        </w:rPr>
        <w:t xml:space="preserve"> </w:t>
      </w:r>
      <w:r>
        <w:t>al.,</w:t>
      </w:r>
      <w:r>
        <w:rPr>
          <w:spacing w:val="40"/>
        </w:rPr>
        <w:t xml:space="preserve"> </w:t>
      </w:r>
      <w:r>
        <w:t>2017).</w:t>
      </w:r>
      <w:r>
        <w:rPr>
          <w:spacing w:val="40"/>
        </w:rPr>
        <w:t xml:space="preserve"> </w:t>
      </w:r>
      <w:r>
        <w:t>These</w:t>
      </w:r>
      <w:r>
        <w:rPr>
          <w:spacing w:val="40"/>
        </w:rPr>
        <w:t xml:space="preserve"> </w:t>
      </w:r>
      <w:r>
        <w:t>findings support</w:t>
      </w:r>
      <w:r>
        <w:rPr>
          <w:spacing w:val="38"/>
        </w:rPr>
        <w:t xml:space="preserve"> </w:t>
      </w:r>
      <w:r>
        <w:t>the</w:t>
      </w:r>
      <w:r>
        <w:rPr>
          <w:spacing w:val="37"/>
        </w:rPr>
        <w:t xml:space="preserve"> </w:t>
      </w:r>
      <w:r>
        <w:t>increasing</w:t>
      </w:r>
      <w:r>
        <w:rPr>
          <w:spacing w:val="40"/>
        </w:rPr>
        <w:t xml:space="preserve"> </w:t>
      </w:r>
      <w:r>
        <w:t>interest</w:t>
      </w:r>
      <w:r>
        <w:rPr>
          <w:spacing w:val="37"/>
        </w:rPr>
        <w:t xml:space="preserve"> </w:t>
      </w:r>
      <w:r>
        <w:t>in</w:t>
      </w:r>
      <w:r>
        <w:rPr>
          <w:spacing w:val="37"/>
        </w:rPr>
        <w:t xml:space="preserve"> </w:t>
      </w:r>
      <w:r>
        <w:t>using</w:t>
      </w:r>
      <w:r>
        <w:rPr>
          <w:spacing w:val="37"/>
        </w:rPr>
        <w:t xml:space="preserve"> </w:t>
      </w:r>
      <w:r>
        <w:rPr>
          <w:rFonts w:ascii="Arial"/>
          <w:i/>
        </w:rPr>
        <w:t>citrus</w:t>
      </w:r>
      <w:r>
        <w:t>- based phytochemicals as alternative or complementary</w:t>
      </w:r>
      <w:r>
        <w:rPr>
          <w:spacing w:val="17"/>
        </w:rPr>
        <w:t xml:space="preserve"> </w:t>
      </w:r>
      <w:r>
        <w:t>antimicrobial</w:t>
      </w:r>
      <w:r>
        <w:rPr>
          <w:spacing w:val="16"/>
        </w:rPr>
        <w:t xml:space="preserve"> </w:t>
      </w:r>
      <w:r>
        <w:t>agents,</w:t>
      </w:r>
      <w:r>
        <w:rPr>
          <w:spacing w:val="18"/>
        </w:rPr>
        <w:t xml:space="preserve"> </w:t>
      </w:r>
      <w:r>
        <w:t xml:space="preserve">especially as global antibiotic resistance continues to rise. </w:t>
      </w:r>
      <w:r>
        <w:rPr>
          <w:spacing w:val="-4"/>
        </w:rPr>
        <w:t>The</w:t>
      </w:r>
      <w:r>
        <w:tab/>
        <w:t xml:space="preserve">exploration </w:t>
      </w:r>
      <w:proofErr w:type="spellStart"/>
      <w:r>
        <w:t>ofmedicinal</w:t>
      </w:r>
      <w:proofErr w:type="spellEnd"/>
      <w:r>
        <w:tab/>
        <w:t>plants for therapeutic</w:t>
      </w:r>
      <w:r>
        <w:rPr>
          <w:spacing w:val="40"/>
        </w:rPr>
        <w:t xml:space="preserve"> </w:t>
      </w:r>
      <w:r>
        <w:t>drug</w:t>
      </w:r>
      <w:r>
        <w:rPr>
          <w:spacing w:val="40"/>
        </w:rPr>
        <w:t xml:space="preserve"> </w:t>
      </w:r>
      <w:r>
        <w:t>development</w:t>
      </w:r>
      <w:r>
        <w:rPr>
          <w:spacing w:val="40"/>
        </w:rPr>
        <w:t xml:space="preserve"> </w:t>
      </w:r>
      <w:r>
        <w:t>is</w:t>
      </w:r>
      <w:r>
        <w:rPr>
          <w:spacing w:val="40"/>
        </w:rPr>
        <w:t xml:space="preserve"> </w:t>
      </w:r>
      <w:r>
        <w:t>not</w:t>
      </w:r>
      <w:r>
        <w:rPr>
          <w:spacing w:val="40"/>
        </w:rPr>
        <w:t xml:space="preserve"> </w:t>
      </w:r>
      <w:r>
        <w:t>new.</w:t>
      </w:r>
    </w:p>
    <w:p w:rsidR="00F939D3" w:rsidRDefault="00F939D3">
      <w:pPr>
        <w:pStyle w:val="BodyText"/>
        <w:spacing w:line="364" w:lineRule="auto"/>
        <w:sectPr w:rsidR="00F939D3">
          <w:type w:val="continuous"/>
          <w:pgSz w:w="12240" w:h="15840"/>
          <w:pgMar w:top="860" w:right="0" w:bottom="280" w:left="720" w:header="35" w:footer="854" w:gutter="0"/>
          <w:cols w:num="2" w:space="720" w:equalWidth="0">
            <w:col w:w="5043" w:space="40"/>
            <w:col w:w="6437"/>
          </w:cols>
        </w:sectPr>
      </w:pPr>
    </w:p>
    <w:p w:rsidR="00F939D3" w:rsidRDefault="00F939D3">
      <w:pPr>
        <w:pStyle w:val="BodyText"/>
        <w:ind w:left="0"/>
      </w:pPr>
    </w:p>
    <w:p w:rsidR="00F939D3" w:rsidRDefault="00F939D3">
      <w:pPr>
        <w:pStyle w:val="BodyText"/>
        <w:spacing w:before="5"/>
        <w:ind w:left="0"/>
      </w:pPr>
    </w:p>
    <w:p w:rsidR="00F939D3" w:rsidRDefault="00F939D3">
      <w:pPr>
        <w:pStyle w:val="BodyText"/>
        <w:sectPr w:rsidR="00F939D3">
          <w:pgSz w:w="12240" w:h="15840"/>
          <w:pgMar w:top="860" w:right="0" w:bottom="1200" w:left="720" w:header="35" w:footer="854" w:gutter="0"/>
          <w:cols w:space="720"/>
        </w:sectPr>
      </w:pPr>
    </w:p>
    <w:p w:rsidR="00F939D3" w:rsidRDefault="005711C9">
      <w:pPr>
        <w:pStyle w:val="BodyText"/>
        <w:spacing w:before="96" w:line="364" w:lineRule="auto"/>
        <w:jc w:val="both"/>
      </w:pPr>
      <w:r>
        <w:t>Historically, several commercially important drugs originate from plant-derived compounds such as quinine, artemisinin, morphine, aspirin, and vincristine demonstrating the</w:t>
      </w:r>
      <w:r>
        <w:rPr>
          <w:spacing w:val="40"/>
        </w:rPr>
        <w:t xml:space="preserve"> </w:t>
      </w:r>
      <w:r>
        <w:t>pharmaceutical potential of natural products. Numerous modern antibiotics, antivirals, antifungals (</w:t>
      </w:r>
      <w:proofErr w:type="spellStart"/>
      <w:r>
        <w:t>Sulub</w:t>
      </w:r>
      <w:proofErr w:type="spellEnd"/>
      <w:r>
        <w:t>-Tun et al., 2020), and anticancer agents have been developed or inspired by phytochemicals, emphasizing the significance of plant-based research in discovering</w:t>
      </w:r>
      <w:r>
        <w:rPr>
          <w:spacing w:val="-1"/>
        </w:rPr>
        <w:t xml:space="preserve"> </w:t>
      </w:r>
      <w:r>
        <w:t xml:space="preserve">new, effective, and safer therapeutic agents. This has encouraged continued investigation into easily accessible medicinal plants like </w:t>
      </w:r>
      <w:r>
        <w:rPr>
          <w:rFonts w:ascii="Arial"/>
          <w:i/>
        </w:rPr>
        <w:t xml:space="preserve">Citrus </w:t>
      </w:r>
      <w:proofErr w:type="spellStart"/>
      <w:r>
        <w:rPr>
          <w:rFonts w:ascii="Arial"/>
          <w:i/>
        </w:rPr>
        <w:t>sinensis</w:t>
      </w:r>
      <w:proofErr w:type="spellEnd"/>
      <w:r>
        <w:rPr>
          <w:rFonts w:ascii="Arial"/>
          <w:i/>
        </w:rPr>
        <w:t xml:space="preserve"> </w:t>
      </w:r>
      <w:r>
        <w:t xml:space="preserve">for their antimicrobial </w:t>
      </w:r>
      <w:r>
        <w:rPr>
          <w:spacing w:val="-2"/>
        </w:rPr>
        <w:t>value.</w:t>
      </w:r>
    </w:p>
    <w:p w:rsidR="00F939D3" w:rsidRDefault="00F939D3">
      <w:pPr>
        <w:pStyle w:val="BodyText"/>
        <w:spacing w:before="122"/>
        <w:ind w:left="0"/>
      </w:pPr>
    </w:p>
    <w:p w:rsidR="00F939D3" w:rsidRDefault="005711C9">
      <w:pPr>
        <w:pStyle w:val="BodyText"/>
        <w:spacing w:line="364" w:lineRule="auto"/>
        <w:jc w:val="both"/>
      </w:pPr>
      <w:r>
        <w:rPr>
          <w:rFonts w:ascii="Arial"/>
          <w:i/>
        </w:rPr>
        <w:t xml:space="preserve">Escherichia coli </w:t>
      </w:r>
      <w:r>
        <w:t>is a Gram-negative, rod-shaped bacterium commonly found in the human gastrointestinal</w:t>
      </w:r>
      <w:r>
        <w:rPr>
          <w:spacing w:val="-1"/>
        </w:rPr>
        <w:t xml:space="preserve"> </w:t>
      </w:r>
      <w:r>
        <w:t>tract (</w:t>
      </w:r>
      <w:proofErr w:type="spellStart"/>
      <w:r>
        <w:t>Djeussi</w:t>
      </w:r>
      <w:proofErr w:type="spellEnd"/>
      <w:r>
        <w:rPr>
          <w:spacing w:val="-1"/>
        </w:rPr>
        <w:t xml:space="preserve"> </w:t>
      </w:r>
      <w:r>
        <w:t>et</w:t>
      </w:r>
      <w:r>
        <w:rPr>
          <w:spacing w:val="-2"/>
        </w:rPr>
        <w:t xml:space="preserve"> </w:t>
      </w:r>
      <w:r>
        <w:t>al.,</w:t>
      </w:r>
      <w:r>
        <w:rPr>
          <w:spacing w:val="-1"/>
        </w:rPr>
        <w:t xml:space="preserve"> </w:t>
      </w:r>
      <w:r>
        <w:t>2013).</w:t>
      </w:r>
      <w:r>
        <w:rPr>
          <w:spacing w:val="-1"/>
        </w:rPr>
        <w:t xml:space="preserve"> </w:t>
      </w:r>
      <w:r>
        <w:t>While many strains are harmless, pathogenic strains can cause severe diarrheal diseases (</w:t>
      </w:r>
      <w:proofErr w:type="spellStart"/>
      <w:r>
        <w:t>Umer</w:t>
      </w:r>
      <w:proofErr w:type="spellEnd"/>
      <w:r>
        <w:t xml:space="preserve"> et al.,</w:t>
      </w:r>
      <w:r>
        <w:rPr>
          <w:spacing w:val="-2"/>
        </w:rPr>
        <w:t xml:space="preserve"> </w:t>
      </w:r>
      <w:r>
        <w:t>2013),</w:t>
      </w:r>
      <w:r>
        <w:rPr>
          <w:spacing w:val="-1"/>
        </w:rPr>
        <w:t xml:space="preserve"> </w:t>
      </w:r>
      <w:r>
        <w:t>urinary</w:t>
      </w:r>
      <w:r>
        <w:rPr>
          <w:spacing w:val="-4"/>
        </w:rPr>
        <w:t xml:space="preserve"> </w:t>
      </w:r>
      <w:r>
        <w:t>tract</w:t>
      </w:r>
      <w:r>
        <w:rPr>
          <w:spacing w:val="-3"/>
        </w:rPr>
        <w:t xml:space="preserve"> </w:t>
      </w:r>
      <w:r>
        <w:t>infections, and</w:t>
      </w:r>
      <w:r>
        <w:rPr>
          <w:spacing w:val="-3"/>
        </w:rPr>
        <w:t xml:space="preserve"> </w:t>
      </w:r>
      <w:r>
        <w:t>foodborne illnesses (</w:t>
      </w:r>
      <w:proofErr w:type="spellStart"/>
      <w:r>
        <w:t>Umer</w:t>
      </w:r>
      <w:proofErr w:type="spellEnd"/>
      <w:r>
        <w:t xml:space="preserve"> et al., 2013). Its intrinsic resistance mechanisms, including outer membrane impermeability, often make it difficult to treat, thereby increasing the need for alternative antimicrobial agents derived from natural sources.</w:t>
      </w:r>
    </w:p>
    <w:p w:rsidR="00F939D3" w:rsidRDefault="005711C9">
      <w:pPr>
        <w:pStyle w:val="BodyText"/>
        <w:spacing w:before="9" w:line="364" w:lineRule="auto"/>
        <w:jc w:val="both"/>
      </w:pPr>
      <w:r>
        <w:rPr>
          <w:rFonts w:ascii="Arial"/>
          <w:i/>
        </w:rPr>
        <w:t xml:space="preserve">Staphylococcus aureus, </w:t>
      </w:r>
      <w:r>
        <w:t>on the other hand, is a Gram-positive coccus associated with skin infections, wound infections, pneumonia,</w:t>
      </w:r>
      <w:r>
        <w:rPr>
          <w:spacing w:val="-1"/>
        </w:rPr>
        <w:t xml:space="preserve"> </w:t>
      </w:r>
      <w:r>
        <w:t>sepsis, and toxin-mediated diseases (</w:t>
      </w:r>
      <w:proofErr w:type="spellStart"/>
      <w:r>
        <w:t>Okigbo</w:t>
      </w:r>
      <w:proofErr w:type="spellEnd"/>
      <w:r>
        <w:t xml:space="preserve"> &amp; </w:t>
      </w:r>
      <w:proofErr w:type="spellStart"/>
      <w:r>
        <w:t>Mmeka</w:t>
      </w:r>
      <w:proofErr w:type="spellEnd"/>
      <w:r>
        <w:t xml:space="preserve">, 2008; Palma &amp; Cheung, 2001). Due to the widespread emergence of methicillin-resistant </w:t>
      </w:r>
      <w:r>
        <w:rPr>
          <w:rFonts w:ascii="Arial"/>
          <w:i/>
        </w:rPr>
        <w:t xml:space="preserve">Staphylococcus aureus </w:t>
      </w:r>
      <w:r>
        <w:t>(MRSA) and other multidrug-resistant strains, this pathogen represents</w:t>
      </w:r>
      <w:r>
        <w:rPr>
          <w:spacing w:val="-2"/>
        </w:rPr>
        <w:t xml:space="preserve"> </w:t>
      </w:r>
      <w:r>
        <w:t>a</w:t>
      </w:r>
      <w:r>
        <w:rPr>
          <w:spacing w:val="-5"/>
        </w:rPr>
        <w:t xml:space="preserve"> </w:t>
      </w:r>
      <w:r>
        <w:t>major</w:t>
      </w:r>
      <w:r>
        <w:rPr>
          <w:spacing w:val="-6"/>
        </w:rPr>
        <w:t xml:space="preserve"> </w:t>
      </w:r>
      <w:r>
        <w:t>clinical</w:t>
      </w:r>
      <w:r>
        <w:rPr>
          <w:spacing w:val="-2"/>
        </w:rPr>
        <w:t xml:space="preserve"> </w:t>
      </w:r>
      <w:r>
        <w:t>challenge</w:t>
      </w:r>
      <w:r>
        <w:rPr>
          <w:spacing w:val="-1"/>
        </w:rPr>
        <w:t xml:space="preserve"> </w:t>
      </w:r>
      <w:r>
        <w:t>(Blanche</w:t>
      </w:r>
      <w:r>
        <w:rPr>
          <w:spacing w:val="-4"/>
        </w:rPr>
        <w:t xml:space="preserve"> </w:t>
      </w:r>
      <w:r>
        <w:t>et</w:t>
      </w:r>
    </w:p>
    <w:p w:rsidR="00F939D3" w:rsidRDefault="005711C9">
      <w:pPr>
        <w:pStyle w:val="BodyText"/>
        <w:spacing w:before="96" w:line="362" w:lineRule="auto"/>
        <w:ind w:left="682" w:right="1435"/>
        <w:jc w:val="both"/>
      </w:pPr>
      <w:r>
        <w:br w:type="column"/>
      </w:r>
      <w:r>
        <w:t>al., 1996). Natural plant extracts with potent antibacterial properties (Palma &amp; Cheung, 2001; Snowden et al., 2014), such as those from</w:t>
      </w:r>
      <w:r>
        <w:rPr>
          <w:spacing w:val="80"/>
        </w:rPr>
        <w:t xml:space="preserve"> </w:t>
      </w:r>
      <w:r>
        <w:rPr>
          <w:rFonts w:ascii="Arial"/>
          <w:i/>
        </w:rPr>
        <w:t xml:space="preserve">Citrus </w:t>
      </w:r>
      <w:proofErr w:type="spellStart"/>
      <w:r>
        <w:rPr>
          <w:rFonts w:ascii="Arial"/>
          <w:i/>
        </w:rPr>
        <w:t>sinensis</w:t>
      </w:r>
      <w:proofErr w:type="spellEnd"/>
      <w:r>
        <w:t xml:space="preserve">, may offer promising complementary strategies for limiting the growth and pathogenicity of </w:t>
      </w:r>
      <w:r>
        <w:rPr>
          <w:rFonts w:ascii="Arial"/>
          <w:i/>
        </w:rPr>
        <w:t>S. aureus</w:t>
      </w:r>
      <w:r>
        <w:t>.</w:t>
      </w:r>
    </w:p>
    <w:p w:rsidR="00F939D3" w:rsidRDefault="005711C9">
      <w:pPr>
        <w:spacing w:before="7" w:line="364" w:lineRule="auto"/>
        <w:ind w:left="682" w:right="1431"/>
        <w:jc w:val="both"/>
        <w:rPr>
          <w:sz w:val="20"/>
        </w:rPr>
      </w:pPr>
      <w:r>
        <w:rPr>
          <w:sz w:val="20"/>
        </w:rPr>
        <w:t xml:space="preserve">Therefore, evaluating the antibacterial activity of </w:t>
      </w:r>
      <w:r>
        <w:rPr>
          <w:rFonts w:ascii="Arial"/>
          <w:i/>
          <w:sz w:val="20"/>
        </w:rPr>
        <w:t xml:space="preserve">Citrus </w:t>
      </w:r>
      <w:proofErr w:type="spellStart"/>
      <w:r>
        <w:rPr>
          <w:rFonts w:ascii="Arial"/>
          <w:i/>
          <w:sz w:val="20"/>
        </w:rPr>
        <w:t>sinensis</w:t>
      </w:r>
      <w:proofErr w:type="spellEnd"/>
      <w:r>
        <w:rPr>
          <w:rFonts w:ascii="Arial"/>
          <w:i/>
          <w:sz w:val="20"/>
        </w:rPr>
        <w:t xml:space="preserve"> </w:t>
      </w:r>
      <w:r>
        <w:rPr>
          <w:sz w:val="20"/>
        </w:rPr>
        <w:t xml:space="preserve">against </w:t>
      </w:r>
      <w:r>
        <w:rPr>
          <w:rFonts w:ascii="Arial"/>
          <w:i/>
          <w:sz w:val="20"/>
        </w:rPr>
        <w:t xml:space="preserve">Escherichia coli </w:t>
      </w:r>
      <w:r>
        <w:rPr>
          <w:sz w:val="20"/>
        </w:rPr>
        <w:t xml:space="preserve">and </w:t>
      </w:r>
      <w:r>
        <w:rPr>
          <w:rFonts w:ascii="Arial"/>
          <w:i/>
          <w:sz w:val="20"/>
        </w:rPr>
        <w:t xml:space="preserve">Staphylococcus aureus </w:t>
      </w:r>
      <w:r>
        <w:rPr>
          <w:sz w:val="20"/>
        </w:rPr>
        <w:t>is essential for understanding its therapeutic potential and for expanding the scientific basis for plant-derived antimicrobial agents.</w:t>
      </w:r>
    </w:p>
    <w:p w:rsidR="00F939D3" w:rsidRDefault="005711C9">
      <w:pPr>
        <w:spacing w:before="198" w:line="360" w:lineRule="auto"/>
        <w:ind w:left="682" w:right="1435"/>
        <w:jc w:val="both"/>
        <w:rPr>
          <w:rFonts w:ascii="Arial"/>
          <w:i/>
          <w:sz w:val="20"/>
        </w:rPr>
      </w:pPr>
      <w:r>
        <w:rPr>
          <w:sz w:val="20"/>
        </w:rPr>
        <w:t xml:space="preserve">The study aims to evaluate the antibacterial activity of the peel of </w:t>
      </w:r>
      <w:r>
        <w:rPr>
          <w:rFonts w:ascii="Arial"/>
          <w:i/>
          <w:sz w:val="20"/>
        </w:rPr>
        <w:t xml:space="preserve">Citrus </w:t>
      </w:r>
      <w:proofErr w:type="spellStart"/>
      <w:r>
        <w:rPr>
          <w:rFonts w:ascii="Arial"/>
          <w:i/>
          <w:sz w:val="20"/>
        </w:rPr>
        <w:t>sinensis</w:t>
      </w:r>
      <w:proofErr w:type="spellEnd"/>
      <w:r>
        <w:rPr>
          <w:rFonts w:ascii="Arial"/>
          <w:i/>
          <w:sz w:val="20"/>
        </w:rPr>
        <w:t xml:space="preserve"> </w:t>
      </w:r>
      <w:r>
        <w:rPr>
          <w:sz w:val="20"/>
        </w:rPr>
        <w:t xml:space="preserve">extract against </w:t>
      </w:r>
      <w:r>
        <w:rPr>
          <w:rFonts w:ascii="Arial"/>
          <w:i/>
          <w:sz w:val="20"/>
        </w:rPr>
        <w:t xml:space="preserve">Staphylococcus aureus </w:t>
      </w:r>
      <w:r>
        <w:rPr>
          <w:sz w:val="20"/>
        </w:rPr>
        <w:t xml:space="preserve">and </w:t>
      </w:r>
      <w:r>
        <w:rPr>
          <w:rFonts w:ascii="Arial"/>
          <w:i/>
          <w:sz w:val="20"/>
        </w:rPr>
        <w:t xml:space="preserve">Escherichia </w:t>
      </w:r>
      <w:r>
        <w:rPr>
          <w:rFonts w:ascii="Arial"/>
          <w:i/>
          <w:spacing w:val="-2"/>
          <w:sz w:val="20"/>
        </w:rPr>
        <w:t>coli.</w:t>
      </w:r>
    </w:p>
    <w:p w:rsidR="00F939D3" w:rsidRDefault="005711C9">
      <w:pPr>
        <w:pStyle w:val="Heading1"/>
        <w:numPr>
          <w:ilvl w:val="0"/>
          <w:numId w:val="1"/>
        </w:numPr>
        <w:tabs>
          <w:tab w:val="left" w:pos="1087"/>
        </w:tabs>
        <w:spacing w:before="198"/>
        <w:ind w:left="1087" w:hanging="367"/>
      </w:pPr>
      <w:r>
        <w:t>MATERIALS</w:t>
      </w:r>
      <w:r>
        <w:rPr>
          <w:spacing w:val="-11"/>
        </w:rPr>
        <w:t xml:space="preserve"> </w:t>
      </w:r>
      <w:r>
        <w:t>AND</w:t>
      </w:r>
      <w:r>
        <w:rPr>
          <w:spacing w:val="-11"/>
        </w:rPr>
        <w:t xml:space="preserve"> </w:t>
      </w:r>
      <w:r>
        <w:rPr>
          <w:spacing w:val="-2"/>
        </w:rPr>
        <w:t>METHODS</w:t>
      </w:r>
    </w:p>
    <w:p w:rsidR="00F939D3" w:rsidRDefault="00F939D3">
      <w:pPr>
        <w:pStyle w:val="BodyText"/>
        <w:spacing w:before="74"/>
        <w:ind w:left="0"/>
        <w:rPr>
          <w:rFonts w:ascii="Arial"/>
          <w:b/>
          <w:sz w:val="22"/>
        </w:rPr>
      </w:pPr>
    </w:p>
    <w:p w:rsidR="00F939D3" w:rsidRDefault="005711C9">
      <w:pPr>
        <w:pStyle w:val="Heading2"/>
        <w:numPr>
          <w:ilvl w:val="1"/>
          <w:numId w:val="1"/>
        </w:numPr>
        <w:tabs>
          <w:tab w:val="left" w:pos="1089"/>
        </w:tabs>
        <w:ind w:left="1089" w:hanging="369"/>
      </w:pPr>
      <w:r>
        <w:t>Study</w:t>
      </w:r>
      <w:r>
        <w:rPr>
          <w:spacing w:val="-11"/>
        </w:rPr>
        <w:t xml:space="preserve"> </w:t>
      </w:r>
      <w:r>
        <w:rPr>
          <w:spacing w:val="-4"/>
        </w:rPr>
        <w:t>Area</w:t>
      </w:r>
    </w:p>
    <w:p w:rsidR="00F939D3" w:rsidRDefault="00F939D3">
      <w:pPr>
        <w:pStyle w:val="BodyText"/>
        <w:spacing w:before="77"/>
        <w:ind w:left="0"/>
        <w:rPr>
          <w:rFonts w:ascii="Arial"/>
          <w:b/>
          <w:sz w:val="22"/>
        </w:rPr>
      </w:pPr>
    </w:p>
    <w:p w:rsidR="00F939D3" w:rsidRDefault="005711C9">
      <w:pPr>
        <w:pStyle w:val="BodyText"/>
        <w:spacing w:line="364" w:lineRule="auto"/>
        <w:ind w:left="682" w:right="1434"/>
        <w:jc w:val="both"/>
      </w:pPr>
      <w:r>
        <w:t xml:space="preserve">This study was carried out in </w:t>
      </w:r>
      <w:proofErr w:type="spellStart"/>
      <w:r>
        <w:t>Tudun</w:t>
      </w:r>
      <w:proofErr w:type="spellEnd"/>
      <w:r>
        <w:t xml:space="preserve"> Wada, Gombe State, Nigeria, within the premises of Gombe State University (GSU). Gombe State is located in the North-eastern region of Nigeria and experiences a tropical savannah climate characterized by distinct dry and rainy seasons, with average ambient temperatures ranging between 27–35°C. These climatic conditions are suitable for the collection and processing of</w:t>
      </w:r>
      <w:r>
        <w:rPr>
          <w:spacing w:val="80"/>
        </w:rPr>
        <w:t xml:space="preserve"> </w:t>
      </w:r>
      <w:r>
        <w:t xml:space="preserve">plant materials such as </w:t>
      </w:r>
      <w:r>
        <w:rPr>
          <w:rFonts w:ascii="Arial" w:hAnsi="Arial"/>
          <w:i/>
        </w:rPr>
        <w:t xml:space="preserve">Citrus </w:t>
      </w:r>
      <w:proofErr w:type="spellStart"/>
      <w:r>
        <w:rPr>
          <w:rFonts w:ascii="Arial" w:hAnsi="Arial"/>
          <w:i/>
        </w:rPr>
        <w:t>sinensis</w:t>
      </w:r>
      <w:proofErr w:type="spellEnd"/>
      <w:r>
        <w:t>. All laboratory analyses were conducted within two specialized laboratories at GSU. The Microbiology Laboratory was utilized for all bacteriological procedures, including the handling of clinical isolates, preparation of bacterial</w:t>
      </w:r>
      <w:r>
        <w:rPr>
          <w:spacing w:val="-1"/>
        </w:rPr>
        <w:t xml:space="preserve"> </w:t>
      </w:r>
      <w:r>
        <w:t>cultures,</w:t>
      </w:r>
      <w:r>
        <w:rPr>
          <w:spacing w:val="-1"/>
        </w:rPr>
        <w:t xml:space="preserve"> </w:t>
      </w:r>
      <w:r>
        <w:t>inoculum standardization, and antibacterial</w:t>
      </w:r>
      <w:r>
        <w:rPr>
          <w:spacing w:val="40"/>
        </w:rPr>
        <w:t xml:space="preserve"> </w:t>
      </w:r>
      <w:r>
        <w:t>sensitivity</w:t>
      </w:r>
      <w:r>
        <w:rPr>
          <w:spacing w:val="40"/>
        </w:rPr>
        <w:t xml:space="preserve"> </w:t>
      </w:r>
      <w:r>
        <w:t>testing</w:t>
      </w:r>
      <w:r>
        <w:rPr>
          <w:spacing w:val="40"/>
        </w:rPr>
        <w:t xml:space="preserve"> </w:t>
      </w:r>
      <w:r>
        <w:t>using</w:t>
      </w:r>
      <w:r>
        <w:rPr>
          <w:spacing w:val="40"/>
        </w:rPr>
        <w:t xml:space="preserve"> </w:t>
      </w:r>
      <w:r>
        <w:t>agar</w:t>
      </w:r>
      <w:r>
        <w:rPr>
          <w:spacing w:val="40"/>
        </w:rPr>
        <w:t xml:space="preserve"> </w:t>
      </w:r>
      <w:r>
        <w:t>well</w:t>
      </w:r>
    </w:p>
    <w:p w:rsidR="00F939D3" w:rsidRDefault="00F939D3">
      <w:pPr>
        <w:pStyle w:val="BodyText"/>
        <w:spacing w:line="364" w:lineRule="auto"/>
        <w:jc w:val="both"/>
        <w:sectPr w:rsidR="00F939D3">
          <w:type w:val="continuous"/>
          <w:pgSz w:w="12240" w:h="15840"/>
          <w:pgMar w:top="860" w:right="0" w:bottom="280" w:left="720" w:header="35" w:footer="854" w:gutter="0"/>
          <w:cols w:num="2" w:space="720" w:equalWidth="0">
            <w:col w:w="5042" w:space="40"/>
            <w:col w:w="6438"/>
          </w:cols>
        </w:sectPr>
      </w:pPr>
    </w:p>
    <w:p w:rsidR="00F939D3" w:rsidRDefault="00F939D3">
      <w:pPr>
        <w:pStyle w:val="BodyText"/>
        <w:ind w:left="0"/>
      </w:pPr>
    </w:p>
    <w:p w:rsidR="00F939D3" w:rsidRDefault="00F939D3">
      <w:pPr>
        <w:pStyle w:val="BodyText"/>
        <w:spacing w:before="3"/>
        <w:ind w:left="0"/>
      </w:pPr>
    </w:p>
    <w:p w:rsidR="00F939D3" w:rsidRDefault="00F939D3">
      <w:pPr>
        <w:pStyle w:val="BodyText"/>
        <w:sectPr w:rsidR="00F939D3">
          <w:pgSz w:w="12240" w:h="15840"/>
          <w:pgMar w:top="860" w:right="0" w:bottom="1200" w:left="720" w:header="35" w:footer="854" w:gutter="0"/>
          <w:cols w:space="720"/>
        </w:sectPr>
      </w:pPr>
    </w:p>
    <w:p w:rsidR="00F939D3" w:rsidRDefault="005711C9">
      <w:pPr>
        <w:pStyle w:val="BodyText"/>
        <w:spacing w:before="98" w:line="364" w:lineRule="auto"/>
        <w:jc w:val="both"/>
      </w:pPr>
      <w:r>
        <w:t>diffusion, and the determination of Minimum Inhibitory Concentration (MIC) and Minimum Bactericidal Concentration (MBC). This laboratory is equipped with essential microbiological facilities such as incubators, autoclaves, laminar flow cabinets, analytical balances, microscopes, and sterilization equipment, ensuring aseptic conditions and reliability of experimental results. The Botany Laboratory</w:t>
      </w:r>
      <w:r>
        <w:rPr>
          <w:spacing w:val="-1"/>
        </w:rPr>
        <w:t xml:space="preserve"> </w:t>
      </w:r>
      <w:r>
        <w:t xml:space="preserve">served as the center for plant-related analyses, including botanical authentication of </w:t>
      </w:r>
      <w:r>
        <w:rPr>
          <w:rFonts w:ascii="Arial"/>
          <w:i/>
        </w:rPr>
        <w:t xml:space="preserve">Citrus </w:t>
      </w:r>
      <w:proofErr w:type="spellStart"/>
      <w:r>
        <w:rPr>
          <w:rFonts w:ascii="Arial"/>
          <w:i/>
        </w:rPr>
        <w:t>sinensis</w:t>
      </w:r>
      <w:proofErr w:type="spellEnd"/>
      <w:r>
        <w:rPr>
          <w:rFonts w:ascii="Arial"/>
          <w:i/>
        </w:rPr>
        <w:t xml:space="preserve"> </w:t>
      </w:r>
      <w:r>
        <w:t>and qualitative phytochemical screening of the methanolic peel extract. This section ensured accurate identification of the plant material and characterization of its bioactive constituents before antimicrobial evaluation. All experimental procedures were performed following standard laboratory safety and research ethics guidelines within the controlled environment</w:t>
      </w:r>
      <w:r>
        <w:rPr>
          <w:spacing w:val="-1"/>
        </w:rPr>
        <w:t xml:space="preserve"> </w:t>
      </w:r>
      <w:r>
        <w:t>of the university</w:t>
      </w:r>
      <w:r>
        <w:rPr>
          <w:spacing w:val="-4"/>
        </w:rPr>
        <w:t xml:space="preserve"> </w:t>
      </w:r>
      <w:r>
        <w:t>campus, thereby ensuring the accuracy, reproducibility, and safety of the study.</w:t>
      </w:r>
    </w:p>
    <w:p w:rsidR="00F939D3" w:rsidRDefault="005711C9">
      <w:pPr>
        <w:pStyle w:val="Heading2"/>
        <w:numPr>
          <w:ilvl w:val="1"/>
          <w:numId w:val="1"/>
        </w:numPr>
        <w:tabs>
          <w:tab w:val="left" w:pos="1089"/>
        </w:tabs>
        <w:spacing w:before="211" w:line="362" w:lineRule="auto"/>
        <w:ind w:left="720" w:right="1150" w:firstLine="0"/>
      </w:pPr>
      <w:r>
        <w:t>Samples</w:t>
      </w:r>
      <w:r>
        <w:rPr>
          <w:spacing w:val="-14"/>
        </w:rPr>
        <w:t xml:space="preserve"> </w:t>
      </w:r>
      <w:r>
        <w:t>Collection, Confirmation,</w:t>
      </w:r>
      <w:r>
        <w:rPr>
          <w:spacing w:val="-16"/>
        </w:rPr>
        <w:t xml:space="preserve"> </w:t>
      </w:r>
      <w:r>
        <w:t>and</w:t>
      </w:r>
      <w:r>
        <w:rPr>
          <w:spacing w:val="-15"/>
        </w:rPr>
        <w:t xml:space="preserve"> </w:t>
      </w:r>
      <w:r>
        <w:t>Preparation</w:t>
      </w:r>
    </w:p>
    <w:p w:rsidR="00F939D3" w:rsidRDefault="005711C9">
      <w:pPr>
        <w:pStyle w:val="BodyText"/>
        <w:spacing w:before="196" w:line="364" w:lineRule="auto"/>
        <w:ind w:right="1"/>
        <w:jc w:val="both"/>
        <w:rPr>
          <w:rFonts w:ascii="Arial"/>
          <w:i/>
        </w:rPr>
      </w:pPr>
      <w:r>
        <w:t xml:space="preserve">Clinical isolates of </w:t>
      </w:r>
      <w:r>
        <w:rPr>
          <w:rFonts w:ascii="Arial"/>
          <w:i/>
        </w:rPr>
        <w:t xml:space="preserve">Staphylococcus aureus </w:t>
      </w:r>
      <w:r>
        <w:t xml:space="preserve">and </w:t>
      </w:r>
      <w:r>
        <w:rPr>
          <w:rFonts w:ascii="Arial"/>
          <w:i/>
        </w:rPr>
        <w:t xml:space="preserve">Escherichia coli </w:t>
      </w:r>
      <w:r>
        <w:t>were obtained from the Microbiology Laboratory of the Specialist Hospital, Gombe. The isolates were collected as pure cultures on nutrient agar slants and transported aseptically to the laboratory for further analysis. Preliminary confirmation of the isolates was performed using Gram staining and observation of cellular morphology under the microscope. Isolates that appeared as Gram- positive cocci arranged in clusters were presumptively</w:t>
      </w:r>
      <w:r>
        <w:rPr>
          <w:spacing w:val="80"/>
          <w:w w:val="150"/>
        </w:rPr>
        <w:t xml:space="preserve"> </w:t>
      </w:r>
      <w:r>
        <w:t>identified</w:t>
      </w:r>
      <w:r>
        <w:rPr>
          <w:spacing w:val="80"/>
          <w:w w:val="150"/>
        </w:rPr>
        <w:t xml:space="preserve"> </w:t>
      </w:r>
      <w:r>
        <w:t>as</w:t>
      </w:r>
      <w:r>
        <w:rPr>
          <w:spacing w:val="80"/>
          <w:w w:val="150"/>
        </w:rPr>
        <w:t xml:space="preserve"> </w:t>
      </w:r>
      <w:r>
        <w:rPr>
          <w:rFonts w:ascii="Arial"/>
          <w:i/>
        </w:rPr>
        <w:t>Staphylococcus</w:t>
      </w:r>
    </w:p>
    <w:p w:rsidR="00F939D3" w:rsidRDefault="005711C9">
      <w:pPr>
        <w:spacing w:before="93" w:line="362" w:lineRule="auto"/>
        <w:ind w:left="679" w:right="1429"/>
        <w:jc w:val="both"/>
        <w:rPr>
          <w:rFonts w:ascii="Arial"/>
          <w:i/>
          <w:sz w:val="20"/>
        </w:rPr>
      </w:pPr>
      <w:r>
        <w:br w:type="column"/>
      </w:r>
      <w:r>
        <w:rPr>
          <w:rFonts w:ascii="Arial"/>
          <w:i/>
          <w:sz w:val="20"/>
        </w:rPr>
        <w:t>aureus</w:t>
      </w:r>
      <w:r>
        <w:rPr>
          <w:sz w:val="20"/>
        </w:rPr>
        <w:t xml:space="preserve">, whereas those appearing as Gram- negative rod-shaped cells were considered presumptive </w:t>
      </w:r>
      <w:r>
        <w:rPr>
          <w:rFonts w:ascii="Arial"/>
          <w:i/>
          <w:sz w:val="20"/>
        </w:rPr>
        <w:t>Escherichia coli.</w:t>
      </w:r>
    </w:p>
    <w:p w:rsidR="00F939D3" w:rsidRDefault="005711C9">
      <w:pPr>
        <w:pStyle w:val="Heading3"/>
        <w:numPr>
          <w:ilvl w:val="2"/>
          <w:numId w:val="1"/>
        </w:numPr>
        <w:tabs>
          <w:tab w:val="left" w:pos="1151"/>
        </w:tabs>
        <w:spacing w:before="199"/>
        <w:ind w:left="1151" w:hanging="434"/>
        <w:rPr>
          <w:u w:val="single"/>
        </w:rPr>
      </w:pPr>
      <w:r>
        <w:rPr>
          <w:spacing w:val="-10"/>
          <w:u w:val="single"/>
        </w:rPr>
        <w:t xml:space="preserve"> </w:t>
      </w:r>
      <w:r>
        <w:rPr>
          <w:spacing w:val="-2"/>
          <w:u w:val="single"/>
        </w:rPr>
        <w:t>Biochemical</w:t>
      </w:r>
      <w:r>
        <w:rPr>
          <w:spacing w:val="-3"/>
          <w:u w:val="single"/>
        </w:rPr>
        <w:t xml:space="preserve"> </w:t>
      </w:r>
      <w:r>
        <w:rPr>
          <w:spacing w:val="-2"/>
          <w:u w:val="single"/>
        </w:rPr>
        <w:t>Tests</w:t>
      </w:r>
    </w:p>
    <w:p w:rsidR="00F939D3" w:rsidRDefault="00F939D3">
      <w:pPr>
        <w:pStyle w:val="BodyText"/>
        <w:spacing w:before="91"/>
        <w:ind w:left="0"/>
        <w:rPr>
          <w:rFonts w:ascii="Arial"/>
          <w:b/>
        </w:rPr>
      </w:pPr>
    </w:p>
    <w:p w:rsidR="00F939D3" w:rsidRDefault="005711C9">
      <w:pPr>
        <w:pStyle w:val="BodyText"/>
        <w:spacing w:line="364" w:lineRule="auto"/>
        <w:ind w:left="679" w:right="1434"/>
        <w:jc w:val="both"/>
      </w:pPr>
      <w:r>
        <w:t>Further confirmation of the isolates was carried out using standard biochemical tests following the methods described by Woo et al. (2008).</w:t>
      </w:r>
      <w:r>
        <w:rPr>
          <w:spacing w:val="80"/>
        </w:rPr>
        <w:t xml:space="preserve"> </w:t>
      </w:r>
      <w:r>
        <w:t xml:space="preserve">The catalase test is used to differentiate </w:t>
      </w:r>
      <w:r>
        <w:rPr>
          <w:rFonts w:ascii="Arial"/>
          <w:i/>
        </w:rPr>
        <w:t xml:space="preserve">Staphylococcus </w:t>
      </w:r>
      <w:r>
        <w:t xml:space="preserve">species (catalase-positive) from </w:t>
      </w:r>
      <w:r>
        <w:rPr>
          <w:rFonts w:ascii="Arial"/>
          <w:i/>
        </w:rPr>
        <w:t xml:space="preserve">Streptococcus </w:t>
      </w:r>
      <w:r>
        <w:t xml:space="preserve">species. </w:t>
      </w:r>
      <w:r>
        <w:rPr>
          <w:rFonts w:ascii="Arial"/>
          <w:i/>
        </w:rPr>
        <w:t xml:space="preserve">Staphylococcus aureus </w:t>
      </w:r>
      <w:r>
        <w:t xml:space="preserve">produced immediate bubbling, indicating a positive reaction. The Indole Test is used to detect the production of indole from tryptophan metabolism. </w:t>
      </w:r>
      <w:r>
        <w:rPr>
          <w:rFonts w:ascii="Arial"/>
          <w:i/>
        </w:rPr>
        <w:t xml:space="preserve">Escherichia coli </w:t>
      </w:r>
      <w:r>
        <w:t>showed a positive reaction, confirming its identity. The Citrate Utilization</w:t>
      </w:r>
      <w:r>
        <w:rPr>
          <w:spacing w:val="-1"/>
        </w:rPr>
        <w:t xml:space="preserve"> </w:t>
      </w:r>
      <w:r>
        <w:t>Test is used</w:t>
      </w:r>
      <w:r>
        <w:rPr>
          <w:spacing w:val="-1"/>
        </w:rPr>
        <w:t xml:space="preserve"> </w:t>
      </w:r>
      <w:r>
        <w:t>to determine</w:t>
      </w:r>
      <w:r>
        <w:rPr>
          <w:spacing w:val="-1"/>
        </w:rPr>
        <w:t xml:space="preserve"> </w:t>
      </w:r>
      <w:r>
        <w:t>the</w:t>
      </w:r>
      <w:r>
        <w:rPr>
          <w:spacing w:val="-1"/>
        </w:rPr>
        <w:t xml:space="preserve"> </w:t>
      </w:r>
      <w:r>
        <w:t>ability</w:t>
      </w:r>
      <w:r>
        <w:rPr>
          <w:spacing w:val="-3"/>
        </w:rPr>
        <w:t xml:space="preserve"> </w:t>
      </w:r>
      <w:r>
        <w:t>of the</w:t>
      </w:r>
      <w:r>
        <w:rPr>
          <w:spacing w:val="40"/>
        </w:rPr>
        <w:t xml:space="preserve"> </w:t>
      </w:r>
      <w:r>
        <w:t xml:space="preserve">isolate to utilize citrate as the sole carbon source. </w:t>
      </w:r>
      <w:r>
        <w:rPr>
          <w:rFonts w:ascii="Arial"/>
          <w:i/>
        </w:rPr>
        <w:t xml:space="preserve">Escherichia coli </w:t>
      </w:r>
      <w:r>
        <w:t xml:space="preserve">gave a negative result, supporting identification. The oxidase test is used to differentiate oxidase-negative enteric bacteria, such as </w:t>
      </w:r>
      <w:r>
        <w:rPr>
          <w:rFonts w:ascii="Arial"/>
          <w:i/>
        </w:rPr>
        <w:t>Escherichia</w:t>
      </w:r>
      <w:r>
        <w:rPr>
          <w:rFonts w:ascii="Arial"/>
          <w:i/>
          <w:spacing w:val="-1"/>
        </w:rPr>
        <w:t xml:space="preserve"> </w:t>
      </w:r>
      <w:r>
        <w:rPr>
          <w:rFonts w:ascii="Arial"/>
          <w:i/>
        </w:rPr>
        <w:t>coli,</w:t>
      </w:r>
      <w:r>
        <w:rPr>
          <w:rFonts w:ascii="Arial"/>
          <w:i/>
          <w:spacing w:val="-1"/>
        </w:rPr>
        <w:t xml:space="preserve"> </w:t>
      </w:r>
      <w:r>
        <w:t xml:space="preserve">from oxidase- positive organisms. </w:t>
      </w:r>
      <w:r>
        <w:rPr>
          <w:rFonts w:ascii="Arial"/>
          <w:i/>
        </w:rPr>
        <w:t xml:space="preserve">Escherichia coli </w:t>
      </w:r>
      <w:r>
        <w:t>tested negative. Motility Test is used to determine the presence</w:t>
      </w:r>
      <w:r>
        <w:rPr>
          <w:spacing w:val="40"/>
        </w:rPr>
        <w:t xml:space="preserve"> </w:t>
      </w:r>
      <w:r>
        <w:t xml:space="preserve">of flagella. </w:t>
      </w:r>
      <w:r>
        <w:rPr>
          <w:rFonts w:ascii="Arial"/>
          <w:i/>
        </w:rPr>
        <w:t xml:space="preserve">Escherichia coli </w:t>
      </w:r>
      <w:r>
        <w:t>was</w:t>
      </w:r>
      <w:r>
        <w:rPr>
          <w:spacing w:val="40"/>
        </w:rPr>
        <w:t xml:space="preserve"> </w:t>
      </w:r>
      <w:r>
        <w:t xml:space="preserve">motile, whereas </w:t>
      </w:r>
      <w:r>
        <w:rPr>
          <w:rFonts w:ascii="Arial"/>
          <w:i/>
        </w:rPr>
        <w:t xml:space="preserve">Staphylococcus aureus </w:t>
      </w:r>
      <w:r>
        <w:t xml:space="preserve">was non-motile. The combined results of Gram staining, colony morphology, and biochemical reactions confirmed the identities of the isolates as </w:t>
      </w:r>
      <w:r>
        <w:rPr>
          <w:rFonts w:ascii="Arial"/>
          <w:i/>
        </w:rPr>
        <w:t xml:space="preserve">Staphylococcus aureus </w:t>
      </w:r>
      <w:r>
        <w:t xml:space="preserve">and </w:t>
      </w:r>
      <w:r>
        <w:rPr>
          <w:rFonts w:ascii="Arial"/>
          <w:i/>
        </w:rPr>
        <w:t>Escherichia coli</w:t>
      </w:r>
      <w:r>
        <w:t>, which were subsequently used for antibacterial sensitivity testing.</w:t>
      </w:r>
    </w:p>
    <w:p w:rsidR="00F939D3" w:rsidRDefault="005711C9">
      <w:pPr>
        <w:pStyle w:val="ListParagraph"/>
        <w:numPr>
          <w:ilvl w:val="2"/>
          <w:numId w:val="1"/>
        </w:numPr>
        <w:tabs>
          <w:tab w:val="left" w:pos="1106"/>
        </w:tabs>
        <w:spacing w:before="172"/>
        <w:ind w:left="1106" w:hanging="444"/>
        <w:rPr>
          <w:b/>
          <w:sz w:val="20"/>
          <w:u w:val="single"/>
        </w:rPr>
      </w:pPr>
      <w:r>
        <w:rPr>
          <w:b/>
          <w:spacing w:val="-4"/>
          <w:sz w:val="20"/>
          <w:u w:val="single"/>
        </w:rPr>
        <w:t xml:space="preserve"> </w:t>
      </w:r>
      <w:r>
        <w:rPr>
          <w:b/>
          <w:sz w:val="20"/>
          <w:u w:val="single"/>
        </w:rPr>
        <w:t>Preparation</w:t>
      </w:r>
      <w:r>
        <w:rPr>
          <w:b/>
          <w:spacing w:val="-8"/>
          <w:sz w:val="20"/>
          <w:u w:val="single"/>
        </w:rPr>
        <w:t xml:space="preserve"> </w:t>
      </w:r>
      <w:r>
        <w:rPr>
          <w:b/>
          <w:sz w:val="20"/>
          <w:u w:val="single"/>
        </w:rPr>
        <w:t>of</w:t>
      </w:r>
      <w:r>
        <w:rPr>
          <w:b/>
          <w:spacing w:val="-7"/>
          <w:sz w:val="20"/>
          <w:u w:val="single"/>
        </w:rPr>
        <w:t xml:space="preserve"> </w:t>
      </w:r>
      <w:r>
        <w:rPr>
          <w:b/>
          <w:i/>
          <w:sz w:val="20"/>
          <w:u w:val="single"/>
        </w:rPr>
        <w:t>Citrus</w:t>
      </w:r>
      <w:r>
        <w:rPr>
          <w:b/>
          <w:i/>
          <w:spacing w:val="-7"/>
          <w:sz w:val="20"/>
          <w:u w:val="single"/>
        </w:rPr>
        <w:t xml:space="preserve"> </w:t>
      </w:r>
      <w:proofErr w:type="spellStart"/>
      <w:r>
        <w:rPr>
          <w:b/>
          <w:i/>
          <w:spacing w:val="-2"/>
          <w:sz w:val="20"/>
          <w:u w:val="single"/>
        </w:rPr>
        <w:t>sinensis</w:t>
      </w:r>
      <w:proofErr w:type="spellEnd"/>
    </w:p>
    <w:p w:rsidR="00F939D3" w:rsidRDefault="00F939D3">
      <w:pPr>
        <w:pStyle w:val="BodyText"/>
        <w:spacing w:before="85"/>
        <w:ind w:left="0"/>
        <w:rPr>
          <w:rFonts w:ascii="Arial"/>
          <w:b/>
          <w:i/>
        </w:rPr>
      </w:pPr>
    </w:p>
    <w:p w:rsidR="00F939D3" w:rsidRDefault="005711C9">
      <w:pPr>
        <w:pStyle w:val="BodyText"/>
        <w:spacing w:line="364" w:lineRule="auto"/>
        <w:ind w:left="679" w:right="1439" w:firstLine="55"/>
        <w:jc w:val="both"/>
      </w:pPr>
      <w:r>
        <w:t xml:space="preserve">Fresh fruits of </w:t>
      </w:r>
      <w:r>
        <w:rPr>
          <w:rFonts w:ascii="Arial"/>
          <w:i/>
        </w:rPr>
        <w:t xml:space="preserve">Citrus </w:t>
      </w:r>
      <w:proofErr w:type="spellStart"/>
      <w:r>
        <w:rPr>
          <w:rFonts w:ascii="Arial"/>
          <w:i/>
        </w:rPr>
        <w:t>sinensis</w:t>
      </w:r>
      <w:proofErr w:type="spellEnd"/>
      <w:r>
        <w:rPr>
          <w:rFonts w:ascii="Arial"/>
          <w:i/>
        </w:rPr>
        <w:t xml:space="preserve"> </w:t>
      </w:r>
      <w:r>
        <w:t xml:space="preserve">(sweet orange) were obtained from Gombe </w:t>
      </w:r>
      <w:proofErr w:type="spellStart"/>
      <w:r>
        <w:t>Tudun</w:t>
      </w:r>
      <w:proofErr w:type="spellEnd"/>
      <w:r>
        <w:t xml:space="preserve"> Wada main market and authenticated by a qualified botanist</w:t>
      </w:r>
    </w:p>
    <w:p w:rsidR="00F939D3" w:rsidRDefault="00F939D3">
      <w:pPr>
        <w:pStyle w:val="BodyText"/>
        <w:spacing w:line="364" w:lineRule="auto"/>
        <w:jc w:val="both"/>
        <w:sectPr w:rsidR="00F939D3">
          <w:type w:val="continuous"/>
          <w:pgSz w:w="12240" w:h="15840"/>
          <w:pgMar w:top="860" w:right="0" w:bottom="280" w:left="720" w:header="35" w:footer="854" w:gutter="0"/>
          <w:cols w:num="2" w:space="720" w:equalWidth="0">
            <w:col w:w="5045" w:space="40"/>
            <w:col w:w="6435"/>
          </w:cols>
        </w:sectPr>
      </w:pPr>
    </w:p>
    <w:p w:rsidR="00F939D3" w:rsidRDefault="00F939D3">
      <w:pPr>
        <w:pStyle w:val="BodyText"/>
        <w:ind w:left="0"/>
      </w:pPr>
    </w:p>
    <w:p w:rsidR="00F939D3" w:rsidRDefault="00F939D3">
      <w:pPr>
        <w:pStyle w:val="BodyText"/>
        <w:spacing w:before="3"/>
        <w:ind w:left="0"/>
      </w:pPr>
    </w:p>
    <w:p w:rsidR="00F939D3" w:rsidRDefault="00F939D3">
      <w:pPr>
        <w:pStyle w:val="BodyText"/>
        <w:sectPr w:rsidR="00F939D3">
          <w:pgSz w:w="12240" w:h="15840"/>
          <w:pgMar w:top="860" w:right="0" w:bottom="1200" w:left="720" w:header="35" w:footer="854" w:gutter="0"/>
          <w:cols w:space="720"/>
        </w:sectPr>
      </w:pPr>
    </w:p>
    <w:p w:rsidR="00F939D3" w:rsidRDefault="005711C9">
      <w:pPr>
        <w:pStyle w:val="BodyText"/>
        <w:spacing w:before="98" w:line="364" w:lineRule="auto"/>
        <w:jc w:val="both"/>
      </w:pPr>
      <w:r>
        <w:t>at the Department of Biological Sciences,</w:t>
      </w:r>
      <w:r>
        <w:rPr>
          <w:spacing w:val="40"/>
        </w:rPr>
        <w:t xml:space="preserve"> </w:t>
      </w:r>
      <w:r>
        <w:t>Gombe State University, to ensure correct taxonomic identification of the plant material.</w:t>
      </w:r>
      <w:r>
        <w:rPr>
          <w:spacing w:val="40"/>
        </w:rPr>
        <w:t xml:space="preserve"> </w:t>
      </w:r>
      <w:r>
        <w:t>The fruits were thoroughly washed under</w:t>
      </w:r>
      <w:r>
        <w:rPr>
          <w:spacing w:val="40"/>
        </w:rPr>
        <w:t xml:space="preserve"> </w:t>
      </w:r>
      <w:r>
        <w:t>running water to remove soil particles, debris, and surface contaminants. The peels were carefully separated from the pulp using sterile knives to prevent contamination and subsequently rinsed with distilled water to eliminate residual sugars and microorganisms. The cleaned peels were air-dried under shade</w:t>
      </w:r>
      <w:r>
        <w:rPr>
          <w:spacing w:val="40"/>
        </w:rPr>
        <w:t xml:space="preserve"> </w:t>
      </w:r>
      <w:r>
        <w:t>for 14 days at ambient room temperature</w:t>
      </w:r>
      <w:r>
        <w:rPr>
          <w:spacing w:val="40"/>
        </w:rPr>
        <w:t xml:space="preserve"> </w:t>
      </w:r>
      <w:r>
        <w:t xml:space="preserve">ranging between 35°C. Shade drying was employed to prevent photo-degradation and thermal destruction of heat-sensitive phytochemicals that may occur under direct sunlight. Drying was continued until the peels became brittle and moisture-free, ensuring effective grinding and long-term stability of the bioactive compounds. The dried peels were initially crushed using a mortar and pestle to reduce particle size and then milled into a fine powder using a mechanical grinder. This step increased the surface area of the plant material, thereby enhancing solvent penetration and extraction efficiency during the maceration </w:t>
      </w:r>
      <w:r>
        <w:rPr>
          <w:spacing w:val="-2"/>
        </w:rPr>
        <w:t>process.</w:t>
      </w:r>
    </w:p>
    <w:p w:rsidR="00F939D3" w:rsidRDefault="005711C9">
      <w:pPr>
        <w:pStyle w:val="Heading3"/>
        <w:numPr>
          <w:ilvl w:val="2"/>
          <w:numId w:val="1"/>
        </w:numPr>
        <w:tabs>
          <w:tab w:val="left" w:pos="1163"/>
        </w:tabs>
        <w:spacing w:before="93"/>
        <w:ind w:left="1163" w:hanging="442"/>
        <w:rPr>
          <w:u w:val="single"/>
        </w:rPr>
      </w:pPr>
      <w:r>
        <w:rPr>
          <w:b w:val="0"/>
        </w:rPr>
        <w:br w:type="column"/>
      </w:r>
      <w:r>
        <w:rPr>
          <w:spacing w:val="-4"/>
          <w:u w:val="single"/>
        </w:rPr>
        <w:t xml:space="preserve"> </w:t>
      </w:r>
      <w:r>
        <w:rPr>
          <w:u w:val="single"/>
        </w:rPr>
        <w:t>Extraction</w:t>
      </w:r>
      <w:r>
        <w:rPr>
          <w:spacing w:val="-8"/>
          <w:u w:val="single"/>
        </w:rPr>
        <w:t xml:space="preserve"> </w:t>
      </w:r>
      <w:r>
        <w:rPr>
          <w:u w:val="single"/>
        </w:rPr>
        <w:t>of</w:t>
      </w:r>
      <w:r>
        <w:rPr>
          <w:spacing w:val="-6"/>
          <w:u w:val="single"/>
        </w:rPr>
        <w:t xml:space="preserve"> </w:t>
      </w:r>
      <w:r>
        <w:rPr>
          <w:u w:val="single"/>
        </w:rPr>
        <w:t>Peel</w:t>
      </w:r>
      <w:r>
        <w:rPr>
          <w:spacing w:val="-7"/>
          <w:u w:val="single"/>
        </w:rPr>
        <w:t xml:space="preserve"> </w:t>
      </w:r>
      <w:r>
        <w:rPr>
          <w:spacing w:val="-2"/>
          <w:u w:val="single"/>
        </w:rPr>
        <w:t>Material</w:t>
      </w:r>
    </w:p>
    <w:p w:rsidR="00F939D3" w:rsidRDefault="005711C9">
      <w:pPr>
        <w:pStyle w:val="BodyText"/>
        <w:spacing w:before="212" w:line="364" w:lineRule="auto"/>
        <w:ind w:left="680" w:right="1435"/>
        <w:jc w:val="both"/>
      </w:pPr>
      <w:r>
        <w:t>Maceration extraction was carried out by immersing 30 g of the powdered peel in 100 mL of analytical-grade methanol in a sterile conical flask (</w:t>
      </w:r>
      <w:proofErr w:type="spellStart"/>
      <w:r>
        <w:t>Jmii</w:t>
      </w:r>
      <w:proofErr w:type="spellEnd"/>
      <w:r>
        <w:t xml:space="preserve"> et al., 2020). Methanol was selected as the extraction solvent due to its high polarity and efficiency in dissolving a wide range of phytochemicals, including flavonoids, phenolic acids, and other bioactive compounds known for antimicrobial activity. The flask was tightly</w:t>
      </w:r>
      <w:r>
        <w:rPr>
          <w:spacing w:val="40"/>
        </w:rPr>
        <w:t xml:space="preserve"> </w:t>
      </w:r>
      <w:r>
        <w:t xml:space="preserve">sealed with aluminum foil to prevent solvent evaporation and contamination and then kept at room temperature for 48 hours with intermittent shaking. The shaking process enhanced solvent penetration into the plant matrix and facilitated the release of intracellular bioactive constituents into the solvent phase. After the maceration period, the extract was first filtered through sterilized cotton cloth to remove coarse plant debris, followed by filtration through Whatman No. 1 filter paper to obtain a clear filtrate. The filtrates were then concentrated using a rotary vacuum evaporator at 40°C and 110 rpm, which allowed removal of methanol under reduced pressure, thereby preserving heat-labile compounds. The semi-solid concentrate was further dried on a water bath and in a fume cupboard to eliminate any residual solvent, yielding a dark-colored crude extract. The dried extract was weighed, labeled as “Methanolic Peel Extract of </w:t>
      </w:r>
      <w:r>
        <w:rPr>
          <w:rFonts w:ascii="Arial" w:hAnsi="Arial"/>
          <w:i/>
        </w:rPr>
        <w:t xml:space="preserve">Citrus </w:t>
      </w:r>
      <w:proofErr w:type="spellStart"/>
      <w:r>
        <w:rPr>
          <w:rFonts w:ascii="Arial" w:hAnsi="Arial"/>
          <w:i/>
        </w:rPr>
        <w:t>sinensis</w:t>
      </w:r>
      <w:proofErr w:type="spellEnd"/>
      <w:r>
        <w:rPr>
          <w:rFonts w:ascii="Arial" w:hAnsi="Arial"/>
          <w:i/>
        </w:rPr>
        <w:t>,</w:t>
      </w:r>
      <w:r>
        <w:t>” and stored in a</w:t>
      </w:r>
    </w:p>
    <w:p w:rsidR="00F939D3" w:rsidRDefault="00F939D3">
      <w:pPr>
        <w:pStyle w:val="BodyText"/>
        <w:spacing w:line="364" w:lineRule="auto"/>
        <w:jc w:val="both"/>
        <w:sectPr w:rsidR="00F939D3">
          <w:type w:val="continuous"/>
          <w:pgSz w:w="12240" w:h="15840"/>
          <w:pgMar w:top="860" w:right="0" w:bottom="280" w:left="720" w:header="35" w:footer="854" w:gutter="0"/>
          <w:cols w:num="2" w:space="720" w:equalWidth="0">
            <w:col w:w="5041" w:space="40"/>
            <w:col w:w="6439"/>
          </w:cols>
        </w:sectPr>
      </w:pPr>
    </w:p>
    <w:p w:rsidR="00F939D3" w:rsidRDefault="00F939D3">
      <w:pPr>
        <w:pStyle w:val="BodyText"/>
        <w:ind w:left="0"/>
      </w:pPr>
    </w:p>
    <w:p w:rsidR="00F939D3" w:rsidRDefault="00F939D3">
      <w:pPr>
        <w:pStyle w:val="BodyText"/>
        <w:spacing w:before="3"/>
        <w:ind w:left="0"/>
      </w:pPr>
    </w:p>
    <w:p w:rsidR="00F939D3" w:rsidRDefault="00F939D3">
      <w:pPr>
        <w:pStyle w:val="BodyText"/>
        <w:sectPr w:rsidR="00F939D3">
          <w:pgSz w:w="12240" w:h="15840"/>
          <w:pgMar w:top="860" w:right="0" w:bottom="1200" w:left="720" w:header="35" w:footer="854" w:gutter="0"/>
          <w:cols w:space="720"/>
        </w:sectPr>
      </w:pPr>
    </w:p>
    <w:p w:rsidR="00F939D3" w:rsidRDefault="005711C9">
      <w:pPr>
        <w:pStyle w:val="BodyText"/>
        <w:spacing w:before="98" w:line="364" w:lineRule="auto"/>
        <w:ind w:right="4"/>
        <w:jc w:val="both"/>
      </w:pPr>
      <w:r>
        <w:t>sterile container at 4°C until further use</w:t>
      </w:r>
      <w:r>
        <w:rPr>
          <w:spacing w:val="80"/>
        </w:rPr>
        <w:t xml:space="preserve"> </w:t>
      </w:r>
      <w:r>
        <w:t>(</w:t>
      </w:r>
      <w:proofErr w:type="spellStart"/>
      <w:r>
        <w:t>Pendota</w:t>
      </w:r>
      <w:proofErr w:type="spellEnd"/>
      <w:r>
        <w:t xml:space="preserve"> et al., 2017). This extraction method ensured the recovery of a broad spectrum of phytochemicals responsible for the antibacterial activity observed in subsequent sensitivity tests.</w:t>
      </w:r>
    </w:p>
    <w:p w:rsidR="00F939D3" w:rsidRDefault="005711C9">
      <w:pPr>
        <w:pStyle w:val="Heading3"/>
        <w:numPr>
          <w:ilvl w:val="2"/>
          <w:numId w:val="1"/>
        </w:numPr>
        <w:tabs>
          <w:tab w:val="left" w:pos="1162"/>
        </w:tabs>
        <w:spacing w:before="199" w:line="360" w:lineRule="auto"/>
        <w:ind w:left="720" w:right="27" w:firstLine="0"/>
        <w:rPr>
          <w:u w:val="single"/>
        </w:rPr>
      </w:pPr>
      <w:r>
        <w:rPr>
          <w:spacing w:val="-4"/>
          <w:u w:val="single"/>
        </w:rPr>
        <w:t xml:space="preserve"> </w:t>
      </w:r>
      <w:r>
        <w:rPr>
          <w:u w:val="single"/>
        </w:rPr>
        <w:t>Phytochemical</w:t>
      </w:r>
      <w:r>
        <w:rPr>
          <w:spacing w:val="33"/>
          <w:u w:val="single"/>
        </w:rPr>
        <w:t xml:space="preserve"> </w:t>
      </w:r>
      <w:r>
        <w:rPr>
          <w:u w:val="single"/>
        </w:rPr>
        <w:t>Screening</w:t>
      </w:r>
      <w:r>
        <w:rPr>
          <w:spacing w:val="34"/>
          <w:u w:val="single"/>
        </w:rPr>
        <w:t xml:space="preserve"> </w:t>
      </w:r>
      <w:r>
        <w:rPr>
          <w:u w:val="single"/>
        </w:rPr>
        <w:t>of</w:t>
      </w:r>
      <w:r>
        <w:rPr>
          <w:spacing w:val="31"/>
          <w:u w:val="single"/>
        </w:rPr>
        <w:t xml:space="preserve"> </w:t>
      </w:r>
      <w:r>
        <w:rPr>
          <w:u w:val="single"/>
        </w:rPr>
        <w:t>the</w:t>
      </w:r>
      <w:r>
        <w:rPr>
          <w:spacing w:val="29"/>
          <w:u w:val="single"/>
        </w:rPr>
        <w:t xml:space="preserve"> </w:t>
      </w:r>
      <w:proofErr w:type="gramStart"/>
      <w:r>
        <w:rPr>
          <w:u w:val="single"/>
        </w:rPr>
        <w:t>Plant</w:t>
      </w:r>
      <w:r>
        <w:rPr>
          <w:spacing w:val="-3"/>
          <w:u w:val="single"/>
        </w:rPr>
        <w:t xml:space="preserve"> </w:t>
      </w:r>
      <w:r>
        <w:rPr>
          <w:spacing w:val="-3"/>
        </w:rPr>
        <w:t xml:space="preserve"> </w:t>
      </w:r>
      <w:r>
        <w:rPr>
          <w:spacing w:val="-2"/>
          <w:u w:val="single"/>
        </w:rPr>
        <w:t>Extract</w:t>
      </w:r>
      <w:proofErr w:type="gramEnd"/>
    </w:p>
    <w:p w:rsidR="00F939D3" w:rsidRDefault="005711C9">
      <w:pPr>
        <w:pStyle w:val="BodyText"/>
        <w:spacing w:before="206" w:line="364" w:lineRule="auto"/>
        <w:jc w:val="both"/>
      </w:pPr>
      <w:r>
        <w:t>Qualitative phytochemical screening was conducted on the crude extract to detect major secondary metabolite classes. One gram of crude extract was dissolved in 10 mL of deionized water and used for the following standard tests. Alkaloids were detected using Wagner’s reagent with the appearance of a reddish-brown precipitate, indicating a positive result (Kaya et al., 2017). Tannins were</w:t>
      </w:r>
      <w:r>
        <w:rPr>
          <w:spacing w:val="40"/>
        </w:rPr>
        <w:t xml:space="preserve"> </w:t>
      </w:r>
      <w:r>
        <w:t>identified</w:t>
      </w:r>
      <w:r>
        <w:rPr>
          <w:spacing w:val="-1"/>
        </w:rPr>
        <w:t xml:space="preserve"> </w:t>
      </w:r>
      <w:r>
        <w:t>by</w:t>
      </w:r>
      <w:r>
        <w:rPr>
          <w:spacing w:val="-4"/>
        </w:rPr>
        <w:t xml:space="preserve"> </w:t>
      </w:r>
      <w:r>
        <w:t>adding</w:t>
      </w:r>
      <w:r>
        <w:rPr>
          <w:spacing w:val="-2"/>
        </w:rPr>
        <w:t xml:space="preserve"> </w:t>
      </w:r>
      <w:r>
        <w:t>ferric chloride and observing dark green or blue coloration. Flavonoids were detected by adding</w:t>
      </w:r>
      <w:r>
        <w:rPr>
          <w:spacing w:val="40"/>
        </w:rPr>
        <w:t xml:space="preserve"> </w:t>
      </w:r>
      <w:r>
        <w:t>a few drops of 2 % sodium hydroxide and noting a pale-yellow coloration. Phenolic compounds were screened using a gelatin solution, where a white precipitate indicated their presence. Saponins were tested with the frothing (foam) test, where persistent foam indicated saponins. Steroids were</w:t>
      </w:r>
      <w:r>
        <w:rPr>
          <w:spacing w:val="40"/>
        </w:rPr>
        <w:t xml:space="preserve"> </w:t>
      </w:r>
      <w:r>
        <w:t>screened by adding chloroform and</w:t>
      </w:r>
      <w:r>
        <w:rPr>
          <w:spacing w:val="40"/>
        </w:rPr>
        <w:t xml:space="preserve"> </w:t>
      </w:r>
      <w:r>
        <w:t>concentrated sulfuric acid and observing a red ring at the interface. Glycosides were assessed by</w:t>
      </w:r>
      <w:r>
        <w:rPr>
          <w:spacing w:val="-1"/>
        </w:rPr>
        <w:t xml:space="preserve"> </w:t>
      </w:r>
      <w:r>
        <w:t>hydrolysis with dilute acid, neutralization, and adding Fehling’s solution; a brick-red precipitate indicated</w:t>
      </w:r>
      <w:r>
        <w:rPr>
          <w:spacing w:val="-1"/>
        </w:rPr>
        <w:t xml:space="preserve"> </w:t>
      </w:r>
      <w:r>
        <w:t>reducing glycosides. All</w:t>
      </w:r>
      <w:r>
        <w:rPr>
          <w:spacing w:val="-1"/>
        </w:rPr>
        <w:t xml:space="preserve"> </w:t>
      </w:r>
      <w:r>
        <w:t>phytochemical tests were performed in duplicate and observations recorded.</w:t>
      </w:r>
    </w:p>
    <w:p w:rsidR="00F939D3" w:rsidRDefault="005711C9">
      <w:pPr>
        <w:pStyle w:val="Heading2"/>
        <w:numPr>
          <w:ilvl w:val="1"/>
          <w:numId w:val="1"/>
        </w:numPr>
        <w:tabs>
          <w:tab w:val="left" w:pos="1089"/>
        </w:tabs>
        <w:spacing w:before="221" w:line="360" w:lineRule="auto"/>
        <w:ind w:left="720" w:right="1683" w:firstLine="0"/>
      </w:pPr>
      <w:r>
        <w:rPr>
          <w:spacing w:val="-2"/>
        </w:rPr>
        <w:t>Preparation</w:t>
      </w:r>
      <w:r>
        <w:rPr>
          <w:spacing w:val="-16"/>
        </w:rPr>
        <w:t xml:space="preserve"> </w:t>
      </w:r>
      <w:r>
        <w:rPr>
          <w:spacing w:val="-2"/>
        </w:rPr>
        <w:t>of</w:t>
      </w:r>
      <w:r>
        <w:rPr>
          <w:spacing w:val="-14"/>
        </w:rPr>
        <w:t xml:space="preserve"> </w:t>
      </w:r>
      <w:r>
        <w:rPr>
          <w:spacing w:val="-2"/>
        </w:rPr>
        <w:t>Extract Concentrations</w:t>
      </w:r>
    </w:p>
    <w:p w:rsidR="00F939D3" w:rsidRDefault="005711C9">
      <w:pPr>
        <w:pStyle w:val="BodyText"/>
        <w:spacing w:before="93" w:line="364" w:lineRule="auto"/>
        <w:ind w:left="680" w:right="1434"/>
        <w:jc w:val="both"/>
      </w:pPr>
      <w:r>
        <w:br w:type="column"/>
      </w:r>
      <w:r>
        <w:t xml:space="preserve">A stock solution of </w:t>
      </w:r>
      <w:r>
        <w:rPr>
          <w:rFonts w:ascii="Arial"/>
          <w:i/>
        </w:rPr>
        <w:t xml:space="preserve">Citrus </w:t>
      </w:r>
      <w:proofErr w:type="spellStart"/>
      <w:r>
        <w:rPr>
          <w:rFonts w:ascii="Arial"/>
          <w:i/>
        </w:rPr>
        <w:t>sinensis</w:t>
      </w:r>
      <w:proofErr w:type="spellEnd"/>
      <w:r>
        <w:rPr>
          <w:rFonts w:ascii="Arial"/>
          <w:i/>
        </w:rPr>
        <w:t xml:space="preserve"> </w:t>
      </w:r>
      <w:r>
        <w:t>extract was prepared at a concentration of 100 mg/mL by dissolving 1.0 g of the dried extract in 10 mL of dimethyl</w:t>
      </w:r>
      <w:r>
        <w:rPr>
          <w:spacing w:val="-4"/>
        </w:rPr>
        <w:t xml:space="preserve"> </w:t>
      </w:r>
      <w:r>
        <w:t>sulfoxide</w:t>
      </w:r>
      <w:r>
        <w:rPr>
          <w:spacing w:val="-4"/>
        </w:rPr>
        <w:t xml:space="preserve"> </w:t>
      </w:r>
      <w:r>
        <w:t>(DMSO).</w:t>
      </w:r>
      <w:r>
        <w:rPr>
          <w:spacing w:val="-2"/>
        </w:rPr>
        <w:t xml:space="preserve"> </w:t>
      </w:r>
      <w:r>
        <w:t>DMSO</w:t>
      </w:r>
      <w:r>
        <w:rPr>
          <w:spacing w:val="-1"/>
        </w:rPr>
        <w:t xml:space="preserve"> </w:t>
      </w:r>
      <w:r>
        <w:t>was</w:t>
      </w:r>
      <w:r>
        <w:rPr>
          <w:spacing w:val="-3"/>
        </w:rPr>
        <w:t xml:space="preserve"> </w:t>
      </w:r>
      <w:r>
        <w:t>selected as the solvent because of its ability to dissolve both polar and non-polar phytochemicals and its minimal antibacterial activity at low concentrations.</w:t>
      </w:r>
      <w:r>
        <w:rPr>
          <w:spacing w:val="-1"/>
        </w:rPr>
        <w:t xml:space="preserve"> </w:t>
      </w:r>
      <w:r>
        <w:t>From the</w:t>
      </w:r>
      <w:r>
        <w:rPr>
          <w:spacing w:val="-2"/>
        </w:rPr>
        <w:t xml:space="preserve"> </w:t>
      </w:r>
      <w:r>
        <w:t>stock solution,</w:t>
      </w:r>
      <w:r>
        <w:rPr>
          <w:spacing w:val="-1"/>
        </w:rPr>
        <w:t xml:space="preserve"> </w:t>
      </w:r>
      <w:r>
        <w:t>a</w:t>
      </w:r>
      <w:r>
        <w:rPr>
          <w:spacing w:val="-1"/>
        </w:rPr>
        <w:t xml:space="preserve"> </w:t>
      </w:r>
      <w:r>
        <w:t>series of two-fold serial dilutions were prepared to obtain working concentrations of 50 mg/mL, 25 mg/mL, and 12.5 mg/</w:t>
      </w:r>
      <w:proofErr w:type="spellStart"/>
      <w:r>
        <w:t>mL.</w:t>
      </w:r>
      <w:proofErr w:type="spellEnd"/>
      <w:r>
        <w:t xml:space="preserve"> These concentrations were used in the antibacterial sensitivity assay</w:t>
      </w:r>
      <w:r>
        <w:rPr>
          <w:spacing w:val="80"/>
        </w:rPr>
        <w:t xml:space="preserve"> </w:t>
      </w:r>
      <w:r>
        <w:t>to evaluate the dose-dependent effect of the extract against the test organisms.</w:t>
      </w:r>
    </w:p>
    <w:p w:rsidR="00F939D3" w:rsidRDefault="005711C9">
      <w:pPr>
        <w:pStyle w:val="Heading3"/>
        <w:numPr>
          <w:ilvl w:val="2"/>
          <w:numId w:val="1"/>
        </w:numPr>
        <w:tabs>
          <w:tab w:val="left" w:pos="1160"/>
        </w:tabs>
        <w:spacing w:before="208"/>
        <w:ind w:left="1160" w:hanging="442"/>
        <w:jc w:val="both"/>
        <w:rPr>
          <w:u w:val="single"/>
        </w:rPr>
      </w:pPr>
      <w:r>
        <w:rPr>
          <w:spacing w:val="6"/>
          <w:u w:val="single"/>
        </w:rPr>
        <w:t xml:space="preserve"> </w:t>
      </w:r>
      <w:r>
        <w:rPr>
          <w:spacing w:val="-2"/>
          <w:u w:val="single"/>
        </w:rPr>
        <w:t>Standardization</w:t>
      </w:r>
      <w:r>
        <w:rPr>
          <w:u w:val="single"/>
        </w:rPr>
        <w:t xml:space="preserve"> </w:t>
      </w:r>
      <w:r>
        <w:rPr>
          <w:spacing w:val="-2"/>
          <w:u w:val="single"/>
        </w:rPr>
        <w:t>of</w:t>
      </w:r>
      <w:r>
        <w:rPr>
          <w:spacing w:val="1"/>
          <w:u w:val="single"/>
        </w:rPr>
        <w:t xml:space="preserve"> </w:t>
      </w:r>
      <w:r>
        <w:rPr>
          <w:spacing w:val="-2"/>
          <w:u w:val="single"/>
        </w:rPr>
        <w:t>Inoculum</w:t>
      </w:r>
    </w:p>
    <w:p w:rsidR="00F939D3" w:rsidRDefault="00F939D3">
      <w:pPr>
        <w:pStyle w:val="BodyText"/>
        <w:spacing w:before="90"/>
        <w:ind w:left="0"/>
        <w:rPr>
          <w:rFonts w:ascii="Arial"/>
          <w:b/>
        </w:rPr>
      </w:pPr>
    </w:p>
    <w:p w:rsidR="00F939D3" w:rsidRDefault="005711C9">
      <w:pPr>
        <w:pStyle w:val="BodyText"/>
        <w:spacing w:before="1" w:line="364" w:lineRule="auto"/>
        <w:ind w:left="680" w:right="1440"/>
        <w:jc w:val="both"/>
      </w:pPr>
      <w:r>
        <w:t>Fresh bacterial isolates less than 24 hours old were used to ensure active growth. Colonies were suspended in sterile normal saline and mixed thoroughly. The turbidity of each suspension</w:t>
      </w:r>
      <w:r>
        <w:rPr>
          <w:spacing w:val="31"/>
        </w:rPr>
        <w:t xml:space="preserve"> </w:t>
      </w:r>
      <w:r>
        <w:t>was</w:t>
      </w:r>
      <w:r>
        <w:rPr>
          <w:spacing w:val="31"/>
        </w:rPr>
        <w:t xml:space="preserve"> </w:t>
      </w:r>
      <w:r>
        <w:t>visually adjusted</w:t>
      </w:r>
      <w:r>
        <w:rPr>
          <w:spacing w:val="30"/>
        </w:rPr>
        <w:t xml:space="preserve"> </w:t>
      </w:r>
      <w:r>
        <w:t>to</w:t>
      </w:r>
      <w:r>
        <w:rPr>
          <w:spacing w:val="30"/>
        </w:rPr>
        <w:t xml:space="preserve"> </w:t>
      </w:r>
      <w:r>
        <w:t>match</w:t>
      </w:r>
      <w:r>
        <w:rPr>
          <w:spacing w:val="30"/>
        </w:rPr>
        <w:t xml:space="preserve"> </w:t>
      </w:r>
      <w:r>
        <w:t>the</w:t>
      </w:r>
    </w:p>
    <w:p w:rsidR="00F939D3" w:rsidRDefault="005711C9">
      <w:pPr>
        <w:pStyle w:val="BodyText"/>
        <w:spacing w:before="5" w:line="364" w:lineRule="auto"/>
        <w:ind w:left="680" w:right="1434"/>
        <w:jc w:val="both"/>
      </w:pPr>
      <w:r>
        <w:t>0.5 McFarland standard, which corresponds to approximately 1.5 × 10⁸ CFU/</w:t>
      </w:r>
      <w:proofErr w:type="spellStart"/>
      <w:r>
        <w:t>mL.</w:t>
      </w:r>
      <w:proofErr w:type="spellEnd"/>
      <w:r>
        <w:t xml:space="preserve"> This standardization step is critical because</w:t>
      </w:r>
      <w:r>
        <w:rPr>
          <w:spacing w:val="40"/>
        </w:rPr>
        <w:t xml:space="preserve"> </w:t>
      </w:r>
      <w:r>
        <w:t xml:space="preserve">variations in inoculum density can significantly influence antibacterial susceptibility results. By adjusting all suspensions to the same turbidity, reproducibility and reliability of the sensitivity testing were ensured, allowing meaningful comparison of the antibacterial activity of </w:t>
      </w:r>
      <w:r>
        <w:rPr>
          <w:rFonts w:ascii="Arial" w:hAnsi="Arial"/>
          <w:i/>
        </w:rPr>
        <w:t xml:space="preserve">Citrus </w:t>
      </w:r>
      <w:proofErr w:type="spellStart"/>
      <w:r>
        <w:rPr>
          <w:rFonts w:ascii="Arial" w:hAnsi="Arial"/>
          <w:i/>
        </w:rPr>
        <w:t>sinensis</w:t>
      </w:r>
      <w:proofErr w:type="spellEnd"/>
      <w:r>
        <w:rPr>
          <w:rFonts w:ascii="Arial" w:hAnsi="Arial"/>
          <w:i/>
        </w:rPr>
        <w:t xml:space="preserve"> </w:t>
      </w:r>
      <w:r>
        <w:t>extract against both test organisms.</w:t>
      </w:r>
    </w:p>
    <w:p w:rsidR="00F939D3" w:rsidRDefault="005711C9">
      <w:pPr>
        <w:pStyle w:val="Heading2"/>
        <w:numPr>
          <w:ilvl w:val="1"/>
          <w:numId w:val="1"/>
        </w:numPr>
        <w:tabs>
          <w:tab w:val="left" w:pos="1089"/>
        </w:tabs>
        <w:spacing w:before="194"/>
        <w:ind w:left="1089" w:hanging="371"/>
        <w:jc w:val="both"/>
      </w:pPr>
      <w:r>
        <w:rPr>
          <w:spacing w:val="-2"/>
        </w:rPr>
        <w:t>Antibacterial</w:t>
      </w:r>
      <w:r>
        <w:rPr>
          <w:spacing w:val="9"/>
        </w:rPr>
        <w:t xml:space="preserve"> </w:t>
      </w:r>
      <w:r>
        <w:rPr>
          <w:spacing w:val="-2"/>
        </w:rPr>
        <w:t>Sensitivity</w:t>
      </w:r>
      <w:r>
        <w:t xml:space="preserve"> </w:t>
      </w:r>
      <w:r>
        <w:rPr>
          <w:spacing w:val="-2"/>
        </w:rPr>
        <w:t>Testing</w:t>
      </w:r>
    </w:p>
    <w:p w:rsidR="00F939D3" w:rsidRDefault="00F939D3">
      <w:pPr>
        <w:pStyle w:val="BodyText"/>
        <w:spacing w:before="72"/>
        <w:ind w:left="0"/>
        <w:rPr>
          <w:rFonts w:ascii="Arial"/>
          <w:b/>
          <w:sz w:val="22"/>
        </w:rPr>
      </w:pPr>
    </w:p>
    <w:p w:rsidR="00F939D3" w:rsidRDefault="005711C9">
      <w:pPr>
        <w:pStyle w:val="BodyText"/>
        <w:spacing w:line="367" w:lineRule="auto"/>
        <w:ind w:left="680" w:right="1439"/>
        <w:jc w:val="both"/>
      </w:pPr>
      <w:r>
        <w:t xml:space="preserve">The antibacterial activity of </w:t>
      </w:r>
      <w:r>
        <w:rPr>
          <w:rFonts w:ascii="Arial" w:hAnsi="Arial"/>
          <w:i/>
        </w:rPr>
        <w:t xml:space="preserve">Citrus </w:t>
      </w:r>
      <w:proofErr w:type="spellStart"/>
      <w:r>
        <w:rPr>
          <w:rFonts w:ascii="Arial" w:hAnsi="Arial"/>
          <w:i/>
        </w:rPr>
        <w:t>sinensis</w:t>
      </w:r>
      <w:proofErr w:type="spellEnd"/>
      <w:r>
        <w:rPr>
          <w:rFonts w:ascii="Arial" w:hAnsi="Arial"/>
          <w:i/>
        </w:rPr>
        <w:t xml:space="preserve"> </w:t>
      </w:r>
      <w:r>
        <w:t xml:space="preserve">extract was evaluated using the Agar Well Diffusion Method as described by </w:t>
      </w:r>
      <w:proofErr w:type="spellStart"/>
      <w:r>
        <w:t>Pendota</w:t>
      </w:r>
      <w:proofErr w:type="spellEnd"/>
      <w:r>
        <w:t xml:space="preserve"> et al. (2017).</w:t>
      </w:r>
      <w:r>
        <w:rPr>
          <w:spacing w:val="72"/>
        </w:rPr>
        <w:t xml:space="preserve"> </w:t>
      </w:r>
      <w:r>
        <w:t>Mueller–Hinton</w:t>
      </w:r>
      <w:r>
        <w:rPr>
          <w:spacing w:val="80"/>
          <w:w w:val="150"/>
        </w:rPr>
        <w:t xml:space="preserve"> </w:t>
      </w:r>
      <w:r>
        <w:t>a</w:t>
      </w:r>
      <w:r>
        <w:rPr>
          <w:spacing w:val="20"/>
        </w:rPr>
        <w:t xml:space="preserve"> </w:t>
      </w:r>
      <w:r>
        <w:t>g</w:t>
      </w:r>
      <w:r>
        <w:rPr>
          <w:spacing w:val="17"/>
        </w:rPr>
        <w:t xml:space="preserve"> </w:t>
      </w:r>
      <w:r>
        <w:t>a</w:t>
      </w:r>
      <w:r>
        <w:rPr>
          <w:spacing w:val="17"/>
        </w:rPr>
        <w:t xml:space="preserve"> </w:t>
      </w:r>
      <w:r>
        <w:t>r</w:t>
      </w:r>
      <w:r>
        <w:rPr>
          <w:spacing w:val="20"/>
        </w:rPr>
        <w:t xml:space="preserve"> </w:t>
      </w:r>
      <w:proofErr w:type="gramStart"/>
      <w:r>
        <w:t>(</w:t>
      </w:r>
      <w:r>
        <w:rPr>
          <w:spacing w:val="16"/>
        </w:rPr>
        <w:t xml:space="preserve"> </w:t>
      </w:r>
      <w:r>
        <w:t>MHA</w:t>
      </w:r>
      <w:proofErr w:type="gramEnd"/>
      <w:r>
        <w:t>)</w:t>
      </w:r>
      <w:r>
        <w:rPr>
          <w:spacing w:val="80"/>
          <w:w w:val="150"/>
        </w:rPr>
        <w:t xml:space="preserve"> </w:t>
      </w:r>
      <w:r>
        <w:t>w a</w:t>
      </w:r>
      <w:r>
        <w:rPr>
          <w:spacing w:val="17"/>
        </w:rPr>
        <w:t xml:space="preserve"> </w:t>
      </w:r>
      <w:r>
        <w:t>s</w:t>
      </w:r>
    </w:p>
    <w:p w:rsidR="00F939D3" w:rsidRDefault="00F939D3">
      <w:pPr>
        <w:pStyle w:val="BodyText"/>
        <w:spacing w:line="367" w:lineRule="auto"/>
        <w:jc w:val="both"/>
        <w:sectPr w:rsidR="00F939D3">
          <w:type w:val="continuous"/>
          <w:pgSz w:w="12240" w:h="15840"/>
          <w:pgMar w:top="860" w:right="0" w:bottom="280" w:left="720" w:header="35" w:footer="854" w:gutter="0"/>
          <w:cols w:num="2" w:space="720" w:equalWidth="0">
            <w:col w:w="5042" w:space="40"/>
            <w:col w:w="6438"/>
          </w:cols>
        </w:sectPr>
      </w:pPr>
    </w:p>
    <w:p w:rsidR="00F939D3" w:rsidRDefault="00F939D3">
      <w:pPr>
        <w:pStyle w:val="BodyText"/>
        <w:ind w:left="0"/>
      </w:pPr>
    </w:p>
    <w:p w:rsidR="00F939D3" w:rsidRDefault="00F939D3">
      <w:pPr>
        <w:pStyle w:val="BodyText"/>
        <w:spacing w:before="3"/>
        <w:ind w:left="0"/>
      </w:pPr>
    </w:p>
    <w:p w:rsidR="00F939D3" w:rsidRDefault="00F939D3">
      <w:pPr>
        <w:pStyle w:val="BodyText"/>
        <w:sectPr w:rsidR="00F939D3">
          <w:pgSz w:w="12240" w:h="15840"/>
          <w:pgMar w:top="860" w:right="0" w:bottom="1200" w:left="720" w:header="35" w:footer="854" w:gutter="0"/>
          <w:cols w:space="720"/>
        </w:sectPr>
      </w:pPr>
    </w:p>
    <w:p w:rsidR="00F939D3" w:rsidRDefault="005711C9">
      <w:pPr>
        <w:pStyle w:val="BodyText"/>
        <w:spacing w:before="98" w:line="364" w:lineRule="auto"/>
        <w:jc w:val="both"/>
      </w:pPr>
      <w:r>
        <w:t xml:space="preserve">selected because of its reproducibility, uniform diffusion characteristics, and acceptance by the Clinical and Laboratory Standards Institute (CLSI) for antimicrobial susceptibility testing. Standardized bacterial suspensions of </w:t>
      </w:r>
      <w:r>
        <w:rPr>
          <w:rFonts w:ascii="Arial" w:hAnsi="Arial"/>
          <w:i/>
        </w:rPr>
        <w:t xml:space="preserve">Staphylococcus aureus </w:t>
      </w:r>
      <w:r>
        <w:t xml:space="preserve">and </w:t>
      </w:r>
      <w:r>
        <w:rPr>
          <w:rFonts w:ascii="Arial" w:hAnsi="Arial"/>
          <w:i/>
        </w:rPr>
        <w:t xml:space="preserve">Escherichia coli </w:t>
      </w:r>
      <w:r>
        <w:t xml:space="preserve">were prepared to match the turbidity of 0.5 McFarland standard (approximately 1.5 × 10⁸ CFU/ml). Each Mueller–Hinton agar (MHA) plate was uniformly inoculated using a sterile cotton swab to produce a confluent lawn of bacterial growth, ensuring even exposure of the organisms to the test extract. Wells of 6 mm diameter were aseptically bored into the agar using a sterile cork-borer as described by </w:t>
      </w:r>
      <w:proofErr w:type="spellStart"/>
      <w:r>
        <w:t>Pirtarighat</w:t>
      </w:r>
      <w:proofErr w:type="spellEnd"/>
      <w:r>
        <w:t xml:space="preserve"> et al. (2019). Each well was carefully filled</w:t>
      </w:r>
      <w:r>
        <w:rPr>
          <w:spacing w:val="18"/>
        </w:rPr>
        <w:t xml:space="preserve"> </w:t>
      </w:r>
      <w:r>
        <w:t>with</w:t>
      </w:r>
      <w:r>
        <w:rPr>
          <w:spacing w:val="18"/>
        </w:rPr>
        <w:t xml:space="preserve"> </w:t>
      </w:r>
      <w:r>
        <w:t>1mg/mL</w:t>
      </w:r>
      <w:r>
        <w:rPr>
          <w:spacing w:val="18"/>
        </w:rPr>
        <w:t xml:space="preserve"> </w:t>
      </w:r>
      <w:r>
        <w:t>of</w:t>
      </w:r>
      <w:r>
        <w:rPr>
          <w:spacing w:val="19"/>
        </w:rPr>
        <w:t xml:space="preserve"> </w:t>
      </w:r>
      <w:r>
        <w:t>different</w:t>
      </w:r>
      <w:r>
        <w:rPr>
          <w:spacing w:val="18"/>
        </w:rPr>
        <w:t xml:space="preserve"> </w:t>
      </w:r>
      <w:r>
        <w:t>concentrations</w:t>
      </w:r>
      <w:r>
        <w:rPr>
          <w:spacing w:val="18"/>
        </w:rPr>
        <w:t xml:space="preserve"> </w:t>
      </w:r>
      <w:r>
        <w:rPr>
          <w:spacing w:val="-5"/>
        </w:rPr>
        <w:t>of</w:t>
      </w:r>
    </w:p>
    <w:p w:rsidR="00F939D3" w:rsidRDefault="005711C9">
      <w:pPr>
        <w:pStyle w:val="BodyText"/>
        <w:spacing w:before="4" w:line="364" w:lineRule="auto"/>
        <w:jc w:val="both"/>
      </w:pPr>
      <w:r>
        <w:rPr>
          <w:rFonts w:ascii="Arial" w:hAnsi="Arial"/>
          <w:i/>
        </w:rPr>
        <w:t xml:space="preserve">C. </w:t>
      </w:r>
      <w:proofErr w:type="spellStart"/>
      <w:r>
        <w:rPr>
          <w:rFonts w:ascii="Arial" w:hAnsi="Arial"/>
          <w:i/>
        </w:rPr>
        <w:t>sinensis</w:t>
      </w:r>
      <w:proofErr w:type="spellEnd"/>
      <w:r>
        <w:rPr>
          <w:rFonts w:ascii="Arial" w:hAnsi="Arial"/>
          <w:i/>
        </w:rPr>
        <w:t xml:space="preserve"> </w:t>
      </w:r>
      <w:r>
        <w:t xml:space="preserve">extract ranging from 12.5 to 100 mg/ml. Care was taken to avoid overflow and ensure proper diffusion of the extract into the agar matrix. Ciprofloxacin (for </w:t>
      </w:r>
      <w:r>
        <w:rPr>
          <w:rFonts w:ascii="Arial" w:hAnsi="Arial"/>
          <w:i/>
        </w:rPr>
        <w:t>E. coli</w:t>
      </w:r>
      <w:r>
        <w:t xml:space="preserve">) and Clindamycin (for </w:t>
      </w:r>
      <w:r>
        <w:rPr>
          <w:rFonts w:ascii="Arial" w:hAnsi="Arial"/>
          <w:i/>
        </w:rPr>
        <w:t>S. aureus</w:t>
      </w:r>
      <w:r>
        <w:t>) were used as positive controls according to CLSI guidelines (Jahan et al.,</w:t>
      </w:r>
      <w:r>
        <w:rPr>
          <w:spacing w:val="40"/>
        </w:rPr>
        <w:t xml:space="preserve"> </w:t>
      </w:r>
      <w:r>
        <w:t>2011) to validate the susceptibility of the test organisms and confirm the reliability</w:t>
      </w:r>
      <w:r>
        <w:rPr>
          <w:spacing w:val="40"/>
        </w:rPr>
        <w:t xml:space="preserve"> </w:t>
      </w:r>
      <w:r>
        <w:t>of the assay. Sterile distilled water or solvent served as the negative control. The plates were incubated at 37°C for 24 hours. After incubation, antibacterial activity was assessed by observing the presence of zones of inhibition clear areas around the wells where bacterial growth was suppressed. The diameters of these zones were measured in millimeters using a transparent ruler.</w:t>
      </w:r>
      <w:r>
        <w:rPr>
          <w:spacing w:val="-2"/>
        </w:rPr>
        <w:t xml:space="preserve"> </w:t>
      </w:r>
      <w:r>
        <w:t>Larger zones</w:t>
      </w:r>
      <w:r>
        <w:rPr>
          <w:spacing w:val="-2"/>
        </w:rPr>
        <w:t xml:space="preserve"> </w:t>
      </w:r>
      <w:r>
        <w:t>of inhibition</w:t>
      </w:r>
      <w:r>
        <w:rPr>
          <w:spacing w:val="-1"/>
        </w:rPr>
        <w:t xml:space="preserve"> </w:t>
      </w:r>
      <w:r>
        <w:t>indicated</w:t>
      </w:r>
      <w:r>
        <w:rPr>
          <w:spacing w:val="-1"/>
        </w:rPr>
        <w:t xml:space="preserve"> </w:t>
      </w:r>
      <w:r>
        <w:t>greater sensitivity of the organism to the extract, whereas smaller or absent zones suggested resistance or low susceptibility.</w:t>
      </w:r>
    </w:p>
    <w:p w:rsidR="00F939D3" w:rsidRDefault="005711C9">
      <w:pPr>
        <w:pStyle w:val="Heading3"/>
        <w:numPr>
          <w:ilvl w:val="2"/>
          <w:numId w:val="1"/>
        </w:numPr>
        <w:tabs>
          <w:tab w:val="left" w:pos="1122"/>
        </w:tabs>
        <w:spacing w:before="93" w:line="357" w:lineRule="auto"/>
        <w:ind w:right="1435" w:firstLine="0"/>
        <w:rPr>
          <w:rFonts w:ascii="Microsoft Sans Serif"/>
          <w:b w:val="0"/>
          <w:u w:val="thick"/>
        </w:rPr>
      </w:pPr>
      <w:r>
        <w:rPr>
          <w:b w:val="0"/>
        </w:rPr>
        <w:br w:type="column"/>
      </w:r>
      <w:r>
        <w:rPr>
          <w:rFonts w:ascii="Microsoft Sans Serif"/>
          <w:b w:val="0"/>
          <w:spacing w:val="-4"/>
          <w:u w:val="thick"/>
        </w:rPr>
        <w:t xml:space="preserve"> </w:t>
      </w:r>
      <w:r>
        <w:rPr>
          <w:u w:val="thick"/>
        </w:rPr>
        <w:t>Determination</w:t>
      </w:r>
      <w:r>
        <w:rPr>
          <w:spacing w:val="-7"/>
          <w:u w:val="thick"/>
        </w:rPr>
        <w:t xml:space="preserve"> </w:t>
      </w:r>
      <w:r>
        <w:rPr>
          <w:u w:val="thick"/>
        </w:rPr>
        <w:t>and</w:t>
      </w:r>
      <w:r>
        <w:rPr>
          <w:spacing w:val="-7"/>
          <w:u w:val="thick"/>
        </w:rPr>
        <w:t xml:space="preserve"> </w:t>
      </w:r>
      <w:r>
        <w:rPr>
          <w:u w:val="thick"/>
        </w:rPr>
        <w:t>Interpretation</w:t>
      </w:r>
      <w:r>
        <w:rPr>
          <w:spacing w:val="-7"/>
          <w:u w:val="thick"/>
        </w:rPr>
        <w:t xml:space="preserve"> </w:t>
      </w:r>
      <w:r>
        <w:rPr>
          <w:u w:val="thick"/>
        </w:rPr>
        <w:t>of</w:t>
      </w:r>
      <w:r>
        <w:rPr>
          <w:spacing w:val="-6"/>
          <w:u w:val="thick"/>
        </w:rPr>
        <w:t xml:space="preserve"> </w:t>
      </w:r>
      <w:proofErr w:type="gramStart"/>
      <w:r>
        <w:rPr>
          <w:u w:val="thick"/>
        </w:rPr>
        <w:t>MIC</w:t>
      </w:r>
      <w:r>
        <w:rPr>
          <w:spacing w:val="-8"/>
          <w:u w:val="thick"/>
        </w:rPr>
        <w:t xml:space="preserve"> </w:t>
      </w:r>
      <w:r>
        <w:rPr>
          <w:spacing w:val="-8"/>
        </w:rPr>
        <w:t xml:space="preserve"> </w:t>
      </w:r>
      <w:r>
        <w:rPr>
          <w:u w:val="single"/>
        </w:rPr>
        <w:t>and</w:t>
      </w:r>
      <w:proofErr w:type="gramEnd"/>
      <w:r>
        <w:rPr>
          <w:u w:val="single"/>
        </w:rPr>
        <w:t xml:space="preserve"> MBC</w:t>
      </w:r>
    </w:p>
    <w:p w:rsidR="00F939D3" w:rsidRDefault="005711C9">
      <w:pPr>
        <w:pStyle w:val="BodyText"/>
        <w:spacing w:before="210" w:line="364" w:lineRule="auto"/>
        <w:ind w:left="680" w:right="1435"/>
        <w:jc w:val="both"/>
      </w:pPr>
      <w:r>
        <w:t>The Minimum Inhibitory Concentration (MIC)</w:t>
      </w:r>
      <w:r>
        <w:rPr>
          <w:spacing w:val="80"/>
        </w:rPr>
        <w:t xml:space="preserve"> </w:t>
      </w:r>
      <w:r>
        <w:t xml:space="preserve">and Minimum Bactericidal Concentration (MBC) of </w:t>
      </w:r>
      <w:r>
        <w:rPr>
          <w:rFonts w:ascii="Arial" w:hAnsi="Arial"/>
          <w:i/>
        </w:rPr>
        <w:t xml:space="preserve">Citrus </w:t>
      </w:r>
      <w:proofErr w:type="spellStart"/>
      <w:r>
        <w:rPr>
          <w:rFonts w:ascii="Arial" w:hAnsi="Arial"/>
          <w:i/>
        </w:rPr>
        <w:t>sinensis</w:t>
      </w:r>
      <w:proofErr w:type="spellEnd"/>
      <w:r>
        <w:rPr>
          <w:rFonts w:ascii="Arial" w:hAnsi="Arial"/>
          <w:i/>
        </w:rPr>
        <w:t xml:space="preserve"> </w:t>
      </w:r>
      <w:r>
        <w:t>extract were determined using the broth dilution method as described by Elisha et al. (2017). A standardized inoculum (10 µL) of each test organism was added to tubes containing serial dilutions of the extract. Following incubation at 37 °C for 24 h, the tubes were examined for turbidity. The lowest concentration that</w:t>
      </w:r>
      <w:r>
        <w:rPr>
          <w:spacing w:val="-2"/>
        </w:rPr>
        <w:t xml:space="preserve"> </w:t>
      </w:r>
      <w:r>
        <w:t>showed no</w:t>
      </w:r>
      <w:r>
        <w:rPr>
          <w:spacing w:val="-2"/>
        </w:rPr>
        <w:t xml:space="preserve"> </w:t>
      </w:r>
      <w:r>
        <w:t>visible growth was recorded as the MIC. For MBC determination, aliquots from tubes that showed no turbidity during MIC testing were streaked onto fresh nutrient agar plates and incubated at 37 °C for 18–24 h (Elisha et al., 2017). The lowest concentration at which no bacterial colonies</w:t>
      </w:r>
      <w:r>
        <w:rPr>
          <w:spacing w:val="40"/>
        </w:rPr>
        <w:t xml:space="preserve"> </w:t>
      </w:r>
      <w:r>
        <w:t>were observed on the agar plates was recorded as the MBC.</w:t>
      </w:r>
    </w:p>
    <w:p w:rsidR="00F939D3" w:rsidRDefault="005711C9">
      <w:pPr>
        <w:spacing w:before="205" w:line="367" w:lineRule="auto"/>
        <w:ind w:left="680" w:right="1432"/>
        <w:jc w:val="both"/>
        <w:rPr>
          <w:sz w:val="20"/>
        </w:rPr>
      </w:pPr>
      <w:r>
        <w:rPr>
          <w:sz w:val="20"/>
        </w:rPr>
        <w:t xml:space="preserve">Organism </w:t>
      </w:r>
      <w:r>
        <w:rPr>
          <w:rFonts w:ascii="Arial"/>
          <w:i/>
          <w:sz w:val="20"/>
        </w:rPr>
        <w:t xml:space="preserve">Escherichia coli </w:t>
      </w:r>
      <w:r>
        <w:rPr>
          <w:sz w:val="20"/>
        </w:rPr>
        <w:t>MIC =25 mg/mL,</w:t>
      </w:r>
      <w:r>
        <w:rPr>
          <w:spacing w:val="40"/>
          <w:sz w:val="20"/>
        </w:rPr>
        <w:t xml:space="preserve"> </w:t>
      </w:r>
      <w:r>
        <w:rPr>
          <w:sz w:val="20"/>
        </w:rPr>
        <w:t>MBC =50 mg/mL</w:t>
      </w:r>
    </w:p>
    <w:p w:rsidR="00F939D3" w:rsidRDefault="005711C9">
      <w:pPr>
        <w:spacing w:before="194" w:line="364" w:lineRule="auto"/>
        <w:ind w:left="680" w:right="1436"/>
        <w:jc w:val="both"/>
        <w:rPr>
          <w:sz w:val="20"/>
        </w:rPr>
      </w:pPr>
      <w:r>
        <w:rPr>
          <w:sz w:val="20"/>
        </w:rPr>
        <w:t xml:space="preserve">Organism </w:t>
      </w:r>
      <w:r>
        <w:rPr>
          <w:rFonts w:ascii="Arial"/>
          <w:i/>
          <w:sz w:val="20"/>
        </w:rPr>
        <w:t xml:space="preserve">Staphylococcus aureus </w:t>
      </w:r>
      <w:r>
        <w:rPr>
          <w:sz w:val="20"/>
        </w:rPr>
        <w:t>MIC =50 mg/mL, MBC =100 mg/</w:t>
      </w:r>
      <w:proofErr w:type="spellStart"/>
      <w:r>
        <w:rPr>
          <w:sz w:val="20"/>
        </w:rPr>
        <w:t>mL.</w:t>
      </w:r>
      <w:proofErr w:type="spellEnd"/>
    </w:p>
    <w:p w:rsidR="00F939D3" w:rsidRDefault="005711C9">
      <w:pPr>
        <w:pStyle w:val="Heading3"/>
        <w:numPr>
          <w:ilvl w:val="0"/>
          <w:numId w:val="1"/>
        </w:numPr>
        <w:tabs>
          <w:tab w:val="left" w:pos="1009"/>
        </w:tabs>
        <w:spacing w:before="116"/>
        <w:ind w:left="1009" w:hanging="329"/>
      </w:pPr>
      <w:r>
        <w:t>RESULTS</w:t>
      </w:r>
      <w:r>
        <w:rPr>
          <w:spacing w:val="-6"/>
        </w:rPr>
        <w:t xml:space="preserve"> </w:t>
      </w:r>
      <w:r>
        <w:t>AND</w:t>
      </w:r>
      <w:r>
        <w:rPr>
          <w:spacing w:val="-7"/>
        </w:rPr>
        <w:t xml:space="preserve"> </w:t>
      </w:r>
      <w:r>
        <w:rPr>
          <w:spacing w:val="-2"/>
        </w:rPr>
        <w:t>DISCUSSION</w:t>
      </w:r>
    </w:p>
    <w:p w:rsidR="00F939D3" w:rsidRDefault="005711C9">
      <w:pPr>
        <w:pStyle w:val="BodyText"/>
        <w:spacing w:before="202" w:line="362" w:lineRule="auto"/>
        <w:ind w:left="680" w:right="1433"/>
        <w:jc w:val="both"/>
        <w:rPr>
          <w:rFonts w:ascii="Arial"/>
          <w:i/>
        </w:rPr>
      </w:pPr>
      <w:r>
        <w:t xml:space="preserve">The results indicate that </w:t>
      </w:r>
      <w:r>
        <w:rPr>
          <w:rFonts w:ascii="Arial"/>
          <w:i/>
        </w:rPr>
        <w:t xml:space="preserve">Escherichia coli </w:t>
      </w:r>
      <w:r>
        <w:t xml:space="preserve">was inhibited at a lower concentration (MIC = 25 mg/mL) compared with </w:t>
      </w:r>
      <w:r>
        <w:rPr>
          <w:rFonts w:ascii="Arial"/>
          <w:i/>
        </w:rPr>
        <w:t xml:space="preserve">Staphylococcus aureus </w:t>
      </w:r>
      <w:r>
        <w:t xml:space="preserve">(MIC = 50 mg/mL). This suggests that </w:t>
      </w:r>
      <w:r>
        <w:rPr>
          <w:rFonts w:ascii="Arial"/>
          <w:i/>
        </w:rPr>
        <w:t xml:space="preserve">E. coli </w:t>
      </w:r>
      <w:r>
        <w:t>is more sensitive to the antibacterial constituents</w:t>
      </w:r>
      <w:r>
        <w:rPr>
          <w:spacing w:val="80"/>
        </w:rPr>
        <w:t xml:space="preserve"> </w:t>
      </w:r>
      <w:r>
        <w:t xml:space="preserve">of </w:t>
      </w:r>
      <w:r>
        <w:rPr>
          <w:rFonts w:ascii="Arial"/>
          <w:i/>
        </w:rPr>
        <w:t xml:space="preserve">Citrus </w:t>
      </w:r>
      <w:proofErr w:type="spellStart"/>
      <w:r>
        <w:rPr>
          <w:rFonts w:ascii="Arial"/>
          <w:i/>
        </w:rPr>
        <w:t>sinensis</w:t>
      </w:r>
      <w:proofErr w:type="spellEnd"/>
      <w:r>
        <w:rPr>
          <w:rFonts w:ascii="Arial"/>
          <w:i/>
        </w:rPr>
        <w:t xml:space="preserve"> </w:t>
      </w:r>
      <w:r>
        <w:t xml:space="preserve">extract. The lower MIC value for </w:t>
      </w:r>
      <w:r>
        <w:rPr>
          <w:rFonts w:ascii="Arial"/>
          <w:i/>
        </w:rPr>
        <w:t xml:space="preserve">E. coli </w:t>
      </w:r>
      <w:r>
        <w:t>implies that a smaller amount of the extract</w:t>
      </w:r>
      <w:r>
        <w:rPr>
          <w:spacing w:val="-6"/>
        </w:rPr>
        <w:t xml:space="preserve"> </w:t>
      </w:r>
      <w:r>
        <w:t>is</w:t>
      </w:r>
      <w:r>
        <w:rPr>
          <w:spacing w:val="-3"/>
        </w:rPr>
        <w:t xml:space="preserve"> </w:t>
      </w:r>
      <w:r>
        <w:t>sufficient</w:t>
      </w:r>
      <w:r>
        <w:rPr>
          <w:spacing w:val="-3"/>
        </w:rPr>
        <w:t xml:space="preserve"> </w:t>
      </w:r>
      <w:r>
        <w:t>to</w:t>
      </w:r>
      <w:r>
        <w:rPr>
          <w:spacing w:val="-4"/>
        </w:rPr>
        <w:t xml:space="preserve"> </w:t>
      </w:r>
      <w:r>
        <w:t>suppress</w:t>
      </w:r>
      <w:r>
        <w:rPr>
          <w:spacing w:val="-2"/>
        </w:rPr>
        <w:t xml:space="preserve"> </w:t>
      </w:r>
      <w:r>
        <w:t>its</w:t>
      </w:r>
      <w:r>
        <w:rPr>
          <w:spacing w:val="-3"/>
        </w:rPr>
        <w:t xml:space="preserve"> </w:t>
      </w:r>
      <w:r>
        <w:t>visible</w:t>
      </w:r>
      <w:r>
        <w:rPr>
          <w:spacing w:val="-4"/>
        </w:rPr>
        <w:t xml:space="preserve"> </w:t>
      </w:r>
      <w:r>
        <w:t xml:space="preserve">growth. Similarly, the MBC values show that </w:t>
      </w:r>
      <w:r>
        <w:rPr>
          <w:rFonts w:ascii="Arial"/>
          <w:i/>
        </w:rPr>
        <w:t xml:space="preserve">E. coli </w:t>
      </w:r>
      <w:r>
        <w:t>was completely</w:t>
      </w:r>
      <w:r>
        <w:rPr>
          <w:spacing w:val="61"/>
          <w:w w:val="150"/>
        </w:rPr>
        <w:t xml:space="preserve"> </w:t>
      </w:r>
      <w:r>
        <w:t>killed</w:t>
      </w:r>
      <w:r>
        <w:rPr>
          <w:spacing w:val="66"/>
          <w:w w:val="150"/>
        </w:rPr>
        <w:t xml:space="preserve"> </w:t>
      </w:r>
      <w:r>
        <w:t>at</w:t>
      </w:r>
      <w:r>
        <w:rPr>
          <w:spacing w:val="64"/>
          <w:w w:val="150"/>
        </w:rPr>
        <w:t xml:space="preserve"> </w:t>
      </w:r>
      <w:r>
        <w:t>50</w:t>
      </w:r>
      <w:r>
        <w:rPr>
          <w:spacing w:val="66"/>
          <w:w w:val="150"/>
        </w:rPr>
        <w:t xml:space="preserve"> </w:t>
      </w:r>
      <w:r>
        <w:t>mg/mL,</w:t>
      </w:r>
      <w:r>
        <w:rPr>
          <w:spacing w:val="64"/>
          <w:w w:val="150"/>
        </w:rPr>
        <w:t xml:space="preserve"> </w:t>
      </w:r>
      <w:r>
        <w:t>whereas</w:t>
      </w:r>
      <w:r>
        <w:rPr>
          <w:spacing w:val="71"/>
          <w:w w:val="150"/>
        </w:rPr>
        <w:t xml:space="preserve"> </w:t>
      </w:r>
      <w:r>
        <w:rPr>
          <w:rFonts w:ascii="Arial"/>
          <w:i/>
          <w:spacing w:val="-5"/>
        </w:rPr>
        <w:t>S.</w:t>
      </w:r>
    </w:p>
    <w:p w:rsidR="00F939D3" w:rsidRDefault="005711C9">
      <w:pPr>
        <w:pStyle w:val="BodyText"/>
        <w:spacing w:line="220" w:lineRule="exact"/>
        <w:ind w:left="680"/>
        <w:jc w:val="both"/>
      </w:pPr>
      <w:r>
        <w:rPr>
          <w:rFonts w:ascii="Arial"/>
          <w:i/>
        </w:rPr>
        <w:t>aureus</w:t>
      </w:r>
      <w:r>
        <w:rPr>
          <w:rFonts w:ascii="Arial"/>
          <w:i/>
          <w:spacing w:val="28"/>
        </w:rPr>
        <w:t xml:space="preserve"> </w:t>
      </w:r>
      <w:r>
        <w:t>required</w:t>
      </w:r>
      <w:r>
        <w:rPr>
          <w:spacing w:val="32"/>
        </w:rPr>
        <w:t xml:space="preserve"> </w:t>
      </w:r>
      <w:r>
        <w:t>a</w:t>
      </w:r>
      <w:r>
        <w:rPr>
          <w:spacing w:val="31"/>
        </w:rPr>
        <w:t xml:space="preserve"> </w:t>
      </w:r>
      <w:r>
        <w:t>higher</w:t>
      </w:r>
      <w:r>
        <w:rPr>
          <w:spacing w:val="36"/>
        </w:rPr>
        <w:t xml:space="preserve"> </w:t>
      </w:r>
      <w:r>
        <w:t>concentration</w:t>
      </w:r>
      <w:r>
        <w:rPr>
          <w:spacing w:val="32"/>
        </w:rPr>
        <w:t xml:space="preserve"> </w:t>
      </w:r>
      <w:r>
        <w:t>of</w:t>
      </w:r>
      <w:r>
        <w:rPr>
          <w:spacing w:val="32"/>
        </w:rPr>
        <w:t xml:space="preserve"> </w:t>
      </w:r>
      <w:r>
        <w:rPr>
          <w:spacing w:val="-5"/>
        </w:rPr>
        <w:t>100</w:t>
      </w:r>
    </w:p>
    <w:p w:rsidR="00F939D3" w:rsidRDefault="00F939D3">
      <w:pPr>
        <w:pStyle w:val="BodyText"/>
        <w:spacing w:line="220" w:lineRule="exact"/>
        <w:jc w:val="both"/>
        <w:sectPr w:rsidR="00F939D3">
          <w:type w:val="continuous"/>
          <w:pgSz w:w="12240" w:h="15840"/>
          <w:pgMar w:top="860" w:right="0" w:bottom="280" w:left="720" w:header="35" w:footer="854" w:gutter="0"/>
          <w:cols w:num="2" w:space="720" w:equalWidth="0">
            <w:col w:w="5044" w:space="40"/>
            <w:col w:w="6436"/>
          </w:cols>
        </w:sectPr>
      </w:pPr>
    </w:p>
    <w:p w:rsidR="00F939D3" w:rsidRDefault="00F939D3">
      <w:pPr>
        <w:pStyle w:val="BodyText"/>
        <w:ind w:left="0"/>
      </w:pPr>
    </w:p>
    <w:p w:rsidR="00F939D3" w:rsidRDefault="00F939D3">
      <w:pPr>
        <w:pStyle w:val="BodyText"/>
        <w:spacing w:before="3"/>
        <w:ind w:left="0"/>
      </w:pPr>
    </w:p>
    <w:p w:rsidR="00F939D3" w:rsidRDefault="00F939D3">
      <w:pPr>
        <w:pStyle w:val="BodyText"/>
        <w:sectPr w:rsidR="00F939D3">
          <w:pgSz w:w="12240" w:h="15840"/>
          <w:pgMar w:top="860" w:right="0" w:bottom="1200" w:left="720" w:header="35" w:footer="854" w:gutter="0"/>
          <w:cols w:space="720"/>
        </w:sectPr>
      </w:pPr>
    </w:p>
    <w:p w:rsidR="00F939D3" w:rsidRDefault="005711C9">
      <w:pPr>
        <w:pStyle w:val="BodyText"/>
        <w:spacing w:before="98" w:line="364" w:lineRule="auto"/>
        <w:jc w:val="both"/>
        <w:rPr>
          <w:rFonts w:ascii="Arial" w:hAnsi="Arial"/>
          <w:i/>
        </w:rPr>
      </w:pPr>
      <w:r>
        <w:t>mg/mL for bactericidal activity. The difference between MIC and MBC for both organisms indicates that the extract exerts a bacteriostatic effect at lower concentrations and a bactericidal effect</w:t>
      </w:r>
      <w:r>
        <w:rPr>
          <w:spacing w:val="-3"/>
        </w:rPr>
        <w:t xml:space="preserve"> </w:t>
      </w:r>
      <w:r>
        <w:t>at</w:t>
      </w:r>
      <w:r>
        <w:rPr>
          <w:spacing w:val="-3"/>
        </w:rPr>
        <w:t xml:space="preserve"> </w:t>
      </w:r>
      <w:r>
        <w:t>higher</w:t>
      </w:r>
      <w:r>
        <w:rPr>
          <w:spacing w:val="-2"/>
        </w:rPr>
        <w:t xml:space="preserve"> </w:t>
      </w:r>
      <w:r>
        <w:t>concentrations.</w:t>
      </w:r>
      <w:r>
        <w:rPr>
          <w:spacing w:val="-1"/>
        </w:rPr>
        <w:t xml:space="preserve"> </w:t>
      </w:r>
      <w:r>
        <w:t>The</w:t>
      </w:r>
      <w:r>
        <w:rPr>
          <w:spacing w:val="-1"/>
        </w:rPr>
        <w:t xml:space="preserve"> </w:t>
      </w:r>
      <w:r>
        <w:t>ratio</w:t>
      </w:r>
      <w:r>
        <w:rPr>
          <w:spacing w:val="-3"/>
        </w:rPr>
        <w:t xml:space="preserve"> </w:t>
      </w:r>
      <w:r>
        <w:t xml:space="preserve">of MBC to MIC provides insight into the killing efficiency of the extract. For both organisms, the MBC values are approximately twice the MIC values (MBC/MIC ≈ 2). This suggests that </w:t>
      </w:r>
      <w:r>
        <w:rPr>
          <w:rFonts w:ascii="Arial" w:hAnsi="Arial"/>
          <w:i/>
        </w:rPr>
        <w:t xml:space="preserve">C. </w:t>
      </w:r>
      <w:proofErr w:type="spellStart"/>
      <w:r>
        <w:rPr>
          <w:rFonts w:ascii="Arial" w:hAnsi="Arial"/>
          <w:i/>
        </w:rPr>
        <w:t>sinensis</w:t>
      </w:r>
      <w:proofErr w:type="spellEnd"/>
      <w:r>
        <w:rPr>
          <w:rFonts w:ascii="Arial" w:hAnsi="Arial"/>
          <w:i/>
        </w:rPr>
        <w:t xml:space="preserve"> </w:t>
      </w:r>
      <w:r>
        <w:t xml:space="preserve">extract possesses strong bactericidal properties rather than being merely inhibitory. The higher MIC and MBC values observed for </w:t>
      </w:r>
      <w:r>
        <w:rPr>
          <w:rFonts w:ascii="Arial" w:hAnsi="Arial"/>
          <w:i/>
        </w:rPr>
        <w:t>S. aureus</w:t>
      </w:r>
    </w:p>
    <w:p w:rsidR="00F939D3" w:rsidRDefault="005711C9">
      <w:pPr>
        <w:pStyle w:val="BodyText"/>
        <w:spacing w:before="203" w:line="362" w:lineRule="auto"/>
        <w:jc w:val="both"/>
      </w:pPr>
      <w:r>
        <w:t xml:space="preserve">may be attributed to its thicker peptidoglycan layer, which can act as a barrier to the penetration of plant-derived antimicrobial compounds. In contrast, </w:t>
      </w:r>
      <w:r>
        <w:rPr>
          <w:rFonts w:ascii="Arial"/>
          <w:i/>
        </w:rPr>
        <w:t xml:space="preserve">E. coli </w:t>
      </w:r>
      <w:r>
        <w:t xml:space="preserve">appears more susceptible to the phytochemicals present in </w:t>
      </w:r>
      <w:r>
        <w:rPr>
          <w:rFonts w:ascii="Arial"/>
          <w:i/>
        </w:rPr>
        <w:t xml:space="preserve">C. </w:t>
      </w:r>
      <w:proofErr w:type="spellStart"/>
      <w:r>
        <w:rPr>
          <w:rFonts w:ascii="Arial"/>
          <w:i/>
        </w:rPr>
        <w:t>sinensis</w:t>
      </w:r>
      <w:proofErr w:type="spellEnd"/>
      <w:r>
        <w:rPr>
          <w:rFonts w:ascii="Arial"/>
          <w:i/>
        </w:rPr>
        <w:t xml:space="preserve">, </w:t>
      </w:r>
      <w:r>
        <w:t xml:space="preserve">such as flavonoids, citric acid, and essential oils, which may disrupt membrane integrity and interfere with essential cellular </w:t>
      </w:r>
      <w:r>
        <w:rPr>
          <w:spacing w:val="-2"/>
        </w:rPr>
        <w:t>processes.</w:t>
      </w:r>
    </w:p>
    <w:p w:rsidR="00F939D3" w:rsidRDefault="00F939D3">
      <w:pPr>
        <w:pStyle w:val="BodyText"/>
        <w:spacing w:before="132"/>
        <w:ind w:left="0"/>
      </w:pPr>
    </w:p>
    <w:p w:rsidR="00F939D3" w:rsidRDefault="005711C9">
      <w:pPr>
        <w:pStyle w:val="Heading3"/>
        <w:jc w:val="both"/>
        <w:rPr>
          <w:rFonts w:ascii="Times New Roman"/>
          <w:position w:val="1"/>
        </w:rPr>
      </w:pPr>
      <w:r>
        <w:rPr>
          <w:rFonts w:ascii="Times New Roman"/>
          <w:position w:val="1"/>
        </w:rPr>
        <w:t>Table</w:t>
      </w:r>
      <w:r>
        <w:rPr>
          <w:rFonts w:ascii="Times New Roman"/>
          <w:spacing w:val="-9"/>
          <w:position w:val="1"/>
        </w:rPr>
        <w:t xml:space="preserve"> </w:t>
      </w:r>
      <w:r>
        <w:rPr>
          <w:rFonts w:ascii="Times New Roman"/>
        </w:rPr>
        <w:t>1.</w:t>
      </w:r>
      <w:r>
        <w:rPr>
          <w:rFonts w:ascii="Times New Roman"/>
          <w:spacing w:val="-6"/>
        </w:rPr>
        <w:t xml:space="preserve"> </w:t>
      </w:r>
      <w:r>
        <w:rPr>
          <w:rFonts w:ascii="Times New Roman"/>
        </w:rPr>
        <w:t>Physical</w:t>
      </w:r>
      <w:r>
        <w:rPr>
          <w:rFonts w:ascii="Times New Roman"/>
          <w:spacing w:val="-8"/>
        </w:rPr>
        <w:t xml:space="preserve"> </w:t>
      </w:r>
      <w:r>
        <w:rPr>
          <w:rFonts w:ascii="Times New Roman"/>
          <w:position w:val="1"/>
        </w:rPr>
        <w:t>Properties</w:t>
      </w:r>
      <w:r>
        <w:rPr>
          <w:rFonts w:ascii="Times New Roman"/>
          <w:spacing w:val="-8"/>
          <w:position w:val="1"/>
        </w:rPr>
        <w:t xml:space="preserve"> </w:t>
      </w:r>
      <w:r>
        <w:rPr>
          <w:rFonts w:ascii="Times New Roman"/>
          <w:position w:val="1"/>
        </w:rPr>
        <w:t>of</w:t>
      </w:r>
      <w:r>
        <w:rPr>
          <w:rFonts w:ascii="Times New Roman"/>
          <w:spacing w:val="-8"/>
          <w:position w:val="1"/>
        </w:rPr>
        <w:t xml:space="preserve"> </w:t>
      </w:r>
      <w:r>
        <w:rPr>
          <w:rFonts w:ascii="Times New Roman"/>
          <w:position w:val="1"/>
        </w:rPr>
        <w:t>the</w:t>
      </w:r>
      <w:r>
        <w:rPr>
          <w:rFonts w:ascii="Times New Roman"/>
          <w:spacing w:val="-9"/>
          <w:position w:val="1"/>
        </w:rPr>
        <w:t xml:space="preserve"> </w:t>
      </w:r>
      <w:r>
        <w:rPr>
          <w:rFonts w:ascii="Times New Roman"/>
          <w:spacing w:val="-2"/>
          <w:position w:val="1"/>
        </w:rPr>
        <w:t>Extract</w:t>
      </w:r>
    </w:p>
    <w:p w:rsidR="00F939D3" w:rsidRDefault="005711C9">
      <w:pPr>
        <w:spacing w:before="93" w:line="362" w:lineRule="auto"/>
        <w:ind w:left="681" w:right="1437"/>
        <w:jc w:val="both"/>
        <w:rPr>
          <w:sz w:val="20"/>
        </w:rPr>
      </w:pPr>
      <w:r>
        <w:br w:type="column"/>
      </w:r>
      <w:r>
        <w:rPr>
          <w:sz w:val="20"/>
        </w:rPr>
        <w:t xml:space="preserve">These findings confirm that </w:t>
      </w:r>
      <w:r>
        <w:rPr>
          <w:rFonts w:ascii="Arial"/>
          <w:i/>
          <w:sz w:val="20"/>
        </w:rPr>
        <w:t xml:space="preserve">Citrus </w:t>
      </w:r>
      <w:proofErr w:type="spellStart"/>
      <w:r>
        <w:rPr>
          <w:rFonts w:ascii="Arial"/>
          <w:i/>
          <w:sz w:val="20"/>
        </w:rPr>
        <w:t>sinensis</w:t>
      </w:r>
      <w:proofErr w:type="spellEnd"/>
      <w:r>
        <w:rPr>
          <w:rFonts w:ascii="Arial"/>
          <w:i/>
          <w:sz w:val="20"/>
        </w:rPr>
        <w:t xml:space="preserve"> </w:t>
      </w:r>
      <w:r>
        <w:rPr>
          <w:sz w:val="20"/>
        </w:rPr>
        <w:t>extract demonstrates significant antibacterial activity, with</w:t>
      </w:r>
      <w:r>
        <w:rPr>
          <w:spacing w:val="-1"/>
          <w:sz w:val="20"/>
        </w:rPr>
        <w:t xml:space="preserve"> </w:t>
      </w:r>
      <w:r>
        <w:rPr>
          <w:sz w:val="20"/>
        </w:rPr>
        <w:t>greater</w:t>
      </w:r>
      <w:r>
        <w:rPr>
          <w:spacing w:val="-3"/>
          <w:sz w:val="20"/>
        </w:rPr>
        <w:t xml:space="preserve"> </w:t>
      </w:r>
      <w:r>
        <w:rPr>
          <w:sz w:val="20"/>
        </w:rPr>
        <w:t>efficacy</w:t>
      </w:r>
      <w:r>
        <w:rPr>
          <w:spacing w:val="-4"/>
          <w:sz w:val="20"/>
        </w:rPr>
        <w:t xml:space="preserve"> </w:t>
      </w:r>
      <w:r>
        <w:rPr>
          <w:sz w:val="20"/>
        </w:rPr>
        <w:t xml:space="preserve">against </w:t>
      </w:r>
      <w:r>
        <w:rPr>
          <w:rFonts w:ascii="Arial"/>
          <w:i/>
          <w:sz w:val="20"/>
        </w:rPr>
        <w:t xml:space="preserve">Escherichia coli </w:t>
      </w:r>
      <w:r>
        <w:rPr>
          <w:sz w:val="20"/>
        </w:rPr>
        <w:t xml:space="preserve">than </w:t>
      </w:r>
      <w:r>
        <w:rPr>
          <w:rFonts w:ascii="Arial"/>
          <w:i/>
          <w:sz w:val="20"/>
        </w:rPr>
        <w:t xml:space="preserve">Staphylococcus aureus, </w:t>
      </w:r>
      <w:r>
        <w:rPr>
          <w:sz w:val="20"/>
        </w:rPr>
        <w:t>and exhibits both inhibitory and bactericidal effects</w:t>
      </w:r>
      <w:r>
        <w:rPr>
          <w:spacing w:val="40"/>
          <w:sz w:val="20"/>
        </w:rPr>
        <w:t xml:space="preserve"> </w:t>
      </w:r>
      <w:r>
        <w:rPr>
          <w:sz w:val="20"/>
        </w:rPr>
        <w:t>depending on concentration.</w:t>
      </w:r>
    </w:p>
    <w:p w:rsidR="00F939D3" w:rsidRDefault="005711C9">
      <w:pPr>
        <w:pStyle w:val="ListParagraph"/>
        <w:numPr>
          <w:ilvl w:val="1"/>
          <w:numId w:val="1"/>
        </w:numPr>
        <w:tabs>
          <w:tab w:val="left" w:pos="1050"/>
        </w:tabs>
        <w:spacing w:before="93" w:line="360" w:lineRule="auto"/>
        <w:ind w:left="681" w:right="1439" w:firstLine="0"/>
        <w:jc w:val="both"/>
        <w:rPr>
          <w:rFonts w:ascii="Microsoft Sans Serif"/>
          <w:sz w:val="20"/>
        </w:rPr>
      </w:pPr>
      <w:r>
        <w:rPr>
          <w:b/>
        </w:rPr>
        <w:t>Physical</w:t>
      </w:r>
      <w:r>
        <w:rPr>
          <w:b/>
          <w:spacing w:val="-6"/>
        </w:rPr>
        <w:t xml:space="preserve"> </w:t>
      </w:r>
      <w:r>
        <w:rPr>
          <w:b/>
        </w:rPr>
        <w:t>properties</w:t>
      </w:r>
      <w:r>
        <w:rPr>
          <w:b/>
          <w:spacing w:val="-9"/>
        </w:rPr>
        <w:t xml:space="preserve"> </w:t>
      </w:r>
      <w:r>
        <w:rPr>
          <w:b/>
        </w:rPr>
        <w:t>of</w:t>
      </w:r>
      <w:r>
        <w:rPr>
          <w:b/>
          <w:spacing w:val="-7"/>
        </w:rPr>
        <w:t xml:space="preserve"> </w:t>
      </w:r>
      <w:r>
        <w:rPr>
          <w:b/>
          <w:i/>
        </w:rPr>
        <w:t>Citrus</w:t>
      </w:r>
      <w:r>
        <w:rPr>
          <w:b/>
          <w:i/>
          <w:spacing w:val="-7"/>
        </w:rPr>
        <w:t xml:space="preserve"> </w:t>
      </w:r>
      <w:proofErr w:type="spellStart"/>
      <w:r>
        <w:rPr>
          <w:b/>
          <w:i/>
        </w:rPr>
        <w:t>sinensis</w:t>
      </w:r>
      <w:proofErr w:type="spellEnd"/>
      <w:r>
        <w:rPr>
          <w:b/>
          <w:i/>
        </w:rPr>
        <w:t xml:space="preserve"> </w:t>
      </w:r>
      <w:proofErr w:type="gramStart"/>
      <w:r>
        <w:rPr>
          <w:rFonts w:ascii="Microsoft Sans Serif"/>
          <w:sz w:val="20"/>
        </w:rPr>
        <w:t>The</w:t>
      </w:r>
      <w:proofErr w:type="gramEnd"/>
      <w:r>
        <w:rPr>
          <w:rFonts w:ascii="Microsoft Sans Serif"/>
          <w:sz w:val="20"/>
        </w:rPr>
        <w:t xml:space="preserve"> result for physical characteristics of </w:t>
      </w:r>
      <w:r>
        <w:rPr>
          <w:i/>
          <w:sz w:val="20"/>
        </w:rPr>
        <w:t xml:space="preserve">Citrus </w:t>
      </w:r>
      <w:proofErr w:type="spellStart"/>
      <w:r>
        <w:rPr>
          <w:i/>
          <w:sz w:val="20"/>
        </w:rPr>
        <w:t>sinensis</w:t>
      </w:r>
      <w:proofErr w:type="spellEnd"/>
      <w:r>
        <w:rPr>
          <w:i/>
          <w:sz w:val="20"/>
        </w:rPr>
        <w:t xml:space="preserve"> </w:t>
      </w:r>
      <w:r>
        <w:rPr>
          <w:rFonts w:ascii="Microsoft Sans Serif"/>
          <w:sz w:val="20"/>
        </w:rPr>
        <w:t>extract were recorded in table 1. The</w:t>
      </w:r>
    </w:p>
    <w:p w:rsidR="00F939D3" w:rsidRDefault="005711C9">
      <w:pPr>
        <w:pStyle w:val="BodyText"/>
        <w:spacing w:before="206" w:line="364" w:lineRule="auto"/>
        <w:ind w:left="681" w:right="1441" w:firstLine="55"/>
        <w:jc w:val="both"/>
      </w:pPr>
      <w:r>
        <w:t>properties include the color, odor, texture, consistency and the weight of both the sample and the extract including the total percentage of the extract yield.</w:t>
      </w:r>
    </w:p>
    <w:p w:rsidR="00F939D3" w:rsidRDefault="00F939D3">
      <w:pPr>
        <w:pStyle w:val="BodyText"/>
        <w:spacing w:line="364" w:lineRule="auto"/>
        <w:jc w:val="both"/>
        <w:sectPr w:rsidR="00F939D3">
          <w:type w:val="continuous"/>
          <w:pgSz w:w="12240" w:h="15840"/>
          <w:pgMar w:top="860" w:right="0" w:bottom="280" w:left="720" w:header="35" w:footer="854" w:gutter="0"/>
          <w:cols w:num="2" w:space="720" w:equalWidth="0">
            <w:col w:w="5040" w:space="40"/>
            <w:col w:w="6440"/>
          </w:cols>
        </w:sectPr>
      </w:pPr>
    </w:p>
    <w:p w:rsidR="00F939D3" w:rsidRDefault="00F939D3">
      <w:pPr>
        <w:pStyle w:val="BodyText"/>
        <w:ind w:left="0"/>
      </w:pPr>
    </w:p>
    <w:p w:rsidR="00F939D3" w:rsidRDefault="00F939D3">
      <w:pPr>
        <w:pStyle w:val="BodyText"/>
        <w:spacing w:before="13"/>
        <w:ind w:left="0"/>
      </w:pPr>
    </w:p>
    <w:p w:rsidR="00F939D3" w:rsidRDefault="005711C9">
      <w:pPr>
        <w:pStyle w:val="BodyText"/>
        <w:spacing w:line="20" w:lineRule="exact"/>
        <w:ind w:left="612"/>
        <w:rPr>
          <w:sz w:val="2"/>
        </w:rPr>
      </w:pPr>
      <w:r>
        <w:rPr>
          <w:noProof/>
          <w:sz w:val="2"/>
        </w:rPr>
        <mc:AlternateContent>
          <mc:Choice Requires="wpg">
            <w:drawing>
              <wp:inline distT="0" distB="0" distL="0" distR="0">
                <wp:extent cx="6082030" cy="63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2030" cy="6350"/>
                          <a:chOff x="0" y="0"/>
                          <a:chExt cx="6082030" cy="6350"/>
                        </a:xfrm>
                      </wpg:grpSpPr>
                      <wps:wsp>
                        <wps:cNvPr id="5" name="Graphic 5"/>
                        <wps:cNvSpPr/>
                        <wps:spPr>
                          <a:xfrm>
                            <a:off x="0" y="0"/>
                            <a:ext cx="6082030" cy="6350"/>
                          </a:xfrm>
                          <a:custGeom>
                            <a:avLst/>
                            <a:gdLst/>
                            <a:ahLst/>
                            <a:cxnLst/>
                            <a:rect l="l" t="t" r="r" b="b"/>
                            <a:pathLst>
                              <a:path w="6082030" h="6350">
                                <a:moveTo>
                                  <a:pt x="3040634" y="0"/>
                                </a:moveTo>
                                <a:lnTo>
                                  <a:pt x="0" y="0"/>
                                </a:lnTo>
                                <a:lnTo>
                                  <a:pt x="0" y="6096"/>
                                </a:lnTo>
                                <a:lnTo>
                                  <a:pt x="3040634" y="6096"/>
                                </a:lnTo>
                                <a:lnTo>
                                  <a:pt x="3040634" y="0"/>
                                </a:lnTo>
                                <a:close/>
                              </a:path>
                              <a:path w="6082030" h="6350">
                                <a:moveTo>
                                  <a:pt x="6081776" y="0"/>
                                </a:moveTo>
                                <a:lnTo>
                                  <a:pt x="3040761" y="0"/>
                                </a:lnTo>
                                <a:lnTo>
                                  <a:pt x="3040761" y="6096"/>
                                </a:lnTo>
                                <a:lnTo>
                                  <a:pt x="6081776" y="6096"/>
                                </a:lnTo>
                                <a:lnTo>
                                  <a:pt x="60817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BFCD6E0" id="Group 4" o:spid="_x0000_s1026" style="width:478.9pt;height:.5pt;mso-position-horizontal-relative:char;mso-position-vertical-relative:line" coordsize="608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">
                <v:shape id="Graphic 5" o:spid="_x0000_s1027" style="position:absolute;width:60820;height:63;visibility:visible;mso-wrap-style:square;v-text-anchor:top" coordsize="60820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" path="m3040634,l,,,6096r3040634,l3040634,xem6081776,l3040761,r,6096l6081776,6096r,-6096xe" fillcolor="black" stroked="f">
                  <v:path arrowok="t"/>
                </v:shape>
                <w10:anchorlock/>
              </v:group>
            </w:pict>
          </mc:Fallback>
        </mc:AlternateContent>
      </w:r>
    </w:p>
    <w:p w:rsidR="00F939D3" w:rsidRDefault="005711C9">
      <w:pPr>
        <w:pStyle w:val="Heading3"/>
        <w:tabs>
          <w:tab w:val="left" w:pos="5509"/>
        </w:tabs>
      </w:pPr>
      <w:r>
        <w:rPr>
          <w:spacing w:val="-2"/>
        </w:rPr>
        <w:t>Criteria</w:t>
      </w:r>
      <w:r>
        <w:tab/>
      </w:r>
      <w:r>
        <w:rPr>
          <w:spacing w:val="-2"/>
        </w:rPr>
        <w:t>Properties</w:t>
      </w:r>
    </w:p>
    <w:p w:rsidR="00F939D3" w:rsidRDefault="005711C9">
      <w:pPr>
        <w:pStyle w:val="BodyText"/>
        <w:spacing w:before="5"/>
        <w:ind w:left="0"/>
        <w:rPr>
          <w:rFonts w:ascii="Arial"/>
          <w:b/>
          <w:sz w:val="6"/>
        </w:rPr>
      </w:pPr>
      <w:r>
        <w:rPr>
          <w:rFonts w:ascii="Arial"/>
          <w:b/>
          <w:noProof/>
          <w:sz w:val="6"/>
        </w:rPr>
        <mc:AlternateContent>
          <mc:Choice Requires="wps">
            <w:drawing>
              <wp:anchor distT="0" distB="0" distL="0" distR="0" simplePos="0" relativeHeight="487588352" behindDoc="1" locked="0" layoutInCell="1" allowOverlap="1">
                <wp:simplePos x="0" y="0"/>
                <wp:positionH relativeFrom="page">
                  <wp:posOffset>845820</wp:posOffset>
                </wp:positionH>
                <wp:positionV relativeFrom="paragraph">
                  <wp:posOffset>62750</wp:posOffset>
                </wp:positionV>
                <wp:extent cx="608203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6350"/>
                        </a:xfrm>
                        <a:custGeom>
                          <a:avLst/>
                          <a:gdLst/>
                          <a:ahLst/>
                          <a:cxnLst/>
                          <a:rect l="l" t="t" r="r" b="b"/>
                          <a:pathLst>
                            <a:path w="6082030" h="6350">
                              <a:moveTo>
                                <a:pt x="3040634" y="12"/>
                              </a:moveTo>
                              <a:lnTo>
                                <a:pt x="0" y="12"/>
                              </a:lnTo>
                              <a:lnTo>
                                <a:pt x="0" y="6096"/>
                              </a:lnTo>
                              <a:lnTo>
                                <a:pt x="3040634" y="6096"/>
                              </a:lnTo>
                              <a:lnTo>
                                <a:pt x="3040634" y="12"/>
                              </a:lnTo>
                              <a:close/>
                            </a:path>
                            <a:path w="6082030" h="6350">
                              <a:moveTo>
                                <a:pt x="6081776" y="0"/>
                              </a:moveTo>
                              <a:lnTo>
                                <a:pt x="3040761" y="0"/>
                              </a:lnTo>
                              <a:lnTo>
                                <a:pt x="3040761" y="6096"/>
                              </a:lnTo>
                              <a:lnTo>
                                <a:pt x="6081776" y="6096"/>
                              </a:lnTo>
                              <a:lnTo>
                                <a:pt x="6081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4E188E" id="Graphic 6" o:spid="_x0000_s1026" style="position:absolute;margin-left:66.6pt;margin-top:4.95pt;width:478.9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0820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" path="m3040634,12l,12,,6096r3040634,l3040634,12xem6081776,l3040761,r,6096l6081776,6096r,-6096xe" fillcolor="black" stroked="f">
                <v:path arrowok="t"/>
                <w10:wrap type="topAndBottom" anchorx="page"/>
              </v:shape>
            </w:pict>
          </mc:Fallback>
        </mc:AlternateContent>
      </w:r>
    </w:p>
    <w:p w:rsidR="00F939D3" w:rsidRDefault="005711C9">
      <w:pPr>
        <w:pStyle w:val="BodyText"/>
        <w:tabs>
          <w:tab w:val="left" w:pos="5509"/>
        </w:tabs>
        <w:spacing w:before="2"/>
      </w:pPr>
      <w:r>
        <w:t>Weight</w:t>
      </w:r>
      <w:r>
        <w:rPr>
          <w:spacing w:val="-10"/>
        </w:rPr>
        <w:t xml:space="preserve"> </w:t>
      </w:r>
      <w:r>
        <w:t>of</w:t>
      </w:r>
      <w:r>
        <w:rPr>
          <w:spacing w:val="-10"/>
        </w:rPr>
        <w:t xml:space="preserve"> </w:t>
      </w:r>
      <w:r>
        <w:t>the</w:t>
      </w:r>
      <w:r>
        <w:rPr>
          <w:spacing w:val="-10"/>
        </w:rPr>
        <w:t xml:space="preserve"> </w:t>
      </w:r>
      <w:r>
        <w:t>material</w:t>
      </w:r>
      <w:r>
        <w:rPr>
          <w:spacing w:val="-10"/>
        </w:rPr>
        <w:t xml:space="preserve"> </w:t>
      </w:r>
      <w:r>
        <w:rPr>
          <w:spacing w:val="-2"/>
        </w:rPr>
        <w:t>prepared</w:t>
      </w:r>
      <w:r>
        <w:tab/>
        <w:t>30</w:t>
      </w:r>
      <w:r>
        <w:rPr>
          <w:spacing w:val="-8"/>
        </w:rPr>
        <w:t xml:space="preserve"> </w:t>
      </w:r>
      <w:r>
        <w:rPr>
          <w:spacing w:val="-12"/>
        </w:rPr>
        <w:t>g</w:t>
      </w:r>
    </w:p>
    <w:p w:rsidR="00F939D3" w:rsidRDefault="005711C9">
      <w:pPr>
        <w:pStyle w:val="BodyText"/>
        <w:tabs>
          <w:tab w:val="left" w:pos="5509"/>
        </w:tabs>
        <w:spacing w:before="119"/>
      </w:pPr>
      <w:r>
        <w:t>Weight</w:t>
      </w:r>
      <w:r>
        <w:rPr>
          <w:spacing w:val="-9"/>
        </w:rPr>
        <w:t xml:space="preserve"> </w:t>
      </w:r>
      <w:r>
        <w:t>of</w:t>
      </w:r>
      <w:r>
        <w:rPr>
          <w:spacing w:val="-8"/>
        </w:rPr>
        <w:t xml:space="preserve"> </w:t>
      </w:r>
      <w:r>
        <w:t>the</w:t>
      </w:r>
      <w:r>
        <w:rPr>
          <w:spacing w:val="-9"/>
        </w:rPr>
        <w:t xml:space="preserve"> </w:t>
      </w:r>
      <w:r>
        <w:t>extract</w:t>
      </w:r>
      <w:r>
        <w:rPr>
          <w:spacing w:val="-10"/>
        </w:rPr>
        <w:t xml:space="preserve"> </w:t>
      </w:r>
      <w:r>
        <w:rPr>
          <w:spacing w:val="-2"/>
        </w:rPr>
        <w:t>recovered</w:t>
      </w:r>
      <w:r>
        <w:tab/>
        <w:t>2.2</w:t>
      </w:r>
      <w:r>
        <w:rPr>
          <w:spacing w:val="-8"/>
        </w:rPr>
        <w:t xml:space="preserve"> </w:t>
      </w:r>
      <w:r>
        <w:rPr>
          <w:spacing w:val="-10"/>
        </w:rPr>
        <w:t>g</w:t>
      </w:r>
    </w:p>
    <w:p w:rsidR="00F939D3" w:rsidRDefault="005711C9">
      <w:pPr>
        <w:pStyle w:val="BodyText"/>
        <w:tabs>
          <w:tab w:val="left" w:pos="5509"/>
        </w:tabs>
        <w:spacing w:before="121"/>
      </w:pPr>
      <w:r>
        <w:t>Percentage</w:t>
      </w:r>
      <w:r>
        <w:rPr>
          <w:spacing w:val="-8"/>
        </w:rPr>
        <w:t xml:space="preserve"> </w:t>
      </w:r>
      <w:r>
        <w:t>of</w:t>
      </w:r>
      <w:r>
        <w:rPr>
          <w:spacing w:val="-9"/>
        </w:rPr>
        <w:t xml:space="preserve"> </w:t>
      </w:r>
      <w:r>
        <w:t>the</w:t>
      </w:r>
      <w:r>
        <w:rPr>
          <w:spacing w:val="-10"/>
        </w:rPr>
        <w:t xml:space="preserve"> </w:t>
      </w:r>
      <w:r>
        <w:t>extract</w:t>
      </w:r>
      <w:r>
        <w:rPr>
          <w:spacing w:val="-7"/>
        </w:rPr>
        <w:t xml:space="preserve"> </w:t>
      </w:r>
      <w:r>
        <w:rPr>
          <w:spacing w:val="-4"/>
        </w:rPr>
        <w:t>yield</w:t>
      </w:r>
      <w:r>
        <w:tab/>
        <w:t>7.3</w:t>
      </w:r>
      <w:r>
        <w:rPr>
          <w:spacing w:val="-8"/>
        </w:rPr>
        <w:t xml:space="preserve"> </w:t>
      </w:r>
      <w:r>
        <w:rPr>
          <w:spacing w:val="-10"/>
        </w:rPr>
        <w:t>%</w:t>
      </w:r>
    </w:p>
    <w:p w:rsidR="00F939D3" w:rsidRDefault="005711C9">
      <w:pPr>
        <w:pStyle w:val="BodyText"/>
        <w:tabs>
          <w:tab w:val="left" w:pos="5509"/>
        </w:tabs>
        <w:spacing w:before="115"/>
      </w:pPr>
      <w:r>
        <w:t>Color</w:t>
      </w:r>
      <w:r>
        <w:rPr>
          <w:spacing w:val="-6"/>
        </w:rPr>
        <w:t xml:space="preserve"> </w:t>
      </w:r>
      <w:r>
        <w:t>of</w:t>
      </w:r>
      <w:r>
        <w:rPr>
          <w:spacing w:val="-6"/>
        </w:rPr>
        <w:t xml:space="preserve"> </w:t>
      </w:r>
      <w:r>
        <w:t>the</w:t>
      </w:r>
      <w:r>
        <w:rPr>
          <w:spacing w:val="-7"/>
        </w:rPr>
        <w:t xml:space="preserve"> </w:t>
      </w:r>
      <w:r>
        <w:rPr>
          <w:spacing w:val="-2"/>
        </w:rPr>
        <w:t>extract</w:t>
      </w:r>
      <w:r>
        <w:tab/>
        <w:t>deep</w:t>
      </w:r>
      <w:r>
        <w:rPr>
          <w:spacing w:val="-10"/>
        </w:rPr>
        <w:t xml:space="preserve"> </w:t>
      </w:r>
      <w:r>
        <w:t>orange</w:t>
      </w:r>
      <w:r>
        <w:rPr>
          <w:spacing w:val="-9"/>
        </w:rPr>
        <w:t xml:space="preserve"> </w:t>
      </w:r>
      <w:r>
        <w:t>brown</w:t>
      </w:r>
      <w:r>
        <w:rPr>
          <w:spacing w:val="-12"/>
        </w:rPr>
        <w:t xml:space="preserve"> </w:t>
      </w:r>
      <w:r>
        <w:t>red</w:t>
      </w:r>
      <w:r>
        <w:rPr>
          <w:spacing w:val="-8"/>
        </w:rPr>
        <w:t xml:space="preserve"> </w:t>
      </w:r>
      <w:r>
        <w:t>pale</w:t>
      </w:r>
      <w:r>
        <w:rPr>
          <w:spacing w:val="-9"/>
        </w:rPr>
        <w:t xml:space="preserve"> </w:t>
      </w:r>
      <w:r>
        <w:rPr>
          <w:spacing w:val="-2"/>
        </w:rPr>
        <w:t>yellow</w:t>
      </w:r>
    </w:p>
    <w:p w:rsidR="00F939D3" w:rsidRDefault="005711C9">
      <w:pPr>
        <w:pStyle w:val="BodyText"/>
        <w:tabs>
          <w:tab w:val="left" w:pos="5509"/>
        </w:tabs>
        <w:spacing w:before="119"/>
      </w:pPr>
      <w:r>
        <w:t>Consistency</w:t>
      </w:r>
      <w:r>
        <w:rPr>
          <w:spacing w:val="-12"/>
        </w:rPr>
        <w:t xml:space="preserve"> </w:t>
      </w:r>
      <w:r>
        <w:t>of</w:t>
      </w:r>
      <w:r>
        <w:rPr>
          <w:spacing w:val="-8"/>
        </w:rPr>
        <w:t xml:space="preserve"> </w:t>
      </w:r>
      <w:r>
        <w:t>the</w:t>
      </w:r>
      <w:r>
        <w:rPr>
          <w:spacing w:val="-12"/>
        </w:rPr>
        <w:t xml:space="preserve"> </w:t>
      </w:r>
      <w:r>
        <w:rPr>
          <w:spacing w:val="-2"/>
        </w:rPr>
        <w:t>extract</w:t>
      </w:r>
      <w:r>
        <w:tab/>
        <w:t>viscous</w:t>
      </w:r>
      <w:r>
        <w:rPr>
          <w:spacing w:val="-12"/>
        </w:rPr>
        <w:t xml:space="preserve"> </w:t>
      </w:r>
      <w:r>
        <w:t>and</w:t>
      </w:r>
      <w:r>
        <w:rPr>
          <w:spacing w:val="-11"/>
        </w:rPr>
        <w:t xml:space="preserve"> </w:t>
      </w:r>
      <w:r>
        <w:t>thick</w:t>
      </w:r>
      <w:r>
        <w:rPr>
          <w:spacing w:val="-10"/>
        </w:rPr>
        <w:t xml:space="preserve"> </w:t>
      </w:r>
      <w:r>
        <w:rPr>
          <w:spacing w:val="-4"/>
        </w:rPr>
        <w:t>oily</w:t>
      </w:r>
    </w:p>
    <w:p w:rsidR="00F939D3" w:rsidRDefault="005711C9">
      <w:pPr>
        <w:pStyle w:val="BodyText"/>
        <w:tabs>
          <w:tab w:val="left" w:pos="5509"/>
        </w:tabs>
        <w:spacing w:before="122"/>
      </w:pPr>
      <w:r>
        <w:t>Odor</w:t>
      </w:r>
      <w:r>
        <w:rPr>
          <w:spacing w:val="-7"/>
        </w:rPr>
        <w:t xml:space="preserve"> </w:t>
      </w:r>
      <w:r>
        <w:t>of</w:t>
      </w:r>
      <w:r>
        <w:rPr>
          <w:spacing w:val="-6"/>
        </w:rPr>
        <w:t xml:space="preserve"> </w:t>
      </w:r>
      <w:r>
        <w:t>the</w:t>
      </w:r>
      <w:r>
        <w:rPr>
          <w:spacing w:val="-5"/>
        </w:rPr>
        <w:t xml:space="preserve"> </w:t>
      </w:r>
      <w:r>
        <w:rPr>
          <w:spacing w:val="-2"/>
        </w:rPr>
        <w:t>extract</w:t>
      </w:r>
      <w:r>
        <w:tab/>
        <w:t>citrusy</w:t>
      </w:r>
      <w:r>
        <w:rPr>
          <w:spacing w:val="-12"/>
        </w:rPr>
        <w:t xml:space="preserve"> </w:t>
      </w:r>
      <w:r>
        <w:t>aroma</w:t>
      </w:r>
      <w:r>
        <w:rPr>
          <w:spacing w:val="-12"/>
        </w:rPr>
        <w:t xml:space="preserve"> </w:t>
      </w:r>
      <w:r>
        <w:rPr>
          <w:spacing w:val="-2"/>
        </w:rPr>
        <w:t>milder</w:t>
      </w:r>
    </w:p>
    <w:p w:rsidR="00F939D3" w:rsidRDefault="005711C9">
      <w:pPr>
        <w:pStyle w:val="BodyText"/>
        <w:tabs>
          <w:tab w:val="left" w:pos="5509"/>
        </w:tabs>
        <w:spacing w:before="117"/>
      </w:pPr>
      <w:r>
        <w:t>Texture</w:t>
      </w:r>
      <w:r>
        <w:rPr>
          <w:spacing w:val="-10"/>
        </w:rPr>
        <w:t xml:space="preserve"> </w:t>
      </w:r>
      <w:r>
        <w:t>of</w:t>
      </w:r>
      <w:r>
        <w:rPr>
          <w:spacing w:val="-7"/>
        </w:rPr>
        <w:t xml:space="preserve"> </w:t>
      </w:r>
      <w:r>
        <w:t>the</w:t>
      </w:r>
      <w:r>
        <w:rPr>
          <w:spacing w:val="-9"/>
        </w:rPr>
        <w:t xml:space="preserve"> </w:t>
      </w:r>
      <w:r>
        <w:rPr>
          <w:spacing w:val="-2"/>
        </w:rPr>
        <w:t>extract</w:t>
      </w:r>
      <w:r>
        <w:tab/>
      </w:r>
      <w:r>
        <w:rPr>
          <w:spacing w:val="-2"/>
        </w:rPr>
        <w:t>smooth</w:t>
      </w:r>
      <w:r>
        <w:rPr>
          <w:spacing w:val="-4"/>
        </w:rPr>
        <w:t xml:space="preserve"> </w:t>
      </w:r>
      <w:r>
        <w:rPr>
          <w:spacing w:val="-2"/>
        </w:rPr>
        <w:t>and</w:t>
      </w:r>
      <w:r>
        <w:rPr>
          <w:spacing w:val="-1"/>
        </w:rPr>
        <w:t xml:space="preserve"> </w:t>
      </w:r>
      <w:r>
        <w:rPr>
          <w:spacing w:val="-2"/>
        </w:rPr>
        <w:t>slightly</w:t>
      </w:r>
      <w:r>
        <w:rPr>
          <w:spacing w:val="-3"/>
        </w:rPr>
        <w:t xml:space="preserve"> </w:t>
      </w:r>
      <w:r>
        <w:rPr>
          <w:spacing w:val="-2"/>
        </w:rPr>
        <w:t>tacky</w:t>
      </w:r>
    </w:p>
    <w:p w:rsidR="00F939D3" w:rsidRDefault="005711C9">
      <w:pPr>
        <w:pStyle w:val="BodyText"/>
        <w:tabs>
          <w:tab w:val="left" w:pos="5509"/>
        </w:tabs>
        <w:spacing w:before="116"/>
      </w:pPr>
      <w:r>
        <w:rPr>
          <w:spacing w:val="-4"/>
        </w:rPr>
        <w:t>Compositional</w:t>
      </w:r>
      <w:r>
        <w:rPr>
          <w:spacing w:val="14"/>
        </w:rPr>
        <w:t xml:space="preserve"> </w:t>
      </w:r>
      <w:r>
        <w:rPr>
          <w:spacing w:val="-4"/>
        </w:rPr>
        <w:t>test</w:t>
      </w:r>
      <w:r>
        <w:tab/>
        <w:t>malic</w:t>
      </w:r>
      <w:r>
        <w:rPr>
          <w:spacing w:val="-12"/>
        </w:rPr>
        <w:t xml:space="preserve"> </w:t>
      </w:r>
      <w:r>
        <w:t>acid,</w:t>
      </w:r>
      <w:r>
        <w:rPr>
          <w:spacing w:val="-12"/>
        </w:rPr>
        <w:t xml:space="preserve"> </w:t>
      </w:r>
      <w:r>
        <w:t>citric</w:t>
      </w:r>
      <w:r>
        <w:rPr>
          <w:spacing w:val="-7"/>
        </w:rPr>
        <w:t xml:space="preserve"> </w:t>
      </w:r>
      <w:r>
        <w:t>acid</w:t>
      </w:r>
      <w:r>
        <w:rPr>
          <w:spacing w:val="-9"/>
        </w:rPr>
        <w:t xml:space="preserve"> </w:t>
      </w:r>
      <w:r>
        <w:t>and</w:t>
      </w:r>
      <w:r>
        <w:rPr>
          <w:spacing w:val="-10"/>
        </w:rPr>
        <w:t xml:space="preserve"> </w:t>
      </w:r>
      <w:r>
        <w:rPr>
          <w:spacing w:val="-2"/>
        </w:rPr>
        <w:t>sugars</w:t>
      </w:r>
    </w:p>
    <w:p w:rsidR="00F939D3" w:rsidRDefault="005711C9">
      <w:pPr>
        <w:pStyle w:val="BodyText"/>
        <w:tabs>
          <w:tab w:val="left" w:pos="5509"/>
        </w:tabs>
        <w:spacing w:before="122"/>
      </w:pPr>
      <w:r>
        <w:rPr>
          <w:spacing w:val="-2"/>
        </w:rPr>
        <w:t>Nutritional</w:t>
      </w:r>
      <w:r>
        <w:rPr>
          <w:spacing w:val="-4"/>
        </w:rPr>
        <w:t xml:space="preserve"> value</w:t>
      </w:r>
      <w:r>
        <w:tab/>
      </w:r>
      <w:r>
        <w:rPr>
          <w:spacing w:val="-2"/>
        </w:rPr>
        <w:t>mineral</w:t>
      </w:r>
      <w:r>
        <w:rPr>
          <w:spacing w:val="-4"/>
        </w:rPr>
        <w:t xml:space="preserve"> </w:t>
      </w:r>
      <w:r>
        <w:rPr>
          <w:spacing w:val="-2"/>
        </w:rPr>
        <w:t>pigment,</w:t>
      </w:r>
      <w:r>
        <w:t xml:space="preserve"> </w:t>
      </w:r>
      <w:r>
        <w:rPr>
          <w:spacing w:val="-2"/>
        </w:rPr>
        <w:t>dietary</w:t>
      </w:r>
      <w:r>
        <w:rPr>
          <w:spacing w:val="-6"/>
        </w:rPr>
        <w:t xml:space="preserve"> </w:t>
      </w:r>
      <w:r>
        <w:rPr>
          <w:spacing w:val="-2"/>
        </w:rPr>
        <w:t>fibers,</w:t>
      </w:r>
    </w:p>
    <w:p w:rsidR="00F939D3" w:rsidRDefault="005711C9">
      <w:pPr>
        <w:pStyle w:val="BodyText"/>
        <w:tabs>
          <w:tab w:val="left" w:pos="5509"/>
        </w:tabs>
        <w:spacing w:before="120"/>
      </w:pPr>
      <w:r>
        <w:rPr>
          <w:spacing w:val="-2"/>
        </w:rPr>
        <w:t>monoterpenes</w:t>
      </w:r>
      <w:r>
        <w:tab/>
        <w:t>esters</w:t>
      </w:r>
      <w:r>
        <w:rPr>
          <w:spacing w:val="-7"/>
        </w:rPr>
        <w:t xml:space="preserve"> </w:t>
      </w:r>
      <w:r>
        <w:t>and</w:t>
      </w:r>
      <w:r>
        <w:rPr>
          <w:spacing w:val="-6"/>
        </w:rPr>
        <w:t xml:space="preserve"> </w:t>
      </w:r>
      <w:r>
        <w:rPr>
          <w:spacing w:val="-2"/>
        </w:rPr>
        <w:t>aldehyde</w:t>
      </w:r>
    </w:p>
    <w:p w:rsidR="00F939D3" w:rsidRDefault="005711C9">
      <w:pPr>
        <w:pStyle w:val="BodyText"/>
        <w:spacing w:before="1"/>
        <w:ind w:left="0"/>
        <w:rPr>
          <w:sz w:val="8"/>
        </w:rPr>
      </w:pPr>
      <w:r>
        <w:rPr>
          <w:noProof/>
          <w:sz w:val="8"/>
        </w:rPr>
        <mc:AlternateContent>
          <mc:Choice Requires="wps">
            <w:drawing>
              <wp:anchor distT="0" distB="0" distL="0" distR="0" simplePos="0" relativeHeight="487588864" behindDoc="1" locked="0" layoutInCell="1" allowOverlap="1">
                <wp:simplePos x="0" y="0"/>
                <wp:positionH relativeFrom="page">
                  <wp:posOffset>836930</wp:posOffset>
                </wp:positionH>
                <wp:positionV relativeFrom="paragraph">
                  <wp:posOffset>73487</wp:posOffset>
                </wp:positionV>
                <wp:extent cx="609092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0920" cy="6350"/>
                        </a:xfrm>
                        <a:custGeom>
                          <a:avLst/>
                          <a:gdLst/>
                          <a:ahLst/>
                          <a:cxnLst/>
                          <a:rect l="l" t="t" r="r" b="b"/>
                          <a:pathLst>
                            <a:path w="6090920" h="6350">
                              <a:moveTo>
                                <a:pt x="6090920" y="0"/>
                              </a:moveTo>
                              <a:lnTo>
                                <a:pt x="0" y="0"/>
                              </a:lnTo>
                              <a:lnTo>
                                <a:pt x="0" y="6095"/>
                              </a:lnTo>
                              <a:lnTo>
                                <a:pt x="6090920" y="6095"/>
                              </a:lnTo>
                              <a:lnTo>
                                <a:pt x="60909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8CE71C" id="Graphic 7" o:spid="_x0000_s1026" style="position:absolute;margin-left:65.9pt;margin-top:5.8pt;width:479.6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090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" path="m6090920,l,,,6095r6090920,l6090920,xe" fillcolor="black" stroked="f">
                <v:path arrowok="t"/>
                <w10:wrap type="topAndBottom" anchorx="page"/>
              </v:shape>
            </w:pict>
          </mc:Fallback>
        </mc:AlternateContent>
      </w:r>
    </w:p>
    <w:p w:rsidR="00F939D3" w:rsidRDefault="00F939D3">
      <w:pPr>
        <w:pStyle w:val="BodyText"/>
        <w:rPr>
          <w:sz w:val="8"/>
        </w:rPr>
        <w:sectPr w:rsidR="00F939D3">
          <w:type w:val="continuous"/>
          <w:pgSz w:w="12240" w:h="15840"/>
          <w:pgMar w:top="860" w:right="0" w:bottom="280" w:left="720" w:header="35" w:footer="854" w:gutter="0"/>
          <w:cols w:space="720"/>
        </w:sectPr>
      </w:pPr>
    </w:p>
    <w:p w:rsidR="00F939D3" w:rsidRDefault="00F939D3">
      <w:pPr>
        <w:pStyle w:val="BodyText"/>
        <w:ind w:left="0"/>
      </w:pPr>
    </w:p>
    <w:p w:rsidR="00F939D3" w:rsidRDefault="00F939D3">
      <w:pPr>
        <w:pStyle w:val="BodyText"/>
        <w:spacing w:before="2"/>
        <w:ind w:left="0"/>
      </w:pPr>
    </w:p>
    <w:p w:rsidR="00F939D3" w:rsidRDefault="00F939D3">
      <w:pPr>
        <w:pStyle w:val="BodyText"/>
        <w:sectPr w:rsidR="00F939D3">
          <w:pgSz w:w="12240" w:h="15840"/>
          <w:pgMar w:top="860" w:right="0" w:bottom="1200" w:left="720" w:header="35" w:footer="854" w:gutter="0"/>
          <w:cols w:space="720"/>
        </w:sectPr>
      </w:pPr>
    </w:p>
    <w:p w:rsidR="00F939D3" w:rsidRDefault="005711C9">
      <w:pPr>
        <w:pStyle w:val="ListParagraph"/>
        <w:numPr>
          <w:ilvl w:val="1"/>
          <w:numId w:val="1"/>
        </w:numPr>
        <w:tabs>
          <w:tab w:val="left" w:pos="1089"/>
        </w:tabs>
        <w:spacing w:line="360" w:lineRule="auto"/>
        <w:ind w:left="720" w:right="232" w:firstLine="0"/>
        <w:rPr>
          <w:b/>
        </w:rPr>
      </w:pPr>
      <w:r>
        <w:rPr>
          <w:b/>
        </w:rPr>
        <w:t>Phytochemical</w:t>
      </w:r>
      <w:r>
        <w:rPr>
          <w:b/>
          <w:spacing w:val="-16"/>
        </w:rPr>
        <w:t xml:space="preserve"> </w:t>
      </w:r>
      <w:r>
        <w:rPr>
          <w:b/>
        </w:rPr>
        <w:t>Components</w:t>
      </w:r>
      <w:r>
        <w:rPr>
          <w:b/>
          <w:spacing w:val="-15"/>
        </w:rPr>
        <w:t xml:space="preserve"> </w:t>
      </w:r>
      <w:r>
        <w:rPr>
          <w:b/>
        </w:rPr>
        <w:t>of</w:t>
      </w:r>
      <w:r>
        <w:rPr>
          <w:b/>
          <w:spacing w:val="-15"/>
        </w:rPr>
        <w:t xml:space="preserve"> </w:t>
      </w:r>
      <w:r>
        <w:rPr>
          <w:b/>
          <w:i/>
        </w:rPr>
        <w:t xml:space="preserve">Citrus </w:t>
      </w:r>
      <w:proofErr w:type="spellStart"/>
      <w:r>
        <w:rPr>
          <w:b/>
          <w:i/>
        </w:rPr>
        <w:t>sinensis</w:t>
      </w:r>
      <w:proofErr w:type="spellEnd"/>
      <w:r>
        <w:rPr>
          <w:b/>
          <w:i/>
        </w:rPr>
        <w:t xml:space="preserve"> </w:t>
      </w:r>
      <w:r>
        <w:rPr>
          <w:b/>
        </w:rPr>
        <w:t>extract</w:t>
      </w:r>
    </w:p>
    <w:p w:rsidR="00F939D3" w:rsidRDefault="005711C9">
      <w:pPr>
        <w:spacing w:before="201" w:line="362" w:lineRule="auto"/>
        <w:ind w:left="720"/>
        <w:rPr>
          <w:rFonts w:ascii="Arial"/>
          <w:b/>
          <w:sz w:val="20"/>
        </w:rPr>
      </w:pPr>
      <w:r>
        <w:rPr>
          <w:sz w:val="20"/>
        </w:rPr>
        <w:t>The</w:t>
      </w:r>
      <w:r>
        <w:rPr>
          <w:spacing w:val="40"/>
          <w:sz w:val="20"/>
        </w:rPr>
        <w:t xml:space="preserve"> </w:t>
      </w:r>
      <w:r>
        <w:rPr>
          <w:sz w:val="20"/>
        </w:rPr>
        <w:t>phytochemical</w:t>
      </w:r>
      <w:r>
        <w:rPr>
          <w:spacing w:val="40"/>
          <w:sz w:val="20"/>
        </w:rPr>
        <w:t xml:space="preserve"> </w:t>
      </w:r>
      <w:r>
        <w:rPr>
          <w:sz w:val="20"/>
        </w:rPr>
        <w:t>analysis</w:t>
      </w:r>
      <w:r>
        <w:rPr>
          <w:spacing w:val="40"/>
          <w:sz w:val="20"/>
        </w:rPr>
        <w:t xml:space="preserve"> </w:t>
      </w:r>
      <w:r>
        <w:rPr>
          <w:sz w:val="20"/>
        </w:rPr>
        <w:t>of</w:t>
      </w:r>
      <w:r>
        <w:rPr>
          <w:spacing w:val="40"/>
          <w:sz w:val="20"/>
        </w:rPr>
        <w:t xml:space="preserve"> </w:t>
      </w:r>
      <w:r>
        <w:rPr>
          <w:rFonts w:ascii="Arial"/>
          <w:i/>
          <w:sz w:val="20"/>
        </w:rPr>
        <w:t>Citrus</w:t>
      </w:r>
      <w:r>
        <w:rPr>
          <w:rFonts w:ascii="Arial"/>
          <w:i/>
          <w:spacing w:val="40"/>
          <w:sz w:val="20"/>
        </w:rPr>
        <w:t xml:space="preserve"> </w:t>
      </w:r>
      <w:proofErr w:type="spellStart"/>
      <w:r>
        <w:rPr>
          <w:rFonts w:ascii="Arial"/>
          <w:i/>
          <w:sz w:val="20"/>
        </w:rPr>
        <w:t>sinensis</w:t>
      </w:r>
      <w:proofErr w:type="spellEnd"/>
      <w:r>
        <w:rPr>
          <w:rFonts w:ascii="Arial"/>
          <w:i/>
          <w:sz w:val="20"/>
        </w:rPr>
        <w:t xml:space="preserve"> </w:t>
      </w:r>
      <w:r>
        <w:rPr>
          <w:sz w:val="20"/>
        </w:rPr>
        <w:t xml:space="preserve">extract include testing for the present of tannin, </w:t>
      </w:r>
      <w:r>
        <w:rPr>
          <w:rFonts w:ascii="Arial"/>
          <w:b/>
          <w:sz w:val="20"/>
        </w:rPr>
        <w:t>Table</w:t>
      </w:r>
      <w:r>
        <w:rPr>
          <w:rFonts w:ascii="Arial"/>
          <w:b/>
          <w:spacing w:val="-14"/>
          <w:sz w:val="20"/>
        </w:rPr>
        <w:t xml:space="preserve"> </w:t>
      </w:r>
      <w:r>
        <w:rPr>
          <w:rFonts w:ascii="Arial"/>
          <w:b/>
          <w:sz w:val="20"/>
        </w:rPr>
        <w:t>2.</w:t>
      </w:r>
      <w:r>
        <w:rPr>
          <w:rFonts w:ascii="Arial"/>
          <w:b/>
          <w:spacing w:val="-14"/>
          <w:sz w:val="20"/>
        </w:rPr>
        <w:t xml:space="preserve"> </w:t>
      </w:r>
      <w:r>
        <w:rPr>
          <w:rFonts w:ascii="Arial"/>
          <w:b/>
          <w:sz w:val="20"/>
        </w:rPr>
        <w:t>Phytochemical</w:t>
      </w:r>
      <w:r>
        <w:rPr>
          <w:rFonts w:ascii="Arial"/>
          <w:b/>
          <w:spacing w:val="-14"/>
          <w:sz w:val="20"/>
        </w:rPr>
        <w:t xml:space="preserve"> </w:t>
      </w:r>
      <w:r>
        <w:rPr>
          <w:rFonts w:ascii="Arial"/>
          <w:b/>
          <w:sz w:val="20"/>
        </w:rPr>
        <w:t>Screening</w:t>
      </w:r>
      <w:r>
        <w:rPr>
          <w:rFonts w:ascii="Arial"/>
          <w:b/>
          <w:spacing w:val="-14"/>
          <w:sz w:val="20"/>
        </w:rPr>
        <w:t xml:space="preserve"> </w:t>
      </w:r>
      <w:r>
        <w:rPr>
          <w:rFonts w:ascii="Arial"/>
          <w:b/>
          <w:sz w:val="20"/>
        </w:rPr>
        <w:t>of</w:t>
      </w:r>
      <w:r>
        <w:rPr>
          <w:rFonts w:ascii="Arial"/>
          <w:b/>
          <w:spacing w:val="-14"/>
          <w:sz w:val="20"/>
        </w:rPr>
        <w:t xml:space="preserve"> </w:t>
      </w:r>
      <w:r>
        <w:rPr>
          <w:rFonts w:ascii="Arial"/>
          <w:b/>
          <w:sz w:val="20"/>
        </w:rPr>
        <w:t>the</w:t>
      </w:r>
      <w:r>
        <w:rPr>
          <w:rFonts w:ascii="Arial"/>
          <w:b/>
          <w:spacing w:val="-14"/>
          <w:sz w:val="20"/>
        </w:rPr>
        <w:t xml:space="preserve"> </w:t>
      </w:r>
      <w:r>
        <w:rPr>
          <w:rFonts w:ascii="Arial"/>
          <w:b/>
          <w:sz w:val="20"/>
        </w:rPr>
        <w:t>Extract</w:t>
      </w:r>
    </w:p>
    <w:p w:rsidR="00F939D3" w:rsidRDefault="005711C9">
      <w:pPr>
        <w:pStyle w:val="BodyText"/>
        <w:spacing w:before="99" w:line="364" w:lineRule="auto"/>
        <w:ind w:left="486" w:right="1440"/>
      </w:pPr>
      <w:r>
        <w:br w:type="column"/>
      </w:r>
      <w:r>
        <w:t>flavonoid, saponin, phenol, steroid, and alkaloid, in which the result were recorded in table 2.</w:t>
      </w:r>
    </w:p>
    <w:p w:rsidR="00F939D3" w:rsidRDefault="00F939D3">
      <w:pPr>
        <w:pStyle w:val="BodyText"/>
        <w:spacing w:line="364" w:lineRule="auto"/>
        <w:sectPr w:rsidR="00F939D3">
          <w:type w:val="continuous"/>
          <w:pgSz w:w="12240" w:h="15840"/>
          <w:pgMar w:top="860" w:right="0" w:bottom="280" w:left="720" w:header="35" w:footer="854" w:gutter="0"/>
          <w:cols w:num="2" w:space="720" w:equalWidth="0">
            <w:col w:w="5238" w:space="40"/>
            <w:col w:w="6242"/>
          </w:cols>
        </w:sectPr>
      </w:pPr>
    </w:p>
    <w:p w:rsidR="00F939D3" w:rsidRDefault="00F939D3">
      <w:pPr>
        <w:pStyle w:val="BodyText"/>
        <w:spacing w:before="128"/>
        <w:ind w:left="0"/>
      </w:pPr>
    </w:p>
    <w:p w:rsidR="00F939D3" w:rsidRDefault="005711C9">
      <w:pPr>
        <w:pStyle w:val="BodyText"/>
        <w:spacing w:line="20" w:lineRule="exact"/>
        <w:ind w:left="612"/>
        <w:rPr>
          <w:sz w:val="2"/>
        </w:rPr>
      </w:pPr>
      <w:r>
        <w:rPr>
          <w:noProof/>
          <w:sz w:val="2"/>
        </w:rPr>
        <mc:AlternateContent>
          <mc:Choice Requires="wpg">
            <w:drawing>
              <wp:inline distT="0" distB="0" distL="0" distR="0">
                <wp:extent cx="6082030" cy="63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2030" cy="6350"/>
                          <a:chOff x="0" y="0"/>
                          <a:chExt cx="6082030" cy="6350"/>
                        </a:xfrm>
                      </wpg:grpSpPr>
                      <wps:wsp>
                        <wps:cNvPr id="9" name="Graphic 9"/>
                        <wps:cNvSpPr/>
                        <wps:spPr>
                          <a:xfrm>
                            <a:off x="0" y="0"/>
                            <a:ext cx="6082030" cy="6350"/>
                          </a:xfrm>
                          <a:custGeom>
                            <a:avLst/>
                            <a:gdLst/>
                            <a:ahLst/>
                            <a:cxnLst/>
                            <a:rect l="l" t="t" r="r" b="b"/>
                            <a:pathLst>
                              <a:path w="6082030" h="6350">
                                <a:moveTo>
                                  <a:pt x="2027174" y="0"/>
                                </a:moveTo>
                                <a:lnTo>
                                  <a:pt x="0" y="0"/>
                                </a:lnTo>
                                <a:lnTo>
                                  <a:pt x="0" y="6096"/>
                                </a:lnTo>
                                <a:lnTo>
                                  <a:pt x="2027174" y="6096"/>
                                </a:lnTo>
                                <a:lnTo>
                                  <a:pt x="2027174" y="0"/>
                                </a:lnTo>
                                <a:close/>
                              </a:path>
                              <a:path w="6082030" h="6350">
                                <a:moveTo>
                                  <a:pt x="6081649" y="0"/>
                                </a:moveTo>
                                <a:lnTo>
                                  <a:pt x="4060571" y="0"/>
                                </a:lnTo>
                                <a:lnTo>
                                  <a:pt x="2027301" y="0"/>
                                </a:lnTo>
                                <a:lnTo>
                                  <a:pt x="2027301" y="6096"/>
                                </a:lnTo>
                                <a:lnTo>
                                  <a:pt x="4060571" y="6096"/>
                                </a:lnTo>
                                <a:lnTo>
                                  <a:pt x="6081649" y="6096"/>
                                </a:lnTo>
                                <a:lnTo>
                                  <a:pt x="608164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AEB195C" id="Group 8" o:spid="_x0000_s1026" style="width:478.9pt;height:.5pt;mso-position-horizontal-relative:char;mso-position-vertical-relative:line" coordsize="608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">
                <v:shape id="Graphic 9" o:spid="_x0000_s1027" style="position:absolute;width:60820;height:63;visibility:visible;mso-wrap-style:square;v-text-anchor:top" coordsize="60820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" path="m2027174,l,,,6096r2027174,l2027174,xem6081649,l4060571,,2027301,r,6096l4060571,6096r2021078,l6081649,xe" fillcolor="black" stroked="f">
                  <v:path arrowok="t"/>
                </v:shape>
                <w10:anchorlock/>
              </v:group>
            </w:pict>
          </mc:Fallback>
        </mc:AlternateContent>
      </w:r>
    </w:p>
    <w:p w:rsidR="00F939D3" w:rsidRDefault="005711C9">
      <w:pPr>
        <w:pStyle w:val="Heading3"/>
        <w:tabs>
          <w:tab w:val="left" w:pos="3912"/>
          <w:tab w:val="left" w:pos="7105"/>
        </w:tabs>
      </w:pPr>
      <w:r>
        <w:rPr>
          <w:spacing w:val="-2"/>
        </w:rPr>
        <w:t>Phytochemical</w:t>
      </w:r>
      <w:r>
        <w:tab/>
      </w:r>
      <w:r>
        <w:rPr>
          <w:spacing w:val="-2"/>
        </w:rPr>
        <w:t>Reagent</w:t>
      </w:r>
      <w:r>
        <w:tab/>
      </w:r>
      <w:r>
        <w:rPr>
          <w:spacing w:val="-2"/>
        </w:rPr>
        <w:t>Reference</w:t>
      </w:r>
    </w:p>
    <w:p w:rsidR="00F939D3" w:rsidRDefault="005711C9">
      <w:pPr>
        <w:pStyle w:val="BodyText"/>
        <w:spacing w:before="3"/>
        <w:ind w:left="0"/>
        <w:rPr>
          <w:rFonts w:ascii="Arial"/>
          <w:b/>
          <w:sz w:val="6"/>
        </w:rPr>
      </w:pPr>
      <w:r>
        <w:rPr>
          <w:rFonts w:ascii="Arial"/>
          <w:b/>
          <w:noProof/>
          <w:sz w:val="6"/>
        </w:rPr>
        <mc:AlternateContent>
          <mc:Choice Requires="wps">
            <w:drawing>
              <wp:anchor distT="0" distB="0" distL="0" distR="0" simplePos="0" relativeHeight="487589888" behindDoc="1" locked="0" layoutInCell="1" allowOverlap="1">
                <wp:simplePos x="0" y="0"/>
                <wp:positionH relativeFrom="page">
                  <wp:posOffset>845820</wp:posOffset>
                </wp:positionH>
                <wp:positionV relativeFrom="paragraph">
                  <wp:posOffset>61099</wp:posOffset>
                </wp:positionV>
                <wp:extent cx="608203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6350"/>
                        </a:xfrm>
                        <a:custGeom>
                          <a:avLst/>
                          <a:gdLst/>
                          <a:ahLst/>
                          <a:cxnLst/>
                          <a:rect l="l" t="t" r="r" b="b"/>
                          <a:pathLst>
                            <a:path w="6082030" h="6350">
                              <a:moveTo>
                                <a:pt x="2027174" y="0"/>
                              </a:moveTo>
                              <a:lnTo>
                                <a:pt x="0" y="0"/>
                              </a:lnTo>
                              <a:lnTo>
                                <a:pt x="0" y="6096"/>
                              </a:lnTo>
                              <a:lnTo>
                                <a:pt x="2027174" y="6096"/>
                              </a:lnTo>
                              <a:lnTo>
                                <a:pt x="2027174" y="0"/>
                              </a:lnTo>
                              <a:close/>
                            </a:path>
                            <a:path w="6082030" h="6350">
                              <a:moveTo>
                                <a:pt x="6081649" y="0"/>
                              </a:moveTo>
                              <a:lnTo>
                                <a:pt x="4060571" y="0"/>
                              </a:lnTo>
                              <a:lnTo>
                                <a:pt x="2027301" y="0"/>
                              </a:lnTo>
                              <a:lnTo>
                                <a:pt x="2027301" y="6096"/>
                              </a:lnTo>
                              <a:lnTo>
                                <a:pt x="4060571" y="6096"/>
                              </a:lnTo>
                              <a:lnTo>
                                <a:pt x="6081649" y="6096"/>
                              </a:lnTo>
                              <a:lnTo>
                                <a:pt x="60816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9BF1E6" id="Graphic 10" o:spid="_x0000_s1026" style="position:absolute;margin-left:66.6pt;margin-top:4.8pt;width:478.9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0820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" path="m2027174,l,,,6096r2027174,l2027174,xem6081649,l4060571,,2027301,r,6096l4060571,6096r2021078,l6081649,xe" fillcolor="black" stroked="f">
                <v:path arrowok="t"/>
                <w10:wrap type="topAndBottom" anchorx="page"/>
              </v:shape>
            </w:pict>
          </mc:Fallback>
        </mc:AlternateContent>
      </w:r>
    </w:p>
    <w:p w:rsidR="00F939D3" w:rsidRDefault="005711C9">
      <w:pPr>
        <w:pStyle w:val="BodyText"/>
        <w:tabs>
          <w:tab w:val="left" w:pos="3912"/>
          <w:tab w:val="left" w:pos="7105"/>
        </w:tabs>
        <w:rPr>
          <w:rFonts w:ascii="Arial" w:hAnsi="Arial"/>
          <w:b/>
        </w:rPr>
      </w:pPr>
      <w:r>
        <w:rPr>
          <w:spacing w:val="-2"/>
        </w:rPr>
        <w:t>Tannings</w:t>
      </w:r>
      <w:r>
        <w:tab/>
        <w:t>2</w:t>
      </w:r>
      <w:r>
        <w:rPr>
          <w:spacing w:val="-3"/>
        </w:rPr>
        <w:t xml:space="preserve"> </w:t>
      </w:r>
      <w:r>
        <w:t>%</w:t>
      </w:r>
      <w:r>
        <w:rPr>
          <w:spacing w:val="-1"/>
        </w:rPr>
        <w:t xml:space="preserve"> </w:t>
      </w:r>
      <w:proofErr w:type="spellStart"/>
      <w:r>
        <w:rPr>
          <w:spacing w:val="-4"/>
        </w:rPr>
        <w:t>FeCl</w:t>
      </w:r>
      <w:proofErr w:type="spellEnd"/>
      <w:r>
        <w:rPr>
          <w:rFonts w:ascii="Cambria Math" w:hAnsi="Cambria Math"/>
          <w:spacing w:val="-4"/>
        </w:rPr>
        <w:t>₃</w:t>
      </w:r>
      <w:r>
        <w:rPr>
          <w:rFonts w:ascii="Cambria Math" w:hAnsi="Cambria Math"/>
        </w:rPr>
        <w:tab/>
      </w:r>
      <w:r>
        <w:rPr>
          <w:rFonts w:ascii="Arial" w:hAnsi="Arial"/>
          <w:b/>
          <w:spacing w:val="-10"/>
        </w:rPr>
        <w:t>+</w:t>
      </w:r>
    </w:p>
    <w:p w:rsidR="00F939D3" w:rsidRDefault="005711C9">
      <w:pPr>
        <w:pStyle w:val="BodyText"/>
        <w:tabs>
          <w:tab w:val="left" w:pos="3912"/>
          <w:tab w:val="left" w:pos="7105"/>
        </w:tabs>
        <w:spacing w:before="119"/>
        <w:rPr>
          <w:rFonts w:ascii="Arial" w:hAnsi="Arial"/>
          <w:b/>
        </w:rPr>
      </w:pPr>
      <w:r>
        <w:rPr>
          <w:spacing w:val="-2"/>
        </w:rPr>
        <w:t>Steroids</w:t>
      </w:r>
      <w:r>
        <w:tab/>
        <w:t>Chloroform</w:t>
      </w:r>
      <w:r>
        <w:rPr>
          <w:spacing w:val="-13"/>
        </w:rPr>
        <w:t xml:space="preserve"> </w:t>
      </w:r>
      <w:r>
        <w:t>+</w:t>
      </w:r>
      <w:r>
        <w:rPr>
          <w:spacing w:val="-14"/>
        </w:rPr>
        <w:t xml:space="preserve"> </w:t>
      </w:r>
      <w:r>
        <w:rPr>
          <w:spacing w:val="-4"/>
        </w:rPr>
        <w:t>H</w:t>
      </w:r>
      <w:r>
        <w:rPr>
          <w:rFonts w:ascii="Cambria Math" w:hAnsi="Cambria Math"/>
          <w:spacing w:val="-4"/>
        </w:rPr>
        <w:t>₂</w:t>
      </w:r>
      <w:r>
        <w:rPr>
          <w:spacing w:val="-4"/>
        </w:rPr>
        <w:t>SO</w:t>
      </w:r>
      <w:r>
        <w:rPr>
          <w:rFonts w:ascii="Cambria Math" w:hAnsi="Cambria Math"/>
          <w:spacing w:val="-4"/>
        </w:rPr>
        <w:t>₄</w:t>
      </w:r>
      <w:r>
        <w:rPr>
          <w:rFonts w:ascii="Cambria Math" w:hAnsi="Cambria Math"/>
        </w:rPr>
        <w:tab/>
      </w:r>
      <w:r>
        <w:rPr>
          <w:rFonts w:ascii="Arial" w:hAnsi="Arial"/>
          <w:b/>
          <w:spacing w:val="-10"/>
        </w:rPr>
        <w:t>+</w:t>
      </w:r>
    </w:p>
    <w:p w:rsidR="00F939D3" w:rsidRDefault="005711C9">
      <w:pPr>
        <w:pStyle w:val="BodyText"/>
        <w:tabs>
          <w:tab w:val="left" w:pos="3912"/>
          <w:tab w:val="left" w:pos="7105"/>
        </w:tabs>
        <w:spacing w:before="116"/>
        <w:rPr>
          <w:rFonts w:ascii="Arial"/>
          <w:b/>
        </w:rPr>
      </w:pPr>
      <w:r>
        <w:rPr>
          <w:spacing w:val="-2"/>
        </w:rPr>
        <w:t>Flavonoids</w:t>
      </w:r>
      <w:r>
        <w:tab/>
        <w:t>2</w:t>
      </w:r>
      <w:r>
        <w:rPr>
          <w:spacing w:val="-3"/>
        </w:rPr>
        <w:t xml:space="preserve"> </w:t>
      </w:r>
      <w:r>
        <w:t>%</w:t>
      </w:r>
      <w:r>
        <w:rPr>
          <w:spacing w:val="-1"/>
        </w:rPr>
        <w:t xml:space="preserve"> </w:t>
      </w:r>
      <w:r>
        <w:rPr>
          <w:spacing w:val="-4"/>
        </w:rPr>
        <w:t>NaOH</w:t>
      </w:r>
      <w:r>
        <w:tab/>
      </w:r>
      <w:r>
        <w:rPr>
          <w:rFonts w:ascii="Arial"/>
          <w:b/>
          <w:spacing w:val="-10"/>
        </w:rPr>
        <w:t>+</w:t>
      </w:r>
    </w:p>
    <w:p w:rsidR="00F939D3" w:rsidRDefault="005711C9">
      <w:pPr>
        <w:pStyle w:val="BodyText"/>
        <w:tabs>
          <w:tab w:val="left" w:pos="3912"/>
          <w:tab w:val="left" w:pos="7105"/>
        </w:tabs>
        <w:spacing w:before="111"/>
        <w:rPr>
          <w:rFonts w:ascii="Arial"/>
          <w:b/>
        </w:rPr>
      </w:pPr>
      <w:r>
        <w:rPr>
          <w:spacing w:val="-2"/>
        </w:rPr>
        <w:t>Alkaloids</w:t>
      </w:r>
      <w:r>
        <w:tab/>
        <w:t>2</w:t>
      </w:r>
      <w:r>
        <w:rPr>
          <w:spacing w:val="-3"/>
        </w:rPr>
        <w:t xml:space="preserve"> </w:t>
      </w:r>
      <w:r>
        <w:t>%</w:t>
      </w:r>
      <w:r>
        <w:rPr>
          <w:spacing w:val="-1"/>
        </w:rPr>
        <w:t xml:space="preserve"> </w:t>
      </w:r>
      <w:r>
        <w:rPr>
          <w:spacing w:val="-4"/>
        </w:rPr>
        <w:t>NaOH</w:t>
      </w:r>
      <w:r>
        <w:tab/>
      </w:r>
      <w:r>
        <w:rPr>
          <w:rFonts w:ascii="Arial"/>
          <w:b/>
          <w:spacing w:val="-10"/>
        </w:rPr>
        <w:t>+</w:t>
      </w:r>
    </w:p>
    <w:p w:rsidR="00F939D3" w:rsidRDefault="005711C9">
      <w:pPr>
        <w:pStyle w:val="BodyText"/>
        <w:tabs>
          <w:tab w:val="left" w:pos="3912"/>
          <w:tab w:val="left" w:pos="7105"/>
        </w:tabs>
        <w:spacing w:before="115"/>
        <w:rPr>
          <w:rFonts w:ascii="Arial"/>
          <w:b/>
        </w:rPr>
      </w:pPr>
      <w:r>
        <w:rPr>
          <w:spacing w:val="-2"/>
        </w:rPr>
        <w:t>Saponins</w:t>
      </w:r>
      <w:r>
        <w:tab/>
        <w:t>Foam</w:t>
      </w:r>
      <w:r>
        <w:rPr>
          <w:spacing w:val="-11"/>
        </w:rPr>
        <w:t xml:space="preserve"> </w:t>
      </w:r>
      <w:r>
        <w:rPr>
          <w:spacing w:val="-4"/>
        </w:rPr>
        <w:t>test</w:t>
      </w:r>
      <w:r>
        <w:tab/>
      </w:r>
      <w:r>
        <w:rPr>
          <w:rFonts w:ascii="Arial"/>
          <w:b/>
          <w:spacing w:val="-10"/>
        </w:rPr>
        <w:t>+</w:t>
      </w:r>
    </w:p>
    <w:p w:rsidR="00F939D3" w:rsidRDefault="005711C9">
      <w:pPr>
        <w:pStyle w:val="BodyText"/>
        <w:tabs>
          <w:tab w:val="left" w:pos="3912"/>
          <w:tab w:val="left" w:pos="7105"/>
        </w:tabs>
        <w:spacing w:before="118"/>
        <w:rPr>
          <w:rFonts w:ascii="Arial"/>
          <w:b/>
        </w:rPr>
      </w:pPr>
      <w:r>
        <w:rPr>
          <w:rFonts w:ascii="Arial"/>
          <w:b/>
          <w:noProof/>
        </w:rPr>
        <mc:AlternateContent>
          <mc:Choice Requires="wps">
            <w:drawing>
              <wp:anchor distT="0" distB="0" distL="0" distR="0" simplePos="0" relativeHeight="15731200" behindDoc="0" locked="0" layoutInCell="1" allowOverlap="1">
                <wp:simplePos x="0" y="0"/>
                <wp:positionH relativeFrom="page">
                  <wp:posOffset>836930</wp:posOffset>
                </wp:positionH>
                <wp:positionV relativeFrom="paragraph">
                  <wp:posOffset>296108</wp:posOffset>
                </wp:positionV>
                <wp:extent cx="6090920"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0920" cy="6350"/>
                        </a:xfrm>
                        <a:custGeom>
                          <a:avLst/>
                          <a:gdLst/>
                          <a:ahLst/>
                          <a:cxnLst/>
                          <a:rect l="l" t="t" r="r" b="b"/>
                          <a:pathLst>
                            <a:path w="6090920" h="6350">
                              <a:moveTo>
                                <a:pt x="6090793" y="0"/>
                              </a:moveTo>
                              <a:lnTo>
                                <a:pt x="0" y="0"/>
                              </a:lnTo>
                              <a:lnTo>
                                <a:pt x="0" y="6096"/>
                              </a:lnTo>
                              <a:lnTo>
                                <a:pt x="6090793" y="6096"/>
                              </a:lnTo>
                              <a:lnTo>
                                <a:pt x="60907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0D6A0A" id="Graphic 11" o:spid="_x0000_s1026" style="position:absolute;margin-left:65.9pt;margin-top:23.3pt;width:479.6pt;height:.5pt;z-index:15731200;visibility:visible;mso-wrap-style:square;mso-wrap-distance-left:0;mso-wrap-distance-top:0;mso-wrap-distance-right:0;mso-wrap-distance-bottom:0;mso-position-horizontal:absolute;mso-position-horizontal-relative:page;mso-position-vertical:absolute;mso-position-vertical-relative:text;v-text-anchor:top" coordsize="6090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" path="m6090793,l,,,6096r6090793,l6090793,xe" fillcolor="black" stroked="f">
                <v:path arrowok="t"/>
                <w10:wrap anchorx="page"/>
              </v:shape>
            </w:pict>
          </mc:Fallback>
        </mc:AlternateContent>
      </w:r>
      <w:r>
        <w:rPr>
          <w:spacing w:val="-2"/>
        </w:rPr>
        <w:t>Phenols</w:t>
      </w:r>
      <w:r>
        <w:tab/>
      </w:r>
      <w:proofErr w:type="spellStart"/>
      <w:r>
        <w:rPr>
          <w:spacing w:val="-2"/>
        </w:rPr>
        <w:t>Folin</w:t>
      </w:r>
      <w:proofErr w:type="spellEnd"/>
      <w:r>
        <w:rPr>
          <w:spacing w:val="-5"/>
        </w:rPr>
        <w:t xml:space="preserve"> </w:t>
      </w:r>
      <w:proofErr w:type="spellStart"/>
      <w:r>
        <w:rPr>
          <w:spacing w:val="-2"/>
        </w:rPr>
        <w:t>Ciocalteu</w:t>
      </w:r>
      <w:proofErr w:type="spellEnd"/>
      <w:r>
        <w:tab/>
      </w:r>
      <w:r>
        <w:rPr>
          <w:rFonts w:ascii="Arial"/>
          <w:b/>
          <w:spacing w:val="-10"/>
        </w:rPr>
        <w:t>+</w:t>
      </w:r>
    </w:p>
    <w:p w:rsidR="00F939D3" w:rsidRDefault="00F939D3">
      <w:pPr>
        <w:pStyle w:val="BodyText"/>
        <w:rPr>
          <w:rFonts w:ascii="Arial"/>
          <w:b/>
        </w:rPr>
        <w:sectPr w:rsidR="00F939D3">
          <w:type w:val="continuous"/>
          <w:pgSz w:w="12240" w:h="15840"/>
          <w:pgMar w:top="860" w:right="0" w:bottom="280" w:left="720" w:header="35" w:footer="854" w:gutter="0"/>
          <w:cols w:space="720"/>
        </w:sectPr>
      </w:pPr>
    </w:p>
    <w:p w:rsidR="00F939D3" w:rsidRDefault="005711C9">
      <w:pPr>
        <w:pStyle w:val="BodyText"/>
        <w:spacing w:before="123"/>
        <w:jc w:val="both"/>
      </w:pPr>
      <w:r>
        <w:rPr>
          <w:rFonts w:ascii="Arial"/>
          <w:b/>
        </w:rPr>
        <w:t>Key:</w:t>
      </w:r>
      <w:r>
        <w:rPr>
          <w:rFonts w:ascii="Arial"/>
          <w:b/>
          <w:spacing w:val="-5"/>
        </w:rPr>
        <w:t xml:space="preserve"> </w:t>
      </w:r>
      <w:r>
        <w:t>+</w:t>
      </w:r>
      <w:r>
        <w:rPr>
          <w:spacing w:val="-5"/>
        </w:rPr>
        <w:t xml:space="preserve"> </w:t>
      </w:r>
      <w:r>
        <w:t>=</w:t>
      </w:r>
      <w:r>
        <w:rPr>
          <w:spacing w:val="-3"/>
        </w:rPr>
        <w:t xml:space="preserve"> </w:t>
      </w:r>
      <w:r>
        <w:t>Present,</w:t>
      </w:r>
      <w:r>
        <w:rPr>
          <w:spacing w:val="-4"/>
        </w:rPr>
        <w:t xml:space="preserve"> </w:t>
      </w:r>
      <w:r>
        <w:t>-</w:t>
      </w:r>
      <w:r>
        <w:rPr>
          <w:spacing w:val="-3"/>
        </w:rPr>
        <w:t xml:space="preserve"> </w:t>
      </w:r>
      <w:r>
        <w:t>=</w:t>
      </w:r>
      <w:r>
        <w:rPr>
          <w:spacing w:val="-2"/>
        </w:rPr>
        <w:t xml:space="preserve"> Absent</w:t>
      </w:r>
    </w:p>
    <w:p w:rsidR="00F939D3" w:rsidRDefault="00F939D3">
      <w:pPr>
        <w:pStyle w:val="BodyText"/>
        <w:spacing w:before="89"/>
        <w:ind w:left="0"/>
      </w:pPr>
    </w:p>
    <w:p w:rsidR="00F939D3" w:rsidRDefault="005711C9">
      <w:pPr>
        <w:pStyle w:val="ListParagraph"/>
        <w:numPr>
          <w:ilvl w:val="1"/>
          <w:numId w:val="1"/>
        </w:numPr>
        <w:tabs>
          <w:tab w:val="left" w:pos="1088"/>
        </w:tabs>
        <w:spacing w:before="0" w:line="362" w:lineRule="auto"/>
        <w:ind w:left="720" w:right="434" w:firstLine="0"/>
        <w:rPr>
          <w:b/>
          <w:i/>
        </w:rPr>
      </w:pPr>
      <w:r>
        <w:rPr>
          <w:b/>
        </w:rPr>
        <w:t xml:space="preserve">Cultural, Morphological and Biochemical Characteristics of </w:t>
      </w:r>
      <w:r>
        <w:rPr>
          <w:b/>
          <w:i/>
        </w:rPr>
        <w:t>Escherichia</w:t>
      </w:r>
      <w:r>
        <w:rPr>
          <w:b/>
          <w:i/>
          <w:spacing w:val="-13"/>
        </w:rPr>
        <w:t xml:space="preserve"> </w:t>
      </w:r>
      <w:r>
        <w:rPr>
          <w:b/>
          <w:i/>
        </w:rPr>
        <w:t>coli</w:t>
      </w:r>
      <w:r>
        <w:rPr>
          <w:b/>
          <w:i/>
          <w:spacing w:val="-10"/>
        </w:rPr>
        <w:t xml:space="preserve"> </w:t>
      </w:r>
      <w:r>
        <w:rPr>
          <w:b/>
        </w:rPr>
        <w:t>and</w:t>
      </w:r>
      <w:r>
        <w:rPr>
          <w:b/>
          <w:spacing w:val="-12"/>
        </w:rPr>
        <w:t xml:space="preserve"> </w:t>
      </w:r>
      <w:r>
        <w:rPr>
          <w:b/>
          <w:i/>
        </w:rPr>
        <w:t xml:space="preserve">Staphylococcus </w:t>
      </w:r>
      <w:r>
        <w:rPr>
          <w:b/>
          <w:i/>
          <w:spacing w:val="-2"/>
        </w:rPr>
        <w:t>aureus</w:t>
      </w:r>
    </w:p>
    <w:p w:rsidR="00F939D3" w:rsidRDefault="005711C9">
      <w:pPr>
        <w:spacing w:before="199" w:line="362" w:lineRule="auto"/>
        <w:ind w:left="720"/>
        <w:jc w:val="both"/>
        <w:rPr>
          <w:sz w:val="20"/>
        </w:rPr>
      </w:pPr>
      <w:r>
        <w:rPr>
          <w:sz w:val="20"/>
        </w:rPr>
        <w:t xml:space="preserve">This involved the phenotypic properties of </w:t>
      </w:r>
      <w:r>
        <w:rPr>
          <w:rFonts w:ascii="Arial"/>
          <w:i/>
          <w:sz w:val="20"/>
        </w:rPr>
        <w:t xml:space="preserve">Escherichia coli </w:t>
      </w:r>
      <w:r>
        <w:rPr>
          <w:sz w:val="20"/>
        </w:rPr>
        <w:t xml:space="preserve">and </w:t>
      </w:r>
      <w:r>
        <w:rPr>
          <w:rFonts w:ascii="Arial"/>
          <w:i/>
          <w:sz w:val="20"/>
        </w:rPr>
        <w:t xml:space="preserve">Staphylococcus aureus </w:t>
      </w:r>
      <w:r>
        <w:rPr>
          <w:sz w:val="20"/>
        </w:rPr>
        <w:t>such as color of the colony on agar medium and staining for shape and staining properties, either</w:t>
      </w:r>
    </w:p>
    <w:p w:rsidR="00F939D3" w:rsidRDefault="005711C9">
      <w:pPr>
        <w:spacing w:before="129" w:line="362" w:lineRule="auto"/>
        <w:ind w:left="685" w:right="1435" w:firstLine="55"/>
        <w:jc w:val="both"/>
        <w:rPr>
          <w:sz w:val="20"/>
        </w:rPr>
      </w:pPr>
      <w:r>
        <w:br w:type="column"/>
      </w:r>
      <w:r>
        <w:rPr>
          <w:sz w:val="20"/>
        </w:rPr>
        <w:t>Gram-negative or Gram +</w:t>
      </w:r>
      <w:proofErr w:type="spellStart"/>
      <w:r>
        <w:rPr>
          <w:sz w:val="20"/>
        </w:rPr>
        <w:t>ve</w:t>
      </w:r>
      <w:proofErr w:type="spellEnd"/>
      <w:r>
        <w:rPr>
          <w:sz w:val="20"/>
        </w:rPr>
        <w:t xml:space="preserve"> bacteria on microscopy.</w:t>
      </w:r>
      <w:r>
        <w:rPr>
          <w:spacing w:val="-1"/>
          <w:sz w:val="20"/>
        </w:rPr>
        <w:t xml:space="preserve"> </w:t>
      </w:r>
      <w:r>
        <w:rPr>
          <w:sz w:val="20"/>
        </w:rPr>
        <w:t>The</w:t>
      </w:r>
      <w:r>
        <w:rPr>
          <w:spacing w:val="-1"/>
          <w:sz w:val="20"/>
        </w:rPr>
        <w:t xml:space="preserve"> </w:t>
      </w:r>
      <w:r>
        <w:rPr>
          <w:sz w:val="20"/>
        </w:rPr>
        <w:t>phenotypic result</w:t>
      </w:r>
      <w:r>
        <w:rPr>
          <w:spacing w:val="-1"/>
          <w:sz w:val="20"/>
        </w:rPr>
        <w:t xml:space="preserve"> </w:t>
      </w:r>
      <w:r>
        <w:rPr>
          <w:sz w:val="20"/>
        </w:rPr>
        <w:t xml:space="preserve">was recorded in table 3. Biochemical characteristic of </w:t>
      </w:r>
      <w:r>
        <w:rPr>
          <w:rFonts w:ascii="Arial"/>
          <w:i/>
          <w:sz w:val="20"/>
        </w:rPr>
        <w:t>Escherichia</w:t>
      </w:r>
      <w:r>
        <w:rPr>
          <w:rFonts w:ascii="Arial"/>
          <w:i/>
          <w:spacing w:val="-2"/>
          <w:sz w:val="20"/>
        </w:rPr>
        <w:t xml:space="preserve"> </w:t>
      </w:r>
      <w:r>
        <w:rPr>
          <w:rFonts w:ascii="Arial"/>
          <w:i/>
          <w:sz w:val="20"/>
        </w:rPr>
        <w:t>coli</w:t>
      </w:r>
      <w:r>
        <w:rPr>
          <w:rFonts w:ascii="Arial"/>
          <w:i/>
          <w:spacing w:val="-2"/>
          <w:sz w:val="20"/>
        </w:rPr>
        <w:t xml:space="preserve"> </w:t>
      </w:r>
      <w:r>
        <w:rPr>
          <w:sz w:val="20"/>
        </w:rPr>
        <w:t xml:space="preserve">and </w:t>
      </w:r>
      <w:r>
        <w:rPr>
          <w:rFonts w:ascii="Arial"/>
          <w:i/>
          <w:sz w:val="20"/>
        </w:rPr>
        <w:t>Staphylococcus</w:t>
      </w:r>
      <w:r>
        <w:rPr>
          <w:rFonts w:ascii="Arial"/>
          <w:i/>
          <w:spacing w:val="-2"/>
          <w:sz w:val="20"/>
        </w:rPr>
        <w:t xml:space="preserve"> </w:t>
      </w:r>
      <w:r>
        <w:rPr>
          <w:rFonts w:ascii="Arial"/>
          <w:i/>
          <w:sz w:val="20"/>
        </w:rPr>
        <w:t>aureus</w:t>
      </w:r>
      <w:r>
        <w:rPr>
          <w:sz w:val="20"/>
        </w:rPr>
        <w:t xml:space="preserve">, the result of biochemical properties of </w:t>
      </w:r>
      <w:r>
        <w:rPr>
          <w:rFonts w:ascii="Arial"/>
          <w:i/>
          <w:sz w:val="20"/>
        </w:rPr>
        <w:t xml:space="preserve">Escherichia coli </w:t>
      </w:r>
      <w:r>
        <w:rPr>
          <w:sz w:val="20"/>
        </w:rPr>
        <w:t xml:space="preserve">and </w:t>
      </w:r>
      <w:r>
        <w:rPr>
          <w:rFonts w:ascii="Arial"/>
          <w:i/>
          <w:sz w:val="20"/>
        </w:rPr>
        <w:t xml:space="preserve">Staphylococcus aureus </w:t>
      </w:r>
      <w:r>
        <w:rPr>
          <w:sz w:val="20"/>
        </w:rPr>
        <w:t>were recorded</w:t>
      </w:r>
      <w:r>
        <w:rPr>
          <w:spacing w:val="40"/>
          <w:sz w:val="20"/>
        </w:rPr>
        <w:t xml:space="preserve"> </w:t>
      </w:r>
      <w:r>
        <w:rPr>
          <w:sz w:val="20"/>
        </w:rPr>
        <w:t>in</w:t>
      </w:r>
      <w:r>
        <w:rPr>
          <w:spacing w:val="40"/>
          <w:sz w:val="20"/>
        </w:rPr>
        <w:t xml:space="preserve"> </w:t>
      </w:r>
      <w:r>
        <w:rPr>
          <w:sz w:val="20"/>
        </w:rPr>
        <w:t>table</w:t>
      </w:r>
    </w:p>
    <w:p w:rsidR="00F939D3" w:rsidRDefault="005711C9">
      <w:pPr>
        <w:pStyle w:val="BodyText"/>
        <w:spacing w:before="6" w:line="367" w:lineRule="auto"/>
        <w:ind w:left="685" w:right="1446"/>
        <w:jc w:val="both"/>
      </w:pPr>
      <w:r>
        <w:t>3. Which include indole, catalase, oxidase, motility and citrate test.</w:t>
      </w:r>
    </w:p>
    <w:p w:rsidR="00F939D3" w:rsidRDefault="00F939D3">
      <w:pPr>
        <w:pStyle w:val="BodyText"/>
        <w:spacing w:line="367" w:lineRule="auto"/>
        <w:jc w:val="both"/>
        <w:sectPr w:rsidR="00F939D3">
          <w:type w:val="continuous"/>
          <w:pgSz w:w="12240" w:h="15840"/>
          <w:pgMar w:top="860" w:right="0" w:bottom="280" w:left="720" w:header="35" w:footer="854" w:gutter="0"/>
          <w:cols w:num="2" w:space="720" w:equalWidth="0">
            <w:col w:w="5037" w:space="40"/>
            <w:col w:w="6443"/>
          </w:cols>
        </w:sectPr>
      </w:pPr>
    </w:p>
    <w:p w:rsidR="00F939D3" w:rsidRDefault="005711C9">
      <w:pPr>
        <w:pStyle w:val="Heading3"/>
        <w:spacing w:before="174"/>
      </w:pPr>
      <w:r>
        <w:t>Table</w:t>
      </w:r>
      <w:r>
        <w:rPr>
          <w:spacing w:val="-14"/>
        </w:rPr>
        <w:t xml:space="preserve"> </w:t>
      </w:r>
      <w:r>
        <w:t>3.</w:t>
      </w:r>
      <w:r>
        <w:rPr>
          <w:spacing w:val="-14"/>
        </w:rPr>
        <w:t xml:space="preserve"> </w:t>
      </w:r>
      <w:r>
        <w:t>Cultural,</w:t>
      </w:r>
      <w:r>
        <w:rPr>
          <w:spacing w:val="-14"/>
        </w:rPr>
        <w:t xml:space="preserve"> </w:t>
      </w:r>
      <w:r>
        <w:t>morphological</w:t>
      </w:r>
      <w:r>
        <w:rPr>
          <w:spacing w:val="-14"/>
        </w:rPr>
        <w:t xml:space="preserve"> </w:t>
      </w:r>
      <w:r>
        <w:t>and</w:t>
      </w:r>
      <w:r>
        <w:rPr>
          <w:spacing w:val="-14"/>
        </w:rPr>
        <w:t xml:space="preserve"> </w:t>
      </w:r>
      <w:r>
        <w:t>Biochemical</w:t>
      </w:r>
      <w:r>
        <w:rPr>
          <w:spacing w:val="-14"/>
        </w:rPr>
        <w:t xml:space="preserve"> </w:t>
      </w:r>
      <w:r>
        <w:t>Characteristics</w:t>
      </w:r>
      <w:r>
        <w:rPr>
          <w:spacing w:val="-14"/>
        </w:rPr>
        <w:t xml:space="preserve"> </w:t>
      </w:r>
      <w:r>
        <w:t>of</w:t>
      </w:r>
      <w:r>
        <w:rPr>
          <w:spacing w:val="-14"/>
        </w:rPr>
        <w:t xml:space="preserve"> </w:t>
      </w:r>
      <w:r>
        <w:t>the</w:t>
      </w:r>
      <w:r>
        <w:rPr>
          <w:spacing w:val="-14"/>
        </w:rPr>
        <w:t xml:space="preserve"> </w:t>
      </w:r>
      <w:r>
        <w:t>Test</w:t>
      </w:r>
      <w:r>
        <w:rPr>
          <w:spacing w:val="-12"/>
        </w:rPr>
        <w:t xml:space="preserve"> </w:t>
      </w:r>
      <w:r>
        <w:rPr>
          <w:spacing w:val="-2"/>
        </w:rPr>
        <w:t>Isolates.</w:t>
      </w:r>
    </w:p>
    <w:p w:rsidR="00F939D3" w:rsidRDefault="00F939D3">
      <w:pPr>
        <w:pStyle w:val="BodyText"/>
        <w:spacing w:before="189"/>
        <w:ind w:left="0"/>
        <w:rPr>
          <w:rFonts w:ascii="Arial"/>
          <w:b/>
        </w:rPr>
      </w:pPr>
    </w:p>
    <w:tbl>
      <w:tblPr>
        <w:tblW w:w="0" w:type="auto"/>
        <w:tblInd w:w="598" w:type="dxa"/>
        <w:tblLayout w:type="fixed"/>
        <w:tblCellMar>
          <w:left w:w="0" w:type="dxa"/>
          <w:right w:w="0" w:type="dxa"/>
        </w:tblCellMar>
        <w:tblLook w:val="01E0" w:firstRow="1" w:lastRow="1" w:firstColumn="1" w:lastColumn="1" w:noHBand="0" w:noVBand="0"/>
      </w:tblPr>
      <w:tblGrid>
        <w:gridCol w:w="2551"/>
        <w:gridCol w:w="1426"/>
        <w:gridCol w:w="1612"/>
        <w:gridCol w:w="813"/>
        <w:gridCol w:w="1038"/>
        <w:gridCol w:w="995"/>
        <w:gridCol w:w="918"/>
        <w:gridCol w:w="856"/>
      </w:tblGrid>
      <w:tr w:rsidR="00F939D3">
        <w:trPr>
          <w:trHeight w:val="1069"/>
        </w:trPr>
        <w:tc>
          <w:tcPr>
            <w:tcW w:w="2551" w:type="dxa"/>
            <w:tcBorders>
              <w:top w:val="single" w:sz="4" w:space="0" w:color="000000"/>
              <w:bottom w:val="single" w:sz="4" w:space="0" w:color="000000"/>
            </w:tcBorders>
          </w:tcPr>
          <w:p w:rsidR="00F939D3" w:rsidRDefault="005711C9">
            <w:pPr>
              <w:pStyle w:val="TableParagraph"/>
              <w:spacing w:line="225" w:lineRule="exact"/>
              <w:ind w:left="136"/>
              <w:rPr>
                <w:rFonts w:ascii="Arial"/>
                <w:b/>
                <w:sz w:val="20"/>
              </w:rPr>
            </w:pPr>
            <w:r>
              <w:rPr>
                <w:rFonts w:ascii="Arial"/>
                <w:b/>
                <w:sz w:val="20"/>
              </w:rPr>
              <w:t>Colony</w:t>
            </w:r>
            <w:r>
              <w:rPr>
                <w:rFonts w:ascii="Arial"/>
                <w:b/>
                <w:spacing w:val="-9"/>
                <w:sz w:val="20"/>
              </w:rPr>
              <w:t xml:space="preserve"> </w:t>
            </w:r>
            <w:r>
              <w:rPr>
                <w:rFonts w:ascii="Arial"/>
                <w:b/>
                <w:spacing w:val="-2"/>
                <w:sz w:val="20"/>
              </w:rPr>
              <w:t>Appearance</w:t>
            </w:r>
          </w:p>
        </w:tc>
        <w:tc>
          <w:tcPr>
            <w:tcW w:w="1426" w:type="dxa"/>
            <w:tcBorders>
              <w:top w:val="single" w:sz="4" w:space="0" w:color="000000"/>
              <w:bottom w:val="single" w:sz="4" w:space="0" w:color="000000"/>
            </w:tcBorders>
          </w:tcPr>
          <w:p w:rsidR="00F939D3" w:rsidRDefault="005711C9">
            <w:pPr>
              <w:pStyle w:val="TableParagraph"/>
              <w:spacing w:line="276" w:lineRule="auto"/>
              <w:ind w:left="125" w:right="41"/>
              <w:rPr>
                <w:rFonts w:ascii="Arial"/>
                <w:b/>
                <w:sz w:val="20"/>
              </w:rPr>
            </w:pPr>
            <w:r>
              <w:rPr>
                <w:rFonts w:ascii="Arial"/>
                <w:b/>
                <w:spacing w:val="-4"/>
                <w:sz w:val="20"/>
              </w:rPr>
              <w:t xml:space="preserve">Gram </w:t>
            </w:r>
            <w:r>
              <w:rPr>
                <w:rFonts w:ascii="Arial"/>
                <w:b/>
                <w:spacing w:val="-2"/>
                <w:sz w:val="20"/>
              </w:rPr>
              <w:t xml:space="preserve">Staining </w:t>
            </w:r>
            <w:r>
              <w:rPr>
                <w:rFonts w:ascii="Arial"/>
                <w:b/>
                <w:spacing w:val="-4"/>
                <w:sz w:val="20"/>
              </w:rPr>
              <w:t>Presumptive</w:t>
            </w:r>
          </w:p>
          <w:p w:rsidR="00F939D3" w:rsidRDefault="005711C9">
            <w:pPr>
              <w:pStyle w:val="TableParagraph"/>
              <w:ind w:left="125"/>
              <w:rPr>
                <w:rFonts w:ascii="Arial"/>
                <w:b/>
                <w:sz w:val="20"/>
              </w:rPr>
            </w:pPr>
            <w:r>
              <w:rPr>
                <w:rFonts w:ascii="Arial"/>
                <w:b/>
                <w:spacing w:val="-2"/>
                <w:sz w:val="20"/>
              </w:rPr>
              <w:t>Microscopy</w:t>
            </w:r>
          </w:p>
        </w:tc>
        <w:tc>
          <w:tcPr>
            <w:tcW w:w="1612" w:type="dxa"/>
            <w:tcBorders>
              <w:top w:val="single" w:sz="4" w:space="0" w:color="000000"/>
              <w:bottom w:val="single" w:sz="4" w:space="0" w:color="000000"/>
            </w:tcBorders>
          </w:tcPr>
          <w:p w:rsidR="00F939D3" w:rsidRDefault="005711C9">
            <w:pPr>
              <w:pStyle w:val="TableParagraph"/>
              <w:spacing w:line="225" w:lineRule="exact"/>
              <w:ind w:left="117"/>
              <w:rPr>
                <w:rFonts w:ascii="Arial"/>
                <w:b/>
                <w:sz w:val="20"/>
              </w:rPr>
            </w:pPr>
            <w:r>
              <w:rPr>
                <w:rFonts w:ascii="Arial"/>
                <w:b/>
                <w:spacing w:val="-2"/>
                <w:sz w:val="20"/>
              </w:rPr>
              <w:t>Organism</w:t>
            </w:r>
          </w:p>
        </w:tc>
        <w:tc>
          <w:tcPr>
            <w:tcW w:w="813" w:type="dxa"/>
            <w:tcBorders>
              <w:top w:val="single" w:sz="4" w:space="0" w:color="000000"/>
              <w:bottom w:val="single" w:sz="4" w:space="0" w:color="000000"/>
            </w:tcBorders>
          </w:tcPr>
          <w:p w:rsidR="00F939D3" w:rsidRDefault="005711C9">
            <w:pPr>
              <w:pStyle w:val="TableParagraph"/>
              <w:spacing w:line="225" w:lineRule="exact"/>
              <w:ind w:left="121"/>
              <w:rPr>
                <w:rFonts w:ascii="Arial"/>
                <w:b/>
                <w:sz w:val="20"/>
              </w:rPr>
            </w:pPr>
            <w:r>
              <w:rPr>
                <w:rFonts w:ascii="Arial"/>
                <w:b/>
                <w:spacing w:val="-2"/>
                <w:sz w:val="20"/>
              </w:rPr>
              <w:t>Indole</w:t>
            </w:r>
          </w:p>
        </w:tc>
        <w:tc>
          <w:tcPr>
            <w:tcW w:w="1038" w:type="dxa"/>
            <w:tcBorders>
              <w:top w:val="single" w:sz="4" w:space="0" w:color="000000"/>
              <w:bottom w:val="single" w:sz="4" w:space="0" w:color="000000"/>
            </w:tcBorders>
          </w:tcPr>
          <w:p w:rsidR="00F939D3" w:rsidRDefault="005711C9">
            <w:pPr>
              <w:pStyle w:val="TableParagraph"/>
              <w:spacing w:line="225" w:lineRule="exact"/>
              <w:ind w:left="114"/>
              <w:rPr>
                <w:rFonts w:ascii="Arial"/>
                <w:b/>
                <w:sz w:val="20"/>
              </w:rPr>
            </w:pPr>
            <w:r>
              <w:rPr>
                <w:rFonts w:ascii="Arial"/>
                <w:b/>
                <w:spacing w:val="-2"/>
                <w:sz w:val="20"/>
              </w:rPr>
              <w:t>Catalase</w:t>
            </w:r>
          </w:p>
        </w:tc>
        <w:tc>
          <w:tcPr>
            <w:tcW w:w="995" w:type="dxa"/>
            <w:tcBorders>
              <w:top w:val="single" w:sz="4" w:space="0" w:color="000000"/>
              <w:bottom w:val="single" w:sz="4" w:space="0" w:color="000000"/>
            </w:tcBorders>
          </w:tcPr>
          <w:p w:rsidR="00F939D3" w:rsidRDefault="005711C9">
            <w:pPr>
              <w:pStyle w:val="TableParagraph"/>
              <w:spacing w:line="225" w:lineRule="exact"/>
              <w:ind w:left="116"/>
              <w:rPr>
                <w:rFonts w:ascii="Arial"/>
                <w:b/>
                <w:sz w:val="20"/>
              </w:rPr>
            </w:pPr>
            <w:r>
              <w:rPr>
                <w:rFonts w:ascii="Arial"/>
                <w:b/>
                <w:spacing w:val="-2"/>
                <w:sz w:val="20"/>
              </w:rPr>
              <w:t>Oxidase</w:t>
            </w:r>
          </w:p>
        </w:tc>
        <w:tc>
          <w:tcPr>
            <w:tcW w:w="918" w:type="dxa"/>
            <w:tcBorders>
              <w:top w:val="single" w:sz="4" w:space="0" w:color="000000"/>
              <w:bottom w:val="single" w:sz="4" w:space="0" w:color="000000"/>
            </w:tcBorders>
          </w:tcPr>
          <w:p w:rsidR="00F939D3" w:rsidRDefault="005711C9">
            <w:pPr>
              <w:pStyle w:val="TableParagraph"/>
              <w:spacing w:line="225" w:lineRule="exact"/>
              <w:ind w:left="115"/>
              <w:rPr>
                <w:rFonts w:ascii="Arial"/>
                <w:b/>
                <w:sz w:val="20"/>
              </w:rPr>
            </w:pPr>
            <w:r>
              <w:rPr>
                <w:rFonts w:ascii="Arial"/>
                <w:b/>
                <w:spacing w:val="-2"/>
                <w:sz w:val="20"/>
              </w:rPr>
              <w:t>Motility</w:t>
            </w:r>
          </w:p>
        </w:tc>
        <w:tc>
          <w:tcPr>
            <w:tcW w:w="856" w:type="dxa"/>
            <w:tcBorders>
              <w:top w:val="single" w:sz="4" w:space="0" w:color="000000"/>
              <w:bottom w:val="single" w:sz="4" w:space="0" w:color="000000"/>
            </w:tcBorders>
          </w:tcPr>
          <w:p w:rsidR="00F939D3" w:rsidRDefault="005711C9">
            <w:pPr>
              <w:pStyle w:val="TableParagraph"/>
              <w:spacing w:line="225" w:lineRule="exact"/>
              <w:ind w:left="116"/>
              <w:rPr>
                <w:rFonts w:ascii="Arial"/>
                <w:b/>
                <w:sz w:val="20"/>
              </w:rPr>
            </w:pPr>
            <w:r>
              <w:rPr>
                <w:rFonts w:ascii="Arial"/>
                <w:b/>
                <w:spacing w:val="-2"/>
                <w:sz w:val="20"/>
              </w:rPr>
              <w:t>Citrate</w:t>
            </w:r>
          </w:p>
        </w:tc>
      </w:tr>
      <w:tr w:rsidR="00F939D3">
        <w:trPr>
          <w:trHeight w:val="245"/>
        </w:trPr>
        <w:tc>
          <w:tcPr>
            <w:tcW w:w="2551" w:type="dxa"/>
            <w:tcBorders>
              <w:top w:val="single" w:sz="4" w:space="0" w:color="000000"/>
            </w:tcBorders>
          </w:tcPr>
          <w:p w:rsidR="00F939D3" w:rsidRDefault="005711C9">
            <w:pPr>
              <w:pStyle w:val="TableParagraph"/>
              <w:spacing w:line="224" w:lineRule="exact"/>
              <w:ind w:left="136"/>
              <w:rPr>
                <w:sz w:val="20"/>
              </w:rPr>
            </w:pPr>
            <w:r>
              <w:rPr>
                <w:spacing w:val="-2"/>
                <w:sz w:val="20"/>
              </w:rPr>
              <w:t>Small</w:t>
            </w:r>
            <w:r>
              <w:rPr>
                <w:spacing w:val="-3"/>
                <w:sz w:val="20"/>
              </w:rPr>
              <w:t xml:space="preserve"> </w:t>
            </w:r>
            <w:r>
              <w:rPr>
                <w:spacing w:val="-2"/>
                <w:sz w:val="20"/>
              </w:rPr>
              <w:t>circular</w:t>
            </w:r>
            <w:r>
              <w:rPr>
                <w:spacing w:val="-4"/>
                <w:sz w:val="20"/>
              </w:rPr>
              <w:t xml:space="preserve"> </w:t>
            </w:r>
            <w:r>
              <w:rPr>
                <w:spacing w:val="-2"/>
                <w:sz w:val="20"/>
              </w:rPr>
              <w:t>concave</w:t>
            </w:r>
          </w:p>
        </w:tc>
        <w:tc>
          <w:tcPr>
            <w:tcW w:w="1426" w:type="dxa"/>
            <w:tcBorders>
              <w:top w:val="single" w:sz="4" w:space="0" w:color="000000"/>
            </w:tcBorders>
          </w:tcPr>
          <w:p w:rsidR="00F939D3" w:rsidRDefault="00F939D3">
            <w:pPr>
              <w:pStyle w:val="TableParagraph"/>
              <w:rPr>
                <w:rFonts w:ascii="Times New Roman"/>
                <w:sz w:val="16"/>
              </w:rPr>
            </w:pPr>
          </w:p>
        </w:tc>
        <w:tc>
          <w:tcPr>
            <w:tcW w:w="1612" w:type="dxa"/>
            <w:tcBorders>
              <w:top w:val="single" w:sz="4" w:space="0" w:color="000000"/>
            </w:tcBorders>
          </w:tcPr>
          <w:p w:rsidR="00F939D3" w:rsidRDefault="005711C9">
            <w:pPr>
              <w:pStyle w:val="TableParagraph"/>
              <w:spacing w:line="225" w:lineRule="exact"/>
              <w:ind w:left="117"/>
              <w:rPr>
                <w:rFonts w:ascii="Arial"/>
                <w:i/>
                <w:sz w:val="20"/>
              </w:rPr>
            </w:pPr>
            <w:r>
              <w:rPr>
                <w:rFonts w:ascii="Arial"/>
                <w:i/>
                <w:spacing w:val="-2"/>
                <w:sz w:val="20"/>
              </w:rPr>
              <w:t>Escherichia</w:t>
            </w:r>
          </w:p>
        </w:tc>
        <w:tc>
          <w:tcPr>
            <w:tcW w:w="813" w:type="dxa"/>
            <w:tcBorders>
              <w:top w:val="single" w:sz="4" w:space="0" w:color="000000"/>
            </w:tcBorders>
          </w:tcPr>
          <w:p w:rsidR="00F939D3" w:rsidRDefault="005711C9">
            <w:pPr>
              <w:pStyle w:val="TableParagraph"/>
              <w:spacing w:line="224" w:lineRule="exact"/>
              <w:ind w:left="117" w:right="223"/>
              <w:jc w:val="center"/>
              <w:rPr>
                <w:sz w:val="20"/>
              </w:rPr>
            </w:pPr>
            <w:r>
              <w:rPr>
                <w:spacing w:val="-10"/>
                <w:sz w:val="20"/>
              </w:rPr>
              <w:t>+</w:t>
            </w:r>
          </w:p>
        </w:tc>
        <w:tc>
          <w:tcPr>
            <w:tcW w:w="1038" w:type="dxa"/>
            <w:tcBorders>
              <w:top w:val="single" w:sz="4" w:space="0" w:color="000000"/>
            </w:tcBorders>
          </w:tcPr>
          <w:p w:rsidR="00F939D3" w:rsidRDefault="00F939D3">
            <w:pPr>
              <w:pStyle w:val="TableParagraph"/>
              <w:rPr>
                <w:rFonts w:ascii="Times New Roman"/>
                <w:sz w:val="16"/>
              </w:rPr>
            </w:pPr>
          </w:p>
        </w:tc>
        <w:tc>
          <w:tcPr>
            <w:tcW w:w="995" w:type="dxa"/>
            <w:tcBorders>
              <w:top w:val="single" w:sz="4" w:space="0" w:color="000000"/>
            </w:tcBorders>
          </w:tcPr>
          <w:p w:rsidR="00F939D3" w:rsidRDefault="00F939D3">
            <w:pPr>
              <w:pStyle w:val="TableParagraph"/>
              <w:rPr>
                <w:rFonts w:ascii="Times New Roman"/>
                <w:sz w:val="16"/>
              </w:rPr>
            </w:pPr>
          </w:p>
        </w:tc>
        <w:tc>
          <w:tcPr>
            <w:tcW w:w="918" w:type="dxa"/>
            <w:tcBorders>
              <w:top w:val="single" w:sz="4" w:space="0" w:color="000000"/>
            </w:tcBorders>
          </w:tcPr>
          <w:p w:rsidR="00F939D3" w:rsidRDefault="005711C9">
            <w:pPr>
              <w:pStyle w:val="TableParagraph"/>
              <w:spacing w:line="224" w:lineRule="exact"/>
              <w:ind w:left="283"/>
              <w:rPr>
                <w:sz w:val="20"/>
              </w:rPr>
            </w:pPr>
            <w:r>
              <w:rPr>
                <w:spacing w:val="-10"/>
                <w:sz w:val="20"/>
              </w:rPr>
              <w:t>+</w:t>
            </w:r>
          </w:p>
        </w:tc>
        <w:tc>
          <w:tcPr>
            <w:tcW w:w="856" w:type="dxa"/>
            <w:tcBorders>
              <w:top w:val="single" w:sz="4" w:space="0" w:color="000000"/>
            </w:tcBorders>
          </w:tcPr>
          <w:p w:rsidR="00F939D3" w:rsidRDefault="00F939D3">
            <w:pPr>
              <w:pStyle w:val="TableParagraph"/>
              <w:rPr>
                <w:rFonts w:ascii="Times New Roman"/>
                <w:sz w:val="16"/>
              </w:rPr>
            </w:pPr>
          </w:p>
        </w:tc>
      </w:tr>
      <w:tr w:rsidR="00F939D3">
        <w:trPr>
          <w:trHeight w:val="267"/>
        </w:trPr>
        <w:tc>
          <w:tcPr>
            <w:tcW w:w="2551" w:type="dxa"/>
          </w:tcPr>
          <w:p w:rsidR="00F939D3" w:rsidRDefault="005711C9">
            <w:pPr>
              <w:pStyle w:val="TableParagraph"/>
              <w:spacing w:before="19"/>
              <w:ind w:left="136"/>
              <w:rPr>
                <w:sz w:val="20"/>
              </w:rPr>
            </w:pPr>
            <w:r>
              <w:rPr>
                <w:sz w:val="20"/>
              </w:rPr>
              <w:t>pink</w:t>
            </w:r>
            <w:r>
              <w:rPr>
                <w:spacing w:val="-13"/>
                <w:sz w:val="20"/>
              </w:rPr>
              <w:t xml:space="preserve"> </w:t>
            </w:r>
            <w:r>
              <w:rPr>
                <w:sz w:val="20"/>
              </w:rPr>
              <w:t>Colony</w:t>
            </w:r>
            <w:r>
              <w:rPr>
                <w:spacing w:val="-13"/>
                <w:sz w:val="20"/>
              </w:rPr>
              <w:t xml:space="preserve"> </w:t>
            </w:r>
            <w:r>
              <w:rPr>
                <w:spacing w:val="-5"/>
                <w:sz w:val="20"/>
              </w:rPr>
              <w:t>on</w:t>
            </w:r>
          </w:p>
        </w:tc>
        <w:tc>
          <w:tcPr>
            <w:tcW w:w="1426" w:type="dxa"/>
          </w:tcPr>
          <w:p w:rsidR="00F939D3" w:rsidRDefault="005711C9">
            <w:pPr>
              <w:pStyle w:val="TableParagraph"/>
              <w:spacing w:before="19"/>
              <w:ind w:left="125"/>
              <w:rPr>
                <w:sz w:val="20"/>
              </w:rPr>
            </w:pPr>
            <w:r>
              <w:rPr>
                <w:sz w:val="20"/>
              </w:rPr>
              <w:t>short</w:t>
            </w:r>
            <w:r>
              <w:rPr>
                <w:spacing w:val="-11"/>
                <w:sz w:val="20"/>
              </w:rPr>
              <w:t xml:space="preserve"> </w:t>
            </w:r>
            <w:r>
              <w:rPr>
                <w:spacing w:val="-4"/>
                <w:sz w:val="20"/>
              </w:rPr>
              <w:t>Rods</w:t>
            </w:r>
          </w:p>
        </w:tc>
        <w:tc>
          <w:tcPr>
            <w:tcW w:w="1612" w:type="dxa"/>
          </w:tcPr>
          <w:p w:rsidR="00F939D3" w:rsidRDefault="005711C9">
            <w:pPr>
              <w:pStyle w:val="TableParagraph"/>
              <w:spacing w:before="13"/>
              <w:ind w:left="117"/>
              <w:rPr>
                <w:rFonts w:ascii="Arial"/>
                <w:i/>
                <w:sz w:val="20"/>
              </w:rPr>
            </w:pPr>
            <w:r>
              <w:rPr>
                <w:rFonts w:ascii="Arial"/>
                <w:i/>
                <w:spacing w:val="-4"/>
                <w:sz w:val="20"/>
              </w:rPr>
              <w:t>Coli</w:t>
            </w:r>
          </w:p>
        </w:tc>
        <w:tc>
          <w:tcPr>
            <w:tcW w:w="813" w:type="dxa"/>
          </w:tcPr>
          <w:p w:rsidR="00F939D3" w:rsidRDefault="00F939D3">
            <w:pPr>
              <w:pStyle w:val="TableParagraph"/>
              <w:rPr>
                <w:rFonts w:ascii="Times New Roman"/>
                <w:sz w:val="18"/>
              </w:rPr>
            </w:pPr>
          </w:p>
        </w:tc>
        <w:tc>
          <w:tcPr>
            <w:tcW w:w="1038" w:type="dxa"/>
          </w:tcPr>
          <w:p w:rsidR="00F939D3" w:rsidRDefault="00F939D3">
            <w:pPr>
              <w:pStyle w:val="TableParagraph"/>
              <w:rPr>
                <w:rFonts w:ascii="Times New Roman"/>
                <w:sz w:val="18"/>
              </w:rPr>
            </w:pPr>
          </w:p>
        </w:tc>
        <w:tc>
          <w:tcPr>
            <w:tcW w:w="995" w:type="dxa"/>
          </w:tcPr>
          <w:p w:rsidR="00F939D3" w:rsidRDefault="00F939D3">
            <w:pPr>
              <w:pStyle w:val="TableParagraph"/>
              <w:rPr>
                <w:rFonts w:ascii="Times New Roman"/>
                <w:sz w:val="18"/>
              </w:rPr>
            </w:pPr>
          </w:p>
        </w:tc>
        <w:tc>
          <w:tcPr>
            <w:tcW w:w="918" w:type="dxa"/>
          </w:tcPr>
          <w:p w:rsidR="00F939D3" w:rsidRDefault="00F939D3">
            <w:pPr>
              <w:pStyle w:val="TableParagraph"/>
              <w:rPr>
                <w:rFonts w:ascii="Times New Roman"/>
                <w:sz w:val="18"/>
              </w:rPr>
            </w:pPr>
          </w:p>
        </w:tc>
        <w:tc>
          <w:tcPr>
            <w:tcW w:w="856" w:type="dxa"/>
          </w:tcPr>
          <w:p w:rsidR="00F939D3" w:rsidRDefault="00F939D3">
            <w:pPr>
              <w:pStyle w:val="TableParagraph"/>
              <w:rPr>
                <w:rFonts w:ascii="Times New Roman"/>
                <w:sz w:val="18"/>
              </w:rPr>
            </w:pPr>
          </w:p>
        </w:tc>
      </w:tr>
      <w:tr w:rsidR="00F939D3">
        <w:trPr>
          <w:trHeight w:val="264"/>
        </w:trPr>
        <w:tc>
          <w:tcPr>
            <w:tcW w:w="2551" w:type="dxa"/>
          </w:tcPr>
          <w:p w:rsidR="00F939D3" w:rsidRDefault="005711C9">
            <w:pPr>
              <w:pStyle w:val="TableParagraph"/>
              <w:spacing w:before="18" w:line="226" w:lineRule="exact"/>
              <w:ind w:left="136"/>
              <w:rPr>
                <w:sz w:val="20"/>
              </w:rPr>
            </w:pPr>
            <w:r>
              <w:rPr>
                <w:spacing w:val="-2"/>
                <w:sz w:val="20"/>
              </w:rPr>
              <w:t>MacConkey.</w:t>
            </w:r>
          </w:p>
        </w:tc>
        <w:tc>
          <w:tcPr>
            <w:tcW w:w="1426" w:type="dxa"/>
          </w:tcPr>
          <w:p w:rsidR="00F939D3" w:rsidRDefault="00F939D3">
            <w:pPr>
              <w:pStyle w:val="TableParagraph"/>
              <w:rPr>
                <w:rFonts w:ascii="Times New Roman"/>
                <w:sz w:val="18"/>
              </w:rPr>
            </w:pPr>
          </w:p>
        </w:tc>
        <w:tc>
          <w:tcPr>
            <w:tcW w:w="1612" w:type="dxa"/>
          </w:tcPr>
          <w:p w:rsidR="00F939D3" w:rsidRDefault="00F939D3">
            <w:pPr>
              <w:pStyle w:val="TableParagraph"/>
              <w:rPr>
                <w:rFonts w:ascii="Times New Roman"/>
                <w:sz w:val="18"/>
              </w:rPr>
            </w:pPr>
          </w:p>
        </w:tc>
        <w:tc>
          <w:tcPr>
            <w:tcW w:w="813" w:type="dxa"/>
          </w:tcPr>
          <w:p w:rsidR="00F939D3" w:rsidRDefault="00F939D3">
            <w:pPr>
              <w:pStyle w:val="TableParagraph"/>
              <w:rPr>
                <w:rFonts w:ascii="Times New Roman"/>
                <w:sz w:val="18"/>
              </w:rPr>
            </w:pPr>
          </w:p>
        </w:tc>
        <w:tc>
          <w:tcPr>
            <w:tcW w:w="1038" w:type="dxa"/>
          </w:tcPr>
          <w:p w:rsidR="00F939D3" w:rsidRDefault="00F939D3">
            <w:pPr>
              <w:pStyle w:val="TableParagraph"/>
              <w:rPr>
                <w:rFonts w:ascii="Times New Roman"/>
                <w:sz w:val="18"/>
              </w:rPr>
            </w:pPr>
          </w:p>
        </w:tc>
        <w:tc>
          <w:tcPr>
            <w:tcW w:w="995" w:type="dxa"/>
          </w:tcPr>
          <w:p w:rsidR="00F939D3" w:rsidRDefault="00F939D3">
            <w:pPr>
              <w:pStyle w:val="TableParagraph"/>
              <w:rPr>
                <w:rFonts w:ascii="Times New Roman"/>
                <w:sz w:val="18"/>
              </w:rPr>
            </w:pPr>
          </w:p>
        </w:tc>
        <w:tc>
          <w:tcPr>
            <w:tcW w:w="918" w:type="dxa"/>
          </w:tcPr>
          <w:p w:rsidR="00F939D3" w:rsidRDefault="00F939D3">
            <w:pPr>
              <w:pStyle w:val="TableParagraph"/>
              <w:rPr>
                <w:rFonts w:ascii="Times New Roman"/>
                <w:sz w:val="18"/>
              </w:rPr>
            </w:pPr>
          </w:p>
        </w:tc>
        <w:tc>
          <w:tcPr>
            <w:tcW w:w="856" w:type="dxa"/>
          </w:tcPr>
          <w:p w:rsidR="00F939D3" w:rsidRDefault="00F939D3">
            <w:pPr>
              <w:pStyle w:val="TableParagraph"/>
              <w:rPr>
                <w:rFonts w:ascii="Times New Roman"/>
                <w:sz w:val="18"/>
              </w:rPr>
            </w:pPr>
          </w:p>
        </w:tc>
      </w:tr>
      <w:tr w:rsidR="00F939D3">
        <w:trPr>
          <w:trHeight w:val="263"/>
        </w:trPr>
        <w:tc>
          <w:tcPr>
            <w:tcW w:w="2551" w:type="dxa"/>
          </w:tcPr>
          <w:p w:rsidR="00F939D3" w:rsidRDefault="005711C9">
            <w:pPr>
              <w:pStyle w:val="TableParagraph"/>
              <w:spacing w:before="18" w:line="226" w:lineRule="exact"/>
              <w:ind w:left="136"/>
              <w:rPr>
                <w:sz w:val="20"/>
              </w:rPr>
            </w:pPr>
            <w:r>
              <w:rPr>
                <w:spacing w:val="-2"/>
                <w:sz w:val="20"/>
              </w:rPr>
              <w:t>Small</w:t>
            </w:r>
            <w:r>
              <w:rPr>
                <w:spacing w:val="-3"/>
                <w:sz w:val="20"/>
              </w:rPr>
              <w:t xml:space="preserve"> </w:t>
            </w:r>
            <w:r>
              <w:rPr>
                <w:spacing w:val="-2"/>
                <w:sz w:val="20"/>
              </w:rPr>
              <w:t>circular</w:t>
            </w:r>
            <w:r>
              <w:rPr>
                <w:spacing w:val="-4"/>
                <w:sz w:val="20"/>
              </w:rPr>
              <w:t xml:space="preserve"> </w:t>
            </w:r>
            <w:r>
              <w:rPr>
                <w:spacing w:val="-2"/>
                <w:sz w:val="20"/>
              </w:rPr>
              <w:t>smooth</w:t>
            </w:r>
          </w:p>
        </w:tc>
        <w:tc>
          <w:tcPr>
            <w:tcW w:w="1426" w:type="dxa"/>
          </w:tcPr>
          <w:p w:rsidR="00F939D3" w:rsidRDefault="005711C9">
            <w:pPr>
              <w:pStyle w:val="TableParagraph"/>
              <w:spacing w:before="18" w:line="226" w:lineRule="exact"/>
              <w:ind w:left="125"/>
              <w:rPr>
                <w:sz w:val="20"/>
              </w:rPr>
            </w:pPr>
            <w:r>
              <w:rPr>
                <w:sz w:val="20"/>
              </w:rPr>
              <w:t>positive</w:t>
            </w:r>
            <w:r>
              <w:rPr>
                <w:spacing w:val="-7"/>
                <w:sz w:val="20"/>
              </w:rPr>
              <w:t xml:space="preserve"> </w:t>
            </w:r>
            <w:r>
              <w:rPr>
                <w:spacing w:val="-2"/>
                <w:sz w:val="20"/>
              </w:rPr>
              <w:t>cocci</w:t>
            </w:r>
          </w:p>
        </w:tc>
        <w:tc>
          <w:tcPr>
            <w:tcW w:w="1612" w:type="dxa"/>
          </w:tcPr>
          <w:p w:rsidR="00F939D3" w:rsidRDefault="005711C9">
            <w:pPr>
              <w:pStyle w:val="TableParagraph"/>
              <w:spacing w:before="12"/>
              <w:ind w:left="117"/>
              <w:rPr>
                <w:rFonts w:ascii="Arial"/>
                <w:i/>
                <w:sz w:val="20"/>
              </w:rPr>
            </w:pPr>
            <w:r>
              <w:rPr>
                <w:rFonts w:ascii="Arial"/>
                <w:i/>
                <w:spacing w:val="-2"/>
                <w:sz w:val="20"/>
              </w:rPr>
              <w:t>Staphylococcus</w:t>
            </w:r>
          </w:p>
        </w:tc>
        <w:tc>
          <w:tcPr>
            <w:tcW w:w="813" w:type="dxa"/>
          </w:tcPr>
          <w:p w:rsidR="00F939D3" w:rsidRDefault="005711C9">
            <w:pPr>
              <w:pStyle w:val="TableParagraph"/>
              <w:spacing w:before="18" w:line="226" w:lineRule="exact"/>
              <w:ind w:left="67" w:right="223"/>
              <w:jc w:val="center"/>
              <w:rPr>
                <w:sz w:val="20"/>
              </w:rPr>
            </w:pPr>
            <w:r>
              <w:rPr>
                <w:spacing w:val="-10"/>
                <w:sz w:val="20"/>
              </w:rPr>
              <w:t>-</w:t>
            </w:r>
          </w:p>
        </w:tc>
        <w:tc>
          <w:tcPr>
            <w:tcW w:w="1038" w:type="dxa"/>
          </w:tcPr>
          <w:p w:rsidR="00F939D3" w:rsidRDefault="005711C9">
            <w:pPr>
              <w:pStyle w:val="TableParagraph"/>
              <w:spacing w:before="18" w:line="226" w:lineRule="exact"/>
              <w:ind w:left="338"/>
              <w:rPr>
                <w:sz w:val="20"/>
              </w:rPr>
            </w:pPr>
            <w:r>
              <w:rPr>
                <w:spacing w:val="-10"/>
                <w:sz w:val="20"/>
              </w:rPr>
              <w:t>+</w:t>
            </w:r>
          </w:p>
        </w:tc>
        <w:tc>
          <w:tcPr>
            <w:tcW w:w="995" w:type="dxa"/>
          </w:tcPr>
          <w:p w:rsidR="00F939D3" w:rsidRDefault="005711C9">
            <w:pPr>
              <w:pStyle w:val="TableParagraph"/>
              <w:spacing w:before="18" w:line="226" w:lineRule="exact"/>
              <w:ind w:right="246"/>
              <w:jc w:val="center"/>
              <w:rPr>
                <w:sz w:val="20"/>
              </w:rPr>
            </w:pPr>
            <w:r>
              <w:rPr>
                <w:spacing w:val="-10"/>
                <w:sz w:val="20"/>
              </w:rPr>
              <w:t>-</w:t>
            </w:r>
          </w:p>
        </w:tc>
        <w:tc>
          <w:tcPr>
            <w:tcW w:w="918" w:type="dxa"/>
          </w:tcPr>
          <w:p w:rsidR="00F939D3" w:rsidRDefault="005711C9">
            <w:pPr>
              <w:pStyle w:val="TableParagraph"/>
              <w:spacing w:before="18" w:line="226" w:lineRule="exact"/>
              <w:ind w:left="283"/>
              <w:rPr>
                <w:sz w:val="20"/>
              </w:rPr>
            </w:pPr>
            <w:r>
              <w:rPr>
                <w:spacing w:val="-10"/>
                <w:sz w:val="20"/>
              </w:rPr>
              <w:t>-</w:t>
            </w:r>
          </w:p>
        </w:tc>
        <w:tc>
          <w:tcPr>
            <w:tcW w:w="856" w:type="dxa"/>
          </w:tcPr>
          <w:p w:rsidR="00F939D3" w:rsidRDefault="005711C9">
            <w:pPr>
              <w:pStyle w:val="TableParagraph"/>
              <w:spacing w:before="18" w:line="226" w:lineRule="exact"/>
              <w:ind w:right="102"/>
              <w:jc w:val="center"/>
              <w:rPr>
                <w:sz w:val="20"/>
              </w:rPr>
            </w:pPr>
            <w:r>
              <w:rPr>
                <w:spacing w:val="-10"/>
                <w:sz w:val="20"/>
              </w:rPr>
              <w:t>-</w:t>
            </w:r>
          </w:p>
        </w:tc>
      </w:tr>
      <w:tr w:rsidR="00F939D3">
        <w:trPr>
          <w:trHeight w:val="265"/>
        </w:trPr>
        <w:tc>
          <w:tcPr>
            <w:tcW w:w="2551" w:type="dxa"/>
          </w:tcPr>
          <w:p w:rsidR="00F939D3" w:rsidRDefault="005711C9">
            <w:pPr>
              <w:pStyle w:val="TableParagraph"/>
              <w:spacing w:before="18"/>
              <w:ind w:left="136"/>
              <w:rPr>
                <w:sz w:val="20"/>
              </w:rPr>
            </w:pPr>
            <w:r>
              <w:rPr>
                <w:sz w:val="20"/>
              </w:rPr>
              <w:t>yellow</w:t>
            </w:r>
            <w:r>
              <w:rPr>
                <w:spacing w:val="-14"/>
                <w:sz w:val="20"/>
              </w:rPr>
              <w:t xml:space="preserve"> </w:t>
            </w:r>
            <w:r>
              <w:rPr>
                <w:sz w:val="20"/>
              </w:rPr>
              <w:t>Colony</w:t>
            </w:r>
            <w:r>
              <w:rPr>
                <w:spacing w:val="-11"/>
                <w:sz w:val="20"/>
              </w:rPr>
              <w:t xml:space="preserve"> </w:t>
            </w:r>
            <w:r>
              <w:rPr>
                <w:sz w:val="20"/>
              </w:rPr>
              <w:t>on</w:t>
            </w:r>
            <w:r>
              <w:rPr>
                <w:spacing w:val="-11"/>
                <w:sz w:val="20"/>
              </w:rPr>
              <w:t xml:space="preserve"> </w:t>
            </w:r>
            <w:r>
              <w:rPr>
                <w:spacing w:val="-2"/>
                <w:sz w:val="20"/>
              </w:rPr>
              <w:t>mannitol</w:t>
            </w:r>
          </w:p>
        </w:tc>
        <w:tc>
          <w:tcPr>
            <w:tcW w:w="1426" w:type="dxa"/>
          </w:tcPr>
          <w:p w:rsidR="00F939D3" w:rsidRDefault="005711C9">
            <w:pPr>
              <w:pStyle w:val="TableParagraph"/>
              <w:spacing w:before="18"/>
              <w:ind w:left="125"/>
              <w:rPr>
                <w:sz w:val="20"/>
              </w:rPr>
            </w:pPr>
            <w:r>
              <w:rPr>
                <w:sz w:val="20"/>
              </w:rPr>
              <w:t>in</w:t>
            </w:r>
            <w:r>
              <w:rPr>
                <w:spacing w:val="-10"/>
                <w:sz w:val="20"/>
              </w:rPr>
              <w:t xml:space="preserve"> </w:t>
            </w:r>
            <w:r>
              <w:rPr>
                <w:spacing w:val="-2"/>
                <w:sz w:val="20"/>
              </w:rPr>
              <w:t>cluster</w:t>
            </w:r>
          </w:p>
        </w:tc>
        <w:tc>
          <w:tcPr>
            <w:tcW w:w="1612" w:type="dxa"/>
          </w:tcPr>
          <w:p w:rsidR="00F939D3" w:rsidRDefault="005711C9">
            <w:pPr>
              <w:pStyle w:val="TableParagraph"/>
              <w:spacing w:before="12"/>
              <w:ind w:left="117"/>
              <w:rPr>
                <w:rFonts w:ascii="Arial"/>
                <w:i/>
                <w:sz w:val="20"/>
              </w:rPr>
            </w:pPr>
            <w:r>
              <w:rPr>
                <w:rFonts w:ascii="Arial"/>
                <w:i/>
                <w:spacing w:val="-2"/>
                <w:sz w:val="20"/>
              </w:rPr>
              <w:t>aureus</w:t>
            </w:r>
          </w:p>
        </w:tc>
        <w:tc>
          <w:tcPr>
            <w:tcW w:w="813" w:type="dxa"/>
          </w:tcPr>
          <w:p w:rsidR="00F939D3" w:rsidRDefault="00F939D3">
            <w:pPr>
              <w:pStyle w:val="TableParagraph"/>
              <w:rPr>
                <w:rFonts w:ascii="Times New Roman"/>
                <w:sz w:val="18"/>
              </w:rPr>
            </w:pPr>
          </w:p>
        </w:tc>
        <w:tc>
          <w:tcPr>
            <w:tcW w:w="1038" w:type="dxa"/>
          </w:tcPr>
          <w:p w:rsidR="00F939D3" w:rsidRDefault="00F939D3">
            <w:pPr>
              <w:pStyle w:val="TableParagraph"/>
              <w:rPr>
                <w:rFonts w:ascii="Times New Roman"/>
                <w:sz w:val="18"/>
              </w:rPr>
            </w:pPr>
          </w:p>
        </w:tc>
        <w:tc>
          <w:tcPr>
            <w:tcW w:w="995" w:type="dxa"/>
          </w:tcPr>
          <w:p w:rsidR="00F939D3" w:rsidRDefault="00F939D3">
            <w:pPr>
              <w:pStyle w:val="TableParagraph"/>
              <w:rPr>
                <w:rFonts w:ascii="Times New Roman"/>
                <w:sz w:val="18"/>
              </w:rPr>
            </w:pPr>
          </w:p>
        </w:tc>
        <w:tc>
          <w:tcPr>
            <w:tcW w:w="918" w:type="dxa"/>
          </w:tcPr>
          <w:p w:rsidR="00F939D3" w:rsidRDefault="00F939D3">
            <w:pPr>
              <w:pStyle w:val="TableParagraph"/>
              <w:rPr>
                <w:rFonts w:ascii="Times New Roman"/>
                <w:sz w:val="18"/>
              </w:rPr>
            </w:pPr>
          </w:p>
        </w:tc>
        <w:tc>
          <w:tcPr>
            <w:tcW w:w="856" w:type="dxa"/>
          </w:tcPr>
          <w:p w:rsidR="00F939D3" w:rsidRDefault="00F939D3">
            <w:pPr>
              <w:pStyle w:val="TableParagraph"/>
              <w:rPr>
                <w:rFonts w:ascii="Times New Roman"/>
                <w:sz w:val="18"/>
              </w:rPr>
            </w:pPr>
          </w:p>
        </w:tc>
      </w:tr>
      <w:tr w:rsidR="00F939D3">
        <w:trPr>
          <w:trHeight w:val="282"/>
        </w:trPr>
        <w:tc>
          <w:tcPr>
            <w:tcW w:w="2551" w:type="dxa"/>
            <w:tcBorders>
              <w:bottom w:val="single" w:sz="4" w:space="0" w:color="000000"/>
            </w:tcBorders>
          </w:tcPr>
          <w:p w:rsidR="00F939D3" w:rsidRDefault="005711C9">
            <w:pPr>
              <w:pStyle w:val="TableParagraph"/>
              <w:spacing w:before="16"/>
              <w:ind w:left="136"/>
              <w:rPr>
                <w:sz w:val="20"/>
              </w:rPr>
            </w:pPr>
            <w:r>
              <w:rPr>
                <w:spacing w:val="-2"/>
                <w:sz w:val="20"/>
              </w:rPr>
              <w:t>salt.</w:t>
            </w:r>
          </w:p>
        </w:tc>
        <w:tc>
          <w:tcPr>
            <w:tcW w:w="1426" w:type="dxa"/>
            <w:tcBorders>
              <w:bottom w:val="single" w:sz="4" w:space="0" w:color="000000"/>
            </w:tcBorders>
          </w:tcPr>
          <w:p w:rsidR="00F939D3" w:rsidRDefault="00F939D3">
            <w:pPr>
              <w:pStyle w:val="TableParagraph"/>
              <w:rPr>
                <w:rFonts w:ascii="Times New Roman"/>
                <w:sz w:val="20"/>
              </w:rPr>
            </w:pPr>
          </w:p>
        </w:tc>
        <w:tc>
          <w:tcPr>
            <w:tcW w:w="1612" w:type="dxa"/>
            <w:tcBorders>
              <w:bottom w:val="single" w:sz="4" w:space="0" w:color="000000"/>
            </w:tcBorders>
          </w:tcPr>
          <w:p w:rsidR="00F939D3" w:rsidRDefault="00F939D3">
            <w:pPr>
              <w:pStyle w:val="TableParagraph"/>
              <w:rPr>
                <w:rFonts w:ascii="Times New Roman"/>
                <w:sz w:val="20"/>
              </w:rPr>
            </w:pPr>
          </w:p>
        </w:tc>
        <w:tc>
          <w:tcPr>
            <w:tcW w:w="813" w:type="dxa"/>
            <w:tcBorders>
              <w:bottom w:val="single" w:sz="4" w:space="0" w:color="000000"/>
            </w:tcBorders>
          </w:tcPr>
          <w:p w:rsidR="00F939D3" w:rsidRDefault="00F939D3">
            <w:pPr>
              <w:pStyle w:val="TableParagraph"/>
              <w:rPr>
                <w:rFonts w:ascii="Times New Roman"/>
                <w:sz w:val="20"/>
              </w:rPr>
            </w:pPr>
          </w:p>
        </w:tc>
        <w:tc>
          <w:tcPr>
            <w:tcW w:w="1038" w:type="dxa"/>
            <w:tcBorders>
              <w:bottom w:val="single" w:sz="4" w:space="0" w:color="000000"/>
            </w:tcBorders>
          </w:tcPr>
          <w:p w:rsidR="00F939D3" w:rsidRDefault="00F939D3">
            <w:pPr>
              <w:pStyle w:val="TableParagraph"/>
              <w:rPr>
                <w:rFonts w:ascii="Times New Roman"/>
                <w:sz w:val="20"/>
              </w:rPr>
            </w:pPr>
          </w:p>
        </w:tc>
        <w:tc>
          <w:tcPr>
            <w:tcW w:w="995" w:type="dxa"/>
            <w:tcBorders>
              <w:bottom w:val="single" w:sz="4" w:space="0" w:color="000000"/>
            </w:tcBorders>
          </w:tcPr>
          <w:p w:rsidR="00F939D3" w:rsidRDefault="00F939D3">
            <w:pPr>
              <w:pStyle w:val="TableParagraph"/>
              <w:rPr>
                <w:rFonts w:ascii="Times New Roman"/>
                <w:sz w:val="20"/>
              </w:rPr>
            </w:pPr>
          </w:p>
        </w:tc>
        <w:tc>
          <w:tcPr>
            <w:tcW w:w="918" w:type="dxa"/>
            <w:tcBorders>
              <w:bottom w:val="single" w:sz="4" w:space="0" w:color="000000"/>
            </w:tcBorders>
          </w:tcPr>
          <w:p w:rsidR="00F939D3" w:rsidRDefault="00F939D3">
            <w:pPr>
              <w:pStyle w:val="TableParagraph"/>
              <w:rPr>
                <w:rFonts w:ascii="Times New Roman"/>
                <w:sz w:val="20"/>
              </w:rPr>
            </w:pPr>
          </w:p>
        </w:tc>
        <w:tc>
          <w:tcPr>
            <w:tcW w:w="856" w:type="dxa"/>
            <w:tcBorders>
              <w:bottom w:val="single" w:sz="4" w:space="0" w:color="000000"/>
            </w:tcBorders>
          </w:tcPr>
          <w:p w:rsidR="00F939D3" w:rsidRDefault="00F939D3">
            <w:pPr>
              <w:pStyle w:val="TableParagraph"/>
              <w:rPr>
                <w:rFonts w:ascii="Times New Roman"/>
                <w:sz w:val="20"/>
              </w:rPr>
            </w:pPr>
          </w:p>
        </w:tc>
      </w:tr>
    </w:tbl>
    <w:p w:rsidR="00F939D3" w:rsidRDefault="005711C9">
      <w:pPr>
        <w:pStyle w:val="BodyText"/>
      </w:pPr>
      <w:r>
        <w:rPr>
          <w:rFonts w:ascii="Arial"/>
          <w:b/>
        </w:rPr>
        <w:t>Key:</w:t>
      </w:r>
      <w:r>
        <w:rPr>
          <w:rFonts w:ascii="Arial"/>
          <w:b/>
          <w:spacing w:val="-5"/>
        </w:rPr>
        <w:t xml:space="preserve"> </w:t>
      </w:r>
      <w:r>
        <w:t>+</w:t>
      </w:r>
      <w:r>
        <w:rPr>
          <w:spacing w:val="-5"/>
        </w:rPr>
        <w:t xml:space="preserve"> </w:t>
      </w:r>
      <w:r>
        <w:t>=</w:t>
      </w:r>
      <w:r>
        <w:rPr>
          <w:spacing w:val="-3"/>
        </w:rPr>
        <w:t xml:space="preserve"> </w:t>
      </w:r>
      <w:r>
        <w:t>Present,</w:t>
      </w:r>
      <w:r>
        <w:rPr>
          <w:spacing w:val="-4"/>
        </w:rPr>
        <w:t xml:space="preserve"> </w:t>
      </w:r>
      <w:r>
        <w:t>-</w:t>
      </w:r>
      <w:r>
        <w:rPr>
          <w:spacing w:val="-3"/>
        </w:rPr>
        <w:t xml:space="preserve"> </w:t>
      </w:r>
      <w:r>
        <w:t>=</w:t>
      </w:r>
      <w:r>
        <w:rPr>
          <w:spacing w:val="-2"/>
        </w:rPr>
        <w:t xml:space="preserve"> Absent</w:t>
      </w:r>
    </w:p>
    <w:p w:rsidR="00F939D3" w:rsidRDefault="00F939D3">
      <w:pPr>
        <w:pStyle w:val="BodyText"/>
        <w:sectPr w:rsidR="00F939D3">
          <w:type w:val="continuous"/>
          <w:pgSz w:w="12240" w:h="15840"/>
          <w:pgMar w:top="860" w:right="0" w:bottom="280" w:left="720" w:header="35" w:footer="854" w:gutter="0"/>
          <w:cols w:space="720"/>
        </w:sectPr>
      </w:pPr>
    </w:p>
    <w:p w:rsidR="00F939D3" w:rsidRDefault="00F939D3">
      <w:pPr>
        <w:pStyle w:val="BodyText"/>
        <w:ind w:left="0"/>
      </w:pPr>
    </w:p>
    <w:p w:rsidR="00F939D3" w:rsidRDefault="00F939D3">
      <w:pPr>
        <w:pStyle w:val="BodyText"/>
        <w:spacing w:before="2"/>
        <w:ind w:left="0"/>
      </w:pPr>
    </w:p>
    <w:p w:rsidR="00F939D3" w:rsidRDefault="00F939D3">
      <w:pPr>
        <w:pStyle w:val="BodyText"/>
        <w:sectPr w:rsidR="00F939D3">
          <w:pgSz w:w="12240" w:h="15840"/>
          <w:pgMar w:top="860" w:right="0" w:bottom="1200" w:left="720" w:header="35" w:footer="854" w:gutter="0"/>
          <w:cols w:space="720"/>
        </w:sectPr>
      </w:pPr>
    </w:p>
    <w:p w:rsidR="00F939D3" w:rsidRDefault="005711C9">
      <w:pPr>
        <w:pStyle w:val="ListParagraph"/>
        <w:numPr>
          <w:ilvl w:val="1"/>
          <w:numId w:val="1"/>
        </w:numPr>
        <w:tabs>
          <w:tab w:val="left" w:pos="1153"/>
        </w:tabs>
        <w:spacing w:line="360" w:lineRule="auto"/>
        <w:ind w:left="782" w:right="90" w:firstLine="0"/>
        <w:rPr>
          <w:b/>
          <w:i/>
        </w:rPr>
      </w:pPr>
      <w:r>
        <w:rPr>
          <w:b/>
        </w:rPr>
        <w:t>Antibacterial</w:t>
      </w:r>
      <w:r>
        <w:rPr>
          <w:b/>
          <w:spacing w:val="-16"/>
        </w:rPr>
        <w:t xml:space="preserve"> </w:t>
      </w:r>
      <w:r>
        <w:rPr>
          <w:b/>
        </w:rPr>
        <w:t>sensitivity</w:t>
      </w:r>
      <w:r>
        <w:rPr>
          <w:b/>
          <w:spacing w:val="-15"/>
        </w:rPr>
        <w:t xml:space="preserve"> </w:t>
      </w:r>
      <w:r>
        <w:rPr>
          <w:b/>
        </w:rPr>
        <w:t>of</w:t>
      </w:r>
      <w:r>
        <w:rPr>
          <w:b/>
          <w:spacing w:val="-15"/>
        </w:rPr>
        <w:t xml:space="preserve"> </w:t>
      </w:r>
      <w:r>
        <w:rPr>
          <w:b/>
        </w:rPr>
        <w:t>the</w:t>
      </w:r>
      <w:r>
        <w:rPr>
          <w:b/>
          <w:spacing w:val="-16"/>
        </w:rPr>
        <w:t xml:space="preserve"> </w:t>
      </w:r>
      <w:r>
        <w:rPr>
          <w:b/>
          <w:i/>
        </w:rPr>
        <w:t xml:space="preserve">Citrus </w:t>
      </w:r>
      <w:proofErr w:type="spellStart"/>
      <w:r>
        <w:rPr>
          <w:b/>
          <w:i/>
        </w:rPr>
        <w:t>sinensis</w:t>
      </w:r>
      <w:proofErr w:type="spellEnd"/>
      <w:r>
        <w:rPr>
          <w:b/>
          <w:i/>
        </w:rPr>
        <w:t xml:space="preserve"> </w:t>
      </w:r>
      <w:r>
        <w:rPr>
          <w:b/>
        </w:rPr>
        <w:t xml:space="preserve">Crude extract against </w:t>
      </w:r>
      <w:r>
        <w:rPr>
          <w:b/>
          <w:i/>
        </w:rPr>
        <w:t xml:space="preserve">Escherichia coli </w:t>
      </w:r>
      <w:r>
        <w:rPr>
          <w:b/>
        </w:rPr>
        <w:t xml:space="preserve">and </w:t>
      </w:r>
      <w:r>
        <w:rPr>
          <w:b/>
          <w:i/>
        </w:rPr>
        <w:t xml:space="preserve">Staphylococcus </w:t>
      </w:r>
      <w:r>
        <w:rPr>
          <w:b/>
          <w:i/>
          <w:spacing w:val="-2"/>
        </w:rPr>
        <w:t>aureus</w:t>
      </w:r>
    </w:p>
    <w:p w:rsidR="00F939D3" w:rsidRDefault="005711C9">
      <w:pPr>
        <w:pStyle w:val="BodyText"/>
        <w:spacing w:before="208" w:line="362" w:lineRule="auto"/>
        <w:jc w:val="both"/>
      </w:pPr>
      <w:r>
        <w:t xml:space="preserve">The result of the antibacterial properties of the </w:t>
      </w:r>
      <w:r>
        <w:rPr>
          <w:rFonts w:ascii="Arial"/>
          <w:i/>
        </w:rPr>
        <w:t xml:space="preserve">citrus </w:t>
      </w:r>
      <w:proofErr w:type="spellStart"/>
      <w:r>
        <w:rPr>
          <w:rFonts w:ascii="Arial"/>
          <w:i/>
        </w:rPr>
        <w:t>sinensis</w:t>
      </w:r>
      <w:proofErr w:type="spellEnd"/>
      <w:r>
        <w:rPr>
          <w:rFonts w:ascii="Arial"/>
          <w:i/>
        </w:rPr>
        <w:t xml:space="preserve"> </w:t>
      </w:r>
      <w:r>
        <w:t xml:space="preserve">crude extract against </w:t>
      </w:r>
      <w:r>
        <w:rPr>
          <w:rFonts w:ascii="Arial"/>
          <w:i/>
        </w:rPr>
        <w:t xml:space="preserve">Escherichia coli and Staphylococcus aureus </w:t>
      </w:r>
      <w:r>
        <w:t>indicated that the extract can only inhibit the growth of the organism at a concentration greater than 12.5 mg/mL, with different zones of inhibition based on</w:t>
      </w:r>
      <w:r>
        <w:rPr>
          <w:spacing w:val="37"/>
        </w:rPr>
        <w:t xml:space="preserve"> </w:t>
      </w:r>
      <w:r>
        <w:t>the</w:t>
      </w:r>
      <w:r>
        <w:rPr>
          <w:spacing w:val="37"/>
        </w:rPr>
        <w:t xml:space="preserve"> </w:t>
      </w:r>
      <w:r>
        <w:t>concentration</w:t>
      </w:r>
      <w:r>
        <w:rPr>
          <w:spacing w:val="40"/>
        </w:rPr>
        <w:t xml:space="preserve"> </w:t>
      </w:r>
      <w:r>
        <w:t>of</w:t>
      </w:r>
      <w:r>
        <w:rPr>
          <w:spacing w:val="40"/>
        </w:rPr>
        <w:t xml:space="preserve"> </w:t>
      </w:r>
      <w:r>
        <w:t>the</w:t>
      </w:r>
      <w:r>
        <w:rPr>
          <w:spacing w:val="37"/>
        </w:rPr>
        <w:t xml:space="preserve"> </w:t>
      </w:r>
      <w:r>
        <w:t>extract.</w:t>
      </w:r>
      <w:r>
        <w:rPr>
          <w:spacing w:val="38"/>
        </w:rPr>
        <w:t xml:space="preserve"> </w:t>
      </w:r>
      <w:r>
        <w:t>The</w:t>
      </w:r>
      <w:r>
        <w:rPr>
          <w:spacing w:val="37"/>
        </w:rPr>
        <w:t xml:space="preserve"> </w:t>
      </w:r>
      <w:r>
        <w:t>result</w:t>
      </w:r>
    </w:p>
    <w:p w:rsidR="00F939D3" w:rsidRDefault="005711C9">
      <w:pPr>
        <w:pStyle w:val="BodyText"/>
        <w:spacing w:before="99" w:line="362" w:lineRule="auto"/>
        <w:ind w:left="683" w:right="1433"/>
        <w:jc w:val="both"/>
      </w:pPr>
      <w:r>
        <w:br w:type="column"/>
      </w:r>
      <w:r>
        <w:t>was</w:t>
      </w:r>
      <w:r>
        <w:rPr>
          <w:spacing w:val="-1"/>
        </w:rPr>
        <w:t xml:space="preserve"> </w:t>
      </w:r>
      <w:r>
        <w:t>recorded in Table 4 and</w:t>
      </w:r>
      <w:r>
        <w:rPr>
          <w:spacing w:val="-2"/>
        </w:rPr>
        <w:t xml:space="preserve"> </w:t>
      </w:r>
      <w:r>
        <w:t xml:space="preserve">Fig. 1. Antibacterial activity of the plant extract against </w:t>
      </w:r>
      <w:r>
        <w:rPr>
          <w:rFonts w:ascii="Arial" w:hAnsi="Arial"/>
          <w:i/>
        </w:rPr>
        <w:t xml:space="preserve">Escherichia coli </w:t>
      </w:r>
      <w:r>
        <w:t xml:space="preserve">and </w:t>
      </w:r>
      <w:r>
        <w:rPr>
          <w:rFonts w:ascii="Arial" w:hAnsi="Arial"/>
          <w:i/>
        </w:rPr>
        <w:t xml:space="preserve">Staphylococcus aureus, </w:t>
      </w:r>
      <w:r>
        <w:t xml:space="preserve">expressed as zones of inhibition (mm) at different extract concentrations (100–6.25 mg/mL). The extract showed a concentration-dependent inhibitory effect against both test organisms, with higher concentrations producing larger zones of inhibition. Ciprofloxacin (10 µg) and clindamycin (10 µg) served as positive controls for </w:t>
      </w:r>
      <w:r>
        <w:rPr>
          <w:rFonts w:ascii="Arial" w:hAnsi="Arial"/>
          <w:i/>
        </w:rPr>
        <w:t>E. coli</w:t>
      </w:r>
      <w:r>
        <w:rPr>
          <w:rFonts w:ascii="Arial" w:hAnsi="Arial"/>
          <w:i/>
          <w:spacing w:val="80"/>
        </w:rPr>
        <w:t xml:space="preserve"> </w:t>
      </w:r>
      <w:r>
        <w:t xml:space="preserve">and </w:t>
      </w:r>
      <w:r>
        <w:rPr>
          <w:rFonts w:ascii="Arial" w:hAnsi="Arial"/>
          <w:i/>
        </w:rPr>
        <w:t>S. aureus</w:t>
      </w:r>
      <w:r>
        <w:t>, respectively.</w:t>
      </w:r>
    </w:p>
    <w:p w:rsidR="00F939D3" w:rsidRDefault="00F939D3">
      <w:pPr>
        <w:pStyle w:val="BodyText"/>
        <w:spacing w:line="362" w:lineRule="auto"/>
        <w:jc w:val="both"/>
        <w:sectPr w:rsidR="00F939D3">
          <w:type w:val="continuous"/>
          <w:pgSz w:w="12240" w:h="15840"/>
          <w:pgMar w:top="860" w:right="0" w:bottom="280" w:left="720" w:header="35" w:footer="854" w:gutter="0"/>
          <w:cols w:num="2" w:space="720" w:equalWidth="0">
            <w:col w:w="5038" w:space="40"/>
            <w:col w:w="6442"/>
          </w:cols>
        </w:sectPr>
      </w:pPr>
    </w:p>
    <w:p w:rsidR="00F939D3" w:rsidRDefault="00F939D3">
      <w:pPr>
        <w:pStyle w:val="BodyText"/>
        <w:ind w:left="0"/>
      </w:pPr>
    </w:p>
    <w:p w:rsidR="00F939D3" w:rsidRDefault="00F939D3">
      <w:pPr>
        <w:pStyle w:val="BodyText"/>
        <w:spacing w:before="95"/>
        <w:ind w:left="0"/>
      </w:pPr>
    </w:p>
    <w:p w:rsidR="00F939D3" w:rsidRDefault="005711C9">
      <w:pPr>
        <w:pStyle w:val="Heading3"/>
        <w:spacing w:before="1"/>
        <w:jc w:val="both"/>
      </w:pPr>
      <w:r>
        <w:t>Table</w:t>
      </w:r>
      <w:r>
        <w:rPr>
          <w:spacing w:val="-13"/>
        </w:rPr>
        <w:t xml:space="preserve"> </w:t>
      </w:r>
      <w:r>
        <w:t>4.</w:t>
      </w:r>
      <w:r>
        <w:rPr>
          <w:spacing w:val="-12"/>
        </w:rPr>
        <w:t xml:space="preserve"> </w:t>
      </w:r>
      <w:r>
        <w:t>Zone</w:t>
      </w:r>
      <w:r>
        <w:rPr>
          <w:spacing w:val="-11"/>
        </w:rPr>
        <w:t xml:space="preserve"> </w:t>
      </w:r>
      <w:r>
        <w:t>of</w:t>
      </w:r>
      <w:r>
        <w:rPr>
          <w:spacing w:val="-10"/>
        </w:rPr>
        <w:t xml:space="preserve"> </w:t>
      </w:r>
      <w:r>
        <w:t>inhibition</w:t>
      </w:r>
      <w:r>
        <w:rPr>
          <w:spacing w:val="-8"/>
        </w:rPr>
        <w:t xml:space="preserve"> </w:t>
      </w:r>
      <w:r>
        <w:t>(mm)</w:t>
      </w:r>
      <w:r>
        <w:rPr>
          <w:spacing w:val="-11"/>
        </w:rPr>
        <w:t xml:space="preserve"> </w:t>
      </w:r>
      <w:r>
        <w:t>of</w:t>
      </w:r>
      <w:r>
        <w:rPr>
          <w:spacing w:val="-5"/>
        </w:rPr>
        <w:t xml:space="preserve"> </w:t>
      </w:r>
      <w:r>
        <w:rPr>
          <w:i/>
        </w:rPr>
        <w:t>Citrus</w:t>
      </w:r>
      <w:r>
        <w:rPr>
          <w:i/>
          <w:spacing w:val="-11"/>
        </w:rPr>
        <w:t xml:space="preserve"> </w:t>
      </w:r>
      <w:proofErr w:type="spellStart"/>
      <w:r>
        <w:rPr>
          <w:i/>
        </w:rPr>
        <w:t>sinensis</w:t>
      </w:r>
      <w:proofErr w:type="spellEnd"/>
      <w:r>
        <w:rPr>
          <w:i/>
          <w:spacing w:val="-10"/>
        </w:rPr>
        <w:t xml:space="preserve"> </w:t>
      </w:r>
      <w:r>
        <w:t>crude</w:t>
      </w:r>
      <w:r>
        <w:rPr>
          <w:spacing w:val="-9"/>
        </w:rPr>
        <w:t xml:space="preserve"> </w:t>
      </w:r>
      <w:r>
        <w:t>extract</w:t>
      </w:r>
      <w:r>
        <w:rPr>
          <w:spacing w:val="-10"/>
        </w:rPr>
        <w:t xml:space="preserve"> </w:t>
      </w:r>
      <w:r>
        <w:t>against</w:t>
      </w:r>
      <w:r>
        <w:rPr>
          <w:spacing w:val="-10"/>
        </w:rPr>
        <w:t xml:space="preserve"> </w:t>
      </w:r>
      <w:r>
        <w:t>Test</w:t>
      </w:r>
      <w:r>
        <w:rPr>
          <w:spacing w:val="-9"/>
        </w:rPr>
        <w:t xml:space="preserve"> </w:t>
      </w:r>
      <w:r>
        <w:rPr>
          <w:spacing w:val="-2"/>
        </w:rPr>
        <w:t>Organisms.</w:t>
      </w:r>
    </w:p>
    <w:p w:rsidR="00F939D3" w:rsidRDefault="00F939D3">
      <w:pPr>
        <w:pStyle w:val="BodyText"/>
        <w:spacing w:before="131"/>
        <w:ind w:left="0"/>
        <w:rPr>
          <w:rFonts w:ascii="Arial"/>
          <w:b/>
        </w:rPr>
      </w:pPr>
    </w:p>
    <w:tbl>
      <w:tblPr>
        <w:tblW w:w="0" w:type="auto"/>
        <w:tblInd w:w="605" w:type="dxa"/>
        <w:tblLayout w:type="fixed"/>
        <w:tblCellMar>
          <w:left w:w="0" w:type="dxa"/>
          <w:right w:w="0" w:type="dxa"/>
        </w:tblCellMar>
        <w:tblLook w:val="01E0" w:firstRow="1" w:lastRow="1" w:firstColumn="1" w:lastColumn="1" w:noHBand="0" w:noVBand="0"/>
      </w:tblPr>
      <w:tblGrid>
        <w:gridCol w:w="1758"/>
        <w:gridCol w:w="813"/>
        <w:gridCol w:w="1001"/>
        <w:gridCol w:w="1081"/>
        <w:gridCol w:w="1172"/>
        <w:gridCol w:w="1356"/>
        <w:gridCol w:w="1664"/>
        <w:gridCol w:w="1726"/>
      </w:tblGrid>
      <w:tr w:rsidR="00F939D3">
        <w:trPr>
          <w:trHeight w:val="1034"/>
        </w:trPr>
        <w:tc>
          <w:tcPr>
            <w:tcW w:w="10571" w:type="dxa"/>
            <w:gridSpan w:val="8"/>
            <w:tcBorders>
              <w:top w:val="single" w:sz="4" w:space="0" w:color="000000"/>
              <w:bottom w:val="single" w:sz="4" w:space="0" w:color="000000"/>
            </w:tcBorders>
          </w:tcPr>
          <w:p w:rsidR="00F939D3" w:rsidRDefault="005711C9">
            <w:pPr>
              <w:pStyle w:val="TableParagraph"/>
              <w:tabs>
                <w:tab w:val="left" w:pos="2930"/>
                <w:tab w:val="left" w:pos="3674"/>
                <w:tab w:val="left" w:pos="7868"/>
              </w:tabs>
              <w:spacing w:line="227" w:lineRule="exact"/>
              <w:ind w:left="122"/>
              <w:rPr>
                <w:rFonts w:ascii="Arial"/>
                <w:b/>
                <w:sz w:val="20"/>
              </w:rPr>
            </w:pPr>
            <w:r>
              <w:rPr>
                <w:rFonts w:ascii="Arial"/>
                <w:b/>
                <w:sz w:val="20"/>
              </w:rPr>
              <w:t>Test</w:t>
            </w:r>
            <w:r>
              <w:rPr>
                <w:rFonts w:ascii="Arial"/>
                <w:b/>
                <w:spacing w:val="-11"/>
                <w:sz w:val="20"/>
              </w:rPr>
              <w:t xml:space="preserve"> </w:t>
            </w:r>
            <w:r>
              <w:rPr>
                <w:rFonts w:ascii="Arial"/>
                <w:b/>
                <w:spacing w:val="-2"/>
                <w:sz w:val="20"/>
              </w:rPr>
              <w:t>Organism</w:t>
            </w:r>
            <w:r>
              <w:rPr>
                <w:rFonts w:ascii="Arial"/>
                <w:b/>
                <w:sz w:val="20"/>
              </w:rPr>
              <w:tab/>
            </w:r>
            <w:r>
              <w:rPr>
                <w:rFonts w:ascii="Arial"/>
                <w:b/>
                <w:spacing w:val="-4"/>
                <w:sz w:val="20"/>
              </w:rPr>
              <w:t>Zone</w:t>
            </w:r>
            <w:r>
              <w:rPr>
                <w:rFonts w:ascii="Arial"/>
                <w:b/>
                <w:sz w:val="20"/>
              </w:rPr>
              <w:tab/>
            </w:r>
            <w:r>
              <w:rPr>
                <w:rFonts w:ascii="Arial"/>
                <w:b/>
                <w:spacing w:val="-5"/>
                <w:sz w:val="20"/>
              </w:rPr>
              <w:t>of</w:t>
            </w:r>
            <w:r>
              <w:rPr>
                <w:rFonts w:ascii="Arial"/>
                <w:b/>
                <w:sz w:val="20"/>
              </w:rPr>
              <w:tab/>
              <w:t>Positive</w:t>
            </w:r>
            <w:r>
              <w:rPr>
                <w:rFonts w:ascii="Arial"/>
                <w:b/>
                <w:spacing w:val="-8"/>
                <w:sz w:val="20"/>
              </w:rPr>
              <w:t xml:space="preserve"> </w:t>
            </w:r>
            <w:r>
              <w:rPr>
                <w:rFonts w:ascii="Arial"/>
                <w:b/>
                <w:spacing w:val="-2"/>
                <w:sz w:val="20"/>
              </w:rPr>
              <w:t>Control</w:t>
            </w:r>
          </w:p>
          <w:p w:rsidR="00F939D3" w:rsidRDefault="005711C9">
            <w:pPr>
              <w:pStyle w:val="TableParagraph"/>
              <w:spacing w:before="5" w:line="340" w:lineRule="atLeast"/>
              <w:ind w:left="2938" w:right="6320"/>
              <w:rPr>
                <w:rFonts w:ascii="Arial"/>
                <w:b/>
                <w:sz w:val="20"/>
              </w:rPr>
            </w:pPr>
            <w:r>
              <w:rPr>
                <w:rFonts w:ascii="Arial"/>
                <w:b/>
                <w:spacing w:val="-4"/>
                <w:sz w:val="20"/>
              </w:rPr>
              <w:t>inhibition (mm)</w:t>
            </w:r>
          </w:p>
        </w:tc>
      </w:tr>
      <w:tr w:rsidR="00F939D3">
        <w:trPr>
          <w:trHeight w:val="285"/>
        </w:trPr>
        <w:tc>
          <w:tcPr>
            <w:tcW w:w="1758" w:type="dxa"/>
            <w:tcBorders>
              <w:top w:val="single" w:sz="4" w:space="0" w:color="000000"/>
            </w:tcBorders>
          </w:tcPr>
          <w:p w:rsidR="00F939D3" w:rsidRDefault="005711C9">
            <w:pPr>
              <w:pStyle w:val="TableParagraph"/>
              <w:spacing w:line="225" w:lineRule="exact"/>
              <w:ind w:left="129"/>
              <w:rPr>
                <w:rFonts w:ascii="Arial"/>
                <w:b/>
                <w:sz w:val="20"/>
              </w:rPr>
            </w:pPr>
            <w:r>
              <w:rPr>
                <w:rFonts w:ascii="Arial"/>
                <w:b/>
                <w:spacing w:val="-2"/>
                <w:sz w:val="20"/>
              </w:rPr>
              <w:t>Concentrations</w:t>
            </w:r>
          </w:p>
        </w:tc>
        <w:tc>
          <w:tcPr>
            <w:tcW w:w="813" w:type="dxa"/>
            <w:tcBorders>
              <w:top w:val="single" w:sz="4" w:space="0" w:color="000000"/>
            </w:tcBorders>
          </w:tcPr>
          <w:p w:rsidR="00F939D3" w:rsidRDefault="005711C9">
            <w:pPr>
              <w:pStyle w:val="TableParagraph"/>
              <w:spacing w:line="224" w:lineRule="exact"/>
              <w:ind w:left="106" w:right="223"/>
              <w:jc w:val="center"/>
              <w:rPr>
                <w:sz w:val="20"/>
              </w:rPr>
            </w:pPr>
            <w:r>
              <w:rPr>
                <w:spacing w:val="-5"/>
                <w:sz w:val="20"/>
              </w:rPr>
              <w:t>100</w:t>
            </w:r>
          </w:p>
        </w:tc>
        <w:tc>
          <w:tcPr>
            <w:tcW w:w="1001" w:type="dxa"/>
            <w:tcBorders>
              <w:top w:val="single" w:sz="4" w:space="0" w:color="000000"/>
            </w:tcBorders>
          </w:tcPr>
          <w:p w:rsidR="00F939D3" w:rsidRDefault="005711C9">
            <w:pPr>
              <w:pStyle w:val="TableParagraph"/>
              <w:spacing w:line="224" w:lineRule="exact"/>
              <w:ind w:right="480"/>
              <w:jc w:val="right"/>
              <w:rPr>
                <w:sz w:val="20"/>
              </w:rPr>
            </w:pPr>
            <w:r>
              <w:rPr>
                <w:spacing w:val="-5"/>
                <w:sz w:val="20"/>
              </w:rPr>
              <w:t>50</w:t>
            </w:r>
          </w:p>
        </w:tc>
        <w:tc>
          <w:tcPr>
            <w:tcW w:w="1081" w:type="dxa"/>
            <w:tcBorders>
              <w:top w:val="single" w:sz="4" w:space="0" w:color="000000"/>
            </w:tcBorders>
          </w:tcPr>
          <w:p w:rsidR="00F939D3" w:rsidRDefault="005711C9">
            <w:pPr>
              <w:pStyle w:val="TableParagraph"/>
              <w:spacing w:line="224" w:lineRule="exact"/>
              <w:ind w:right="23"/>
              <w:jc w:val="center"/>
              <w:rPr>
                <w:sz w:val="20"/>
              </w:rPr>
            </w:pPr>
            <w:r>
              <w:rPr>
                <w:spacing w:val="-5"/>
                <w:sz w:val="20"/>
              </w:rPr>
              <w:t>25</w:t>
            </w:r>
          </w:p>
        </w:tc>
        <w:tc>
          <w:tcPr>
            <w:tcW w:w="1172" w:type="dxa"/>
            <w:tcBorders>
              <w:top w:val="single" w:sz="4" w:space="0" w:color="000000"/>
            </w:tcBorders>
          </w:tcPr>
          <w:p w:rsidR="00F939D3" w:rsidRDefault="005711C9">
            <w:pPr>
              <w:pStyle w:val="TableParagraph"/>
              <w:spacing w:line="224" w:lineRule="exact"/>
              <w:ind w:right="108"/>
              <w:jc w:val="center"/>
              <w:rPr>
                <w:sz w:val="20"/>
              </w:rPr>
            </w:pPr>
            <w:r>
              <w:rPr>
                <w:spacing w:val="-4"/>
                <w:sz w:val="20"/>
              </w:rPr>
              <w:t>12.5</w:t>
            </w:r>
          </w:p>
        </w:tc>
        <w:tc>
          <w:tcPr>
            <w:tcW w:w="1356" w:type="dxa"/>
            <w:tcBorders>
              <w:top w:val="single" w:sz="4" w:space="0" w:color="000000"/>
            </w:tcBorders>
          </w:tcPr>
          <w:p w:rsidR="00F939D3" w:rsidRDefault="005711C9">
            <w:pPr>
              <w:pStyle w:val="TableParagraph"/>
              <w:spacing w:line="224" w:lineRule="exact"/>
              <w:ind w:left="454"/>
              <w:rPr>
                <w:sz w:val="20"/>
              </w:rPr>
            </w:pPr>
            <w:r>
              <w:rPr>
                <w:spacing w:val="-4"/>
                <w:sz w:val="20"/>
              </w:rPr>
              <w:t>6.25</w:t>
            </w:r>
          </w:p>
        </w:tc>
        <w:tc>
          <w:tcPr>
            <w:tcW w:w="1664" w:type="dxa"/>
            <w:tcBorders>
              <w:top w:val="single" w:sz="4" w:space="0" w:color="000000"/>
            </w:tcBorders>
          </w:tcPr>
          <w:p w:rsidR="00F939D3" w:rsidRDefault="005711C9">
            <w:pPr>
              <w:pStyle w:val="TableParagraph"/>
              <w:spacing w:line="224" w:lineRule="exact"/>
              <w:ind w:left="526"/>
              <w:rPr>
                <w:sz w:val="20"/>
              </w:rPr>
            </w:pPr>
            <w:r>
              <w:rPr>
                <w:sz w:val="20"/>
              </w:rPr>
              <w:t>CIP10</w:t>
            </w:r>
            <w:r>
              <w:rPr>
                <w:spacing w:val="-12"/>
                <w:sz w:val="20"/>
              </w:rPr>
              <w:t xml:space="preserve"> </w:t>
            </w:r>
            <w:r>
              <w:rPr>
                <w:spacing w:val="-5"/>
                <w:sz w:val="20"/>
              </w:rPr>
              <w:t>µg</w:t>
            </w:r>
          </w:p>
        </w:tc>
        <w:tc>
          <w:tcPr>
            <w:tcW w:w="1726" w:type="dxa"/>
            <w:tcBorders>
              <w:top w:val="single" w:sz="4" w:space="0" w:color="000000"/>
            </w:tcBorders>
          </w:tcPr>
          <w:p w:rsidR="00F939D3" w:rsidRDefault="005711C9">
            <w:pPr>
              <w:pStyle w:val="TableParagraph"/>
              <w:spacing w:line="224" w:lineRule="exact"/>
              <w:ind w:left="317"/>
              <w:rPr>
                <w:sz w:val="20"/>
              </w:rPr>
            </w:pPr>
            <w:r>
              <w:rPr>
                <w:sz w:val="20"/>
              </w:rPr>
              <w:t>DA10</w:t>
            </w:r>
            <w:r>
              <w:rPr>
                <w:spacing w:val="-14"/>
                <w:sz w:val="20"/>
              </w:rPr>
              <w:t xml:space="preserve"> </w:t>
            </w:r>
            <w:r>
              <w:rPr>
                <w:spacing w:val="-5"/>
                <w:sz w:val="20"/>
              </w:rPr>
              <w:t>µg</w:t>
            </w:r>
          </w:p>
        </w:tc>
      </w:tr>
      <w:tr w:rsidR="00F939D3">
        <w:trPr>
          <w:trHeight w:val="345"/>
        </w:trPr>
        <w:tc>
          <w:tcPr>
            <w:tcW w:w="1758" w:type="dxa"/>
          </w:tcPr>
          <w:p w:rsidR="00F939D3" w:rsidRDefault="005711C9">
            <w:pPr>
              <w:pStyle w:val="TableParagraph"/>
              <w:spacing w:before="54"/>
              <w:ind w:left="129"/>
              <w:rPr>
                <w:rFonts w:ascii="Arial"/>
                <w:b/>
                <w:sz w:val="20"/>
              </w:rPr>
            </w:pPr>
            <w:r>
              <w:rPr>
                <w:rFonts w:ascii="Arial"/>
                <w:b/>
                <w:spacing w:val="-2"/>
                <w:sz w:val="20"/>
              </w:rPr>
              <w:t>(Mg/mL)</w:t>
            </w:r>
          </w:p>
        </w:tc>
        <w:tc>
          <w:tcPr>
            <w:tcW w:w="813" w:type="dxa"/>
          </w:tcPr>
          <w:p w:rsidR="00F939D3" w:rsidRDefault="00F939D3">
            <w:pPr>
              <w:pStyle w:val="TableParagraph"/>
              <w:rPr>
                <w:rFonts w:ascii="Times New Roman"/>
                <w:sz w:val="20"/>
              </w:rPr>
            </w:pPr>
          </w:p>
        </w:tc>
        <w:tc>
          <w:tcPr>
            <w:tcW w:w="1001" w:type="dxa"/>
          </w:tcPr>
          <w:p w:rsidR="00F939D3" w:rsidRDefault="00F939D3">
            <w:pPr>
              <w:pStyle w:val="TableParagraph"/>
              <w:rPr>
                <w:rFonts w:ascii="Times New Roman"/>
                <w:sz w:val="20"/>
              </w:rPr>
            </w:pPr>
          </w:p>
        </w:tc>
        <w:tc>
          <w:tcPr>
            <w:tcW w:w="1081" w:type="dxa"/>
          </w:tcPr>
          <w:p w:rsidR="00F939D3" w:rsidRDefault="00F939D3">
            <w:pPr>
              <w:pStyle w:val="TableParagraph"/>
              <w:rPr>
                <w:rFonts w:ascii="Times New Roman"/>
                <w:sz w:val="20"/>
              </w:rPr>
            </w:pPr>
          </w:p>
        </w:tc>
        <w:tc>
          <w:tcPr>
            <w:tcW w:w="1172" w:type="dxa"/>
          </w:tcPr>
          <w:p w:rsidR="00F939D3" w:rsidRDefault="00F939D3">
            <w:pPr>
              <w:pStyle w:val="TableParagraph"/>
              <w:rPr>
                <w:rFonts w:ascii="Times New Roman"/>
                <w:sz w:val="20"/>
              </w:rPr>
            </w:pPr>
          </w:p>
        </w:tc>
        <w:tc>
          <w:tcPr>
            <w:tcW w:w="1356" w:type="dxa"/>
          </w:tcPr>
          <w:p w:rsidR="00F939D3" w:rsidRDefault="00F939D3">
            <w:pPr>
              <w:pStyle w:val="TableParagraph"/>
              <w:rPr>
                <w:rFonts w:ascii="Times New Roman"/>
                <w:sz w:val="20"/>
              </w:rPr>
            </w:pPr>
          </w:p>
        </w:tc>
        <w:tc>
          <w:tcPr>
            <w:tcW w:w="1664" w:type="dxa"/>
          </w:tcPr>
          <w:p w:rsidR="00F939D3" w:rsidRDefault="00F939D3">
            <w:pPr>
              <w:pStyle w:val="TableParagraph"/>
              <w:rPr>
                <w:rFonts w:ascii="Times New Roman"/>
                <w:sz w:val="20"/>
              </w:rPr>
            </w:pPr>
          </w:p>
        </w:tc>
        <w:tc>
          <w:tcPr>
            <w:tcW w:w="1726" w:type="dxa"/>
          </w:tcPr>
          <w:p w:rsidR="00F939D3" w:rsidRDefault="00F939D3">
            <w:pPr>
              <w:pStyle w:val="TableParagraph"/>
              <w:rPr>
                <w:rFonts w:ascii="Times New Roman"/>
                <w:sz w:val="20"/>
              </w:rPr>
            </w:pPr>
          </w:p>
        </w:tc>
      </w:tr>
      <w:tr w:rsidR="00F939D3">
        <w:trPr>
          <w:trHeight w:val="352"/>
        </w:trPr>
        <w:tc>
          <w:tcPr>
            <w:tcW w:w="1758" w:type="dxa"/>
          </w:tcPr>
          <w:p w:rsidR="00F939D3" w:rsidRDefault="005711C9">
            <w:pPr>
              <w:pStyle w:val="TableParagraph"/>
              <w:spacing w:before="54"/>
              <w:ind w:left="129"/>
              <w:rPr>
                <w:rFonts w:ascii="Arial"/>
                <w:i/>
                <w:sz w:val="20"/>
              </w:rPr>
            </w:pPr>
            <w:r>
              <w:rPr>
                <w:rFonts w:ascii="Arial"/>
                <w:i/>
                <w:spacing w:val="-2"/>
                <w:sz w:val="20"/>
              </w:rPr>
              <w:t>Escherichia</w:t>
            </w:r>
            <w:r>
              <w:rPr>
                <w:rFonts w:ascii="Arial"/>
                <w:i/>
                <w:spacing w:val="-7"/>
                <w:sz w:val="20"/>
              </w:rPr>
              <w:t xml:space="preserve"> </w:t>
            </w:r>
            <w:r>
              <w:rPr>
                <w:rFonts w:ascii="Arial"/>
                <w:i/>
                <w:spacing w:val="-4"/>
                <w:sz w:val="20"/>
              </w:rPr>
              <w:t>coli</w:t>
            </w:r>
          </w:p>
        </w:tc>
        <w:tc>
          <w:tcPr>
            <w:tcW w:w="813" w:type="dxa"/>
          </w:tcPr>
          <w:p w:rsidR="00F939D3" w:rsidRDefault="005711C9">
            <w:pPr>
              <w:pStyle w:val="TableParagraph"/>
              <w:spacing w:before="60"/>
              <w:ind w:right="223"/>
              <w:jc w:val="center"/>
              <w:rPr>
                <w:sz w:val="20"/>
              </w:rPr>
            </w:pPr>
            <w:r>
              <w:rPr>
                <w:spacing w:val="-5"/>
                <w:sz w:val="20"/>
              </w:rPr>
              <w:t>22</w:t>
            </w:r>
          </w:p>
        </w:tc>
        <w:tc>
          <w:tcPr>
            <w:tcW w:w="1001" w:type="dxa"/>
          </w:tcPr>
          <w:p w:rsidR="00F939D3" w:rsidRDefault="005711C9">
            <w:pPr>
              <w:pStyle w:val="TableParagraph"/>
              <w:spacing w:before="60"/>
              <w:ind w:right="420"/>
              <w:jc w:val="right"/>
              <w:rPr>
                <w:sz w:val="20"/>
              </w:rPr>
            </w:pPr>
            <w:r>
              <w:rPr>
                <w:spacing w:val="-5"/>
                <w:sz w:val="20"/>
              </w:rPr>
              <w:t>17</w:t>
            </w:r>
          </w:p>
        </w:tc>
        <w:tc>
          <w:tcPr>
            <w:tcW w:w="1081" w:type="dxa"/>
          </w:tcPr>
          <w:p w:rsidR="00F939D3" w:rsidRDefault="005711C9">
            <w:pPr>
              <w:pStyle w:val="TableParagraph"/>
              <w:spacing w:before="60"/>
              <w:ind w:right="340"/>
              <w:jc w:val="right"/>
              <w:rPr>
                <w:sz w:val="20"/>
              </w:rPr>
            </w:pPr>
            <w:r>
              <w:rPr>
                <w:spacing w:val="-5"/>
                <w:sz w:val="20"/>
              </w:rPr>
              <w:t>13</w:t>
            </w:r>
          </w:p>
        </w:tc>
        <w:tc>
          <w:tcPr>
            <w:tcW w:w="1172" w:type="dxa"/>
          </w:tcPr>
          <w:p w:rsidR="00F939D3" w:rsidRDefault="005711C9">
            <w:pPr>
              <w:pStyle w:val="TableParagraph"/>
              <w:spacing w:before="60"/>
              <w:ind w:left="12" w:right="108"/>
              <w:jc w:val="center"/>
              <w:rPr>
                <w:sz w:val="20"/>
              </w:rPr>
            </w:pPr>
            <w:r>
              <w:rPr>
                <w:spacing w:val="-10"/>
                <w:sz w:val="20"/>
              </w:rPr>
              <w:t>9</w:t>
            </w:r>
          </w:p>
        </w:tc>
        <w:tc>
          <w:tcPr>
            <w:tcW w:w="1356" w:type="dxa"/>
          </w:tcPr>
          <w:p w:rsidR="00F939D3" w:rsidRDefault="005711C9">
            <w:pPr>
              <w:pStyle w:val="TableParagraph"/>
              <w:spacing w:before="60"/>
              <w:ind w:left="454"/>
              <w:rPr>
                <w:sz w:val="20"/>
              </w:rPr>
            </w:pPr>
            <w:r>
              <w:rPr>
                <w:spacing w:val="-10"/>
                <w:sz w:val="20"/>
              </w:rPr>
              <w:t>6</w:t>
            </w:r>
          </w:p>
        </w:tc>
        <w:tc>
          <w:tcPr>
            <w:tcW w:w="1664" w:type="dxa"/>
          </w:tcPr>
          <w:p w:rsidR="00F939D3" w:rsidRDefault="005711C9">
            <w:pPr>
              <w:pStyle w:val="TableParagraph"/>
              <w:spacing w:before="60"/>
              <w:ind w:left="526"/>
              <w:rPr>
                <w:sz w:val="20"/>
              </w:rPr>
            </w:pPr>
            <w:r>
              <w:rPr>
                <w:spacing w:val="-5"/>
                <w:sz w:val="20"/>
              </w:rPr>
              <w:t>30</w:t>
            </w:r>
          </w:p>
        </w:tc>
        <w:tc>
          <w:tcPr>
            <w:tcW w:w="1726" w:type="dxa"/>
          </w:tcPr>
          <w:p w:rsidR="00F939D3" w:rsidRDefault="005711C9">
            <w:pPr>
              <w:pStyle w:val="TableParagraph"/>
              <w:spacing w:before="59"/>
              <w:ind w:left="406"/>
              <w:rPr>
                <w:rFonts w:ascii="Cambria Math" w:hAnsi="Cambria Math"/>
                <w:sz w:val="20"/>
              </w:rPr>
            </w:pPr>
            <w:r>
              <w:rPr>
                <w:rFonts w:ascii="Cambria Math" w:hAnsi="Cambria Math"/>
                <w:spacing w:val="-10"/>
                <w:sz w:val="20"/>
              </w:rPr>
              <w:t>−</w:t>
            </w:r>
          </w:p>
        </w:tc>
      </w:tr>
      <w:tr w:rsidR="00F939D3">
        <w:trPr>
          <w:trHeight w:val="347"/>
        </w:trPr>
        <w:tc>
          <w:tcPr>
            <w:tcW w:w="1758" w:type="dxa"/>
          </w:tcPr>
          <w:p w:rsidR="00F939D3" w:rsidRDefault="005711C9">
            <w:pPr>
              <w:pStyle w:val="TableParagraph"/>
              <w:spacing w:before="52"/>
              <w:ind w:left="129"/>
              <w:rPr>
                <w:rFonts w:ascii="Arial"/>
                <w:i/>
                <w:sz w:val="20"/>
              </w:rPr>
            </w:pPr>
            <w:r>
              <w:rPr>
                <w:rFonts w:ascii="Arial"/>
                <w:i/>
                <w:spacing w:val="-2"/>
                <w:sz w:val="20"/>
              </w:rPr>
              <w:t>Staphylococcus</w:t>
            </w:r>
          </w:p>
        </w:tc>
        <w:tc>
          <w:tcPr>
            <w:tcW w:w="813" w:type="dxa"/>
          </w:tcPr>
          <w:p w:rsidR="00F939D3" w:rsidRDefault="005711C9">
            <w:pPr>
              <w:pStyle w:val="TableParagraph"/>
              <w:spacing w:before="57"/>
              <w:ind w:right="223"/>
              <w:jc w:val="center"/>
              <w:rPr>
                <w:sz w:val="20"/>
              </w:rPr>
            </w:pPr>
            <w:r>
              <w:rPr>
                <w:spacing w:val="-5"/>
                <w:sz w:val="20"/>
              </w:rPr>
              <w:t>16</w:t>
            </w:r>
          </w:p>
        </w:tc>
        <w:tc>
          <w:tcPr>
            <w:tcW w:w="1001" w:type="dxa"/>
          </w:tcPr>
          <w:p w:rsidR="00F939D3" w:rsidRDefault="005711C9">
            <w:pPr>
              <w:pStyle w:val="TableParagraph"/>
              <w:spacing w:before="57"/>
              <w:ind w:right="420"/>
              <w:jc w:val="right"/>
              <w:rPr>
                <w:sz w:val="20"/>
              </w:rPr>
            </w:pPr>
            <w:r>
              <w:rPr>
                <w:spacing w:val="-5"/>
                <w:sz w:val="20"/>
              </w:rPr>
              <w:t>14</w:t>
            </w:r>
          </w:p>
        </w:tc>
        <w:tc>
          <w:tcPr>
            <w:tcW w:w="1081" w:type="dxa"/>
          </w:tcPr>
          <w:p w:rsidR="00F939D3" w:rsidRDefault="005711C9">
            <w:pPr>
              <w:pStyle w:val="TableParagraph"/>
              <w:spacing w:before="57"/>
              <w:ind w:right="340"/>
              <w:jc w:val="right"/>
              <w:rPr>
                <w:sz w:val="20"/>
              </w:rPr>
            </w:pPr>
            <w:r>
              <w:rPr>
                <w:spacing w:val="-5"/>
                <w:sz w:val="20"/>
              </w:rPr>
              <w:t>10</w:t>
            </w:r>
          </w:p>
        </w:tc>
        <w:tc>
          <w:tcPr>
            <w:tcW w:w="1172" w:type="dxa"/>
          </w:tcPr>
          <w:p w:rsidR="00F939D3" w:rsidRDefault="005711C9">
            <w:pPr>
              <w:pStyle w:val="TableParagraph"/>
              <w:spacing w:before="57"/>
              <w:ind w:left="12" w:right="108"/>
              <w:jc w:val="center"/>
              <w:rPr>
                <w:sz w:val="20"/>
              </w:rPr>
            </w:pPr>
            <w:r>
              <w:rPr>
                <w:spacing w:val="-10"/>
                <w:sz w:val="20"/>
              </w:rPr>
              <w:t>7</w:t>
            </w:r>
          </w:p>
        </w:tc>
        <w:tc>
          <w:tcPr>
            <w:tcW w:w="1356" w:type="dxa"/>
          </w:tcPr>
          <w:p w:rsidR="00F939D3" w:rsidRDefault="005711C9">
            <w:pPr>
              <w:pStyle w:val="TableParagraph"/>
              <w:spacing w:before="57"/>
              <w:ind w:left="454"/>
              <w:rPr>
                <w:sz w:val="20"/>
              </w:rPr>
            </w:pPr>
            <w:r>
              <w:rPr>
                <w:spacing w:val="-10"/>
                <w:sz w:val="20"/>
              </w:rPr>
              <w:t>6</w:t>
            </w:r>
          </w:p>
        </w:tc>
        <w:tc>
          <w:tcPr>
            <w:tcW w:w="1664" w:type="dxa"/>
          </w:tcPr>
          <w:p w:rsidR="00F939D3" w:rsidRDefault="005711C9">
            <w:pPr>
              <w:pStyle w:val="TableParagraph"/>
              <w:spacing w:before="56"/>
              <w:ind w:right="94"/>
              <w:jc w:val="center"/>
              <w:rPr>
                <w:rFonts w:ascii="Cambria Math" w:hAnsi="Cambria Math"/>
                <w:sz w:val="20"/>
              </w:rPr>
            </w:pPr>
            <w:r>
              <w:rPr>
                <w:rFonts w:ascii="Cambria Math" w:hAnsi="Cambria Math"/>
                <w:spacing w:val="-10"/>
                <w:sz w:val="20"/>
              </w:rPr>
              <w:t>−</w:t>
            </w:r>
          </w:p>
        </w:tc>
        <w:tc>
          <w:tcPr>
            <w:tcW w:w="1726" w:type="dxa"/>
          </w:tcPr>
          <w:p w:rsidR="00F939D3" w:rsidRDefault="005711C9">
            <w:pPr>
              <w:pStyle w:val="TableParagraph"/>
              <w:spacing w:before="57"/>
              <w:ind w:left="317"/>
              <w:rPr>
                <w:sz w:val="20"/>
              </w:rPr>
            </w:pPr>
            <w:r>
              <w:rPr>
                <w:spacing w:val="-5"/>
                <w:sz w:val="20"/>
              </w:rPr>
              <w:t>23</w:t>
            </w:r>
          </w:p>
        </w:tc>
      </w:tr>
      <w:tr w:rsidR="00F939D3">
        <w:trPr>
          <w:trHeight w:val="397"/>
        </w:trPr>
        <w:tc>
          <w:tcPr>
            <w:tcW w:w="1758" w:type="dxa"/>
            <w:tcBorders>
              <w:bottom w:val="single" w:sz="4" w:space="0" w:color="000000"/>
            </w:tcBorders>
          </w:tcPr>
          <w:p w:rsidR="00F939D3" w:rsidRDefault="005711C9">
            <w:pPr>
              <w:pStyle w:val="TableParagraph"/>
              <w:spacing w:before="49"/>
              <w:ind w:left="129"/>
              <w:rPr>
                <w:rFonts w:ascii="Arial"/>
                <w:i/>
                <w:sz w:val="20"/>
              </w:rPr>
            </w:pPr>
            <w:r>
              <w:rPr>
                <w:rFonts w:ascii="Arial"/>
                <w:i/>
                <w:spacing w:val="-2"/>
                <w:sz w:val="20"/>
              </w:rPr>
              <w:t>aureus</w:t>
            </w:r>
          </w:p>
        </w:tc>
        <w:tc>
          <w:tcPr>
            <w:tcW w:w="813" w:type="dxa"/>
            <w:tcBorders>
              <w:bottom w:val="single" w:sz="4" w:space="0" w:color="000000"/>
            </w:tcBorders>
          </w:tcPr>
          <w:p w:rsidR="00F939D3" w:rsidRDefault="00F939D3">
            <w:pPr>
              <w:pStyle w:val="TableParagraph"/>
              <w:rPr>
                <w:rFonts w:ascii="Times New Roman"/>
                <w:sz w:val="20"/>
              </w:rPr>
            </w:pPr>
          </w:p>
        </w:tc>
        <w:tc>
          <w:tcPr>
            <w:tcW w:w="1001" w:type="dxa"/>
            <w:tcBorders>
              <w:bottom w:val="single" w:sz="4" w:space="0" w:color="000000"/>
            </w:tcBorders>
          </w:tcPr>
          <w:p w:rsidR="00F939D3" w:rsidRDefault="00F939D3">
            <w:pPr>
              <w:pStyle w:val="TableParagraph"/>
              <w:rPr>
                <w:rFonts w:ascii="Times New Roman"/>
                <w:sz w:val="20"/>
              </w:rPr>
            </w:pPr>
          </w:p>
        </w:tc>
        <w:tc>
          <w:tcPr>
            <w:tcW w:w="1081" w:type="dxa"/>
            <w:tcBorders>
              <w:bottom w:val="single" w:sz="4" w:space="0" w:color="000000"/>
            </w:tcBorders>
          </w:tcPr>
          <w:p w:rsidR="00F939D3" w:rsidRDefault="00F939D3">
            <w:pPr>
              <w:pStyle w:val="TableParagraph"/>
              <w:rPr>
                <w:rFonts w:ascii="Times New Roman"/>
                <w:sz w:val="20"/>
              </w:rPr>
            </w:pPr>
          </w:p>
        </w:tc>
        <w:tc>
          <w:tcPr>
            <w:tcW w:w="1172" w:type="dxa"/>
            <w:tcBorders>
              <w:bottom w:val="single" w:sz="4" w:space="0" w:color="000000"/>
            </w:tcBorders>
          </w:tcPr>
          <w:p w:rsidR="00F939D3" w:rsidRDefault="00F939D3">
            <w:pPr>
              <w:pStyle w:val="TableParagraph"/>
              <w:rPr>
                <w:rFonts w:ascii="Times New Roman"/>
                <w:sz w:val="20"/>
              </w:rPr>
            </w:pPr>
          </w:p>
        </w:tc>
        <w:tc>
          <w:tcPr>
            <w:tcW w:w="1356" w:type="dxa"/>
            <w:tcBorders>
              <w:bottom w:val="single" w:sz="4" w:space="0" w:color="000000"/>
            </w:tcBorders>
          </w:tcPr>
          <w:p w:rsidR="00F939D3" w:rsidRDefault="00F939D3">
            <w:pPr>
              <w:pStyle w:val="TableParagraph"/>
              <w:rPr>
                <w:rFonts w:ascii="Times New Roman"/>
                <w:sz w:val="20"/>
              </w:rPr>
            </w:pPr>
          </w:p>
        </w:tc>
        <w:tc>
          <w:tcPr>
            <w:tcW w:w="1664" w:type="dxa"/>
            <w:tcBorders>
              <w:bottom w:val="single" w:sz="4" w:space="0" w:color="000000"/>
            </w:tcBorders>
          </w:tcPr>
          <w:p w:rsidR="00F939D3" w:rsidRDefault="00F939D3">
            <w:pPr>
              <w:pStyle w:val="TableParagraph"/>
              <w:rPr>
                <w:rFonts w:ascii="Times New Roman"/>
                <w:sz w:val="20"/>
              </w:rPr>
            </w:pPr>
          </w:p>
        </w:tc>
        <w:tc>
          <w:tcPr>
            <w:tcW w:w="1726" w:type="dxa"/>
            <w:tcBorders>
              <w:bottom w:val="single" w:sz="4" w:space="0" w:color="000000"/>
            </w:tcBorders>
          </w:tcPr>
          <w:p w:rsidR="00F939D3" w:rsidRDefault="00F939D3">
            <w:pPr>
              <w:pStyle w:val="TableParagraph"/>
              <w:rPr>
                <w:rFonts w:ascii="Times New Roman"/>
                <w:sz w:val="20"/>
              </w:rPr>
            </w:pPr>
          </w:p>
        </w:tc>
      </w:tr>
    </w:tbl>
    <w:p w:rsidR="00F939D3" w:rsidRDefault="005711C9">
      <w:pPr>
        <w:pStyle w:val="BodyText"/>
        <w:spacing w:before="1" w:line="367" w:lineRule="auto"/>
        <w:ind w:right="1448"/>
        <w:jc w:val="both"/>
      </w:pPr>
      <w:r>
        <w:rPr>
          <w:rFonts w:ascii="Arial" w:hAnsi="Arial"/>
          <w:b/>
        </w:rPr>
        <w:t xml:space="preserve">Key: </w:t>
      </w:r>
      <w:r>
        <w:t>+</w:t>
      </w:r>
      <w:proofErr w:type="spellStart"/>
      <w:r>
        <w:t>ve</w:t>
      </w:r>
      <w:proofErr w:type="spellEnd"/>
      <w:r>
        <w:t xml:space="preserve"> = positive control, (mm) = millimeter, CIP = ciprofloxacin, (10µg/disc) DA = clindamycin, (10µg/disc) -</w:t>
      </w:r>
      <w:proofErr w:type="spellStart"/>
      <w:r>
        <w:t>ve</w:t>
      </w:r>
      <w:proofErr w:type="spellEnd"/>
      <w:r>
        <w:t xml:space="preserve"> = Negative control, (mm), (mg/mL) = milligram per milliliter, Note: 6.00 mm = 0 or </w:t>
      </w:r>
      <w:proofErr w:type="spellStart"/>
      <w:r>
        <w:t>Nill</w:t>
      </w:r>
      <w:proofErr w:type="spellEnd"/>
      <w:r>
        <w:t>,</w:t>
      </w:r>
      <w:r>
        <w:rPr>
          <w:spacing w:val="40"/>
        </w:rPr>
        <w:t xml:space="preserve"> </w:t>
      </w:r>
      <w:r>
        <w:t>zone of the well.</w:t>
      </w:r>
    </w:p>
    <w:p w:rsidR="00F939D3" w:rsidRDefault="00F939D3">
      <w:pPr>
        <w:pStyle w:val="BodyText"/>
        <w:spacing w:line="367" w:lineRule="auto"/>
        <w:jc w:val="both"/>
        <w:sectPr w:rsidR="00F939D3">
          <w:type w:val="continuous"/>
          <w:pgSz w:w="12240" w:h="15840"/>
          <w:pgMar w:top="860" w:right="0" w:bottom="280" w:left="720" w:header="35" w:footer="854" w:gutter="0"/>
          <w:cols w:space="720"/>
        </w:sectPr>
      </w:pPr>
    </w:p>
    <w:p w:rsidR="00F939D3" w:rsidRDefault="00F939D3">
      <w:pPr>
        <w:pStyle w:val="BodyText"/>
        <w:spacing w:before="8"/>
        <w:ind w:left="0"/>
        <w:rPr>
          <w:sz w:val="7"/>
        </w:rPr>
      </w:pPr>
    </w:p>
    <w:p w:rsidR="00F939D3" w:rsidRDefault="005711C9">
      <w:pPr>
        <w:pStyle w:val="BodyText"/>
        <w:ind w:left="1119"/>
      </w:pPr>
      <w:r>
        <w:rPr>
          <w:noProof/>
        </w:rPr>
        <w:drawing>
          <wp:inline distT="0" distB="0" distL="0" distR="0">
            <wp:extent cx="5609636" cy="4096512"/>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5609636" cy="4096512"/>
                    </a:xfrm>
                    <a:prstGeom prst="rect">
                      <a:avLst/>
                    </a:prstGeom>
                  </pic:spPr>
                </pic:pic>
              </a:graphicData>
            </a:graphic>
          </wp:inline>
        </w:drawing>
      </w:r>
    </w:p>
    <w:p w:rsidR="00F939D3" w:rsidRDefault="00F939D3">
      <w:pPr>
        <w:pStyle w:val="BodyText"/>
        <w:ind w:left="0"/>
      </w:pPr>
    </w:p>
    <w:p w:rsidR="00F939D3" w:rsidRDefault="00F939D3">
      <w:pPr>
        <w:pStyle w:val="BodyText"/>
        <w:ind w:left="0"/>
      </w:pPr>
    </w:p>
    <w:p w:rsidR="00F939D3" w:rsidRDefault="00F939D3">
      <w:pPr>
        <w:pStyle w:val="BodyText"/>
        <w:spacing w:before="84"/>
        <w:ind w:left="0"/>
      </w:pPr>
    </w:p>
    <w:p w:rsidR="00F939D3" w:rsidRDefault="005711C9">
      <w:pPr>
        <w:ind w:left="720"/>
        <w:rPr>
          <w:rFonts w:ascii="Arial"/>
          <w:b/>
          <w:sz w:val="20"/>
        </w:rPr>
      </w:pPr>
      <w:r>
        <w:rPr>
          <w:rFonts w:ascii="Arial"/>
          <w:b/>
          <w:sz w:val="20"/>
        </w:rPr>
        <w:t>Figure</w:t>
      </w:r>
      <w:r>
        <w:rPr>
          <w:rFonts w:ascii="Arial"/>
          <w:b/>
          <w:spacing w:val="-13"/>
          <w:sz w:val="20"/>
        </w:rPr>
        <w:t xml:space="preserve"> </w:t>
      </w:r>
      <w:r>
        <w:rPr>
          <w:rFonts w:ascii="Arial"/>
          <w:b/>
          <w:sz w:val="20"/>
        </w:rPr>
        <w:t>1:</w:t>
      </w:r>
      <w:r>
        <w:rPr>
          <w:rFonts w:ascii="Arial"/>
          <w:b/>
          <w:spacing w:val="-12"/>
          <w:sz w:val="20"/>
        </w:rPr>
        <w:t xml:space="preserve"> </w:t>
      </w:r>
      <w:r>
        <w:rPr>
          <w:rFonts w:ascii="Arial"/>
          <w:b/>
          <w:sz w:val="20"/>
        </w:rPr>
        <w:t>Zones</w:t>
      </w:r>
      <w:r>
        <w:rPr>
          <w:rFonts w:ascii="Arial"/>
          <w:b/>
          <w:spacing w:val="-10"/>
          <w:sz w:val="20"/>
        </w:rPr>
        <w:t xml:space="preserve"> </w:t>
      </w:r>
      <w:r>
        <w:rPr>
          <w:rFonts w:ascii="Arial"/>
          <w:b/>
          <w:sz w:val="20"/>
        </w:rPr>
        <w:t>of</w:t>
      </w:r>
      <w:r>
        <w:rPr>
          <w:rFonts w:ascii="Arial"/>
          <w:b/>
          <w:spacing w:val="-10"/>
          <w:sz w:val="20"/>
        </w:rPr>
        <w:t xml:space="preserve"> </w:t>
      </w:r>
      <w:r>
        <w:rPr>
          <w:rFonts w:ascii="Arial"/>
          <w:b/>
          <w:sz w:val="20"/>
        </w:rPr>
        <w:t>inhibitions</w:t>
      </w:r>
      <w:r>
        <w:rPr>
          <w:rFonts w:ascii="Arial"/>
          <w:b/>
          <w:spacing w:val="-11"/>
          <w:sz w:val="20"/>
        </w:rPr>
        <w:t xml:space="preserve"> </w:t>
      </w:r>
      <w:r>
        <w:rPr>
          <w:rFonts w:ascii="Arial"/>
          <w:b/>
          <w:sz w:val="20"/>
        </w:rPr>
        <w:t>of</w:t>
      </w:r>
      <w:r>
        <w:rPr>
          <w:rFonts w:ascii="Arial"/>
          <w:b/>
          <w:spacing w:val="-7"/>
          <w:sz w:val="20"/>
        </w:rPr>
        <w:t xml:space="preserve"> </w:t>
      </w:r>
      <w:r>
        <w:rPr>
          <w:rFonts w:ascii="Arial"/>
          <w:b/>
          <w:i/>
          <w:sz w:val="20"/>
        </w:rPr>
        <w:t>Citrus</w:t>
      </w:r>
      <w:r>
        <w:rPr>
          <w:rFonts w:ascii="Arial"/>
          <w:b/>
          <w:i/>
          <w:spacing w:val="-11"/>
          <w:sz w:val="20"/>
        </w:rPr>
        <w:t xml:space="preserve"> </w:t>
      </w:r>
      <w:proofErr w:type="spellStart"/>
      <w:r>
        <w:rPr>
          <w:rFonts w:ascii="Arial"/>
          <w:b/>
          <w:i/>
          <w:sz w:val="20"/>
        </w:rPr>
        <w:t>sinensis</w:t>
      </w:r>
      <w:proofErr w:type="spellEnd"/>
      <w:r>
        <w:rPr>
          <w:rFonts w:ascii="Arial"/>
          <w:b/>
          <w:i/>
          <w:spacing w:val="-10"/>
          <w:sz w:val="20"/>
        </w:rPr>
        <w:t xml:space="preserve"> </w:t>
      </w:r>
      <w:r>
        <w:rPr>
          <w:rFonts w:ascii="Arial"/>
          <w:b/>
          <w:sz w:val="20"/>
        </w:rPr>
        <w:t>peel</w:t>
      </w:r>
      <w:r>
        <w:rPr>
          <w:rFonts w:ascii="Arial"/>
          <w:b/>
          <w:spacing w:val="-11"/>
          <w:sz w:val="20"/>
        </w:rPr>
        <w:t xml:space="preserve"> </w:t>
      </w:r>
      <w:r>
        <w:rPr>
          <w:rFonts w:ascii="Arial"/>
          <w:b/>
          <w:sz w:val="20"/>
        </w:rPr>
        <w:t>extract</w:t>
      </w:r>
      <w:r>
        <w:rPr>
          <w:rFonts w:ascii="Arial"/>
          <w:b/>
          <w:spacing w:val="-12"/>
          <w:sz w:val="20"/>
        </w:rPr>
        <w:t xml:space="preserve"> </w:t>
      </w:r>
      <w:r>
        <w:rPr>
          <w:rFonts w:ascii="Arial"/>
          <w:b/>
          <w:sz w:val="20"/>
        </w:rPr>
        <w:t>against</w:t>
      </w:r>
      <w:r>
        <w:rPr>
          <w:rFonts w:ascii="Arial"/>
          <w:b/>
          <w:spacing w:val="-5"/>
          <w:sz w:val="20"/>
        </w:rPr>
        <w:t xml:space="preserve"> </w:t>
      </w:r>
      <w:r>
        <w:rPr>
          <w:rFonts w:ascii="Arial"/>
          <w:b/>
          <w:i/>
          <w:sz w:val="20"/>
        </w:rPr>
        <w:t>Escherichia</w:t>
      </w:r>
      <w:r>
        <w:rPr>
          <w:rFonts w:ascii="Arial"/>
          <w:b/>
          <w:i/>
          <w:spacing w:val="-12"/>
          <w:sz w:val="20"/>
        </w:rPr>
        <w:t xml:space="preserve"> </w:t>
      </w:r>
      <w:r>
        <w:rPr>
          <w:rFonts w:ascii="Arial"/>
          <w:b/>
          <w:i/>
          <w:sz w:val="20"/>
        </w:rPr>
        <w:t>coli</w:t>
      </w:r>
      <w:r>
        <w:rPr>
          <w:rFonts w:ascii="Arial"/>
          <w:b/>
          <w:i/>
          <w:spacing w:val="-8"/>
          <w:sz w:val="20"/>
        </w:rPr>
        <w:t xml:space="preserve"> </w:t>
      </w:r>
      <w:r>
        <w:rPr>
          <w:rFonts w:ascii="Arial"/>
          <w:b/>
          <w:spacing w:val="-5"/>
          <w:sz w:val="20"/>
        </w:rPr>
        <w:t>and</w:t>
      </w:r>
    </w:p>
    <w:p w:rsidR="00F939D3" w:rsidRDefault="005711C9">
      <w:pPr>
        <w:spacing w:before="116"/>
        <w:ind w:left="720"/>
        <w:rPr>
          <w:rFonts w:ascii="Arial"/>
          <w:b/>
          <w:sz w:val="20"/>
        </w:rPr>
      </w:pPr>
      <w:r>
        <w:rPr>
          <w:rFonts w:ascii="Arial"/>
          <w:b/>
          <w:i/>
          <w:spacing w:val="-2"/>
          <w:sz w:val="20"/>
        </w:rPr>
        <w:t>Staphylococcus</w:t>
      </w:r>
      <w:r>
        <w:rPr>
          <w:rFonts w:ascii="Arial"/>
          <w:b/>
          <w:i/>
          <w:spacing w:val="-1"/>
          <w:sz w:val="20"/>
        </w:rPr>
        <w:t xml:space="preserve"> </w:t>
      </w:r>
      <w:r>
        <w:rPr>
          <w:rFonts w:ascii="Arial"/>
          <w:b/>
          <w:i/>
          <w:spacing w:val="-2"/>
          <w:sz w:val="20"/>
        </w:rPr>
        <w:t>aureus</w:t>
      </w:r>
      <w:r>
        <w:rPr>
          <w:rFonts w:ascii="Arial"/>
          <w:b/>
          <w:i/>
          <w:spacing w:val="2"/>
          <w:sz w:val="20"/>
        </w:rPr>
        <w:t xml:space="preserve"> </w:t>
      </w:r>
      <w:r>
        <w:rPr>
          <w:rFonts w:ascii="Arial"/>
          <w:b/>
          <w:spacing w:val="-2"/>
          <w:sz w:val="20"/>
        </w:rPr>
        <w:t>at</w:t>
      </w:r>
      <w:r>
        <w:rPr>
          <w:rFonts w:ascii="Arial"/>
          <w:b/>
          <w:spacing w:val="1"/>
          <w:sz w:val="20"/>
        </w:rPr>
        <w:t xml:space="preserve"> </w:t>
      </w:r>
      <w:r>
        <w:rPr>
          <w:rFonts w:ascii="Arial"/>
          <w:b/>
          <w:spacing w:val="-2"/>
          <w:sz w:val="20"/>
        </w:rPr>
        <w:t>different</w:t>
      </w:r>
      <w:r>
        <w:rPr>
          <w:rFonts w:ascii="Arial"/>
          <w:b/>
          <w:spacing w:val="2"/>
          <w:sz w:val="20"/>
        </w:rPr>
        <w:t xml:space="preserve"> </w:t>
      </w:r>
      <w:r>
        <w:rPr>
          <w:rFonts w:ascii="Arial"/>
          <w:b/>
          <w:spacing w:val="-2"/>
          <w:sz w:val="20"/>
        </w:rPr>
        <w:t>concentration</w:t>
      </w:r>
    </w:p>
    <w:p w:rsidR="00F939D3" w:rsidRDefault="00F939D3">
      <w:pPr>
        <w:pStyle w:val="BodyText"/>
        <w:ind w:left="0"/>
        <w:rPr>
          <w:rFonts w:ascii="Arial"/>
          <w:b/>
        </w:rPr>
      </w:pPr>
    </w:p>
    <w:p w:rsidR="00F939D3" w:rsidRDefault="00F939D3">
      <w:pPr>
        <w:pStyle w:val="BodyText"/>
        <w:ind w:left="0"/>
        <w:rPr>
          <w:rFonts w:ascii="Arial"/>
          <w:b/>
        </w:rPr>
      </w:pPr>
    </w:p>
    <w:p w:rsidR="00F939D3" w:rsidRDefault="00F939D3">
      <w:pPr>
        <w:pStyle w:val="BodyText"/>
        <w:spacing w:before="18"/>
        <w:ind w:left="0"/>
        <w:rPr>
          <w:rFonts w:ascii="Arial"/>
          <w:b/>
        </w:rPr>
      </w:pPr>
    </w:p>
    <w:p w:rsidR="00F939D3" w:rsidRDefault="00F939D3">
      <w:pPr>
        <w:pStyle w:val="BodyText"/>
        <w:rPr>
          <w:rFonts w:ascii="Arial"/>
          <w:b/>
        </w:rPr>
        <w:sectPr w:rsidR="00F939D3">
          <w:pgSz w:w="12240" w:h="15840"/>
          <w:pgMar w:top="860" w:right="0" w:bottom="1200" w:left="720" w:header="35" w:footer="854" w:gutter="0"/>
          <w:cols w:space="720"/>
        </w:sectPr>
      </w:pPr>
    </w:p>
    <w:p w:rsidR="00F939D3" w:rsidRDefault="005711C9">
      <w:pPr>
        <w:pStyle w:val="ListParagraph"/>
        <w:numPr>
          <w:ilvl w:val="1"/>
          <w:numId w:val="1"/>
        </w:numPr>
        <w:tabs>
          <w:tab w:val="left" w:pos="1087"/>
        </w:tabs>
        <w:spacing w:line="360" w:lineRule="auto"/>
        <w:ind w:left="720" w:right="38" w:firstLine="0"/>
        <w:rPr>
          <w:b/>
          <w:i/>
        </w:rPr>
      </w:pPr>
      <w:r>
        <w:rPr>
          <w:b/>
        </w:rPr>
        <w:t>MIC</w:t>
      </w:r>
      <w:r>
        <w:rPr>
          <w:b/>
          <w:spacing w:val="-9"/>
        </w:rPr>
        <w:t xml:space="preserve"> </w:t>
      </w:r>
      <w:r>
        <w:rPr>
          <w:b/>
        </w:rPr>
        <w:t>and</w:t>
      </w:r>
      <w:r>
        <w:rPr>
          <w:b/>
          <w:spacing w:val="-8"/>
        </w:rPr>
        <w:t xml:space="preserve"> </w:t>
      </w:r>
      <w:r>
        <w:rPr>
          <w:b/>
        </w:rPr>
        <w:t>MBC</w:t>
      </w:r>
      <w:r>
        <w:rPr>
          <w:b/>
          <w:spacing w:val="-6"/>
        </w:rPr>
        <w:t xml:space="preserve"> </w:t>
      </w:r>
      <w:r>
        <w:rPr>
          <w:b/>
        </w:rPr>
        <w:t>of</w:t>
      </w:r>
      <w:r>
        <w:rPr>
          <w:b/>
          <w:spacing w:val="-7"/>
        </w:rPr>
        <w:t xml:space="preserve"> </w:t>
      </w:r>
      <w:r>
        <w:rPr>
          <w:b/>
        </w:rPr>
        <w:t>methanolic</w:t>
      </w:r>
      <w:r>
        <w:rPr>
          <w:b/>
          <w:spacing w:val="-6"/>
        </w:rPr>
        <w:t xml:space="preserve"> </w:t>
      </w:r>
      <w:r>
        <w:rPr>
          <w:b/>
        </w:rPr>
        <w:t xml:space="preserve">extract of </w:t>
      </w:r>
      <w:r>
        <w:rPr>
          <w:b/>
          <w:i/>
        </w:rPr>
        <w:t xml:space="preserve">Citrus </w:t>
      </w:r>
      <w:proofErr w:type="spellStart"/>
      <w:r>
        <w:rPr>
          <w:b/>
          <w:i/>
        </w:rPr>
        <w:t>sinensis</w:t>
      </w:r>
      <w:proofErr w:type="spellEnd"/>
      <w:r>
        <w:rPr>
          <w:b/>
          <w:i/>
        </w:rPr>
        <w:t xml:space="preserve"> </w:t>
      </w:r>
      <w:r>
        <w:rPr>
          <w:b/>
        </w:rPr>
        <w:t xml:space="preserve">against </w:t>
      </w:r>
      <w:r>
        <w:rPr>
          <w:b/>
          <w:i/>
        </w:rPr>
        <w:t xml:space="preserve">Escherichia coli </w:t>
      </w:r>
      <w:r>
        <w:rPr>
          <w:b/>
        </w:rPr>
        <w:t xml:space="preserve">and </w:t>
      </w:r>
      <w:r>
        <w:rPr>
          <w:b/>
          <w:i/>
        </w:rPr>
        <w:t>Staphylococcus aureus</w:t>
      </w:r>
    </w:p>
    <w:p w:rsidR="00F939D3" w:rsidRDefault="005711C9">
      <w:pPr>
        <w:pStyle w:val="BodyText"/>
        <w:spacing w:before="102" w:line="364" w:lineRule="auto"/>
        <w:ind w:right="1438"/>
        <w:jc w:val="both"/>
      </w:pPr>
      <w:r>
        <w:br w:type="column"/>
      </w:r>
      <w:r>
        <w:t>The result for MIC and MBC of the extract was presented in table 5. The result indicated that, the extract can inhibit and kill the organism at different concentration. i.e. 50 mg/mL and 100 mg/mL respectively.</w:t>
      </w:r>
    </w:p>
    <w:p w:rsidR="00F939D3" w:rsidRDefault="00F939D3">
      <w:pPr>
        <w:pStyle w:val="BodyText"/>
        <w:spacing w:line="364" w:lineRule="auto"/>
        <w:jc w:val="both"/>
        <w:sectPr w:rsidR="00F939D3">
          <w:type w:val="continuous"/>
          <w:pgSz w:w="12240" w:h="15840"/>
          <w:pgMar w:top="860" w:right="0" w:bottom="280" w:left="720" w:header="35" w:footer="854" w:gutter="0"/>
          <w:cols w:num="2" w:space="720" w:equalWidth="0">
            <w:col w:w="4822" w:space="219"/>
            <w:col w:w="6479"/>
          </w:cols>
        </w:sectPr>
      </w:pPr>
    </w:p>
    <w:p w:rsidR="00F939D3" w:rsidRDefault="00F939D3">
      <w:pPr>
        <w:pStyle w:val="BodyText"/>
        <w:spacing w:before="90"/>
        <w:ind w:left="0"/>
      </w:pPr>
    </w:p>
    <w:p w:rsidR="00F939D3" w:rsidRDefault="005711C9">
      <w:pPr>
        <w:pStyle w:val="Heading3"/>
        <w:ind w:left="655"/>
      </w:pPr>
      <w:r>
        <w:t>Table</w:t>
      </w:r>
      <w:r>
        <w:rPr>
          <w:spacing w:val="-10"/>
        </w:rPr>
        <w:t xml:space="preserve"> </w:t>
      </w:r>
      <w:r>
        <w:t>5.</w:t>
      </w:r>
      <w:r>
        <w:rPr>
          <w:spacing w:val="-12"/>
        </w:rPr>
        <w:t xml:space="preserve"> </w:t>
      </w:r>
      <w:r>
        <w:t>MIC/MBC</w:t>
      </w:r>
      <w:r>
        <w:rPr>
          <w:spacing w:val="-11"/>
        </w:rPr>
        <w:t xml:space="preserve"> </w:t>
      </w:r>
      <w:r>
        <w:t>of</w:t>
      </w:r>
      <w:r>
        <w:rPr>
          <w:spacing w:val="-9"/>
        </w:rPr>
        <w:t xml:space="preserve"> </w:t>
      </w:r>
      <w:r>
        <w:t>The</w:t>
      </w:r>
      <w:r>
        <w:rPr>
          <w:spacing w:val="-11"/>
        </w:rPr>
        <w:t xml:space="preserve"> </w:t>
      </w:r>
      <w:r>
        <w:t>Extract</w:t>
      </w:r>
      <w:r>
        <w:rPr>
          <w:spacing w:val="-4"/>
        </w:rPr>
        <w:t xml:space="preserve"> </w:t>
      </w:r>
      <w:r>
        <w:t>Against</w:t>
      </w:r>
      <w:r>
        <w:rPr>
          <w:spacing w:val="-6"/>
        </w:rPr>
        <w:t xml:space="preserve"> </w:t>
      </w:r>
      <w:r>
        <w:t>the</w:t>
      </w:r>
      <w:r>
        <w:rPr>
          <w:spacing w:val="-13"/>
        </w:rPr>
        <w:t xml:space="preserve"> </w:t>
      </w:r>
      <w:r>
        <w:t>Test</w:t>
      </w:r>
      <w:r>
        <w:rPr>
          <w:spacing w:val="-6"/>
        </w:rPr>
        <w:t xml:space="preserve"> </w:t>
      </w:r>
      <w:r>
        <w:rPr>
          <w:spacing w:val="-2"/>
        </w:rPr>
        <w:t>Organisms</w:t>
      </w:r>
    </w:p>
    <w:p w:rsidR="00F939D3" w:rsidRDefault="00F939D3">
      <w:pPr>
        <w:pStyle w:val="BodyText"/>
        <w:spacing w:before="189"/>
        <w:ind w:left="0"/>
        <w:rPr>
          <w:rFonts w:ascii="Arial"/>
          <w:b/>
        </w:rPr>
      </w:pPr>
    </w:p>
    <w:tbl>
      <w:tblPr>
        <w:tblW w:w="0" w:type="auto"/>
        <w:tblInd w:w="605" w:type="dxa"/>
        <w:tblLayout w:type="fixed"/>
        <w:tblCellMar>
          <w:left w:w="0" w:type="dxa"/>
          <w:right w:w="0" w:type="dxa"/>
        </w:tblCellMar>
        <w:tblLook w:val="01E0" w:firstRow="1" w:lastRow="1" w:firstColumn="1" w:lastColumn="1" w:noHBand="0" w:noVBand="0"/>
      </w:tblPr>
      <w:tblGrid>
        <w:gridCol w:w="2744"/>
        <w:gridCol w:w="3457"/>
        <w:gridCol w:w="3399"/>
      </w:tblGrid>
      <w:tr w:rsidR="00F939D3">
        <w:trPr>
          <w:trHeight w:val="345"/>
        </w:trPr>
        <w:tc>
          <w:tcPr>
            <w:tcW w:w="2744" w:type="dxa"/>
            <w:tcBorders>
              <w:top w:val="single" w:sz="4" w:space="0" w:color="000000"/>
              <w:bottom w:val="single" w:sz="4" w:space="0" w:color="000000"/>
            </w:tcBorders>
          </w:tcPr>
          <w:p w:rsidR="00F939D3" w:rsidRDefault="005711C9">
            <w:pPr>
              <w:pStyle w:val="TableParagraph"/>
              <w:spacing w:line="227" w:lineRule="exact"/>
              <w:ind w:left="129"/>
              <w:rPr>
                <w:rFonts w:ascii="Arial"/>
                <w:b/>
                <w:sz w:val="20"/>
              </w:rPr>
            </w:pPr>
            <w:r>
              <w:rPr>
                <w:rFonts w:ascii="Arial"/>
                <w:b/>
                <w:sz w:val="20"/>
              </w:rPr>
              <w:t>Test</w:t>
            </w:r>
            <w:r>
              <w:rPr>
                <w:rFonts w:ascii="Arial"/>
                <w:b/>
                <w:spacing w:val="-8"/>
                <w:sz w:val="20"/>
              </w:rPr>
              <w:t xml:space="preserve"> </w:t>
            </w:r>
            <w:r>
              <w:rPr>
                <w:rFonts w:ascii="Arial"/>
                <w:b/>
                <w:sz w:val="20"/>
              </w:rPr>
              <w:t>of</w:t>
            </w:r>
            <w:r>
              <w:rPr>
                <w:rFonts w:ascii="Arial"/>
                <w:b/>
                <w:spacing w:val="-4"/>
                <w:sz w:val="20"/>
              </w:rPr>
              <w:t xml:space="preserve"> </w:t>
            </w:r>
            <w:r>
              <w:rPr>
                <w:rFonts w:ascii="Arial"/>
                <w:b/>
                <w:spacing w:val="-2"/>
                <w:sz w:val="20"/>
              </w:rPr>
              <w:t>Organism</w:t>
            </w:r>
          </w:p>
        </w:tc>
        <w:tc>
          <w:tcPr>
            <w:tcW w:w="3457" w:type="dxa"/>
            <w:tcBorders>
              <w:top w:val="single" w:sz="4" w:space="0" w:color="000000"/>
              <w:bottom w:val="single" w:sz="4" w:space="0" w:color="000000"/>
            </w:tcBorders>
          </w:tcPr>
          <w:p w:rsidR="00F939D3" w:rsidRDefault="005711C9">
            <w:pPr>
              <w:pStyle w:val="TableParagraph"/>
              <w:spacing w:line="227" w:lineRule="exact"/>
              <w:ind w:left="578"/>
              <w:rPr>
                <w:rFonts w:ascii="Arial"/>
                <w:b/>
                <w:sz w:val="20"/>
              </w:rPr>
            </w:pPr>
            <w:r>
              <w:rPr>
                <w:rFonts w:ascii="Arial"/>
                <w:b/>
                <w:spacing w:val="-2"/>
                <w:sz w:val="20"/>
              </w:rPr>
              <w:t>Methanolic</w:t>
            </w:r>
            <w:r>
              <w:rPr>
                <w:rFonts w:ascii="Arial"/>
                <w:b/>
                <w:spacing w:val="-5"/>
                <w:sz w:val="20"/>
              </w:rPr>
              <w:t xml:space="preserve"> </w:t>
            </w:r>
            <w:r>
              <w:rPr>
                <w:rFonts w:ascii="Arial"/>
                <w:b/>
                <w:spacing w:val="-2"/>
                <w:sz w:val="20"/>
              </w:rPr>
              <w:t>Extract</w:t>
            </w:r>
            <w:r>
              <w:rPr>
                <w:rFonts w:ascii="Arial"/>
                <w:b/>
                <w:sz w:val="20"/>
              </w:rPr>
              <w:t xml:space="preserve"> </w:t>
            </w:r>
            <w:r>
              <w:rPr>
                <w:rFonts w:ascii="Arial"/>
                <w:b/>
                <w:spacing w:val="-2"/>
                <w:sz w:val="20"/>
              </w:rPr>
              <w:t>(Mg/ML)</w:t>
            </w:r>
          </w:p>
        </w:tc>
        <w:tc>
          <w:tcPr>
            <w:tcW w:w="3399" w:type="dxa"/>
            <w:tcBorders>
              <w:top w:val="single" w:sz="4" w:space="0" w:color="000000"/>
              <w:bottom w:val="single" w:sz="4" w:space="0" w:color="000000"/>
            </w:tcBorders>
          </w:tcPr>
          <w:p w:rsidR="00F939D3" w:rsidRDefault="00F939D3">
            <w:pPr>
              <w:pStyle w:val="TableParagraph"/>
              <w:rPr>
                <w:rFonts w:ascii="Times New Roman"/>
                <w:sz w:val="20"/>
              </w:rPr>
            </w:pPr>
          </w:p>
        </w:tc>
      </w:tr>
      <w:tr w:rsidR="00F939D3">
        <w:trPr>
          <w:trHeight w:val="285"/>
        </w:trPr>
        <w:tc>
          <w:tcPr>
            <w:tcW w:w="2744" w:type="dxa"/>
            <w:tcBorders>
              <w:top w:val="single" w:sz="4" w:space="0" w:color="000000"/>
            </w:tcBorders>
          </w:tcPr>
          <w:p w:rsidR="00F939D3" w:rsidRDefault="00F939D3">
            <w:pPr>
              <w:pStyle w:val="TableParagraph"/>
              <w:rPr>
                <w:rFonts w:ascii="Times New Roman"/>
                <w:sz w:val="20"/>
              </w:rPr>
            </w:pPr>
          </w:p>
        </w:tc>
        <w:tc>
          <w:tcPr>
            <w:tcW w:w="3457" w:type="dxa"/>
            <w:tcBorders>
              <w:top w:val="single" w:sz="4" w:space="0" w:color="000000"/>
            </w:tcBorders>
          </w:tcPr>
          <w:p w:rsidR="00F939D3" w:rsidRDefault="005711C9">
            <w:pPr>
              <w:pStyle w:val="TableParagraph"/>
              <w:spacing w:line="224" w:lineRule="exact"/>
              <w:ind w:left="578"/>
              <w:rPr>
                <w:sz w:val="20"/>
              </w:rPr>
            </w:pPr>
            <w:r>
              <w:rPr>
                <w:sz w:val="20"/>
              </w:rPr>
              <w:t>MIC</w:t>
            </w:r>
            <w:r>
              <w:rPr>
                <w:spacing w:val="-11"/>
                <w:sz w:val="20"/>
              </w:rPr>
              <w:t xml:space="preserve"> </w:t>
            </w:r>
            <w:r>
              <w:rPr>
                <w:spacing w:val="-2"/>
                <w:sz w:val="20"/>
              </w:rPr>
              <w:t>(mg/mL)</w:t>
            </w:r>
          </w:p>
        </w:tc>
        <w:tc>
          <w:tcPr>
            <w:tcW w:w="3399" w:type="dxa"/>
            <w:tcBorders>
              <w:top w:val="single" w:sz="4" w:space="0" w:color="000000"/>
            </w:tcBorders>
          </w:tcPr>
          <w:p w:rsidR="00F939D3" w:rsidRDefault="005711C9">
            <w:pPr>
              <w:pStyle w:val="TableParagraph"/>
              <w:spacing w:line="224" w:lineRule="exact"/>
              <w:ind w:left="368"/>
              <w:rPr>
                <w:sz w:val="20"/>
              </w:rPr>
            </w:pPr>
            <w:r>
              <w:rPr>
                <w:sz w:val="20"/>
              </w:rPr>
              <w:t>MBC</w:t>
            </w:r>
            <w:r>
              <w:rPr>
                <w:spacing w:val="-9"/>
                <w:sz w:val="20"/>
              </w:rPr>
              <w:t xml:space="preserve"> </w:t>
            </w:r>
            <w:r>
              <w:rPr>
                <w:spacing w:val="-2"/>
                <w:sz w:val="20"/>
              </w:rPr>
              <w:t>(mg/mL)</w:t>
            </w:r>
          </w:p>
        </w:tc>
      </w:tr>
      <w:tr w:rsidR="00F939D3">
        <w:trPr>
          <w:trHeight w:val="347"/>
        </w:trPr>
        <w:tc>
          <w:tcPr>
            <w:tcW w:w="2744" w:type="dxa"/>
          </w:tcPr>
          <w:p w:rsidR="00F939D3" w:rsidRDefault="005711C9">
            <w:pPr>
              <w:pStyle w:val="TableParagraph"/>
              <w:spacing w:before="54"/>
              <w:ind w:left="129"/>
              <w:rPr>
                <w:rFonts w:ascii="Arial"/>
                <w:i/>
                <w:sz w:val="20"/>
              </w:rPr>
            </w:pPr>
            <w:r>
              <w:rPr>
                <w:rFonts w:ascii="Arial"/>
                <w:i/>
                <w:spacing w:val="-2"/>
                <w:sz w:val="20"/>
              </w:rPr>
              <w:t>Escherichia</w:t>
            </w:r>
            <w:r>
              <w:rPr>
                <w:rFonts w:ascii="Arial"/>
                <w:i/>
                <w:spacing w:val="-7"/>
                <w:sz w:val="20"/>
              </w:rPr>
              <w:t xml:space="preserve"> </w:t>
            </w:r>
            <w:r>
              <w:rPr>
                <w:rFonts w:ascii="Arial"/>
                <w:i/>
                <w:spacing w:val="-4"/>
                <w:sz w:val="20"/>
              </w:rPr>
              <w:t>coli</w:t>
            </w:r>
          </w:p>
        </w:tc>
        <w:tc>
          <w:tcPr>
            <w:tcW w:w="3457" w:type="dxa"/>
          </w:tcPr>
          <w:p w:rsidR="00F939D3" w:rsidRDefault="005711C9">
            <w:pPr>
              <w:pStyle w:val="TableParagraph"/>
              <w:spacing w:before="60"/>
              <w:ind w:left="578"/>
              <w:rPr>
                <w:sz w:val="20"/>
              </w:rPr>
            </w:pPr>
            <w:r>
              <w:rPr>
                <w:spacing w:val="-5"/>
                <w:sz w:val="20"/>
              </w:rPr>
              <w:t>25</w:t>
            </w:r>
          </w:p>
        </w:tc>
        <w:tc>
          <w:tcPr>
            <w:tcW w:w="3399" w:type="dxa"/>
          </w:tcPr>
          <w:p w:rsidR="00F939D3" w:rsidRDefault="005711C9">
            <w:pPr>
              <w:pStyle w:val="TableParagraph"/>
              <w:spacing w:before="60"/>
              <w:ind w:left="313"/>
              <w:rPr>
                <w:sz w:val="20"/>
              </w:rPr>
            </w:pPr>
            <w:r>
              <w:rPr>
                <w:spacing w:val="-5"/>
                <w:sz w:val="20"/>
              </w:rPr>
              <w:t>50</w:t>
            </w:r>
          </w:p>
        </w:tc>
      </w:tr>
      <w:tr w:rsidR="00F939D3">
        <w:trPr>
          <w:trHeight w:val="403"/>
        </w:trPr>
        <w:tc>
          <w:tcPr>
            <w:tcW w:w="2744" w:type="dxa"/>
            <w:tcBorders>
              <w:bottom w:val="single" w:sz="4" w:space="0" w:color="000000"/>
            </w:tcBorders>
          </w:tcPr>
          <w:p w:rsidR="00F939D3" w:rsidRDefault="005711C9">
            <w:pPr>
              <w:pStyle w:val="TableParagraph"/>
              <w:spacing w:before="53"/>
              <w:ind w:left="129"/>
              <w:rPr>
                <w:rFonts w:ascii="Arial"/>
                <w:i/>
                <w:sz w:val="20"/>
              </w:rPr>
            </w:pPr>
            <w:r>
              <w:rPr>
                <w:rFonts w:ascii="Arial"/>
                <w:i/>
                <w:spacing w:val="-2"/>
                <w:sz w:val="20"/>
              </w:rPr>
              <w:t>Staphylococcus</w:t>
            </w:r>
            <w:r>
              <w:rPr>
                <w:rFonts w:ascii="Arial"/>
                <w:i/>
                <w:spacing w:val="-10"/>
                <w:sz w:val="20"/>
              </w:rPr>
              <w:t xml:space="preserve"> </w:t>
            </w:r>
            <w:r>
              <w:rPr>
                <w:rFonts w:ascii="Arial"/>
                <w:i/>
                <w:spacing w:val="-2"/>
                <w:sz w:val="20"/>
              </w:rPr>
              <w:t>aureus</w:t>
            </w:r>
          </w:p>
        </w:tc>
        <w:tc>
          <w:tcPr>
            <w:tcW w:w="3457" w:type="dxa"/>
            <w:tcBorders>
              <w:bottom w:val="single" w:sz="4" w:space="0" w:color="000000"/>
            </w:tcBorders>
          </w:tcPr>
          <w:p w:rsidR="00F939D3" w:rsidRDefault="005711C9">
            <w:pPr>
              <w:pStyle w:val="TableParagraph"/>
              <w:spacing w:before="59"/>
              <w:ind w:left="578"/>
              <w:rPr>
                <w:sz w:val="20"/>
              </w:rPr>
            </w:pPr>
            <w:r>
              <w:rPr>
                <w:spacing w:val="-5"/>
                <w:sz w:val="20"/>
              </w:rPr>
              <w:t>50</w:t>
            </w:r>
          </w:p>
        </w:tc>
        <w:tc>
          <w:tcPr>
            <w:tcW w:w="3399" w:type="dxa"/>
            <w:tcBorders>
              <w:bottom w:val="single" w:sz="4" w:space="0" w:color="000000"/>
            </w:tcBorders>
          </w:tcPr>
          <w:p w:rsidR="00F939D3" w:rsidRDefault="005711C9">
            <w:pPr>
              <w:pStyle w:val="TableParagraph"/>
              <w:spacing w:before="59"/>
              <w:ind w:left="313"/>
              <w:rPr>
                <w:sz w:val="20"/>
              </w:rPr>
            </w:pPr>
            <w:r>
              <w:rPr>
                <w:spacing w:val="-5"/>
                <w:sz w:val="20"/>
              </w:rPr>
              <w:t>100</w:t>
            </w:r>
          </w:p>
        </w:tc>
      </w:tr>
    </w:tbl>
    <w:p w:rsidR="00F939D3" w:rsidRDefault="005711C9">
      <w:pPr>
        <w:pStyle w:val="BodyText"/>
      </w:pPr>
      <w:r>
        <w:rPr>
          <w:rFonts w:ascii="Arial"/>
          <w:b/>
        </w:rPr>
        <w:t>Key:</w:t>
      </w:r>
      <w:r>
        <w:rPr>
          <w:rFonts w:ascii="Arial"/>
          <w:b/>
          <w:spacing w:val="-14"/>
        </w:rPr>
        <w:t xml:space="preserve"> </w:t>
      </w:r>
      <w:r>
        <w:t>MIC</w:t>
      </w:r>
      <w:r>
        <w:rPr>
          <w:spacing w:val="-14"/>
        </w:rPr>
        <w:t xml:space="preserve"> </w:t>
      </w:r>
      <w:r>
        <w:t>=</w:t>
      </w:r>
      <w:r>
        <w:rPr>
          <w:spacing w:val="-13"/>
        </w:rPr>
        <w:t xml:space="preserve"> </w:t>
      </w:r>
      <w:r>
        <w:t>Minimum</w:t>
      </w:r>
      <w:r>
        <w:rPr>
          <w:spacing w:val="-13"/>
        </w:rPr>
        <w:t xml:space="preserve"> </w:t>
      </w:r>
      <w:r>
        <w:t>Inhibitory</w:t>
      </w:r>
      <w:r>
        <w:rPr>
          <w:spacing w:val="-14"/>
        </w:rPr>
        <w:t xml:space="preserve"> </w:t>
      </w:r>
      <w:r>
        <w:t>Concentration,</w:t>
      </w:r>
      <w:r>
        <w:rPr>
          <w:spacing w:val="-13"/>
        </w:rPr>
        <w:t xml:space="preserve"> </w:t>
      </w:r>
      <w:r>
        <w:t>MBC</w:t>
      </w:r>
      <w:r>
        <w:rPr>
          <w:spacing w:val="-9"/>
        </w:rPr>
        <w:t xml:space="preserve"> </w:t>
      </w:r>
      <w:r>
        <w:t>=</w:t>
      </w:r>
      <w:r>
        <w:rPr>
          <w:spacing w:val="-14"/>
        </w:rPr>
        <w:t xml:space="preserve"> </w:t>
      </w:r>
      <w:r>
        <w:t>Minimum</w:t>
      </w:r>
      <w:r>
        <w:rPr>
          <w:spacing w:val="-9"/>
        </w:rPr>
        <w:t xml:space="preserve"> </w:t>
      </w:r>
      <w:r>
        <w:t>Bactericidal</w:t>
      </w:r>
      <w:r>
        <w:rPr>
          <w:spacing w:val="-14"/>
        </w:rPr>
        <w:t xml:space="preserve"> </w:t>
      </w:r>
      <w:r>
        <w:rPr>
          <w:spacing w:val="-2"/>
        </w:rPr>
        <w:t>Concentration.</w:t>
      </w:r>
    </w:p>
    <w:p w:rsidR="00F939D3" w:rsidRDefault="00F939D3">
      <w:pPr>
        <w:pStyle w:val="BodyText"/>
        <w:sectPr w:rsidR="00F939D3">
          <w:type w:val="continuous"/>
          <w:pgSz w:w="12240" w:h="15840"/>
          <w:pgMar w:top="860" w:right="0" w:bottom="280" w:left="720" w:header="35" w:footer="854" w:gutter="0"/>
          <w:cols w:space="720"/>
        </w:sectPr>
      </w:pPr>
    </w:p>
    <w:p w:rsidR="00F939D3" w:rsidRDefault="00F939D3">
      <w:pPr>
        <w:pStyle w:val="BodyText"/>
        <w:ind w:left="0"/>
      </w:pPr>
    </w:p>
    <w:p w:rsidR="00F939D3" w:rsidRDefault="00F939D3">
      <w:pPr>
        <w:pStyle w:val="BodyText"/>
        <w:spacing w:before="2"/>
        <w:ind w:left="0"/>
      </w:pPr>
    </w:p>
    <w:p w:rsidR="00F939D3" w:rsidRDefault="00F939D3">
      <w:pPr>
        <w:pStyle w:val="BodyText"/>
        <w:sectPr w:rsidR="00F939D3">
          <w:pgSz w:w="12240" w:h="15840"/>
          <w:pgMar w:top="860" w:right="0" w:bottom="1200" w:left="720" w:header="35" w:footer="854" w:gutter="0"/>
          <w:cols w:space="720"/>
        </w:sectPr>
      </w:pPr>
    </w:p>
    <w:p w:rsidR="00F939D3" w:rsidRDefault="00F939D3">
      <w:pPr>
        <w:pStyle w:val="BodyText"/>
        <w:spacing w:before="80"/>
        <w:ind w:left="0"/>
        <w:rPr>
          <w:rFonts w:ascii="Arial"/>
          <w:b/>
          <w:sz w:val="22"/>
        </w:rPr>
      </w:pPr>
    </w:p>
    <w:p w:rsidR="00F939D3" w:rsidRDefault="005711C9">
      <w:pPr>
        <w:pStyle w:val="BodyText"/>
        <w:spacing w:line="364" w:lineRule="auto"/>
        <w:jc w:val="both"/>
      </w:pPr>
      <w:r>
        <w:t>The rising incidence of drugs resistance and the production of extended-spectrum beta- lactamase (ESβL) by some bacterial strains is a great global concern to infectious disease management; hence the quest for a novel plant with the desired phytopharmaceutical constituents is in the arsenal of public health. Curative potential of plants material is due particularly</w:t>
      </w:r>
      <w:r>
        <w:rPr>
          <w:spacing w:val="-2"/>
        </w:rPr>
        <w:t xml:space="preserve"> </w:t>
      </w:r>
      <w:r>
        <w:t>to the presence of pharmacologically active compounds termed phytochemicals (</w:t>
      </w:r>
      <w:proofErr w:type="spellStart"/>
      <w:r>
        <w:t>Kudatarkar</w:t>
      </w:r>
      <w:proofErr w:type="spellEnd"/>
      <w:r>
        <w:t xml:space="preserve"> and Nayak, 2018). In the present study, preliminary phytochemical analysis of methanol extract of </w:t>
      </w:r>
      <w:r>
        <w:rPr>
          <w:rFonts w:ascii="Arial" w:hAnsi="Arial"/>
          <w:i/>
        </w:rPr>
        <w:t xml:space="preserve">Citrus </w:t>
      </w:r>
      <w:proofErr w:type="spellStart"/>
      <w:r>
        <w:rPr>
          <w:rFonts w:ascii="Arial" w:hAnsi="Arial"/>
          <w:i/>
        </w:rPr>
        <w:t>sinensis</w:t>
      </w:r>
      <w:proofErr w:type="spellEnd"/>
      <w:r>
        <w:rPr>
          <w:rFonts w:ascii="Arial" w:hAnsi="Arial"/>
          <w:i/>
        </w:rPr>
        <w:t xml:space="preserve"> </w:t>
      </w:r>
      <w:r>
        <w:t xml:space="preserve">were carried out. Qualitative analysis of methanolic extract of </w:t>
      </w:r>
      <w:r>
        <w:rPr>
          <w:rFonts w:ascii="Arial" w:hAnsi="Arial"/>
          <w:i/>
        </w:rPr>
        <w:t xml:space="preserve">Citrus </w:t>
      </w:r>
      <w:proofErr w:type="spellStart"/>
      <w:r>
        <w:rPr>
          <w:rFonts w:ascii="Arial" w:hAnsi="Arial"/>
          <w:i/>
        </w:rPr>
        <w:t>sinensis</w:t>
      </w:r>
      <w:proofErr w:type="spellEnd"/>
      <w:r>
        <w:rPr>
          <w:rFonts w:ascii="Arial" w:hAnsi="Arial"/>
          <w:i/>
        </w:rPr>
        <w:t xml:space="preserve"> </w:t>
      </w:r>
      <w:r>
        <w:t>revealed the presence of bioactive compounds of alkaloids, saponins, tannins; glycoside, polyphenol, steroids and flavonoids as shown in Table 2. The presence of these phytochemicals has been reported by previous researchers (El-</w:t>
      </w:r>
      <w:proofErr w:type="spellStart"/>
      <w:r>
        <w:t>Desoukey</w:t>
      </w:r>
      <w:proofErr w:type="spellEnd"/>
      <w:r>
        <w:t xml:space="preserve"> et al., 2018; Musa et al., 2019 and Nwachukwu et al., 2019). The results given in Table 1 and 2 indicate that methanol extracts of </w:t>
      </w:r>
      <w:r>
        <w:rPr>
          <w:rFonts w:ascii="Arial" w:hAnsi="Arial"/>
          <w:i/>
        </w:rPr>
        <w:t xml:space="preserve">Citrus </w:t>
      </w:r>
      <w:proofErr w:type="spellStart"/>
      <w:r>
        <w:rPr>
          <w:rFonts w:ascii="Arial" w:hAnsi="Arial"/>
          <w:i/>
        </w:rPr>
        <w:t>sinensis</w:t>
      </w:r>
      <w:proofErr w:type="spellEnd"/>
      <w:r>
        <w:rPr>
          <w:rFonts w:ascii="Arial" w:hAnsi="Arial"/>
          <w:i/>
        </w:rPr>
        <w:t xml:space="preserve"> </w:t>
      </w:r>
      <w:r>
        <w:t>were evaluated for their antibacterial activity against some medically significant pathogens isolated from specialist hospital (</w:t>
      </w:r>
      <w:r>
        <w:rPr>
          <w:rFonts w:ascii="Arial" w:hAnsi="Arial"/>
          <w:i/>
        </w:rPr>
        <w:t>Staphylococcus aureus</w:t>
      </w:r>
      <w:r>
        <w:t xml:space="preserve">, and </w:t>
      </w:r>
      <w:r>
        <w:rPr>
          <w:rFonts w:ascii="Arial" w:hAnsi="Arial"/>
          <w:i/>
        </w:rPr>
        <w:t>Escherichia coli</w:t>
      </w:r>
      <w:r>
        <w:t>) (Table 3). The extract demonstrated a clear concentration-dependent inhibitory effect against both organisms, with zones of inhibition increasing as extract concentration increased “(Fig. 1)”. This observation is consistent with earlier reports that plant extracts exhibit enhanced antibacterial activity at higher concentrations due to</w:t>
      </w:r>
      <w:r>
        <w:rPr>
          <w:spacing w:val="40"/>
        </w:rPr>
        <w:t xml:space="preserve"> </w:t>
      </w:r>
      <w:r>
        <w:t>increased availability with active constituents of bioactive</w:t>
      </w:r>
      <w:r>
        <w:rPr>
          <w:spacing w:val="80"/>
        </w:rPr>
        <w:t xml:space="preserve"> </w:t>
      </w:r>
      <w:r>
        <w:t>phytochemicals</w:t>
      </w:r>
      <w:r>
        <w:rPr>
          <w:spacing w:val="80"/>
        </w:rPr>
        <w:t xml:space="preserve"> </w:t>
      </w:r>
      <w:r>
        <w:t>such</w:t>
      </w:r>
      <w:r>
        <w:rPr>
          <w:spacing w:val="80"/>
        </w:rPr>
        <w:t xml:space="preserve"> </w:t>
      </w:r>
      <w:r>
        <w:t>as</w:t>
      </w:r>
      <w:r>
        <w:rPr>
          <w:spacing w:val="80"/>
        </w:rPr>
        <w:t xml:space="preserve"> </w:t>
      </w:r>
      <w:r>
        <w:t>alkaloids,</w:t>
      </w:r>
    </w:p>
    <w:p w:rsidR="00F939D3" w:rsidRDefault="005711C9">
      <w:pPr>
        <w:pStyle w:val="BodyText"/>
        <w:spacing w:before="99" w:line="364" w:lineRule="auto"/>
        <w:ind w:left="680" w:right="1428"/>
        <w:jc w:val="both"/>
      </w:pPr>
      <w:r>
        <w:br w:type="column"/>
      </w:r>
      <w:r>
        <w:t>flavonoids, tannins, and phenolic compounds responsible for antibacterial effects (</w:t>
      </w:r>
      <w:proofErr w:type="spellStart"/>
      <w:r>
        <w:t>Doughari</w:t>
      </w:r>
      <w:proofErr w:type="spellEnd"/>
      <w:r>
        <w:t xml:space="preserve"> et al., 2012; </w:t>
      </w:r>
      <w:proofErr w:type="spellStart"/>
      <w:r>
        <w:t>Zige</w:t>
      </w:r>
      <w:proofErr w:type="spellEnd"/>
      <w:r>
        <w:t xml:space="preserve"> et al., 2014; Musa et al., 2019).</w:t>
      </w:r>
      <w:r>
        <w:rPr>
          <w:spacing w:val="80"/>
        </w:rPr>
        <w:t xml:space="preserve"> </w:t>
      </w:r>
      <w:r>
        <w:t xml:space="preserve">At the highest concentration tested presented in (Figure1), the </w:t>
      </w:r>
      <w:r>
        <w:rPr>
          <w:rFonts w:ascii="Arial" w:hAnsi="Arial"/>
          <w:i/>
        </w:rPr>
        <w:t xml:space="preserve">C. </w:t>
      </w:r>
      <w:proofErr w:type="spellStart"/>
      <w:r>
        <w:rPr>
          <w:rFonts w:ascii="Arial" w:hAnsi="Arial"/>
          <w:i/>
        </w:rPr>
        <w:t>sinensis</w:t>
      </w:r>
      <w:proofErr w:type="spellEnd"/>
      <w:r>
        <w:rPr>
          <w:rFonts w:ascii="Arial" w:hAnsi="Arial"/>
          <w:i/>
        </w:rPr>
        <w:t xml:space="preserve"> </w:t>
      </w:r>
      <w:r>
        <w:t>extract produced</w:t>
      </w:r>
      <w:r>
        <w:rPr>
          <w:spacing w:val="40"/>
        </w:rPr>
        <w:t xml:space="preserve"> </w:t>
      </w:r>
      <w:r>
        <w:t xml:space="preserve">zones of inhibition of 22 mm, 17 mm, 13 mm, 9 mm, and 6 mm against </w:t>
      </w:r>
      <w:r>
        <w:rPr>
          <w:rFonts w:ascii="Arial" w:hAnsi="Arial"/>
          <w:i/>
        </w:rPr>
        <w:t xml:space="preserve">E. coli </w:t>
      </w:r>
      <w:r>
        <w:t xml:space="preserve">and 16 mm, 14 mm, 10 mm, 7 mm, and 6 mm against </w:t>
      </w:r>
      <w:r>
        <w:rPr>
          <w:rFonts w:ascii="Arial" w:hAnsi="Arial"/>
          <w:i/>
        </w:rPr>
        <w:t xml:space="preserve">S. aureus </w:t>
      </w:r>
      <w:r>
        <w:t>at 100, 50, 25, 12.5, and 6.25 mg/mL, respectively. A concentration-dependent pattern was observed, with higher extract</w:t>
      </w:r>
      <w:r>
        <w:rPr>
          <w:spacing w:val="80"/>
        </w:rPr>
        <w:t xml:space="preserve"> </w:t>
      </w:r>
      <w:r>
        <w:t xml:space="preserve">concentrations producing larger zones of inhibition, a trend commonly reported for plant- derived antibacterial agents (Akinyemi et al., 2005). At 100 mg/mL, the extract produced inhibition zones of 22 mm against </w:t>
      </w:r>
      <w:r>
        <w:rPr>
          <w:rFonts w:ascii="Arial" w:hAnsi="Arial"/>
          <w:i/>
        </w:rPr>
        <w:t xml:space="preserve">E. coli </w:t>
      </w:r>
      <w:r>
        <w:t xml:space="preserve">and 16 mm against </w:t>
      </w:r>
      <w:r>
        <w:rPr>
          <w:rFonts w:ascii="Arial" w:hAnsi="Arial"/>
          <w:i/>
        </w:rPr>
        <w:t>S. aureus</w:t>
      </w:r>
      <w:r>
        <w:t xml:space="preserve">. As the concentration decreased, the zones of inhibition progressively reduced, with both organisms recording a minimum zone of 6 mm at 6.25 mg/mL, corresponding to the diameter of the well (Table 4). Ciprofloxacin (10 µg) showed a strong inhibitory effect against </w:t>
      </w:r>
      <w:r>
        <w:rPr>
          <w:rFonts w:ascii="Arial" w:hAnsi="Arial"/>
          <w:i/>
        </w:rPr>
        <w:t xml:space="preserve">E. coli </w:t>
      </w:r>
      <w:r>
        <w:t>with a zone of inhibition of 30 mm, while clindamycin (10 µg) produced a zone of inhibition of 23 mm against</w:t>
      </w:r>
    </w:p>
    <w:p w:rsidR="00F939D3" w:rsidRDefault="005711C9">
      <w:pPr>
        <w:spacing w:line="214" w:lineRule="exact"/>
        <w:ind w:left="680"/>
        <w:rPr>
          <w:sz w:val="20"/>
        </w:rPr>
      </w:pPr>
      <w:r>
        <w:rPr>
          <w:rFonts w:ascii="Arial"/>
          <w:i/>
          <w:sz w:val="20"/>
        </w:rPr>
        <w:t>S.</w:t>
      </w:r>
      <w:r>
        <w:rPr>
          <w:rFonts w:ascii="Arial"/>
          <w:i/>
          <w:spacing w:val="-6"/>
          <w:sz w:val="20"/>
        </w:rPr>
        <w:t xml:space="preserve"> </w:t>
      </w:r>
      <w:r>
        <w:rPr>
          <w:rFonts w:ascii="Arial"/>
          <w:i/>
          <w:spacing w:val="-2"/>
          <w:sz w:val="20"/>
        </w:rPr>
        <w:t>aureus</w:t>
      </w:r>
      <w:r>
        <w:rPr>
          <w:spacing w:val="-2"/>
          <w:sz w:val="20"/>
        </w:rPr>
        <w:t>.</w:t>
      </w:r>
    </w:p>
    <w:p w:rsidR="00F939D3" w:rsidRDefault="00F939D3">
      <w:pPr>
        <w:pStyle w:val="BodyText"/>
        <w:spacing w:before="97"/>
        <w:ind w:left="0"/>
      </w:pPr>
    </w:p>
    <w:p w:rsidR="00F939D3" w:rsidRDefault="005711C9">
      <w:pPr>
        <w:pStyle w:val="BodyText"/>
        <w:spacing w:line="364" w:lineRule="auto"/>
        <w:ind w:left="680" w:right="1430"/>
        <w:jc w:val="both"/>
      </w:pPr>
      <w:r>
        <w:t xml:space="preserve">These results indicate that the extract was more effective against </w:t>
      </w:r>
      <w:r>
        <w:rPr>
          <w:rFonts w:ascii="Arial"/>
          <w:i/>
        </w:rPr>
        <w:t xml:space="preserve">E. coli </w:t>
      </w:r>
      <w:r>
        <w:t xml:space="preserve">than </w:t>
      </w:r>
      <w:r>
        <w:rPr>
          <w:rFonts w:ascii="Arial"/>
          <w:i/>
        </w:rPr>
        <w:t>S. aureus</w:t>
      </w:r>
      <w:r>
        <w:t>, particularly</w:t>
      </w:r>
      <w:r>
        <w:rPr>
          <w:spacing w:val="-1"/>
        </w:rPr>
        <w:t xml:space="preserve"> </w:t>
      </w:r>
      <w:r>
        <w:t>at</w:t>
      </w:r>
      <w:r>
        <w:rPr>
          <w:spacing w:val="-1"/>
        </w:rPr>
        <w:t xml:space="preserve"> </w:t>
      </w:r>
      <w:r>
        <w:t>higher concentrations.</w:t>
      </w:r>
      <w:r>
        <w:rPr>
          <w:spacing w:val="-3"/>
        </w:rPr>
        <w:t xml:space="preserve"> </w:t>
      </w:r>
      <w:r>
        <w:t>This finding contrasts with some previous studies that reported greater susceptibility of Gram-positive bacteria to</w:t>
      </w:r>
      <w:r>
        <w:rPr>
          <w:spacing w:val="-1"/>
        </w:rPr>
        <w:t xml:space="preserve"> </w:t>
      </w:r>
      <w:r>
        <w:rPr>
          <w:rFonts w:ascii="Arial"/>
          <w:i/>
        </w:rPr>
        <w:t>C.</w:t>
      </w:r>
      <w:r>
        <w:rPr>
          <w:rFonts w:ascii="Arial"/>
          <w:i/>
          <w:spacing w:val="-4"/>
        </w:rPr>
        <w:t xml:space="preserve"> </w:t>
      </w:r>
      <w:proofErr w:type="spellStart"/>
      <w:r>
        <w:rPr>
          <w:rFonts w:ascii="Arial"/>
          <w:i/>
        </w:rPr>
        <w:t>sinensis</w:t>
      </w:r>
      <w:proofErr w:type="spellEnd"/>
      <w:r>
        <w:rPr>
          <w:rFonts w:ascii="Arial"/>
          <w:i/>
        </w:rPr>
        <w:t xml:space="preserve"> </w:t>
      </w:r>
      <w:r>
        <w:t>extracts (</w:t>
      </w:r>
      <w:proofErr w:type="spellStart"/>
      <w:r>
        <w:t>Nas</w:t>
      </w:r>
      <w:proofErr w:type="spellEnd"/>
      <w:r>
        <w:t xml:space="preserve"> et</w:t>
      </w:r>
      <w:r>
        <w:rPr>
          <w:spacing w:val="-1"/>
        </w:rPr>
        <w:t xml:space="preserve"> </w:t>
      </w:r>
      <w:r>
        <w:t>al.,</w:t>
      </w:r>
      <w:r>
        <w:rPr>
          <w:spacing w:val="-1"/>
        </w:rPr>
        <w:t xml:space="preserve"> </w:t>
      </w:r>
      <w:r>
        <w:t xml:space="preserve">2018; Mohammed et al., 2018; </w:t>
      </w:r>
      <w:proofErr w:type="spellStart"/>
      <w:r>
        <w:t>Buah</w:t>
      </w:r>
      <w:proofErr w:type="spellEnd"/>
      <w:r>
        <w:t xml:space="preserve"> et al., 2023), but aligns with reports that susceptibility patterns may vary depending on bacterial strain, plant part used, solvent type, and extraction method not</w:t>
      </w:r>
      <w:r>
        <w:rPr>
          <w:spacing w:val="40"/>
        </w:rPr>
        <w:t xml:space="preserve"> </w:t>
      </w:r>
      <w:r>
        <w:t>only</w:t>
      </w:r>
      <w:r>
        <w:rPr>
          <w:spacing w:val="40"/>
        </w:rPr>
        <w:t xml:space="preserve"> </w:t>
      </w:r>
      <w:r>
        <w:t>Gram</w:t>
      </w:r>
      <w:r>
        <w:rPr>
          <w:spacing w:val="40"/>
        </w:rPr>
        <w:t xml:space="preserve"> </w:t>
      </w:r>
      <w:r>
        <w:t>reaction</w:t>
      </w:r>
      <w:r>
        <w:rPr>
          <w:spacing w:val="40"/>
        </w:rPr>
        <w:t xml:space="preserve"> </w:t>
      </w:r>
      <w:r>
        <w:t>alone</w:t>
      </w:r>
      <w:r>
        <w:rPr>
          <w:spacing w:val="40"/>
        </w:rPr>
        <w:t xml:space="preserve"> </w:t>
      </w:r>
      <w:r>
        <w:t>(Shetty</w:t>
      </w:r>
      <w:r>
        <w:rPr>
          <w:spacing w:val="40"/>
        </w:rPr>
        <w:t xml:space="preserve"> </w:t>
      </w:r>
      <w:r>
        <w:t>et</w:t>
      </w:r>
      <w:r>
        <w:rPr>
          <w:spacing w:val="40"/>
        </w:rPr>
        <w:t xml:space="preserve"> </w:t>
      </w:r>
      <w:r>
        <w:t>al.,</w:t>
      </w:r>
    </w:p>
    <w:p w:rsidR="00F939D3" w:rsidRDefault="00F939D3">
      <w:pPr>
        <w:pStyle w:val="BodyText"/>
        <w:spacing w:line="364" w:lineRule="auto"/>
        <w:jc w:val="both"/>
        <w:sectPr w:rsidR="00F939D3">
          <w:type w:val="continuous"/>
          <w:pgSz w:w="12240" w:h="15840"/>
          <w:pgMar w:top="860" w:right="0" w:bottom="280" w:left="720" w:header="35" w:footer="854" w:gutter="0"/>
          <w:cols w:num="2" w:space="720" w:equalWidth="0">
            <w:col w:w="5044" w:space="40"/>
            <w:col w:w="6436"/>
          </w:cols>
        </w:sectPr>
      </w:pPr>
    </w:p>
    <w:p w:rsidR="00F939D3" w:rsidRDefault="00F939D3">
      <w:pPr>
        <w:pStyle w:val="BodyText"/>
        <w:ind w:left="0"/>
      </w:pPr>
    </w:p>
    <w:p w:rsidR="00F939D3" w:rsidRDefault="00F939D3">
      <w:pPr>
        <w:pStyle w:val="BodyText"/>
        <w:spacing w:before="5"/>
        <w:ind w:left="0"/>
      </w:pPr>
    </w:p>
    <w:p w:rsidR="00F939D3" w:rsidRDefault="00F939D3">
      <w:pPr>
        <w:pStyle w:val="BodyText"/>
        <w:sectPr w:rsidR="00F939D3">
          <w:pgSz w:w="12240" w:h="15840"/>
          <w:pgMar w:top="860" w:right="0" w:bottom="1200" w:left="720" w:header="35" w:footer="854" w:gutter="0"/>
          <w:cols w:space="720"/>
        </w:sectPr>
      </w:pPr>
    </w:p>
    <w:p w:rsidR="00F939D3" w:rsidRDefault="005711C9">
      <w:pPr>
        <w:pStyle w:val="BodyText"/>
        <w:spacing w:before="96" w:line="362" w:lineRule="auto"/>
        <w:jc w:val="both"/>
      </w:pPr>
      <w:r>
        <w:t xml:space="preserve">2016; </w:t>
      </w:r>
      <w:proofErr w:type="spellStart"/>
      <w:r>
        <w:t>Anibijuwon</w:t>
      </w:r>
      <w:proofErr w:type="spellEnd"/>
      <w:r>
        <w:t xml:space="preserve"> et al., 2018 Musa et al., 2019; </w:t>
      </w:r>
      <w:proofErr w:type="spellStart"/>
      <w:r>
        <w:t>Thielmann</w:t>
      </w:r>
      <w:proofErr w:type="spellEnd"/>
      <w:r>
        <w:t xml:space="preserve"> et al., 2019). </w:t>
      </w:r>
      <w:r>
        <w:rPr>
          <w:rFonts w:ascii="Arial" w:hAnsi="Arial"/>
          <w:i/>
        </w:rPr>
        <w:t xml:space="preserve">Citrus </w:t>
      </w:r>
      <w:proofErr w:type="spellStart"/>
      <w:r>
        <w:rPr>
          <w:rFonts w:ascii="Arial" w:hAnsi="Arial"/>
          <w:i/>
        </w:rPr>
        <w:t>sinensis</w:t>
      </w:r>
      <w:proofErr w:type="spellEnd"/>
      <w:r>
        <w:rPr>
          <w:rFonts w:ascii="Arial" w:hAnsi="Arial"/>
          <w:i/>
        </w:rPr>
        <w:t xml:space="preserve"> </w:t>
      </w:r>
      <w:r>
        <w:t xml:space="preserve">extract showed good inhibitory activities “as shown in Table 2”. Although, higher abundance of saponins, tannins, and steroids in </w:t>
      </w:r>
      <w:r>
        <w:rPr>
          <w:rFonts w:ascii="Arial" w:hAnsi="Arial"/>
          <w:i/>
        </w:rPr>
        <w:t xml:space="preserve">C. </w:t>
      </w:r>
      <w:proofErr w:type="spellStart"/>
      <w:r>
        <w:rPr>
          <w:rFonts w:ascii="Arial" w:hAnsi="Arial"/>
          <w:i/>
        </w:rPr>
        <w:t>sinensis</w:t>
      </w:r>
      <w:proofErr w:type="spellEnd"/>
      <w:r>
        <w:rPr>
          <w:rFonts w:ascii="Arial" w:hAnsi="Arial"/>
          <w:i/>
        </w:rPr>
        <w:t xml:space="preserve"> </w:t>
      </w:r>
      <w:r>
        <w:t>extract could have enhanced its antibacterial activities at low concentration as shown in</w:t>
      </w:r>
      <w:r>
        <w:rPr>
          <w:spacing w:val="40"/>
        </w:rPr>
        <w:t xml:space="preserve"> </w:t>
      </w:r>
      <w:r>
        <w:t xml:space="preserve">“Table 2”. At 50 mg/mL concentration “as shown in Table 4 and 5”, </w:t>
      </w:r>
      <w:r>
        <w:rPr>
          <w:rFonts w:ascii="Arial" w:hAnsi="Arial"/>
          <w:i/>
        </w:rPr>
        <w:t xml:space="preserve">C. </w:t>
      </w:r>
      <w:proofErr w:type="spellStart"/>
      <w:r>
        <w:rPr>
          <w:rFonts w:ascii="Arial" w:hAnsi="Arial"/>
          <w:i/>
        </w:rPr>
        <w:t>sinensis</w:t>
      </w:r>
      <w:proofErr w:type="spellEnd"/>
      <w:r>
        <w:rPr>
          <w:rFonts w:ascii="Arial" w:hAnsi="Arial"/>
          <w:i/>
        </w:rPr>
        <w:t xml:space="preserve"> </w:t>
      </w:r>
      <w:r>
        <w:t>extract was active against all the tested bacteria, this result is in consonance with the finding conducted in Ilorin by (</w:t>
      </w:r>
      <w:proofErr w:type="spellStart"/>
      <w:r>
        <w:t>Anibijuwon</w:t>
      </w:r>
      <w:proofErr w:type="spellEnd"/>
      <w:r>
        <w:t xml:space="preserve"> et al., 2018). The present study</w:t>
      </w:r>
      <w:r>
        <w:rPr>
          <w:spacing w:val="80"/>
        </w:rPr>
        <w:t xml:space="preserve"> </w:t>
      </w:r>
      <w:r>
        <w:t xml:space="preserve">is that the methanolic extract of </w:t>
      </w:r>
      <w:r>
        <w:rPr>
          <w:rFonts w:ascii="Arial" w:hAnsi="Arial"/>
          <w:i/>
        </w:rPr>
        <w:t xml:space="preserve">Citrus </w:t>
      </w:r>
      <w:proofErr w:type="spellStart"/>
      <w:r>
        <w:rPr>
          <w:rFonts w:ascii="Arial" w:hAnsi="Arial"/>
          <w:i/>
        </w:rPr>
        <w:t>sinensis</w:t>
      </w:r>
      <w:proofErr w:type="spellEnd"/>
      <w:r>
        <w:rPr>
          <w:rFonts w:ascii="Arial" w:hAnsi="Arial"/>
          <w:i/>
        </w:rPr>
        <w:t xml:space="preserve"> </w:t>
      </w:r>
      <w:r>
        <w:t>exhibited greater antibacterial activity against</w:t>
      </w:r>
      <w:r>
        <w:rPr>
          <w:spacing w:val="80"/>
        </w:rPr>
        <w:t xml:space="preserve"> </w:t>
      </w:r>
      <w:r>
        <w:t xml:space="preserve">the Gram-negative bacterium </w:t>
      </w:r>
      <w:r>
        <w:rPr>
          <w:rFonts w:ascii="Arial" w:hAnsi="Arial"/>
          <w:i/>
        </w:rPr>
        <w:t xml:space="preserve">Escherichia coli </w:t>
      </w:r>
      <w:r>
        <w:t xml:space="preserve">than against the Gram-positive </w:t>
      </w:r>
      <w:r>
        <w:rPr>
          <w:rFonts w:ascii="Arial" w:hAnsi="Arial"/>
          <w:i/>
        </w:rPr>
        <w:t>Staphylococcus aureus</w:t>
      </w:r>
      <w:r>
        <w:t>, as evidenced by larger zones of inhibition “as shown in Table 4”, lower MIC (25 mg/ml), and lower</w:t>
      </w:r>
      <w:r>
        <w:rPr>
          <w:spacing w:val="30"/>
        </w:rPr>
        <w:t xml:space="preserve"> </w:t>
      </w:r>
      <w:r>
        <w:t>MBC</w:t>
      </w:r>
      <w:r>
        <w:rPr>
          <w:spacing w:val="30"/>
        </w:rPr>
        <w:t xml:space="preserve"> </w:t>
      </w:r>
      <w:r>
        <w:t>(50 mg/mL)</w:t>
      </w:r>
      <w:r>
        <w:rPr>
          <w:spacing w:val="30"/>
        </w:rPr>
        <w:t xml:space="preserve"> </w:t>
      </w:r>
      <w:r>
        <w:t>values</w:t>
      </w:r>
      <w:r>
        <w:rPr>
          <w:spacing w:val="30"/>
        </w:rPr>
        <w:t xml:space="preserve"> </w:t>
      </w:r>
      <w:r>
        <w:t>for</w:t>
      </w:r>
    </w:p>
    <w:p w:rsidR="00F939D3" w:rsidRDefault="005711C9">
      <w:pPr>
        <w:pStyle w:val="BodyText"/>
        <w:spacing w:before="20" w:line="364" w:lineRule="auto"/>
        <w:jc w:val="both"/>
      </w:pPr>
      <w:r>
        <w:rPr>
          <w:rFonts w:ascii="Arial" w:hAnsi="Arial"/>
          <w:i/>
        </w:rPr>
        <w:t xml:space="preserve">E. coli </w:t>
      </w:r>
      <w:r>
        <w:t>“as shown in Table 5”. Alt</w:t>
      </w:r>
      <w:bookmarkStart w:id="0" w:name="_GoBack"/>
      <w:bookmarkEnd w:id="0"/>
      <w:r>
        <w:t>hough Gram- positive bacteria possess a thicker</w:t>
      </w:r>
      <w:r>
        <w:rPr>
          <w:spacing w:val="40"/>
        </w:rPr>
        <w:t xml:space="preserve"> </w:t>
      </w:r>
      <w:r>
        <w:t xml:space="preserve">peptidoglycan layer, this structural feature does not always confer increased resistance to all antibacterial agents. In </w:t>
      </w:r>
      <w:r>
        <w:rPr>
          <w:rFonts w:ascii="Arial" w:hAnsi="Arial"/>
          <w:i/>
        </w:rPr>
        <w:t>S. aureus</w:t>
      </w:r>
      <w:r>
        <w:t xml:space="preserve">, the peptidoglycan layer is highly cross-linked and associated with teichoic and lipoteichoic acids, which contribute to cell wall rigidity and reduced permeability to certain bioactive compounds (Palma and Cheung, 2001). This thick and compact structure may act as a physical barrier, limiting the diffusion of phytochemicals such as flavonoids and tannins into the cytoplasmic membrane, thereby reducing antibacterial </w:t>
      </w:r>
      <w:r>
        <w:rPr>
          <w:spacing w:val="-2"/>
        </w:rPr>
        <w:t>efficacy.</w:t>
      </w:r>
    </w:p>
    <w:p w:rsidR="00F939D3" w:rsidRDefault="005711C9">
      <w:pPr>
        <w:pStyle w:val="BodyText"/>
        <w:spacing w:before="202" w:line="364" w:lineRule="auto"/>
        <w:jc w:val="both"/>
      </w:pPr>
      <w:r>
        <w:t xml:space="preserve">In contrast, </w:t>
      </w:r>
      <w:r>
        <w:rPr>
          <w:rFonts w:ascii="Arial"/>
          <w:i/>
        </w:rPr>
        <w:t>E. coli</w:t>
      </w:r>
      <w:r>
        <w:t>, despite being Gram- negative, possesses a thinner peptidoglycan layer</w:t>
      </w:r>
      <w:r>
        <w:rPr>
          <w:spacing w:val="40"/>
        </w:rPr>
        <w:t xml:space="preserve"> </w:t>
      </w:r>
      <w:r>
        <w:t>located</w:t>
      </w:r>
      <w:r>
        <w:rPr>
          <w:spacing w:val="40"/>
        </w:rPr>
        <w:t xml:space="preserve"> </w:t>
      </w:r>
      <w:r>
        <w:t>between</w:t>
      </w:r>
      <w:r>
        <w:rPr>
          <w:spacing w:val="40"/>
        </w:rPr>
        <w:t xml:space="preserve"> </w:t>
      </w:r>
      <w:r>
        <w:t>the</w:t>
      </w:r>
      <w:r>
        <w:rPr>
          <w:spacing w:val="40"/>
        </w:rPr>
        <w:t xml:space="preserve"> </w:t>
      </w:r>
      <w:r>
        <w:t>inner</w:t>
      </w:r>
      <w:r>
        <w:rPr>
          <w:spacing w:val="40"/>
        </w:rPr>
        <w:t xml:space="preserve"> </w:t>
      </w:r>
      <w:r>
        <w:t>cytoplasmic</w:t>
      </w:r>
    </w:p>
    <w:p w:rsidR="00F939D3" w:rsidRDefault="005711C9">
      <w:pPr>
        <w:pStyle w:val="BodyText"/>
        <w:spacing w:before="96" w:line="364" w:lineRule="auto"/>
        <w:ind w:left="678" w:right="1435"/>
        <w:jc w:val="both"/>
      </w:pPr>
      <w:r>
        <w:br w:type="column"/>
      </w:r>
      <w:r>
        <w:t>membrane and the outer membrane. While the outer membrane of Gram-negative bacteria is often considered a permeability barrier due to</w:t>
      </w:r>
      <w:r>
        <w:rPr>
          <w:spacing w:val="40"/>
        </w:rPr>
        <w:t xml:space="preserve"> </w:t>
      </w:r>
      <w:r>
        <w:t xml:space="preserve">the presence of lipopolysaccharides (LPS), it also contains porin proteins that facilitate the passive diffusion of low-molecular-weight hydrophilic compounds (Blanche et al., 1996; </w:t>
      </w:r>
      <w:proofErr w:type="spellStart"/>
      <w:r>
        <w:t>Thielmann</w:t>
      </w:r>
      <w:proofErr w:type="spellEnd"/>
      <w:r>
        <w:t xml:space="preserve"> et al., 2019). Many phytochemicals present in </w:t>
      </w:r>
      <w:r>
        <w:rPr>
          <w:rFonts w:ascii="Arial"/>
          <w:i/>
        </w:rPr>
        <w:t xml:space="preserve">C. </w:t>
      </w:r>
      <w:proofErr w:type="spellStart"/>
      <w:r>
        <w:rPr>
          <w:rFonts w:ascii="Arial"/>
          <w:i/>
        </w:rPr>
        <w:t>sinensis</w:t>
      </w:r>
      <w:proofErr w:type="spellEnd"/>
      <w:r>
        <w:t>, particularly flavonoids, phenolics, and alkaloids, are capable of traversing these porin channels, allowing them</w:t>
      </w:r>
      <w:r>
        <w:rPr>
          <w:spacing w:val="40"/>
        </w:rPr>
        <w:t xml:space="preserve"> </w:t>
      </w:r>
      <w:r>
        <w:t>to reach intracellular targets more effectively in</w:t>
      </w:r>
    </w:p>
    <w:p w:rsidR="00F939D3" w:rsidRDefault="005711C9">
      <w:pPr>
        <w:pStyle w:val="BodyText"/>
        <w:spacing w:before="3" w:line="364" w:lineRule="auto"/>
        <w:ind w:left="678" w:right="1429"/>
        <w:jc w:val="both"/>
      </w:pPr>
      <w:r>
        <w:rPr>
          <w:rFonts w:ascii="Arial"/>
          <w:i/>
        </w:rPr>
        <w:t>E. coli</w:t>
      </w:r>
      <w:r>
        <w:t>. Furthermore, the lipid-rich outer membrane of Gram-negative bacteria may enhance susceptibility to certain plant-derived compounds with amphipathic or lipophilic properties (</w:t>
      </w:r>
      <w:proofErr w:type="spellStart"/>
      <w:r>
        <w:t>Nikaido</w:t>
      </w:r>
      <w:proofErr w:type="spellEnd"/>
      <w:r>
        <w:t xml:space="preserve">, 2003; Tortora et al., 2019). </w:t>
      </w:r>
      <w:r>
        <w:rPr>
          <w:rFonts w:ascii="Arial"/>
          <w:i/>
        </w:rPr>
        <w:t>Citrus</w:t>
      </w:r>
      <w:r>
        <w:rPr>
          <w:rFonts w:ascii="Arial"/>
          <w:i/>
          <w:spacing w:val="-3"/>
        </w:rPr>
        <w:t xml:space="preserve"> </w:t>
      </w:r>
      <w:r>
        <w:t>phytochemicals, especially</w:t>
      </w:r>
      <w:r>
        <w:rPr>
          <w:spacing w:val="-4"/>
        </w:rPr>
        <w:t xml:space="preserve"> </w:t>
      </w:r>
      <w:r>
        <w:t xml:space="preserve">flavonoids and terpenoids, have been reported to disrupt membrane integrity by interacting with lipid bilayers, leading to increased permeability, leakage of intracellular contents, and eventual cell death (Woo et al., 2008; </w:t>
      </w:r>
      <w:proofErr w:type="spellStart"/>
      <w:r>
        <w:t>Thielmann</w:t>
      </w:r>
      <w:proofErr w:type="spellEnd"/>
      <w:r>
        <w:t xml:space="preserve"> et al., 2019). This membrane-disruptive effect may explain the higher susceptibility of </w:t>
      </w:r>
      <w:r>
        <w:rPr>
          <w:rFonts w:ascii="Arial"/>
          <w:i/>
        </w:rPr>
        <w:t xml:space="preserve">E. coli </w:t>
      </w:r>
      <w:r>
        <w:t xml:space="preserve">observed in this study. Another contributing factor may be the difference in efflux pump activity between the two organisms. </w:t>
      </w:r>
      <w:r>
        <w:rPr>
          <w:rFonts w:ascii="Arial"/>
          <w:i/>
        </w:rPr>
        <w:t xml:space="preserve">Staphylococcus aureus </w:t>
      </w:r>
      <w:r>
        <w:t xml:space="preserve">is known to possess efficient multidrug efflux systems that actively expel antimicrobial agents from the cell, thereby reducing intracellular accumulation of bioactive compounds (Palma and Cheung, 2001; </w:t>
      </w:r>
      <w:proofErr w:type="spellStart"/>
      <w:r>
        <w:t>Djeussi</w:t>
      </w:r>
      <w:proofErr w:type="spellEnd"/>
      <w:r>
        <w:t xml:space="preserve"> et al., 2013). Reduced intracellular retention of phytochemicals in </w:t>
      </w:r>
      <w:r>
        <w:rPr>
          <w:rFonts w:ascii="Arial"/>
          <w:i/>
        </w:rPr>
        <w:t xml:space="preserve">S. aureus </w:t>
      </w:r>
      <w:r>
        <w:t>could account for</w:t>
      </w:r>
      <w:r>
        <w:rPr>
          <w:spacing w:val="80"/>
        </w:rPr>
        <w:t xml:space="preserve"> </w:t>
      </w:r>
      <w:r>
        <w:t xml:space="preserve">its higher MIC and MBC values compared to </w:t>
      </w:r>
      <w:r>
        <w:rPr>
          <w:rFonts w:ascii="Arial"/>
          <w:i/>
        </w:rPr>
        <w:t>E. coli</w:t>
      </w:r>
      <w:r>
        <w:t>.</w:t>
      </w:r>
      <w:r>
        <w:rPr>
          <w:spacing w:val="80"/>
        </w:rPr>
        <w:t xml:space="preserve"> </w:t>
      </w:r>
      <w:r>
        <w:t>Furthermore,</w:t>
      </w:r>
      <w:r>
        <w:rPr>
          <w:spacing w:val="80"/>
        </w:rPr>
        <w:t xml:space="preserve"> </w:t>
      </w:r>
      <w:r>
        <w:rPr>
          <w:rFonts w:ascii="Arial"/>
          <w:i/>
        </w:rPr>
        <w:t>S.</w:t>
      </w:r>
      <w:r>
        <w:rPr>
          <w:rFonts w:ascii="Arial"/>
          <w:i/>
          <w:spacing w:val="80"/>
        </w:rPr>
        <w:t xml:space="preserve"> </w:t>
      </w:r>
      <w:r>
        <w:rPr>
          <w:rFonts w:ascii="Arial"/>
          <w:i/>
        </w:rPr>
        <w:t>aureus</w:t>
      </w:r>
      <w:r>
        <w:rPr>
          <w:rFonts w:ascii="Arial"/>
          <w:i/>
          <w:spacing w:val="80"/>
        </w:rPr>
        <w:t xml:space="preserve"> </w:t>
      </w:r>
      <w:r>
        <w:t>may</w:t>
      </w:r>
      <w:r>
        <w:rPr>
          <w:spacing w:val="80"/>
        </w:rPr>
        <w:t xml:space="preserve"> </w:t>
      </w:r>
      <w:r>
        <w:t>possess</w:t>
      </w:r>
    </w:p>
    <w:p w:rsidR="00F939D3" w:rsidRDefault="00F939D3">
      <w:pPr>
        <w:pStyle w:val="BodyText"/>
        <w:spacing w:line="364" w:lineRule="auto"/>
        <w:jc w:val="both"/>
        <w:sectPr w:rsidR="00F939D3">
          <w:type w:val="continuous"/>
          <w:pgSz w:w="12240" w:h="15840"/>
          <w:pgMar w:top="860" w:right="0" w:bottom="280" w:left="720" w:header="35" w:footer="854" w:gutter="0"/>
          <w:cols w:num="2" w:space="720" w:equalWidth="0">
            <w:col w:w="5043" w:space="40"/>
            <w:col w:w="6437"/>
          </w:cols>
        </w:sectPr>
      </w:pPr>
    </w:p>
    <w:p w:rsidR="00F939D3" w:rsidRDefault="00F939D3">
      <w:pPr>
        <w:pStyle w:val="BodyText"/>
        <w:ind w:left="0"/>
      </w:pPr>
    </w:p>
    <w:p w:rsidR="00F939D3" w:rsidRDefault="00F939D3">
      <w:pPr>
        <w:pStyle w:val="BodyText"/>
        <w:spacing w:before="5"/>
        <w:ind w:left="0"/>
      </w:pPr>
    </w:p>
    <w:p w:rsidR="00F939D3" w:rsidRDefault="00F939D3">
      <w:pPr>
        <w:pStyle w:val="BodyText"/>
        <w:sectPr w:rsidR="00F939D3">
          <w:pgSz w:w="12240" w:h="15840"/>
          <w:pgMar w:top="860" w:right="0" w:bottom="1200" w:left="720" w:header="35" w:footer="854" w:gutter="0"/>
          <w:cols w:space="720"/>
        </w:sectPr>
      </w:pPr>
    </w:p>
    <w:p w:rsidR="00F939D3" w:rsidRDefault="005711C9">
      <w:pPr>
        <w:pStyle w:val="BodyText"/>
        <w:spacing w:before="96" w:line="364" w:lineRule="auto"/>
        <w:jc w:val="both"/>
      </w:pPr>
      <w:r>
        <w:t>enzymatic</w:t>
      </w:r>
      <w:r>
        <w:rPr>
          <w:spacing w:val="-3"/>
        </w:rPr>
        <w:t xml:space="preserve"> </w:t>
      </w:r>
      <w:r>
        <w:t>mechanisms</w:t>
      </w:r>
      <w:r>
        <w:rPr>
          <w:spacing w:val="-4"/>
        </w:rPr>
        <w:t xml:space="preserve"> </w:t>
      </w:r>
      <w:r>
        <w:t>capable</w:t>
      </w:r>
      <w:r>
        <w:rPr>
          <w:spacing w:val="-4"/>
        </w:rPr>
        <w:t xml:space="preserve"> </w:t>
      </w:r>
      <w:r>
        <w:t>of</w:t>
      </w:r>
      <w:r>
        <w:rPr>
          <w:spacing w:val="-2"/>
        </w:rPr>
        <w:t xml:space="preserve"> </w:t>
      </w:r>
      <w:r>
        <w:t>detoxifying</w:t>
      </w:r>
      <w:r>
        <w:rPr>
          <w:spacing w:val="-5"/>
        </w:rPr>
        <w:t xml:space="preserve"> </w:t>
      </w:r>
      <w:r>
        <w:t>or modifying certain plant-derived compounds, further diminishing their antibacterial effectiveness (</w:t>
      </w:r>
      <w:proofErr w:type="spellStart"/>
      <w:r>
        <w:t>Awouafack</w:t>
      </w:r>
      <w:proofErr w:type="spellEnd"/>
      <w:r>
        <w:t xml:space="preserve"> et al., 2013; Elisha et al., 2017). These combined factors provide a plausible explanation for the higher MIC and MBC values recorded</w:t>
      </w:r>
      <w:r>
        <w:rPr>
          <w:spacing w:val="-2"/>
        </w:rPr>
        <w:t xml:space="preserve"> </w:t>
      </w:r>
      <w:r>
        <w:t xml:space="preserve">for </w:t>
      </w:r>
      <w:r>
        <w:rPr>
          <w:rFonts w:ascii="Arial"/>
          <w:i/>
        </w:rPr>
        <w:t>S.</w:t>
      </w:r>
      <w:r>
        <w:rPr>
          <w:rFonts w:ascii="Arial"/>
          <w:i/>
          <w:spacing w:val="-4"/>
        </w:rPr>
        <w:t xml:space="preserve"> </w:t>
      </w:r>
      <w:r>
        <w:rPr>
          <w:rFonts w:ascii="Arial"/>
          <w:i/>
        </w:rPr>
        <w:t xml:space="preserve">aureus </w:t>
      </w:r>
      <w:r>
        <w:t>compared</w:t>
      </w:r>
      <w:r>
        <w:rPr>
          <w:spacing w:val="-4"/>
        </w:rPr>
        <w:t xml:space="preserve"> </w:t>
      </w:r>
      <w:r>
        <w:t>to</w:t>
      </w:r>
    </w:p>
    <w:p w:rsidR="00F939D3" w:rsidRDefault="005711C9">
      <w:pPr>
        <w:spacing w:line="225" w:lineRule="exact"/>
        <w:ind w:left="720"/>
        <w:jc w:val="both"/>
        <w:rPr>
          <w:sz w:val="20"/>
        </w:rPr>
      </w:pPr>
      <w:r>
        <w:rPr>
          <w:rFonts w:ascii="Arial" w:hAnsi="Arial"/>
          <w:i/>
          <w:sz w:val="20"/>
        </w:rPr>
        <w:t>E.</w:t>
      </w:r>
      <w:r>
        <w:rPr>
          <w:rFonts w:ascii="Arial" w:hAnsi="Arial"/>
          <w:i/>
          <w:spacing w:val="-12"/>
          <w:sz w:val="20"/>
        </w:rPr>
        <w:t xml:space="preserve"> </w:t>
      </w:r>
      <w:r>
        <w:rPr>
          <w:rFonts w:ascii="Arial" w:hAnsi="Arial"/>
          <w:i/>
          <w:sz w:val="20"/>
        </w:rPr>
        <w:t>coli</w:t>
      </w:r>
      <w:r>
        <w:rPr>
          <w:rFonts w:ascii="Arial" w:hAnsi="Arial"/>
          <w:i/>
          <w:spacing w:val="-13"/>
          <w:sz w:val="20"/>
        </w:rPr>
        <w:t xml:space="preserve"> </w:t>
      </w:r>
      <w:r>
        <w:rPr>
          <w:sz w:val="20"/>
        </w:rPr>
        <w:t>“as</w:t>
      </w:r>
      <w:r>
        <w:rPr>
          <w:spacing w:val="-5"/>
          <w:sz w:val="20"/>
        </w:rPr>
        <w:t xml:space="preserve"> </w:t>
      </w:r>
      <w:r>
        <w:rPr>
          <w:sz w:val="20"/>
        </w:rPr>
        <w:t>shown</w:t>
      </w:r>
      <w:r>
        <w:rPr>
          <w:spacing w:val="-5"/>
          <w:sz w:val="20"/>
        </w:rPr>
        <w:t xml:space="preserve"> </w:t>
      </w:r>
      <w:r>
        <w:rPr>
          <w:sz w:val="20"/>
        </w:rPr>
        <w:t>in</w:t>
      </w:r>
      <w:r>
        <w:rPr>
          <w:spacing w:val="-8"/>
          <w:sz w:val="20"/>
        </w:rPr>
        <w:t xml:space="preserve"> </w:t>
      </w:r>
      <w:r>
        <w:rPr>
          <w:sz w:val="20"/>
        </w:rPr>
        <w:t>Table</w:t>
      </w:r>
      <w:r>
        <w:rPr>
          <w:spacing w:val="-4"/>
          <w:sz w:val="20"/>
        </w:rPr>
        <w:t xml:space="preserve"> </w:t>
      </w:r>
      <w:r>
        <w:rPr>
          <w:spacing w:val="-5"/>
          <w:sz w:val="20"/>
        </w:rPr>
        <w:t>5”.</w:t>
      </w:r>
    </w:p>
    <w:p w:rsidR="00F939D3" w:rsidRDefault="00F939D3">
      <w:pPr>
        <w:pStyle w:val="BodyText"/>
        <w:spacing w:before="95"/>
        <w:ind w:left="0"/>
      </w:pPr>
    </w:p>
    <w:p w:rsidR="00F939D3" w:rsidRDefault="005711C9">
      <w:pPr>
        <w:pStyle w:val="BodyText"/>
        <w:spacing w:line="364" w:lineRule="auto"/>
        <w:jc w:val="both"/>
      </w:pPr>
      <w:r>
        <w:t xml:space="preserve">The zones of inhibition produced by the positive control antibiotics ciprofloxacin against </w:t>
      </w:r>
      <w:r>
        <w:rPr>
          <w:rFonts w:ascii="Arial"/>
          <w:i/>
        </w:rPr>
        <w:t>E. coli</w:t>
      </w:r>
      <w:r>
        <w:rPr>
          <w:rFonts w:ascii="Arial"/>
          <w:i/>
          <w:spacing w:val="40"/>
        </w:rPr>
        <w:t xml:space="preserve"> </w:t>
      </w:r>
      <w:r>
        <w:t xml:space="preserve">(30 mm) and clindamycin against </w:t>
      </w:r>
      <w:r>
        <w:rPr>
          <w:rFonts w:ascii="Arial"/>
          <w:i/>
        </w:rPr>
        <w:t xml:space="preserve">S. aureus </w:t>
      </w:r>
      <w:r>
        <w:t xml:space="preserve">(23 mm) were significantly larger than those produced by the </w:t>
      </w:r>
      <w:r>
        <w:rPr>
          <w:rFonts w:ascii="Arial"/>
          <w:i/>
        </w:rPr>
        <w:t xml:space="preserve">C. </w:t>
      </w:r>
      <w:proofErr w:type="spellStart"/>
      <w:r>
        <w:rPr>
          <w:rFonts w:ascii="Arial"/>
          <w:i/>
        </w:rPr>
        <w:t>sinensis</w:t>
      </w:r>
      <w:proofErr w:type="spellEnd"/>
      <w:r>
        <w:rPr>
          <w:rFonts w:ascii="Arial"/>
          <w:i/>
        </w:rPr>
        <w:t xml:space="preserve"> </w:t>
      </w:r>
      <w:r>
        <w:t>extract at all tested concentrations. This observation is consistent with findings from numerous antibacterial</w:t>
      </w:r>
      <w:r>
        <w:rPr>
          <w:spacing w:val="40"/>
        </w:rPr>
        <w:t xml:space="preserve"> </w:t>
      </w:r>
      <w:r>
        <w:t>studies comparing crude plant extracts with conventional antibiotics (</w:t>
      </w:r>
      <w:proofErr w:type="spellStart"/>
      <w:r>
        <w:t>Okigbo</w:t>
      </w:r>
      <w:proofErr w:type="spellEnd"/>
      <w:r>
        <w:t xml:space="preserve"> and </w:t>
      </w:r>
      <w:proofErr w:type="spellStart"/>
      <w:r>
        <w:t>Mmeka</w:t>
      </w:r>
      <w:proofErr w:type="spellEnd"/>
      <w:r>
        <w:t>, 2008; Snowden et al., 2014; Shetty et al., 2016). Antibiotics are purified, single-compound agents with</w:t>
      </w:r>
      <w:r>
        <w:rPr>
          <w:spacing w:val="-2"/>
        </w:rPr>
        <w:t xml:space="preserve"> </w:t>
      </w:r>
      <w:r>
        <w:t>specific</w:t>
      </w:r>
      <w:r>
        <w:rPr>
          <w:spacing w:val="-1"/>
        </w:rPr>
        <w:t xml:space="preserve"> </w:t>
      </w:r>
      <w:r>
        <w:t>cellular targets ciprofloxacin</w:t>
      </w:r>
      <w:r>
        <w:rPr>
          <w:spacing w:val="-1"/>
        </w:rPr>
        <w:t xml:space="preserve"> </w:t>
      </w:r>
      <w:r>
        <w:t xml:space="preserve">inhibits DNA gyrase and topoisomerase IV, while clindamycin inhibits protein synthesis by binding to the 50S ribosomal subunit resulting in rapid and potent antibacterial activity (Blanche et al., 1996; Palma and Cheung, 2001). In contrast, plant extracts are complex mixtures of multiple compounds, many of which may not possess antibacterial activity, thereby diluting the overall potency of the extract. Another critical factor is dosage precision. Antibiotic discs contain accurately measured microgram quantities of active compounds, ensuring consistent and optimal antibacterial activity. In contrast, plant extracts are typically expressed in mg/mL concentrations, which represent crude preparations with unknown proportions of active constituents (Snowden et al., 2014; </w:t>
      </w:r>
      <w:proofErr w:type="spellStart"/>
      <w:r>
        <w:t>Buah</w:t>
      </w:r>
      <w:proofErr w:type="spellEnd"/>
      <w:r>
        <w:t xml:space="preserve"> et al.,</w:t>
      </w:r>
    </w:p>
    <w:p w:rsidR="00F939D3" w:rsidRDefault="005711C9">
      <w:pPr>
        <w:pStyle w:val="BodyText"/>
        <w:spacing w:before="96" w:line="364" w:lineRule="auto"/>
        <w:ind w:left="684" w:right="1434"/>
        <w:jc w:val="both"/>
      </w:pPr>
      <w:r>
        <w:br w:type="column"/>
      </w:r>
      <w:r>
        <w:t>2023). Standard antibiotics exhibit superior diffusion characteristics in agar media, resulting in wider zones of inhibition during agar diffusion assays. The relatively large molecular size and variable solubility of phytochemicals can limit their diffusion through agar, leading to smaller inhibition zones even when antibacterial activity is present (</w:t>
      </w:r>
      <w:proofErr w:type="spellStart"/>
      <w:r>
        <w:t>Okigbo</w:t>
      </w:r>
      <w:proofErr w:type="spellEnd"/>
      <w:r>
        <w:t xml:space="preserve"> and </w:t>
      </w:r>
      <w:proofErr w:type="spellStart"/>
      <w:r>
        <w:t>Mmeka</w:t>
      </w:r>
      <w:proofErr w:type="spellEnd"/>
      <w:r>
        <w:t xml:space="preserve">, 2008; Jahan et al., 2011). Antibiotics such as ciprofloxacin and clindamycin have undergone extensive optimization to enhance cell penetration, target binding affinity, and metabolic stability, characteristics that crude plant extracts inherently lack (Blanche et al., 1996; </w:t>
      </w:r>
      <w:proofErr w:type="spellStart"/>
      <w:r>
        <w:t>Thielmann</w:t>
      </w:r>
      <w:proofErr w:type="spellEnd"/>
      <w:r>
        <w:t xml:space="preserve"> et al., 2019). The standard antibiotics used as positive controls exhibited higher zones of inhibition than the plant extract, the inhibitory activity observed in the extract confirms its antibacterial potential. This supports previous reports that medicinal plants can serve as alternative or complementary sources of antibacterial agents, especially in the face of increasing antibiotic resistance (Akinyemi et al., 2005; WHO, 2014).</w:t>
      </w:r>
    </w:p>
    <w:p w:rsidR="00F939D3" w:rsidRDefault="005711C9">
      <w:pPr>
        <w:pStyle w:val="BodyText"/>
        <w:spacing w:before="223" w:line="364" w:lineRule="auto"/>
        <w:ind w:left="684" w:right="1431"/>
        <w:jc w:val="both"/>
      </w:pPr>
      <w:r>
        <w:t xml:space="preserve">These pharmacodynamic advantages translate into stronger and more consistent antibacterial effects. Despite these differences, the relatively large inhibition zones produced by the </w:t>
      </w:r>
      <w:r>
        <w:rPr>
          <w:rFonts w:ascii="Arial"/>
          <w:i/>
        </w:rPr>
        <w:t xml:space="preserve">C. </w:t>
      </w:r>
      <w:proofErr w:type="spellStart"/>
      <w:r>
        <w:rPr>
          <w:rFonts w:ascii="Arial"/>
          <w:i/>
        </w:rPr>
        <w:t>sinensis</w:t>
      </w:r>
      <w:proofErr w:type="spellEnd"/>
      <w:r>
        <w:rPr>
          <w:rFonts w:ascii="Arial"/>
          <w:i/>
        </w:rPr>
        <w:t xml:space="preserve"> </w:t>
      </w:r>
      <w:r>
        <w:t xml:space="preserve">extract particularly against </w:t>
      </w:r>
      <w:r>
        <w:rPr>
          <w:rFonts w:ascii="Arial"/>
          <w:i/>
        </w:rPr>
        <w:t xml:space="preserve">E. coli </w:t>
      </w:r>
      <w:r>
        <w:t>highlight its significant antibacterial potential. Several studies have emphasized that while plant extracts may not outperform conventional antibiotics, their value lies in their potential use as complementary agents, sources of novel antimicrobial compounds, or alternatives in</w:t>
      </w:r>
      <w:r>
        <w:rPr>
          <w:spacing w:val="40"/>
        </w:rPr>
        <w:t xml:space="preserve"> </w:t>
      </w:r>
      <w:r>
        <w:t>cases</w:t>
      </w:r>
      <w:r>
        <w:rPr>
          <w:spacing w:val="80"/>
        </w:rPr>
        <w:t xml:space="preserve"> </w:t>
      </w:r>
      <w:r>
        <w:t>of</w:t>
      </w:r>
      <w:r>
        <w:rPr>
          <w:spacing w:val="80"/>
        </w:rPr>
        <w:t xml:space="preserve"> </w:t>
      </w:r>
      <w:r>
        <w:t>antibiotic</w:t>
      </w:r>
      <w:r>
        <w:rPr>
          <w:spacing w:val="80"/>
        </w:rPr>
        <w:t xml:space="preserve"> </w:t>
      </w:r>
      <w:r>
        <w:t>resistance</w:t>
      </w:r>
      <w:r>
        <w:rPr>
          <w:spacing w:val="80"/>
        </w:rPr>
        <w:t xml:space="preserve"> </w:t>
      </w:r>
      <w:r>
        <w:t>(</w:t>
      </w:r>
      <w:proofErr w:type="spellStart"/>
      <w:r>
        <w:t>Okigbo</w:t>
      </w:r>
      <w:proofErr w:type="spellEnd"/>
      <w:r>
        <w:rPr>
          <w:spacing w:val="80"/>
        </w:rPr>
        <w:t xml:space="preserve"> </w:t>
      </w:r>
      <w:r>
        <w:t>and</w:t>
      </w:r>
    </w:p>
    <w:p w:rsidR="00F939D3" w:rsidRDefault="00F939D3">
      <w:pPr>
        <w:pStyle w:val="BodyText"/>
        <w:spacing w:line="364" w:lineRule="auto"/>
        <w:jc w:val="both"/>
        <w:sectPr w:rsidR="00F939D3">
          <w:type w:val="continuous"/>
          <w:pgSz w:w="12240" w:h="15840"/>
          <w:pgMar w:top="860" w:right="0" w:bottom="280" w:left="720" w:header="35" w:footer="854" w:gutter="0"/>
          <w:cols w:num="2" w:space="720" w:equalWidth="0">
            <w:col w:w="5040" w:space="40"/>
            <w:col w:w="6440"/>
          </w:cols>
        </w:sectPr>
      </w:pPr>
    </w:p>
    <w:p w:rsidR="00F939D3" w:rsidRDefault="00F939D3">
      <w:pPr>
        <w:pStyle w:val="BodyText"/>
        <w:ind w:left="0"/>
      </w:pPr>
    </w:p>
    <w:p w:rsidR="00F939D3" w:rsidRDefault="00F939D3">
      <w:pPr>
        <w:pStyle w:val="BodyText"/>
        <w:spacing w:before="5"/>
        <w:ind w:left="0"/>
      </w:pPr>
    </w:p>
    <w:p w:rsidR="00F939D3" w:rsidRDefault="00F939D3">
      <w:pPr>
        <w:pStyle w:val="BodyText"/>
        <w:sectPr w:rsidR="00F939D3">
          <w:pgSz w:w="12240" w:h="15840"/>
          <w:pgMar w:top="860" w:right="0" w:bottom="1200" w:left="720" w:header="35" w:footer="854" w:gutter="0"/>
          <w:cols w:space="720"/>
        </w:sectPr>
      </w:pPr>
    </w:p>
    <w:p w:rsidR="00F939D3" w:rsidRDefault="005711C9">
      <w:pPr>
        <w:pStyle w:val="BodyText"/>
        <w:spacing w:before="96" w:line="364" w:lineRule="auto"/>
        <w:ind w:right="9"/>
        <w:jc w:val="both"/>
      </w:pPr>
      <w:proofErr w:type="spellStart"/>
      <w:r>
        <w:t>Mmeka</w:t>
      </w:r>
      <w:proofErr w:type="spellEnd"/>
      <w:r>
        <w:t xml:space="preserve">, 2008; </w:t>
      </w:r>
      <w:proofErr w:type="spellStart"/>
      <w:r>
        <w:t>Djeussi</w:t>
      </w:r>
      <w:proofErr w:type="spellEnd"/>
      <w:r>
        <w:t xml:space="preserve"> et al., 2013; </w:t>
      </w:r>
      <w:proofErr w:type="spellStart"/>
      <w:r>
        <w:t>Buah</w:t>
      </w:r>
      <w:proofErr w:type="spellEnd"/>
      <w:r>
        <w:t xml:space="preserve"> et al., </w:t>
      </w:r>
      <w:r>
        <w:rPr>
          <w:spacing w:val="-2"/>
        </w:rPr>
        <w:t>2023).</w:t>
      </w:r>
    </w:p>
    <w:p w:rsidR="00F939D3" w:rsidRDefault="005711C9">
      <w:pPr>
        <w:pStyle w:val="BodyText"/>
        <w:spacing w:before="203" w:line="364" w:lineRule="auto"/>
        <w:jc w:val="both"/>
      </w:pPr>
      <w:r>
        <w:t xml:space="preserve">This study evaluates that the methanolic peel extract of </w:t>
      </w:r>
      <w:r>
        <w:rPr>
          <w:rFonts w:ascii="Arial"/>
          <w:i/>
        </w:rPr>
        <w:t xml:space="preserve">Citrus </w:t>
      </w:r>
      <w:proofErr w:type="spellStart"/>
      <w:r>
        <w:rPr>
          <w:rFonts w:ascii="Arial"/>
          <w:i/>
        </w:rPr>
        <w:t>sinensis</w:t>
      </w:r>
      <w:proofErr w:type="spellEnd"/>
      <w:r>
        <w:rPr>
          <w:rFonts w:ascii="Arial"/>
          <w:i/>
        </w:rPr>
        <w:t xml:space="preserve"> </w:t>
      </w:r>
      <w:r>
        <w:t>possesses meaningful antibacterial activity, with greater efficacy</w:t>
      </w:r>
      <w:r>
        <w:rPr>
          <w:spacing w:val="40"/>
        </w:rPr>
        <w:t xml:space="preserve"> </w:t>
      </w:r>
      <w:r>
        <w:t xml:space="preserve">against Gram-negative </w:t>
      </w:r>
      <w:r>
        <w:rPr>
          <w:rFonts w:ascii="Arial"/>
          <w:i/>
        </w:rPr>
        <w:t xml:space="preserve">E. coli </w:t>
      </w:r>
      <w:r>
        <w:t>than Gram- positive</w:t>
      </w:r>
      <w:r>
        <w:rPr>
          <w:spacing w:val="-3"/>
        </w:rPr>
        <w:t xml:space="preserve"> </w:t>
      </w:r>
      <w:r>
        <w:rPr>
          <w:rFonts w:ascii="Arial"/>
          <w:i/>
        </w:rPr>
        <w:t>S.</w:t>
      </w:r>
      <w:r>
        <w:rPr>
          <w:rFonts w:ascii="Arial"/>
          <w:i/>
          <w:spacing w:val="-6"/>
        </w:rPr>
        <w:t xml:space="preserve"> </w:t>
      </w:r>
      <w:r>
        <w:rPr>
          <w:rFonts w:ascii="Arial"/>
          <w:i/>
        </w:rPr>
        <w:t>aureus</w:t>
      </w:r>
      <w:r>
        <w:t>. Although</w:t>
      </w:r>
      <w:r>
        <w:rPr>
          <w:spacing w:val="-2"/>
        </w:rPr>
        <w:t xml:space="preserve"> </w:t>
      </w:r>
      <w:r>
        <w:t>the</w:t>
      </w:r>
      <w:r>
        <w:rPr>
          <w:spacing w:val="-1"/>
        </w:rPr>
        <w:t xml:space="preserve"> </w:t>
      </w:r>
      <w:r>
        <w:t>extract</w:t>
      </w:r>
      <w:r>
        <w:rPr>
          <w:spacing w:val="-2"/>
        </w:rPr>
        <w:t xml:space="preserve"> </w:t>
      </w:r>
      <w:r>
        <w:t>was less potent than standard antibiotics, its activity coupled with its phytochemical richness</w:t>
      </w:r>
      <w:r>
        <w:rPr>
          <w:spacing w:val="40"/>
        </w:rPr>
        <w:t xml:space="preserve"> </w:t>
      </w:r>
      <w:r>
        <w:t>suggests potential application as a complementary antibacterial agent or as a source of novel bioactive compounds for future drug development.</w:t>
      </w:r>
    </w:p>
    <w:p w:rsidR="00F939D3" w:rsidRDefault="005711C9">
      <w:pPr>
        <w:pStyle w:val="Heading1"/>
        <w:numPr>
          <w:ilvl w:val="0"/>
          <w:numId w:val="1"/>
        </w:numPr>
        <w:tabs>
          <w:tab w:val="left" w:pos="1079"/>
        </w:tabs>
        <w:spacing w:before="187"/>
        <w:ind w:left="1079" w:hanging="359"/>
        <w:jc w:val="both"/>
      </w:pPr>
      <w:r>
        <w:rPr>
          <w:spacing w:val="-2"/>
        </w:rPr>
        <w:t>CONCLUSION</w:t>
      </w:r>
    </w:p>
    <w:p w:rsidR="00F939D3" w:rsidRDefault="00F939D3">
      <w:pPr>
        <w:pStyle w:val="BodyText"/>
        <w:spacing w:before="80"/>
        <w:ind w:left="0"/>
        <w:rPr>
          <w:rFonts w:ascii="Arial"/>
          <w:b/>
          <w:sz w:val="22"/>
        </w:rPr>
      </w:pPr>
    </w:p>
    <w:p w:rsidR="00F939D3" w:rsidRDefault="005711C9">
      <w:pPr>
        <w:pStyle w:val="BodyText"/>
        <w:spacing w:line="362" w:lineRule="auto"/>
        <w:jc w:val="both"/>
      </w:pPr>
      <w:r>
        <w:t xml:space="preserve">The increasing emergence of drug-resistant bacteria necessitates the search for alternative antimicrobial agents from plant sources. Herbal medicines are produced from different parts of particular plants, for example, seeds, roots, stems, barks, leaves, berries etc. The present study demonstrates that the methanolic peel extract of </w:t>
      </w:r>
      <w:r>
        <w:rPr>
          <w:rFonts w:ascii="Arial"/>
          <w:i/>
        </w:rPr>
        <w:t xml:space="preserve">Citrus </w:t>
      </w:r>
      <w:proofErr w:type="spellStart"/>
      <w:r>
        <w:rPr>
          <w:rFonts w:ascii="Arial"/>
          <w:i/>
        </w:rPr>
        <w:t>sinensis</w:t>
      </w:r>
      <w:proofErr w:type="spellEnd"/>
      <w:r>
        <w:rPr>
          <w:rFonts w:ascii="Arial"/>
          <w:i/>
        </w:rPr>
        <w:t xml:space="preserve"> </w:t>
      </w:r>
      <w:r>
        <w:t>possesses measurable antibacterial activity</w:t>
      </w:r>
      <w:r>
        <w:rPr>
          <w:spacing w:val="-1"/>
        </w:rPr>
        <w:t xml:space="preserve"> </w:t>
      </w:r>
      <w:r>
        <w:t xml:space="preserve">against </w:t>
      </w:r>
      <w:r>
        <w:rPr>
          <w:rFonts w:ascii="Arial"/>
          <w:i/>
        </w:rPr>
        <w:t>Escherichia</w:t>
      </w:r>
      <w:r>
        <w:rPr>
          <w:rFonts w:ascii="Arial"/>
          <w:i/>
          <w:spacing w:val="-1"/>
        </w:rPr>
        <w:t xml:space="preserve"> </w:t>
      </w:r>
      <w:r>
        <w:rPr>
          <w:rFonts w:ascii="Arial"/>
          <w:i/>
        </w:rPr>
        <w:t xml:space="preserve">coli </w:t>
      </w:r>
      <w:r>
        <w:t xml:space="preserve">and </w:t>
      </w:r>
      <w:r>
        <w:rPr>
          <w:rFonts w:ascii="Arial"/>
          <w:i/>
        </w:rPr>
        <w:t xml:space="preserve">Staphylococcus aureus. </w:t>
      </w:r>
      <w:r>
        <w:t xml:space="preserve">The extract showed clear concentration-dependent inhibition. For </w:t>
      </w:r>
      <w:r>
        <w:rPr>
          <w:rFonts w:ascii="Arial"/>
          <w:i/>
        </w:rPr>
        <w:t xml:space="preserve">E. coli, </w:t>
      </w:r>
      <w:r>
        <w:t>zones of inhibition increased from 6 mm at</w:t>
      </w:r>
    </w:p>
    <w:p w:rsidR="00F939D3" w:rsidRDefault="005711C9">
      <w:pPr>
        <w:pStyle w:val="BodyText"/>
        <w:spacing w:before="9" w:line="362" w:lineRule="auto"/>
        <w:jc w:val="both"/>
        <w:rPr>
          <w:rFonts w:ascii="Arial"/>
          <w:i/>
        </w:rPr>
      </w:pPr>
      <w:r>
        <w:t xml:space="preserve">6.25 mg/mL to 22 mm at 100 mg/mL, while </w:t>
      </w:r>
      <w:r>
        <w:rPr>
          <w:rFonts w:ascii="Arial"/>
          <w:i/>
        </w:rPr>
        <w:t xml:space="preserve">S. aureus </w:t>
      </w:r>
      <w:r>
        <w:t xml:space="preserve">showed inhibition zones ranging from 6 mm to 16 mm across the same concentrations. The activity of the extract, although significant, was lower than that of standard antibiotics, with ciprofloxacin (positive control) producing a 30 mm inhibition zone against </w:t>
      </w:r>
      <w:r>
        <w:rPr>
          <w:rFonts w:ascii="Arial"/>
          <w:i/>
        </w:rPr>
        <w:t xml:space="preserve">E. coli </w:t>
      </w:r>
      <w:r>
        <w:t xml:space="preserve">and clindamycin yielding 23 mm against </w:t>
      </w:r>
      <w:r>
        <w:rPr>
          <w:rFonts w:ascii="Arial"/>
          <w:i/>
        </w:rPr>
        <w:t>S. aureus.</w:t>
      </w:r>
    </w:p>
    <w:p w:rsidR="00F939D3" w:rsidRDefault="005711C9">
      <w:pPr>
        <w:pStyle w:val="BodyText"/>
        <w:spacing w:before="96" w:line="364" w:lineRule="auto"/>
        <w:ind w:left="680" w:right="1433"/>
        <w:jc w:val="both"/>
      </w:pPr>
      <w:r>
        <w:br w:type="column"/>
      </w:r>
      <w:r>
        <w:t xml:space="preserve">Minimum inhibitory concentration (MIC) and minimum bactericidal concentration (MBC) results further supported these findings. </w:t>
      </w:r>
      <w:r>
        <w:rPr>
          <w:rFonts w:ascii="Arial"/>
          <w:i/>
        </w:rPr>
        <w:t xml:space="preserve">E. coli </w:t>
      </w:r>
      <w:r>
        <w:t>exhibited greater susceptibility, with an MIC of</w:t>
      </w:r>
      <w:r>
        <w:rPr>
          <w:spacing w:val="40"/>
        </w:rPr>
        <w:t xml:space="preserve"> </w:t>
      </w:r>
      <w:r>
        <w:t>25 mg/mL and MBC of 50 mg/mL, compared to</w:t>
      </w:r>
    </w:p>
    <w:p w:rsidR="00F939D3" w:rsidRDefault="005711C9">
      <w:pPr>
        <w:pStyle w:val="BodyText"/>
        <w:spacing w:line="364" w:lineRule="auto"/>
        <w:ind w:left="680" w:right="1429"/>
        <w:jc w:val="both"/>
      </w:pPr>
      <w:r>
        <w:rPr>
          <w:rFonts w:ascii="Arial"/>
          <w:i/>
        </w:rPr>
        <w:t xml:space="preserve">S. aureus, </w:t>
      </w:r>
      <w:r>
        <w:t>which had an MIC of 50 mg/mL and MBC of 100 mg/</w:t>
      </w:r>
      <w:proofErr w:type="spellStart"/>
      <w:r>
        <w:t>mL.</w:t>
      </w:r>
      <w:proofErr w:type="spellEnd"/>
      <w:r>
        <w:t xml:space="preserve"> The lower MIC and MBC values for </w:t>
      </w:r>
      <w:r>
        <w:rPr>
          <w:rFonts w:ascii="Arial"/>
          <w:i/>
        </w:rPr>
        <w:t xml:space="preserve">E. coli </w:t>
      </w:r>
      <w:r>
        <w:t>suggest stronger antibacterial effectiveness of the extract against the Gram- negative organism in this study. The</w:t>
      </w:r>
      <w:r>
        <w:rPr>
          <w:spacing w:val="40"/>
        </w:rPr>
        <w:t xml:space="preserve"> </w:t>
      </w:r>
      <w:r>
        <w:t>antibacterial effects may be attributed to the presence of phytochemicals such as flavonoids, tannins, alkaloids, saponins, phenols, and terpenoids identified in the extract. While the crude extract demonstrated promising activity,</w:t>
      </w:r>
      <w:r>
        <w:rPr>
          <w:spacing w:val="40"/>
        </w:rPr>
        <w:t xml:space="preserve"> </w:t>
      </w:r>
      <w:r>
        <w:t>its efficacy remains lower than that of conventional antibiotics. Therefore, further studies involving purification of active compounds,</w:t>
      </w:r>
      <w:r>
        <w:rPr>
          <w:spacing w:val="-5"/>
        </w:rPr>
        <w:t xml:space="preserve"> </w:t>
      </w:r>
      <w:r>
        <w:t>toxicity</w:t>
      </w:r>
      <w:r>
        <w:rPr>
          <w:spacing w:val="-8"/>
        </w:rPr>
        <w:t xml:space="preserve"> </w:t>
      </w:r>
      <w:r>
        <w:t>evaluation,</w:t>
      </w:r>
      <w:r>
        <w:rPr>
          <w:spacing w:val="-5"/>
        </w:rPr>
        <w:t xml:space="preserve"> </w:t>
      </w:r>
      <w:r>
        <w:t>and</w:t>
      </w:r>
      <w:r>
        <w:rPr>
          <w:spacing w:val="-6"/>
        </w:rPr>
        <w:t xml:space="preserve"> </w:t>
      </w:r>
      <w:r>
        <w:t xml:space="preserve">mechanism- of-action analysis are necessary before therapeutic application can be considered. The result of the present study revealed that the methanolic extract of the </w:t>
      </w:r>
      <w:r>
        <w:rPr>
          <w:rFonts w:ascii="Arial"/>
          <w:i/>
        </w:rPr>
        <w:t xml:space="preserve">C. </w:t>
      </w:r>
      <w:proofErr w:type="spellStart"/>
      <w:r>
        <w:rPr>
          <w:rFonts w:ascii="Arial"/>
          <w:i/>
        </w:rPr>
        <w:t>sinensis</w:t>
      </w:r>
      <w:proofErr w:type="spellEnd"/>
      <w:r>
        <w:rPr>
          <w:rFonts w:ascii="Arial"/>
          <w:i/>
        </w:rPr>
        <w:t xml:space="preserve"> </w:t>
      </w:r>
      <w:r>
        <w:t>peel has antibacterial activity. It can be used as a therapeutic agent in the treatment of gastrointestinal infections. Further detailing</w:t>
      </w:r>
      <w:r>
        <w:rPr>
          <w:spacing w:val="40"/>
        </w:rPr>
        <w:t xml:space="preserve"> </w:t>
      </w:r>
      <w:r>
        <w:t xml:space="preserve">study is necessary to observe the mechanism of impacts closely and to draw an extractive </w:t>
      </w:r>
      <w:r>
        <w:rPr>
          <w:spacing w:val="-2"/>
        </w:rPr>
        <w:t>conclusion.</w:t>
      </w:r>
    </w:p>
    <w:p w:rsidR="00F939D3" w:rsidRDefault="005711C9">
      <w:pPr>
        <w:pStyle w:val="Heading1"/>
        <w:spacing w:before="204"/>
        <w:ind w:left="680"/>
        <w:jc w:val="both"/>
      </w:pPr>
      <w:r>
        <w:t>ETHICAL</w:t>
      </w:r>
      <w:r>
        <w:rPr>
          <w:spacing w:val="-11"/>
        </w:rPr>
        <w:t xml:space="preserve"> </w:t>
      </w:r>
      <w:r>
        <w:rPr>
          <w:spacing w:val="-2"/>
        </w:rPr>
        <w:t>APPROVAL</w:t>
      </w:r>
    </w:p>
    <w:p w:rsidR="00F939D3" w:rsidRDefault="00F939D3">
      <w:pPr>
        <w:pStyle w:val="BodyText"/>
        <w:spacing w:before="75"/>
        <w:ind w:left="0"/>
        <w:rPr>
          <w:rFonts w:ascii="Arial"/>
          <w:b/>
          <w:sz w:val="22"/>
        </w:rPr>
      </w:pPr>
    </w:p>
    <w:p w:rsidR="00F939D3" w:rsidRDefault="005711C9">
      <w:pPr>
        <w:pStyle w:val="BodyText"/>
        <w:spacing w:line="364" w:lineRule="auto"/>
        <w:ind w:left="680" w:right="1442" w:firstLine="55"/>
        <w:jc w:val="both"/>
      </w:pPr>
      <w:r>
        <w:t>Bacterial isolates were obtained from clinical samples provided by Specialist Hospital,</w:t>
      </w:r>
      <w:r>
        <w:rPr>
          <w:spacing w:val="40"/>
        </w:rPr>
        <w:t xml:space="preserve"> </w:t>
      </w:r>
      <w:r>
        <w:t>Gombe, and used strictly for research purposes under laboratory biosafety guidelines.</w:t>
      </w:r>
    </w:p>
    <w:p w:rsidR="00F939D3" w:rsidRDefault="00F939D3">
      <w:pPr>
        <w:pStyle w:val="BodyText"/>
        <w:spacing w:line="364" w:lineRule="auto"/>
        <w:jc w:val="both"/>
        <w:sectPr w:rsidR="00F939D3">
          <w:type w:val="continuous"/>
          <w:pgSz w:w="12240" w:h="15840"/>
          <w:pgMar w:top="860" w:right="0" w:bottom="280" w:left="720" w:header="35" w:footer="854" w:gutter="0"/>
          <w:cols w:num="2" w:space="720" w:equalWidth="0">
            <w:col w:w="5044" w:space="40"/>
            <w:col w:w="6436"/>
          </w:cols>
        </w:sectPr>
      </w:pPr>
    </w:p>
    <w:p w:rsidR="00F939D3" w:rsidRDefault="00F939D3">
      <w:pPr>
        <w:pStyle w:val="BodyText"/>
        <w:ind w:left="0"/>
        <w:rPr>
          <w:sz w:val="22"/>
        </w:rPr>
      </w:pPr>
    </w:p>
    <w:p w:rsidR="00F939D3" w:rsidRDefault="00F939D3">
      <w:pPr>
        <w:pStyle w:val="BodyText"/>
        <w:spacing w:before="51"/>
        <w:ind w:left="0"/>
        <w:rPr>
          <w:sz w:val="22"/>
        </w:rPr>
      </w:pPr>
    </w:p>
    <w:p w:rsidR="00F939D3" w:rsidRDefault="005711C9">
      <w:pPr>
        <w:pStyle w:val="Heading1"/>
      </w:pPr>
      <w:r>
        <w:rPr>
          <w:spacing w:val="-2"/>
        </w:rPr>
        <w:t>ACKNOWLEDGMENT</w:t>
      </w:r>
    </w:p>
    <w:p w:rsidR="00F939D3" w:rsidRDefault="005711C9">
      <w:pPr>
        <w:pStyle w:val="BodyText"/>
        <w:spacing w:before="131" w:line="364" w:lineRule="auto"/>
        <w:ind w:left="0"/>
        <w:jc w:val="both"/>
      </w:pPr>
      <w:r>
        <w:t>The author sincerely appreciates the management and laboratory</w:t>
      </w:r>
      <w:r>
        <w:rPr>
          <w:spacing w:val="-3"/>
        </w:rPr>
        <w:t xml:space="preserve"> </w:t>
      </w:r>
      <w:r>
        <w:t>personnel of Specialist</w:t>
      </w:r>
      <w:r>
        <w:rPr>
          <w:spacing w:val="-1"/>
        </w:rPr>
        <w:t xml:space="preserve"> </w:t>
      </w:r>
      <w:r>
        <w:t>Hospital, Gombe,</w:t>
      </w:r>
      <w:r>
        <w:rPr>
          <w:spacing w:val="-1"/>
        </w:rPr>
        <w:t xml:space="preserve"> </w:t>
      </w:r>
      <w:r>
        <w:t>for granting permission to collect clinical isolates and for their cooperation during the sampling process. Their professionalism and adherence to standard laboratory procedures greatly facilitated this research.</w:t>
      </w:r>
    </w:p>
    <w:p w:rsidR="00F939D3" w:rsidRDefault="005711C9">
      <w:pPr>
        <w:pStyle w:val="BodyText"/>
        <w:spacing w:before="5" w:line="364" w:lineRule="auto"/>
        <w:ind w:left="0"/>
        <w:jc w:val="both"/>
      </w:pPr>
      <w:r>
        <w:t>Gratitude is also extended to the staff of the Microbiology and Botany Laboratories of Gombe State University for providing access to laboratory facilities and essential equipment used for microbiological analysis and phytochemical screening. The technical support and dedication of the laboratory technologists were invaluable to the success of this study. The</w:t>
      </w:r>
      <w:r>
        <w:rPr>
          <w:spacing w:val="40"/>
        </w:rPr>
        <w:t xml:space="preserve"> </w:t>
      </w:r>
      <w:r>
        <w:t xml:space="preserve">author expresses profound gratitude to Dr. </w:t>
      </w:r>
      <w:proofErr w:type="spellStart"/>
      <w:r>
        <w:t>Zachaeus</w:t>
      </w:r>
      <w:proofErr w:type="spellEnd"/>
      <w:r>
        <w:t xml:space="preserve"> </w:t>
      </w:r>
      <w:proofErr w:type="gramStart"/>
      <w:r>
        <w:t>Shehu</w:t>
      </w:r>
      <w:r>
        <w:rPr>
          <w:spacing w:val="72"/>
        </w:rPr>
        <w:t xml:space="preserve">  </w:t>
      </w:r>
      <w:r>
        <w:t>for</w:t>
      </w:r>
      <w:proofErr w:type="gramEnd"/>
      <w:r>
        <w:rPr>
          <w:spacing w:val="72"/>
        </w:rPr>
        <w:t xml:space="preserve">  </w:t>
      </w:r>
      <w:r>
        <w:t>his</w:t>
      </w:r>
      <w:r>
        <w:rPr>
          <w:spacing w:val="73"/>
        </w:rPr>
        <w:t xml:space="preserve">  </w:t>
      </w:r>
      <w:r>
        <w:t>exceptional</w:t>
      </w:r>
      <w:r>
        <w:rPr>
          <w:spacing w:val="72"/>
        </w:rPr>
        <w:t xml:space="preserve">  </w:t>
      </w:r>
      <w:r>
        <w:t>research</w:t>
      </w:r>
      <w:r>
        <w:rPr>
          <w:spacing w:val="75"/>
        </w:rPr>
        <w:t xml:space="preserve">  </w:t>
      </w:r>
      <w:r>
        <w:rPr>
          <w:spacing w:val="-2"/>
        </w:rPr>
        <w:t>support,</w:t>
      </w:r>
    </w:p>
    <w:p w:rsidR="00F939D3" w:rsidRDefault="00F939D3">
      <w:pPr>
        <w:pStyle w:val="BodyText"/>
        <w:spacing w:before="217"/>
        <w:ind w:left="0"/>
      </w:pPr>
    </w:p>
    <w:p w:rsidR="00F939D3" w:rsidRDefault="005711C9">
      <w:pPr>
        <w:pStyle w:val="Heading1"/>
      </w:pPr>
      <w:r>
        <w:rPr>
          <w:spacing w:val="-2"/>
        </w:rPr>
        <w:t>REFERENCES</w:t>
      </w:r>
    </w:p>
    <w:p w:rsidR="00F939D3" w:rsidRDefault="00F939D3">
      <w:pPr>
        <w:pStyle w:val="BodyText"/>
        <w:spacing w:before="80"/>
        <w:ind w:left="0"/>
        <w:rPr>
          <w:rFonts w:ascii="Arial"/>
          <w:b/>
          <w:sz w:val="22"/>
        </w:rPr>
      </w:pPr>
    </w:p>
    <w:p w:rsidR="00F939D3" w:rsidRDefault="005711C9">
      <w:pPr>
        <w:spacing w:line="360" w:lineRule="auto"/>
        <w:ind w:left="720" w:right="37" w:hanging="481"/>
        <w:jc w:val="both"/>
        <w:rPr>
          <w:sz w:val="20"/>
        </w:rPr>
      </w:pPr>
      <w:proofErr w:type="spellStart"/>
      <w:r>
        <w:rPr>
          <w:sz w:val="20"/>
        </w:rPr>
        <w:t>Ahameethunisa</w:t>
      </w:r>
      <w:proofErr w:type="spellEnd"/>
      <w:r>
        <w:rPr>
          <w:sz w:val="20"/>
        </w:rPr>
        <w:t xml:space="preserve">, A. R., &amp; Hopper, W. (2010). </w:t>
      </w:r>
      <w:r>
        <w:rPr>
          <w:rFonts w:ascii="Arial"/>
          <w:i/>
          <w:sz w:val="20"/>
        </w:rPr>
        <w:t>Antibacterial</w:t>
      </w:r>
      <w:r>
        <w:rPr>
          <w:rFonts w:ascii="Arial"/>
          <w:i/>
          <w:spacing w:val="-7"/>
          <w:sz w:val="20"/>
        </w:rPr>
        <w:t xml:space="preserve"> </w:t>
      </w:r>
      <w:r>
        <w:rPr>
          <w:rFonts w:ascii="Arial"/>
          <w:i/>
          <w:sz w:val="20"/>
        </w:rPr>
        <w:t>activity</w:t>
      </w:r>
      <w:r>
        <w:rPr>
          <w:rFonts w:ascii="Arial"/>
          <w:i/>
          <w:spacing w:val="-4"/>
          <w:sz w:val="20"/>
        </w:rPr>
        <w:t xml:space="preserve"> </w:t>
      </w:r>
      <w:r>
        <w:rPr>
          <w:rFonts w:ascii="Arial"/>
          <w:i/>
          <w:sz w:val="20"/>
        </w:rPr>
        <w:t>of</w:t>
      </w:r>
      <w:r>
        <w:rPr>
          <w:rFonts w:ascii="Arial"/>
          <w:i/>
          <w:spacing w:val="-4"/>
          <w:sz w:val="20"/>
        </w:rPr>
        <w:t xml:space="preserve"> </w:t>
      </w:r>
      <w:r>
        <w:rPr>
          <w:rFonts w:ascii="Arial"/>
          <w:i/>
          <w:sz w:val="20"/>
        </w:rPr>
        <w:t>Artemisia</w:t>
      </w:r>
      <w:r>
        <w:rPr>
          <w:rFonts w:ascii="Arial"/>
          <w:i/>
          <w:spacing w:val="-3"/>
          <w:sz w:val="20"/>
        </w:rPr>
        <w:t xml:space="preserve"> </w:t>
      </w:r>
      <w:proofErr w:type="spellStart"/>
      <w:r>
        <w:rPr>
          <w:rFonts w:ascii="Arial"/>
          <w:i/>
          <w:sz w:val="20"/>
        </w:rPr>
        <w:t>nilagirica</w:t>
      </w:r>
      <w:proofErr w:type="spellEnd"/>
      <w:r>
        <w:rPr>
          <w:rFonts w:ascii="Arial"/>
          <w:i/>
          <w:spacing w:val="-3"/>
          <w:sz w:val="20"/>
        </w:rPr>
        <w:t xml:space="preserve"> </w:t>
      </w:r>
      <w:r>
        <w:rPr>
          <w:rFonts w:ascii="Arial"/>
          <w:i/>
          <w:sz w:val="20"/>
        </w:rPr>
        <w:t>leaf extracts against clinical and phytopathogenic bacteria</w:t>
      </w:r>
      <w:r>
        <w:rPr>
          <w:sz w:val="20"/>
        </w:rPr>
        <w:t xml:space="preserve">. </w:t>
      </w:r>
      <w:hyperlink r:id="rId11">
        <w:r>
          <w:rPr>
            <w:color w:val="0000FF"/>
            <w:sz w:val="20"/>
            <w:u w:val="single" w:color="0000FF"/>
          </w:rPr>
          <w:t>http://www.biomedcentral.com/1472-</w:t>
        </w:r>
      </w:hyperlink>
      <w:r>
        <w:rPr>
          <w:color w:val="0000FF"/>
          <w:sz w:val="20"/>
        </w:rPr>
        <w:t xml:space="preserve"> </w:t>
      </w:r>
      <w:hyperlink r:id="rId12">
        <w:r>
          <w:rPr>
            <w:color w:val="0000FF"/>
            <w:spacing w:val="-2"/>
            <w:sz w:val="20"/>
            <w:u w:val="single" w:color="0000FF"/>
          </w:rPr>
          <w:t>6882/10/6</w:t>
        </w:r>
      </w:hyperlink>
    </w:p>
    <w:p w:rsidR="00F939D3" w:rsidRDefault="005711C9">
      <w:pPr>
        <w:pStyle w:val="BodyText"/>
        <w:spacing w:before="211"/>
        <w:ind w:left="240"/>
        <w:jc w:val="both"/>
      </w:pPr>
      <w:r>
        <w:t>Akinyemi,</w:t>
      </w:r>
      <w:r>
        <w:rPr>
          <w:spacing w:val="20"/>
        </w:rPr>
        <w:t xml:space="preserve"> </w:t>
      </w:r>
      <w:r>
        <w:t>K.</w:t>
      </w:r>
      <w:r>
        <w:rPr>
          <w:spacing w:val="19"/>
        </w:rPr>
        <w:t xml:space="preserve"> </w:t>
      </w:r>
      <w:r>
        <w:t>O.,</w:t>
      </w:r>
      <w:r>
        <w:rPr>
          <w:spacing w:val="18"/>
        </w:rPr>
        <w:t xml:space="preserve"> </w:t>
      </w:r>
      <w:proofErr w:type="spellStart"/>
      <w:r>
        <w:t>Oluwa</w:t>
      </w:r>
      <w:proofErr w:type="spellEnd"/>
      <w:r>
        <w:t>,</w:t>
      </w:r>
      <w:r>
        <w:rPr>
          <w:spacing w:val="20"/>
        </w:rPr>
        <w:t xml:space="preserve"> </w:t>
      </w:r>
      <w:r>
        <w:t>O.</w:t>
      </w:r>
      <w:r>
        <w:rPr>
          <w:spacing w:val="19"/>
        </w:rPr>
        <w:t xml:space="preserve"> </w:t>
      </w:r>
      <w:r>
        <w:t>K.,</w:t>
      </w:r>
      <w:r>
        <w:rPr>
          <w:spacing w:val="23"/>
        </w:rPr>
        <w:t xml:space="preserve"> </w:t>
      </w:r>
      <w:r>
        <w:t>&amp;</w:t>
      </w:r>
      <w:r>
        <w:rPr>
          <w:spacing w:val="16"/>
        </w:rPr>
        <w:t xml:space="preserve"> </w:t>
      </w:r>
      <w:proofErr w:type="spellStart"/>
      <w:r>
        <w:t>Omomigbehin</w:t>
      </w:r>
      <w:proofErr w:type="spellEnd"/>
      <w:r>
        <w:t>,</w:t>
      </w:r>
      <w:r>
        <w:rPr>
          <w:spacing w:val="21"/>
        </w:rPr>
        <w:t xml:space="preserve"> </w:t>
      </w:r>
      <w:r>
        <w:rPr>
          <w:spacing w:val="-5"/>
        </w:rPr>
        <w:t>E.</w:t>
      </w:r>
    </w:p>
    <w:p w:rsidR="00F939D3" w:rsidRDefault="005711C9">
      <w:pPr>
        <w:pStyle w:val="BodyText"/>
        <w:spacing w:before="120" w:line="364" w:lineRule="auto"/>
        <w:ind w:right="1"/>
        <w:jc w:val="both"/>
      </w:pPr>
      <w:r>
        <w:t>O. (2005). Antimicrobial activity of crude extracts of three medicinal plants used in South-West Nigerian folk medicine on some food-borne bacterial pathogens. African Journal of Traditional, Complementary and Alternative Medicines, 2(1), 13–22.</w:t>
      </w:r>
    </w:p>
    <w:p w:rsidR="00F939D3" w:rsidRDefault="005711C9">
      <w:pPr>
        <w:pStyle w:val="BodyText"/>
        <w:spacing w:before="4"/>
        <w:ind w:left="240"/>
        <w:jc w:val="both"/>
      </w:pPr>
      <w:proofErr w:type="spellStart"/>
      <w:r>
        <w:t>Asowata</w:t>
      </w:r>
      <w:proofErr w:type="spellEnd"/>
      <w:r>
        <w:t>-Ayodele,</w:t>
      </w:r>
      <w:r>
        <w:rPr>
          <w:spacing w:val="13"/>
        </w:rPr>
        <w:t xml:space="preserve"> </w:t>
      </w:r>
      <w:r>
        <w:t>M.</w:t>
      </w:r>
      <w:r>
        <w:rPr>
          <w:spacing w:val="15"/>
        </w:rPr>
        <w:t xml:space="preserve"> </w:t>
      </w:r>
      <w:r>
        <w:t>A.,</w:t>
      </w:r>
      <w:r>
        <w:rPr>
          <w:spacing w:val="14"/>
        </w:rPr>
        <w:t xml:space="preserve"> </w:t>
      </w:r>
      <w:proofErr w:type="spellStart"/>
      <w:r>
        <w:t>Dabesor</w:t>
      </w:r>
      <w:proofErr w:type="spellEnd"/>
      <w:r>
        <w:t>,</w:t>
      </w:r>
      <w:r>
        <w:rPr>
          <w:spacing w:val="15"/>
        </w:rPr>
        <w:t xml:space="preserve"> </w:t>
      </w:r>
      <w:r>
        <w:t>P.</w:t>
      </w:r>
      <w:r>
        <w:rPr>
          <w:spacing w:val="17"/>
        </w:rPr>
        <w:t xml:space="preserve"> </w:t>
      </w:r>
      <w:r>
        <w:t>A.,</w:t>
      </w:r>
      <w:r>
        <w:rPr>
          <w:spacing w:val="14"/>
        </w:rPr>
        <w:t xml:space="preserve"> </w:t>
      </w:r>
      <w:r>
        <w:t>&amp;</w:t>
      </w:r>
      <w:r>
        <w:rPr>
          <w:spacing w:val="15"/>
        </w:rPr>
        <w:t xml:space="preserve"> </w:t>
      </w:r>
      <w:r>
        <w:rPr>
          <w:spacing w:val="-2"/>
        </w:rPr>
        <w:t>Afolabi,</w:t>
      </w:r>
    </w:p>
    <w:p w:rsidR="00F939D3" w:rsidRDefault="005711C9">
      <w:pPr>
        <w:pStyle w:val="BodyText"/>
        <w:spacing w:before="119" w:line="364" w:lineRule="auto"/>
        <w:ind w:right="3"/>
        <w:jc w:val="both"/>
      </w:pPr>
      <w:r>
        <w:t xml:space="preserve">B. (2019). Phytochemical Compositions and Antimicrobial Activities of Citrus </w:t>
      </w:r>
      <w:proofErr w:type="spellStart"/>
      <w:r>
        <w:t>sinensis</w:t>
      </w:r>
      <w:proofErr w:type="spellEnd"/>
      <w:r>
        <w:t xml:space="preserve"> and Citrus </w:t>
      </w:r>
      <w:proofErr w:type="spellStart"/>
      <w:r>
        <w:t>aurantifolia</w:t>
      </w:r>
      <w:proofErr w:type="spellEnd"/>
      <w:r>
        <w:t xml:space="preserve"> Peels on Selected Pathogenic Bacteria Isolated from Jollof Rice. International</w:t>
      </w:r>
      <w:r>
        <w:rPr>
          <w:spacing w:val="52"/>
        </w:rPr>
        <w:t xml:space="preserve"> </w:t>
      </w:r>
      <w:r>
        <w:t>Journal</w:t>
      </w:r>
      <w:r>
        <w:rPr>
          <w:spacing w:val="53"/>
        </w:rPr>
        <w:t xml:space="preserve"> </w:t>
      </w:r>
      <w:r>
        <w:t>of</w:t>
      </w:r>
      <w:r>
        <w:rPr>
          <w:spacing w:val="54"/>
        </w:rPr>
        <w:t xml:space="preserve"> </w:t>
      </w:r>
      <w:r>
        <w:t>Pathogen</w:t>
      </w:r>
      <w:r>
        <w:rPr>
          <w:spacing w:val="53"/>
        </w:rPr>
        <w:t xml:space="preserve"> </w:t>
      </w:r>
      <w:r>
        <w:rPr>
          <w:spacing w:val="-2"/>
        </w:rPr>
        <w:t>Research,</w:t>
      </w:r>
    </w:p>
    <w:p w:rsidR="00F939D3" w:rsidRDefault="005711C9">
      <w:pPr>
        <w:pStyle w:val="BodyText"/>
        <w:tabs>
          <w:tab w:val="left" w:pos="4488"/>
        </w:tabs>
        <w:spacing w:before="4"/>
        <w:jc w:val="both"/>
      </w:pPr>
      <w:r>
        <w:rPr>
          <w:spacing w:val="-2"/>
          <w:w w:val="110"/>
        </w:rPr>
        <w:t>2(3),</w:t>
      </w:r>
      <w:r>
        <w:tab/>
      </w:r>
      <w:r>
        <w:rPr>
          <w:spacing w:val="-4"/>
          <w:w w:val="110"/>
        </w:rPr>
        <w:t>1–7.</w:t>
      </w:r>
    </w:p>
    <w:p w:rsidR="00F939D3" w:rsidRDefault="005711C9">
      <w:pPr>
        <w:pStyle w:val="BodyText"/>
        <w:spacing w:before="88" w:line="364" w:lineRule="auto"/>
        <w:ind w:left="0" w:right="1038"/>
        <w:jc w:val="both"/>
      </w:pPr>
      <w:r>
        <w:br w:type="column"/>
      </w:r>
      <w:r>
        <w:t xml:space="preserve">leadership, and invaluable academic guidance. His mentorship, constructive criticism, and commitment to excellence significantly contributed to the successful completion of this work. Special appreciation is extended to Dr. Idi </w:t>
      </w:r>
      <w:proofErr w:type="spellStart"/>
      <w:r>
        <w:t>Audu</w:t>
      </w:r>
      <w:proofErr w:type="spellEnd"/>
      <w:r>
        <w:t xml:space="preserve"> for his generous financial assistance and insightful advice, which provided</w:t>
      </w:r>
      <w:r>
        <w:rPr>
          <w:spacing w:val="40"/>
        </w:rPr>
        <w:t xml:space="preserve"> </w:t>
      </w:r>
      <w:r>
        <w:t>crucial support at important stages of this research.</w:t>
      </w:r>
      <w:r>
        <w:rPr>
          <w:spacing w:val="40"/>
        </w:rPr>
        <w:t xml:space="preserve"> </w:t>
      </w:r>
      <w:r>
        <w:t xml:space="preserve">The author also gratefully acknowledges his mother, </w:t>
      </w:r>
      <w:proofErr w:type="spellStart"/>
      <w:r>
        <w:t>Salamatu</w:t>
      </w:r>
      <w:proofErr w:type="spellEnd"/>
      <w:r>
        <w:t xml:space="preserve"> </w:t>
      </w:r>
      <w:proofErr w:type="spellStart"/>
      <w:r>
        <w:t>Audu</w:t>
      </w:r>
      <w:proofErr w:type="spellEnd"/>
      <w:r>
        <w:t>, for her continuous financial support and consistent encouragement, which have played a vital role in sustaining his academic progress.</w:t>
      </w:r>
    </w:p>
    <w:p w:rsidR="00F939D3" w:rsidRDefault="005711C9">
      <w:pPr>
        <w:pStyle w:val="Heading1"/>
        <w:spacing w:before="5"/>
        <w:jc w:val="both"/>
      </w:pPr>
      <w:r>
        <w:t>CONFLICT</w:t>
      </w:r>
      <w:r>
        <w:rPr>
          <w:spacing w:val="-10"/>
        </w:rPr>
        <w:t xml:space="preserve"> </w:t>
      </w:r>
      <w:r>
        <w:t>OF</w:t>
      </w:r>
      <w:r>
        <w:rPr>
          <w:spacing w:val="-10"/>
        </w:rPr>
        <w:t xml:space="preserve"> </w:t>
      </w:r>
      <w:r>
        <w:rPr>
          <w:spacing w:val="-2"/>
        </w:rPr>
        <w:t>INTEREST</w:t>
      </w:r>
    </w:p>
    <w:p w:rsidR="00F939D3" w:rsidRDefault="005711C9">
      <w:pPr>
        <w:pStyle w:val="BodyText"/>
        <w:spacing w:before="132" w:line="367" w:lineRule="auto"/>
        <w:ind w:left="0" w:right="2484"/>
        <w:jc w:val="both"/>
      </w:pPr>
      <w:r>
        <w:t>The author declares that there is no conflict of interest regarding the publication of this study.</w:t>
      </w:r>
    </w:p>
    <w:p w:rsidR="00F939D3" w:rsidRDefault="00F939D3">
      <w:pPr>
        <w:pStyle w:val="BodyText"/>
        <w:ind w:left="0"/>
      </w:pPr>
    </w:p>
    <w:p w:rsidR="00F939D3" w:rsidRDefault="00F939D3">
      <w:pPr>
        <w:pStyle w:val="BodyText"/>
        <w:ind w:left="0"/>
      </w:pPr>
    </w:p>
    <w:p w:rsidR="00F939D3" w:rsidRDefault="00F939D3">
      <w:pPr>
        <w:pStyle w:val="BodyText"/>
        <w:spacing w:before="127"/>
        <w:ind w:left="0"/>
      </w:pPr>
    </w:p>
    <w:p w:rsidR="00F939D3" w:rsidRDefault="005164BC">
      <w:pPr>
        <w:pStyle w:val="BodyText"/>
      </w:pPr>
      <w:hyperlink r:id="rId13">
        <w:r w:rsidR="005711C9">
          <w:rPr>
            <w:color w:val="0462C1"/>
            <w:spacing w:val="-2"/>
            <w:u w:val="single" w:color="0462C1"/>
          </w:rPr>
          <w:t>https://doi.org/10.9734/ijpr/2019/v2i330075</w:t>
        </w:r>
      </w:hyperlink>
    </w:p>
    <w:p w:rsidR="00F939D3" w:rsidRDefault="00F939D3">
      <w:pPr>
        <w:pStyle w:val="BodyText"/>
        <w:spacing w:before="95"/>
        <w:ind w:left="0"/>
      </w:pPr>
    </w:p>
    <w:p w:rsidR="00F939D3" w:rsidRDefault="005711C9">
      <w:pPr>
        <w:pStyle w:val="BodyText"/>
        <w:spacing w:line="364" w:lineRule="auto"/>
        <w:ind w:right="1078" w:hanging="480"/>
        <w:jc w:val="both"/>
      </w:pPr>
      <w:proofErr w:type="spellStart"/>
      <w:r>
        <w:t>Atwaa</w:t>
      </w:r>
      <w:proofErr w:type="spellEnd"/>
      <w:r>
        <w:t xml:space="preserve">, E. S. H., </w:t>
      </w:r>
      <w:proofErr w:type="spellStart"/>
      <w:r>
        <w:t>Shahein</w:t>
      </w:r>
      <w:proofErr w:type="spellEnd"/>
      <w:r>
        <w:t>, M. R., Radwan, H. A., Mohammed,</w:t>
      </w:r>
      <w:r>
        <w:rPr>
          <w:spacing w:val="33"/>
        </w:rPr>
        <w:t xml:space="preserve"> </w:t>
      </w:r>
      <w:r>
        <w:t>N.</w:t>
      </w:r>
      <w:r>
        <w:rPr>
          <w:spacing w:val="30"/>
        </w:rPr>
        <w:t xml:space="preserve"> </w:t>
      </w:r>
      <w:r>
        <w:t>S.,</w:t>
      </w:r>
      <w:r>
        <w:rPr>
          <w:spacing w:val="33"/>
        </w:rPr>
        <w:t xml:space="preserve"> </w:t>
      </w:r>
      <w:proofErr w:type="spellStart"/>
      <w:r>
        <w:t>Aloraini</w:t>
      </w:r>
      <w:proofErr w:type="spellEnd"/>
      <w:r>
        <w:t>,</w:t>
      </w:r>
      <w:r>
        <w:rPr>
          <w:spacing w:val="29"/>
        </w:rPr>
        <w:t xml:space="preserve"> </w:t>
      </w:r>
      <w:r>
        <w:t>M.</w:t>
      </w:r>
      <w:r>
        <w:rPr>
          <w:spacing w:val="34"/>
        </w:rPr>
        <w:t xml:space="preserve"> </w:t>
      </w:r>
      <w:r>
        <w:t>A.,</w:t>
      </w:r>
      <w:r>
        <w:rPr>
          <w:spacing w:val="31"/>
        </w:rPr>
        <w:t xml:space="preserve"> </w:t>
      </w:r>
      <w:proofErr w:type="spellStart"/>
      <w:r>
        <w:rPr>
          <w:spacing w:val="-2"/>
        </w:rPr>
        <w:t>Albezrah</w:t>
      </w:r>
      <w:proofErr w:type="spellEnd"/>
      <w:r>
        <w:rPr>
          <w:spacing w:val="-2"/>
        </w:rPr>
        <w:t>,</w:t>
      </w:r>
    </w:p>
    <w:p w:rsidR="00F939D3" w:rsidRDefault="005711C9">
      <w:pPr>
        <w:pStyle w:val="BodyText"/>
        <w:spacing w:line="225" w:lineRule="exact"/>
        <w:jc w:val="both"/>
      </w:pPr>
      <w:r>
        <w:t>N.</w:t>
      </w:r>
      <w:r>
        <w:rPr>
          <w:spacing w:val="-3"/>
        </w:rPr>
        <w:t xml:space="preserve"> </w:t>
      </w:r>
      <w:r>
        <w:t>K.</w:t>
      </w:r>
      <w:r>
        <w:rPr>
          <w:spacing w:val="2"/>
        </w:rPr>
        <w:t xml:space="preserve"> </w:t>
      </w:r>
      <w:r>
        <w:t>A.,</w:t>
      </w:r>
      <w:r>
        <w:rPr>
          <w:spacing w:val="2"/>
        </w:rPr>
        <w:t xml:space="preserve"> </w:t>
      </w:r>
      <w:proofErr w:type="spellStart"/>
      <w:r>
        <w:t>Alharbi</w:t>
      </w:r>
      <w:proofErr w:type="spellEnd"/>
      <w:r>
        <w:t>,</w:t>
      </w:r>
      <w:r>
        <w:rPr>
          <w:spacing w:val="2"/>
        </w:rPr>
        <w:t xml:space="preserve"> </w:t>
      </w:r>
      <w:proofErr w:type="spellStart"/>
      <w:r>
        <w:t>bM.</w:t>
      </w:r>
      <w:proofErr w:type="spellEnd"/>
      <w:r>
        <w:rPr>
          <w:spacing w:val="2"/>
        </w:rPr>
        <w:t xml:space="preserve"> </w:t>
      </w:r>
      <w:r>
        <w:t>A.,</w:t>
      </w:r>
      <w:r>
        <w:rPr>
          <w:spacing w:val="3"/>
        </w:rPr>
        <w:t xml:space="preserve"> </w:t>
      </w:r>
      <w:r>
        <w:t>Sayed,</w:t>
      </w:r>
      <w:r>
        <w:rPr>
          <w:spacing w:val="1"/>
        </w:rPr>
        <w:t xml:space="preserve"> </w:t>
      </w:r>
      <w:r>
        <w:t>H.</w:t>
      </w:r>
      <w:r>
        <w:rPr>
          <w:spacing w:val="-3"/>
        </w:rPr>
        <w:t xml:space="preserve"> </w:t>
      </w:r>
      <w:r>
        <w:t xml:space="preserve">H., </w:t>
      </w:r>
      <w:r>
        <w:rPr>
          <w:spacing w:val="-2"/>
        </w:rPr>
        <w:t>Daoud,</w:t>
      </w:r>
    </w:p>
    <w:p w:rsidR="00F939D3" w:rsidRDefault="005711C9">
      <w:pPr>
        <w:pStyle w:val="BodyText"/>
        <w:tabs>
          <w:tab w:val="left" w:pos="2592"/>
          <w:tab w:val="left" w:pos="4438"/>
        </w:tabs>
        <w:spacing w:before="119" w:line="364" w:lineRule="auto"/>
        <w:ind w:right="1077"/>
        <w:jc w:val="both"/>
      </w:pPr>
      <w:r>
        <w:t xml:space="preserve">M. A., &amp; </w:t>
      </w:r>
      <w:proofErr w:type="spellStart"/>
      <w:r>
        <w:t>Elmahallawy</w:t>
      </w:r>
      <w:proofErr w:type="spellEnd"/>
      <w:r>
        <w:t xml:space="preserve">, E. K. (2022). Antimicrobial Activity of Some Plant Extracts and Their Applications in Homemade Tomato Paste and Pasteurized Cow Milk as Natural </w:t>
      </w:r>
      <w:r>
        <w:rPr>
          <w:spacing w:val="-2"/>
        </w:rPr>
        <w:t>Preservatives.</w:t>
      </w:r>
      <w:r>
        <w:tab/>
      </w:r>
      <w:r>
        <w:rPr>
          <w:rFonts w:ascii="Arial"/>
          <w:i/>
          <w:spacing w:val="-2"/>
        </w:rPr>
        <w:t>Fermentation</w:t>
      </w:r>
      <w:r>
        <w:rPr>
          <w:spacing w:val="-2"/>
        </w:rPr>
        <w:t>,</w:t>
      </w:r>
      <w:r>
        <w:tab/>
      </w:r>
      <w:r>
        <w:rPr>
          <w:rFonts w:ascii="Arial"/>
          <w:i/>
          <w:spacing w:val="-4"/>
        </w:rPr>
        <w:t>8</w:t>
      </w:r>
      <w:r>
        <w:rPr>
          <w:spacing w:val="-4"/>
        </w:rPr>
        <w:t xml:space="preserve">(9). </w:t>
      </w:r>
      <w:hyperlink r:id="rId14">
        <w:r>
          <w:rPr>
            <w:color w:val="0000FF"/>
            <w:spacing w:val="-2"/>
            <w:u w:val="single" w:color="0000FF"/>
          </w:rPr>
          <w:t>https://doi.org/10.3390/fermentation8090428</w:t>
        </w:r>
      </w:hyperlink>
    </w:p>
    <w:p w:rsidR="00F939D3" w:rsidRDefault="005711C9">
      <w:pPr>
        <w:pStyle w:val="BodyText"/>
        <w:tabs>
          <w:tab w:val="left" w:pos="1643"/>
          <w:tab w:val="left" w:pos="3182"/>
        </w:tabs>
        <w:spacing w:before="206" w:line="364" w:lineRule="auto"/>
        <w:ind w:right="1022" w:hanging="480"/>
        <w:jc w:val="both"/>
      </w:pPr>
      <w:proofErr w:type="spellStart"/>
      <w:r>
        <w:t>Awouafack</w:t>
      </w:r>
      <w:proofErr w:type="spellEnd"/>
      <w:r>
        <w:t xml:space="preserve">, M. D., McGaw, L. J., Gottfried, S., </w:t>
      </w:r>
      <w:proofErr w:type="spellStart"/>
      <w:r>
        <w:t>Mbouangouere</w:t>
      </w:r>
      <w:proofErr w:type="spellEnd"/>
      <w:r>
        <w:t xml:space="preserve">, R., Tane, P., </w:t>
      </w:r>
      <w:proofErr w:type="spellStart"/>
      <w:r>
        <w:t>Spiteller</w:t>
      </w:r>
      <w:proofErr w:type="spellEnd"/>
      <w:r>
        <w:t>, M., &amp; Eloff, J. N. (2013). Antimicrobial activity and cytotoxicity of the ethanol extract, fractions</w:t>
      </w:r>
      <w:r>
        <w:rPr>
          <w:spacing w:val="80"/>
        </w:rPr>
        <w:t xml:space="preserve"> </w:t>
      </w:r>
      <w:r>
        <w:t xml:space="preserve">and eight compounds isolated from </w:t>
      </w:r>
      <w:proofErr w:type="spellStart"/>
      <w:r>
        <w:t>Eriosema</w:t>
      </w:r>
      <w:proofErr w:type="spellEnd"/>
      <w:r>
        <w:t xml:space="preserve"> </w:t>
      </w:r>
      <w:proofErr w:type="spellStart"/>
      <w:r>
        <w:t>robustum</w:t>
      </w:r>
      <w:proofErr w:type="spellEnd"/>
      <w:r>
        <w:t xml:space="preserve"> (Fabaceae). </w:t>
      </w:r>
      <w:r>
        <w:rPr>
          <w:rFonts w:ascii="Arial"/>
          <w:i/>
        </w:rPr>
        <w:t xml:space="preserve">BMC Complementary </w:t>
      </w:r>
      <w:r>
        <w:rPr>
          <w:rFonts w:ascii="Arial"/>
          <w:i/>
          <w:spacing w:val="-5"/>
        </w:rPr>
        <w:t>and</w:t>
      </w:r>
      <w:r>
        <w:rPr>
          <w:rFonts w:ascii="Arial"/>
          <w:i/>
        </w:rPr>
        <w:tab/>
      </w:r>
      <w:r>
        <w:rPr>
          <w:rFonts w:ascii="Arial"/>
          <w:i/>
          <w:spacing w:val="-2"/>
        </w:rPr>
        <w:t>Alternative</w:t>
      </w:r>
      <w:r>
        <w:rPr>
          <w:rFonts w:ascii="Arial"/>
          <w:i/>
        </w:rPr>
        <w:tab/>
      </w:r>
      <w:proofErr w:type="gramStart"/>
      <w:r>
        <w:rPr>
          <w:rFonts w:ascii="Arial"/>
          <w:i/>
        </w:rPr>
        <w:t>Medicine</w:t>
      </w:r>
      <w:r>
        <w:t>,</w:t>
      </w:r>
      <w:r>
        <w:rPr>
          <w:spacing w:val="64"/>
          <w:w w:val="150"/>
        </w:rPr>
        <w:t xml:space="preserve">   </w:t>
      </w:r>
      <w:proofErr w:type="gramEnd"/>
      <w:r>
        <w:rPr>
          <w:spacing w:val="64"/>
          <w:w w:val="150"/>
        </w:rPr>
        <w:t xml:space="preserve"> </w:t>
      </w:r>
      <w:r>
        <w:rPr>
          <w:rFonts w:ascii="Arial"/>
          <w:i/>
          <w:spacing w:val="-5"/>
        </w:rPr>
        <w:t>13</w:t>
      </w:r>
      <w:r>
        <w:rPr>
          <w:spacing w:val="-5"/>
        </w:rPr>
        <w:t>.</w:t>
      </w:r>
    </w:p>
    <w:p w:rsidR="00F939D3" w:rsidRDefault="005164BC">
      <w:pPr>
        <w:pStyle w:val="BodyText"/>
        <w:spacing w:line="219" w:lineRule="exact"/>
      </w:pPr>
      <w:hyperlink r:id="rId15">
        <w:r w:rsidR="005711C9">
          <w:rPr>
            <w:color w:val="0000FF"/>
            <w:spacing w:val="-4"/>
            <w:u w:val="single" w:color="0000FF"/>
          </w:rPr>
          <w:t>https://doi.org/10.1186/1472-6882-13-</w:t>
        </w:r>
        <w:r w:rsidR="005711C9">
          <w:rPr>
            <w:color w:val="0000FF"/>
            <w:spacing w:val="-5"/>
            <w:u w:val="single" w:color="0000FF"/>
          </w:rPr>
          <w:t>289</w:t>
        </w:r>
      </w:hyperlink>
    </w:p>
    <w:p w:rsidR="00F939D3" w:rsidRDefault="005711C9">
      <w:pPr>
        <w:pStyle w:val="BodyText"/>
        <w:spacing w:before="119" w:line="362" w:lineRule="auto"/>
        <w:ind w:right="1022" w:hanging="480"/>
        <w:jc w:val="both"/>
        <w:rPr>
          <w:rFonts w:ascii="Arial"/>
          <w:i/>
        </w:rPr>
      </w:pPr>
      <w:r>
        <w:t xml:space="preserve">Bibi, Y., </w:t>
      </w:r>
      <w:proofErr w:type="spellStart"/>
      <w:r>
        <w:t>Nisa</w:t>
      </w:r>
      <w:proofErr w:type="spellEnd"/>
      <w:r>
        <w:t>, S., Chaudhary, F. M., &amp; Zia, M.</w:t>
      </w:r>
      <w:r>
        <w:rPr>
          <w:spacing w:val="40"/>
        </w:rPr>
        <w:t xml:space="preserve"> </w:t>
      </w:r>
      <w:r>
        <w:t>(2011). Antibacterial activity of some selected medicinal</w:t>
      </w:r>
      <w:r>
        <w:rPr>
          <w:spacing w:val="62"/>
        </w:rPr>
        <w:t xml:space="preserve">   </w:t>
      </w:r>
      <w:r>
        <w:t>plants</w:t>
      </w:r>
      <w:r>
        <w:rPr>
          <w:spacing w:val="62"/>
        </w:rPr>
        <w:t xml:space="preserve">   </w:t>
      </w:r>
      <w:r>
        <w:t>of</w:t>
      </w:r>
      <w:r>
        <w:rPr>
          <w:spacing w:val="64"/>
        </w:rPr>
        <w:t xml:space="preserve">   </w:t>
      </w:r>
      <w:r>
        <w:t>Pakistan.</w:t>
      </w:r>
      <w:r>
        <w:rPr>
          <w:spacing w:val="68"/>
          <w:w w:val="150"/>
        </w:rPr>
        <w:t xml:space="preserve">  </w:t>
      </w:r>
      <w:r>
        <w:rPr>
          <w:rFonts w:ascii="Arial"/>
          <w:i/>
          <w:spacing w:val="-5"/>
        </w:rPr>
        <w:t>BMC</w:t>
      </w:r>
    </w:p>
    <w:p w:rsidR="00F939D3" w:rsidRDefault="00F939D3">
      <w:pPr>
        <w:pStyle w:val="BodyText"/>
        <w:spacing w:line="362" w:lineRule="auto"/>
        <w:jc w:val="both"/>
        <w:rPr>
          <w:rFonts w:ascii="Arial"/>
          <w:i/>
        </w:rPr>
        <w:sectPr w:rsidR="00F939D3">
          <w:pgSz w:w="12240" w:h="15840"/>
          <w:pgMar w:top="860" w:right="0" w:bottom="1120" w:left="720" w:header="35" w:footer="854" w:gutter="0"/>
          <w:cols w:num="2" w:space="720" w:equalWidth="0">
            <w:col w:w="4881" w:space="720"/>
            <w:col w:w="5919"/>
          </w:cols>
        </w:sectPr>
      </w:pPr>
    </w:p>
    <w:p w:rsidR="00F939D3" w:rsidRDefault="005711C9">
      <w:pPr>
        <w:spacing w:before="82" w:line="367" w:lineRule="auto"/>
        <w:ind w:left="720" w:right="45"/>
        <w:jc w:val="both"/>
        <w:rPr>
          <w:sz w:val="20"/>
        </w:rPr>
      </w:pPr>
      <w:r>
        <w:rPr>
          <w:rFonts w:ascii="Arial"/>
          <w:i/>
          <w:sz w:val="20"/>
        </w:rPr>
        <w:lastRenderedPageBreak/>
        <w:t>Complementary and Alternative Medicine</w:t>
      </w:r>
      <w:r>
        <w:rPr>
          <w:sz w:val="20"/>
        </w:rPr>
        <w:t xml:space="preserve">, </w:t>
      </w:r>
      <w:r>
        <w:rPr>
          <w:rFonts w:ascii="Arial"/>
          <w:i/>
          <w:sz w:val="20"/>
        </w:rPr>
        <w:t>11</w:t>
      </w:r>
      <w:r>
        <w:rPr>
          <w:sz w:val="20"/>
        </w:rPr>
        <w:t xml:space="preserve">. </w:t>
      </w:r>
      <w:hyperlink r:id="rId16">
        <w:r>
          <w:rPr>
            <w:color w:val="0000FF"/>
            <w:spacing w:val="-2"/>
            <w:sz w:val="20"/>
            <w:u w:val="single" w:color="0000FF"/>
          </w:rPr>
          <w:t>https://doi.org/10.1186/1472-6882-11-52</w:t>
        </w:r>
      </w:hyperlink>
    </w:p>
    <w:p w:rsidR="00F939D3" w:rsidRDefault="005711C9">
      <w:pPr>
        <w:pStyle w:val="BodyText"/>
        <w:spacing w:line="223" w:lineRule="exact"/>
        <w:ind w:left="240"/>
        <w:jc w:val="both"/>
      </w:pPr>
      <w:r>
        <w:t>Blanche,</w:t>
      </w:r>
      <w:r>
        <w:rPr>
          <w:spacing w:val="68"/>
        </w:rPr>
        <w:t xml:space="preserve"> </w:t>
      </w:r>
      <w:r>
        <w:t>F.,</w:t>
      </w:r>
      <w:r>
        <w:rPr>
          <w:spacing w:val="66"/>
        </w:rPr>
        <w:t xml:space="preserve"> </w:t>
      </w:r>
      <w:r>
        <w:t>Cameron,</w:t>
      </w:r>
      <w:r>
        <w:rPr>
          <w:spacing w:val="65"/>
        </w:rPr>
        <w:t xml:space="preserve"> </w:t>
      </w:r>
      <w:r>
        <w:t>B.</w:t>
      </w:r>
      <w:r>
        <w:rPr>
          <w:spacing w:val="68"/>
        </w:rPr>
        <w:t xml:space="preserve"> </w:t>
      </w:r>
      <w:r>
        <w:t>A.,</w:t>
      </w:r>
      <w:r>
        <w:rPr>
          <w:spacing w:val="68"/>
        </w:rPr>
        <w:t xml:space="preserve"> </w:t>
      </w:r>
      <w:r>
        <w:t>Bernard,</w:t>
      </w:r>
      <w:r>
        <w:rPr>
          <w:spacing w:val="66"/>
        </w:rPr>
        <w:t xml:space="preserve"> </w:t>
      </w:r>
      <w:r>
        <w:t>F.</w:t>
      </w:r>
      <w:r>
        <w:rPr>
          <w:spacing w:val="65"/>
        </w:rPr>
        <w:t xml:space="preserve"> </w:t>
      </w:r>
      <w:r>
        <w:t>O.-</w:t>
      </w:r>
      <w:r>
        <w:rPr>
          <w:spacing w:val="-5"/>
        </w:rPr>
        <w:t>X.,</w:t>
      </w:r>
    </w:p>
    <w:p w:rsidR="00F939D3" w:rsidRDefault="005711C9">
      <w:pPr>
        <w:pStyle w:val="BodyText"/>
        <w:spacing w:before="120"/>
        <w:jc w:val="both"/>
      </w:pPr>
      <w:proofErr w:type="spellStart"/>
      <w:r>
        <w:t>Maton</w:t>
      </w:r>
      <w:proofErr w:type="spellEnd"/>
      <w:r>
        <w:t>,</w:t>
      </w:r>
      <w:r>
        <w:rPr>
          <w:spacing w:val="35"/>
        </w:rPr>
        <w:t xml:space="preserve"> </w:t>
      </w:r>
      <w:r>
        <w:t>L.,</w:t>
      </w:r>
      <w:r>
        <w:rPr>
          <w:spacing w:val="37"/>
        </w:rPr>
        <w:t xml:space="preserve"> </w:t>
      </w:r>
      <w:r>
        <w:t>Né,</w:t>
      </w:r>
      <w:r>
        <w:rPr>
          <w:spacing w:val="43"/>
        </w:rPr>
        <w:t xml:space="preserve"> </w:t>
      </w:r>
      <w:r>
        <w:t>B.</w:t>
      </w:r>
      <w:r>
        <w:rPr>
          <w:spacing w:val="40"/>
        </w:rPr>
        <w:t xml:space="preserve"> </w:t>
      </w:r>
      <w:r>
        <w:t>É.,</w:t>
      </w:r>
      <w:r>
        <w:rPr>
          <w:spacing w:val="38"/>
        </w:rPr>
        <w:t xml:space="preserve"> </w:t>
      </w:r>
      <w:r>
        <w:t>Manse,</w:t>
      </w:r>
      <w:r>
        <w:rPr>
          <w:spacing w:val="37"/>
        </w:rPr>
        <w:t xml:space="preserve"> </w:t>
      </w:r>
      <w:r>
        <w:t>D.,</w:t>
      </w:r>
      <w:r>
        <w:rPr>
          <w:spacing w:val="36"/>
        </w:rPr>
        <w:t xml:space="preserve"> </w:t>
      </w:r>
      <w:r>
        <w:t>Ferrero,</w:t>
      </w:r>
      <w:r>
        <w:rPr>
          <w:spacing w:val="35"/>
        </w:rPr>
        <w:t xml:space="preserve"> </w:t>
      </w:r>
      <w:r>
        <w:rPr>
          <w:spacing w:val="-5"/>
        </w:rPr>
        <w:t>L.,</w:t>
      </w:r>
    </w:p>
    <w:p w:rsidR="00F939D3" w:rsidRDefault="005711C9">
      <w:pPr>
        <w:pStyle w:val="BodyText"/>
        <w:tabs>
          <w:tab w:val="left" w:pos="2960"/>
          <w:tab w:val="left" w:pos="3807"/>
          <w:tab w:val="left" w:pos="4481"/>
        </w:tabs>
        <w:spacing w:before="119" w:line="362" w:lineRule="auto"/>
        <w:ind w:right="40"/>
        <w:jc w:val="both"/>
      </w:pPr>
      <w:proofErr w:type="spellStart"/>
      <w:r>
        <w:t>Ratet</w:t>
      </w:r>
      <w:proofErr w:type="spellEnd"/>
      <w:r>
        <w:t xml:space="preserve">, N., Lecoq, C., </w:t>
      </w:r>
      <w:proofErr w:type="spellStart"/>
      <w:r>
        <w:t>Goniot</w:t>
      </w:r>
      <w:proofErr w:type="spellEnd"/>
      <w:r>
        <w:t xml:space="preserve">, A., </w:t>
      </w:r>
      <w:proofErr w:type="spellStart"/>
      <w:r>
        <w:t>Bisch</w:t>
      </w:r>
      <w:proofErr w:type="spellEnd"/>
      <w:r>
        <w:t xml:space="preserve">, D., &amp; </w:t>
      </w:r>
      <w:proofErr w:type="spellStart"/>
      <w:r>
        <w:t>Crouzet</w:t>
      </w:r>
      <w:proofErr w:type="spellEnd"/>
      <w:r>
        <w:t xml:space="preserve">, J. (1996). Differential Behaviors of Staphylococcus aureus and Escherichia coli Type II DNA Topoisomerases. In </w:t>
      </w:r>
      <w:r>
        <w:rPr>
          <w:rFonts w:ascii="Arial"/>
          <w:i/>
          <w:spacing w:val="-2"/>
        </w:rPr>
        <w:t>ANTIMICROBIAL</w:t>
      </w:r>
      <w:r>
        <w:rPr>
          <w:rFonts w:ascii="Arial"/>
          <w:i/>
        </w:rPr>
        <w:tab/>
      </w:r>
      <w:r>
        <w:rPr>
          <w:rFonts w:ascii="Arial"/>
          <w:i/>
          <w:spacing w:val="-2"/>
        </w:rPr>
        <w:t>AGENTS</w:t>
      </w:r>
      <w:r>
        <w:rPr>
          <w:rFonts w:ascii="Arial"/>
          <w:i/>
        </w:rPr>
        <w:tab/>
      </w:r>
      <w:r>
        <w:rPr>
          <w:rFonts w:ascii="Arial"/>
          <w:i/>
        </w:rPr>
        <w:tab/>
      </w:r>
      <w:r>
        <w:rPr>
          <w:rFonts w:ascii="Arial"/>
          <w:i/>
          <w:spacing w:val="-6"/>
        </w:rPr>
        <w:t xml:space="preserve">AND </w:t>
      </w:r>
      <w:proofErr w:type="gramStart"/>
      <w:r>
        <w:rPr>
          <w:rFonts w:ascii="Arial"/>
          <w:i/>
        </w:rPr>
        <w:t>CHEMOTHERAPY</w:t>
      </w:r>
      <w:r>
        <w:rPr>
          <w:rFonts w:ascii="Arial"/>
          <w:i/>
          <w:spacing w:val="72"/>
          <w:w w:val="150"/>
        </w:rPr>
        <w:t xml:space="preserve">  </w:t>
      </w:r>
      <w:r>
        <w:rPr>
          <w:spacing w:val="-4"/>
        </w:rPr>
        <w:t>(</w:t>
      </w:r>
      <w:proofErr w:type="gramEnd"/>
      <w:r>
        <w:rPr>
          <w:spacing w:val="-4"/>
        </w:rPr>
        <w:t>Vol.</w:t>
      </w:r>
      <w:r>
        <w:tab/>
      </w:r>
      <w:proofErr w:type="gramStart"/>
      <w:r>
        <w:t>40,</w:t>
      </w:r>
      <w:r>
        <w:rPr>
          <w:spacing w:val="54"/>
        </w:rPr>
        <w:t xml:space="preserve">   </w:t>
      </w:r>
      <w:proofErr w:type="gramEnd"/>
      <w:r>
        <w:rPr>
          <w:spacing w:val="-4"/>
        </w:rPr>
        <w:t>Issue</w:t>
      </w:r>
    </w:p>
    <w:p w:rsidR="00F939D3" w:rsidRDefault="005711C9">
      <w:pPr>
        <w:pStyle w:val="BodyText"/>
        <w:spacing w:before="7"/>
      </w:pPr>
      <w:r>
        <w:rPr>
          <w:spacing w:val="-2"/>
        </w:rPr>
        <w:t>12)</w:t>
      </w:r>
      <w:hyperlink r:id="rId17">
        <w:r>
          <w:rPr>
            <w:spacing w:val="-2"/>
          </w:rPr>
          <w:t>.</w:t>
        </w:r>
        <w:r>
          <w:rPr>
            <w:color w:val="0000FF"/>
            <w:spacing w:val="-2"/>
            <w:u w:val="single" w:color="0000FF"/>
          </w:rPr>
          <w:t>https://journals.asm.org/journal/</w:t>
        </w:r>
        <w:proofErr w:type="spellStart"/>
        <w:r>
          <w:rPr>
            <w:color w:val="0000FF"/>
            <w:spacing w:val="-2"/>
            <w:u w:val="single" w:color="0000FF"/>
          </w:rPr>
          <w:t>aac</w:t>
        </w:r>
        <w:proofErr w:type="spellEnd"/>
      </w:hyperlink>
    </w:p>
    <w:p w:rsidR="00F939D3" w:rsidRDefault="00F939D3">
      <w:pPr>
        <w:pStyle w:val="BodyText"/>
        <w:spacing w:before="95"/>
        <w:ind w:left="0"/>
      </w:pPr>
    </w:p>
    <w:p w:rsidR="00F939D3" w:rsidRDefault="005711C9">
      <w:pPr>
        <w:pStyle w:val="BodyText"/>
        <w:spacing w:line="364" w:lineRule="auto"/>
        <w:ind w:right="47" w:hanging="481"/>
        <w:jc w:val="both"/>
      </w:pPr>
      <w:proofErr w:type="spellStart"/>
      <w:r>
        <w:t>Buah</w:t>
      </w:r>
      <w:proofErr w:type="spellEnd"/>
      <w:r>
        <w:t xml:space="preserve">, J. D., Musa, D. D., &amp; </w:t>
      </w:r>
      <w:proofErr w:type="spellStart"/>
      <w:r>
        <w:t>Eberemu</w:t>
      </w:r>
      <w:proofErr w:type="spellEnd"/>
      <w:r>
        <w:t xml:space="preserve">, N. C. (2023). Antibacterial activities of guava (Psidium </w:t>
      </w:r>
      <w:proofErr w:type="spellStart"/>
      <w:r>
        <w:t>guajava</w:t>
      </w:r>
      <w:proofErr w:type="spellEnd"/>
      <w:r>
        <w:t xml:space="preserve">) and orange (Citrus </w:t>
      </w:r>
      <w:proofErr w:type="spellStart"/>
      <w:r>
        <w:t>sinensis</w:t>
      </w:r>
      <w:proofErr w:type="spellEnd"/>
      <w:r>
        <w:t>) leaves extracts on Staphylococcus aureus and Escherichia coli. Sahel Journal of Life Sciences, 1(1), 130–136.</w:t>
      </w:r>
    </w:p>
    <w:p w:rsidR="00F939D3" w:rsidRDefault="005711C9">
      <w:pPr>
        <w:pStyle w:val="BodyText"/>
        <w:spacing w:before="4"/>
        <w:ind w:left="240"/>
        <w:jc w:val="both"/>
      </w:pPr>
      <w:proofErr w:type="spellStart"/>
      <w:r>
        <w:t>Djeussi</w:t>
      </w:r>
      <w:proofErr w:type="spellEnd"/>
      <w:r>
        <w:t>,</w:t>
      </w:r>
      <w:r>
        <w:rPr>
          <w:spacing w:val="19"/>
        </w:rPr>
        <w:t xml:space="preserve"> </w:t>
      </w:r>
      <w:r>
        <w:t>D.</w:t>
      </w:r>
      <w:r>
        <w:rPr>
          <w:spacing w:val="21"/>
        </w:rPr>
        <w:t xml:space="preserve"> </w:t>
      </w:r>
      <w:r>
        <w:t>E.,</w:t>
      </w:r>
      <w:r>
        <w:rPr>
          <w:spacing w:val="19"/>
        </w:rPr>
        <w:t xml:space="preserve"> </w:t>
      </w:r>
      <w:proofErr w:type="spellStart"/>
      <w:r>
        <w:t>Noumedem</w:t>
      </w:r>
      <w:proofErr w:type="spellEnd"/>
      <w:r>
        <w:t>,</w:t>
      </w:r>
      <w:r>
        <w:rPr>
          <w:spacing w:val="19"/>
        </w:rPr>
        <w:t xml:space="preserve"> </w:t>
      </w:r>
      <w:r>
        <w:t>J.</w:t>
      </w:r>
      <w:r>
        <w:rPr>
          <w:spacing w:val="20"/>
        </w:rPr>
        <w:t xml:space="preserve"> </w:t>
      </w:r>
      <w:r>
        <w:t>A.</w:t>
      </w:r>
      <w:r>
        <w:rPr>
          <w:spacing w:val="21"/>
        </w:rPr>
        <w:t xml:space="preserve"> </w:t>
      </w:r>
      <w:r>
        <w:t>K.,</w:t>
      </w:r>
      <w:r>
        <w:rPr>
          <w:spacing w:val="20"/>
        </w:rPr>
        <w:t xml:space="preserve"> </w:t>
      </w:r>
      <w:proofErr w:type="spellStart"/>
      <w:r>
        <w:t>Seukep</w:t>
      </w:r>
      <w:proofErr w:type="spellEnd"/>
      <w:r>
        <w:t>,</w:t>
      </w:r>
      <w:r>
        <w:rPr>
          <w:spacing w:val="20"/>
        </w:rPr>
        <w:t xml:space="preserve"> </w:t>
      </w:r>
      <w:r>
        <w:t>J.</w:t>
      </w:r>
      <w:r>
        <w:rPr>
          <w:spacing w:val="20"/>
        </w:rPr>
        <w:t xml:space="preserve"> </w:t>
      </w:r>
      <w:r>
        <w:rPr>
          <w:spacing w:val="-5"/>
        </w:rPr>
        <w:t>A.,</w:t>
      </w:r>
    </w:p>
    <w:p w:rsidR="00F939D3" w:rsidRDefault="005711C9">
      <w:pPr>
        <w:pStyle w:val="BodyText"/>
        <w:spacing w:before="120"/>
      </w:pPr>
      <w:proofErr w:type="spellStart"/>
      <w:r>
        <w:t>Fankam</w:t>
      </w:r>
      <w:proofErr w:type="spellEnd"/>
      <w:r>
        <w:t>,</w:t>
      </w:r>
      <w:r>
        <w:rPr>
          <w:spacing w:val="16"/>
        </w:rPr>
        <w:t xml:space="preserve"> </w:t>
      </w:r>
      <w:r>
        <w:t>A.</w:t>
      </w:r>
      <w:r>
        <w:rPr>
          <w:spacing w:val="14"/>
        </w:rPr>
        <w:t xml:space="preserve"> </w:t>
      </w:r>
      <w:r>
        <w:t>G.,</w:t>
      </w:r>
      <w:r>
        <w:rPr>
          <w:spacing w:val="19"/>
        </w:rPr>
        <w:t xml:space="preserve"> </w:t>
      </w:r>
      <w:proofErr w:type="spellStart"/>
      <w:r>
        <w:t>Voukeng</w:t>
      </w:r>
      <w:proofErr w:type="spellEnd"/>
      <w:r>
        <w:t>,</w:t>
      </w:r>
      <w:r>
        <w:rPr>
          <w:spacing w:val="20"/>
        </w:rPr>
        <w:t xml:space="preserve"> </w:t>
      </w:r>
      <w:r>
        <w:t>I.</w:t>
      </w:r>
      <w:r>
        <w:rPr>
          <w:spacing w:val="14"/>
        </w:rPr>
        <w:t xml:space="preserve"> </w:t>
      </w:r>
      <w:r>
        <w:t>K.,</w:t>
      </w:r>
      <w:r>
        <w:rPr>
          <w:spacing w:val="16"/>
        </w:rPr>
        <w:t xml:space="preserve"> </w:t>
      </w:r>
      <w:proofErr w:type="spellStart"/>
      <w:r>
        <w:t>Tankeo</w:t>
      </w:r>
      <w:proofErr w:type="spellEnd"/>
      <w:r>
        <w:t>,</w:t>
      </w:r>
      <w:r>
        <w:rPr>
          <w:spacing w:val="18"/>
        </w:rPr>
        <w:t xml:space="preserve"> </w:t>
      </w:r>
      <w:r>
        <w:t>S.</w:t>
      </w:r>
      <w:r>
        <w:rPr>
          <w:spacing w:val="17"/>
        </w:rPr>
        <w:t xml:space="preserve"> </w:t>
      </w:r>
      <w:r>
        <w:rPr>
          <w:spacing w:val="-5"/>
        </w:rPr>
        <w:t>B.,</w:t>
      </w:r>
    </w:p>
    <w:p w:rsidR="00F939D3" w:rsidRDefault="005711C9">
      <w:pPr>
        <w:pStyle w:val="BodyText"/>
        <w:tabs>
          <w:tab w:val="left" w:pos="1557"/>
          <w:tab w:val="left" w:pos="2160"/>
          <w:tab w:val="left" w:pos="2437"/>
          <w:tab w:val="left" w:pos="4320"/>
        </w:tabs>
        <w:spacing w:before="117" w:line="362" w:lineRule="auto"/>
        <w:ind w:right="43"/>
      </w:pPr>
      <w:proofErr w:type="spellStart"/>
      <w:r>
        <w:t>Nkuete</w:t>
      </w:r>
      <w:proofErr w:type="spellEnd"/>
      <w:r>
        <w:t>,</w:t>
      </w:r>
      <w:r>
        <w:rPr>
          <w:spacing w:val="80"/>
          <w:w w:val="150"/>
        </w:rPr>
        <w:t xml:space="preserve"> </w:t>
      </w:r>
      <w:r>
        <w:t>A.</w:t>
      </w:r>
      <w:r>
        <w:rPr>
          <w:spacing w:val="80"/>
          <w:w w:val="150"/>
        </w:rPr>
        <w:t xml:space="preserve"> </w:t>
      </w:r>
      <w:r>
        <w:t>H.</w:t>
      </w:r>
      <w:r>
        <w:rPr>
          <w:spacing w:val="80"/>
          <w:w w:val="150"/>
        </w:rPr>
        <w:t xml:space="preserve"> </w:t>
      </w:r>
      <w:r>
        <w:t>L.,</w:t>
      </w:r>
      <w:r>
        <w:rPr>
          <w:spacing w:val="80"/>
          <w:w w:val="150"/>
        </w:rPr>
        <w:t xml:space="preserve"> </w:t>
      </w:r>
      <w:r>
        <w:t>&amp;</w:t>
      </w:r>
      <w:r>
        <w:rPr>
          <w:spacing w:val="80"/>
          <w:w w:val="150"/>
        </w:rPr>
        <w:t xml:space="preserve"> </w:t>
      </w:r>
      <w:proofErr w:type="spellStart"/>
      <w:r>
        <w:t>Kuete</w:t>
      </w:r>
      <w:proofErr w:type="spellEnd"/>
      <w:r>
        <w:t>,</w:t>
      </w:r>
      <w:r>
        <w:rPr>
          <w:spacing w:val="80"/>
          <w:w w:val="150"/>
        </w:rPr>
        <w:t xml:space="preserve"> </w:t>
      </w:r>
      <w:r>
        <w:t>V.</w:t>
      </w:r>
      <w:r>
        <w:rPr>
          <w:spacing w:val="80"/>
          <w:w w:val="150"/>
        </w:rPr>
        <w:t xml:space="preserve"> </w:t>
      </w:r>
      <w:r>
        <w:t>(2013). Antibacterial</w:t>
      </w:r>
      <w:r>
        <w:rPr>
          <w:spacing w:val="-2"/>
        </w:rPr>
        <w:t xml:space="preserve"> </w:t>
      </w:r>
      <w:r>
        <w:t xml:space="preserve">activities of selected edible plants </w:t>
      </w:r>
      <w:r>
        <w:rPr>
          <w:spacing w:val="-2"/>
        </w:rPr>
        <w:t>extract</w:t>
      </w:r>
      <w:r>
        <w:tab/>
      </w:r>
      <w:r>
        <w:rPr>
          <w:spacing w:val="-2"/>
        </w:rPr>
        <w:t>against</w:t>
      </w:r>
      <w:r>
        <w:tab/>
      </w:r>
      <w:r>
        <w:rPr>
          <w:spacing w:val="-2"/>
        </w:rPr>
        <w:t>multidrug-resistant</w:t>
      </w:r>
      <w:r>
        <w:tab/>
      </w:r>
      <w:r>
        <w:rPr>
          <w:spacing w:val="-4"/>
        </w:rPr>
        <w:t xml:space="preserve">Gram- </w:t>
      </w:r>
      <w:r>
        <w:t>negative</w:t>
      </w:r>
      <w:r>
        <w:rPr>
          <w:spacing w:val="40"/>
        </w:rPr>
        <w:t xml:space="preserve"> </w:t>
      </w:r>
      <w:r>
        <w:t>bacteria.</w:t>
      </w:r>
      <w:r>
        <w:rPr>
          <w:spacing w:val="40"/>
        </w:rPr>
        <w:t xml:space="preserve"> </w:t>
      </w:r>
      <w:r>
        <w:rPr>
          <w:rFonts w:ascii="Arial"/>
          <w:i/>
        </w:rPr>
        <w:t>BMC</w:t>
      </w:r>
      <w:r>
        <w:rPr>
          <w:rFonts w:ascii="Arial"/>
          <w:i/>
          <w:spacing w:val="40"/>
        </w:rPr>
        <w:t xml:space="preserve"> </w:t>
      </w:r>
      <w:r>
        <w:rPr>
          <w:rFonts w:ascii="Arial"/>
          <w:i/>
        </w:rPr>
        <w:t>Complementary</w:t>
      </w:r>
      <w:r>
        <w:rPr>
          <w:rFonts w:ascii="Arial"/>
          <w:i/>
          <w:spacing w:val="40"/>
        </w:rPr>
        <w:t xml:space="preserve"> </w:t>
      </w:r>
      <w:r>
        <w:rPr>
          <w:rFonts w:ascii="Arial"/>
          <w:i/>
        </w:rPr>
        <w:t xml:space="preserve">and </w:t>
      </w:r>
      <w:r>
        <w:rPr>
          <w:rFonts w:ascii="Arial"/>
          <w:i/>
          <w:spacing w:val="-2"/>
        </w:rPr>
        <w:t>Alternative</w:t>
      </w:r>
      <w:r>
        <w:rPr>
          <w:rFonts w:ascii="Arial"/>
          <w:i/>
        </w:rPr>
        <w:tab/>
      </w:r>
      <w:r>
        <w:rPr>
          <w:rFonts w:ascii="Arial"/>
          <w:i/>
          <w:spacing w:val="-2"/>
        </w:rPr>
        <w:t>Medicine</w:t>
      </w:r>
      <w:r>
        <w:rPr>
          <w:spacing w:val="-2"/>
        </w:rPr>
        <w:t>,</w:t>
      </w:r>
      <w:r>
        <w:rPr>
          <w:rFonts w:ascii="Arial"/>
          <w:i/>
          <w:spacing w:val="-2"/>
        </w:rPr>
        <w:t>13</w:t>
      </w:r>
      <w:r>
        <w:rPr>
          <w:spacing w:val="-2"/>
        </w:rPr>
        <w:t xml:space="preserve">. </w:t>
      </w:r>
      <w:hyperlink r:id="rId18">
        <w:r>
          <w:rPr>
            <w:color w:val="0000FF"/>
            <w:spacing w:val="-2"/>
            <w:u w:val="single" w:color="0000FF"/>
          </w:rPr>
          <w:t>https://doi.org/10.1186/1472-6882-13-164</w:t>
        </w:r>
      </w:hyperlink>
    </w:p>
    <w:p w:rsidR="00F939D3" w:rsidRDefault="005711C9">
      <w:pPr>
        <w:pStyle w:val="BodyText"/>
        <w:tabs>
          <w:tab w:val="left" w:pos="2364"/>
          <w:tab w:val="left" w:pos="4239"/>
        </w:tabs>
        <w:spacing w:before="208" w:line="364" w:lineRule="auto"/>
        <w:ind w:right="43" w:hanging="481"/>
        <w:jc w:val="both"/>
      </w:pPr>
      <w:proofErr w:type="spellStart"/>
      <w:r>
        <w:t>Doughari</w:t>
      </w:r>
      <w:proofErr w:type="spellEnd"/>
      <w:r>
        <w:t xml:space="preserve">, J. H. (2012). Phytochemicals: Extraction methods, basic structures, and mode of action as potential chemotherapeutic agents. In T. E. Smith (Ed.), Phytochemicals </w:t>
      </w:r>
      <w:r>
        <w:rPr>
          <w:w w:val="160"/>
        </w:rPr>
        <w:t xml:space="preserve">– </w:t>
      </w:r>
      <w:r>
        <w:t xml:space="preserve">A global perspective of their role in nutrition and health </w:t>
      </w:r>
      <w:r>
        <w:rPr>
          <w:spacing w:val="-4"/>
        </w:rPr>
        <w:t>(pp.</w:t>
      </w:r>
      <w:r>
        <w:tab/>
      </w:r>
      <w:r>
        <w:rPr>
          <w:spacing w:val="-2"/>
        </w:rPr>
        <w:t>1–33).</w:t>
      </w:r>
      <w:r>
        <w:tab/>
      </w:r>
      <w:proofErr w:type="spellStart"/>
      <w:r>
        <w:rPr>
          <w:spacing w:val="-4"/>
        </w:rPr>
        <w:t>InTech</w:t>
      </w:r>
      <w:proofErr w:type="spellEnd"/>
      <w:r>
        <w:rPr>
          <w:spacing w:val="-4"/>
        </w:rPr>
        <w:t xml:space="preserve">. </w:t>
      </w:r>
      <w:hyperlink r:id="rId19">
        <w:r>
          <w:rPr>
            <w:color w:val="0000FF"/>
            <w:spacing w:val="-2"/>
            <w:u w:val="single" w:color="0000FF"/>
          </w:rPr>
          <w:t>https://doi.org/10.5772/13896</w:t>
        </w:r>
      </w:hyperlink>
    </w:p>
    <w:p w:rsidR="00F939D3" w:rsidRDefault="005711C9">
      <w:pPr>
        <w:pStyle w:val="BodyText"/>
        <w:spacing w:before="100" w:line="364" w:lineRule="auto"/>
        <w:ind w:right="46" w:hanging="481"/>
        <w:jc w:val="both"/>
      </w:pPr>
      <w:r>
        <w:t>El-</w:t>
      </w:r>
      <w:proofErr w:type="spellStart"/>
      <w:r>
        <w:t>Desoukey</w:t>
      </w:r>
      <w:proofErr w:type="spellEnd"/>
      <w:r>
        <w:t>, R. M., El-</w:t>
      </w:r>
      <w:proofErr w:type="spellStart"/>
      <w:r>
        <w:t>Mehalawy</w:t>
      </w:r>
      <w:proofErr w:type="spellEnd"/>
      <w:r>
        <w:t xml:space="preserve">, A. A., &amp; El- Sayed, O. H. (2018). Antibacterial activity of Citrus </w:t>
      </w:r>
      <w:proofErr w:type="spellStart"/>
      <w:r>
        <w:t>sinensis</w:t>
      </w:r>
      <w:proofErr w:type="spellEnd"/>
      <w:r>
        <w:t xml:space="preserve"> extracts against selected pathogenic bacteria. International Journal of Microbiology Research, 10(3), 45–53.</w:t>
      </w:r>
    </w:p>
    <w:p w:rsidR="00F939D3" w:rsidRDefault="005711C9">
      <w:pPr>
        <w:pStyle w:val="BodyText"/>
        <w:spacing w:before="97"/>
        <w:ind w:left="240"/>
        <w:jc w:val="both"/>
      </w:pPr>
      <w:r>
        <w:t>Elisha,</w:t>
      </w:r>
      <w:r>
        <w:rPr>
          <w:spacing w:val="21"/>
        </w:rPr>
        <w:t xml:space="preserve"> </w:t>
      </w:r>
      <w:r>
        <w:t>I.</w:t>
      </w:r>
      <w:r>
        <w:rPr>
          <w:spacing w:val="21"/>
        </w:rPr>
        <w:t xml:space="preserve"> </w:t>
      </w:r>
      <w:r>
        <w:t>L.,</w:t>
      </w:r>
      <w:r>
        <w:rPr>
          <w:spacing w:val="22"/>
        </w:rPr>
        <w:t xml:space="preserve"> </w:t>
      </w:r>
      <w:r>
        <w:t>Botha,</w:t>
      </w:r>
      <w:r>
        <w:rPr>
          <w:spacing w:val="21"/>
        </w:rPr>
        <w:t xml:space="preserve"> </w:t>
      </w:r>
      <w:r>
        <w:t>F.</w:t>
      </w:r>
      <w:r>
        <w:rPr>
          <w:spacing w:val="21"/>
        </w:rPr>
        <w:t xml:space="preserve"> </w:t>
      </w:r>
      <w:r>
        <w:t>S.,</w:t>
      </w:r>
      <w:r>
        <w:rPr>
          <w:spacing w:val="26"/>
        </w:rPr>
        <w:t xml:space="preserve"> </w:t>
      </w:r>
      <w:r>
        <w:t>McGaw,</w:t>
      </w:r>
      <w:r>
        <w:rPr>
          <w:spacing w:val="20"/>
        </w:rPr>
        <w:t xml:space="preserve"> </w:t>
      </w:r>
      <w:r>
        <w:t>L.</w:t>
      </w:r>
      <w:r>
        <w:rPr>
          <w:spacing w:val="19"/>
        </w:rPr>
        <w:t xml:space="preserve"> </w:t>
      </w:r>
      <w:r>
        <w:t>J.,</w:t>
      </w:r>
      <w:r>
        <w:rPr>
          <w:spacing w:val="21"/>
        </w:rPr>
        <w:t xml:space="preserve"> </w:t>
      </w:r>
      <w:r>
        <w:t>&amp;</w:t>
      </w:r>
      <w:r>
        <w:rPr>
          <w:spacing w:val="21"/>
        </w:rPr>
        <w:t xml:space="preserve"> </w:t>
      </w:r>
      <w:r>
        <w:t>Eloff,</w:t>
      </w:r>
      <w:r>
        <w:rPr>
          <w:spacing w:val="22"/>
        </w:rPr>
        <w:t xml:space="preserve"> </w:t>
      </w:r>
      <w:r>
        <w:rPr>
          <w:spacing w:val="-5"/>
        </w:rPr>
        <w:t>J.</w:t>
      </w:r>
    </w:p>
    <w:p w:rsidR="00F939D3" w:rsidRDefault="005711C9">
      <w:pPr>
        <w:pStyle w:val="BodyText"/>
        <w:tabs>
          <w:tab w:val="left" w:pos="2160"/>
        </w:tabs>
        <w:spacing w:before="88" w:line="364" w:lineRule="auto"/>
        <w:ind w:right="1042"/>
        <w:jc w:val="both"/>
      </w:pPr>
      <w:r>
        <w:br w:type="column"/>
      </w:r>
      <w:r>
        <w:t>N. (2017a). The antibacterial activity of</w:t>
      </w:r>
      <w:r>
        <w:rPr>
          <w:spacing w:val="40"/>
        </w:rPr>
        <w:t xml:space="preserve"> </w:t>
      </w:r>
      <w:r>
        <w:t>extracts of nine plant species with good</w:t>
      </w:r>
      <w:r>
        <w:rPr>
          <w:spacing w:val="80"/>
        </w:rPr>
        <w:t xml:space="preserve"> </w:t>
      </w:r>
      <w:r>
        <w:t>activity against Escherichia coli against five other bacteria and cytotoxicity of extracts.</w:t>
      </w:r>
      <w:r>
        <w:rPr>
          <w:spacing w:val="40"/>
        </w:rPr>
        <w:t xml:space="preserve"> </w:t>
      </w:r>
      <w:r>
        <w:rPr>
          <w:rFonts w:ascii="Arial"/>
          <w:i/>
        </w:rPr>
        <w:t>BMC Complementary and Alternative</w:t>
      </w:r>
      <w:r>
        <w:rPr>
          <w:rFonts w:ascii="Arial"/>
          <w:i/>
          <w:spacing w:val="40"/>
        </w:rPr>
        <w:t xml:space="preserve"> </w:t>
      </w:r>
      <w:r>
        <w:rPr>
          <w:rFonts w:ascii="Arial"/>
          <w:i/>
          <w:spacing w:val="-2"/>
        </w:rPr>
        <w:t>Medicine</w:t>
      </w:r>
      <w:r>
        <w:rPr>
          <w:spacing w:val="-2"/>
        </w:rPr>
        <w:t>,</w:t>
      </w:r>
      <w:r>
        <w:tab/>
      </w:r>
      <w:r>
        <w:rPr>
          <w:rFonts w:ascii="Arial"/>
          <w:i/>
        </w:rPr>
        <w:t>17</w:t>
      </w:r>
      <w:r>
        <w:t>(1),</w:t>
      </w:r>
      <w:r>
        <w:rPr>
          <w:spacing w:val="80"/>
          <w:w w:val="150"/>
        </w:rPr>
        <w:t xml:space="preserve"> </w:t>
      </w:r>
      <w:r>
        <w:t>133.</w:t>
      </w:r>
    </w:p>
    <w:p w:rsidR="00F939D3" w:rsidRDefault="005164BC">
      <w:pPr>
        <w:pStyle w:val="BodyText"/>
        <w:spacing w:line="220" w:lineRule="exact"/>
        <w:ind w:left="240"/>
      </w:pPr>
      <w:hyperlink r:id="rId20">
        <w:r w:rsidR="005711C9">
          <w:rPr>
            <w:color w:val="0000FF"/>
            <w:spacing w:val="-4"/>
            <w:u w:val="single" w:color="0000FF"/>
          </w:rPr>
          <w:t>https://doi.org/10.1186/s12906-017-1645-</w:t>
        </w:r>
        <w:r w:rsidR="005711C9">
          <w:rPr>
            <w:color w:val="0000FF"/>
            <w:spacing w:val="-10"/>
            <w:u w:val="single" w:color="0000FF"/>
          </w:rPr>
          <w:t>z</w:t>
        </w:r>
      </w:hyperlink>
    </w:p>
    <w:p w:rsidR="00F939D3" w:rsidRDefault="005711C9">
      <w:pPr>
        <w:pStyle w:val="BodyText"/>
        <w:spacing w:before="122" w:line="362" w:lineRule="auto"/>
        <w:ind w:right="1075" w:hanging="480"/>
        <w:jc w:val="both"/>
      </w:pPr>
      <w:r>
        <w:t xml:space="preserve">Jahan, F., Lawrence, R., Kumar, V., &amp; Junaid, M. (2011). Evaluation of antimicrobial activity of plant extracts on antibiotic-susceptible and resistant Staphylococcus aureus strains. </w:t>
      </w:r>
      <w:r>
        <w:rPr>
          <w:rFonts w:ascii="Arial" w:hAnsi="Arial"/>
          <w:i/>
        </w:rPr>
        <w:t>J. Chem. Pharm. Res</w:t>
      </w:r>
      <w:r>
        <w:t xml:space="preserve">, </w:t>
      </w:r>
      <w:r>
        <w:rPr>
          <w:rFonts w:ascii="Arial" w:hAnsi="Arial"/>
          <w:i/>
        </w:rPr>
        <w:t>3</w:t>
      </w:r>
      <w:r>
        <w:t xml:space="preserve">(4), 777–789. </w:t>
      </w:r>
      <w:hyperlink r:id="rId21">
        <w:r>
          <w:rPr>
            <w:color w:val="0000FF"/>
            <w:spacing w:val="-2"/>
            <w:u w:val="single" w:color="0000FF"/>
          </w:rPr>
          <w:t>www.jocpr.com</w:t>
        </w:r>
      </w:hyperlink>
    </w:p>
    <w:p w:rsidR="00F939D3" w:rsidRDefault="005711C9">
      <w:pPr>
        <w:pStyle w:val="BodyText"/>
        <w:tabs>
          <w:tab w:val="left" w:pos="2582"/>
          <w:tab w:val="left" w:pos="4340"/>
        </w:tabs>
        <w:spacing w:before="209" w:line="364" w:lineRule="auto"/>
        <w:ind w:right="1075" w:hanging="480"/>
        <w:jc w:val="both"/>
      </w:pPr>
      <w:proofErr w:type="spellStart"/>
      <w:r>
        <w:t>Jmii</w:t>
      </w:r>
      <w:proofErr w:type="spellEnd"/>
      <w:r>
        <w:t xml:space="preserve">, G., Molinillo, J. M. G., </w:t>
      </w:r>
      <w:proofErr w:type="spellStart"/>
      <w:r>
        <w:t>Zorrilla</w:t>
      </w:r>
      <w:proofErr w:type="spellEnd"/>
      <w:r>
        <w:t xml:space="preserve">, J. G., &amp; </w:t>
      </w:r>
      <w:proofErr w:type="spellStart"/>
      <w:r>
        <w:t>Haouala</w:t>
      </w:r>
      <w:proofErr w:type="spellEnd"/>
      <w:r>
        <w:t xml:space="preserve">, R. (2020). Allelopathic activity of Palma, M., &amp; Cheung, A. L. (2001). </w:t>
      </w:r>
      <w:proofErr w:type="spellStart"/>
      <w:r>
        <w:t>σB</w:t>
      </w:r>
      <w:proofErr w:type="spellEnd"/>
      <w:r>
        <w:t xml:space="preserve"> activity in Staphylococcus aureus is controlled by </w:t>
      </w:r>
      <w:proofErr w:type="spellStart"/>
      <w:r>
        <w:t>RsbU</w:t>
      </w:r>
      <w:proofErr w:type="spellEnd"/>
      <w:r>
        <w:t xml:space="preserve"> and an additional factor(s) during bacterial growth. </w:t>
      </w:r>
      <w:r>
        <w:rPr>
          <w:rFonts w:ascii="Arial" w:hAnsi="Arial"/>
          <w:i/>
        </w:rPr>
        <w:t>Infection and Immunity</w:t>
      </w:r>
      <w:r>
        <w:t xml:space="preserve">, </w:t>
      </w:r>
      <w:r>
        <w:rPr>
          <w:rFonts w:ascii="Arial" w:hAnsi="Arial"/>
          <w:i/>
          <w:spacing w:val="-2"/>
        </w:rPr>
        <w:t>69</w:t>
      </w:r>
      <w:r>
        <w:rPr>
          <w:spacing w:val="-2"/>
        </w:rPr>
        <w:t>(12),</w:t>
      </w:r>
      <w:r>
        <w:tab/>
      </w:r>
      <w:r>
        <w:rPr>
          <w:spacing w:val="-2"/>
        </w:rPr>
        <w:t>7858–</w:t>
      </w:r>
      <w:r>
        <w:rPr>
          <w:rFonts w:ascii="Times New Roman" w:hAnsi="Times New Roman"/>
        </w:rPr>
        <w:tab/>
      </w:r>
      <w:r>
        <w:rPr>
          <w:spacing w:val="-2"/>
        </w:rPr>
        <w:t>7865.</w:t>
      </w:r>
    </w:p>
    <w:p w:rsidR="00F939D3" w:rsidRDefault="005164BC">
      <w:pPr>
        <w:pStyle w:val="BodyText"/>
        <w:spacing w:line="364" w:lineRule="auto"/>
        <w:ind w:right="1032"/>
      </w:pPr>
      <w:hyperlink r:id="rId22">
        <w:r w:rsidR="005711C9">
          <w:rPr>
            <w:color w:val="0000FF"/>
            <w:spacing w:val="-4"/>
            <w:u w:val="single" w:color="0000FF"/>
          </w:rPr>
          <w:t>https://doi.org/10.1128/IAI.69.12.7858-</w:t>
        </w:r>
      </w:hyperlink>
      <w:r w:rsidR="005711C9">
        <w:rPr>
          <w:color w:val="0000FF"/>
          <w:spacing w:val="-4"/>
        </w:rPr>
        <w:t xml:space="preserve"> </w:t>
      </w:r>
      <w:hyperlink r:id="rId23">
        <w:r w:rsidR="005711C9">
          <w:rPr>
            <w:color w:val="0000FF"/>
            <w:spacing w:val="-2"/>
            <w:u w:val="single" w:color="0000FF"/>
          </w:rPr>
          <w:t>7865.2001</w:t>
        </w:r>
      </w:hyperlink>
    </w:p>
    <w:p w:rsidR="00F939D3" w:rsidRDefault="005711C9">
      <w:pPr>
        <w:pStyle w:val="BodyText"/>
        <w:ind w:left="240"/>
        <w:jc w:val="both"/>
      </w:pPr>
      <w:r>
        <w:t>Kaya,</w:t>
      </w:r>
      <w:r>
        <w:rPr>
          <w:spacing w:val="59"/>
        </w:rPr>
        <w:t xml:space="preserve"> </w:t>
      </w:r>
      <w:r>
        <w:t>G.</w:t>
      </w:r>
      <w:r>
        <w:rPr>
          <w:spacing w:val="62"/>
        </w:rPr>
        <w:t xml:space="preserve"> </w:t>
      </w:r>
      <w:r>
        <w:t>I.,</w:t>
      </w:r>
      <w:r>
        <w:rPr>
          <w:spacing w:val="60"/>
        </w:rPr>
        <w:t xml:space="preserve"> </w:t>
      </w:r>
      <w:proofErr w:type="spellStart"/>
      <w:r>
        <w:t>Uzun</w:t>
      </w:r>
      <w:proofErr w:type="spellEnd"/>
      <w:r>
        <w:t>,</w:t>
      </w:r>
      <w:r>
        <w:rPr>
          <w:spacing w:val="65"/>
        </w:rPr>
        <w:t xml:space="preserve"> </w:t>
      </w:r>
      <w:r>
        <w:t>K.,</w:t>
      </w:r>
      <w:r>
        <w:rPr>
          <w:spacing w:val="62"/>
        </w:rPr>
        <w:t xml:space="preserve"> </w:t>
      </w:r>
      <w:r>
        <w:t>Bozkurt,</w:t>
      </w:r>
      <w:r>
        <w:rPr>
          <w:spacing w:val="61"/>
        </w:rPr>
        <w:t xml:space="preserve"> </w:t>
      </w:r>
      <w:r>
        <w:t>B.,</w:t>
      </w:r>
      <w:r>
        <w:rPr>
          <w:spacing w:val="59"/>
        </w:rPr>
        <w:t xml:space="preserve"> </w:t>
      </w:r>
      <w:proofErr w:type="spellStart"/>
      <w:r>
        <w:t>Onur</w:t>
      </w:r>
      <w:proofErr w:type="spellEnd"/>
      <w:r>
        <w:t>,</w:t>
      </w:r>
      <w:r>
        <w:rPr>
          <w:spacing w:val="60"/>
        </w:rPr>
        <w:t xml:space="preserve"> </w:t>
      </w:r>
      <w:r>
        <w:t>M.</w:t>
      </w:r>
      <w:r>
        <w:rPr>
          <w:spacing w:val="62"/>
        </w:rPr>
        <w:t xml:space="preserve"> </w:t>
      </w:r>
      <w:r>
        <w:rPr>
          <w:spacing w:val="-5"/>
        </w:rPr>
        <w:t>A.,</w:t>
      </w:r>
    </w:p>
    <w:p w:rsidR="00F939D3" w:rsidRDefault="005711C9">
      <w:pPr>
        <w:pStyle w:val="BodyText"/>
        <w:spacing w:before="115" w:line="362" w:lineRule="auto"/>
        <w:ind w:right="1028"/>
        <w:jc w:val="both"/>
      </w:pPr>
      <w:proofErr w:type="spellStart"/>
      <w:r>
        <w:t>Somer</w:t>
      </w:r>
      <w:proofErr w:type="spellEnd"/>
      <w:r>
        <w:t xml:space="preserve">, N. U., </w:t>
      </w:r>
      <w:proofErr w:type="spellStart"/>
      <w:r>
        <w:t>Glatzel</w:t>
      </w:r>
      <w:proofErr w:type="spellEnd"/>
      <w:r>
        <w:t xml:space="preserve">, D., &amp; </w:t>
      </w:r>
      <w:proofErr w:type="spellStart"/>
      <w:r>
        <w:t>Fürst</w:t>
      </w:r>
      <w:proofErr w:type="spellEnd"/>
      <w:r>
        <w:t>, R. (2017). Chemical characterization and biological activity</w:t>
      </w:r>
      <w:r>
        <w:rPr>
          <w:spacing w:val="-3"/>
        </w:rPr>
        <w:t xml:space="preserve"> </w:t>
      </w:r>
      <w:r>
        <w:t>of an</w:t>
      </w:r>
      <w:r>
        <w:rPr>
          <w:spacing w:val="-1"/>
        </w:rPr>
        <w:t xml:space="preserve"> </w:t>
      </w:r>
      <w:r>
        <w:t xml:space="preserve">endemic </w:t>
      </w:r>
      <w:proofErr w:type="spellStart"/>
      <w:r>
        <w:t>Amaryllidaceae</w:t>
      </w:r>
      <w:proofErr w:type="spellEnd"/>
      <w:r>
        <w:rPr>
          <w:spacing w:val="-1"/>
        </w:rPr>
        <w:t xml:space="preserve"> </w:t>
      </w:r>
      <w:r>
        <w:t xml:space="preserve">species: Galanthus </w:t>
      </w:r>
      <w:proofErr w:type="spellStart"/>
      <w:r>
        <w:t>cilicicus</w:t>
      </w:r>
      <w:proofErr w:type="spellEnd"/>
      <w:r>
        <w:t xml:space="preserve">. </w:t>
      </w:r>
      <w:r>
        <w:rPr>
          <w:rFonts w:ascii="Arial" w:hAnsi="Arial"/>
          <w:i/>
        </w:rPr>
        <w:t>South African Journal of Botany</w:t>
      </w:r>
      <w:r>
        <w:t xml:space="preserve">, </w:t>
      </w:r>
      <w:proofErr w:type="gramStart"/>
      <w:r>
        <w:rPr>
          <w:rFonts w:ascii="Arial" w:hAnsi="Arial"/>
          <w:i/>
        </w:rPr>
        <w:t>108</w:t>
      </w:r>
      <w:r>
        <w:t>,</w:t>
      </w:r>
      <w:r>
        <w:rPr>
          <w:spacing w:val="80"/>
        </w:rPr>
        <w:t xml:space="preserve">  </w:t>
      </w:r>
      <w:r>
        <w:t>256</w:t>
      </w:r>
      <w:proofErr w:type="gramEnd"/>
      <w:r>
        <w:t>–260.</w:t>
      </w:r>
    </w:p>
    <w:p w:rsidR="00F939D3" w:rsidRDefault="005164BC">
      <w:pPr>
        <w:pStyle w:val="BodyText"/>
        <w:spacing w:before="4"/>
      </w:pPr>
      <w:hyperlink r:id="rId24">
        <w:r w:rsidR="005711C9">
          <w:rPr>
            <w:color w:val="0000FF"/>
            <w:spacing w:val="-2"/>
            <w:u w:val="single" w:color="0000FF"/>
          </w:rPr>
          <w:t>https://doi.org/10.1016/j.sajb.2016.11.008</w:t>
        </w:r>
      </w:hyperlink>
    </w:p>
    <w:p w:rsidR="00F939D3" w:rsidRDefault="00F939D3">
      <w:pPr>
        <w:pStyle w:val="BodyText"/>
        <w:spacing w:before="94"/>
        <w:ind w:left="0"/>
      </w:pPr>
    </w:p>
    <w:p w:rsidR="00F939D3" w:rsidRDefault="005711C9">
      <w:pPr>
        <w:pStyle w:val="BodyText"/>
        <w:spacing w:line="364" w:lineRule="auto"/>
        <w:ind w:right="1025" w:hanging="480"/>
        <w:jc w:val="both"/>
      </w:pPr>
      <w:proofErr w:type="spellStart"/>
      <w:r>
        <w:t>Kudatarkar</w:t>
      </w:r>
      <w:proofErr w:type="spellEnd"/>
      <w:r>
        <w:t>, N., &amp; Nayak, S. (2018). Phytochemical constituents and therapeutic potential of medicinal plants: A review. International Journal of Pharmacognosy and Phytochemical Research, 10(2), 120–128.</w:t>
      </w:r>
    </w:p>
    <w:p w:rsidR="00F939D3" w:rsidRDefault="005711C9">
      <w:pPr>
        <w:pStyle w:val="BodyText"/>
        <w:spacing w:before="3" w:line="364" w:lineRule="auto"/>
        <w:ind w:right="1027" w:hanging="480"/>
        <w:jc w:val="both"/>
      </w:pPr>
      <w:r>
        <w:t>Kumar,</w:t>
      </w:r>
      <w:r>
        <w:rPr>
          <w:spacing w:val="-4"/>
        </w:rPr>
        <w:t xml:space="preserve"> </w:t>
      </w:r>
      <w:r>
        <w:t>A.,</w:t>
      </w:r>
      <w:r>
        <w:rPr>
          <w:spacing w:val="-3"/>
        </w:rPr>
        <w:t xml:space="preserve"> </w:t>
      </w:r>
      <w:r>
        <w:t>Mahajan,</w:t>
      </w:r>
      <w:r>
        <w:rPr>
          <w:spacing w:val="-2"/>
        </w:rPr>
        <w:t xml:space="preserve"> </w:t>
      </w:r>
      <w:r>
        <w:t>A.,</w:t>
      </w:r>
      <w:r>
        <w:rPr>
          <w:spacing w:val="-2"/>
        </w:rPr>
        <w:t xml:space="preserve"> </w:t>
      </w:r>
      <w:r>
        <w:t>&amp;</w:t>
      </w:r>
      <w:r>
        <w:rPr>
          <w:spacing w:val="-1"/>
        </w:rPr>
        <w:t xml:space="preserve"> </w:t>
      </w:r>
      <w:r>
        <w:t>Begum,</w:t>
      </w:r>
      <w:r>
        <w:rPr>
          <w:spacing w:val="-4"/>
        </w:rPr>
        <w:t xml:space="preserve"> </w:t>
      </w:r>
      <w:r>
        <w:t>Z.</w:t>
      </w:r>
      <w:r>
        <w:rPr>
          <w:spacing w:val="-4"/>
        </w:rPr>
        <w:t xml:space="preserve"> </w:t>
      </w:r>
      <w:r>
        <w:t>(2022).</w:t>
      </w:r>
      <w:r>
        <w:rPr>
          <w:spacing w:val="-2"/>
        </w:rPr>
        <w:t xml:space="preserve"> </w:t>
      </w:r>
      <w:r>
        <w:t>In-vitro Estimation of</w:t>
      </w:r>
      <w:r>
        <w:rPr>
          <w:spacing w:val="40"/>
        </w:rPr>
        <w:t xml:space="preserve"> </w:t>
      </w:r>
      <w:r>
        <w:t xml:space="preserve">Phytochemicals &amp; Flavonoids in Citrus </w:t>
      </w:r>
      <w:proofErr w:type="spellStart"/>
      <w:r>
        <w:t>sinensis</w:t>
      </w:r>
      <w:proofErr w:type="spellEnd"/>
      <w:r>
        <w:t xml:space="preserve"> &amp; Study their Antimicrobial &amp; Antioxidant</w:t>
      </w:r>
      <w:r>
        <w:rPr>
          <w:spacing w:val="-6"/>
        </w:rPr>
        <w:t xml:space="preserve"> </w:t>
      </w:r>
      <w:r>
        <w:t>Activity.</w:t>
      </w:r>
      <w:r>
        <w:rPr>
          <w:spacing w:val="-5"/>
        </w:rPr>
        <w:t xml:space="preserve"> </w:t>
      </w:r>
      <w:r>
        <w:t>Asian</w:t>
      </w:r>
      <w:r>
        <w:rPr>
          <w:spacing w:val="-7"/>
        </w:rPr>
        <w:t xml:space="preserve"> </w:t>
      </w:r>
      <w:r>
        <w:t>Journal</w:t>
      </w:r>
      <w:r>
        <w:rPr>
          <w:spacing w:val="-8"/>
        </w:rPr>
        <w:t xml:space="preserve"> </w:t>
      </w:r>
      <w:r>
        <w:t>of</w:t>
      </w:r>
      <w:r>
        <w:rPr>
          <w:spacing w:val="-6"/>
        </w:rPr>
        <w:t xml:space="preserve"> </w:t>
      </w:r>
      <w:r>
        <w:rPr>
          <w:spacing w:val="-2"/>
        </w:rPr>
        <w:t>Advanced</w:t>
      </w:r>
    </w:p>
    <w:p w:rsidR="00F939D3" w:rsidRDefault="005711C9">
      <w:pPr>
        <w:pStyle w:val="BodyText"/>
        <w:spacing w:before="4"/>
        <w:jc w:val="both"/>
      </w:pPr>
      <w:proofErr w:type="gramStart"/>
      <w:r>
        <w:t>Research</w:t>
      </w:r>
      <w:r>
        <w:rPr>
          <w:spacing w:val="79"/>
        </w:rPr>
        <w:t xml:space="preserve">  </w:t>
      </w:r>
      <w:r>
        <w:t>and</w:t>
      </w:r>
      <w:proofErr w:type="gramEnd"/>
      <w:r>
        <w:rPr>
          <w:spacing w:val="54"/>
          <w:w w:val="150"/>
        </w:rPr>
        <w:t xml:space="preserve">  </w:t>
      </w:r>
      <w:r>
        <w:t>Reports,</w:t>
      </w:r>
      <w:r>
        <w:rPr>
          <w:spacing w:val="79"/>
        </w:rPr>
        <w:t xml:space="preserve">  </w:t>
      </w:r>
      <w:r>
        <w:t>16(9),</w:t>
      </w:r>
      <w:r>
        <w:rPr>
          <w:spacing w:val="54"/>
          <w:w w:val="150"/>
        </w:rPr>
        <w:t xml:space="preserve">  </w:t>
      </w:r>
      <w:r>
        <w:rPr>
          <w:spacing w:val="-2"/>
        </w:rPr>
        <w:t>90–98.</w:t>
      </w:r>
    </w:p>
    <w:p w:rsidR="00F939D3" w:rsidRDefault="00F939D3">
      <w:pPr>
        <w:pStyle w:val="BodyText"/>
        <w:jc w:val="both"/>
        <w:sectPr w:rsidR="00F939D3">
          <w:pgSz w:w="12240" w:h="15840"/>
          <w:pgMar w:top="860" w:right="0" w:bottom="1060" w:left="720" w:header="35" w:footer="854" w:gutter="0"/>
          <w:cols w:num="2" w:space="720" w:equalWidth="0">
            <w:col w:w="4938" w:space="663"/>
            <w:col w:w="5919"/>
          </w:cols>
        </w:sectPr>
      </w:pPr>
    </w:p>
    <w:p w:rsidR="00F939D3" w:rsidRDefault="005164BC">
      <w:pPr>
        <w:pStyle w:val="BodyText"/>
        <w:spacing w:before="88"/>
      </w:pPr>
      <w:hyperlink r:id="rId25">
        <w:r w:rsidR="005711C9">
          <w:rPr>
            <w:color w:val="0462C1"/>
            <w:spacing w:val="-2"/>
            <w:u w:val="single" w:color="0462C1"/>
          </w:rPr>
          <w:t>https://doi.org/10.9734/ajarr/2022/v16i930503</w:t>
        </w:r>
      </w:hyperlink>
    </w:p>
    <w:p w:rsidR="00F939D3" w:rsidRDefault="00F939D3">
      <w:pPr>
        <w:pStyle w:val="BodyText"/>
        <w:spacing w:before="95"/>
        <w:ind w:left="0"/>
      </w:pPr>
    </w:p>
    <w:p w:rsidR="00F939D3" w:rsidRDefault="005711C9">
      <w:pPr>
        <w:pStyle w:val="BodyText"/>
        <w:spacing w:line="364" w:lineRule="auto"/>
        <w:ind w:right="89" w:hanging="481"/>
        <w:jc w:val="both"/>
      </w:pPr>
      <w:r>
        <w:t xml:space="preserve">Mohammed, N., </w:t>
      </w:r>
      <w:proofErr w:type="spellStart"/>
      <w:r>
        <w:t>Sanyinna</w:t>
      </w:r>
      <w:proofErr w:type="spellEnd"/>
      <w:r>
        <w:t xml:space="preserve">, Y. M., &amp; Ahmed, R. N. (2018). Anti-Bacterial and Anti-Fungal Activities of Citrus </w:t>
      </w:r>
      <w:proofErr w:type="spellStart"/>
      <w:r>
        <w:t>sinensis</w:t>
      </w:r>
      <w:proofErr w:type="spellEnd"/>
      <w:r>
        <w:t xml:space="preserve"> Leaves Extracts. International Journal of Scientific Research in Biological Sciences.</w:t>
      </w:r>
    </w:p>
    <w:p w:rsidR="00F939D3" w:rsidRDefault="005711C9">
      <w:pPr>
        <w:pStyle w:val="BodyText"/>
        <w:spacing w:before="204" w:line="364" w:lineRule="auto"/>
        <w:ind w:right="40" w:hanging="481"/>
        <w:jc w:val="both"/>
      </w:pPr>
      <w:r>
        <w:t xml:space="preserve">Musa, A. Y., Ibrahim, N. D., &amp; Ahmed, S. M. (2019). Phytochemical analysis and antimicrobial potency of sweet orange (Citrus </w:t>
      </w:r>
      <w:proofErr w:type="spellStart"/>
      <w:r>
        <w:t>sinensis</w:t>
      </w:r>
      <w:proofErr w:type="spellEnd"/>
      <w:r>
        <w:t>) peel extract. African Journal of Biotechnology, 18(12), 256–264.</w:t>
      </w:r>
    </w:p>
    <w:p w:rsidR="00F939D3" w:rsidRDefault="005711C9">
      <w:pPr>
        <w:pStyle w:val="BodyText"/>
        <w:spacing w:before="97" w:line="364" w:lineRule="auto"/>
        <w:ind w:right="88" w:hanging="481"/>
        <w:jc w:val="both"/>
      </w:pPr>
      <w:proofErr w:type="spellStart"/>
      <w:r>
        <w:t>Nas</w:t>
      </w:r>
      <w:proofErr w:type="spellEnd"/>
      <w:r>
        <w:t xml:space="preserve">, F. S., Ali, M., &amp; Abdullahi, M. S. (2018). Antibacterial activity of Citrus </w:t>
      </w:r>
      <w:proofErr w:type="spellStart"/>
      <w:r>
        <w:t>sinensis</w:t>
      </w:r>
      <w:proofErr w:type="spellEnd"/>
      <w:r>
        <w:t xml:space="preserve"> (sweet orange) peel extracts against selected pathogenic bacteria. International Journal of Scientific Research in Biological Sciences, 5(6), 1–6.</w:t>
      </w:r>
    </w:p>
    <w:p w:rsidR="00F939D3" w:rsidRDefault="005711C9">
      <w:pPr>
        <w:pStyle w:val="BodyText"/>
        <w:spacing w:before="207" w:line="364" w:lineRule="auto"/>
        <w:ind w:right="40" w:hanging="481"/>
        <w:jc w:val="both"/>
      </w:pPr>
      <w:proofErr w:type="spellStart"/>
      <w:r>
        <w:t>Nasiru</w:t>
      </w:r>
      <w:proofErr w:type="spellEnd"/>
      <w:r>
        <w:t>,</w:t>
      </w:r>
      <w:r>
        <w:rPr>
          <w:spacing w:val="40"/>
        </w:rPr>
        <w:t xml:space="preserve"> </w:t>
      </w:r>
      <w:r>
        <w:t>M.,</w:t>
      </w:r>
      <w:r>
        <w:rPr>
          <w:spacing w:val="40"/>
        </w:rPr>
        <w:t xml:space="preserve"> </w:t>
      </w:r>
      <w:proofErr w:type="spellStart"/>
      <w:r>
        <w:t>Sanyinna</w:t>
      </w:r>
      <w:proofErr w:type="spellEnd"/>
      <w:r>
        <w:t>,</w:t>
      </w:r>
      <w:r>
        <w:rPr>
          <w:spacing w:val="40"/>
        </w:rPr>
        <w:t xml:space="preserve"> </w:t>
      </w:r>
      <w:r>
        <w:t>Y.</w:t>
      </w:r>
      <w:r>
        <w:rPr>
          <w:spacing w:val="40"/>
        </w:rPr>
        <w:t xml:space="preserve"> </w:t>
      </w:r>
      <w:r>
        <w:t>M.,</w:t>
      </w:r>
      <w:r>
        <w:rPr>
          <w:spacing w:val="40"/>
        </w:rPr>
        <w:t xml:space="preserve"> </w:t>
      </w:r>
      <w:r>
        <w:t>&amp;</w:t>
      </w:r>
      <w:r>
        <w:rPr>
          <w:spacing w:val="40"/>
        </w:rPr>
        <w:t xml:space="preserve"> </w:t>
      </w:r>
      <w:r>
        <w:t xml:space="preserve">Ahmed, R. N. (2018). Anti-bacterial and anti-fungal activities of Citrus </w:t>
      </w:r>
      <w:proofErr w:type="spellStart"/>
      <w:r>
        <w:t>sinensis</w:t>
      </w:r>
      <w:proofErr w:type="spellEnd"/>
      <w:r>
        <w:t xml:space="preserve"> leaves extracts. International Journal of Scientific Research in Biological Sciences, 5(6), 1–6.</w:t>
      </w:r>
    </w:p>
    <w:p w:rsidR="00F939D3" w:rsidRDefault="005711C9">
      <w:pPr>
        <w:pStyle w:val="BodyText"/>
        <w:tabs>
          <w:tab w:val="left" w:pos="4073"/>
        </w:tabs>
        <w:spacing w:before="206" w:line="364" w:lineRule="auto"/>
        <w:ind w:right="38" w:hanging="481"/>
        <w:jc w:val="both"/>
      </w:pPr>
      <w:proofErr w:type="spellStart"/>
      <w:r>
        <w:t>Nikaido</w:t>
      </w:r>
      <w:proofErr w:type="spellEnd"/>
      <w:r>
        <w:t>, H. (2003). Molecular basis of bacterial</w:t>
      </w:r>
      <w:r>
        <w:rPr>
          <w:spacing w:val="80"/>
        </w:rPr>
        <w:t xml:space="preserve"> </w:t>
      </w:r>
      <w:r>
        <w:t xml:space="preserve">outer membrane permeability revisited. Microbiology and Molecular Biology Reviews, </w:t>
      </w:r>
      <w:r>
        <w:rPr>
          <w:spacing w:val="-2"/>
        </w:rPr>
        <w:t>67(4),</w:t>
      </w:r>
      <w:r>
        <w:tab/>
      </w:r>
      <w:r>
        <w:rPr>
          <w:spacing w:val="-2"/>
        </w:rPr>
        <w:t>593–656.</w:t>
      </w:r>
    </w:p>
    <w:p w:rsidR="00F939D3" w:rsidRDefault="005164BC">
      <w:pPr>
        <w:pStyle w:val="BodyText"/>
        <w:spacing w:before="5" w:line="364" w:lineRule="auto"/>
        <w:ind w:right="93"/>
      </w:pPr>
      <w:hyperlink r:id="rId26">
        <w:r w:rsidR="005711C9">
          <w:rPr>
            <w:color w:val="0000FF"/>
            <w:spacing w:val="-4"/>
            <w:u w:val="single" w:color="0000FF"/>
          </w:rPr>
          <w:t>https://doi.org/10.1128/MMBR.67.4.593-</w:t>
        </w:r>
      </w:hyperlink>
      <w:r w:rsidR="005711C9">
        <w:rPr>
          <w:color w:val="0000FF"/>
          <w:spacing w:val="-4"/>
        </w:rPr>
        <w:t xml:space="preserve"> </w:t>
      </w:r>
      <w:hyperlink r:id="rId27">
        <w:r w:rsidR="005711C9">
          <w:rPr>
            <w:color w:val="0000FF"/>
            <w:spacing w:val="-2"/>
            <w:u w:val="single" w:color="0000FF"/>
          </w:rPr>
          <w:t>656.2003</w:t>
        </w:r>
      </w:hyperlink>
    </w:p>
    <w:p w:rsidR="00F939D3" w:rsidRDefault="005711C9">
      <w:pPr>
        <w:pStyle w:val="BodyText"/>
        <w:spacing w:before="202" w:line="364" w:lineRule="auto"/>
        <w:ind w:right="42" w:hanging="481"/>
        <w:jc w:val="both"/>
      </w:pPr>
      <w:r>
        <w:t xml:space="preserve">Nwachukwu, E., Chidi, N., &amp; </w:t>
      </w:r>
      <w:proofErr w:type="spellStart"/>
      <w:r>
        <w:t>Umeh</w:t>
      </w:r>
      <w:proofErr w:type="spellEnd"/>
      <w:r>
        <w:t xml:space="preserve">, S. O. (2019). Evaluation of antibacterial properties of Citrus </w:t>
      </w:r>
      <w:proofErr w:type="spellStart"/>
      <w:r>
        <w:t>sinensis</w:t>
      </w:r>
      <w:proofErr w:type="spellEnd"/>
      <w:r>
        <w:t xml:space="preserve"> peel against clinical pathogens. Journal of Pharmaceutical and Biological Science, 7(4), 112–120.</w:t>
      </w:r>
    </w:p>
    <w:p w:rsidR="00F939D3" w:rsidRDefault="005711C9">
      <w:pPr>
        <w:pStyle w:val="BodyText"/>
        <w:spacing w:before="3" w:line="367" w:lineRule="auto"/>
        <w:ind w:right="39" w:hanging="481"/>
        <w:jc w:val="both"/>
      </w:pPr>
      <w:proofErr w:type="spellStart"/>
      <w:r>
        <w:t>Okigbo</w:t>
      </w:r>
      <w:proofErr w:type="spellEnd"/>
      <w:r>
        <w:t xml:space="preserve">, R. N., &amp; </w:t>
      </w:r>
      <w:proofErr w:type="spellStart"/>
      <w:r>
        <w:t>Mmeka</w:t>
      </w:r>
      <w:proofErr w:type="spellEnd"/>
      <w:r>
        <w:t>, E. C. (2008). ANTIMICROBIAL EFFECTS OF THREE TROPICAL</w:t>
      </w:r>
      <w:r>
        <w:rPr>
          <w:spacing w:val="72"/>
        </w:rPr>
        <w:t xml:space="preserve">   </w:t>
      </w:r>
      <w:r>
        <w:t>PLANT</w:t>
      </w:r>
      <w:r>
        <w:rPr>
          <w:spacing w:val="74"/>
        </w:rPr>
        <w:t xml:space="preserve">   </w:t>
      </w:r>
      <w:r>
        <w:t>EXTRACTS</w:t>
      </w:r>
      <w:r>
        <w:rPr>
          <w:spacing w:val="72"/>
        </w:rPr>
        <w:t xml:space="preserve">   </w:t>
      </w:r>
      <w:r>
        <w:rPr>
          <w:spacing w:val="-5"/>
        </w:rPr>
        <w:t>ON</w:t>
      </w:r>
    </w:p>
    <w:p w:rsidR="00F939D3" w:rsidRDefault="005711C9">
      <w:pPr>
        <w:pStyle w:val="BodyText"/>
        <w:tabs>
          <w:tab w:val="left" w:pos="4016"/>
        </w:tabs>
        <w:spacing w:line="224" w:lineRule="exact"/>
        <w:jc w:val="both"/>
      </w:pPr>
      <w:r>
        <w:rPr>
          <w:spacing w:val="-2"/>
        </w:rPr>
        <w:t>STAPHYLOCOCCUS</w:t>
      </w:r>
      <w:r>
        <w:tab/>
      </w:r>
      <w:r>
        <w:rPr>
          <w:spacing w:val="-2"/>
        </w:rPr>
        <w:t>AUREUS,</w:t>
      </w:r>
    </w:p>
    <w:p w:rsidR="00F939D3" w:rsidRDefault="005711C9">
      <w:pPr>
        <w:pStyle w:val="BodyText"/>
        <w:tabs>
          <w:tab w:val="left" w:pos="2424"/>
          <w:tab w:val="left" w:pos="3230"/>
          <w:tab w:val="left" w:pos="3988"/>
        </w:tabs>
        <w:spacing w:before="88" w:line="360" w:lineRule="auto"/>
        <w:ind w:right="1022"/>
      </w:pPr>
      <w:r>
        <w:br w:type="column"/>
      </w:r>
      <w:r>
        <w:rPr>
          <w:spacing w:val="-2"/>
        </w:rPr>
        <w:t>ESCHERICHIA</w:t>
      </w:r>
      <w:r>
        <w:tab/>
      </w:r>
      <w:r>
        <w:rPr>
          <w:spacing w:val="-4"/>
        </w:rPr>
        <w:t>COLI</w:t>
      </w:r>
      <w:r>
        <w:tab/>
      </w:r>
      <w:r>
        <w:rPr>
          <w:spacing w:val="-4"/>
        </w:rPr>
        <w:t>AND</w:t>
      </w:r>
      <w:r>
        <w:tab/>
      </w:r>
      <w:r>
        <w:rPr>
          <w:spacing w:val="-2"/>
        </w:rPr>
        <w:t xml:space="preserve">CANDIDA </w:t>
      </w:r>
      <w:r>
        <w:t>ALBICANS.</w:t>
      </w:r>
      <w:r>
        <w:rPr>
          <w:spacing w:val="19"/>
        </w:rPr>
        <w:t xml:space="preserve"> </w:t>
      </w:r>
      <w:r>
        <w:t>In</w:t>
      </w:r>
      <w:r>
        <w:rPr>
          <w:spacing w:val="19"/>
        </w:rPr>
        <w:t xml:space="preserve"> </w:t>
      </w:r>
      <w:r>
        <w:rPr>
          <w:rFonts w:ascii="Arial"/>
          <w:i/>
        </w:rPr>
        <w:t>J.</w:t>
      </w:r>
      <w:r>
        <w:rPr>
          <w:rFonts w:ascii="Arial"/>
          <w:i/>
          <w:spacing w:val="17"/>
        </w:rPr>
        <w:t xml:space="preserve"> </w:t>
      </w:r>
      <w:r>
        <w:rPr>
          <w:rFonts w:ascii="Arial"/>
          <w:i/>
        </w:rPr>
        <w:t>Trad.</w:t>
      </w:r>
      <w:r>
        <w:rPr>
          <w:rFonts w:ascii="Arial"/>
          <w:i/>
          <w:spacing w:val="18"/>
        </w:rPr>
        <w:t xml:space="preserve"> </w:t>
      </w:r>
      <w:r>
        <w:rPr>
          <w:rFonts w:ascii="Arial"/>
          <w:i/>
        </w:rPr>
        <w:t>CAM</w:t>
      </w:r>
      <w:r>
        <w:rPr>
          <w:rFonts w:ascii="Arial"/>
          <w:i/>
          <w:spacing w:val="17"/>
        </w:rPr>
        <w:t xml:space="preserve"> </w:t>
      </w:r>
      <w:r>
        <w:t>(Vol.</w:t>
      </w:r>
      <w:r>
        <w:rPr>
          <w:spacing w:val="19"/>
        </w:rPr>
        <w:t xml:space="preserve"> </w:t>
      </w:r>
      <w:r>
        <w:t>5,</w:t>
      </w:r>
      <w:r>
        <w:rPr>
          <w:spacing w:val="19"/>
        </w:rPr>
        <w:t xml:space="preserve"> </w:t>
      </w:r>
      <w:r>
        <w:t>Issue</w:t>
      </w:r>
      <w:r>
        <w:rPr>
          <w:spacing w:val="20"/>
        </w:rPr>
        <w:t xml:space="preserve"> </w:t>
      </w:r>
      <w:r>
        <w:rPr>
          <w:spacing w:val="-5"/>
        </w:rPr>
        <w:t>3).</w:t>
      </w:r>
    </w:p>
    <w:p w:rsidR="00F939D3" w:rsidRDefault="005164BC">
      <w:pPr>
        <w:pStyle w:val="BodyText"/>
        <w:spacing w:before="5"/>
      </w:pPr>
      <w:hyperlink r:id="rId28">
        <w:r w:rsidR="005711C9">
          <w:rPr>
            <w:color w:val="0000FF"/>
            <w:spacing w:val="-2"/>
            <w:u w:val="single" w:color="0000FF"/>
          </w:rPr>
          <w:t>www.africanethnomedicines.net</w:t>
        </w:r>
      </w:hyperlink>
    </w:p>
    <w:p w:rsidR="00F939D3" w:rsidRDefault="005711C9">
      <w:pPr>
        <w:pStyle w:val="BodyText"/>
        <w:spacing w:before="119" w:line="367" w:lineRule="auto"/>
        <w:ind w:right="1027" w:hanging="480"/>
        <w:jc w:val="both"/>
      </w:pPr>
      <w:proofErr w:type="spellStart"/>
      <w:r>
        <w:t>Pendota</w:t>
      </w:r>
      <w:proofErr w:type="spellEnd"/>
      <w:r>
        <w:t xml:space="preserve">, S. C., </w:t>
      </w:r>
      <w:proofErr w:type="spellStart"/>
      <w:r>
        <w:t>Aderogba</w:t>
      </w:r>
      <w:proofErr w:type="spellEnd"/>
      <w:r>
        <w:t xml:space="preserve">, M. A., </w:t>
      </w:r>
      <w:proofErr w:type="spellStart"/>
      <w:r>
        <w:t>Moyo</w:t>
      </w:r>
      <w:proofErr w:type="spellEnd"/>
      <w:r>
        <w:t>, M.,</w:t>
      </w:r>
      <w:r>
        <w:rPr>
          <w:spacing w:val="80"/>
        </w:rPr>
        <w:t xml:space="preserve"> </w:t>
      </w:r>
      <w:r>
        <w:t>McGaw,</w:t>
      </w:r>
      <w:r>
        <w:rPr>
          <w:spacing w:val="16"/>
        </w:rPr>
        <w:t xml:space="preserve"> </w:t>
      </w:r>
      <w:r>
        <w:t>L.</w:t>
      </w:r>
      <w:r>
        <w:rPr>
          <w:spacing w:val="17"/>
        </w:rPr>
        <w:t xml:space="preserve"> </w:t>
      </w:r>
      <w:r>
        <w:t>J.,</w:t>
      </w:r>
      <w:r>
        <w:rPr>
          <w:spacing w:val="17"/>
        </w:rPr>
        <w:t xml:space="preserve"> </w:t>
      </w:r>
      <w:r>
        <w:t>Mulaudzi,</w:t>
      </w:r>
      <w:r>
        <w:rPr>
          <w:spacing w:val="15"/>
        </w:rPr>
        <w:t xml:space="preserve"> </w:t>
      </w:r>
      <w:r>
        <w:t>R.</w:t>
      </w:r>
      <w:r>
        <w:rPr>
          <w:spacing w:val="17"/>
        </w:rPr>
        <w:t xml:space="preserve"> </w:t>
      </w:r>
      <w:r>
        <w:t>B.,</w:t>
      </w:r>
      <w:r>
        <w:rPr>
          <w:spacing w:val="19"/>
        </w:rPr>
        <w:t xml:space="preserve"> </w:t>
      </w:r>
      <w:r>
        <w:t>&amp;</w:t>
      </w:r>
      <w:r>
        <w:rPr>
          <w:spacing w:val="16"/>
        </w:rPr>
        <w:t xml:space="preserve"> </w:t>
      </w:r>
      <w:r>
        <w:t>Van</w:t>
      </w:r>
      <w:r>
        <w:rPr>
          <w:spacing w:val="19"/>
        </w:rPr>
        <w:t xml:space="preserve"> </w:t>
      </w:r>
      <w:proofErr w:type="spellStart"/>
      <w:r>
        <w:rPr>
          <w:spacing w:val="-2"/>
        </w:rPr>
        <w:t>Staden</w:t>
      </w:r>
      <w:proofErr w:type="spellEnd"/>
      <w:r>
        <w:rPr>
          <w:spacing w:val="-2"/>
        </w:rPr>
        <w:t>,</w:t>
      </w:r>
    </w:p>
    <w:p w:rsidR="00F939D3" w:rsidRDefault="005711C9">
      <w:pPr>
        <w:spacing w:line="362" w:lineRule="auto"/>
        <w:ind w:left="720" w:right="1028"/>
        <w:jc w:val="both"/>
        <w:rPr>
          <w:sz w:val="20"/>
        </w:rPr>
      </w:pPr>
      <w:r>
        <w:rPr>
          <w:sz w:val="20"/>
        </w:rPr>
        <w:t>J. (2017). Antimicrobial, antioxidant and cytotoxicity</w:t>
      </w:r>
      <w:r>
        <w:rPr>
          <w:spacing w:val="-3"/>
          <w:sz w:val="20"/>
        </w:rPr>
        <w:t xml:space="preserve"> </w:t>
      </w:r>
      <w:r>
        <w:rPr>
          <w:sz w:val="20"/>
        </w:rPr>
        <w:t xml:space="preserve">of isolated compounds from leaves of </w:t>
      </w:r>
      <w:proofErr w:type="spellStart"/>
      <w:r>
        <w:rPr>
          <w:sz w:val="20"/>
        </w:rPr>
        <w:t>Pappea</w:t>
      </w:r>
      <w:proofErr w:type="spellEnd"/>
      <w:r>
        <w:rPr>
          <w:sz w:val="20"/>
        </w:rPr>
        <w:t xml:space="preserve"> </w:t>
      </w:r>
      <w:proofErr w:type="spellStart"/>
      <w:r>
        <w:rPr>
          <w:sz w:val="20"/>
        </w:rPr>
        <w:t>capensis</w:t>
      </w:r>
      <w:proofErr w:type="spellEnd"/>
      <w:r>
        <w:rPr>
          <w:sz w:val="20"/>
        </w:rPr>
        <w:t xml:space="preserve">. </w:t>
      </w:r>
      <w:r>
        <w:rPr>
          <w:rFonts w:ascii="Arial" w:hAnsi="Arial"/>
          <w:i/>
          <w:sz w:val="20"/>
        </w:rPr>
        <w:t>South African Journal of Botany</w:t>
      </w:r>
      <w:r>
        <w:rPr>
          <w:sz w:val="20"/>
        </w:rPr>
        <w:t xml:space="preserve">, </w:t>
      </w:r>
      <w:proofErr w:type="gramStart"/>
      <w:r>
        <w:rPr>
          <w:rFonts w:ascii="Arial" w:hAnsi="Arial"/>
          <w:i/>
          <w:sz w:val="20"/>
        </w:rPr>
        <w:t>108</w:t>
      </w:r>
      <w:r>
        <w:rPr>
          <w:sz w:val="20"/>
        </w:rPr>
        <w:t>,</w:t>
      </w:r>
      <w:r>
        <w:rPr>
          <w:spacing w:val="80"/>
          <w:sz w:val="20"/>
        </w:rPr>
        <w:t xml:space="preserve">  </w:t>
      </w:r>
      <w:r>
        <w:rPr>
          <w:sz w:val="20"/>
        </w:rPr>
        <w:t>272</w:t>
      </w:r>
      <w:proofErr w:type="gramEnd"/>
      <w:r>
        <w:rPr>
          <w:sz w:val="20"/>
        </w:rPr>
        <w:t>–277.</w:t>
      </w:r>
    </w:p>
    <w:p w:rsidR="00F939D3" w:rsidRDefault="005164BC">
      <w:pPr>
        <w:pStyle w:val="BodyText"/>
        <w:spacing w:line="367" w:lineRule="auto"/>
        <w:ind w:left="240" w:right="1032" w:firstLine="480"/>
        <w:jc w:val="both"/>
      </w:pPr>
      <w:hyperlink r:id="rId29">
        <w:r w:rsidR="005711C9">
          <w:rPr>
            <w:color w:val="0000FF"/>
            <w:spacing w:val="-2"/>
            <w:u w:val="single" w:color="0000FF"/>
          </w:rPr>
          <w:t>https://doi.org/10.1016/j.sajb.2016.10.021</w:t>
        </w:r>
      </w:hyperlink>
      <w:r w:rsidR="005711C9">
        <w:rPr>
          <w:color w:val="0000FF"/>
          <w:spacing w:val="-2"/>
        </w:rPr>
        <w:t xml:space="preserve"> </w:t>
      </w:r>
      <w:proofErr w:type="spellStart"/>
      <w:r w:rsidR="005711C9">
        <w:t>Pirtarighat</w:t>
      </w:r>
      <w:proofErr w:type="spellEnd"/>
      <w:r w:rsidR="005711C9">
        <w:t>,</w:t>
      </w:r>
      <w:r w:rsidR="005711C9">
        <w:rPr>
          <w:spacing w:val="54"/>
        </w:rPr>
        <w:t xml:space="preserve"> </w:t>
      </w:r>
      <w:r w:rsidR="005711C9">
        <w:t>S.,</w:t>
      </w:r>
      <w:r w:rsidR="005711C9">
        <w:rPr>
          <w:spacing w:val="53"/>
        </w:rPr>
        <w:t xml:space="preserve"> </w:t>
      </w:r>
      <w:proofErr w:type="spellStart"/>
      <w:r w:rsidR="005711C9">
        <w:t>Ghannadnia</w:t>
      </w:r>
      <w:proofErr w:type="spellEnd"/>
      <w:r w:rsidR="005711C9">
        <w:t>,</w:t>
      </w:r>
      <w:r w:rsidR="005711C9">
        <w:rPr>
          <w:spacing w:val="53"/>
        </w:rPr>
        <w:t xml:space="preserve"> </w:t>
      </w:r>
      <w:r w:rsidR="005711C9">
        <w:t>M.,</w:t>
      </w:r>
      <w:r w:rsidR="005711C9">
        <w:rPr>
          <w:spacing w:val="54"/>
        </w:rPr>
        <w:t xml:space="preserve"> </w:t>
      </w:r>
      <w:r w:rsidR="005711C9">
        <w:t>&amp;</w:t>
      </w:r>
      <w:r w:rsidR="005711C9">
        <w:rPr>
          <w:spacing w:val="55"/>
        </w:rPr>
        <w:t xml:space="preserve"> </w:t>
      </w:r>
      <w:proofErr w:type="spellStart"/>
      <w:r w:rsidR="005711C9">
        <w:t>Baghshahi</w:t>
      </w:r>
      <w:proofErr w:type="spellEnd"/>
      <w:r w:rsidR="005711C9">
        <w:t>,</w:t>
      </w:r>
      <w:r w:rsidR="005711C9">
        <w:rPr>
          <w:spacing w:val="54"/>
        </w:rPr>
        <w:t xml:space="preserve"> </w:t>
      </w:r>
      <w:r w:rsidR="005711C9">
        <w:rPr>
          <w:spacing w:val="-5"/>
        </w:rPr>
        <w:t>S.</w:t>
      </w:r>
    </w:p>
    <w:p w:rsidR="00F939D3" w:rsidRDefault="005711C9">
      <w:pPr>
        <w:pStyle w:val="BodyText"/>
        <w:tabs>
          <w:tab w:val="left" w:pos="1439"/>
          <w:tab w:val="left" w:pos="1813"/>
          <w:tab w:val="left" w:pos="2717"/>
          <w:tab w:val="left" w:pos="3901"/>
          <w:tab w:val="left" w:pos="4419"/>
        </w:tabs>
        <w:spacing w:line="362" w:lineRule="auto"/>
        <w:ind w:right="1024"/>
      </w:pPr>
      <w:r>
        <w:rPr>
          <w:spacing w:val="-2"/>
        </w:rPr>
        <w:t>(2019a).</w:t>
      </w:r>
      <w:r>
        <w:tab/>
      </w:r>
      <w:r>
        <w:rPr>
          <w:spacing w:val="-2"/>
        </w:rPr>
        <w:t>Green</w:t>
      </w:r>
      <w:r>
        <w:tab/>
      </w:r>
      <w:r>
        <w:rPr>
          <w:spacing w:val="-2"/>
        </w:rPr>
        <w:t>synthesis</w:t>
      </w:r>
      <w:r>
        <w:tab/>
      </w:r>
      <w:r>
        <w:rPr>
          <w:spacing w:val="-6"/>
        </w:rPr>
        <w:t>of</w:t>
      </w:r>
      <w:r>
        <w:tab/>
      </w:r>
      <w:r>
        <w:rPr>
          <w:spacing w:val="-2"/>
        </w:rPr>
        <w:t xml:space="preserve">silver </w:t>
      </w:r>
      <w:r>
        <w:t>nanoparticles</w:t>
      </w:r>
      <w:r>
        <w:rPr>
          <w:spacing w:val="20"/>
        </w:rPr>
        <w:t xml:space="preserve"> </w:t>
      </w:r>
      <w:r>
        <w:t>using the</w:t>
      </w:r>
      <w:r>
        <w:rPr>
          <w:spacing w:val="20"/>
        </w:rPr>
        <w:t xml:space="preserve"> </w:t>
      </w:r>
      <w:r>
        <w:t>plant extract of</w:t>
      </w:r>
      <w:r>
        <w:rPr>
          <w:spacing w:val="22"/>
        </w:rPr>
        <w:t xml:space="preserve"> </w:t>
      </w:r>
      <w:r>
        <w:t>Salvia spinosa</w:t>
      </w:r>
      <w:r>
        <w:rPr>
          <w:spacing w:val="39"/>
        </w:rPr>
        <w:t xml:space="preserve"> </w:t>
      </w:r>
      <w:r>
        <w:t>grown</w:t>
      </w:r>
      <w:r>
        <w:rPr>
          <w:spacing w:val="40"/>
        </w:rPr>
        <w:t xml:space="preserve"> </w:t>
      </w:r>
      <w:r>
        <w:t>in</w:t>
      </w:r>
      <w:r>
        <w:rPr>
          <w:spacing w:val="39"/>
        </w:rPr>
        <w:t xml:space="preserve"> </w:t>
      </w:r>
      <w:r>
        <w:t>vitro</w:t>
      </w:r>
      <w:r>
        <w:rPr>
          <w:spacing w:val="39"/>
        </w:rPr>
        <w:t xml:space="preserve"> </w:t>
      </w:r>
      <w:r>
        <w:t>and</w:t>
      </w:r>
      <w:r>
        <w:rPr>
          <w:spacing w:val="39"/>
        </w:rPr>
        <w:t xml:space="preserve"> </w:t>
      </w:r>
      <w:r>
        <w:t>their</w:t>
      </w:r>
      <w:r>
        <w:rPr>
          <w:spacing w:val="40"/>
        </w:rPr>
        <w:t xml:space="preserve"> </w:t>
      </w:r>
      <w:r>
        <w:t>antibacterial activity</w:t>
      </w:r>
      <w:r>
        <w:rPr>
          <w:spacing w:val="24"/>
        </w:rPr>
        <w:t xml:space="preserve"> </w:t>
      </w:r>
      <w:r>
        <w:t>assessment.</w:t>
      </w:r>
      <w:r>
        <w:rPr>
          <w:spacing w:val="29"/>
        </w:rPr>
        <w:t xml:space="preserve"> </w:t>
      </w:r>
      <w:r>
        <w:rPr>
          <w:rFonts w:ascii="Arial" w:hAnsi="Arial"/>
          <w:i/>
        </w:rPr>
        <w:t>Journal</w:t>
      </w:r>
      <w:r>
        <w:rPr>
          <w:rFonts w:ascii="Arial" w:hAnsi="Arial"/>
          <w:i/>
          <w:spacing w:val="23"/>
        </w:rPr>
        <w:t xml:space="preserve"> </w:t>
      </w:r>
      <w:r>
        <w:rPr>
          <w:rFonts w:ascii="Arial" w:hAnsi="Arial"/>
          <w:i/>
        </w:rPr>
        <w:t>of</w:t>
      </w:r>
      <w:r>
        <w:rPr>
          <w:rFonts w:ascii="Arial" w:hAnsi="Arial"/>
          <w:i/>
          <w:spacing w:val="24"/>
        </w:rPr>
        <w:t xml:space="preserve"> </w:t>
      </w:r>
      <w:r>
        <w:rPr>
          <w:rFonts w:ascii="Arial" w:hAnsi="Arial"/>
          <w:i/>
        </w:rPr>
        <w:t xml:space="preserve">Nanostructure </w:t>
      </w:r>
      <w:r>
        <w:rPr>
          <w:rFonts w:ascii="Arial" w:hAnsi="Arial"/>
          <w:i/>
          <w:spacing w:val="-6"/>
        </w:rPr>
        <w:t>in</w:t>
      </w:r>
      <w:r>
        <w:rPr>
          <w:rFonts w:ascii="Arial" w:hAnsi="Arial"/>
          <w:i/>
        </w:rPr>
        <w:tab/>
        <w:t>Chemistry</w:t>
      </w:r>
      <w:r>
        <w:t xml:space="preserve">, </w:t>
      </w:r>
      <w:r>
        <w:rPr>
          <w:rFonts w:ascii="Arial" w:hAnsi="Arial"/>
          <w:i/>
        </w:rPr>
        <w:t>9</w:t>
      </w:r>
      <w:r>
        <w:t xml:space="preserve">(1), 1–9. </w:t>
      </w:r>
      <w:hyperlink r:id="rId30">
        <w:r>
          <w:rPr>
            <w:color w:val="0000FF"/>
            <w:spacing w:val="-2"/>
            <w:u w:val="single" w:color="0000FF"/>
          </w:rPr>
          <w:t>https://doi.org/10.1007/s40097-018-0291-4</w:t>
        </w:r>
      </w:hyperlink>
    </w:p>
    <w:p w:rsidR="00F939D3" w:rsidRDefault="005711C9">
      <w:pPr>
        <w:pStyle w:val="BodyText"/>
        <w:spacing w:before="208" w:line="364" w:lineRule="auto"/>
        <w:ind w:right="1075" w:hanging="480"/>
        <w:jc w:val="both"/>
      </w:pPr>
      <w:r>
        <w:t xml:space="preserve">Shetty, S. B., </w:t>
      </w:r>
      <w:proofErr w:type="spellStart"/>
      <w:r>
        <w:t>Mahin</w:t>
      </w:r>
      <w:proofErr w:type="spellEnd"/>
      <w:r>
        <w:t xml:space="preserve">-Syed-Ismail, P., Varghese, S., Thomas-George, B., </w:t>
      </w:r>
      <w:proofErr w:type="spellStart"/>
      <w:r>
        <w:t>Kandathil-Thajuraj</w:t>
      </w:r>
      <w:proofErr w:type="spellEnd"/>
      <w:r>
        <w:t xml:space="preserve">, P., Baby, D., &amp; Devang-Divakar, D. (2016). Antimicrobial effects of citrus </w:t>
      </w:r>
      <w:proofErr w:type="spellStart"/>
      <w:r>
        <w:t>sinensis</w:t>
      </w:r>
      <w:proofErr w:type="spellEnd"/>
      <w:r>
        <w:t xml:space="preserve"> peel extracts</w:t>
      </w:r>
      <w:r>
        <w:rPr>
          <w:spacing w:val="-7"/>
        </w:rPr>
        <w:t xml:space="preserve"> </w:t>
      </w:r>
      <w:r>
        <w:t>against</w:t>
      </w:r>
      <w:r>
        <w:rPr>
          <w:spacing w:val="-5"/>
        </w:rPr>
        <w:t xml:space="preserve"> </w:t>
      </w:r>
      <w:r>
        <w:t>dental</w:t>
      </w:r>
      <w:r>
        <w:rPr>
          <w:spacing w:val="-9"/>
        </w:rPr>
        <w:t xml:space="preserve"> </w:t>
      </w:r>
      <w:r>
        <w:t>caries</w:t>
      </w:r>
      <w:r>
        <w:rPr>
          <w:spacing w:val="-7"/>
        </w:rPr>
        <w:t xml:space="preserve"> </w:t>
      </w:r>
      <w:r>
        <w:t>bacteria.</w:t>
      </w:r>
      <w:r>
        <w:rPr>
          <w:spacing w:val="-9"/>
        </w:rPr>
        <w:t xml:space="preserve"> </w:t>
      </w:r>
      <w:r>
        <w:t xml:space="preserve">Journal of Clinical and Diagnostic Research, 10(9), </w:t>
      </w:r>
      <w:r>
        <w:rPr>
          <w:spacing w:val="-2"/>
        </w:rPr>
        <w:t>ZC50–ZC53.</w:t>
      </w:r>
    </w:p>
    <w:p w:rsidR="00F939D3" w:rsidRDefault="005164BC">
      <w:pPr>
        <w:pStyle w:val="BodyText"/>
        <w:spacing w:before="6" w:line="367" w:lineRule="auto"/>
        <w:ind w:right="1204"/>
      </w:pPr>
      <w:hyperlink r:id="rId31">
        <w:r w:rsidR="005711C9">
          <w:rPr>
            <w:color w:val="0000FF"/>
            <w:spacing w:val="-4"/>
            <w:u w:val="single" w:color="0000FF"/>
          </w:rPr>
          <w:t>https://doi.org/10.7860/JCDR/2016/19919.845</w:t>
        </w:r>
      </w:hyperlink>
      <w:r w:rsidR="005711C9">
        <w:rPr>
          <w:color w:val="0000FF"/>
          <w:spacing w:val="-4"/>
        </w:rPr>
        <w:t xml:space="preserve"> </w:t>
      </w:r>
      <w:hyperlink r:id="rId32">
        <w:r w:rsidR="005711C9">
          <w:rPr>
            <w:color w:val="0000FF"/>
            <w:spacing w:val="-10"/>
            <w:u w:val="single" w:color="0000FF"/>
          </w:rPr>
          <w:t>4</w:t>
        </w:r>
      </w:hyperlink>
    </w:p>
    <w:p w:rsidR="00F939D3" w:rsidRDefault="005711C9">
      <w:pPr>
        <w:pStyle w:val="BodyText"/>
        <w:spacing w:before="199" w:line="364" w:lineRule="auto"/>
        <w:ind w:right="1079" w:hanging="480"/>
        <w:jc w:val="both"/>
      </w:pPr>
      <w:proofErr w:type="spellStart"/>
      <w:r>
        <w:t>Shuaibu</w:t>
      </w:r>
      <w:proofErr w:type="spellEnd"/>
      <w:r>
        <w:t xml:space="preserve">, H. K., </w:t>
      </w:r>
      <w:proofErr w:type="spellStart"/>
      <w:r>
        <w:t>Magaji</w:t>
      </w:r>
      <w:proofErr w:type="spellEnd"/>
      <w:r>
        <w:t>, Y., &amp; Madi, D. D. (2024). Molecular detection and antibacterial activity</w:t>
      </w:r>
      <w:r>
        <w:rPr>
          <w:spacing w:val="40"/>
        </w:rPr>
        <w:t xml:space="preserve"> </w:t>
      </w:r>
      <w:r>
        <w:t xml:space="preserve">of Citrus </w:t>
      </w:r>
      <w:proofErr w:type="spellStart"/>
      <w:r>
        <w:t>sinensis</w:t>
      </w:r>
      <w:proofErr w:type="spellEnd"/>
      <w:r>
        <w:t xml:space="preserve"> peel extracts against Staphylococcus aureus and Klebsiella pneumoniae. FUDMA Journal of Sciences, 8(3), 30–35.</w:t>
      </w:r>
    </w:p>
    <w:p w:rsidR="00F939D3" w:rsidRDefault="005711C9">
      <w:pPr>
        <w:pStyle w:val="BodyText"/>
        <w:spacing w:before="203" w:line="364" w:lineRule="auto"/>
        <w:ind w:right="1075" w:hanging="480"/>
        <w:jc w:val="both"/>
      </w:pPr>
      <w:r>
        <w:t xml:space="preserve">Snowden, R., Harrington, H., Morrill, K., </w:t>
      </w:r>
      <w:proofErr w:type="spellStart"/>
      <w:r>
        <w:t>Jeane</w:t>
      </w:r>
      <w:proofErr w:type="spellEnd"/>
      <w:r>
        <w:t xml:space="preserve">, L. D., Garrity, J., </w:t>
      </w:r>
      <w:proofErr w:type="spellStart"/>
      <w:r>
        <w:t>Orian</w:t>
      </w:r>
      <w:proofErr w:type="spellEnd"/>
      <w:r>
        <w:t xml:space="preserve">, M., Lopez, E., </w:t>
      </w:r>
      <w:proofErr w:type="spellStart"/>
      <w:r>
        <w:t>Rezaie</w:t>
      </w:r>
      <w:proofErr w:type="spellEnd"/>
      <w:r>
        <w:t>,</w:t>
      </w:r>
      <w:r>
        <w:rPr>
          <w:spacing w:val="40"/>
        </w:rPr>
        <w:t xml:space="preserve"> </w:t>
      </w:r>
      <w:r>
        <w:t xml:space="preserve">S., </w:t>
      </w:r>
      <w:proofErr w:type="spellStart"/>
      <w:r>
        <w:t>Hassberger</w:t>
      </w:r>
      <w:proofErr w:type="spellEnd"/>
      <w:r>
        <w:t xml:space="preserve">, K., </w:t>
      </w:r>
      <w:proofErr w:type="spellStart"/>
      <w:r>
        <w:t>Familoni</w:t>
      </w:r>
      <w:proofErr w:type="spellEnd"/>
      <w:r>
        <w:t xml:space="preserve">, D., Moore, J., </w:t>
      </w:r>
      <w:proofErr w:type="spellStart"/>
      <w:r>
        <w:t>Virdee</w:t>
      </w:r>
      <w:proofErr w:type="spellEnd"/>
      <w:r>
        <w:t xml:space="preserve">, K., </w:t>
      </w:r>
      <w:proofErr w:type="spellStart"/>
      <w:r>
        <w:t>Albornoz</w:t>
      </w:r>
      <w:proofErr w:type="spellEnd"/>
      <w:r>
        <w:t xml:space="preserve">-Sanchez, L., Walker, M., </w:t>
      </w:r>
      <w:proofErr w:type="spellStart"/>
      <w:r>
        <w:t>Cavins</w:t>
      </w:r>
      <w:proofErr w:type="spellEnd"/>
      <w:r>
        <w:t xml:space="preserve">, J., Russell, T., </w:t>
      </w:r>
      <w:proofErr w:type="spellStart"/>
      <w:r>
        <w:t>Guse</w:t>
      </w:r>
      <w:proofErr w:type="spellEnd"/>
      <w:r>
        <w:t xml:space="preserve">, E., </w:t>
      </w:r>
      <w:proofErr w:type="spellStart"/>
      <w:r>
        <w:t>Reker</w:t>
      </w:r>
      <w:proofErr w:type="spellEnd"/>
      <w:r>
        <w:t xml:space="preserve">, M., </w:t>
      </w:r>
      <w:proofErr w:type="spellStart"/>
      <w:proofErr w:type="gramStart"/>
      <w:r>
        <w:t>Tschudy</w:t>
      </w:r>
      <w:proofErr w:type="spellEnd"/>
      <w:r>
        <w:t>,</w:t>
      </w:r>
      <w:r>
        <w:rPr>
          <w:spacing w:val="33"/>
        </w:rPr>
        <w:t xml:space="preserve">  </w:t>
      </w:r>
      <w:r>
        <w:t>O.</w:t>
      </w:r>
      <w:proofErr w:type="gramEnd"/>
      <w:r>
        <w:t>,</w:t>
      </w:r>
      <w:r>
        <w:rPr>
          <w:spacing w:val="9"/>
          <w:w w:val="145"/>
        </w:rPr>
        <w:t xml:space="preserve">  </w:t>
      </w:r>
      <w:r>
        <w:rPr>
          <w:w w:val="145"/>
        </w:rPr>
        <w:t>…</w:t>
      </w:r>
      <w:r>
        <w:rPr>
          <w:spacing w:val="11"/>
          <w:w w:val="145"/>
        </w:rPr>
        <w:t xml:space="preserve">  </w:t>
      </w:r>
      <w:proofErr w:type="gramStart"/>
      <w:r>
        <w:t>Langland,</w:t>
      </w:r>
      <w:r>
        <w:rPr>
          <w:spacing w:val="33"/>
        </w:rPr>
        <w:t xml:space="preserve">  </w:t>
      </w:r>
      <w:r>
        <w:t>J.</w:t>
      </w:r>
      <w:proofErr w:type="gramEnd"/>
      <w:r>
        <w:rPr>
          <w:spacing w:val="33"/>
        </w:rPr>
        <w:t xml:space="preserve">  </w:t>
      </w:r>
      <w:r>
        <w:t>(2014).</w:t>
      </w:r>
      <w:r>
        <w:rPr>
          <w:spacing w:val="34"/>
        </w:rPr>
        <w:t xml:space="preserve">  </w:t>
      </w:r>
      <w:r>
        <w:rPr>
          <w:spacing w:val="-10"/>
        </w:rPr>
        <w:t>A</w:t>
      </w:r>
    </w:p>
    <w:p w:rsidR="00F939D3" w:rsidRDefault="00F939D3">
      <w:pPr>
        <w:pStyle w:val="BodyText"/>
        <w:spacing w:line="364" w:lineRule="auto"/>
        <w:jc w:val="both"/>
        <w:sectPr w:rsidR="00F939D3">
          <w:pgSz w:w="12240" w:h="15840"/>
          <w:pgMar w:top="860" w:right="0" w:bottom="1040" w:left="720" w:header="35" w:footer="854" w:gutter="0"/>
          <w:cols w:num="2" w:space="720" w:equalWidth="0">
            <w:col w:w="4933" w:space="668"/>
            <w:col w:w="5919"/>
          </w:cols>
        </w:sectPr>
      </w:pPr>
    </w:p>
    <w:p w:rsidR="00F939D3" w:rsidRDefault="005711C9">
      <w:pPr>
        <w:spacing w:before="88" w:line="362" w:lineRule="auto"/>
        <w:ind w:left="720" w:right="91"/>
        <w:jc w:val="both"/>
        <w:rPr>
          <w:sz w:val="20"/>
        </w:rPr>
      </w:pPr>
      <w:r>
        <w:rPr>
          <w:sz w:val="20"/>
        </w:rPr>
        <w:lastRenderedPageBreak/>
        <w:t xml:space="preserve">comparison of the anti-staphylococcus aureus activity of extracts from commonly used medicinal plants. </w:t>
      </w:r>
      <w:r>
        <w:rPr>
          <w:rFonts w:ascii="Arial" w:hAnsi="Arial"/>
          <w:i/>
          <w:sz w:val="20"/>
        </w:rPr>
        <w:t>Journal of Alternative and Complementary Medicine</w:t>
      </w:r>
      <w:r>
        <w:rPr>
          <w:sz w:val="20"/>
        </w:rPr>
        <w:t xml:space="preserve">, </w:t>
      </w:r>
      <w:r>
        <w:rPr>
          <w:rFonts w:ascii="Arial" w:hAnsi="Arial"/>
          <w:i/>
          <w:sz w:val="20"/>
        </w:rPr>
        <w:t>20</w:t>
      </w:r>
      <w:r>
        <w:rPr>
          <w:sz w:val="20"/>
        </w:rPr>
        <w:t xml:space="preserve">(5), 375–382. </w:t>
      </w:r>
      <w:hyperlink r:id="rId33">
        <w:r>
          <w:rPr>
            <w:color w:val="0000FF"/>
            <w:spacing w:val="-2"/>
            <w:sz w:val="20"/>
            <w:u w:val="single" w:color="0000FF"/>
          </w:rPr>
          <w:t>https://doi.org/10.1089/acm.2013.0036</w:t>
        </w:r>
      </w:hyperlink>
    </w:p>
    <w:p w:rsidR="00F939D3" w:rsidRDefault="005711C9">
      <w:pPr>
        <w:pStyle w:val="BodyText"/>
        <w:spacing w:before="208" w:line="364" w:lineRule="auto"/>
        <w:ind w:right="89" w:hanging="481"/>
        <w:jc w:val="both"/>
      </w:pPr>
      <w:proofErr w:type="spellStart"/>
      <w:r>
        <w:t>Sulub</w:t>
      </w:r>
      <w:proofErr w:type="spellEnd"/>
      <w:r>
        <w:t xml:space="preserve">-Tun, R. A., Rodríguez-García, C. M., Peraza- </w:t>
      </w:r>
      <w:proofErr w:type="spellStart"/>
      <w:r>
        <w:t>Echeverría</w:t>
      </w:r>
      <w:proofErr w:type="spellEnd"/>
      <w:r>
        <w:t>, L., Torres-Tapia, L. W., Peraza- Sánchez,</w:t>
      </w:r>
      <w:r>
        <w:rPr>
          <w:spacing w:val="42"/>
        </w:rPr>
        <w:t xml:space="preserve"> </w:t>
      </w:r>
      <w:r>
        <w:t>S.</w:t>
      </w:r>
      <w:r>
        <w:rPr>
          <w:spacing w:val="42"/>
        </w:rPr>
        <w:t xml:space="preserve"> </w:t>
      </w:r>
      <w:r>
        <w:t>R.,</w:t>
      </w:r>
      <w:r>
        <w:rPr>
          <w:spacing w:val="45"/>
        </w:rPr>
        <w:t xml:space="preserve"> </w:t>
      </w:r>
      <w:r>
        <w:t>Pérez-Brito,</w:t>
      </w:r>
      <w:r>
        <w:rPr>
          <w:spacing w:val="40"/>
        </w:rPr>
        <w:t xml:space="preserve"> </w:t>
      </w:r>
      <w:r>
        <w:t>D.,</w:t>
      </w:r>
      <w:r>
        <w:rPr>
          <w:spacing w:val="44"/>
        </w:rPr>
        <w:t xml:space="preserve"> </w:t>
      </w:r>
      <w:r>
        <w:t>&amp;</w:t>
      </w:r>
      <w:r>
        <w:rPr>
          <w:spacing w:val="39"/>
        </w:rPr>
        <w:t xml:space="preserve"> </w:t>
      </w:r>
      <w:r>
        <w:t>Vera-</w:t>
      </w:r>
      <w:r>
        <w:rPr>
          <w:spacing w:val="-5"/>
        </w:rPr>
        <w:t>Ku,</w:t>
      </w:r>
    </w:p>
    <w:p w:rsidR="00F939D3" w:rsidRDefault="005711C9">
      <w:pPr>
        <w:spacing w:before="2" w:line="362" w:lineRule="auto"/>
        <w:ind w:left="720" w:right="90"/>
        <w:jc w:val="both"/>
        <w:rPr>
          <w:sz w:val="20"/>
        </w:rPr>
      </w:pPr>
      <w:r>
        <w:rPr>
          <w:sz w:val="20"/>
        </w:rPr>
        <w:t xml:space="preserve">B.M. (2020). Antifungal activity of wild and nursery Diospyros </w:t>
      </w:r>
      <w:proofErr w:type="spellStart"/>
      <w:r>
        <w:rPr>
          <w:sz w:val="20"/>
        </w:rPr>
        <w:t>cuneata</w:t>
      </w:r>
      <w:proofErr w:type="spellEnd"/>
      <w:r>
        <w:rPr>
          <w:sz w:val="20"/>
        </w:rPr>
        <w:t>, a native species</w:t>
      </w:r>
      <w:r>
        <w:rPr>
          <w:spacing w:val="40"/>
          <w:sz w:val="20"/>
        </w:rPr>
        <w:t xml:space="preserve"> </w:t>
      </w:r>
      <w:r>
        <w:rPr>
          <w:sz w:val="20"/>
        </w:rPr>
        <w:t xml:space="preserve">of dune scrub. </w:t>
      </w:r>
      <w:r>
        <w:rPr>
          <w:rFonts w:ascii="Arial" w:hAnsi="Arial"/>
          <w:i/>
          <w:sz w:val="20"/>
        </w:rPr>
        <w:t>South African Journal of Botany</w:t>
      </w:r>
      <w:r>
        <w:rPr>
          <w:sz w:val="20"/>
        </w:rPr>
        <w:t xml:space="preserve">, </w:t>
      </w:r>
      <w:proofErr w:type="gramStart"/>
      <w:r>
        <w:rPr>
          <w:rFonts w:ascii="Arial" w:hAnsi="Arial"/>
          <w:i/>
          <w:sz w:val="20"/>
        </w:rPr>
        <w:t>131</w:t>
      </w:r>
      <w:r>
        <w:rPr>
          <w:sz w:val="20"/>
        </w:rPr>
        <w:t>,</w:t>
      </w:r>
      <w:r>
        <w:rPr>
          <w:spacing w:val="80"/>
          <w:sz w:val="20"/>
        </w:rPr>
        <w:t xml:space="preserve">  </w:t>
      </w:r>
      <w:r>
        <w:rPr>
          <w:sz w:val="20"/>
        </w:rPr>
        <w:t>484</w:t>
      </w:r>
      <w:proofErr w:type="gramEnd"/>
      <w:r>
        <w:rPr>
          <w:sz w:val="20"/>
        </w:rPr>
        <w:t>–493.</w:t>
      </w:r>
    </w:p>
    <w:p w:rsidR="00F939D3" w:rsidRDefault="005164BC">
      <w:pPr>
        <w:pStyle w:val="BodyText"/>
        <w:spacing w:before="2" w:line="367" w:lineRule="auto"/>
        <w:ind w:left="240" w:right="43" w:firstLine="480"/>
        <w:jc w:val="both"/>
      </w:pPr>
      <w:hyperlink r:id="rId34">
        <w:r w:rsidR="005711C9">
          <w:rPr>
            <w:color w:val="0000FF"/>
            <w:spacing w:val="-2"/>
            <w:u w:val="single" w:color="0000FF"/>
          </w:rPr>
          <w:t>https://doi.org/10.1016/j.sajb.2020.03.029</w:t>
        </w:r>
      </w:hyperlink>
      <w:r w:rsidR="005711C9">
        <w:rPr>
          <w:color w:val="0000FF"/>
          <w:spacing w:val="-2"/>
        </w:rPr>
        <w:t xml:space="preserve"> </w:t>
      </w:r>
      <w:proofErr w:type="spellStart"/>
      <w:r w:rsidR="005711C9">
        <w:t>Thapsia</w:t>
      </w:r>
      <w:proofErr w:type="spellEnd"/>
      <w:r w:rsidR="005711C9">
        <w:rPr>
          <w:spacing w:val="16"/>
        </w:rPr>
        <w:t xml:space="preserve"> </w:t>
      </w:r>
      <w:proofErr w:type="spellStart"/>
      <w:r w:rsidR="005711C9">
        <w:t>garganica</w:t>
      </w:r>
      <w:proofErr w:type="spellEnd"/>
      <w:r w:rsidR="005711C9">
        <w:rPr>
          <w:spacing w:val="20"/>
        </w:rPr>
        <w:t xml:space="preserve"> </w:t>
      </w:r>
      <w:r w:rsidR="005711C9">
        <w:t>L.</w:t>
      </w:r>
      <w:r w:rsidR="005711C9">
        <w:rPr>
          <w:spacing w:val="16"/>
        </w:rPr>
        <w:t xml:space="preserve"> </w:t>
      </w:r>
      <w:r w:rsidR="005711C9">
        <w:t>leaves</w:t>
      </w:r>
      <w:r w:rsidR="005711C9">
        <w:rPr>
          <w:spacing w:val="18"/>
        </w:rPr>
        <w:t xml:space="preserve"> </w:t>
      </w:r>
      <w:r w:rsidR="005711C9">
        <w:t>on</w:t>
      </w:r>
      <w:r w:rsidR="005711C9">
        <w:rPr>
          <w:spacing w:val="15"/>
        </w:rPr>
        <w:t xml:space="preserve"> </w:t>
      </w:r>
      <w:r w:rsidR="005711C9">
        <w:t>lettuce</w:t>
      </w:r>
      <w:r w:rsidR="005711C9">
        <w:rPr>
          <w:spacing w:val="19"/>
        </w:rPr>
        <w:t xml:space="preserve"> </w:t>
      </w:r>
      <w:r w:rsidR="005711C9">
        <w:t>and</w:t>
      </w:r>
      <w:r w:rsidR="005711C9">
        <w:rPr>
          <w:spacing w:val="18"/>
        </w:rPr>
        <w:t xml:space="preserve"> </w:t>
      </w:r>
      <w:r w:rsidR="005711C9">
        <w:rPr>
          <w:spacing w:val="-2"/>
        </w:rPr>
        <w:t>weeds,</w:t>
      </w:r>
    </w:p>
    <w:p w:rsidR="00F939D3" w:rsidRDefault="005711C9">
      <w:pPr>
        <w:spacing w:line="362" w:lineRule="auto"/>
        <w:ind w:left="720" w:right="38"/>
        <w:jc w:val="both"/>
        <w:rPr>
          <w:sz w:val="20"/>
        </w:rPr>
      </w:pPr>
      <w:r>
        <w:rPr>
          <w:sz w:val="20"/>
        </w:rPr>
        <w:t>and</w:t>
      </w:r>
      <w:r>
        <w:rPr>
          <w:spacing w:val="-6"/>
          <w:sz w:val="20"/>
        </w:rPr>
        <w:t xml:space="preserve"> </w:t>
      </w:r>
      <w:r>
        <w:rPr>
          <w:sz w:val="20"/>
        </w:rPr>
        <w:t>identification</w:t>
      </w:r>
      <w:r>
        <w:rPr>
          <w:spacing w:val="-7"/>
          <w:sz w:val="20"/>
        </w:rPr>
        <w:t xml:space="preserve"> </w:t>
      </w:r>
      <w:r>
        <w:rPr>
          <w:sz w:val="20"/>
        </w:rPr>
        <w:t>of</w:t>
      </w:r>
      <w:r>
        <w:rPr>
          <w:spacing w:val="-5"/>
          <w:sz w:val="20"/>
        </w:rPr>
        <w:t xml:space="preserve"> </w:t>
      </w:r>
      <w:r>
        <w:rPr>
          <w:sz w:val="20"/>
        </w:rPr>
        <w:t>the</w:t>
      </w:r>
      <w:r>
        <w:rPr>
          <w:spacing w:val="-5"/>
          <w:sz w:val="20"/>
        </w:rPr>
        <w:t xml:space="preserve"> </w:t>
      </w:r>
      <w:r>
        <w:rPr>
          <w:sz w:val="20"/>
        </w:rPr>
        <w:t>active</w:t>
      </w:r>
      <w:r>
        <w:rPr>
          <w:spacing w:val="-6"/>
          <w:sz w:val="20"/>
        </w:rPr>
        <w:t xml:space="preserve"> </w:t>
      </w:r>
      <w:r>
        <w:rPr>
          <w:sz w:val="20"/>
        </w:rPr>
        <w:t>principles.</w:t>
      </w:r>
      <w:r>
        <w:rPr>
          <w:spacing w:val="-3"/>
          <w:sz w:val="20"/>
        </w:rPr>
        <w:t xml:space="preserve"> </w:t>
      </w:r>
      <w:r>
        <w:rPr>
          <w:rFonts w:ascii="Arial" w:hAnsi="Arial"/>
          <w:i/>
          <w:sz w:val="20"/>
        </w:rPr>
        <w:t>South African Journal of Botany</w:t>
      </w:r>
      <w:r>
        <w:rPr>
          <w:sz w:val="20"/>
        </w:rPr>
        <w:t xml:space="preserve">, </w:t>
      </w:r>
      <w:r>
        <w:rPr>
          <w:rFonts w:ascii="Arial" w:hAnsi="Arial"/>
          <w:i/>
          <w:sz w:val="20"/>
        </w:rPr>
        <w:t>131</w:t>
      </w:r>
      <w:r>
        <w:rPr>
          <w:sz w:val="20"/>
        </w:rPr>
        <w:t xml:space="preserve">, 188–194. </w:t>
      </w:r>
      <w:hyperlink r:id="rId35">
        <w:r>
          <w:rPr>
            <w:color w:val="0000FF"/>
            <w:spacing w:val="-2"/>
            <w:sz w:val="20"/>
            <w:u w:val="single" w:color="0000FF"/>
          </w:rPr>
          <w:t>https://doi.org/10.1016/j.sajb.2020.02.027</w:t>
        </w:r>
      </w:hyperlink>
    </w:p>
    <w:p w:rsidR="00F939D3" w:rsidRDefault="005711C9">
      <w:pPr>
        <w:pStyle w:val="BodyText"/>
        <w:tabs>
          <w:tab w:val="left" w:pos="2556"/>
          <w:tab w:val="left" w:pos="3600"/>
        </w:tabs>
        <w:spacing w:line="364" w:lineRule="auto"/>
        <w:ind w:right="93" w:hanging="481"/>
      </w:pPr>
      <w:proofErr w:type="spellStart"/>
      <w:r>
        <w:t>Thielmann</w:t>
      </w:r>
      <w:proofErr w:type="spellEnd"/>
      <w:r>
        <w:t>,</w:t>
      </w:r>
      <w:r>
        <w:rPr>
          <w:spacing w:val="31"/>
        </w:rPr>
        <w:t xml:space="preserve"> </w:t>
      </w:r>
      <w:r>
        <w:t>J.,</w:t>
      </w:r>
      <w:r>
        <w:rPr>
          <w:spacing w:val="31"/>
        </w:rPr>
        <w:t xml:space="preserve"> </w:t>
      </w:r>
      <w:proofErr w:type="spellStart"/>
      <w:r>
        <w:t>Muranyi</w:t>
      </w:r>
      <w:proofErr w:type="spellEnd"/>
      <w:r>
        <w:t>,</w:t>
      </w:r>
      <w:r>
        <w:rPr>
          <w:spacing w:val="33"/>
        </w:rPr>
        <w:t xml:space="preserve"> </w:t>
      </w:r>
      <w:r>
        <w:t>P.,</w:t>
      </w:r>
      <w:r>
        <w:rPr>
          <w:spacing w:val="31"/>
        </w:rPr>
        <w:t xml:space="preserve"> </w:t>
      </w:r>
      <w:r>
        <w:t>&amp;</w:t>
      </w:r>
      <w:r>
        <w:rPr>
          <w:spacing w:val="33"/>
        </w:rPr>
        <w:t xml:space="preserve"> </w:t>
      </w:r>
      <w:proofErr w:type="spellStart"/>
      <w:r>
        <w:t>Kazman</w:t>
      </w:r>
      <w:proofErr w:type="spellEnd"/>
      <w:r>
        <w:t>,</w:t>
      </w:r>
      <w:r>
        <w:rPr>
          <w:spacing w:val="33"/>
        </w:rPr>
        <w:t xml:space="preserve"> </w:t>
      </w:r>
      <w:r>
        <w:t>P.</w:t>
      </w:r>
      <w:r>
        <w:rPr>
          <w:spacing w:val="31"/>
        </w:rPr>
        <w:t xml:space="preserve"> </w:t>
      </w:r>
      <w:r>
        <w:t>(2019). Screening essential oils for their antimicrobial activities</w:t>
      </w:r>
      <w:r>
        <w:rPr>
          <w:spacing w:val="40"/>
        </w:rPr>
        <w:t xml:space="preserve"> </w:t>
      </w:r>
      <w:r>
        <w:t>against</w:t>
      </w:r>
      <w:r>
        <w:rPr>
          <w:spacing w:val="40"/>
        </w:rPr>
        <w:t xml:space="preserve"> </w:t>
      </w:r>
      <w:r>
        <w:t>the</w:t>
      </w:r>
      <w:r>
        <w:rPr>
          <w:spacing w:val="40"/>
        </w:rPr>
        <w:t xml:space="preserve"> </w:t>
      </w:r>
      <w:r>
        <w:t>foodborne</w:t>
      </w:r>
      <w:r>
        <w:rPr>
          <w:spacing w:val="40"/>
        </w:rPr>
        <w:t xml:space="preserve"> </w:t>
      </w:r>
      <w:r>
        <w:t>pathogenic bacteria</w:t>
      </w:r>
      <w:r>
        <w:rPr>
          <w:spacing w:val="20"/>
        </w:rPr>
        <w:t xml:space="preserve"> </w:t>
      </w:r>
      <w:r>
        <w:t>Escherichia</w:t>
      </w:r>
      <w:r>
        <w:rPr>
          <w:spacing w:val="19"/>
        </w:rPr>
        <w:t xml:space="preserve"> </w:t>
      </w:r>
      <w:r>
        <w:t>coli</w:t>
      </w:r>
      <w:r>
        <w:rPr>
          <w:spacing w:val="19"/>
        </w:rPr>
        <w:t xml:space="preserve"> </w:t>
      </w:r>
      <w:r>
        <w:t>and</w:t>
      </w:r>
      <w:r>
        <w:rPr>
          <w:spacing w:val="20"/>
        </w:rPr>
        <w:t xml:space="preserve"> </w:t>
      </w:r>
      <w:r>
        <w:t xml:space="preserve">Staphylococcus </w:t>
      </w:r>
      <w:r>
        <w:rPr>
          <w:spacing w:val="-2"/>
        </w:rPr>
        <w:t>aureus.</w:t>
      </w:r>
      <w:r>
        <w:tab/>
      </w:r>
      <w:proofErr w:type="spellStart"/>
      <w:r>
        <w:rPr>
          <w:rFonts w:ascii="Arial"/>
          <w:i/>
          <w:spacing w:val="-2"/>
        </w:rPr>
        <w:t>Heliyon</w:t>
      </w:r>
      <w:proofErr w:type="spellEnd"/>
      <w:r>
        <w:rPr>
          <w:spacing w:val="-2"/>
        </w:rPr>
        <w:t>,</w:t>
      </w:r>
      <w:r>
        <w:tab/>
      </w:r>
      <w:r>
        <w:rPr>
          <w:rFonts w:ascii="Arial"/>
          <w:i/>
          <w:spacing w:val="-4"/>
        </w:rPr>
        <w:t>5</w:t>
      </w:r>
      <w:r>
        <w:rPr>
          <w:spacing w:val="-4"/>
        </w:rPr>
        <w:t xml:space="preserve">(6). </w:t>
      </w:r>
      <w:hyperlink r:id="rId36">
        <w:r>
          <w:rPr>
            <w:color w:val="0000FF"/>
            <w:spacing w:val="-2"/>
            <w:u w:val="single" w:color="0000FF"/>
          </w:rPr>
          <w:t>https://doi.org/10.1016/j.heliyon.2019.e01860</w:t>
        </w:r>
      </w:hyperlink>
    </w:p>
    <w:p w:rsidR="00F939D3" w:rsidRDefault="005711C9">
      <w:pPr>
        <w:pStyle w:val="BodyText"/>
        <w:spacing w:before="90" w:line="364" w:lineRule="auto"/>
        <w:ind w:right="44" w:hanging="481"/>
        <w:jc w:val="both"/>
      </w:pPr>
      <w:r>
        <w:t>Tortora, G. J., Funke, B. R., &amp; Case, C. L. (2019). Microbiology: An introduction (13th ed.). Pearson Education.</w:t>
      </w:r>
    </w:p>
    <w:p w:rsidR="00F939D3" w:rsidRDefault="005711C9">
      <w:pPr>
        <w:spacing w:before="204" w:line="362" w:lineRule="auto"/>
        <w:ind w:left="720" w:right="93" w:hanging="481"/>
        <w:jc w:val="both"/>
        <w:rPr>
          <w:sz w:val="20"/>
        </w:rPr>
      </w:pPr>
      <w:proofErr w:type="spellStart"/>
      <w:r>
        <w:rPr>
          <w:sz w:val="20"/>
        </w:rPr>
        <w:t>Umer</w:t>
      </w:r>
      <w:proofErr w:type="spellEnd"/>
      <w:r>
        <w:rPr>
          <w:sz w:val="20"/>
        </w:rPr>
        <w:t xml:space="preserve">, S., </w:t>
      </w:r>
      <w:proofErr w:type="spellStart"/>
      <w:r>
        <w:rPr>
          <w:sz w:val="20"/>
        </w:rPr>
        <w:t>Tekewe</w:t>
      </w:r>
      <w:proofErr w:type="spellEnd"/>
      <w:r>
        <w:rPr>
          <w:sz w:val="20"/>
        </w:rPr>
        <w:t xml:space="preserve">, A., &amp; Kebede, N. (2013). </w:t>
      </w:r>
      <w:proofErr w:type="spellStart"/>
      <w:r>
        <w:rPr>
          <w:sz w:val="20"/>
        </w:rPr>
        <w:t>Antidiarrhoeal</w:t>
      </w:r>
      <w:proofErr w:type="spellEnd"/>
      <w:r>
        <w:rPr>
          <w:sz w:val="20"/>
        </w:rPr>
        <w:t xml:space="preserve"> and antimicrobial activity of Calpurnia </w:t>
      </w:r>
      <w:proofErr w:type="spellStart"/>
      <w:r>
        <w:rPr>
          <w:sz w:val="20"/>
        </w:rPr>
        <w:t>aurea</w:t>
      </w:r>
      <w:proofErr w:type="spellEnd"/>
      <w:r>
        <w:rPr>
          <w:sz w:val="20"/>
        </w:rPr>
        <w:t xml:space="preserve"> leaf extract. </w:t>
      </w:r>
      <w:r>
        <w:rPr>
          <w:rFonts w:ascii="Arial"/>
          <w:i/>
          <w:sz w:val="20"/>
        </w:rPr>
        <w:t>BMC Complementary and Alternative Medicine</w:t>
      </w:r>
      <w:r>
        <w:rPr>
          <w:sz w:val="20"/>
        </w:rPr>
        <w:t xml:space="preserve">, </w:t>
      </w:r>
      <w:r>
        <w:rPr>
          <w:rFonts w:ascii="Arial"/>
          <w:i/>
          <w:sz w:val="20"/>
        </w:rPr>
        <w:t>13</w:t>
      </w:r>
      <w:r>
        <w:rPr>
          <w:sz w:val="20"/>
        </w:rPr>
        <w:t xml:space="preserve">. </w:t>
      </w:r>
      <w:hyperlink r:id="rId37">
        <w:r>
          <w:rPr>
            <w:color w:val="0000FF"/>
            <w:spacing w:val="-2"/>
            <w:sz w:val="20"/>
            <w:u w:val="single" w:color="0000FF"/>
          </w:rPr>
          <w:t>https://doi.org/10.1186/1472-6882-13-21</w:t>
        </w:r>
      </w:hyperlink>
    </w:p>
    <w:p w:rsidR="00F939D3" w:rsidRDefault="005711C9">
      <w:pPr>
        <w:pStyle w:val="BodyText"/>
        <w:spacing w:before="88"/>
      </w:pPr>
      <w:r>
        <w:br w:type="column"/>
      </w:r>
      <w:r>
        <w:t>World</w:t>
      </w:r>
      <w:r>
        <w:rPr>
          <w:spacing w:val="-6"/>
        </w:rPr>
        <w:t xml:space="preserve"> </w:t>
      </w:r>
      <w:r>
        <w:t>Health</w:t>
      </w:r>
      <w:r>
        <w:rPr>
          <w:spacing w:val="-6"/>
        </w:rPr>
        <w:t xml:space="preserve"> </w:t>
      </w:r>
      <w:r>
        <w:rPr>
          <w:spacing w:val="-2"/>
        </w:rPr>
        <w:t>Organization.</w:t>
      </w:r>
    </w:p>
    <w:p w:rsidR="00F939D3" w:rsidRDefault="00F939D3">
      <w:pPr>
        <w:pStyle w:val="BodyText"/>
        <w:spacing w:before="95"/>
        <w:ind w:left="0"/>
      </w:pPr>
    </w:p>
    <w:p w:rsidR="00F939D3" w:rsidRDefault="005711C9">
      <w:pPr>
        <w:pStyle w:val="BodyText"/>
        <w:spacing w:line="364" w:lineRule="auto"/>
        <w:ind w:right="1026" w:hanging="480"/>
        <w:jc w:val="both"/>
      </w:pPr>
      <w:proofErr w:type="spellStart"/>
      <w:r>
        <w:t>Zige</w:t>
      </w:r>
      <w:proofErr w:type="spellEnd"/>
      <w:r>
        <w:t xml:space="preserve">, D. V., Adebayo, A. O., &amp; </w:t>
      </w:r>
      <w:proofErr w:type="spellStart"/>
      <w:r>
        <w:t>Faleye</w:t>
      </w:r>
      <w:proofErr w:type="spellEnd"/>
      <w:r>
        <w:t xml:space="preserve">, F. (2014). Antibacterial activities of Citrus </w:t>
      </w:r>
      <w:proofErr w:type="spellStart"/>
      <w:r>
        <w:t>sinensis</w:t>
      </w:r>
      <w:proofErr w:type="spellEnd"/>
      <w:r>
        <w:t xml:space="preserve"> peel extract against selected clinical bacteria. Journal of Natural Sciences Research, 4(18), </w:t>
      </w:r>
      <w:r>
        <w:rPr>
          <w:spacing w:val="-2"/>
        </w:rPr>
        <w:t>15–21.</w:t>
      </w:r>
    </w:p>
    <w:p w:rsidR="00F939D3" w:rsidRDefault="00F939D3">
      <w:pPr>
        <w:pStyle w:val="BodyText"/>
        <w:spacing w:line="364" w:lineRule="auto"/>
        <w:jc w:val="both"/>
        <w:sectPr w:rsidR="00F939D3">
          <w:pgSz w:w="12240" w:h="15840"/>
          <w:pgMar w:top="860" w:right="0" w:bottom="1200" w:left="720" w:header="35" w:footer="854" w:gutter="0"/>
          <w:cols w:num="2" w:space="720" w:equalWidth="0">
            <w:col w:w="4933" w:space="668"/>
            <w:col w:w="5919"/>
          </w:cols>
        </w:sectPr>
      </w:pPr>
    </w:p>
    <w:p w:rsidR="00F939D3" w:rsidRDefault="005711C9">
      <w:pPr>
        <w:pStyle w:val="BodyText"/>
        <w:spacing w:before="205"/>
        <w:ind w:left="240"/>
      </w:pPr>
      <w:r>
        <w:t>Woo,</w:t>
      </w:r>
      <w:r>
        <w:rPr>
          <w:spacing w:val="22"/>
        </w:rPr>
        <w:t xml:space="preserve"> </w:t>
      </w:r>
      <w:r>
        <w:t>S.</w:t>
      </w:r>
      <w:r>
        <w:rPr>
          <w:spacing w:val="21"/>
        </w:rPr>
        <w:t xml:space="preserve"> </w:t>
      </w:r>
      <w:r>
        <w:t>M.,</w:t>
      </w:r>
      <w:r>
        <w:rPr>
          <w:spacing w:val="24"/>
        </w:rPr>
        <w:t xml:space="preserve"> </w:t>
      </w:r>
      <w:r>
        <w:t>Yang,</w:t>
      </w:r>
      <w:r>
        <w:rPr>
          <w:spacing w:val="24"/>
        </w:rPr>
        <w:t xml:space="preserve"> </w:t>
      </w:r>
      <w:r>
        <w:t>K.</w:t>
      </w:r>
      <w:r>
        <w:rPr>
          <w:spacing w:val="22"/>
        </w:rPr>
        <w:t xml:space="preserve"> </w:t>
      </w:r>
      <w:r>
        <w:t>M.,</w:t>
      </w:r>
      <w:r>
        <w:rPr>
          <w:spacing w:val="26"/>
        </w:rPr>
        <w:t xml:space="preserve"> </w:t>
      </w:r>
      <w:r>
        <w:t>Kim,</w:t>
      </w:r>
      <w:r>
        <w:rPr>
          <w:spacing w:val="24"/>
        </w:rPr>
        <w:t xml:space="preserve"> </w:t>
      </w:r>
      <w:r>
        <w:t>S.</w:t>
      </w:r>
      <w:r>
        <w:rPr>
          <w:spacing w:val="21"/>
        </w:rPr>
        <w:t xml:space="preserve"> </w:t>
      </w:r>
      <w:r>
        <w:t>U.,</w:t>
      </w:r>
      <w:r>
        <w:rPr>
          <w:spacing w:val="21"/>
        </w:rPr>
        <w:t xml:space="preserve"> </w:t>
      </w:r>
      <w:r>
        <w:t>&amp;</w:t>
      </w:r>
      <w:r>
        <w:rPr>
          <w:spacing w:val="24"/>
        </w:rPr>
        <w:t xml:space="preserve"> </w:t>
      </w:r>
      <w:r>
        <w:t>Kim,</w:t>
      </w:r>
      <w:r>
        <w:rPr>
          <w:spacing w:val="26"/>
        </w:rPr>
        <w:t xml:space="preserve"> </w:t>
      </w:r>
      <w:r>
        <w:t>Y.</w:t>
      </w:r>
      <w:r>
        <w:rPr>
          <w:spacing w:val="24"/>
        </w:rPr>
        <w:t xml:space="preserve"> </w:t>
      </w:r>
      <w:r>
        <w:rPr>
          <w:spacing w:val="-5"/>
        </w:rPr>
        <w:t>H.</w:t>
      </w:r>
    </w:p>
    <w:p w:rsidR="00F939D3" w:rsidRDefault="005711C9">
      <w:pPr>
        <w:pStyle w:val="BodyText"/>
        <w:spacing w:before="117" w:line="367" w:lineRule="auto"/>
        <w:ind w:right="6637"/>
        <w:jc w:val="both"/>
      </w:pPr>
      <w:r>
        <w:t>(2008). Antimicrobial activity of citrus essential oils</w:t>
      </w:r>
      <w:r>
        <w:rPr>
          <w:spacing w:val="40"/>
        </w:rPr>
        <w:t xml:space="preserve"> </w:t>
      </w:r>
      <w:r>
        <w:t>against pathogenic microorganisms. Journal of Food Protection, 71(4), 1–6.</w:t>
      </w:r>
    </w:p>
    <w:p w:rsidR="00F939D3" w:rsidRDefault="005711C9">
      <w:pPr>
        <w:pStyle w:val="BodyText"/>
        <w:spacing w:before="195" w:line="367" w:lineRule="auto"/>
        <w:ind w:right="5728" w:hanging="481"/>
      </w:pPr>
      <w:r>
        <w:t>World</w:t>
      </w:r>
      <w:r>
        <w:rPr>
          <w:spacing w:val="78"/>
        </w:rPr>
        <w:t xml:space="preserve"> </w:t>
      </w:r>
      <w:r>
        <w:t>Health</w:t>
      </w:r>
      <w:r>
        <w:rPr>
          <w:spacing w:val="78"/>
        </w:rPr>
        <w:t xml:space="preserve"> </w:t>
      </w:r>
      <w:r>
        <w:t>Organization.</w:t>
      </w:r>
      <w:r>
        <w:rPr>
          <w:spacing w:val="78"/>
        </w:rPr>
        <w:t xml:space="preserve"> </w:t>
      </w:r>
      <w:r>
        <w:t>(2014).</w:t>
      </w:r>
      <w:r>
        <w:rPr>
          <w:spacing w:val="80"/>
        </w:rPr>
        <w:t xml:space="preserve"> </w:t>
      </w:r>
      <w:r>
        <w:t>Antimicrobial resistance:</w:t>
      </w:r>
      <w:r>
        <w:rPr>
          <w:spacing w:val="38"/>
        </w:rPr>
        <w:t xml:space="preserve">  </w:t>
      </w:r>
      <w:proofErr w:type="gramStart"/>
      <w:r>
        <w:t>Global</w:t>
      </w:r>
      <w:r>
        <w:rPr>
          <w:spacing w:val="38"/>
        </w:rPr>
        <w:t xml:space="preserve">  </w:t>
      </w:r>
      <w:r>
        <w:t>report</w:t>
      </w:r>
      <w:proofErr w:type="gramEnd"/>
      <w:r>
        <w:rPr>
          <w:spacing w:val="40"/>
        </w:rPr>
        <w:t xml:space="preserve">  </w:t>
      </w:r>
      <w:r>
        <w:t>on</w:t>
      </w:r>
      <w:r>
        <w:rPr>
          <w:spacing w:val="38"/>
        </w:rPr>
        <w:t xml:space="preserve">  </w:t>
      </w:r>
      <w:r>
        <w:rPr>
          <w:spacing w:val="-2"/>
        </w:rPr>
        <w:t>surveillance.</w:t>
      </w:r>
    </w:p>
    <w:sectPr w:rsidR="00F939D3">
      <w:type w:val="continuous"/>
      <w:pgSz w:w="12240" w:h="15840"/>
      <w:pgMar w:top="860" w:right="0" w:bottom="280" w:left="720" w:header="35" w:footer="8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11C9" w:rsidRDefault="005711C9">
      <w:r>
        <w:separator/>
      </w:r>
    </w:p>
  </w:endnote>
  <w:endnote w:type="continuationSeparator" w:id="0">
    <w:p w:rsidR="005711C9" w:rsidRDefault="0057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9D3" w:rsidRDefault="005711C9">
    <w:pPr>
      <w:pStyle w:val="BodyText"/>
      <w:spacing w:line="14" w:lineRule="auto"/>
      <w:ind w:left="0"/>
      <w:rPr>
        <w:sz w:val="7"/>
      </w:rPr>
    </w:pPr>
    <w:r>
      <w:rPr>
        <w:noProof/>
        <w:sz w:val="7"/>
      </w:rPr>
      <mc:AlternateContent>
        <mc:Choice Requires="wps">
          <w:drawing>
            <wp:anchor distT="0" distB="0" distL="0" distR="0" simplePos="0" relativeHeight="487187968" behindDoc="1" locked="0" layoutInCell="1" allowOverlap="1">
              <wp:simplePos x="0" y="0"/>
              <wp:positionH relativeFrom="page">
                <wp:posOffset>3777360</wp:posOffset>
              </wp:positionH>
              <wp:positionV relativeFrom="page">
                <wp:posOffset>9282176</wp:posOffset>
              </wp:positionV>
              <wp:extent cx="18859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165735"/>
                      </a:xfrm>
                      <a:prstGeom prst="rect">
                        <a:avLst/>
                      </a:prstGeom>
                    </wps:spPr>
                    <wps:txbx>
                      <w:txbxContent>
                        <w:p w:rsidR="00F939D3" w:rsidRDefault="005711C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297.45pt;margin-top:730.9pt;width:14.85pt;height:13.05pt;z-index:-1612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" filled="f" stroked="f">
              <v:textbox inset="0,0,0,0">
                <w:txbxContent>
                  <w:p w:rsidR="00F939D3" w:rsidRDefault="005711C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18</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11C9" w:rsidRDefault="005711C9">
      <w:r>
        <w:separator/>
      </w:r>
    </w:p>
  </w:footnote>
  <w:footnote w:type="continuationSeparator" w:id="0">
    <w:p w:rsidR="005711C9" w:rsidRDefault="00571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9D3" w:rsidRDefault="005711C9">
    <w:pPr>
      <w:pStyle w:val="BodyText"/>
      <w:spacing w:line="14" w:lineRule="auto"/>
      <w:ind w:left="0"/>
    </w:pPr>
    <w:r>
      <w:rPr>
        <w:noProof/>
      </w:rPr>
      <mc:AlternateContent>
        <mc:Choice Requires="wps">
          <w:drawing>
            <wp:anchor distT="0" distB="0" distL="0" distR="0" simplePos="0" relativeHeight="487186944" behindDoc="1" locked="0" layoutInCell="1" allowOverlap="1">
              <wp:simplePos x="0" y="0"/>
              <wp:positionH relativeFrom="page">
                <wp:posOffset>-12700</wp:posOffset>
              </wp:positionH>
              <wp:positionV relativeFrom="page">
                <wp:posOffset>9776</wp:posOffset>
              </wp:positionV>
              <wp:extent cx="157162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1625" cy="198120"/>
                      </a:xfrm>
                      <a:prstGeom prst="rect">
                        <a:avLst/>
                      </a:prstGeom>
                    </wps:spPr>
                    <wps:txbx>
                      <w:txbxContent>
                        <w:p w:rsidR="00F939D3" w:rsidRDefault="005711C9">
                          <w:pPr>
                            <w:spacing w:before="20"/>
                            <w:ind w:left="20"/>
                            <w:rPr>
                              <w:rFonts w:ascii="Courier New"/>
                              <w:sz w:val="24"/>
                            </w:rPr>
                          </w:pPr>
                          <w:r>
                            <w:rPr>
                              <w:rFonts w:ascii="Courier New"/>
                              <w:sz w:val="24"/>
                            </w:rPr>
                            <w:t>UNDER</w:t>
                          </w:r>
                          <w:r>
                            <w:rPr>
                              <w:rFonts w:ascii="Courier New"/>
                              <w:spacing w:val="-5"/>
                              <w:sz w:val="24"/>
                            </w:rPr>
                            <w:t xml:space="preserve"> </w:t>
                          </w:r>
                          <w:r>
                            <w:rPr>
                              <w:rFonts w:ascii="Courier New"/>
                              <w:sz w:val="24"/>
                            </w:rPr>
                            <w:t>PEER</w:t>
                          </w:r>
                          <w:r>
                            <w:rPr>
                              <w:rFonts w:ascii="Courier New"/>
                              <w:spacing w:val="-3"/>
                              <w:sz w:val="24"/>
                            </w:rPr>
                            <w:t xml:space="preserve"> </w:t>
                          </w:r>
                          <w:r>
                            <w:rPr>
                              <w:rFonts w:ascii="Courier New"/>
                              <w:spacing w:val="-2"/>
                              <w:sz w:val="24"/>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1pt;margin-top:.75pt;width:123.75pt;height:15.6pt;z-index:-1612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" filled="f" stroked="f">
              <v:textbox inset="0,0,0,0">
                <w:txbxContent>
                  <w:p w:rsidR="00F939D3" w:rsidRDefault="005711C9">
                    <w:pPr>
                      <w:spacing w:before="20"/>
                      <w:ind w:left="20"/>
                      <w:rPr>
                        <w:rFonts w:ascii="Courier New"/>
                        <w:sz w:val="24"/>
                      </w:rPr>
                    </w:pPr>
                    <w:r>
                      <w:rPr>
                        <w:rFonts w:ascii="Courier New"/>
                        <w:sz w:val="24"/>
                      </w:rPr>
                      <w:t>UNDER</w:t>
                    </w:r>
                    <w:r>
                      <w:rPr>
                        <w:rFonts w:ascii="Courier New"/>
                        <w:spacing w:val="-5"/>
                        <w:sz w:val="24"/>
                      </w:rPr>
                      <w:t xml:space="preserve"> </w:t>
                    </w:r>
                    <w:r>
                      <w:rPr>
                        <w:rFonts w:ascii="Courier New"/>
                        <w:sz w:val="24"/>
                      </w:rPr>
                      <w:t>PEER</w:t>
                    </w:r>
                    <w:r>
                      <w:rPr>
                        <w:rFonts w:ascii="Courier New"/>
                        <w:spacing w:val="-3"/>
                        <w:sz w:val="24"/>
                      </w:rPr>
                      <w:t xml:space="preserve"> </w:t>
                    </w:r>
                    <w:r>
                      <w:rPr>
                        <w:rFonts w:ascii="Courier New"/>
                        <w:spacing w:val="-2"/>
                        <w:sz w:val="24"/>
                      </w:rPr>
                      <w:t>REVIEW</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9D3" w:rsidRDefault="005711C9">
    <w:pPr>
      <w:pStyle w:val="BodyText"/>
      <w:spacing w:line="14" w:lineRule="auto"/>
      <w:ind w:left="0"/>
    </w:pPr>
    <w:r>
      <w:rPr>
        <w:noProof/>
      </w:rPr>
      <mc:AlternateContent>
        <mc:Choice Requires="wps">
          <w:drawing>
            <wp:anchor distT="0" distB="0" distL="0" distR="0" simplePos="0" relativeHeight="487187456" behindDoc="1" locked="0" layoutInCell="1" allowOverlap="1">
              <wp:simplePos x="0" y="0"/>
              <wp:positionH relativeFrom="page">
                <wp:posOffset>-12700</wp:posOffset>
              </wp:positionH>
              <wp:positionV relativeFrom="page">
                <wp:posOffset>9776</wp:posOffset>
              </wp:positionV>
              <wp:extent cx="1571625" cy="1981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1625" cy="198120"/>
                      </a:xfrm>
                      <a:prstGeom prst="rect">
                        <a:avLst/>
                      </a:prstGeom>
                    </wps:spPr>
                    <wps:txbx>
                      <w:txbxContent>
                        <w:p w:rsidR="00F939D3" w:rsidRDefault="005711C9">
                          <w:pPr>
                            <w:spacing w:before="20"/>
                            <w:ind w:left="20"/>
                            <w:rPr>
                              <w:rFonts w:ascii="Courier New"/>
                              <w:sz w:val="24"/>
                            </w:rPr>
                          </w:pPr>
                          <w:r>
                            <w:rPr>
                              <w:rFonts w:ascii="Courier New"/>
                              <w:sz w:val="24"/>
                            </w:rPr>
                            <w:t>UNDER</w:t>
                          </w:r>
                          <w:r>
                            <w:rPr>
                              <w:rFonts w:ascii="Courier New"/>
                              <w:spacing w:val="-5"/>
                              <w:sz w:val="24"/>
                            </w:rPr>
                            <w:t xml:space="preserve"> </w:t>
                          </w:r>
                          <w:r>
                            <w:rPr>
                              <w:rFonts w:ascii="Courier New"/>
                              <w:sz w:val="24"/>
                            </w:rPr>
                            <w:t>PEER</w:t>
                          </w:r>
                          <w:r>
                            <w:rPr>
                              <w:rFonts w:ascii="Courier New"/>
                              <w:spacing w:val="-3"/>
                              <w:sz w:val="24"/>
                            </w:rPr>
                            <w:t xml:space="preserve"> </w:t>
                          </w:r>
                          <w:r>
                            <w:rPr>
                              <w:rFonts w:ascii="Courier New"/>
                              <w:spacing w:val="-2"/>
                              <w:sz w:val="24"/>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1pt;margin-top:.75pt;width:123.75pt;height:15.6pt;z-index:-1612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" filled="f" stroked="f">
              <v:textbox inset="0,0,0,0">
                <w:txbxContent>
                  <w:p w:rsidR="00F939D3" w:rsidRDefault="005711C9">
                    <w:pPr>
                      <w:spacing w:before="20"/>
                      <w:ind w:left="20"/>
                      <w:rPr>
                        <w:rFonts w:ascii="Courier New"/>
                        <w:sz w:val="24"/>
                      </w:rPr>
                    </w:pPr>
                    <w:r>
                      <w:rPr>
                        <w:rFonts w:ascii="Courier New"/>
                        <w:sz w:val="24"/>
                      </w:rPr>
                      <w:t>UNDER</w:t>
                    </w:r>
                    <w:r>
                      <w:rPr>
                        <w:rFonts w:ascii="Courier New"/>
                        <w:spacing w:val="-5"/>
                        <w:sz w:val="24"/>
                      </w:rPr>
                      <w:t xml:space="preserve"> </w:t>
                    </w:r>
                    <w:r>
                      <w:rPr>
                        <w:rFonts w:ascii="Courier New"/>
                        <w:sz w:val="24"/>
                      </w:rPr>
                      <w:t>PEER</w:t>
                    </w:r>
                    <w:r>
                      <w:rPr>
                        <w:rFonts w:ascii="Courier New"/>
                        <w:spacing w:val="-3"/>
                        <w:sz w:val="24"/>
                      </w:rPr>
                      <w:t xml:space="preserve"> </w:t>
                    </w:r>
                    <w:r>
                      <w:rPr>
                        <w:rFonts w:ascii="Courier New"/>
                        <w:spacing w:val="-2"/>
                        <w:sz w:val="24"/>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266E54"/>
    <w:multiLevelType w:val="multilevel"/>
    <w:tmpl w:val="3C68AA8C"/>
    <w:lvl w:ilvl="0">
      <w:start w:val="1"/>
      <w:numFmt w:val="decimal"/>
      <w:lvlText w:val="%1.0"/>
      <w:lvlJc w:val="left"/>
      <w:pPr>
        <w:ind w:left="1085" w:hanging="365"/>
        <w:jc w:val="left"/>
      </w:pPr>
      <w:rPr>
        <w:rFonts w:ascii="Arial" w:eastAsia="Arial" w:hAnsi="Arial" w:cs="Arial" w:hint="default"/>
        <w:b/>
        <w:bCs/>
        <w:i w:val="0"/>
        <w:iCs w:val="0"/>
        <w:spacing w:val="-2"/>
        <w:w w:val="100"/>
        <w:sz w:val="22"/>
        <w:szCs w:val="22"/>
        <w:lang w:val="en-US" w:eastAsia="en-US" w:bidi="ar-SA"/>
      </w:rPr>
    </w:lvl>
    <w:lvl w:ilvl="1">
      <w:start w:val="1"/>
      <w:numFmt w:val="decimal"/>
      <w:lvlText w:val="%1.%2"/>
      <w:lvlJc w:val="left"/>
      <w:pPr>
        <w:ind w:left="1090" w:hanging="370"/>
        <w:jc w:val="left"/>
      </w:pPr>
      <w:rPr>
        <w:rFonts w:ascii="Arial" w:eastAsia="Arial" w:hAnsi="Arial" w:cs="Arial" w:hint="default"/>
        <w:b/>
        <w:bCs/>
        <w:i w:val="0"/>
        <w:iCs w:val="0"/>
        <w:spacing w:val="0"/>
        <w:w w:val="100"/>
        <w:sz w:val="22"/>
        <w:szCs w:val="22"/>
        <w:lang w:val="en-US" w:eastAsia="en-US" w:bidi="ar-SA"/>
      </w:rPr>
    </w:lvl>
    <w:lvl w:ilvl="2">
      <w:start w:val="1"/>
      <w:numFmt w:val="decimal"/>
      <w:lvlText w:val="%1.%2.%3"/>
      <w:lvlJc w:val="left"/>
      <w:pPr>
        <w:ind w:left="680" w:hanging="500"/>
        <w:jc w:val="left"/>
      </w:pPr>
      <w:rPr>
        <w:rFonts w:hint="default"/>
        <w:spacing w:val="-1"/>
        <w:w w:val="95"/>
        <w:u w:val="thick" w:color="000000"/>
        <w:lang w:val="en-US" w:eastAsia="en-US" w:bidi="ar-SA"/>
      </w:rPr>
    </w:lvl>
    <w:lvl w:ilvl="3">
      <w:numFmt w:val="bullet"/>
      <w:lvlText w:val="•"/>
      <w:lvlJc w:val="left"/>
      <w:pPr>
        <w:ind w:left="1200" w:hanging="500"/>
      </w:pPr>
      <w:rPr>
        <w:rFonts w:hint="default"/>
        <w:lang w:val="en-US" w:eastAsia="en-US" w:bidi="ar-SA"/>
      </w:rPr>
    </w:lvl>
    <w:lvl w:ilvl="4">
      <w:numFmt w:val="bullet"/>
      <w:lvlText w:val="•"/>
      <w:lvlJc w:val="left"/>
      <w:pPr>
        <w:ind w:left="1220" w:hanging="500"/>
      </w:pPr>
      <w:rPr>
        <w:rFonts w:hint="default"/>
        <w:lang w:val="en-US" w:eastAsia="en-US" w:bidi="ar-SA"/>
      </w:rPr>
    </w:lvl>
    <w:lvl w:ilvl="5">
      <w:numFmt w:val="bullet"/>
      <w:lvlText w:val="•"/>
      <w:lvlJc w:val="left"/>
      <w:pPr>
        <w:ind w:left="1009" w:hanging="500"/>
      </w:pPr>
      <w:rPr>
        <w:rFonts w:hint="default"/>
        <w:lang w:val="en-US" w:eastAsia="en-US" w:bidi="ar-SA"/>
      </w:rPr>
    </w:lvl>
    <w:lvl w:ilvl="6">
      <w:numFmt w:val="bullet"/>
      <w:lvlText w:val="•"/>
      <w:lvlJc w:val="left"/>
      <w:pPr>
        <w:ind w:left="799" w:hanging="500"/>
      </w:pPr>
      <w:rPr>
        <w:rFonts w:hint="default"/>
        <w:lang w:val="en-US" w:eastAsia="en-US" w:bidi="ar-SA"/>
      </w:rPr>
    </w:lvl>
    <w:lvl w:ilvl="7">
      <w:numFmt w:val="bullet"/>
      <w:lvlText w:val="•"/>
      <w:lvlJc w:val="left"/>
      <w:pPr>
        <w:ind w:left="589" w:hanging="500"/>
      </w:pPr>
      <w:rPr>
        <w:rFonts w:hint="default"/>
        <w:lang w:val="en-US" w:eastAsia="en-US" w:bidi="ar-SA"/>
      </w:rPr>
    </w:lvl>
    <w:lvl w:ilvl="8">
      <w:numFmt w:val="bullet"/>
      <w:lvlText w:val="•"/>
      <w:lvlJc w:val="left"/>
      <w:pPr>
        <w:ind w:left="378" w:hanging="50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939D3"/>
    <w:rsid w:val="005164BC"/>
    <w:rsid w:val="005711C9"/>
    <w:rsid w:val="00EF668F"/>
    <w:rsid w:val="00F939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89FE8"/>
  <w15:docId w15:val="{BCA413A6-FC9A-4E48-B218-84F4F45D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outlineLvl w:val="0"/>
    </w:pPr>
    <w:rPr>
      <w:rFonts w:ascii="Arial" w:eastAsia="Arial" w:hAnsi="Arial" w:cs="Arial"/>
      <w:b/>
      <w:bCs/>
    </w:rPr>
  </w:style>
  <w:style w:type="paragraph" w:styleId="Heading2">
    <w:name w:val="heading 2"/>
    <w:basedOn w:val="Normal"/>
    <w:uiPriority w:val="9"/>
    <w:unhideWhenUsed/>
    <w:qFormat/>
    <w:pPr>
      <w:spacing w:before="1"/>
      <w:ind w:left="720"/>
      <w:outlineLvl w:val="1"/>
    </w:pPr>
    <w:rPr>
      <w:rFonts w:ascii="Arial" w:eastAsia="Arial" w:hAnsi="Arial" w:cs="Arial"/>
      <w:b/>
      <w:bCs/>
    </w:rPr>
  </w:style>
  <w:style w:type="paragraph" w:styleId="Heading3">
    <w:name w:val="heading 3"/>
    <w:basedOn w:val="Normal"/>
    <w:uiPriority w:val="9"/>
    <w:unhideWhenUsed/>
    <w:qFormat/>
    <w:pPr>
      <w:ind w:left="720"/>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pPr>
    <w:rPr>
      <w:sz w:val="20"/>
      <w:szCs w:val="20"/>
    </w:rPr>
  </w:style>
  <w:style w:type="paragraph" w:styleId="ListParagraph">
    <w:name w:val="List Paragraph"/>
    <w:basedOn w:val="Normal"/>
    <w:uiPriority w:val="1"/>
    <w:qFormat/>
    <w:pPr>
      <w:spacing w:before="94"/>
      <w:ind w:left="720"/>
    </w:pPr>
    <w:rPr>
      <w:rFonts w:ascii="Arial" w:eastAsia="Arial" w:hAnsi="Arial" w:cs="Arial"/>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9734/ijpr/2019/v2i330075" TargetMode="External"/><Relationship Id="rId18" Type="http://schemas.openxmlformats.org/officeDocument/2006/relationships/hyperlink" Target="https://doi.org/10.1186/1472-6882-13-164" TargetMode="External"/><Relationship Id="rId26" Type="http://schemas.openxmlformats.org/officeDocument/2006/relationships/hyperlink" Target="https://doi.org/10.1128/MMBR.67.4.593-656.2003" TargetMode="External"/><Relationship Id="rId39" Type="http://schemas.openxmlformats.org/officeDocument/2006/relationships/theme" Target="theme/theme1.xml"/><Relationship Id="rId21" Type="http://schemas.openxmlformats.org/officeDocument/2006/relationships/hyperlink" Target="http://www.jocpr.com/" TargetMode="External"/><Relationship Id="rId34" Type="http://schemas.openxmlformats.org/officeDocument/2006/relationships/hyperlink" Target="https://doi.org/10.1016/j.sajb.2020.03.029" TargetMode="External"/><Relationship Id="rId7" Type="http://schemas.openxmlformats.org/officeDocument/2006/relationships/header" Target="header1.xml"/><Relationship Id="rId12" Type="http://schemas.openxmlformats.org/officeDocument/2006/relationships/hyperlink" Target="http://www.biomedcentral.com/1472-6882/10/6" TargetMode="External"/><Relationship Id="rId17" Type="http://schemas.openxmlformats.org/officeDocument/2006/relationships/hyperlink" Target="https://journals.asm.org/journal/aac" TargetMode="External"/><Relationship Id="rId25" Type="http://schemas.openxmlformats.org/officeDocument/2006/relationships/hyperlink" Target="https://doi.org/10.9734/ajarr/2022/v16i930503" TargetMode="External"/><Relationship Id="rId33" Type="http://schemas.openxmlformats.org/officeDocument/2006/relationships/hyperlink" Target="https://doi.org/10.1089/acm.2013.0036"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86/1472-6882-11-52" TargetMode="External"/><Relationship Id="rId20" Type="http://schemas.openxmlformats.org/officeDocument/2006/relationships/hyperlink" Target="https://doi.org/10.1186/s12906-017-1645-z" TargetMode="External"/><Relationship Id="rId29" Type="http://schemas.openxmlformats.org/officeDocument/2006/relationships/hyperlink" Target="https://doi.org/10.1016/j.sajb.2016.10.02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omedcentral.com/1472-6882/10/6" TargetMode="External"/><Relationship Id="rId24" Type="http://schemas.openxmlformats.org/officeDocument/2006/relationships/hyperlink" Target="https://doi.org/10.1016/j.sajb.2016.11.008" TargetMode="External"/><Relationship Id="rId32" Type="http://schemas.openxmlformats.org/officeDocument/2006/relationships/hyperlink" Target="https://doi.org/10.7860/JCDR/2016/19919.8454" TargetMode="External"/><Relationship Id="rId37" Type="http://schemas.openxmlformats.org/officeDocument/2006/relationships/hyperlink" Target="https://doi.org/10.1186/1472-6882-13-21" TargetMode="External"/><Relationship Id="rId5" Type="http://schemas.openxmlformats.org/officeDocument/2006/relationships/footnotes" Target="footnotes.xml"/><Relationship Id="rId15" Type="http://schemas.openxmlformats.org/officeDocument/2006/relationships/hyperlink" Target="https://doi.org/10.1186/1472-6882-13-289" TargetMode="External"/><Relationship Id="rId23" Type="http://schemas.openxmlformats.org/officeDocument/2006/relationships/hyperlink" Target="https://doi.org/10.1128/IAI.69.12.7858-7865.2001" TargetMode="External"/><Relationship Id="rId28" Type="http://schemas.openxmlformats.org/officeDocument/2006/relationships/hyperlink" Target="http://www.africanethnomedicines.net/" TargetMode="External"/><Relationship Id="rId36" Type="http://schemas.openxmlformats.org/officeDocument/2006/relationships/hyperlink" Target="https://doi.org/10.1016/j.heliyon.2019.e01860" TargetMode="External"/><Relationship Id="rId10" Type="http://schemas.openxmlformats.org/officeDocument/2006/relationships/image" Target="media/image1.png"/><Relationship Id="rId19" Type="http://schemas.openxmlformats.org/officeDocument/2006/relationships/hyperlink" Target="https://doi.org/10.5772/13896" TargetMode="External"/><Relationship Id="rId31" Type="http://schemas.openxmlformats.org/officeDocument/2006/relationships/hyperlink" Target="https://doi.org/10.7860/JCDR/2016/19919.8454"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3390/fermentation8090428" TargetMode="External"/><Relationship Id="rId22" Type="http://schemas.openxmlformats.org/officeDocument/2006/relationships/hyperlink" Target="https://doi.org/10.1128/IAI.69.12.7858-7865.2001" TargetMode="External"/><Relationship Id="rId27" Type="http://schemas.openxmlformats.org/officeDocument/2006/relationships/hyperlink" Target="https://doi.org/10.1128/MMBR.67.4.593-656.2003" TargetMode="External"/><Relationship Id="rId30" Type="http://schemas.openxmlformats.org/officeDocument/2006/relationships/hyperlink" Target="https://doi.org/10.1007/s40097-018-0291-4" TargetMode="External"/><Relationship Id="rId35" Type="http://schemas.openxmlformats.org/officeDocument/2006/relationships/hyperlink" Target="https://doi.org/10.1016/j.sajb.2020.02.027" TargetMode="Externa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7776</Words>
  <Characters>44329</Characters>
  <Application>Microsoft Office Word</Application>
  <DocSecurity>0</DocSecurity>
  <Lines>369</Lines>
  <Paragraphs>104</Paragraphs>
  <ScaleCrop>false</ScaleCrop>
  <Company/>
  <LinksUpToDate>false</LinksUpToDate>
  <CharactersWithSpaces>52001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shalom samuel</dc:creator>
  <cp:lastModifiedBy>SDI PC New 16</cp:lastModifiedBy>
  <cp:revision>3</cp:revision>
  <dcterms:created xsi:type="dcterms:W3CDTF">2026-03-10T11:56:00Z</dcterms:created>
  <dcterms:modified xsi:type="dcterms:W3CDTF">2026-03-10T12:45:00Z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2019-12-14T00:00:00Z</vt:filetime>
  </property>
  <property fmtid="{D5CDD505-2E9C-101B-9397-08002B2CF9AE}" pid="3" name="Creator">
    <vt:lpwstr>Microsoft® Word 2010</vt:lpwstr>
  </property>
  <property fmtid="{D5CDD505-2E9C-101B-9397-08002B2CF9AE}" pid="4" name="LastSaved">
    <vt:filetime>2026-03-10T00:00:00Z</vt:filetime>
  </property>
  <property fmtid="{D5CDD505-2E9C-101B-9397-08002B2CF9AE}" pid="5" name="Producer">
    <vt:lpwstr>Microsoft® Word 2010</vt:lpwstr>
  </property>
</Properties>
</file>