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8B8A" w14:textId="77777777" w:rsidR="008C639C" w:rsidRDefault="008C639C" w:rsidP="00B10DAA">
      <w:pPr>
        <w:pStyle w:val="Heading1"/>
        <w:jc w:val="both"/>
        <w:rPr>
          <w:rStyle w:val="Strong"/>
          <w:b/>
          <w:bCs/>
          <w:lang w:val="en-GB"/>
        </w:rPr>
      </w:pPr>
      <w:r w:rsidRPr="008C639C">
        <w:rPr>
          <w:rStyle w:val="Strong"/>
          <w:b/>
          <w:bCs/>
          <w:lang w:val="en-GB"/>
        </w:rPr>
        <w:t>Review Article</w:t>
      </w:r>
    </w:p>
    <w:p w14:paraId="483662F1" w14:textId="77777777" w:rsidR="008C639C" w:rsidRDefault="008C639C" w:rsidP="00B10DAA">
      <w:pPr>
        <w:pStyle w:val="Heading1"/>
        <w:jc w:val="both"/>
        <w:rPr>
          <w:rStyle w:val="Strong"/>
          <w:b/>
          <w:bCs/>
          <w:lang w:val="en-GB"/>
        </w:rPr>
      </w:pPr>
    </w:p>
    <w:p w14:paraId="1C3716E1" w14:textId="65F02132" w:rsidR="008C591C" w:rsidRPr="00B10DAA" w:rsidRDefault="00AF6FEA" w:rsidP="00B10DAA">
      <w:pPr>
        <w:pStyle w:val="Heading1"/>
        <w:jc w:val="both"/>
        <w:rPr>
          <w:sz w:val="32"/>
          <w:lang w:val="en-GB"/>
        </w:rPr>
      </w:pPr>
      <w:r w:rsidRPr="00B10DAA">
        <w:rPr>
          <w:rStyle w:val="Strong"/>
          <w:b/>
          <w:bCs/>
          <w:sz w:val="32"/>
          <w:lang w:val="en-GB"/>
        </w:rPr>
        <w:t>Clustered Regularly Interspaced Short Palindromic Repeats (CRISPR)–CRISPR–Cas Systems: Mechanisms, Genome Editing Applications, Therapeutic Potential, and Ethical Considerations</w:t>
      </w:r>
    </w:p>
    <w:p w14:paraId="08756E76" w14:textId="77777777" w:rsidR="00AF6FEA" w:rsidRPr="00AF6FEA" w:rsidRDefault="00AF6FEA" w:rsidP="00B10DAA">
      <w:pPr>
        <w:pStyle w:val="Heading3"/>
        <w:jc w:val="both"/>
        <w:rPr>
          <w:lang w:val="en-GB"/>
        </w:rPr>
      </w:pPr>
    </w:p>
    <w:p w14:paraId="1C1B6B9A" w14:textId="77777777" w:rsidR="008C591C" w:rsidRPr="00AF6FEA" w:rsidRDefault="008C591C" w:rsidP="00B10DAA">
      <w:pPr>
        <w:pStyle w:val="Heading3"/>
        <w:jc w:val="both"/>
        <w:rPr>
          <w:lang w:val="en-GB"/>
        </w:rPr>
      </w:pPr>
      <w:r w:rsidRPr="00AF6FEA">
        <w:rPr>
          <w:lang w:val="en-GB"/>
        </w:rPr>
        <w:t>Abstract</w:t>
      </w:r>
    </w:p>
    <w:p w14:paraId="62FBB867" w14:textId="77777777" w:rsidR="00AC1D8B" w:rsidRDefault="00AC1D8B" w:rsidP="00B10DAA">
      <w:pPr>
        <w:pStyle w:val="NormalWeb"/>
        <w:jc w:val="both"/>
      </w:pPr>
      <w:r>
        <w:t>Clustered regularly interspaced short palindromic repeats (CRISPR) and CRISPR-associated (Cas) proteins comprise adaptive immune systems that enable bacteria and archaea to record encounters with mobile genetic elements and to eliminate subsequent invasions through RNA-guided nucleic acid targeting. Insights into spacer acquisition, guide RNA biogenesis, and interference have been translated into a versatile toolkit for genome and transcriptome engineering. This review integrates mechanistic principles of CRISPR–Cas function with the major classes of engineered editors, spanning double-strand break–mediated gene disruption and repair-dependent modification, and newer precision approaches designed to reduce reliance on error-prone repair. Particular attention is given to how effector diversity expands editing capabilities, including DNA-targeting nucleases and RNA-targeting systems that support transient and reversible interventions. The therapeutic potential of CRISPR technologies is evaluated across ex vivo and in vivo strategies, with emphasis on delivery constraints, immunogenicity, genomic safety, and the need for controllable activity windows. Key translational challenges include the heterogeneity of on-target repair outcomes, the possibility of off-target activity, and manufacturing and monitoring requirements for durable clinical benefit. The review also examines how natural inhibitory mechanisms can inform engineered safety controls, and it situates biomedical innovation within broader ethical, legal, and social debates. These debates encompass proportionality of risk in somatic editing, governance of heritable interventions, equity in access to advanced therapies, environmental implications of population-scale genetic tools, and dual-use concerns. Collectively, the evidence indicates that CRISPR–Cas systems can reshape biomedical practice, provided that technical advances are matched by rigorous safety assessment and responsible governance.</w:t>
      </w:r>
    </w:p>
    <w:p w14:paraId="6DDE2FDE" w14:textId="77777777" w:rsidR="008C591C" w:rsidRPr="00AF6FEA" w:rsidRDefault="008C591C" w:rsidP="00B10DAA">
      <w:pPr>
        <w:pStyle w:val="NormalWeb"/>
        <w:jc w:val="both"/>
        <w:rPr>
          <w:lang w:val="en-GB"/>
        </w:rPr>
      </w:pPr>
      <w:r w:rsidRPr="00AF6FEA">
        <w:rPr>
          <w:rStyle w:val="Strong"/>
          <w:lang w:val="en-GB"/>
        </w:rPr>
        <w:t>Keywords:</w:t>
      </w:r>
      <w:r w:rsidRPr="00AF6FEA">
        <w:rPr>
          <w:lang w:val="en-GB"/>
        </w:rPr>
        <w:t xml:space="preserve"> CRISPR–Cas, Cas9, Cas12a, Cas13, genome editing, base editing, prime editing, gene therapy, off-target effects, gene drives, bioethics</w:t>
      </w:r>
    </w:p>
    <w:p w14:paraId="7FDF396D" w14:textId="77777777" w:rsidR="008C591C" w:rsidRPr="00AF6FEA" w:rsidRDefault="008C591C" w:rsidP="00B10DAA">
      <w:pPr>
        <w:rPr>
          <w:lang w:val="en-GB"/>
        </w:rPr>
      </w:pPr>
    </w:p>
    <w:p w14:paraId="31AB0C73" w14:textId="77777777" w:rsidR="008C591C" w:rsidRPr="00AF6FEA" w:rsidRDefault="008C591C" w:rsidP="00B10DAA">
      <w:pPr>
        <w:pStyle w:val="Heading2"/>
        <w:jc w:val="both"/>
        <w:rPr>
          <w:lang w:val="en-GB"/>
        </w:rPr>
      </w:pPr>
      <w:r w:rsidRPr="00AF6FEA">
        <w:rPr>
          <w:lang w:val="en-GB"/>
        </w:rPr>
        <w:t>1. Introduction</w:t>
      </w:r>
    </w:p>
    <w:p w14:paraId="0A096961" w14:textId="7D1F47CF" w:rsidR="008C591C" w:rsidRPr="00AF6FEA" w:rsidRDefault="00B10DAA" w:rsidP="00B10DAA">
      <w:pPr>
        <w:pStyle w:val="NormalWeb"/>
        <w:jc w:val="both"/>
        <w:rPr>
          <w:lang w:val="en-GB"/>
        </w:rPr>
      </w:pPr>
      <w:r w:rsidRPr="00E7107F">
        <w:rPr>
          <w:rFonts w:ascii="Cambria" w:hAnsi="Cambria"/>
          <w:color w:val="1B1B1B"/>
          <w:sz w:val="22"/>
          <w:szCs w:val="28"/>
          <w:highlight w:val="yellow"/>
          <w:shd w:val="clear" w:color="auto" w:fill="FFFFFF"/>
        </w:rPr>
        <w:t xml:space="preserve">Clustered regularly interspaced short palindromic repeats (CRISPR)-Cas is a groundbreaking gene editing technology that enables precise modifications to DNA within cells. </w:t>
      </w:r>
      <w:r w:rsidRPr="00E7107F">
        <w:rPr>
          <w:rFonts w:ascii="Cambria" w:hAnsi="Cambria"/>
          <w:color w:val="1B1B1B"/>
          <w:szCs w:val="28"/>
          <w:highlight w:val="yellow"/>
          <w:shd w:val="clear" w:color="auto" w:fill="FFFFFF"/>
        </w:rPr>
        <w:t xml:space="preserve">his innovative technology enables scientists to insert or delete genes using specific enzymes, facilitating modifications to genomes that can influence an organism's phenotype. The </w:t>
      </w:r>
      <w:r w:rsidRPr="00E7107F">
        <w:rPr>
          <w:rFonts w:ascii="Cambria" w:hAnsi="Cambria"/>
          <w:color w:val="1B1B1B"/>
          <w:szCs w:val="28"/>
          <w:highlight w:val="yellow"/>
          <w:shd w:val="clear" w:color="auto" w:fill="FFFFFF"/>
        </w:rPr>
        <w:lastRenderedPageBreak/>
        <w:t>Cas9 enzyme is the most widely used within the CRISPR framework and has already received approval for treating sickle cell disease, with many other applications likely to follow. As this rapidly evolving field continues to advance, it holds great promise for addressing genetic disorders and diseases (</w:t>
      </w:r>
      <w:r w:rsidR="002609AE" w:rsidRPr="009977B0">
        <w:rPr>
          <w:rFonts w:ascii="Consolas" w:hAnsi="Consolas"/>
          <w:color w:val="1B1B1B"/>
          <w:highlight w:val="yellow"/>
        </w:rPr>
        <w:t xml:space="preserve">Huang </w:t>
      </w:r>
      <w:r w:rsidR="002609AE">
        <w:rPr>
          <w:rFonts w:ascii="Consolas" w:hAnsi="Consolas"/>
          <w:color w:val="1B1B1B"/>
          <w:highlight w:val="yellow"/>
        </w:rPr>
        <w:t xml:space="preserve">et al., 2022; </w:t>
      </w:r>
      <w:r w:rsidRPr="008676C1">
        <w:rPr>
          <w:rFonts w:ascii="Consolas" w:hAnsi="Consolas"/>
          <w:color w:val="1B1B1B"/>
          <w:highlight w:val="yellow"/>
        </w:rPr>
        <w:t>Ramesh et al., 2025</w:t>
      </w:r>
      <w:r w:rsidRPr="00E7107F">
        <w:rPr>
          <w:rFonts w:ascii="Cambria" w:hAnsi="Cambria"/>
          <w:color w:val="1B1B1B"/>
          <w:szCs w:val="28"/>
          <w:highlight w:val="yellow"/>
          <w:shd w:val="clear" w:color="auto" w:fill="FFFFFF"/>
        </w:rPr>
        <w:t>).</w:t>
      </w:r>
      <w:r w:rsidRPr="00E7107F">
        <w:rPr>
          <w:rFonts w:ascii="Cambria" w:hAnsi="Cambria"/>
          <w:color w:val="1B1B1B"/>
          <w:szCs w:val="28"/>
          <w:shd w:val="clear" w:color="auto" w:fill="FFFFFF"/>
        </w:rPr>
        <w:t> </w:t>
      </w:r>
      <w:r w:rsidR="008C591C" w:rsidRPr="00AF6FEA">
        <w:rPr>
          <w:lang w:val="en-GB"/>
        </w:rPr>
        <w:t>CRISPR–Cas systems are RNA-guided defence mechanisms that allow many bacteria and archaea to resist phage infection and other mobile genetic elements. In their native context, these systems operate as a molecular memory: fragments of invader DNA are integrated into CRISPR loci and later transcribed and processed into guide RNAs that steer Cas effector proteins to matching targets. The empirical demonstration that CRISPR loci can acquire new spacers and thereby confer sequence-specific resistance established CRISPR as an adaptive immune system (</w:t>
      </w:r>
      <w:proofErr w:type="spellStart"/>
      <w:r w:rsidR="008C591C" w:rsidRPr="00AF6FEA">
        <w:rPr>
          <w:lang w:val="en-GB"/>
        </w:rPr>
        <w:t>Barrangou</w:t>
      </w:r>
      <w:proofErr w:type="spellEnd"/>
      <w:r w:rsidR="008C591C" w:rsidRPr="00AF6FEA">
        <w:rPr>
          <w:lang w:val="en-GB"/>
        </w:rPr>
        <w:t xml:space="preserve"> et al., 2007). Subsequent work clarified that small CRISPR-derived RNAs are central to this defence, providing sequence information to guide effector complexes (</w:t>
      </w:r>
      <w:proofErr w:type="spellStart"/>
      <w:r w:rsidR="008C591C" w:rsidRPr="00AF6FEA">
        <w:rPr>
          <w:lang w:val="en-GB"/>
        </w:rPr>
        <w:t>Brouns</w:t>
      </w:r>
      <w:proofErr w:type="spellEnd"/>
      <w:r w:rsidR="008C591C" w:rsidRPr="00AF6FEA">
        <w:rPr>
          <w:lang w:val="en-GB"/>
        </w:rPr>
        <w:t xml:space="preserve"> et al., 2008), and that CRISPR–Cas immunity can directly cleave invading DNA (Garneau et al., 2010).</w:t>
      </w:r>
    </w:p>
    <w:p w14:paraId="261C5A4C" w14:textId="77777777" w:rsidR="008C591C" w:rsidRPr="00AF6FEA" w:rsidRDefault="008C591C" w:rsidP="00B10DAA">
      <w:pPr>
        <w:pStyle w:val="NormalWeb"/>
        <w:jc w:val="both"/>
        <w:rPr>
          <w:lang w:val="en-GB"/>
        </w:rPr>
      </w:pPr>
      <w:r w:rsidRPr="00AF6FEA">
        <w:rPr>
          <w:lang w:val="en-GB"/>
        </w:rPr>
        <w:t>The conceptual leap from microbial immunity to genome engineering occurred when mechanistic studies revealed that certain Cas proteins could be programmed with designed RNAs to generate targeted nucleic acid cleavage. A landmark advance showed that a dual-RNA system could programme a Cas9 nuclease to cut DNA at user-specified sites, thereby linking RNA sequence design to predictable DNA cleavage (</w:t>
      </w:r>
      <w:proofErr w:type="spellStart"/>
      <w:r w:rsidRPr="00AF6FEA">
        <w:rPr>
          <w:lang w:val="en-GB"/>
        </w:rPr>
        <w:t>Jinek</w:t>
      </w:r>
      <w:proofErr w:type="spellEnd"/>
      <w:r w:rsidRPr="00AF6FEA">
        <w:rPr>
          <w:lang w:val="en-GB"/>
        </w:rPr>
        <w:t xml:space="preserve"> et al., 2012). In parallel, biochemical evidence established Cas9 as an RNA-guided endonuclease capable of sequence-specific double-strand breaks (</w:t>
      </w:r>
      <w:proofErr w:type="spellStart"/>
      <w:r w:rsidRPr="00AF6FEA">
        <w:rPr>
          <w:lang w:val="en-GB"/>
        </w:rPr>
        <w:t>Gasiunas</w:t>
      </w:r>
      <w:proofErr w:type="spellEnd"/>
      <w:r w:rsidRPr="00AF6FEA">
        <w:rPr>
          <w:lang w:val="en-GB"/>
        </w:rPr>
        <w:t xml:space="preserve"> et al., 2012). These insights rapidly enabled the reconstitution of CRISPR–Cas9 editing in mammalian cells, making genome editing more accessible, scalable, and multiplexable than earlier protein-engineered nuclease platforms (Cong et al., 2013; Mali et al., 2013).</w:t>
      </w:r>
    </w:p>
    <w:p w14:paraId="28C0E7F5" w14:textId="77777777" w:rsidR="008C591C" w:rsidRPr="00AF6FEA" w:rsidRDefault="008C591C" w:rsidP="00B10DAA">
      <w:pPr>
        <w:pStyle w:val="NormalWeb"/>
        <w:jc w:val="both"/>
        <w:rPr>
          <w:lang w:val="en-GB"/>
        </w:rPr>
      </w:pPr>
      <w:r w:rsidRPr="00AF6FEA">
        <w:rPr>
          <w:lang w:val="en-GB"/>
        </w:rPr>
        <w:t>As adoption accelerated, CRISPR became more than a cutting tool. Catalytically inactive Cas proteins could be repurposed as programmable DNA-binding scaffolds to regulate transcription, recruit epigenetic modifiers, and support genome-scale perturbation screens (Qi et al., 2013). Moreover, discovery and engineering of diverse CRISPR effectors expanded the platform beyond Cas9, including Cas12-family nucleases with distinct targeting rules (Zetsche et al., 2015) and Cas13-family enzymes that target RNA, enabling transcript knockdown and RNA editing (</w:t>
      </w:r>
      <w:proofErr w:type="spellStart"/>
      <w:r w:rsidRPr="00AF6FEA">
        <w:rPr>
          <w:lang w:val="en-GB"/>
        </w:rPr>
        <w:t>Abudayyeh</w:t>
      </w:r>
      <w:proofErr w:type="spellEnd"/>
      <w:r w:rsidRPr="00AF6FEA">
        <w:rPr>
          <w:lang w:val="en-GB"/>
        </w:rPr>
        <w:t xml:space="preserve"> et al., 2016; Cox et al., 2017).</w:t>
      </w:r>
    </w:p>
    <w:p w14:paraId="0B8F6D63" w14:textId="77777777" w:rsidR="008C591C" w:rsidRPr="00AF6FEA" w:rsidRDefault="008C591C" w:rsidP="00B10DAA">
      <w:pPr>
        <w:pStyle w:val="NormalWeb"/>
        <w:jc w:val="both"/>
        <w:rPr>
          <w:lang w:val="en-GB"/>
        </w:rPr>
      </w:pPr>
      <w:r w:rsidRPr="00AF6FEA">
        <w:rPr>
          <w:lang w:val="en-GB"/>
        </w:rPr>
        <w:t>The speed of translation has been matched by an expanding awareness of risk. Off-target cleavage can occur when guide RNAs partially match unintended genomic sites (Hsu et al., 2013), and unbiased detection approaches revealed that off-target activity is measurable and context-dependent (Tsai et al., 2015). In addition, DSB repair can yield unanticipated on-target outcomes, including large deletions and complex rearrangements, underscoring the need for safety assays that extend beyond short indel profiling (</w:t>
      </w:r>
      <w:proofErr w:type="spellStart"/>
      <w:r w:rsidRPr="00AF6FEA">
        <w:rPr>
          <w:lang w:val="en-GB"/>
        </w:rPr>
        <w:t>Kosicki</w:t>
      </w:r>
      <w:proofErr w:type="spellEnd"/>
      <w:r w:rsidRPr="00AF6FEA">
        <w:rPr>
          <w:lang w:val="en-GB"/>
        </w:rPr>
        <w:t xml:space="preserve"> et al., 2018). Cellular stress responses, including selection for cells with impaired DNA damage checkpoints, have also been reported in certain editing contexts, motivating careful evaluation of genotoxicity and selection effects in therapeutic pipelines (</w:t>
      </w:r>
      <w:proofErr w:type="spellStart"/>
      <w:r w:rsidRPr="00AF6FEA">
        <w:rPr>
          <w:lang w:val="en-GB"/>
        </w:rPr>
        <w:t>Haapaniemi</w:t>
      </w:r>
      <w:proofErr w:type="spellEnd"/>
      <w:r w:rsidRPr="00AF6FEA">
        <w:rPr>
          <w:lang w:val="en-GB"/>
        </w:rPr>
        <w:t xml:space="preserve"> et al., 2018).</w:t>
      </w:r>
    </w:p>
    <w:p w14:paraId="1864181A" w14:textId="77777777" w:rsidR="008C591C" w:rsidRPr="00AF6FEA" w:rsidRDefault="008C591C" w:rsidP="00B10DAA">
      <w:pPr>
        <w:pStyle w:val="Heading3"/>
        <w:jc w:val="both"/>
        <w:rPr>
          <w:lang w:val="en-GB"/>
        </w:rPr>
      </w:pPr>
      <w:r w:rsidRPr="00AF6FEA">
        <w:rPr>
          <w:lang w:val="en-GB"/>
        </w:rPr>
        <w:t>1.1 From microbial defence to a progra</w:t>
      </w:r>
      <w:bookmarkStart w:id="0" w:name="_GoBack"/>
      <w:bookmarkEnd w:id="0"/>
      <w:r w:rsidRPr="00AF6FEA">
        <w:rPr>
          <w:lang w:val="en-GB"/>
        </w:rPr>
        <w:t>mmable biotechnology</w:t>
      </w:r>
    </w:p>
    <w:p w14:paraId="52FD6C92" w14:textId="77777777" w:rsidR="008C591C" w:rsidRPr="00AF6FEA" w:rsidRDefault="008C591C" w:rsidP="00B10DAA">
      <w:pPr>
        <w:pStyle w:val="NormalWeb"/>
        <w:jc w:val="both"/>
        <w:rPr>
          <w:lang w:val="en-GB"/>
        </w:rPr>
      </w:pPr>
      <w:r w:rsidRPr="00AF6FEA">
        <w:rPr>
          <w:lang w:val="en-GB"/>
        </w:rPr>
        <w:t xml:space="preserve">In native immunity, CRISPR–Cas systems can be viewed as a set of linked modules: acquisition of spacer sequences, expression and maturation of CRISPR RNAs, and interference with complementary nucleic acids. Each module has been co-opted or mimicked in engineered systems. For example, the RNA-guided targeting logic of interference maps </w:t>
      </w:r>
      <w:r w:rsidRPr="00AF6FEA">
        <w:rPr>
          <w:lang w:val="en-GB"/>
        </w:rPr>
        <w:lastRenderedPageBreak/>
        <w:t>naturally to genome editing, while the modularity of guide RNAs enables multiplexing and rapid retargeting. The translation from microbiology to biotechnology was not merely conceptual; it was grounded in mechanistic work that defined the minimal components required for function and clarified how RNAs are processed and assembled into active complexes (</w:t>
      </w:r>
      <w:proofErr w:type="spellStart"/>
      <w:r w:rsidRPr="00AF6FEA">
        <w:rPr>
          <w:lang w:val="en-GB"/>
        </w:rPr>
        <w:t>Brouns</w:t>
      </w:r>
      <w:proofErr w:type="spellEnd"/>
      <w:r w:rsidRPr="00AF6FEA">
        <w:rPr>
          <w:lang w:val="en-GB"/>
        </w:rPr>
        <w:t xml:space="preserve"> et al., 2008; </w:t>
      </w:r>
      <w:proofErr w:type="spellStart"/>
      <w:r w:rsidRPr="00AF6FEA">
        <w:rPr>
          <w:lang w:val="en-GB"/>
        </w:rPr>
        <w:t>Deltcheva</w:t>
      </w:r>
      <w:proofErr w:type="spellEnd"/>
      <w:r w:rsidRPr="00AF6FEA">
        <w:rPr>
          <w:lang w:val="en-GB"/>
        </w:rPr>
        <w:t xml:space="preserve"> et al., 2011; </w:t>
      </w:r>
      <w:proofErr w:type="spellStart"/>
      <w:r w:rsidRPr="00AF6FEA">
        <w:rPr>
          <w:lang w:val="en-GB"/>
        </w:rPr>
        <w:t>Jinek</w:t>
      </w:r>
      <w:proofErr w:type="spellEnd"/>
      <w:r w:rsidRPr="00AF6FEA">
        <w:rPr>
          <w:lang w:val="en-GB"/>
        </w:rPr>
        <w:t xml:space="preserve"> et al., 2012).</w:t>
      </w:r>
    </w:p>
    <w:p w14:paraId="5F3AEFAF" w14:textId="77777777" w:rsidR="008C591C" w:rsidRPr="00AF6FEA" w:rsidRDefault="008C591C" w:rsidP="00B10DAA">
      <w:pPr>
        <w:pStyle w:val="Heading3"/>
        <w:jc w:val="both"/>
        <w:rPr>
          <w:lang w:val="en-GB"/>
        </w:rPr>
      </w:pPr>
      <w:r w:rsidRPr="00AF6FEA">
        <w:rPr>
          <w:lang w:val="en-GB"/>
        </w:rPr>
        <w:t>1.2 Clinical and societal relevance of CRISPR-based editing</w:t>
      </w:r>
    </w:p>
    <w:p w14:paraId="7309F3D3" w14:textId="77777777" w:rsidR="008C591C" w:rsidRPr="00AF6FEA" w:rsidRDefault="008C591C" w:rsidP="00B10DAA">
      <w:pPr>
        <w:pStyle w:val="NormalWeb"/>
        <w:jc w:val="both"/>
        <w:rPr>
          <w:lang w:val="en-GB"/>
        </w:rPr>
      </w:pPr>
      <w:r w:rsidRPr="00AF6FEA">
        <w:rPr>
          <w:lang w:val="en-GB"/>
        </w:rPr>
        <w:t xml:space="preserve">CRISPR editing is now positioned across the biomedical pipeline: it accelerates target discovery, supports functional genomics, enables disease modelling, and underpins therapeutic strategies that range from ex vivo cell engineering to in vivo gene disruption. Reviews of current clinical development emphasise both rapid progress and persistent challenges, including delivery, safety, manufacturing, and cost-effectiveness (Chakraborty et al., 2026). At the same time, CRISPR technologies have intensified ethical debate, particularly around heritable genome editing and the governance of research involving human embryos (Baltimore et al., 2015; </w:t>
      </w:r>
      <w:proofErr w:type="spellStart"/>
      <w:r w:rsidRPr="00AF6FEA">
        <w:rPr>
          <w:lang w:val="en-GB"/>
        </w:rPr>
        <w:t>Cyranoski</w:t>
      </w:r>
      <w:proofErr w:type="spellEnd"/>
      <w:r w:rsidRPr="00AF6FEA">
        <w:rPr>
          <w:lang w:val="en-GB"/>
        </w:rPr>
        <w:t xml:space="preserve">, 2019; Ishii, 2017; </w:t>
      </w:r>
      <w:proofErr w:type="spellStart"/>
      <w:r w:rsidRPr="00AF6FEA">
        <w:rPr>
          <w:lang w:val="en-GB"/>
        </w:rPr>
        <w:t>Lanphier</w:t>
      </w:r>
      <w:proofErr w:type="spellEnd"/>
      <w:r w:rsidRPr="00AF6FEA">
        <w:rPr>
          <w:lang w:val="en-GB"/>
        </w:rPr>
        <w:t xml:space="preserve"> et al., 2015). Environmental applications, such as gene drives, raise additional concerns because engineered genetic changes may spread through wild populations with limited reversibility once released (</w:t>
      </w:r>
      <w:proofErr w:type="spellStart"/>
      <w:r w:rsidRPr="00AF6FEA">
        <w:rPr>
          <w:lang w:val="en-GB"/>
        </w:rPr>
        <w:t>Esvelt</w:t>
      </w:r>
      <w:proofErr w:type="spellEnd"/>
      <w:r w:rsidRPr="00AF6FEA">
        <w:rPr>
          <w:lang w:val="en-GB"/>
        </w:rPr>
        <w:t xml:space="preserve"> et al., 2014; </w:t>
      </w:r>
      <w:proofErr w:type="spellStart"/>
      <w:r w:rsidRPr="00AF6FEA">
        <w:rPr>
          <w:lang w:val="en-GB"/>
        </w:rPr>
        <w:t>Oye</w:t>
      </w:r>
      <w:proofErr w:type="spellEnd"/>
      <w:r w:rsidRPr="00AF6FEA">
        <w:rPr>
          <w:lang w:val="en-GB"/>
        </w:rPr>
        <w:t xml:space="preserve"> et al., 2014).</w:t>
      </w:r>
    </w:p>
    <w:p w14:paraId="5FDBCB07" w14:textId="77777777" w:rsidR="008C591C" w:rsidRPr="00AF6FEA" w:rsidRDefault="008C591C" w:rsidP="00B10DAA">
      <w:pPr>
        <w:pStyle w:val="Heading3"/>
        <w:jc w:val="both"/>
        <w:rPr>
          <w:lang w:val="en-GB"/>
        </w:rPr>
      </w:pPr>
      <w:r w:rsidRPr="00AF6FEA">
        <w:rPr>
          <w:lang w:val="en-GB"/>
        </w:rPr>
        <w:t>1.3 Scope and objectives</w:t>
      </w:r>
    </w:p>
    <w:p w14:paraId="0E08C29B" w14:textId="77777777" w:rsidR="008C591C" w:rsidRPr="00AF6FEA" w:rsidRDefault="008C591C" w:rsidP="00B10DAA">
      <w:pPr>
        <w:pStyle w:val="NormalWeb"/>
        <w:jc w:val="both"/>
        <w:rPr>
          <w:lang w:val="en-GB"/>
        </w:rPr>
      </w:pPr>
      <w:r w:rsidRPr="00AF6FEA">
        <w:rPr>
          <w:lang w:val="en-GB"/>
        </w:rPr>
        <w:t>This review aims to (</w:t>
      </w:r>
      <w:proofErr w:type="spellStart"/>
      <w:r w:rsidRPr="00AF6FEA">
        <w:rPr>
          <w:lang w:val="en-GB"/>
        </w:rPr>
        <w:t>i</w:t>
      </w:r>
      <w:proofErr w:type="spellEnd"/>
      <w:r w:rsidRPr="00AF6FEA">
        <w:rPr>
          <w:lang w:val="en-GB"/>
        </w:rPr>
        <w:t>) summarise core molecular mechanisms of CRISPR–Cas systems and their relevance to engineered editing platforms; (ii) critically discuss major genome and transcriptome editing modalities derived from CRISPR, including DSB-mediated editing, base editing, and prime editing; (iii) evaluate therapeutic potential and translational bottlenecks with an emphasis on delivery, immunogenicity, genomic safety, and controllability; and (iv) examine ethical considerations spanning somatic applications, heritable editing, environmental deployment, and dual-use risk.</w:t>
      </w:r>
    </w:p>
    <w:p w14:paraId="011E7FD7" w14:textId="77777777" w:rsidR="008C591C" w:rsidRPr="00AF6FEA" w:rsidRDefault="008C591C" w:rsidP="00B10DAA">
      <w:pPr>
        <w:rPr>
          <w:lang w:val="en-GB"/>
        </w:rPr>
      </w:pPr>
    </w:p>
    <w:p w14:paraId="0A1B122E" w14:textId="77777777" w:rsidR="008C591C" w:rsidRPr="00AF6FEA" w:rsidRDefault="008C591C" w:rsidP="00B10DAA">
      <w:pPr>
        <w:pStyle w:val="Heading2"/>
        <w:jc w:val="both"/>
        <w:rPr>
          <w:lang w:val="en-GB"/>
        </w:rPr>
      </w:pPr>
      <w:r w:rsidRPr="00AF6FEA">
        <w:rPr>
          <w:lang w:val="en-GB"/>
        </w:rPr>
        <w:t>2. Methods for literature selection</w:t>
      </w:r>
    </w:p>
    <w:p w14:paraId="4B953598" w14:textId="77777777" w:rsidR="008C591C" w:rsidRPr="00AF6FEA" w:rsidRDefault="008C591C" w:rsidP="00B10DAA">
      <w:pPr>
        <w:pStyle w:val="NormalWeb"/>
        <w:jc w:val="both"/>
        <w:rPr>
          <w:lang w:val="en-GB"/>
        </w:rPr>
      </w:pPr>
      <w:r w:rsidRPr="00AF6FEA">
        <w:rPr>
          <w:lang w:val="en-GB"/>
        </w:rPr>
        <w:t>A structured literature search was conducted in PubMed, Web of Science, Scopus, and Google Scholar covering January 2000 through February 2026. Searches used combinations of terms including “CRISPR-Cas”, “Cas9”, “Cas12a” OR “Cpf1”, “Cas13”, “base editing”, “prime editing”, “anti-CRISPR”, “off-target”, “GUIDE-</w:t>
      </w:r>
      <w:proofErr w:type="spellStart"/>
      <w:r w:rsidRPr="00AF6FEA">
        <w:rPr>
          <w:lang w:val="en-GB"/>
        </w:rPr>
        <w:t>seq</w:t>
      </w:r>
      <w:proofErr w:type="spellEnd"/>
      <w:r w:rsidRPr="00AF6FEA">
        <w:rPr>
          <w:lang w:val="en-GB"/>
        </w:rPr>
        <w:t>”, “gene drive”, “germline editing”, “ethics”, and “clinical trial”. The search strings were adapted per database syntax and included phrase searching (e.g., “prime editing”) and Boolean operators to connect mechanism, application, and ethics domains. Inclusion criteria prioritised peer-reviewed primary research articles and high-quality reviews in reputable journals, with emphasis on mechanistic studies, platform-defining technology papers, clinical trial reports, and widely cited ethics or governance commentaries with clear scholarly provenance. Exclusion criteria included non-peer-reviewed opinion pieces without scholarly apparatus, inaccessible records lacking verifiable bibliographic metadata, and duplicative reports where a definitive version was available. Reference lists of included papers were hand-screened to identify foundational works and to ensure coverage of mechanistic, translational, and ethical subfields.</w:t>
      </w:r>
    </w:p>
    <w:p w14:paraId="3635E71E" w14:textId="77777777" w:rsidR="008C591C" w:rsidRPr="00AF6FEA" w:rsidRDefault="008C591C" w:rsidP="00B10DAA">
      <w:pPr>
        <w:rPr>
          <w:lang w:val="en-GB"/>
        </w:rPr>
      </w:pPr>
    </w:p>
    <w:p w14:paraId="4CF0326E" w14:textId="77777777" w:rsidR="00AF6FEA" w:rsidRPr="00AF6FEA" w:rsidRDefault="00AF6FEA" w:rsidP="00B10DAA">
      <w:pPr>
        <w:spacing w:before="100" w:beforeAutospacing="1" w:after="100" w:afterAutospacing="1" w:line="240" w:lineRule="auto"/>
        <w:ind w:left="0" w:right="0" w:firstLine="0"/>
        <w:outlineLvl w:val="1"/>
        <w:rPr>
          <w:b/>
          <w:bCs/>
          <w:color w:val="auto"/>
          <w:kern w:val="0"/>
          <w:sz w:val="36"/>
          <w:szCs w:val="36"/>
          <w:lang w:val="en-US" w:eastAsia="en-US"/>
        </w:rPr>
      </w:pPr>
      <w:r w:rsidRPr="00AF6FEA">
        <w:rPr>
          <w:b/>
          <w:bCs/>
          <w:color w:val="auto"/>
          <w:kern w:val="0"/>
          <w:sz w:val="36"/>
          <w:szCs w:val="36"/>
          <w:lang w:val="en-US" w:eastAsia="en-US"/>
        </w:rPr>
        <w:t>3. CRISPR–Cas systems: molecular mechanisms and evolutionary dynamics</w:t>
      </w:r>
    </w:p>
    <w:p w14:paraId="35CB7935"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3.1 Adaptation: spacer acquisition and immunological memory</w:t>
      </w:r>
    </w:p>
    <w:p w14:paraId="59F5B886"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A defining feature of CRISPR–Cas immunity is its capacity to acquire new “spacers” from invading genetic elements and archive them within CRISPR arrays, thereby creating a molecular record of past infection. This adaptation step is the biological foundation for sequence-specific recall responses and explains why CRISPR loci vary between strains that occupy distinct phage ecologies. The central evidence that spacer acquisition underpins acquired resistance came from experimental exposure of bacteria to phage, where survivors displayed new spacers that matched the invader and exhibited corresponding resistance patterns (</w:t>
      </w:r>
      <w:proofErr w:type="spellStart"/>
      <w:r w:rsidRPr="00AF6FEA">
        <w:rPr>
          <w:color w:val="auto"/>
          <w:kern w:val="0"/>
          <w:lang w:val="en-US" w:eastAsia="en-US"/>
        </w:rPr>
        <w:t>Barrangou</w:t>
      </w:r>
      <w:proofErr w:type="spellEnd"/>
      <w:r w:rsidRPr="00AF6FEA">
        <w:rPr>
          <w:color w:val="auto"/>
          <w:kern w:val="0"/>
          <w:lang w:val="en-US" w:eastAsia="en-US"/>
        </w:rPr>
        <w:t xml:space="preserve"> et al., 2007). Although genome editing platforms typically bypass adaptation by supplying guides synthetically, the evolutionary logic of adaptation remains relevant for biotechnology because it reveals how targets can be gained, lost, and reshaped under selection pressure.</w:t>
      </w:r>
    </w:p>
    <w:p w14:paraId="42B4D774"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In natural populations, adaptation is not merely a one-off event but part of a continuing contest between mobile genetic elements and their hosts. Invaders can escape by mutating target sequences or by altering features required for recognition, while hosts can respond by incorporating additional spacers that broaden surveillance. This arms-race framing helps interpret why CRISPR–Cas systems are diverse in architecture and prevalence across microbes, and it also cautions against assuming that any single targeting strategy will remain robust in contexts where the target can evolve rapidly. From an engineering perspective, the adaptation step also underscores that immunity is constrained by the availability of suitable protospacer sequences in invaders and by molecular rules governing which fragments are captured and stably maintained. These constraints have analogues in genome editing, where targetability is shaped by local sequence features and by the compatibility of chosen effectors with their recognition requirements.</w:t>
      </w:r>
    </w:p>
    <w:p w14:paraId="2EBA50C3"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3.2 Expression and processing: crRNA biogenesis and guide architecture</w:t>
      </w:r>
    </w:p>
    <w:p w14:paraId="3CB91797"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After acquisition, CRISPR loci must be expressed and processed into guide RNAs capable of directing effector proteins. Work on Type I systems established that small CRISPR RNAs are produced from longer precursors and that these RNAs are integral to antiviral </w:t>
      </w:r>
      <w:proofErr w:type="spellStart"/>
      <w:r w:rsidRPr="00AF6FEA">
        <w:rPr>
          <w:color w:val="auto"/>
          <w:kern w:val="0"/>
          <w:lang w:val="en-US" w:eastAsia="en-US"/>
        </w:rPr>
        <w:t>defence</w:t>
      </w:r>
      <w:proofErr w:type="spellEnd"/>
      <w:r w:rsidRPr="00AF6FEA">
        <w:rPr>
          <w:color w:val="auto"/>
          <w:kern w:val="0"/>
          <w:lang w:val="en-US" w:eastAsia="en-US"/>
        </w:rPr>
        <w:t>, guiding effector machinery to complementary nucleic acids (</w:t>
      </w:r>
      <w:proofErr w:type="spellStart"/>
      <w:r w:rsidRPr="00AF6FEA">
        <w:rPr>
          <w:color w:val="auto"/>
          <w:kern w:val="0"/>
          <w:lang w:val="en-US" w:eastAsia="en-US"/>
        </w:rPr>
        <w:t>Brouns</w:t>
      </w:r>
      <w:proofErr w:type="spellEnd"/>
      <w:r w:rsidRPr="00AF6FEA">
        <w:rPr>
          <w:color w:val="auto"/>
          <w:kern w:val="0"/>
          <w:lang w:val="en-US" w:eastAsia="en-US"/>
        </w:rPr>
        <w:t xml:space="preserve"> et al., 2008). This mechanistic principle—RNA-encoded specificity coupled to protein-mediated catalysis—later became the conceptual bridge to programmable editing.</w:t>
      </w:r>
    </w:p>
    <w:p w14:paraId="23CAD206"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For Type II systems, guide RNA biogenesis involves an additional RNA component that pairs with precursor CRISPR transcripts and recruits host processing factors. The discovery that CRISPR RNA maturation can depend on a trans-encoded small RNA (</w:t>
      </w:r>
      <w:proofErr w:type="spellStart"/>
      <w:r w:rsidRPr="00AF6FEA">
        <w:rPr>
          <w:color w:val="auto"/>
          <w:kern w:val="0"/>
          <w:lang w:val="en-US" w:eastAsia="en-US"/>
        </w:rPr>
        <w:t>tracrRNA</w:t>
      </w:r>
      <w:proofErr w:type="spellEnd"/>
      <w:r w:rsidRPr="00AF6FEA">
        <w:rPr>
          <w:color w:val="auto"/>
          <w:kern w:val="0"/>
          <w:lang w:val="en-US" w:eastAsia="en-US"/>
        </w:rPr>
        <w:t>) and RNase III clarified how guide RNAs are produced and how host enzymes can be co-opted into CRISPR function (</w:t>
      </w:r>
      <w:proofErr w:type="spellStart"/>
      <w:r w:rsidRPr="00AF6FEA">
        <w:rPr>
          <w:color w:val="auto"/>
          <w:kern w:val="0"/>
          <w:lang w:val="en-US" w:eastAsia="en-US"/>
        </w:rPr>
        <w:t>Deltcheva</w:t>
      </w:r>
      <w:proofErr w:type="spellEnd"/>
      <w:r w:rsidRPr="00AF6FEA">
        <w:rPr>
          <w:color w:val="auto"/>
          <w:kern w:val="0"/>
          <w:lang w:val="en-US" w:eastAsia="en-US"/>
        </w:rPr>
        <w:t xml:space="preserve"> et al., 2011). This insight was directly enabling for biotechnology because it </w:t>
      </w:r>
      <w:proofErr w:type="spellStart"/>
      <w:r w:rsidRPr="00AF6FEA">
        <w:rPr>
          <w:color w:val="auto"/>
          <w:kern w:val="0"/>
          <w:lang w:val="en-US" w:eastAsia="en-US"/>
        </w:rPr>
        <w:t>rationalised</w:t>
      </w:r>
      <w:proofErr w:type="spellEnd"/>
      <w:r w:rsidRPr="00AF6FEA">
        <w:rPr>
          <w:color w:val="auto"/>
          <w:kern w:val="0"/>
          <w:lang w:val="en-US" w:eastAsia="en-US"/>
        </w:rPr>
        <w:t xml:space="preserve"> why a simplified guide architecture could be engineered without losing function. In particular, once the pairing logic and processing requirements </w:t>
      </w:r>
      <w:r w:rsidRPr="00AF6FEA">
        <w:rPr>
          <w:color w:val="auto"/>
          <w:kern w:val="0"/>
          <w:lang w:val="en-US" w:eastAsia="en-US"/>
        </w:rPr>
        <w:lastRenderedPageBreak/>
        <w:t xml:space="preserve">were understood, it became feasible to consolidate components into a single guide RNA format that preserved essential structural elements while making the system easier to </w:t>
      </w:r>
      <w:proofErr w:type="spellStart"/>
      <w:r w:rsidRPr="00AF6FEA">
        <w:rPr>
          <w:color w:val="auto"/>
          <w:kern w:val="0"/>
          <w:lang w:val="en-US" w:eastAsia="en-US"/>
        </w:rPr>
        <w:t>programme</w:t>
      </w:r>
      <w:proofErr w:type="spellEnd"/>
      <w:r w:rsidRPr="00AF6FEA">
        <w:rPr>
          <w:color w:val="auto"/>
          <w:kern w:val="0"/>
          <w:lang w:val="en-US" w:eastAsia="en-US"/>
        </w:rPr>
        <w:t>.</w:t>
      </w:r>
    </w:p>
    <w:p w14:paraId="36E805AC"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The practical consequences of crRNA biogenesis extend beyond convenience. Guide RNAs are not passive strings of complementarity; they are structured molecules that must assemble correctly with the effector, present a stable targeting region, and support the conformational transitions needed for binding and cleavage. The demonstration that Cas9 can be programmed by defined RNA components to </w:t>
      </w:r>
      <w:proofErr w:type="spellStart"/>
      <w:r w:rsidRPr="00AF6FEA">
        <w:rPr>
          <w:color w:val="auto"/>
          <w:kern w:val="0"/>
          <w:lang w:val="en-US" w:eastAsia="en-US"/>
        </w:rPr>
        <w:t>recognise</w:t>
      </w:r>
      <w:proofErr w:type="spellEnd"/>
      <w:r w:rsidRPr="00AF6FEA">
        <w:rPr>
          <w:color w:val="auto"/>
          <w:kern w:val="0"/>
          <w:lang w:val="en-US" w:eastAsia="en-US"/>
        </w:rPr>
        <w:t xml:space="preserve"> and cleave chosen DNA sequences made it clear that guide design and guide structure are central determinants of activity (</w:t>
      </w:r>
      <w:proofErr w:type="spellStart"/>
      <w:r w:rsidRPr="00AF6FEA">
        <w:rPr>
          <w:color w:val="auto"/>
          <w:kern w:val="0"/>
          <w:lang w:val="en-US" w:eastAsia="en-US"/>
        </w:rPr>
        <w:t>Jinek</w:t>
      </w:r>
      <w:proofErr w:type="spellEnd"/>
      <w:r w:rsidRPr="00AF6FEA">
        <w:rPr>
          <w:color w:val="auto"/>
          <w:kern w:val="0"/>
          <w:lang w:val="en-US" w:eastAsia="en-US"/>
        </w:rPr>
        <w:t xml:space="preserve"> et al., 2012). In contemporary applications, the same principles inform efforts to improve efficiency and specificity by </w:t>
      </w:r>
      <w:proofErr w:type="spellStart"/>
      <w:r w:rsidRPr="00AF6FEA">
        <w:rPr>
          <w:color w:val="auto"/>
          <w:kern w:val="0"/>
          <w:lang w:val="en-US" w:eastAsia="en-US"/>
        </w:rPr>
        <w:t>optimising</w:t>
      </w:r>
      <w:proofErr w:type="spellEnd"/>
      <w:r w:rsidRPr="00AF6FEA">
        <w:rPr>
          <w:color w:val="auto"/>
          <w:kern w:val="0"/>
          <w:lang w:val="en-US" w:eastAsia="en-US"/>
        </w:rPr>
        <w:t xml:space="preserve"> guide architecture, </w:t>
      </w:r>
      <w:proofErr w:type="spellStart"/>
      <w:r w:rsidRPr="00AF6FEA">
        <w:rPr>
          <w:color w:val="auto"/>
          <w:kern w:val="0"/>
          <w:lang w:val="en-US" w:eastAsia="en-US"/>
        </w:rPr>
        <w:t>stabilising</w:t>
      </w:r>
      <w:proofErr w:type="spellEnd"/>
      <w:r w:rsidRPr="00AF6FEA">
        <w:rPr>
          <w:color w:val="auto"/>
          <w:kern w:val="0"/>
          <w:lang w:val="en-US" w:eastAsia="en-US"/>
        </w:rPr>
        <w:t xml:space="preserve"> key secondary structures, and reducing unintended interactions with host RNAs or proteins.</w:t>
      </w:r>
    </w:p>
    <w:p w14:paraId="7E2E7AFC"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3.3 Interference: target recognition, cleavage, and the biological consequences of breaks</w:t>
      </w:r>
    </w:p>
    <w:p w14:paraId="58311E24"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Interference is the stage of CRISPR immunity most directly repurposed for genome editing. Mechanistic studies showed that Cas9 forms a ribonucleoprotein complex with guide RNA and executes sequence-specific DNA cleavage, providing a clear biochemical explanation for programmable cutting (</w:t>
      </w:r>
      <w:proofErr w:type="spellStart"/>
      <w:r w:rsidRPr="00AF6FEA">
        <w:rPr>
          <w:color w:val="auto"/>
          <w:kern w:val="0"/>
          <w:lang w:val="en-US" w:eastAsia="en-US"/>
        </w:rPr>
        <w:t>Gasiunas</w:t>
      </w:r>
      <w:proofErr w:type="spellEnd"/>
      <w:r w:rsidRPr="00AF6FEA">
        <w:rPr>
          <w:color w:val="auto"/>
          <w:kern w:val="0"/>
          <w:lang w:val="en-US" w:eastAsia="en-US"/>
        </w:rPr>
        <w:t xml:space="preserve"> et al., 2012). The functional reconstitution of Cas9 as a dual-RNA–guided endonuclease further demonstrated that target recognition is guided by RNA complementarity and that cleavage can be directed to user-specified sites (</w:t>
      </w:r>
      <w:proofErr w:type="spellStart"/>
      <w:r w:rsidRPr="00AF6FEA">
        <w:rPr>
          <w:color w:val="auto"/>
          <w:kern w:val="0"/>
          <w:lang w:val="en-US" w:eastAsia="en-US"/>
        </w:rPr>
        <w:t>Jinek</w:t>
      </w:r>
      <w:proofErr w:type="spellEnd"/>
      <w:r w:rsidRPr="00AF6FEA">
        <w:rPr>
          <w:color w:val="auto"/>
          <w:kern w:val="0"/>
          <w:lang w:val="en-US" w:eastAsia="en-US"/>
        </w:rPr>
        <w:t xml:space="preserve"> et al., 2012). In the microbial setting, the outcome of interference is </w:t>
      </w:r>
      <w:proofErr w:type="spellStart"/>
      <w:r w:rsidRPr="00AF6FEA">
        <w:rPr>
          <w:color w:val="auto"/>
          <w:kern w:val="0"/>
          <w:lang w:val="en-US" w:eastAsia="en-US"/>
        </w:rPr>
        <w:t>neutralisation</w:t>
      </w:r>
      <w:proofErr w:type="spellEnd"/>
      <w:r w:rsidRPr="00AF6FEA">
        <w:rPr>
          <w:color w:val="auto"/>
          <w:kern w:val="0"/>
          <w:lang w:val="en-US" w:eastAsia="en-US"/>
        </w:rPr>
        <w:t xml:space="preserve"> of the invader. In eukaryotic genome editing, by contrast, cleavage is only the beginning: the cell’s repair pathways determine the final genetic outcome.</w:t>
      </w:r>
    </w:p>
    <w:p w14:paraId="6F5E2A02"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This distinction matters because repair is inherently context-dependent. Even when cleavage is precise, the subsequent processing of ends and the choice of repair pathway can yield heterogeneous products, including small insertions and deletions that disrupt coding sequences or, if repair templates are available, precise sequence changes. The evolutionary purpose of interference is to eliminate foreign nucleic acids, not to generate controlled repair outcomes, and therefore the predictable “programmability” of CRISPR in editing depends on an additional layer of cellular biology that varies across cell types, developmental states, and chromatin environments. Mechanistic understanding of interference nonetheless remains foundational because it guides how targets are selected, how guides are designed to </w:t>
      </w:r>
      <w:proofErr w:type="spellStart"/>
      <w:r w:rsidRPr="00AF6FEA">
        <w:rPr>
          <w:color w:val="auto"/>
          <w:kern w:val="0"/>
          <w:lang w:val="en-US" w:eastAsia="en-US"/>
        </w:rPr>
        <w:t>maximise</w:t>
      </w:r>
      <w:proofErr w:type="spellEnd"/>
      <w:r w:rsidRPr="00AF6FEA">
        <w:rPr>
          <w:color w:val="auto"/>
          <w:kern w:val="0"/>
          <w:lang w:val="en-US" w:eastAsia="en-US"/>
        </w:rPr>
        <w:t xml:space="preserve"> stable binding, and how different effector configurations influence cleavage </w:t>
      </w:r>
      <w:proofErr w:type="spellStart"/>
      <w:r w:rsidRPr="00AF6FEA">
        <w:rPr>
          <w:color w:val="auto"/>
          <w:kern w:val="0"/>
          <w:lang w:val="en-US" w:eastAsia="en-US"/>
        </w:rPr>
        <w:t>behaviour</w:t>
      </w:r>
      <w:proofErr w:type="spellEnd"/>
      <w:r w:rsidRPr="00AF6FEA">
        <w:rPr>
          <w:color w:val="auto"/>
          <w:kern w:val="0"/>
          <w:lang w:val="en-US" w:eastAsia="en-US"/>
        </w:rPr>
        <w:t xml:space="preserve"> and downstream repair tendencies.</w:t>
      </w:r>
    </w:p>
    <w:p w14:paraId="0A7E9441"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3.4 Anti-CRISPR proteins and evolutionary dynamics of control</w:t>
      </w:r>
    </w:p>
    <w:p w14:paraId="350A291A"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If CRISPR–Cas systems represent an immune </w:t>
      </w:r>
      <w:proofErr w:type="spellStart"/>
      <w:r w:rsidRPr="00AF6FEA">
        <w:rPr>
          <w:color w:val="auto"/>
          <w:kern w:val="0"/>
          <w:lang w:val="en-US" w:eastAsia="en-US"/>
        </w:rPr>
        <w:t>defence</w:t>
      </w:r>
      <w:proofErr w:type="spellEnd"/>
      <w:r w:rsidRPr="00AF6FEA">
        <w:rPr>
          <w:color w:val="auto"/>
          <w:kern w:val="0"/>
          <w:lang w:val="en-US" w:eastAsia="en-US"/>
        </w:rPr>
        <w:t>, it follows that invaders will evolve counter-</w:t>
      </w:r>
      <w:proofErr w:type="spellStart"/>
      <w:r w:rsidRPr="00AF6FEA">
        <w:rPr>
          <w:color w:val="auto"/>
          <w:kern w:val="0"/>
          <w:lang w:val="en-US" w:eastAsia="en-US"/>
        </w:rPr>
        <w:t>defences</w:t>
      </w:r>
      <w:proofErr w:type="spellEnd"/>
      <w:r w:rsidRPr="00AF6FEA">
        <w:rPr>
          <w:color w:val="auto"/>
          <w:kern w:val="0"/>
          <w:lang w:val="en-US" w:eastAsia="en-US"/>
        </w:rPr>
        <w:t>. Anti-CRISPR proteins exemplify this logic: bacteriophages can carry genes that directly inactivate CRISPR immunity, enabling successful infection despite the host’s adaptive memory. The initial identification of phage-encoded inhibitors that disable CRISPR/Cas function provided compelling evidence that CRISPR effectiveness is shaped by active suppression, not only by target mutation (</w:t>
      </w:r>
      <w:proofErr w:type="spellStart"/>
      <w:r w:rsidRPr="00AF6FEA">
        <w:rPr>
          <w:color w:val="auto"/>
          <w:kern w:val="0"/>
          <w:lang w:val="en-US" w:eastAsia="en-US"/>
        </w:rPr>
        <w:t>Bondy-Denomy</w:t>
      </w:r>
      <w:proofErr w:type="spellEnd"/>
      <w:r w:rsidRPr="00AF6FEA">
        <w:rPr>
          <w:color w:val="auto"/>
          <w:kern w:val="0"/>
          <w:lang w:val="en-US" w:eastAsia="en-US"/>
        </w:rPr>
        <w:t xml:space="preserve"> et al., 2013). Subsequent work demonstrated that anti-CRISPR proteins are not rare curiosities but appear across diverse bacterial species and can inhibit different CRISPR types, reinforcing their ecological </w:t>
      </w:r>
      <w:r w:rsidRPr="00AF6FEA">
        <w:rPr>
          <w:color w:val="auto"/>
          <w:kern w:val="0"/>
          <w:lang w:val="en-US" w:eastAsia="en-US"/>
        </w:rPr>
        <w:lastRenderedPageBreak/>
        <w:t>significance and suggesting convergent evolutionary strategies for immune evasion (</w:t>
      </w:r>
      <w:proofErr w:type="spellStart"/>
      <w:r w:rsidRPr="00AF6FEA">
        <w:rPr>
          <w:color w:val="auto"/>
          <w:kern w:val="0"/>
          <w:lang w:val="en-US" w:eastAsia="en-US"/>
        </w:rPr>
        <w:t>Pawluk</w:t>
      </w:r>
      <w:proofErr w:type="spellEnd"/>
      <w:r w:rsidRPr="00AF6FEA">
        <w:rPr>
          <w:color w:val="auto"/>
          <w:kern w:val="0"/>
          <w:lang w:val="en-US" w:eastAsia="en-US"/>
        </w:rPr>
        <w:t xml:space="preserve"> et al., 2016a).</w:t>
      </w:r>
    </w:p>
    <w:p w14:paraId="61D799B8"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Beyond ecology, anti-CRISPRs have become conceptually important for engineered systems because they reveal natural “off-states” for otherwise potent nucleases. A mechanistic synthesis of anti-CRISPR discovery </w:t>
      </w:r>
      <w:proofErr w:type="spellStart"/>
      <w:r w:rsidRPr="00AF6FEA">
        <w:rPr>
          <w:color w:val="auto"/>
          <w:kern w:val="0"/>
          <w:lang w:val="en-US" w:eastAsia="en-US"/>
        </w:rPr>
        <w:t>emphasised</w:t>
      </w:r>
      <w:proofErr w:type="spellEnd"/>
      <w:r w:rsidRPr="00AF6FEA">
        <w:rPr>
          <w:color w:val="auto"/>
          <w:kern w:val="0"/>
          <w:lang w:val="en-US" w:eastAsia="en-US"/>
        </w:rPr>
        <w:t xml:space="preserve"> that inhibitors can act at multiple stages—blocking target binding, preventing cleavage, or disrupting active complex formation—and therefore offer a palette of control strategies that can be adapted to biotechnology (</w:t>
      </w:r>
      <w:proofErr w:type="spellStart"/>
      <w:r w:rsidRPr="00AF6FEA">
        <w:rPr>
          <w:color w:val="auto"/>
          <w:kern w:val="0"/>
          <w:lang w:val="en-US" w:eastAsia="en-US"/>
        </w:rPr>
        <w:t>Pawluk</w:t>
      </w:r>
      <w:proofErr w:type="spellEnd"/>
      <w:r w:rsidRPr="00AF6FEA">
        <w:rPr>
          <w:color w:val="auto"/>
          <w:kern w:val="0"/>
          <w:lang w:val="en-US" w:eastAsia="en-US"/>
        </w:rPr>
        <w:t xml:space="preserve"> et al., 2018). More recent structural work has extended these design opportunities by showing that inhibition can involve direct targeting of guide RNA features, highlighting guide RNA architecture as a </w:t>
      </w:r>
      <w:proofErr w:type="spellStart"/>
      <w:r w:rsidRPr="00AF6FEA">
        <w:rPr>
          <w:color w:val="auto"/>
          <w:kern w:val="0"/>
          <w:lang w:val="en-US" w:eastAsia="en-US"/>
        </w:rPr>
        <w:t>manipulable</w:t>
      </w:r>
      <w:proofErr w:type="spellEnd"/>
      <w:r w:rsidRPr="00AF6FEA">
        <w:rPr>
          <w:color w:val="auto"/>
          <w:kern w:val="0"/>
          <w:lang w:val="en-US" w:eastAsia="en-US"/>
        </w:rPr>
        <w:t xml:space="preserve"> determinant of both activity and susceptibility to inhibition (Yu et al., 2026). In evolutionary terms, these findings reinforce that CRISPR function is not fixed: it is continuously tuned by conflict with mobile elements and by the emergence of regulatory layers that can dampen, redirect, or silence immunity.</w:t>
      </w:r>
    </w:p>
    <w:p w14:paraId="2731086E"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Taken together, the mechanistic modules of adaptation, expression, and interference explain why CRISPR–Cas systems are simultaneously powerful and constrained: powerful because specificity is programmable through RNA, and constrained because every stage is shaped by co-evolution, molecular recognition rules, and the ever-present risk of unintended activity. Appreciating these dynamics strengthens genome editing practice by encouraging designs that anticipate escape, incorporate controllability, and treat guide architecture and inhibitor biology as integral components of safe and reliable engineering.</w:t>
      </w:r>
    </w:p>
    <w:p w14:paraId="1F1D1C9C" w14:textId="77777777" w:rsidR="008C591C" w:rsidRPr="00AF6FEA" w:rsidRDefault="008C591C" w:rsidP="00B10DAA">
      <w:pPr>
        <w:rPr>
          <w:lang w:val="en-GB"/>
        </w:rPr>
      </w:pPr>
    </w:p>
    <w:p w14:paraId="3ADF4C70" w14:textId="77777777" w:rsidR="00AF6FEA" w:rsidRPr="00AF6FEA" w:rsidRDefault="00AF6FEA" w:rsidP="00B10DAA">
      <w:pPr>
        <w:spacing w:before="100" w:beforeAutospacing="1" w:after="100" w:afterAutospacing="1" w:line="240" w:lineRule="auto"/>
        <w:ind w:left="0" w:right="0" w:firstLine="0"/>
        <w:outlineLvl w:val="1"/>
        <w:rPr>
          <w:b/>
          <w:bCs/>
          <w:color w:val="auto"/>
          <w:kern w:val="0"/>
          <w:sz w:val="36"/>
          <w:szCs w:val="36"/>
          <w:lang w:val="en-US" w:eastAsia="en-US"/>
        </w:rPr>
      </w:pPr>
      <w:r w:rsidRPr="00AF6FEA">
        <w:rPr>
          <w:b/>
          <w:bCs/>
          <w:color w:val="auto"/>
          <w:kern w:val="0"/>
          <w:sz w:val="36"/>
          <w:szCs w:val="36"/>
          <w:lang w:val="en-US" w:eastAsia="en-US"/>
        </w:rPr>
        <w:t>4. Genome editing applications derived from CRISPR biology</w:t>
      </w:r>
    </w:p>
    <w:p w14:paraId="23842E45"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4.1 Cas9-mediated genome editing: programmability, efficiency, and multiplex design</w:t>
      </w:r>
    </w:p>
    <w:p w14:paraId="20EFCEC8"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The contemporary genome editing paradigm derived from CRISPR biology rests on a simple but powerful idea: nucleic-acid targeting can be specified by an RNA sequence rather than by engineering a new protein for each locus. The early demonstrations that CRISPR–Cas9 could be deployed for efficient editing in mammalian cells rapidly established a practical workflow in which guide RNA design, nuclease delivery, and repair outcome profiling became the core experimental cycle (Cong et al., 2013; Mali et al., 2013). A major strength of this approach is multiplexing, where multiple guides can be expressed or delivered together to modify several loci in parallel, enabling combinatorial perturbations that would otherwise be laborious. In practice, the ease of retargeting also changed experimental culture: iteration is now frequently driven by guide redesign and delivery </w:t>
      </w:r>
      <w:proofErr w:type="spellStart"/>
      <w:r w:rsidRPr="00AF6FEA">
        <w:rPr>
          <w:color w:val="auto"/>
          <w:kern w:val="0"/>
          <w:lang w:val="en-US" w:eastAsia="en-US"/>
        </w:rPr>
        <w:t>optimisation</w:t>
      </w:r>
      <w:proofErr w:type="spellEnd"/>
      <w:r w:rsidRPr="00AF6FEA">
        <w:rPr>
          <w:color w:val="auto"/>
          <w:kern w:val="0"/>
          <w:lang w:val="en-US" w:eastAsia="en-US"/>
        </w:rPr>
        <w:t xml:space="preserve"> rather than by lengthy protein engineering.</w:t>
      </w:r>
    </w:p>
    <w:p w14:paraId="2ADC8D99"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Nevertheless, programmability does not eliminate biological complexity. Editing outcomes depend on how the cell responds to induced lesions, on locus accessibility, and on the kinetics of nuclease–DNA engagement. Consequently, a well-designed editing experiment considers not only whether a guide can direct cutting, but also what mixture of repair outcomes is likely to arise and how those outcomes map onto the intended biological </w:t>
      </w:r>
      <w:r w:rsidRPr="00AF6FEA">
        <w:rPr>
          <w:color w:val="auto"/>
          <w:kern w:val="0"/>
          <w:lang w:val="en-US" w:eastAsia="en-US"/>
        </w:rPr>
        <w:lastRenderedPageBreak/>
        <w:t xml:space="preserve">question. The field’s maturation has increasingly </w:t>
      </w:r>
      <w:proofErr w:type="spellStart"/>
      <w:r w:rsidRPr="00AF6FEA">
        <w:rPr>
          <w:color w:val="auto"/>
          <w:kern w:val="0"/>
          <w:lang w:val="en-US" w:eastAsia="en-US"/>
        </w:rPr>
        <w:t>emphasised</w:t>
      </w:r>
      <w:proofErr w:type="spellEnd"/>
      <w:r w:rsidRPr="00AF6FEA">
        <w:rPr>
          <w:color w:val="auto"/>
          <w:kern w:val="0"/>
          <w:lang w:val="en-US" w:eastAsia="en-US"/>
        </w:rPr>
        <w:t xml:space="preserve"> outcome predictability, control over exposure time, and verification of unintended consequences, rather than treating “high editing percentage” as sufficient evidence of success (Cong et al., 2013; Mali et al., 2013).</w:t>
      </w:r>
    </w:p>
    <w:p w14:paraId="6A30F03C"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4.2 Diversifying effectors: Cas12 and Cas13 broaden the editing repertoire</w:t>
      </w:r>
    </w:p>
    <w:p w14:paraId="727D1CD6"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While Cas9 remains widely used, alternative CRISPR effectors have expanded the practical range of genome and transcriptome engineering. Cas12a introduced distinct targeting constraints and cleavage patterns, offering access to genomic regions that may be less tractable to Cas9 and enabling different end structures that can influence downstream repair products (Zetsche et al., 2015). Such diversity matters because no single nuclease architecture optimally addresses all loci, cell types, or applications. The strategic selection of an effector can therefore be viewed as a design variable alongside guide sequence choice.</w:t>
      </w:r>
    </w:p>
    <w:p w14:paraId="44C8454A"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In parallel, CRISPR systems that naturally target RNA have opened avenues for manipulating gene expression without permanent changes to genomic DNA. The identification of Cas13 as a programmable RNA-guided RNA-targeting effector demonstrated that CRISPR-derived specificity is not confined to DNA, but can be redirected to transcripts (</w:t>
      </w:r>
      <w:proofErr w:type="spellStart"/>
      <w:r w:rsidRPr="00AF6FEA">
        <w:rPr>
          <w:color w:val="auto"/>
          <w:kern w:val="0"/>
          <w:lang w:val="en-US" w:eastAsia="en-US"/>
        </w:rPr>
        <w:t>Abudayyeh</w:t>
      </w:r>
      <w:proofErr w:type="spellEnd"/>
      <w:r w:rsidRPr="00AF6FEA">
        <w:rPr>
          <w:color w:val="auto"/>
          <w:kern w:val="0"/>
          <w:lang w:val="en-US" w:eastAsia="en-US"/>
        </w:rPr>
        <w:t xml:space="preserve"> et al., 2016). Building on this, RNA editing with Cas13-based platforms highlighted the potential to correct or modulate disease-relevant transcripts and to tune gene expression in a reversible manner, which can be advantageous when permanent genomic alteration is undesirable (Cox et al., 2017). These modalities also shift the safety conversation: RNA targeting may reduce risks associated with stable genomic mutation, yet introduces questions around sustained delivery, off-target transcriptome effects, and immune recognition that must be assessed within the intended therapeutic or experimental context (</w:t>
      </w:r>
      <w:proofErr w:type="spellStart"/>
      <w:r w:rsidRPr="00AF6FEA">
        <w:rPr>
          <w:color w:val="auto"/>
          <w:kern w:val="0"/>
          <w:lang w:val="en-US" w:eastAsia="en-US"/>
        </w:rPr>
        <w:t>Abudayyeh</w:t>
      </w:r>
      <w:proofErr w:type="spellEnd"/>
      <w:r w:rsidRPr="00AF6FEA">
        <w:rPr>
          <w:color w:val="auto"/>
          <w:kern w:val="0"/>
          <w:lang w:val="en-US" w:eastAsia="en-US"/>
        </w:rPr>
        <w:t xml:space="preserve"> et al., 2016; Cox et al., 2017).</w:t>
      </w:r>
    </w:p>
    <w:p w14:paraId="5216F1FC"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4.3 Base editing: precision nucleotide conversion without double-strand breaks</w:t>
      </w:r>
    </w:p>
    <w:p w14:paraId="554E4309"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Concerns about double-strand breaks (DSBs) and the unpredictability of repair motivated the development of base editing, which installs specific point mutations using deaminase chemistry coupled to a programmable DNA-targeting module. Cytosine base editing enabled targeted conversion within a defined activity window without requiring DSBs (</w:t>
      </w:r>
      <w:proofErr w:type="spellStart"/>
      <w:r w:rsidRPr="00AF6FEA">
        <w:rPr>
          <w:color w:val="auto"/>
          <w:kern w:val="0"/>
          <w:lang w:val="en-US" w:eastAsia="en-US"/>
        </w:rPr>
        <w:t>Komor</w:t>
      </w:r>
      <w:proofErr w:type="spellEnd"/>
      <w:r w:rsidRPr="00AF6FEA">
        <w:rPr>
          <w:color w:val="auto"/>
          <w:kern w:val="0"/>
          <w:lang w:val="en-US" w:eastAsia="en-US"/>
        </w:rPr>
        <w:t xml:space="preserve"> et al., 2016). Adenine base editing broadened this capability to include A-to-I (functionally A-to-G) conversions, substantially expanding the catalogue of potential pathogenic variants that could be addressed through single-nucleotide modification (</w:t>
      </w:r>
      <w:proofErr w:type="spellStart"/>
      <w:r w:rsidRPr="00AF6FEA">
        <w:rPr>
          <w:color w:val="auto"/>
          <w:kern w:val="0"/>
          <w:lang w:val="en-US" w:eastAsia="en-US"/>
        </w:rPr>
        <w:t>Gaudelli</w:t>
      </w:r>
      <w:proofErr w:type="spellEnd"/>
      <w:r w:rsidRPr="00AF6FEA">
        <w:rPr>
          <w:color w:val="auto"/>
          <w:kern w:val="0"/>
          <w:lang w:val="en-US" w:eastAsia="en-US"/>
        </w:rPr>
        <w:t xml:space="preserve"> et al., 2017). In experimental settings, base editing has proved particularly useful for generating allelic series and modelling disease-associated variants with fewer disruptive by-products than DSB-driven editing.</w:t>
      </w:r>
    </w:p>
    <w:p w14:paraId="366E9F17"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However, base editing trades one set of risks for another. The “window” nature of deamination can produce bystander substitutions near the intended base, and performance can be sensitive to local sequence context and guide positioning. As a result, experimental design often involves balancing efficiency against precision, with validation strategies that quantify both intended conversion and collateral substitutions in the target region (</w:t>
      </w:r>
      <w:proofErr w:type="spellStart"/>
      <w:r w:rsidRPr="00AF6FEA">
        <w:rPr>
          <w:color w:val="auto"/>
          <w:kern w:val="0"/>
          <w:lang w:val="en-US" w:eastAsia="en-US"/>
        </w:rPr>
        <w:t>Komor</w:t>
      </w:r>
      <w:proofErr w:type="spellEnd"/>
      <w:r w:rsidRPr="00AF6FEA">
        <w:rPr>
          <w:color w:val="auto"/>
          <w:kern w:val="0"/>
          <w:lang w:val="en-US" w:eastAsia="en-US"/>
        </w:rPr>
        <w:t xml:space="preserve"> et al., 2016; </w:t>
      </w:r>
      <w:proofErr w:type="spellStart"/>
      <w:r w:rsidRPr="00AF6FEA">
        <w:rPr>
          <w:color w:val="auto"/>
          <w:kern w:val="0"/>
          <w:lang w:val="en-US" w:eastAsia="en-US"/>
        </w:rPr>
        <w:t>Gaudelli</w:t>
      </w:r>
      <w:proofErr w:type="spellEnd"/>
      <w:r w:rsidRPr="00AF6FEA">
        <w:rPr>
          <w:color w:val="auto"/>
          <w:kern w:val="0"/>
          <w:lang w:val="en-US" w:eastAsia="en-US"/>
        </w:rPr>
        <w:t xml:space="preserve"> et al., 2017).</w:t>
      </w:r>
    </w:p>
    <w:p w14:paraId="4CDA01A2"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4.4 Prime editing: templated “search-and-replace” edits with expanded scope</w:t>
      </w:r>
    </w:p>
    <w:p w14:paraId="627D7A3E"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lastRenderedPageBreak/>
        <w:t xml:space="preserve">Prime editing was introduced to extend precision editing beyond limited base transitions and to reduce dependence on DSB repair pathways. By coupling a </w:t>
      </w:r>
      <w:proofErr w:type="spellStart"/>
      <w:r w:rsidRPr="00AF6FEA">
        <w:rPr>
          <w:color w:val="auto"/>
          <w:kern w:val="0"/>
          <w:lang w:val="en-US" w:eastAsia="en-US"/>
        </w:rPr>
        <w:t>nickase</w:t>
      </w:r>
      <w:proofErr w:type="spellEnd"/>
      <w:r w:rsidRPr="00AF6FEA">
        <w:rPr>
          <w:color w:val="auto"/>
          <w:kern w:val="0"/>
          <w:lang w:val="en-US" w:eastAsia="en-US"/>
        </w:rPr>
        <w:t xml:space="preserve"> to a reverse transcriptase and encoding the desired edit within a </w:t>
      </w:r>
      <w:proofErr w:type="spellStart"/>
      <w:r w:rsidRPr="00AF6FEA">
        <w:rPr>
          <w:color w:val="auto"/>
          <w:kern w:val="0"/>
          <w:lang w:val="en-US" w:eastAsia="en-US"/>
        </w:rPr>
        <w:t>specialised</w:t>
      </w:r>
      <w:proofErr w:type="spellEnd"/>
      <w:r w:rsidRPr="00AF6FEA">
        <w:rPr>
          <w:color w:val="auto"/>
          <w:kern w:val="0"/>
          <w:lang w:val="en-US" w:eastAsia="en-US"/>
        </w:rPr>
        <w:t xml:space="preserve"> guide RNA, prime editing supports small insertions, deletions, and diverse substitutions without donor DNA templates and without generating a canonical DSB (Anzalone et al., 2019). Conceptually, this approach provides an intermediate between DSB-mediated HDR and base editing: it aspires to broader edit diversity while mitigating some DSB-associated liabilities. In practice, prime editing efficiency can vary widely, and achieving reliable outcomes often requires systematic </w:t>
      </w:r>
      <w:proofErr w:type="spellStart"/>
      <w:r w:rsidRPr="00AF6FEA">
        <w:rPr>
          <w:color w:val="auto"/>
          <w:kern w:val="0"/>
          <w:lang w:val="en-US" w:eastAsia="en-US"/>
        </w:rPr>
        <w:t>optimisation</w:t>
      </w:r>
      <w:proofErr w:type="spellEnd"/>
      <w:r w:rsidRPr="00AF6FEA">
        <w:rPr>
          <w:color w:val="auto"/>
          <w:kern w:val="0"/>
          <w:lang w:val="en-US" w:eastAsia="en-US"/>
        </w:rPr>
        <w:t xml:space="preserve"> of guide design and nicking strategies, underlining that “precision” is a property of the whole system—editor, guide architecture, locus context, and cellular state—rather than a guarantee conferred by the mechanism alone (Anzalone et al., 2019).</w:t>
      </w:r>
    </w:p>
    <w:p w14:paraId="02C786ED"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4.5 Beyond cutting: programmable regulation and functional genomics</w:t>
      </w:r>
    </w:p>
    <w:p w14:paraId="3B8FE2E0"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CRISPR technologies have also reshaped gene regulation by enabling sequence-specific recruitment of regulatory effects without cleaving DNA. The repurposing of Cas9 as a programmable platform for transcriptional control established CRISPR interference as a scalable approach to repress gene expression through targeted binding (Qi et al., 2013). This idea developed into broader genome regulation and interrogation toolkits that use catalytically inactive Cas proteins to recruit activators, repressors, and epigenetic modifiers, thereby enabling perturbation screens and mechanistic mapping of regulatory elements (Dominguez et al., 2016). In functional genomics, these approaches are valuable because they can probe gene function while avoiding permanent sequence disruption, and they allow graded modulation of expression that may better reflect physiological perturbations than binary knockout models (Qi et al., 2013; Dominguez et al., 2016).</w:t>
      </w:r>
    </w:p>
    <w:p w14:paraId="19FF8EBC"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4.6 Specificity, safety, and outcome complexity: off-target and on-target considerations</w:t>
      </w:r>
    </w:p>
    <w:p w14:paraId="7C13873A"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The rapid expansion of genome editing has been accompanied by an equally vigorous effort to measure and mitigate unintended effects. Early analyses demonstrated that Cas9 can cut at partially matched genomic sites and that mismatch tolerance depends on guide–target pairing patterns, motivating careful guide selection and the development of quantitative specificity frameworks (Hsu et al., 2013). Genome-wide profiling approaches such as GUIDE-seq provided an unbiased route to identify off-target cleavage sites in living cells, enabling empirical comparison of guides and editing configurations (Tsai et al., 2015). In parallel, protein engineering delivered high-fidelity Cas9 variants and rationally engineered nucleases with improved specificity, showing that off-target activity can be reduced through altered nuclease–DNA interactions rather than guide design alone (</w:t>
      </w:r>
      <w:proofErr w:type="spellStart"/>
      <w:r w:rsidRPr="00AF6FEA">
        <w:rPr>
          <w:color w:val="auto"/>
          <w:kern w:val="0"/>
          <w:lang w:val="en-US" w:eastAsia="en-US"/>
        </w:rPr>
        <w:t>Kleinstiver</w:t>
      </w:r>
      <w:proofErr w:type="spellEnd"/>
      <w:r w:rsidRPr="00AF6FEA">
        <w:rPr>
          <w:color w:val="auto"/>
          <w:kern w:val="0"/>
          <w:lang w:val="en-US" w:eastAsia="en-US"/>
        </w:rPr>
        <w:t xml:space="preserve"> et al., 2016; </w:t>
      </w:r>
      <w:proofErr w:type="spellStart"/>
      <w:r w:rsidRPr="00AF6FEA">
        <w:rPr>
          <w:color w:val="auto"/>
          <w:kern w:val="0"/>
          <w:lang w:val="en-US" w:eastAsia="en-US"/>
        </w:rPr>
        <w:t>Slaymaker</w:t>
      </w:r>
      <w:proofErr w:type="spellEnd"/>
      <w:r w:rsidRPr="00AF6FEA">
        <w:rPr>
          <w:color w:val="auto"/>
          <w:kern w:val="0"/>
          <w:lang w:val="en-US" w:eastAsia="en-US"/>
        </w:rPr>
        <w:t xml:space="preserve"> et al., 2016).</w:t>
      </w:r>
    </w:p>
    <w:p w14:paraId="1437C079"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Safety assessment must also address what happens at the intended locus. Evidence that DSB repair can produce large deletions and complex rearrangements underscored that “on-target” does not always mean “benign” and that short-read indel assays can underestimate consequential outcomes (</w:t>
      </w:r>
      <w:proofErr w:type="spellStart"/>
      <w:r w:rsidRPr="00AF6FEA">
        <w:rPr>
          <w:color w:val="auto"/>
          <w:kern w:val="0"/>
          <w:lang w:val="en-US" w:eastAsia="en-US"/>
        </w:rPr>
        <w:t>Kosicki</w:t>
      </w:r>
      <w:proofErr w:type="spellEnd"/>
      <w:r w:rsidRPr="00AF6FEA">
        <w:rPr>
          <w:color w:val="auto"/>
          <w:kern w:val="0"/>
          <w:lang w:val="en-US" w:eastAsia="en-US"/>
        </w:rPr>
        <w:t xml:space="preserve"> et al., 2018). Furthermore, editing can engage cellular DNA damage responses, including pathways associated with p53 </w:t>
      </w:r>
      <w:proofErr w:type="spellStart"/>
      <w:r w:rsidRPr="00AF6FEA">
        <w:rPr>
          <w:color w:val="auto"/>
          <w:kern w:val="0"/>
          <w:lang w:val="en-US" w:eastAsia="en-US"/>
        </w:rPr>
        <w:t>signalling</w:t>
      </w:r>
      <w:proofErr w:type="spellEnd"/>
      <w:r w:rsidRPr="00AF6FEA">
        <w:rPr>
          <w:color w:val="auto"/>
          <w:kern w:val="0"/>
          <w:lang w:val="en-US" w:eastAsia="en-US"/>
        </w:rPr>
        <w:t>, which may influence cell survival and potentially bias edited cell populations—an especially important consideration in therapeutic or long-term culture contexts (</w:t>
      </w:r>
      <w:proofErr w:type="spellStart"/>
      <w:r w:rsidRPr="00AF6FEA">
        <w:rPr>
          <w:color w:val="auto"/>
          <w:kern w:val="0"/>
          <w:lang w:val="en-US" w:eastAsia="en-US"/>
        </w:rPr>
        <w:t>Haapaniemi</w:t>
      </w:r>
      <w:proofErr w:type="spellEnd"/>
      <w:r w:rsidRPr="00AF6FEA">
        <w:rPr>
          <w:color w:val="auto"/>
          <w:kern w:val="0"/>
          <w:lang w:val="en-US" w:eastAsia="en-US"/>
        </w:rPr>
        <w:t xml:space="preserve"> et al., 2018). Collectively, these findings argue for an application-specific safety strategy that pairs sensitive off-target detection (Tsai et al., 2015) with assays capable of detecting large on-</w:t>
      </w:r>
      <w:r w:rsidRPr="00AF6FEA">
        <w:rPr>
          <w:color w:val="auto"/>
          <w:kern w:val="0"/>
          <w:lang w:val="en-US" w:eastAsia="en-US"/>
        </w:rPr>
        <w:lastRenderedPageBreak/>
        <w:t>target alterations (</w:t>
      </w:r>
      <w:proofErr w:type="spellStart"/>
      <w:r w:rsidRPr="00AF6FEA">
        <w:rPr>
          <w:color w:val="auto"/>
          <w:kern w:val="0"/>
          <w:lang w:val="en-US" w:eastAsia="en-US"/>
        </w:rPr>
        <w:t>Kosicki</w:t>
      </w:r>
      <w:proofErr w:type="spellEnd"/>
      <w:r w:rsidRPr="00AF6FEA">
        <w:rPr>
          <w:color w:val="auto"/>
          <w:kern w:val="0"/>
          <w:lang w:val="en-US" w:eastAsia="en-US"/>
        </w:rPr>
        <w:t xml:space="preserve"> et al., 2018) and functional readouts of cellular stress and selection (</w:t>
      </w:r>
      <w:proofErr w:type="spellStart"/>
      <w:r w:rsidRPr="00AF6FEA">
        <w:rPr>
          <w:color w:val="auto"/>
          <w:kern w:val="0"/>
          <w:lang w:val="en-US" w:eastAsia="en-US"/>
        </w:rPr>
        <w:t>Haapaniemi</w:t>
      </w:r>
      <w:proofErr w:type="spellEnd"/>
      <w:r w:rsidRPr="00AF6FEA">
        <w:rPr>
          <w:color w:val="auto"/>
          <w:kern w:val="0"/>
          <w:lang w:val="en-US" w:eastAsia="en-US"/>
        </w:rPr>
        <w:t xml:space="preserve"> et al., 2018), while leveraging improved nuclease designs to reduce risk at the outset (</w:t>
      </w:r>
      <w:proofErr w:type="spellStart"/>
      <w:r w:rsidRPr="00AF6FEA">
        <w:rPr>
          <w:color w:val="auto"/>
          <w:kern w:val="0"/>
          <w:lang w:val="en-US" w:eastAsia="en-US"/>
        </w:rPr>
        <w:t>Kleinstiver</w:t>
      </w:r>
      <w:proofErr w:type="spellEnd"/>
      <w:r w:rsidRPr="00AF6FEA">
        <w:rPr>
          <w:color w:val="auto"/>
          <w:kern w:val="0"/>
          <w:lang w:val="en-US" w:eastAsia="en-US"/>
        </w:rPr>
        <w:t xml:space="preserve"> et al., 2016; </w:t>
      </w:r>
      <w:proofErr w:type="spellStart"/>
      <w:r w:rsidRPr="00AF6FEA">
        <w:rPr>
          <w:color w:val="auto"/>
          <w:kern w:val="0"/>
          <w:lang w:val="en-US" w:eastAsia="en-US"/>
        </w:rPr>
        <w:t>Slaymaker</w:t>
      </w:r>
      <w:proofErr w:type="spellEnd"/>
      <w:r w:rsidRPr="00AF6FEA">
        <w:rPr>
          <w:color w:val="auto"/>
          <w:kern w:val="0"/>
          <w:lang w:val="en-US" w:eastAsia="en-US"/>
        </w:rPr>
        <w:t xml:space="preserve"> et al., 2016).</w:t>
      </w:r>
    </w:p>
    <w:p w14:paraId="39DF93EF" w14:textId="77777777" w:rsidR="008C591C" w:rsidRPr="00AF6FEA" w:rsidRDefault="008C591C" w:rsidP="00B10DAA">
      <w:pPr>
        <w:rPr>
          <w:lang w:val="en-GB"/>
        </w:rPr>
      </w:pPr>
    </w:p>
    <w:p w14:paraId="513B1795" w14:textId="77777777" w:rsidR="00AF6FEA" w:rsidRPr="00AF6FEA" w:rsidRDefault="00AF6FEA" w:rsidP="00B10DAA">
      <w:pPr>
        <w:spacing w:before="100" w:beforeAutospacing="1" w:after="100" w:afterAutospacing="1" w:line="240" w:lineRule="auto"/>
        <w:ind w:left="0" w:right="0" w:firstLine="0"/>
        <w:outlineLvl w:val="1"/>
        <w:rPr>
          <w:b/>
          <w:bCs/>
          <w:color w:val="auto"/>
          <w:kern w:val="0"/>
          <w:sz w:val="36"/>
          <w:szCs w:val="36"/>
          <w:lang w:val="en-US" w:eastAsia="en-US"/>
        </w:rPr>
      </w:pPr>
      <w:r w:rsidRPr="00AF6FEA">
        <w:rPr>
          <w:b/>
          <w:bCs/>
          <w:color w:val="auto"/>
          <w:kern w:val="0"/>
          <w:sz w:val="36"/>
          <w:szCs w:val="36"/>
          <w:lang w:val="en-US" w:eastAsia="en-US"/>
        </w:rPr>
        <w:t>5. Therapeutic potential and translational challenges</w:t>
      </w:r>
    </w:p>
    <w:p w14:paraId="63048E36"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5.1 Therapeutic landscape: from experimental promise to clinical implementation</w:t>
      </w:r>
    </w:p>
    <w:p w14:paraId="40D09AB7"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CRISPR-enabled therapeutics have moved rapidly from laboratory demonstrations to regulated clinical </w:t>
      </w:r>
      <w:proofErr w:type="spellStart"/>
      <w:r w:rsidRPr="00AF6FEA">
        <w:rPr>
          <w:color w:val="auto"/>
          <w:kern w:val="0"/>
          <w:lang w:val="en-US" w:eastAsia="en-US"/>
        </w:rPr>
        <w:t>programmes</w:t>
      </w:r>
      <w:proofErr w:type="spellEnd"/>
      <w:r w:rsidRPr="00AF6FEA">
        <w:rPr>
          <w:color w:val="auto"/>
          <w:kern w:val="0"/>
          <w:lang w:val="en-US" w:eastAsia="en-US"/>
        </w:rPr>
        <w:t xml:space="preserve">, and the field now spans both </w:t>
      </w:r>
      <w:proofErr w:type="gramStart"/>
      <w:r w:rsidRPr="00AF6FEA">
        <w:rPr>
          <w:color w:val="auto"/>
          <w:kern w:val="0"/>
          <w:lang w:val="en-US" w:eastAsia="en-US"/>
        </w:rPr>
        <w:t>ex</w:t>
      </w:r>
      <w:proofErr w:type="gramEnd"/>
      <w:r w:rsidRPr="00AF6FEA">
        <w:rPr>
          <w:color w:val="auto"/>
          <w:kern w:val="0"/>
          <w:lang w:val="en-US" w:eastAsia="en-US"/>
        </w:rPr>
        <w:t xml:space="preserve"> vivo and in vivo strategies across diverse disease areas. Recent syntheses of the clinical trial landscape </w:t>
      </w:r>
      <w:proofErr w:type="spellStart"/>
      <w:r w:rsidRPr="00AF6FEA">
        <w:rPr>
          <w:color w:val="auto"/>
          <w:kern w:val="0"/>
          <w:lang w:val="en-US" w:eastAsia="en-US"/>
        </w:rPr>
        <w:t>emphasise</w:t>
      </w:r>
      <w:proofErr w:type="spellEnd"/>
      <w:r w:rsidRPr="00AF6FEA">
        <w:rPr>
          <w:color w:val="auto"/>
          <w:kern w:val="0"/>
          <w:lang w:val="en-US" w:eastAsia="en-US"/>
        </w:rPr>
        <w:t xml:space="preserve"> that translation is no longer limited by conceptual feasibility, but by the ability to deliver editors safely and reproducibly, to manufacture products at scale, and to demonstrate durable benefit under long-term follow-up frameworks appropriate for irreversible interventions (Chakraborty et al., 2026).</w:t>
      </w:r>
      <w:r w:rsidR="00F62CC5">
        <w:rPr>
          <w:color w:val="auto"/>
          <w:kern w:val="0"/>
          <w:lang w:val="en-US" w:eastAsia="en-US"/>
        </w:rPr>
        <w:t xml:space="preserve"> </w:t>
      </w:r>
      <w:r w:rsidR="00F62CC5">
        <w:t>A recent cross-domain review highlights how CRISPR–Cas9 is being positioned not only for genome editing, but also for next-generation therapeutic, diagnostic, and vaccine-development pipelines, reflecting the growing convergence of editing platforms with broader translational biomedicine (</w:t>
      </w:r>
      <w:proofErr w:type="spellStart"/>
      <w:r w:rsidR="00F62CC5">
        <w:t>Akter</w:t>
      </w:r>
      <w:proofErr w:type="spellEnd"/>
      <w:r w:rsidR="00F62CC5">
        <w:t xml:space="preserve"> &amp; Kumar, 2024).</w:t>
      </w:r>
      <w:r w:rsidRPr="00AF6FEA">
        <w:rPr>
          <w:color w:val="auto"/>
          <w:kern w:val="0"/>
          <w:lang w:val="en-US" w:eastAsia="en-US"/>
        </w:rPr>
        <w:t xml:space="preserve"> </w:t>
      </w:r>
      <w:r w:rsidR="00F62CC5">
        <w:t xml:space="preserve">Disease-focused syntheses also illustrate how editing concepts are being adapted to persistent infections and other complex indications, where therapeutic success may depend on both molecular efficacy and system-level delivery constraints (Mallick et al., 2021). </w:t>
      </w:r>
      <w:r w:rsidRPr="00AF6FEA">
        <w:rPr>
          <w:color w:val="auto"/>
          <w:kern w:val="0"/>
          <w:lang w:val="en-US" w:eastAsia="en-US"/>
        </w:rPr>
        <w:t xml:space="preserve">A key therapeutic distinction is between ex vivo editing—where patient-derived cells are modified, </w:t>
      </w:r>
      <w:proofErr w:type="spellStart"/>
      <w:r w:rsidRPr="00AF6FEA">
        <w:rPr>
          <w:color w:val="auto"/>
          <w:kern w:val="0"/>
          <w:lang w:val="en-US" w:eastAsia="en-US"/>
        </w:rPr>
        <w:t>characterised</w:t>
      </w:r>
      <w:proofErr w:type="spellEnd"/>
      <w:r w:rsidRPr="00AF6FEA">
        <w:rPr>
          <w:color w:val="auto"/>
          <w:kern w:val="0"/>
          <w:lang w:val="en-US" w:eastAsia="en-US"/>
        </w:rPr>
        <w:t>, and then returned—and in vivo editing, where editing reagents are delivered directly to tissues. Ex vivo approaches typically allow tighter control over editor exposure, richer quality control assays, and selection of desired cell populations before infusion, whereas in vivo approaches offer broader reach to organs that are difficult to access via cell collection and reinfusion, but impose stricter constraints on targeting, dosing, and immune compatibility.</w:t>
      </w:r>
    </w:p>
    <w:p w14:paraId="1DCC23F1"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In both settings, translational success depends on aligning the chosen editing modality with the disease mechanism. For disorders where gene disruption is therapeutic (for example, silencing a pathogenic product), DSB-mediated knockout or other inactivating edits may be sufficient, whereas diseases requiring precise sequence correction push development towards base or prime editing and other precision strategies. Regardless of modality, regulators and clinicians increasingly expect safety evidence that extends beyond short on-target indels, including genome-wide off-target assessments, evaluation of structural variants at target sites, and functional interrogation of cellular stress responses (Chakraborty et al., 2026).</w:t>
      </w:r>
    </w:p>
    <w:p w14:paraId="3B8B96A3"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5.2 In vivo editing: delivery, pharmacodynamics, and early human proof-of-concept</w:t>
      </w:r>
    </w:p>
    <w:p w14:paraId="751ECCFE"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In vivo genome editing has historically been constrained by delivery, yet progress in non-viral delivery has enabled clinically meaningful pharmacodynamic effects in humans. A prominent example is systemic editing in the liver using lipid nanoparticle delivery, where reductions in disease-relevant protein levels provided evidence that CRISPR components can reach target tissue, execute editing, and produce a measurable clinical biomarker change </w:t>
      </w:r>
      <w:r w:rsidRPr="00AF6FEA">
        <w:rPr>
          <w:color w:val="auto"/>
          <w:kern w:val="0"/>
          <w:lang w:val="en-US" w:eastAsia="en-US"/>
        </w:rPr>
        <w:lastRenderedPageBreak/>
        <w:t>following a single administration (</w:t>
      </w:r>
      <w:proofErr w:type="spellStart"/>
      <w:r w:rsidRPr="00AF6FEA">
        <w:rPr>
          <w:color w:val="auto"/>
          <w:kern w:val="0"/>
          <w:lang w:val="en-US" w:eastAsia="en-US"/>
        </w:rPr>
        <w:t>Gillmore</w:t>
      </w:r>
      <w:proofErr w:type="spellEnd"/>
      <w:r w:rsidRPr="00AF6FEA">
        <w:rPr>
          <w:color w:val="auto"/>
          <w:kern w:val="0"/>
          <w:lang w:val="en-US" w:eastAsia="en-US"/>
        </w:rPr>
        <w:t xml:space="preserve"> et al., 2021). Such studies are important not only as demonstrations of feasibility but also as templates for clinical monitoring: they foreground dose–response relationships, on-target product durability, and the need for surveillance of hepatic safety signals and potential delayed adverse events.</w:t>
      </w:r>
    </w:p>
    <w:p w14:paraId="39AB2E0D"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However, in vivo success remains strongly tissue-dependent. The liver is comparatively amenable to nanoparticle delivery, whereas many other organs require alternative formulations, targeting ligands, or delivery routes, each of which can introduce new toxicities or reduce reproducibility. Consequently, therapeutic development often proceeds through a pragmatic </w:t>
      </w:r>
      <w:proofErr w:type="spellStart"/>
      <w:r w:rsidRPr="00AF6FEA">
        <w:rPr>
          <w:color w:val="auto"/>
          <w:kern w:val="0"/>
          <w:lang w:val="en-US" w:eastAsia="en-US"/>
        </w:rPr>
        <w:t>optimisation</w:t>
      </w:r>
      <w:proofErr w:type="spellEnd"/>
      <w:r w:rsidRPr="00AF6FEA">
        <w:rPr>
          <w:color w:val="auto"/>
          <w:kern w:val="0"/>
          <w:lang w:val="en-US" w:eastAsia="en-US"/>
        </w:rPr>
        <w:t xml:space="preserve"> pipeline in which pharmacokinetics, tissue tropism, and transient editor expression are tuned to achieve sufficient editing while </w:t>
      </w:r>
      <w:proofErr w:type="spellStart"/>
      <w:r w:rsidRPr="00AF6FEA">
        <w:rPr>
          <w:color w:val="auto"/>
          <w:kern w:val="0"/>
          <w:lang w:val="en-US" w:eastAsia="en-US"/>
        </w:rPr>
        <w:t>minimising</w:t>
      </w:r>
      <w:proofErr w:type="spellEnd"/>
      <w:r w:rsidRPr="00AF6FEA">
        <w:rPr>
          <w:color w:val="auto"/>
          <w:kern w:val="0"/>
          <w:lang w:val="en-US" w:eastAsia="en-US"/>
        </w:rPr>
        <w:t xml:space="preserve"> systemic exposure and limiting the time window in which unintended edits could accumulate (</w:t>
      </w:r>
      <w:proofErr w:type="spellStart"/>
      <w:r w:rsidRPr="00AF6FEA">
        <w:rPr>
          <w:color w:val="auto"/>
          <w:kern w:val="0"/>
          <w:lang w:val="en-US" w:eastAsia="en-US"/>
        </w:rPr>
        <w:t>Gillmore</w:t>
      </w:r>
      <w:proofErr w:type="spellEnd"/>
      <w:r w:rsidRPr="00AF6FEA">
        <w:rPr>
          <w:color w:val="auto"/>
          <w:kern w:val="0"/>
          <w:lang w:val="en-US" w:eastAsia="en-US"/>
        </w:rPr>
        <w:t xml:space="preserve"> et al., 2021).</w:t>
      </w:r>
    </w:p>
    <w:p w14:paraId="77127346"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5.3 Immunogenicity and the constraints it places on dosing and re-dosing</w:t>
      </w:r>
    </w:p>
    <w:p w14:paraId="19DD3A5F"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Immune responses are a major translational barrier for both viral and non-viral delivery approaches. Experience from AAV-mediated gene therapy has shown that innate and adaptive immune responses to vectors can compromise efficacy and safety, influence eligibility through pre-existing immunity, and complicate re-dosing strategies—issues that are directly relevant when CRISPR editing uses viral vectors to deliver nucleases or guide RNAs (</w:t>
      </w:r>
      <w:proofErr w:type="spellStart"/>
      <w:r w:rsidRPr="00AF6FEA">
        <w:rPr>
          <w:color w:val="auto"/>
          <w:kern w:val="0"/>
          <w:lang w:val="en-US" w:eastAsia="en-US"/>
        </w:rPr>
        <w:t>Vandamme</w:t>
      </w:r>
      <w:proofErr w:type="spellEnd"/>
      <w:r w:rsidRPr="00AF6FEA">
        <w:rPr>
          <w:color w:val="auto"/>
          <w:kern w:val="0"/>
          <w:lang w:val="en-US" w:eastAsia="en-US"/>
        </w:rPr>
        <w:t xml:space="preserve"> et al., 2017). Even in non-viral approaches, innate immune activation by nucleic acids or nanoparticle components can affect tolerability and may require formulation adjustments or immunomodulatory regimens.</w:t>
      </w:r>
    </w:p>
    <w:p w14:paraId="5714FE64"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Separately, the editor proteins themselves can be immunogenic. Evidence of pre-existing adaptive immunity to commonly used Cas proteins in humans indicates that immune recognition is not merely theoretical but a realistic clinical risk that can limit patient selection, reduce efficacy through clearance of edited cells, or raise safety concerns if immune responses target tissues expressing the nuclease (Charlesworth et al., 2019). This makes editor choice and exposure duration strategically important. Approaches that </w:t>
      </w:r>
      <w:proofErr w:type="spellStart"/>
      <w:r w:rsidRPr="00AF6FEA">
        <w:rPr>
          <w:color w:val="auto"/>
          <w:kern w:val="0"/>
          <w:lang w:val="en-US" w:eastAsia="en-US"/>
        </w:rPr>
        <w:t>minimise</w:t>
      </w:r>
      <w:proofErr w:type="spellEnd"/>
      <w:r w:rsidRPr="00AF6FEA">
        <w:rPr>
          <w:color w:val="auto"/>
          <w:kern w:val="0"/>
          <w:lang w:val="en-US" w:eastAsia="en-US"/>
        </w:rPr>
        <w:t xml:space="preserve"> the persistence of nuclease expression—such as transient delivery formats—may reduce immunological risk, while alternative effectors, screening for immunity, or immunosuppression may be considered in specific contexts (</w:t>
      </w:r>
      <w:proofErr w:type="spellStart"/>
      <w:r w:rsidRPr="00AF6FEA">
        <w:rPr>
          <w:color w:val="auto"/>
          <w:kern w:val="0"/>
          <w:lang w:val="en-US" w:eastAsia="en-US"/>
        </w:rPr>
        <w:t>Vandamme</w:t>
      </w:r>
      <w:proofErr w:type="spellEnd"/>
      <w:r w:rsidRPr="00AF6FEA">
        <w:rPr>
          <w:color w:val="auto"/>
          <w:kern w:val="0"/>
          <w:lang w:val="en-US" w:eastAsia="en-US"/>
        </w:rPr>
        <w:t xml:space="preserve"> et al., 2017; Charlesworth et al., 2019).</w:t>
      </w:r>
    </w:p>
    <w:p w14:paraId="5B701ECA"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5.4 Controllability and safety switches: anti-CRISPR biology as a translational tool</w:t>
      </w:r>
    </w:p>
    <w:p w14:paraId="775A0AC3"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Clinical deployment benefits from mechanisms to constrain editing temporally and to stop nuclease activity once the intended modification is achieved. Anti-CRISPR proteins, evolved by phages and other mobile elements, provide a compelling biological precedent for such control. The discovery of phage genes capable of disabling CRISPR immunity established that CRISPR systems can be inhibited by specific proteins, thereby revealing natural “off” mechanisms (</w:t>
      </w:r>
      <w:proofErr w:type="spellStart"/>
      <w:r w:rsidRPr="00AF6FEA">
        <w:rPr>
          <w:color w:val="auto"/>
          <w:kern w:val="0"/>
          <w:lang w:val="en-US" w:eastAsia="en-US"/>
        </w:rPr>
        <w:t>Bondy-Denomy</w:t>
      </w:r>
      <w:proofErr w:type="spellEnd"/>
      <w:r w:rsidRPr="00AF6FEA">
        <w:rPr>
          <w:color w:val="auto"/>
          <w:kern w:val="0"/>
          <w:lang w:val="en-US" w:eastAsia="en-US"/>
        </w:rPr>
        <w:t xml:space="preserve"> et al., 2013). Subsequent demonstrations that anti-CRISPRs occur across diverse bacteria suggest that inhibition strategies are widespread and varied, increasing the likelihood of finding inhibitors with different kinetics and modes of action that may be adaptable for therapeutic control (</w:t>
      </w:r>
      <w:proofErr w:type="spellStart"/>
      <w:r w:rsidRPr="00AF6FEA">
        <w:rPr>
          <w:color w:val="auto"/>
          <w:kern w:val="0"/>
          <w:lang w:val="en-US" w:eastAsia="en-US"/>
        </w:rPr>
        <w:t>Pawluk</w:t>
      </w:r>
      <w:proofErr w:type="spellEnd"/>
      <w:r w:rsidRPr="00AF6FEA">
        <w:rPr>
          <w:color w:val="auto"/>
          <w:kern w:val="0"/>
          <w:lang w:val="en-US" w:eastAsia="en-US"/>
        </w:rPr>
        <w:t xml:space="preserve"> et al., 2016a).</w:t>
      </w:r>
    </w:p>
    <w:p w14:paraId="545BE3CF"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lastRenderedPageBreak/>
        <w:t>For translational editing, the most directly relevant advance was the identification of naturally occurring off-switches that can inhibit CRISPR–Cas9 activity in eukaryotic contexts, offering a route to reduce cumulative exposure and potentially mitigate off-target risk (</w:t>
      </w:r>
      <w:proofErr w:type="spellStart"/>
      <w:r w:rsidRPr="00AF6FEA">
        <w:rPr>
          <w:color w:val="auto"/>
          <w:kern w:val="0"/>
          <w:lang w:val="en-US" w:eastAsia="en-US"/>
        </w:rPr>
        <w:t>Pawluk</w:t>
      </w:r>
      <w:proofErr w:type="spellEnd"/>
      <w:r w:rsidRPr="00AF6FEA">
        <w:rPr>
          <w:color w:val="auto"/>
          <w:kern w:val="0"/>
          <w:lang w:val="en-US" w:eastAsia="en-US"/>
        </w:rPr>
        <w:t xml:space="preserve"> et al., 2016b). Mechanistic syntheses </w:t>
      </w:r>
      <w:proofErr w:type="spellStart"/>
      <w:r w:rsidRPr="00AF6FEA">
        <w:rPr>
          <w:color w:val="auto"/>
          <w:kern w:val="0"/>
          <w:lang w:val="en-US" w:eastAsia="en-US"/>
        </w:rPr>
        <w:t>emphasise</w:t>
      </w:r>
      <w:proofErr w:type="spellEnd"/>
      <w:r w:rsidRPr="00AF6FEA">
        <w:rPr>
          <w:color w:val="auto"/>
          <w:kern w:val="0"/>
          <w:lang w:val="en-US" w:eastAsia="en-US"/>
        </w:rPr>
        <w:t xml:space="preserve"> that anti-CRISPRs can block target binding, prevent cleavage, or disrupt active complex formation, allowing safety engineering to be tailored to clinical needs (</w:t>
      </w:r>
      <w:proofErr w:type="spellStart"/>
      <w:r w:rsidRPr="00AF6FEA">
        <w:rPr>
          <w:color w:val="auto"/>
          <w:kern w:val="0"/>
          <w:lang w:val="en-US" w:eastAsia="en-US"/>
        </w:rPr>
        <w:t>Pawluk</w:t>
      </w:r>
      <w:proofErr w:type="spellEnd"/>
      <w:r w:rsidRPr="00AF6FEA">
        <w:rPr>
          <w:color w:val="auto"/>
          <w:kern w:val="0"/>
          <w:lang w:val="en-US" w:eastAsia="en-US"/>
        </w:rPr>
        <w:t xml:space="preserve"> et al., 2018). More recently, structural work showing inhibition via interaction with guide RNA features further highlights that guide architecture and inhibitor design can be co-</w:t>
      </w:r>
      <w:proofErr w:type="spellStart"/>
      <w:r w:rsidRPr="00AF6FEA">
        <w:rPr>
          <w:color w:val="auto"/>
          <w:kern w:val="0"/>
          <w:lang w:val="en-US" w:eastAsia="en-US"/>
        </w:rPr>
        <w:t>optimised</w:t>
      </w:r>
      <w:proofErr w:type="spellEnd"/>
      <w:r w:rsidRPr="00AF6FEA">
        <w:rPr>
          <w:color w:val="auto"/>
          <w:kern w:val="0"/>
          <w:lang w:val="en-US" w:eastAsia="en-US"/>
        </w:rPr>
        <w:t>, potentially supporting finer-grained control over activity and specificity (Yu et al., 2026).</w:t>
      </w:r>
    </w:p>
    <w:p w14:paraId="643F5789"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5.5 Genomic safety, product heterogeneity, and regulatory expectations</w:t>
      </w:r>
    </w:p>
    <w:p w14:paraId="6D0E0CB7"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Genomic safety is central to therapeutic translation because unintended edits or complex repair outcomes can create lasting harm. Genome-wide off-target profiling methods provide a route to detect unintended cleavage sites and thereby support guide selection, editor </w:t>
      </w:r>
      <w:proofErr w:type="spellStart"/>
      <w:r w:rsidRPr="00AF6FEA">
        <w:rPr>
          <w:color w:val="auto"/>
          <w:kern w:val="0"/>
          <w:lang w:val="en-US" w:eastAsia="en-US"/>
        </w:rPr>
        <w:t>optimisation</w:t>
      </w:r>
      <w:proofErr w:type="spellEnd"/>
      <w:r w:rsidRPr="00AF6FEA">
        <w:rPr>
          <w:color w:val="auto"/>
          <w:kern w:val="0"/>
          <w:lang w:val="en-US" w:eastAsia="en-US"/>
        </w:rPr>
        <w:t>, and risk assessment in relevant cellular contexts (Tsai et al., 2015). In parallel, engineered high-fidelity nucleases and rationally modified Cas9 variants demonstrate that specificity can be improved at the protein level, reducing off-target activity without relying exclusively on guide redesign (</w:t>
      </w:r>
      <w:proofErr w:type="spellStart"/>
      <w:r w:rsidRPr="00AF6FEA">
        <w:rPr>
          <w:color w:val="auto"/>
          <w:kern w:val="0"/>
          <w:lang w:val="en-US" w:eastAsia="en-US"/>
        </w:rPr>
        <w:t>Kleinstiver</w:t>
      </w:r>
      <w:proofErr w:type="spellEnd"/>
      <w:r w:rsidRPr="00AF6FEA">
        <w:rPr>
          <w:color w:val="auto"/>
          <w:kern w:val="0"/>
          <w:lang w:val="en-US" w:eastAsia="en-US"/>
        </w:rPr>
        <w:t xml:space="preserve"> et al., 2016; </w:t>
      </w:r>
      <w:proofErr w:type="spellStart"/>
      <w:r w:rsidRPr="00AF6FEA">
        <w:rPr>
          <w:color w:val="auto"/>
          <w:kern w:val="0"/>
          <w:lang w:val="en-US" w:eastAsia="en-US"/>
        </w:rPr>
        <w:t>Slaymaker</w:t>
      </w:r>
      <w:proofErr w:type="spellEnd"/>
      <w:r w:rsidRPr="00AF6FEA">
        <w:rPr>
          <w:color w:val="auto"/>
          <w:kern w:val="0"/>
          <w:lang w:val="en-US" w:eastAsia="en-US"/>
        </w:rPr>
        <w:t xml:space="preserve"> et al., 2016). These improvements are clinically meaningful because they help reduce the probability of rare but serious events that might only be detectable with large patient numbers or long follow-up.</w:t>
      </w:r>
    </w:p>
    <w:p w14:paraId="4F0AC28A"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Importantly, safety is not confined to off-target activity. Evidence that DSB repair at intended loci can produce large deletions and complex rearrangements has reframed “on-target” as a domain that also requires systematic surveillance, including assays capable of detecting structural variation beyond small indels (</w:t>
      </w:r>
      <w:proofErr w:type="spellStart"/>
      <w:r w:rsidRPr="00AF6FEA">
        <w:rPr>
          <w:color w:val="auto"/>
          <w:kern w:val="0"/>
          <w:lang w:val="en-US" w:eastAsia="en-US"/>
        </w:rPr>
        <w:t>Kosicki</w:t>
      </w:r>
      <w:proofErr w:type="spellEnd"/>
      <w:r w:rsidRPr="00AF6FEA">
        <w:rPr>
          <w:color w:val="auto"/>
          <w:kern w:val="0"/>
          <w:lang w:val="en-US" w:eastAsia="en-US"/>
        </w:rPr>
        <w:t xml:space="preserve"> et al., 2018). Moreover, editing-induced DNA damage </w:t>
      </w:r>
      <w:proofErr w:type="spellStart"/>
      <w:r w:rsidRPr="00AF6FEA">
        <w:rPr>
          <w:color w:val="auto"/>
          <w:kern w:val="0"/>
          <w:lang w:val="en-US" w:eastAsia="en-US"/>
        </w:rPr>
        <w:t>signalling</w:t>
      </w:r>
      <w:proofErr w:type="spellEnd"/>
      <w:r w:rsidRPr="00AF6FEA">
        <w:rPr>
          <w:color w:val="auto"/>
          <w:kern w:val="0"/>
          <w:lang w:val="en-US" w:eastAsia="en-US"/>
        </w:rPr>
        <w:t>, including p53-mediated responses, may influence cell survival and selection, raising concerns that some editing protocols could enrich for undesirable cellular states in certain settings (</w:t>
      </w:r>
      <w:proofErr w:type="spellStart"/>
      <w:r w:rsidRPr="00AF6FEA">
        <w:rPr>
          <w:color w:val="auto"/>
          <w:kern w:val="0"/>
          <w:lang w:val="en-US" w:eastAsia="en-US"/>
        </w:rPr>
        <w:t>Haapaniemi</w:t>
      </w:r>
      <w:proofErr w:type="spellEnd"/>
      <w:r w:rsidRPr="00AF6FEA">
        <w:rPr>
          <w:color w:val="auto"/>
          <w:kern w:val="0"/>
          <w:lang w:val="en-US" w:eastAsia="en-US"/>
        </w:rPr>
        <w:t xml:space="preserve"> et al., 2018). Translational </w:t>
      </w:r>
      <w:proofErr w:type="spellStart"/>
      <w:r w:rsidRPr="00AF6FEA">
        <w:rPr>
          <w:color w:val="auto"/>
          <w:kern w:val="0"/>
          <w:lang w:val="en-US" w:eastAsia="en-US"/>
        </w:rPr>
        <w:t>programmes</w:t>
      </w:r>
      <w:proofErr w:type="spellEnd"/>
      <w:r w:rsidRPr="00AF6FEA">
        <w:rPr>
          <w:color w:val="auto"/>
          <w:kern w:val="0"/>
          <w:lang w:val="en-US" w:eastAsia="en-US"/>
        </w:rPr>
        <w:t xml:space="preserve"> therefore increasingly integrate multiple layers of assessment—off-target profiling, structural variant detection at targets, and functional stress-response readouts—alongside manufacturing controls and long-term follow-up commitments (Chakraborty et al., 2026).</w:t>
      </w:r>
    </w:p>
    <w:p w14:paraId="6AD5FDEC" w14:textId="77777777" w:rsidR="008C591C" w:rsidRPr="00AF6FEA" w:rsidRDefault="008C591C" w:rsidP="00B10DAA">
      <w:pPr>
        <w:rPr>
          <w:lang w:val="en-GB"/>
        </w:rPr>
      </w:pPr>
    </w:p>
    <w:p w14:paraId="2E7B461D" w14:textId="77777777" w:rsidR="00AF6FEA" w:rsidRPr="00AF6FEA" w:rsidRDefault="00AF6FEA" w:rsidP="00B10DAA">
      <w:pPr>
        <w:spacing w:before="100" w:beforeAutospacing="1" w:after="100" w:afterAutospacing="1" w:line="240" w:lineRule="auto"/>
        <w:ind w:left="0" w:right="0" w:firstLine="0"/>
        <w:outlineLvl w:val="1"/>
        <w:rPr>
          <w:b/>
          <w:bCs/>
          <w:color w:val="auto"/>
          <w:kern w:val="0"/>
          <w:sz w:val="36"/>
          <w:szCs w:val="36"/>
          <w:lang w:val="en-US" w:eastAsia="en-US"/>
        </w:rPr>
      </w:pPr>
      <w:r w:rsidRPr="00AF6FEA">
        <w:rPr>
          <w:b/>
          <w:bCs/>
          <w:color w:val="auto"/>
          <w:kern w:val="0"/>
          <w:sz w:val="36"/>
          <w:szCs w:val="36"/>
          <w:lang w:val="en-US" w:eastAsia="en-US"/>
        </w:rPr>
        <w:t>6. Ethical, legal, and social considerations</w:t>
      </w:r>
    </w:p>
    <w:p w14:paraId="4A3D9848"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6.1 Somatic editing, clinical ethics, and proportionality of risk</w:t>
      </w:r>
    </w:p>
    <w:p w14:paraId="3807E284"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Ethical analysis of CRISPR-derived interventions commonly begins with a distinction between somatic genome editing and heritable interventions. Somatic editing is directed at tissues in an existing person and is not intended to be transmitted to future generations. In this setting, the ethical framework often aligns with broader medical ethics: proportionality of risk to expected benefit, robust informed consent, fair participant selection, and post-intervention monitoring. Nevertheless, the irreversibility of many genome edits and the possibility of unintended genomic outcomes complicate the conventional risk–benefit calculus. As clinical </w:t>
      </w:r>
      <w:proofErr w:type="spellStart"/>
      <w:r w:rsidRPr="00AF6FEA">
        <w:rPr>
          <w:color w:val="auto"/>
          <w:kern w:val="0"/>
          <w:lang w:val="en-US" w:eastAsia="en-US"/>
        </w:rPr>
        <w:t>programmes</w:t>
      </w:r>
      <w:proofErr w:type="spellEnd"/>
      <w:r w:rsidRPr="00AF6FEA">
        <w:rPr>
          <w:color w:val="auto"/>
          <w:kern w:val="0"/>
          <w:lang w:val="en-US" w:eastAsia="en-US"/>
        </w:rPr>
        <w:t xml:space="preserve"> mature, an additional ethical layer concerns the distribution of risks across time: near-term benefits may be measurable, while certain risks, such as </w:t>
      </w:r>
      <w:proofErr w:type="spellStart"/>
      <w:r w:rsidRPr="00AF6FEA">
        <w:rPr>
          <w:color w:val="auto"/>
          <w:kern w:val="0"/>
          <w:lang w:val="en-US" w:eastAsia="en-US"/>
        </w:rPr>
        <w:t>tumourigenesis</w:t>
      </w:r>
      <w:proofErr w:type="spellEnd"/>
      <w:r w:rsidRPr="00AF6FEA">
        <w:rPr>
          <w:color w:val="auto"/>
          <w:kern w:val="0"/>
          <w:lang w:val="en-US" w:eastAsia="en-US"/>
        </w:rPr>
        <w:t xml:space="preserve"> driven by </w:t>
      </w:r>
      <w:r w:rsidRPr="00AF6FEA">
        <w:rPr>
          <w:color w:val="auto"/>
          <w:kern w:val="0"/>
          <w:lang w:val="en-US" w:eastAsia="en-US"/>
        </w:rPr>
        <w:lastRenderedPageBreak/>
        <w:t>rare mutational events, may require prolonged follow-up and may remain uncertain even with extensive preclinical testing.</w:t>
      </w:r>
    </w:p>
    <w:p w14:paraId="2189AC0F"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Somatic editing also raises questions of justice and equitable access. If transformative therapies remain expensive or logistically complex, they may preferentially benefit patients in well-resourced settings and amplify pre-existing disparities. Recent surveys of clinical translation highlight that issues of affordability, scalability, and long-term surveillance costs are not peripheral concerns but active determinants of who will benefit from CRISPR therapeutics and how widely they can be deployed (Chakraborty et al., 2026). Equity therefore becomes inseparable from ethical evaluation, because societal benefit depends not only on technical success but on whether access can be broadened beyond narrow populations.</w:t>
      </w:r>
    </w:p>
    <w:p w14:paraId="399A8794"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6.2 Germline genome editing: governance, contested necessity, and intergenerational ethics</w:t>
      </w:r>
    </w:p>
    <w:p w14:paraId="78500138"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Heritable genome editing, by contrast, introduces the possibility that engineered changes could be transmitted to future generations. This shifts ethical emphasis from individual autonomy towards intergenerational responsibility, collective decision-making, and the governance of risk. Calls for caution have argued that germline editing should not proceed clinically because safety is uncertain, long-term consequences are unknowable, and the claimed medical need is often disputable given existing alternatives such as embryo selection in some contexts (</w:t>
      </w:r>
      <w:proofErr w:type="spellStart"/>
      <w:r w:rsidRPr="00AF6FEA">
        <w:rPr>
          <w:color w:val="auto"/>
          <w:kern w:val="0"/>
          <w:lang w:val="en-US" w:eastAsia="en-US"/>
        </w:rPr>
        <w:t>Lanphier</w:t>
      </w:r>
      <w:proofErr w:type="spellEnd"/>
      <w:r w:rsidRPr="00AF6FEA">
        <w:rPr>
          <w:color w:val="auto"/>
          <w:kern w:val="0"/>
          <w:lang w:val="en-US" w:eastAsia="en-US"/>
        </w:rPr>
        <w:t xml:space="preserve"> et al., 2015). In addition, germline editing raises concerns about social pressure, the </w:t>
      </w:r>
      <w:proofErr w:type="spellStart"/>
      <w:r w:rsidRPr="00AF6FEA">
        <w:rPr>
          <w:color w:val="auto"/>
          <w:kern w:val="0"/>
          <w:lang w:val="en-US" w:eastAsia="en-US"/>
        </w:rPr>
        <w:t>normalisation</w:t>
      </w:r>
      <w:proofErr w:type="spellEnd"/>
      <w:r w:rsidRPr="00AF6FEA">
        <w:rPr>
          <w:color w:val="auto"/>
          <w:kern w:val="0"/>
          <w:lang w:val="en-US" w:eastAsia="en-US"/>
        </w:rPr>
        <w:t xml:space="preserve"> of genetic “</w:t>
      </w:r>
      <w:proofErr w:type="spellStart"/>
      <w:r w:rsidRPr="00AF6FEA">
        <w:rPr>
          <w:color w:val="auto"/>
          <w:kern w:val="0"/>
          <w:lang w:val="en-US" w:eastAsia="en-US"/>
        </w:rPr>
        <w:t>optimisation</w:t>
      </w:r>
      <w:proofErr w:type="spellEnd"/>
      <w:r w:rsidRPr="00AF6FEA">
        <w:rPr>
          <w:color w:val="auto"/>
          <w:kern w:val="0"/>
          <w:lang w:val="en-US" w:eastAsia="en-US"/>
        </w:rPr>
        <w:t>”, and the potential re-emergence of eugenic thinking through technologically mediated selection.</w:t>
      </w:r>
    </w:p>
    <w:p w14:paraId="304BB3FC"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At the same time, governance-oriented perspectives have sought to articulate pathways for responsible deliberation without foreclosing scientific discussion, </w:t>
      </w:r>
      <w:proofErr w:type="spellStart"/>
      <w:r w:rsidRPr="00AF6FEA">
        <w:rPr>
          <w:color w:val="auto"/>
          <w:kern w:val="0"/>
          <w:lang w:val="en-US" w:eastAsia="en-US"/>
        </w:rPr>
        <w:t>emphasising</w:t>
      </w:r>
      <w:proofErr w:type="spellEnd"/>
      <w:r w:rsidRPr="00AF6FEA">
        <w:rPr>
          <w:color w:val="auto"/>
          <w:kern w:val="0"/>
          <w:lang w:val="en-US" w:eastAsia="en-US"/>
        </w:rPr>
        <w:t xml:space="preserve"> transparency, broad stakeholder engagement, and international coordination to establish norms for what should be permitted and under what conditions (Baltimore et al., 2015). This position acknowledges that scientific capability is advancing and that an outright refusal to engage could encourage secrecy rather than responsibility. The ethical challenge, therefore, is not simply whether germline editing is technically possible, but whether it can be governed in a manner that respects human rights, prevents coercion, and avoids exacerbating inequity (Baltimore et al., 2015; </w:t>
      </w:r>
      <w:proofErr w:type="spellStart"/>
      <w:r w:rsidRPr="00AF6FEA">
        <w:rPr>
          <w:color w:val="auto"/>
          <w:kern w:val="0"/>
          <w:lang w:val="en-US" w:eastAsia="en-US"/>
        </w:rPr>
        <w:t>Lanphier</w:t>
      </w:r>
      <w:proofErr w:type="spellEnd"/>
      <w:r w:rsidRPr="00AF6FEA">
        <w:rPr>
          <w:color w:val="auto"/>
          <w:kern w:val="0"/>
          <w:lang w:val="en-US" w:eastAsia="en-US"/>
        </w:rPr>
        <w:t xml:space="preserve"> et al., 2015).</w:t>
      </w:r>
    </w:p>
    <w:p w14:paraId="6344A116"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6.3 The CRISPR-baby scandal and the limits of existing oversight</w:t>
      </w:r>
    </w:p>
    <w:p w14:paraId="5AE4C153"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The announcement of gene-edited babies </w:t>
      </w:r>
      <w:proofErr w:type="spellStart"/>
      <w:r w:rsidRPr="00AF6FEA">
        <w:rPr>
          <w:color w:val="auto"/>
          <w:kern w:val="0"/>
          <w:lang w:val="en-US" w:eastAsia="en-US"/>
        </w:rPr>
        <w:t>crystallised</w:t>
      </w:r>
      <w:proofErr w:type="spellEnd"/>
      <w:r w:rsidRPr="00AF6FEA">
        <w:rPr>
          <w:color w:val="auto"/>
          <w:kern w:val="0"/>
          <w:lang w:val="en-US" w:eastAsia="en-US"/>
        </w:rPr>
        <w:t xml:space="preserve"> many governance concerns by demonstrating how individual actors can exploit scientific capability and regulatory gaps. Scholarly reporting of the episode described failures of transparency and ethics oversight, and it triggered renewed debate about enforceable international standards and the accountability of institutions that enable irresponsible research (</w:t>
      </w:r>
      <w:proofErr w:type="spellStart"/>
      <w:r w:rsidRPr="00AF6FEA">
        <w:rPr>
          <w:color w:val="auto"/>
          <w:kern w:val="0"/>
          <w:lang w:val="en-US" w:eastAsia="en-US"/>
        </w:rPr>
        <w:t>Cyranoski</w:t>
      </w:r>
      <w:proofErr w:type="spellEnd"/>
      <w:r w:rsidRPr="00AF6FEA">
        <w:rPr>
          <w:color w:val="auto"/>
          <w:kern w:val="0"/>
          <w:lang w:val="en-US" w:eastAsia="en-US"/>
        </w:rPr>
        <w:t>, 2019). The case also exposed a structural weakness in global governance: while research and technology circulate internationally, regulatory authority is largely national, and professional norms vary in strength, enforcement mechanisms, and scope.</w:t>
      </w:r>
    </w:p>
    <w:p w14:paraId="14D9826B"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Analyses of germline genome editing in clinical contexts have argued that objectives differ substantially—ranging from preventing severe monogenic disease to enhancement—and that these differences are ethically meaningful because they change both the plausible benefit and </w:t>
      </w:r>
      <w:r w:rsidRPr="00AF6FEA">
        <w:rPr>
          <w:color w:val="auto"/>
          <w:kern w:val="0"/>
          <w:lang w:val="en-US" w:eastAsia="en-US"/>
        </w:rPr>
        <w:lastRenderedPageBreak/>
        <w:t>the degree of social risk (Ishii, 2017). Even when therapeutic intent is claimed, the embryo-editing context involves special complexities, including mosaicism, difficulty of long-term outcome validation, and the moral status of embryos in different cultural and legal systems. Consequently, the scandal is best understood not as a singular failure, but as a stress test revealing that governance must address incentives, transparency, and enforcement across borders as well as within institutions (</w:t>
      </w:r>
      <w:proofErr w:type="spellStart"/>
      <w:r w:rsidRPr="00AF6FEA">
        <w:rPr>
          <w:color w:val="auto"/>
          <w:kern w:val="0"/>
          <w:lang w:val="en-US" w:eastAsia="en-US"/>
        </w:rPr>
        <w:t>Cyranoski</w:t>
      </w:r>
      <w:proofErr w:type="spellEnd"/>
      <w:r w:rsidRPr="00AF6FEA">
        <w:rPr>
          <w:color w:val="auto"/>
          <w:kern w:val="0"/>
          <w:lang w:val="en-US" w:eastAsia="en-US"/>
        </w:rPr>
        <w:t>, 2019; Ishii, 2017).</w:t>
      </w:r>
    </w:p>
    <w:p w14:paraId="776D009C"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6.4 Environmental applications and gene drives: consent, reversibility, and cross-border effects</w:t>
      </w:r>
    </w:p>
    <w:p w14:paraId="2BBD544A"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Ethical issues broaden further when CRISPR is applied to ecosystems rather than individual patients. RNA-guided gene drives, proposed as a means to spread engineered traits through wild populations, highlight the tension between public health benefits and ecological and governance risks. Early analysis warned that gene drives could enable rapid alteration of wild populations and therefore require extraordinary caution, particularly because unintended spread could be difficult to halt once released (</w:t>
      </w:r>
      <w:proofErr w:type="spellStart"/>
      <w:r w:rsidRPr="00AF6FEA">
        <w:rPr>
          <w:color w:val="auto"/>
          <w:kern w:val="0"/>
          <w:lang w:val="en-US" w:eastAsia="en-US"/>
        </w:rPr>
        <w:t>Esvelt</w:t>
      </w:r>
      <w:proofErr w:type="spellEnd"/>
      <w:r w:rsidRPr="00AF6FEA">
        <w:rPr>
          <w:color w:val="auto"/>
          <w:kern w:val="0"/>
          <w:lang w:val="en-US" w:eastAsia="en-US"/>
        </w:rPr>
        <w:t xml:space="preserve"> et al., 2014). This is not merely a technical point but a moral one: it challenges conventional notions of consent, because communities or nations affected by a release may not have participated in decision-making, and because ecological consequences may unfold across borders and generations.</w:t>
      </w:r>
    </w:p>
    <w:p w14:paraId="195758DA"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Governance proposals have therefore </w:t>
      </w:r>
      <w:proofErr w:type="spellStart"/>
      <w:r w:rsidRPr="00AF6FEA">
        <w:rPr>
          <w:color w:val="auto"/>
          <w:kern w:val="0"/>
          <w:lang w:val="en-US" w:eastAsia="en-US"/>
        </w:rPr>
        <w:t>emphasised</w:t>
      </w:r>
      <w:proofErr w:type="spellEnd"/>
      <w:r w:rsidRPr="00AF6FEA">
        <w:rPr>
          <w:color w:val="auto"/>
          <w:kern w:val="0"/>
          <w:lang w:val="en-US" w:eastAsia="en-US"/>
        </w:rPr>
        <w:t xml:space="preserve"> staged testing, rigorous containment, and broad public engagement, arguing that decisions about gene drives should not be made solely by technical experts or single jurisdictions (</w:t>
      </w:r>
      <w:proofErr w:type="spellStart"/>
      <w:r w:rsidRPr="00AF6FEA">
        <w:rPr>
          <w:color w:val="auto"/>
          <w:kern w:val="0"/>
          <w:lang w:val="en-US" w:eastAsia="en-US"/>
        </w:rPr>
        <w:t>Oye</w:t>
      </w:r>
      <w:proofErr w:type="spellEnd"/>
      <w:r w:rsidRPr="00AF6FEA">
        <w:rPr>
          <w:color w:val="auto"/>
          <w:kern w:val="0"/>
          <w:lang w:val="en-US" w:eastAsia="en-US"/>
        </w:rPr>
        <w:t xml:space="preserve"> et al., 2014). Experimental demonstrations of highly efficient gene drive systems in mosquitoes have underscored that feasibility is not speculative, which increases the urgency of creating decision frameworks that can manage uncertainty and prevent premature deployment (</w:t>
      </w:r>
      <w:proofErr w:type="spellStart"/>
      <w:r w:rsidRPr="00AF6FEA">
        <w:rPr>
          <w:color w:val="auto"/>
          <w:kern w:val="0"/>
          <w:lang w:val="en-US" w:eastAsia="en-US"/>
        </w:rPr>
        <w:t>Gantz</w:t>
      </w:r>
      <w:proofErr w:type="spellEnd"/>
      <w:r w:rsidRPr="00AF6FEA">
        <w:rPr>
          <w:color w:val="auto"/>
          <w:kern w:val="0"/>
          <w:lang w:val="en-US" w:eastAsia="en-US"/>
        </w:rPr>
        <w:t xml:space="preserve"> et al., 2015). Even when intended outcomes are humanitarian, such as reducing vector-borne disease, ethical scrutiny must include questions of ecological resilience, potential for resistance evolution, and whether reversible or self-limiting designs are required before any environmental release is contemplated (</w:t>
      </w:r>
      <w:proofErr w:type="spellStart"/>
      <w:r w:rsidRPr="00AF6FEA">
        <w:rPr>
          <w:color w:val="auto"/>
          <w:kern w:val="0"/>
          <w:lang w:val="en-US" w:eastAsia="en-US"/>
        </w:rPr>
        <w:t>Esvelt</w:t>
      </w:r>
      <w:proofErr w:type="spellEnd"/>
      <w:r w:rsidRPr="00AF6FEA">
        <w:rPr>
          <w:color w:val="auto"/>
          <w:kern w:val="0"/>
          <w:lang w:val="en-US" w:eastAsia="en-US"/>
        </w:rPr>
        <w:t xml:space="preserve"> et al., 2014; </w:t>
      </w:r>
      <w:proofErr w:type="spellStart"/>
      <w:r w:rsidRPr="00AF6FEA">
        <w:rPr>
          <w:color w:val="auto"/>
          <w:kern w:val="0"/>
          <w:lang w:val="en-US" w:eastAsia="en-US"/>
        </w:rPr>
        <w:t>Gantz</w:t>
      </w:r>
      <w:proofErr w:type="spellEnd"/>
      <w:r w:rsidRPr="00AF6FEA">
        <w:rPr>
          <w:color w:val="auto"/>
          <w:kern w:val="0"/>
          <w:lang w:val="en-US" w:eastAsia="en-US"/>
        </w:rPr>
        <w:t xml:space="preserve"> et al., 2015; </w:t>
      </w:r>
      <w:proofErr w:type="spellStart"/>
      <w:r w:rsidRPr="00AF6FEA">
        <w:rPr>
          <w:color w:val="auto"/>
          <w:kern w:val="0"/>
          <w:lang w:val="en-US" w:eastAsia="en-US"/>
        </w:rPr>
        <w:t>Oye</w:t>
      </w:r>
      <w:proofErr w:type="spellEnd"/>
      <w:r w:rsidRPr="00AF6FEA">
        <w:rPr>
          <w:color w:val="auto"/>
          <w:kern w:val="0"/>
          <w:lang w:val="en-US" w:eastAsia="en-US"/>
        </w:rPr>
        <w:t xml:space="preserve"> et al., 2014).</w:t>
      </w:r>
    </w:p>
    <w:p w14:paraId="46F85EFD" w14:textId="77777777" w:rsidR="00AF6FEA" w:rsidRPr="00AF6FEA" w:rsidRDefault="00AF6FEA" w:rsidP="00B10DAA">
      <w:pPr>
        <w:spacing w:before="100" w:beforeAutospacing="1" w:after="100" w:afterAutospacing="1" w:line="240" w:lineRule="auto"/>
        <w:ind w:left="0" w:right="0" w:firstLine="0"/>
        <w:outlineLvl w:val="2"/>
        <w:rPr>
          <w:b/>
          <w:bCs/>
          <w:color w:val="auto"/>
          <w:kern w:val="0"/>
          <w:sz w:val="27"/>
          <w:szCs w:val="27"/>
          <w:lang w:val="en-US" w:eastAsia="en-US"/>
        </w:rPr>
      </w:pPr>
      <w:r w:rsidRPr="00AF6FEA">
        <w:rPr>
          <w:b/>
          <w:bCs/>
          <w:color w:val="auto"/>
          <w:kern w:val="0"/>
          <w:sz w:val="27"/>
          <w:szCs w:val="27"/>
          <w:lang w:val="en-US" w:eastAsia="en-US"/>
        </w:rPr>
        <w:t>6.5 Dual-use concerns and responsible innovation</w:t>
      </w:r>
    </w:p>
    <w:p w14:paraId="4160E7CD" w14:textId="77777777" w:rsidR="00AF6FEA" w:rsidRPr="00AF6FEA" w:rsidRDefault="00AF6FEA" w:rsidP="00B10DAA">
      <w:pPr>
        <w:spacing w:before="100" w:beforeAutospacing="1" w:after="100" w:afterAutospacing="1" w:line="240" w:lineRule="auto"/>
        <w:ind w:left="0" w:right="0" w:firstLine="0"/>
        <w:rPr>
          <w:color w:val="auto"/>
          <w:kern w:val="0"/>
          <w:lang w:val="en-US" w:eastAsia="en-US"/>
        </w:rPr>
      </w:pPr>
      <w:r w:rsidRPr="00AF6FEA">
        <w:rPr>
          <w:color w:val="auto"/>
          <w:kern w:val="0"/>
          <w:lang w:val="en-US" w:eastAsia="en-US"/>
        </w:rPr>
        <w:t xml:space="preserve">CRISPR’s accessibility and programmability are central to its scientific value, yet these same attributes introduce dual-use concerns. Tools capable of altering genomes can, in principle, be misused to increase pathogenicity, evade detection, or otherwise cause harm. Responsible innovation therefore requires integrating biosafety and biosecurity awareness into research practice, encouraging transparency while maintaining safeguards, and ensuring that governance keeps pace with dissemination. In clinical domains, dual-use risk intersects with equity and governance: if regulatory regimes differ sharply between regions, ethically questionable or dangerous applications may migrate to permissive environments. The broader lesson across somatic therapy, germline editing, and gene drives is that ethical analysis cannot be separated from institutional design. Effective oversight must align incentives with responsible conduct, support public trust through openness, and provide enforceable mechanisms that deter harm while allowing legitimate research and therapeutic development to proceed (Baltimore et al., 2015; </w:t>
      </w:r>
      <w:proofErr w:type="spellStart"/>
      <w:r w:rsidRPr="00AF6FEA">
        <w:rPr>
          <w:color w:val="auto"/>
          <w:kern w:val="0"/>
          <w:lang w:val="en-US" w:eastAsia="en-US"/>
        </w:rPr>
        <w:t>Oye</w:t>
      </w:r>
      <w:proofErr w:type="spellEnd"/>
      <w:r w:rsidRPr="00AF6FEA">
        <w:rPr>
          <w:color w:val="auto"/>
          <w:kern w:val="0"/>
          <w:lang w:val="en-US" w:eastAsia="en-US"/>
        </w:rPr>
        <w:t xml:space="preserve"> et al., 2014; </w:t>
      </w:r>
      <w:proofErr w:type="spellStart"/>
      <w:r w:rsidRPr="00AF6FEA">
        <w:rPr>
          <w:color w:val="auto"/>
          <w:kern w:val="0"/>
          <w:lang w:val="en-US" w:eastAsia="en-US"/>
        </w:rPr>
        <w:t>Cyranoski</w:t>
      </w:r>
      <w:proofErr w:type="spellEnd"/>
      <w:r w:rsidRPr="00AF6FEA">
        <w:rPr>
          <w:color w:val="auto"/>
          <w:kern w:val="0"/>
          <w:lang w:val="en-US" w:eastAsia="en-US"/>
        </w:rPr>
        <w:t>, 2019).</w:t>
      </w:r>
    </w:p>
    <w:p w14:paraId="3DA97FC9" w14:textId="77777777" w:rsidR="008C591C" w:rsidRPr="00AF6FEA" w:rsidRDefault="008C591C" w:rsidP="00B10DAA">
      <w:pPr>
        <w:rPr>
          <w:lang w:val="en-GB"/>
        </w:rPr>
      </w:pPr>
    </w:p>
    <w:p w14:paraId="2A981378" w14:textId="77777777" w:rsidR="008C591C" w:rsidRPr="00AF6FEA" w:rsidRDefault="008C591C" w:rsidP="00B10DAA">
      <w:pPr>
        <w:pStyle w:val="Heading2"/>
        <w:jc w:val="both"/>
        <w:rPr>
          <w:lang w:val="en-GB"/>
        </w:rPr>
      </w:pPr>
      <w:r w:rsidRPr="00AF6FEA">
        <w:rPr>
          <w:lang w:val="en-GB"/>
        </w:rPr>
        <w:lastRenderedPageBreak/>
        <w:t>7. Conclusions</w:t>
      </w:r>
    </w:p>
    <w:p w14:paraId="272FA714" w14:textId="77777777" w:rsidR="00AC1D8B" w:rsidRDefault="00AC1D8B" w:rsidP="00B10DAA">
      <w:pPr>
        <w:pStyle w:val="NormalWeb"/>
        <w:numPr>
          <w:ilvl w:val="0"/>
          <w:numId w:val="19"/>
        </w:numPr>
        <w:jc w:val="both"/>
      </w:pPr>
      <w:r>
        <w:t>CRISPR–Cas systems have evolved from microbial adaptive immunity into a broadly programmable toolkit that supports genome editing, transcriptome modulation, functional genomics, and increasingly, clinically oriented intervention strategies.</w:t>
      </w:r>
    </w:p>
    <w:p w14:paraId="6A2984DA" w14:textId="77777777" w:rsidR="00AC1D8B" w:rsidRDefault="00AC1D8B" w:rsidP="00B10DAA">
      <w:pPr>
        <w:pStyle w:val="NormalWeb"/>
        <w:numPr>
          <w:ilvl w:val="0"/>
          <w:numId w:val="19"/>
        </w:numPr>
        <w:jc w:val="both"/>
      </w:pPr>
      <w:r>
        <w:t>Deep mechanistic insight into spacer acquisition, guide RNA biogenesis, and target interference has been pivotal for engineering reliable editors, and it continues to inform improvements in guide design, effector selection, and the predictability of editing outcomes across different biological contexts.</w:t>
      </w:r>
    </w:p>
    <w:p w14:paraId="55DA9030" w14:textId="77777777" w:rsidR="00AC1D8B" w:rsidRDefault="00AC1D8B" w:rsidP="00B10DAA">
      <w:pPr>
        <w:pStyle w:val="NormalWeb"/>
        <w:numPr>
          <w:ilvl w:val="0"/>
          <w:numId w:val="19"/>
        </w:numPr>
        <w:jc w:val="both"/>
      </w:pPr>
      <w:r>
        <w:t>Double-strand break–mediated editing remains a powerful and efficient route for gene disruption and certain therapeutic goals, but its dependence on endogenous DNA repair can generate heterogeneous outcomes, including complex alterations at the target site, which necessitates careful design and comprehensive validation.</w:t>
      </w:r>
    </w:p>
    <w:p w14:paraId="3CDA57FB" w14:textId="77777777" w:rsidR="00AC1D8B" w:rsidRDefault="00AC1D8B" w:rsidP="00B10DAA">
      <w:pPr>
        <w:pStyle w:val="NormalWeb"/>
        <w:numPr>
          <w:ilvl w:val="0"/>
          <w:numId w:val="19"/>
        </w:numPr>
        <w:jc w:val="both"/>
      </w:pPr>
      <w:r>
        <w:t xml:space="preserve">Precision approaches that reduce reliance on double-strand breaks, including base editing and prime editing, have expanded the range of addressable variants and therapeutic possibilities by enabling targeted substitutions and small sequence changes, although their performance is locus- and cell-type dependent and may require substantial </w:t>
      </w:r>
      <w:proofErr w:type="spellStart"/>
      <w:r>
        <w:t>optimisation</w:t>
      </w:r>
      <w:proofErr w:type="spellEnd"/>
      <w:r>
        <w:t>.</w:t>
      </w:r>
    </w:p>
    <w:p w14:paraId="1F6E0A28" w14:textId="77777777" w:rsidR="00AC1D8B" w:rsidRDefault="00AC1D8B" w:rsidP="00B10DAA">
      <w:pPr>
        <w:pStyle w:val="NormalWeb"/>
        <w:numPr>
          <w:ilvl w:val="0"/>
          <w:numId w:val="19"/>
        </w:numPr>
        <w:jc w:val="both"/>
      </w:pPr>
      <w:r>
        <w:t xml:space="preserve">Therapeutic translation is increasingly realistic through both </w:t>
      </w:r>
      <w:proofErr w:type="gramStart"/>
      <w:r>
        <w:t>ex</w:t>
      </w:r>
      <w:proofErr w:type="gramEnd"/>
      <w:r>
        <w:t xml:space="preserve"> vivo and in vivo paradigms; however, delivery remains the dominant bottleneck, with tissue targeting, dosing, and transient expression control shaping efficacy, safety, and feasibility for different diseases and patient populations.</w:t>
      </w:r>
    </w:p>
    <w:p w14:paraId="5B886F6E" w14:textId="77777777" w:rsidR="00AC1D8B" w:rsidRDefault="00AC1D8B" w:rsidP="00B10DAA">
      <w:pPr>
        <w:pStyle w:val="NormalWeb"/>
        <w:numPr>
          <w:ilvl w:val="0"/>
          <w:numId w:val="19"/>
        </w:numPr>
        <w:jc w:val="both"/>
      </w:pPr>
      <w:r>
        <w:t>Genomic and cellular safety assessment must be multi-layered, combining sensitive detection of unintended edits with evaluation of on-target structural outcomes, cellular stress responses, and long-term functional consequences, particularly for long-lived cells and tissues intended to persist for years.</w:t>
      </w:r>
    </w:p>
    <w:p w14:paraId="1C27B311" w14:textId="77777777" w:rsidR="00AC1D8B" w:rsidRDefault="00AC1D8B" w:rsidP="00B10DAA">
      <w:pPr>
        <w:pStyle w:val="NormalWeb"/>
        <w:numPr>
          <w:ilvl w:val="0"/>
          <w:numId w:val="19"/>
        </w:numPr>
        <w:jc w:val="both"/>
      </w:pPr>
      <w:r>
        <w:t>Greater controllability will be central to responsible clinical use, including strategies that narrow the active window of editors, incorporate molecular “off-switches”, and enable tighter spatial and temporal regulation to reduce cumulative risk while maintaining therapeutic benefit.</w:t>
      </w:r>
    </w:p>
    <w:p w14:paraId="3A0D606D" w14:textId="77777777" w:rsidR="00AC1D8B" w:rsidRDefault="00AC1D8B" w:rsidP="00B10DAA">
      <w:pPr>
        <w:pStyle w:val="NormalWeb"/>
        <w:numPr>
          <w:ilvl w:val="0"/>
          <w:numId w:val="19"/>
        </w:numPr>
        <w:jc w:val="both"/>
      </w:pPr>
      <w:r>
        <w:t>Ethical, legal, and social governance must progress alongside technical capability, with clear boundaries between somatic therapy and heritable interventions, robust oversight for environmental applications, equitable access strategies, and sustained attention to transparency, public trust, and dual-use risk mitigation.</w:t>
      </w:r>
    </w:p>
    <w:p w14:paraId="2E3919DA" w14:textId="77777777" w:rsidR="008C591C" w:rsidRPr="00AF6FEA" w:rsidRDefault="008C591C" w:rsidP="00B10DAA">
      <w:pPr>
        <w:rPr>
          <w:lang w:val="en-GB"/>
        </w:rPr>
      </w:pPr>
    </w:p>
    <w:p w14:paraId="5FA19B62" w14:textId="77777777" w:rsidR="008C591C" w:rsidRPr="00AF6FEA" w:rsidRDefault="008C591C" w:rsidP="00B10DAA">
      <w:pPr>
        <w:pStyle w:val="Heading2"/>
        <w:jc w:val="both"/>
        <w:rPr>
          <w:lang w:val="en-GB"/>
        </w:rPr>
      </w:pPr>
      <w:r w:rsidRPr="00AF6FEA">
        <w:rPr>
          <w:lang w:val="en-GB"/>
        </w:rPr>
        <w:t>8. Limitations</w:t>
      </w:r>
    </w:p>
    <w:p w14:paraId="55D2DA9D" w14:textId="77777777" w:rsidR="008C591C" w:rsidRDefault="00AC1D8B" w:rsidP="00B10DAA">
      <w:pPr>
        <w:spacing w:before="100" w:beforeAutospacing="1" w:after="100" w:afterAutospacing="1" w:line="240" w:lineRule="auto"/>
        <w:ind w:left="0" w:right="0" w:firstLine="0"/>
        <w:rPr>
          <w:color w:val="auto"/>
          <w:kern w:val="0"/>
          <w:lang w:val="en-US" w:eastAsia="en-US"/>
        </w:rPr>
      </w:pPr>
      <w:r w:rsidRPr="00AC1D8B">
        <w:rPr>
          <w:color w:val="auto"/>
          <w:kern w:val="0"/>
          <w:lang w:val="en-US" w:eastAsia="en-US"/>
        </w:rPr>
        <w:t xml:space="preserve">This review focuses on peer-reviewed literature and therefore may under-represent very recent developments that initially circulate as preprints, conference proceedings, or regulatory communications before formal publication. Given the breadth and rapid evolution of CRISPR technologies, some technical areas are necessarily treated at a </w:t>
      </w:r>
      <w:proofErr w:type="spellStart"/>
      <w:r w:rsidRPr="00AC1D8B">
        <w:rPr>
          <w:color w:val="auto"/>
          <w:kern w:val="0"/>
          <w:lang w:val="en-US" w:eastAsia="en-US"/>
        </w:rPr>
        <w:t>synthesised</w:t>
      </w:r>
      <w:proofErr w:type="spellEnd"/>
      <w:r w:rsidRPr="00AC1D8B">
        <w:rPr>
          <w:color w:val="auto"/>
          <w:kern w:val="0"/>
          <w:lang w:val="en-US" w:eastAsia="en-US"/>
        </w:rPr>
        <w:t xml:space="preserve"> level, including detailed comparisons of delivery chemistries, manufacturing workflows, and disease-specific clinical protocols, which can vary substantially between </w:t>
      </w:r>
      <w:proofErr w:type="spellStart"/>
      <w:r w:rsidRPr="00AC1D8B">
        <w:rPr>
          <w:color w:val="auto"/>
          <w:kern w:val="0"/>
          <w:lang w:val="en-US" w:eastAsia="en-US"/>
        </w:rPr>
        <w:t>programmes</w:t>
      </w:r>
      <w:proofErr w:type="spellEnd"/>
      <w:r w:rsidRPr="00AC1D8B">
        <w:rPr>
          <w:color w:val="auto"/>
          <w:kern w:val="0"/>
          <w:lang w:val="en-US" w:eastAsia="en-US"/>
        </w:rPr>
        <w:t xml:space="preserve">. The discussion of safety </w:t>
      </w:r>
      <w:proofErr w:type="spellStart"/>
      <w:r w:rsidRPr="00AC1D8B">
        <w:rPr>
          <w:color w:val="auto"/>
          <w:kern w:val="0"/>
          <w:lang w:val="en-US" w:eastAsia="en-US"/>
        </w:rPr>
        <w:t>prioritises</w:t>
      </w:r>
      <w:proofErr w:type="spellEnd"/>
      <w:r w:rsidRPr="00AC1D8B">
        <w:rPr>
          <w:color w:val="auto"/>
          <w:kern w:val="0"/>
          <w:lang w:val="en-US" w:eastAsia="en-US"/>
        </w:rPr>
        <w:t xml:space="preserve"> widely applicable principles and representative examples rather than exhaustive cataloguing of assay platforms, and it may not capture all emerging standards for long-read sequencing, structural variant detection, or immune monitoring. Additionally, </w:t>
      </w:r>
      <w:r w:rsidRPr="00AC1D8B">
        <w:rPr>
          <w:color w:val="auto"/>
          <w:kern w:val="0"/>
          <w:lang w:val="en-US" w:eastAsia="en-US"/>
        </w:rPr>
        <w:lastRenderedPageBreak/>
        <w:t xml:space="preserve">ethical and governance considerations are </w:t>
      </w:r>
      <w:proofErr w:type="spellStart"/>
      <w:r w:rsidRPr="00AC1D8B">
        <w:rPr>
          <w:color w:val="auto"/>
          <w:kern w:val="0"/>
          <w:lang w:val="en-US" w:eastAsia="en-US"/>
        </w:rPr>
        <w:t>summarised</w:t>
      </w:r>
      <w:proofErr w:type="spellEnd"/>
      <w:r w:rsidRPr="00AC1D8B">
        <w:rPr>
          <w:color w:val="auto"/>
          <w:kern w:val="0"/>
          <w:lang w:val="en-US" w:eastAsia="en-US"/>
        </w:rPr>
        <w:t xml:space="preserve"> across diverse jurisdictions and cultural contexts; local legal frameworks, public attitudes, and policy mechanisms can differ markedly and may lead to different conclusions about acceptable applications. Finally, the translational outlook presented here reflects the evidence available at the time of writing and should be interpreted as contingent on future advances in delivery, controllability, and long-term follow-up data, which may alter both the feasibility and the risk–benefit balance of specific clinical and environmental uses.</w:t>
      </w:r>
    </w:p>
    <w:p w14:paraId="24250DE0" w14:textId="77777777" w:rsidR="00EF1FA9" w:rsidRPr="00EF1FA9" w:rsidRDefault="00EF1FA9" w:rsidP="00B10DAA">
      <w:pPr>
        <w:spacing w:after="0" w:line="240" w:lineRule="auto"/>
        <w:ind w:left="0" w:right="0" w:firstLine="0"/>
        <w:rPr>
          <w:rFonts w:eastAsia="Calibri"/>
          <w:color w:val="auto"/>
          <w:sz w:val="22"/>
          <w:szCs w:val="22"/>
          <w:highlight w:val="yellow"/>
          <w:lang w:val="en-US" w:eastAsia="en-US"/>
        </w:rPr>
      </w:pPr>
      <w:bookmarkStart w:id="1" w:name="_Hlk198031404"/>
      <w:r w:rsidRPr="00EF1FA9">
        <w:rPr>
          <w:rFonts w:eastAsia="Calibri"/>
          <w:color w:val="auto"/>
          <w:sz w:val="22"/>
          <w:szCs w:val="22"/>
          <w:highlight w:val="yellow"/>
          <w:lang w:val="en-US" w:eastAsia="en-US"/>
        </w:rPr>
        <w:t>Disclaimer (Artificial intelligence)</w:t>
      </w:r>
    </w:p>
    <w:p w14:paraId="3C920558" w14:textId="77777777" w:rsidR="00EF1FA9" w:rsidRPr="00EF1FA9" w:rsidRDefault="00EF1FA9" w:rsidP="00B10DAA">
      <w:pPr>
        <w:spacing w:after="0" w:line="240" w:lineRule="auto"/>
        <w:ind w:left="0" w:right="0" w:firstLine="0"/>
        <w:rPr>
          <w:rFonts w:eastAsia="Calibri"/>
          <w:color w:val="auto"/>
          <w:sz w:val="22"/>
          <w:szCs w:val="22"/>
          <w:highlight w:val="yellow"/>
          <w:lang w:val="en-US" w:eastAsia="en-US"/>
        </w:rPr>
      </w:pPr>
    </w:p>
    <w:p w14:paraId="48E3D8EF" w14:textId="77777777" w:rsidR="00EF1FA9" w:rsidRPr="00EF1FA9" w:rsidRDefault="00EF1FA9" w:rsidP="00B10DAA">
      <w:pPr>
        <w:spacing w:after="0" w:line="240" w:lineRule="auto"/>
        <w:ind w:left="0" w:right="0" w:firstLine="0"/>
        <w:rPr>
          <w:rFonts w:eastAsia="Calibri"/>
          <w:color w:val="auto"/>
          <w:sz w:val="22"/>
          <w:szCs w:val="22"/>
          <w:highlight w:val="yellow"/>
          <w:lang w:val="en-US" w:eastAsia="en-US"/>
        </w:rPr>
      </w:pPr>
      <w:r w:rsidRPr="00EF1FA9">
        <w:rPr>
          <w:rFonts w:eastAsia="Calibri"/>
          <w:color w:val="auto"/>
          <w:sz w:val="22"/>
          <w:szCs w:val="22"/>
          <w:highlight w:val="yellow"/>
          <w:lang w:val="en-US" w:eastAsia="en-US"/>
        </w:rPr>
        <w:t>Author(s) hereby declare that NO generative AI technologies such as Large Language Models (</w:t>
      </w:r>
      <w:proofErr w:type="spellStart"/>
      <w:r w:rsidRPr="00EF1FA9">
        <w:rPr>
          <w:rFonts w:eastAsia="Calibri"/>
          <w:color w:val="auto"/>
          <w:sz w:val="22"/>
          <w:szCs w:val="22"/>
          <w:highlight w:val="yellow"/>
          <w:lang w:val="en-US" w:eastAsia="en-US"/>
        </w:rPr>
        <w:t>ChatGPT</w:t>
      </w:r>
      <w:proofErr w:type="spellEnd"/>
      <w:r w:rsidRPr="00EF1FA9">
        <w:rPr>
          <w:rFonts w:eastAsia="Calibri"/>
          <w:color w:val="auto"/>
          <w:sz w:val="22"/>
          <w:szCs w:val="22"/>
          <w:highlight w:val="yellow"/>
          <w:lang w:val="en-US" w:eastAsia="en-US"/>
        </w:rPr>
        <w:t xml:space="preserve">, COPILOT, etc.) and text-to-image generators have been used during the writing or editing of this manuscript. </w:t>
      </w:r>
    </w:p>
    <w:bookmarkEnd w:id="1"/>
    <w:p w14:paraId="151994FA" w14:textId="77777777" w:rsidR="00AC1D8B" w:rsidRPr="00AC1D8B" w:rsidRDefault="00AC1D8B" w:rsidP="00B10DAA">
      <w:pPr>
        <w:spacing w:before="100" w:beforeAutospacing="1" w:after="100" w:afterAutospacing="1" w:line="240" w:lineRule="auto"/>
        <w:ind w:left="0" w:right="0" w:firstLine="0"/>
        <w:rPr>
          <w:color w:val="auto"/>
          <w:kern w:val="0"/>
          <w:lang w:val="en-US" w:eastAsia="en-US"/>
        </w:rPr>
      </w:pPr>
    </w:p>
    <w:p w14:paraId="1174E96E" w14:textId="77777777" w:rsidR="008C591C" w:rsidRPr="00AF6FEA" w:rsidRDefault="008C591C" w:rsidP="00B10DAA">
      <w:pPr>
        <w:pStyle w:val="Heading2"/>
        <w:jc w:val="both"/>
        <w:rPr>
          <w:lang w:val="en-GB"/>
        </w:rPr>
      </w:pPr>
      <w:r w:rsidRPr="00AF6FEA">
        <w:rPr>
          <w:lang w:val="en-GB"/>
        </w:rPr>
        <w:t xml:space="preserve">References </w:t>
      </w:r>
    </w:p>
    <w:p w14:paraId="4D2BD3B0" w14:textId="77777777" w:rsidR="00F62CC5" w:rsidRPr="00AF6FEA" w:rsidRDefault="00F62CC5" w:rsidP="00B10DAA">
      <w:pPr>
        <w:pStyle w:val="NormalWeb"/>
        <w:jc w:val="both"/>
        <w:rPr>
          <w:lang w:val="en-GB"/>
        </w:rPr>
      </w:pPr>
      <w:proofErr w:type="spellStart"/>
      <w:r w:rsidRPr="00AF6FEA">
        <w:rPr>
          <w:lang w:val="en-GB"/>
        </w:rPr>
        <w:t>Abudayyeh</w:t>
      </w:r>
      <w:proofErr w:type="spellEnd"/>
      <w:r w:rsidRPr="00AF6FEA">
        <w:rPr>
          <w:lang w:val="en-GB"/>
        </w:rPr>
        <w:t xml:space="preserve">, O. O., </w:t>
      </w:r>
      <w:proofErr w:type="spellStart"/>
      <w:r w:rsidRPr="00AF6FEA">
        <w:rPr>
          <w:lang w:val="en-GB"/>
        </w:rPr>
        <w:t>Gootenberg</w:t>
      </w:r>
      <w:proofErr w:type="spellEnd"/>
      <w:r w:rsidRPr="00AF6FEA">
        <w:rPr>
          <w:lang w:val="en-GB"/>
        </w:rPr>
        <w:t xml:space="preserve">, J. S., </w:t>
      </w:r>
      <w:proofErr w:type="spellStart"/>
      <w:r w:rsidRPr="00AF6FEA">
        <w:rPr>
          <w:lang w:val="en-GB"/>
        </w:rPr>
        <w:t>Konermann</w:t>
      </w:r>
      <w:proofErr w:type="spellEnd"/>
      <w:r w:rsidRPr="00AF6FEA">
        <w:rPr>
          <w:lang w:val="en-GB"/>
        </w:rPr>
        <w:t xml:space="preserve">, S., </w:t>
      </w:r>
      <w:proofErr w:type="spellStart"/>
      <w:r w:rsidRPr="00AF6FEA">
        <w:rPr>
          <w:lang w:val="en-GB"/>
        </w:rPr>
        <w:t>Joung</w:t>
      </w:r>
      <w:proofErr w:type="spellEnd"/>
      <w:r w:rsidRPr="00AF6FEA">
        <w:rPr>
          <w:lang w:val="en-GB"/>
        </w:rPr>
        <w:t xml:space="preserve">, J., </w:t>
      </w:r>
      <w:proofErr w:type="spellStart"/>
      <w:r w:rsidRPr="00AF6FEA">
        <w:rPr>
          <w:lang w:val="en-GB"/>
        </w:rPr>
        <w:t>Slaymaker</w:t>
      </w:r>
      <w:proofErr w:type="spellEnd"/>
      <w:r w:rsidRPr="00AF6FEA">
        <w:rPr>
          <w:lang w:val="en-GB"/>
        </w:rPr>
        <w:t xml:space="preserve">, I. M., Cox, D. B. T., </w:t>
      </w:r>
      <w:proofErr w:type="spellStart"/>
      <w:r w:rsidRPr="00AF6FEA">
        <w:rPr>
          <w:lang w:val="en-GB"/>
        </w:rPr>
        <w:t>Shmakov</w:t>
      </w:r>
      <w:proofErr w:type="spellEnd"/>
      <w:r w:rsidRPr="00AF6FEA">
        <w:rPr>
          <w:lang w:val="en-GB"/>
        </w:rPr>
        <w:t xml:space="preserve">, S., Makarova, K. S., </w:t>
      </w:r>
      <w:proofErr w:type="spellStart"/>
      <w:r w:rsidRPr="00AF6FEA">
        <w:rPr>
          <w:lang w:val="en-GB"/>
        </w:rPr>
        <w:t>Semenova</w:t>
      </w:r>
      <w:proofErr w:type="spellEnd"/>
      <w:r w:rsidRPr="00AF6FEA">
        <w:rPr>
          <w:lang w:val="en-GB"/>
        </w:rPr>
        <w:t xml:space="preserve">, E., </w:t>
      </w:r>
      <w:proofErr w:type="spellStart"/>
      <w:r w:rsidRPr="00AF6FEA">
        <w:rPr>
          <w:lang w:val="en-GB"/>
        </w:rPr>
        <w:t>Minakhin</w:t>
      </w:r>
      <w:proofErr w:type="spellEnd"/>
      <w:r w:rsidRPr="00AF6FEA">
        <w:rPr>
          <w:lang w:val="en-GB"/>
        </w:rPr>
        <w:t xml:space="preserve">, L., </w:t>
      </w:r>
      <w:proofErr w:type="spellStart"/>
      <w:r w:rsidRPr="00AF6FEA">
        <w:rPr>
          <w:lang w:val="en-GB"/>
        </w:rPr>
        <w:t>Severinov</w:t>
      </w:r>
      <w:proofErr w:type="spellEnd"/>
      <w:r w:rsidRPr="00AF6FEA">
        <w:rPr>
          <w:lang w:val="en-GB"/>
        </w:rPr>
        <w:t xml:space="preserve">, K., Regev, A., Lander, E. S., </w:t>
      </w:r>
      <w:proofErr w:type="spellStart"/>
      <w:r w:rsidRPr="00AF6FEA">
        <w:rPr>
          <w:lang w:val="en-GB"/>
        </w:rPr>
        <w:t>Koonin</w:t>
      </w:r>
      <w:proofErr w:type="spellEnd"/>
      <w:r w:rsidRPr="00AF6FEA">
        <w:rPr>
          <w:lang w:val="en-GB"/>
        </w:rPr>
        <w:t xml:space="preserve">, E. V., &amp; Zhang, F. (2016). C2c2 is a single-component programmable RNA-guided RNA-targeting CRISPR effector. </w:t>
      </w:r>
      <w:r w:rsidRPr="00AF6FEA">
        <w:rPr>
          <w:rStyle w:val="Emphasis"/>
          <w:lang w:val="en-GB"/>
        </w:rPr>
        <w:t>Science, 353</w:t>
      </w:r>
      <w:r w:rsidRPr="00AF6FEA">
        <w:rPr>
          <w:lang w:val="en-GB"/>
        </w:rPr>
        <w:t xml:space="preserve">(6299), aaf5573. </w:t>
      </w:r>
      <w:hyperlink r:id="rId8" w:history="1">
        <w:r w:rsidRPr="00AF6FEA">
          <w:rPr>
            <w:rStyle w:val="Hyperlink"/>
            <w:lang w:val="en-GB"/>
          </w:rPr>
          <w:t>https://doi.org/10.1126/science.aaf5573</w:t>
        </w:r>
      </w:hyperlink>
      <w:r w:rsidRPr="00AF6FEA">
        <w:rPr>
          <w:lang w:val="en-GB"/>
        </w:rPr>
        <w:t xml:space="preserve">  </w:t>
      </w:r>
    </w:p>
    <w:p w14:paraId="2564DFA8" w14:textId="77777777" w:rsidR="00F62CC5" w:rsidRDefault="00F62CC5" w:rsidP="00B10DAA">
      <w:pPr>
        <w:pStyle w:val="NormalWeb"/>
        <w:jc w:val="both"/>
      </w:pPr>
      <w:proofErr w:type="spellStart"/>
      <w:r>
        <w:t>Akter</w:t>
      </w:r>
      <w:proofErr w:type="spellEnd"/>
      <w:r>
        <w:t xml:space="preserve">, F., &amp; Kumar, S. (2024). </w:t>
      </w:r>
      <w:r>
        <w:rPr>
          <w:rStyle w:val="Emphasis"/>
        </w:rPr>
        <w:t>CRISPR-Cas9: A cutting-edge genome-editing technology with many potential applications</w:t>
      </w:r>
      <w:r>
        <w:t xml:space="preserve">. </w:t>
      </w:r>
      <w:r w:rsidRPr="00F62CC5">
        <w:rPr>
          <w:rStyle w:val="Strong"/>
          <w:b w:val="0"/>
        </w:rPr>
        <w:t>Journal of Advances in Biology &amp; Biotechnology,</w:t>
      </w:r>
      <w:r>
        <w:rPr>
          <w:rStyle w:val="Strong"/>
        </w:rPr>
        <w:t xml:space="preserve"> 27</w:t>
      </w:r>
      <w:r>
        <w:t xml:space="preserve">(11), 59–73. </w:t>
      </w:r>
      <w:hyperlink r:id="rId9" w:history="1">
        <w:r w:rsidRPr="009571B8">
          <w:rPr>
            <w:rStyle w:val="Hyperlink"/>
          </w:rPr>
          <w:t>https://doi.org/10.9734/jabb/2024/v27i111591</w:t>
        </w:r>
      </w:hyperlink>
      <w:r>
        <w:t xml:space="preserve"> </w:t>
      </w:r>
    </w:p>
    <w:p w14:paraId="29E4E5E8" w14:textId="77777777" w:rsidR="00F62CC5" w:rsidRPr="00AF6FEA" w:rsidRDefault="00F62CC5" w:rsidP="00B10DAA">
      <w:pPr>
        <w:pStyle w:val="NormalWeb"/>
        <w:jc w:val="both"/>
        <w:rPr>
          <w:lang w:val="en-GB"/>
        </w:rPr>
      </w:pPr>
      <w:r w:rsidRPr="00AF6FEA">
        <w:rPr>
          <w:lang w:val="en-GB"/>
        </w:rPr>
        <w:t xml:space="preserve">Anzalone, A. V., Randolph, P. B., Davis, J. R., Sousa, A. A., </w:t>
      </w:r>
      <w:proofErr w:type="spellStart"/>
      <w:r w:rsidRPr="00AF6FEA">
        <w:rPr>
          <w:lang w:val="en-GB"/>
        </w:rPr>
        <w:t>Koblan</w:t>
      </w:r>
      <w:proofErr w:type="spellEnd"/>
      <w:r w:rsidRPr="00AF6FEA">
        <w:rPr>
          <w:lang w:val="en-GB"/>
        </w:rPr>
        <w:t xml:space="preserve">, L. W., Levy, J. M., Chen, P. J., Wilson, C., Newby, G. A., </w:t>
      </w:r>
      <w:proofErr w:type="spellStart"/>
      <w:r w:rsidRPr="00AF6FEA">
        <w:rPr>
          <w:lang w:val="en-GB"/>
        </w:rPr>
        <w:t>Raguram</w:t>
      </w:r>
      <w:proofErr w:type="spellEnd"/>
      <w:r w:rsidRPr="00AF6FEA">
        <w:rPr>
          <w:lang w:val="en-GB"/>
        </w:rPr>
        <w:t xml:space="preserve">, A., &amp; Liu, D. R. (2019). Search-and-replace genome editing without double-strand breaks or donor DNA. </w:t>
      </w:r>
      <w:r w:rsidRPr="00AF6FEA">
        <w:rPr>
          <w:rStyle w:val="Emphasis"/>
          <w:lang w:val="en-GB"/>
        </w:rPr>
        <w:t>Nature, 576</w:t>
      </w:r>
      <w:r w:rsidRPr="00AF6FEA">
        <w:rPr>
          <w:lang w:val="en-GB"/>
        </w:rPr>
        <w:t xml:space="preserve">(7785), 149–157. </w:t>
      </w:r>
      <w:hyperlink r:id="rId10" w:tgtFrame="_new" w:history="1">
        <w:r w:rsidRPr="00AF6FEA">
          <w:rPr>
            <w:rStyle w:val="Hyperlink"/>
            <w:lang w:val="en-GB"/>
          </w:rPr>
          <w:t>https://doi.org/10.1038/s41586-019-1711-4</w:t>
        </w:r>
      </w:hyperlink>
      <w:r w:rsidRPr="00AF6FEA">
        <w:rPr>
          <w:lang w:val="en-GB"/>
        </w:rPr>
        <w:t xml:space="preserve"> </w:t>
      </w:r>
    </w:p>
    <w:p w14:paraId="4D54BFC2" w14:textId="77777777" w:rsidR="00F62CC5" w:rsidRPr="00EF1FA9" w:rsidRDefault="00F62CC5" w:rsidP="00B10DAA">
      <w:pPr>
        <w:pStyle w:val="NormalWeb"/>
        <w:jc w:val="both"/>
        <w:rPr>
          <w:lang w:val="fr-FR"/>
        </w:rPr>
      </w:pPr>
      <w:r w:rsidRPr="00AF6FEA">
        <w:rPr>
          <w:lang w:val="en-GB"/>
        </w:rPr>
        <w:t xml:space="preserve">Baltimore, D., Berg, P., </w:t>
      </w:r>
      <w:proofErr w:type="spellStart"/>
      <w:r w:rsidRPr="00AF6FEA">
        <w:rPr>
          <w:lang w:val="en-GB"/>
        </w:rPr>
        <w:t>Botchan</w:t>
      </w:r>
      <w:proofErr w:type="spellEnd"/>
      <w:r w:rsidRPr="00AF6FEA">
        <w:rPr>
          <w:lang w:val="en-GB"/>
        </w:rPr>
        <w:t xml:space="preserve">, M., Carroll, D., </w:t>
      </w:r>
      <w:proofErr w:type="spellStart"/>
      <w:r w:rsidRPr="00AF6FEA">
        <w:rPr>
          <w:lang w:val="en-GB"/>
        </w:rPr>
        <w:t>Charo</w:t>
      </w:r>
      <w:proofErr w:type="spellEnd"/>
      <w:r w:rsidRPr="00AF6FEA">
        <w:rPr>
          <w:lang w:val="en-GB"/>
        </w:rPr>
        <w:t xml:space="preserve">, R. A., Church, G., Corn, J. E., Daley, G. Q., </w:t>
      </w:r>
      <w:proofErr w:type="spellStart"/>
      <w:r w:rsidRPr="00AF6FEA">
        <w:rPr>
          <w:lang w:val="en-GB"/>
        </w:rPr>
        <w:t>Doudna</w:t>
      </w:r>
      <w:proofErr w:type="spellEnd"/>
      <w:r w:rsidRPr="00AF6FEA">
        <w:rPr>
          <w:lang w:val="en-GB"/>
        </w:rPr>
        <w:t xml:space="preserve">, J. A., </w:t>
      </w:r>
      <w:proofErr w:type="spellStart"/>
      <w:r w:rsidRPr="00AF6FEA">
        <w:rPr>
          <w:lang w:val="en-GB"/>
        </w:rPr>
        <w:t>Fenner</w:t>
      </w:r>
      <w:proofErr w:type="spellEnd"/>
      <w:r w:rsidRPr="00AF6FEA">
        <w:rPr>
          <w:lang w:val="en-GB"/>
        </w:rPr>
        <w:t xml:space="preserve">, M., Greely, H. T., </w:t>
      </w:r>
      <w:proofErr w:type="spellStart"/>
      <w:r w:rsidRPr="00AF6FEA">
        <w:rPr>
          <w:lang w:val="en-GB"/>
        </w:rPr>
        <w:t>Jinek</w:t>
      </w:r>
      <w:proofErr w:type="spellEnd"/>
      <w:r w:rsidRPr="00AF6FEA">
        <w:rPr>
          <w:lang w:val="en-GB"/>
        </w:rPr>
        <w:t xml:space="preserve">, M., Martin, G. S., </w:t>
      </w:r>
      <w:proofErr w:type="spellStart"/>
      <w:r w:rsidRPr="00AF6FEA">
        <w:rPr>
          <w:lang w:val="en-GB"/>
        </w:rPr>
        <w:t>Penhoet</w:t>
      </w:r>
      <w:proofErr w:type="spellEnd"/>
      <w:r w:rsidRPr="00AF6FEA">
        <w:rPr>
          <w:lang w:val="en-GB"/>
        </w:rPr>
        <w:t xml:space="preserve">, E., Puck, J., Sternberg, S. H., Weissman, J. S., &amp; Yamamoto, K. R. (2015). A prudent path forward for genomic engineering and germline gene modification. </w:t>
      </w:r>
      <w:r w:rsidRPr="00EF1FA9">
        <w:rPr>
          <w:rStyle w:val="Emphasis"/>
          <w:lang w:val="fr-FR"/>
        </w:rPr>
        <w:t>Science, 348</w:t>
      </w:r>
      <w:r w:rsidRPr="00EF1FA9">
        <w:rPr>
          <w:lang w:val="fr-FR"/>
        </w:rPr>
        <w:t xml:space="preserve">(6230), 36–38. </w:t>
      </w:r>
      <w:hyperlink r:id="rId11" w:history="1">
        <w:r w:rsidRPr="00EF1FA9">
          <w:rPr>
            <w:rStyle w:val="Hyperlink"/>
            <w:lang w:val="fr-FR"/>
          </w:rPr>
          <w:t>https://doi.org/10.1126/science.aab1028</w:t>
        </w:r>
      </w:hyperlink>
      <w:r w:rsidRPr="00EF1FA9">
        <w:rPr>
          <w:lang w:val="fr-FR"/>
        </w:rPr>
        <w:t xml:space="preserve">  </w:t>
      </w:r>
    </w:p>
    <w:p w14:paraId="474D6472" w14:textId="77777777" w:rsidR="00F62CC5" w:rsidRPr="00AF6FEA" w:rsidRDefault="00F62CC5" w:rsidP="00B10DAA">
      <w:pPr>
        <w:pStyle w:val="NormalWeb"/>
        <w:jc w:val="both"/>
        <w:rPr>
          <w:lang w:val="en-GB"/>
        </w:rPr>
      </w:pPr>
      <w:proofErr w:type="spellStart"/>
      <w:r w:rsidRPr="00EF1FA9">
        <w:rPr>
          <w:lang w:val="fr-FR"/>
        </w:rPr>
        <w:t>Barrangou</w:t>
      </w:r>
      <w:proofErr w:type="spellEnd"/>
      <w:r w:rsidRPr="00EF1FA9">
        <w:rPr>
          <w:lang w:val="fr-FR"/>
        </w:rPr>
        <w:t xml:space="preserve">, R., </w:t>
      </w:r>
      <w:proofErr w:type="spellStart"/>
      <w:r w:rsidRPr="00EF1FA9">
        <w:rPr>
          <w:lang w:val="fr-FR"/>
        </w:rPr>
        <w:t>Fremaux</w:t>
      </w:r>
      <w:proofErr w:type="spellEnd"/>
      <w:r w:rsidRPr="00EF1FA9">
        <w:rPr>
          <w:lang w:val="fr-FR"/>
        </w:rPr>
        <w:t xml:space="preserve">, C., Deveau, H., Richards, M., Boyaval, P., Moineau, S., Romero, D. A., &amp; Horvath, P. (2007). </w:t>
      </w:r>
      <w:r w:rsidRPr="00AF6FEA">
        <w:rPr>
          <w:lang w:val="en-GB"/>
        </w:rPr>
        <w:t xml:space="preserve">CRISPR provides acquired resistance against viruses in prokaryotes. </w:t>
      </w:r>
      <w:r w:rsidRPr="00AF6FEA">
        <w:rPr>
          <w:rStyle w:val="Emphasis"/>
          <w:lang w:val="en-GB"/>
        </w:rPr>
        <w:t>Science, 315</w:t>
      </w:r>
      <w:r w:rsidRPr="00AF6FEA">
        <w:rPr>
          <w:lang w:val="en-GB"/>
        </w:rPr>
        <w:t xml:space="preserve">(5819), 1709–1712. </w:t>
      </w:r>
      <w:hyperlink r:id="rId12" w:history="1">
        <w:r w:rsidRPr="00AF6FEA">
          <w:rPr>
            <w:rStyle w:val="Hyperlink"/>
            <w:lang w:val="en-GB"/>
          </w:rPr>
          <w:t>https://doi.org/10.1126/science.1138140</w:t>
        </w:r>
      </w:hyperlink>
      <w:r w:rsidRPr="00AF6FEA">
        <w:rPr>
          <w:lang w:val="en-GB"/>
        </w:rPr>
        <w:t xml:space="preserve">  </w:t>
      </w:r>
    </w:p>
    <w:p w14:paraId="7F1343A0" w14:textId="77777777" w:rsidR="00F62CC5" w:rsidRPr="00AF6FEA" w:rsidRDefault="00F62CC5" w:rsidP="00B10DAA">
      <w:pPr>
        <w:pStyle w:val="NormalWeb"/>
        <w:jc w:val="both"/>
        <w:rPr>
          <w:lang w:val="en-GB"/>
        </w:rPr>
      </w:pPr>
      <w:proofErr w:type="spellStart"/>
      <w:r w:rsidRPr="00AF6FEA">
        <w:rPr>
          <w:lang w:val="en-GB"/>
        </w:rPr>
        <w:t>Bondy-Denomy</w:t>
      </w:r>
      <w:proofErr w:type="spellEnd"/>
      <w:r w:rsidRPr="00AF6FEA">
        <w:rPr>
          <w:lang w:val="en-GB"/>
        </w:rPr>
        <w:t xml:space="preserve">, J., </w:t>
      </w:r>
      <w:proofErr w:type="spellStart"/>
      <w:r w:rsidRPr="00AF6FEA">
        <w:rPr>
          <w:lang w:val="en-GB"/>
        </w:rPr>
        <w:t>Pawluk</w:t>
      </w:r>
      <w:proofErr w:type="spellEnd"/>
      <w:r w:rsidRPr="00AF6FEA">
        <w:rPr>
          <w:lang w:val="en-GB"/>
        </w:rPr>
        <w:t xml:space="preserve">, A., Maxwell, K. L., &amp; Davidson, A. R. (2013). Bacteriophage genes that inactivate the CRISPR/Cas bacterial immune system. </w:t>
      </w:r>
      <w:r w:rsidRPr="00AF6FEA">
        <w:rPr>
          <w:rStyle w:val="Emphasis"/>
          <w:lang w:val="en-GB"/>
        </w:rPr>
        <w:t>Nature, 493</w:t>
      </w:r>
      <w:r w:rsidRPr="00AF6FEA">
        <w:rPr>
          <w:lang w:val="en-GB"/>
        </w:rPr>
        <w:t xml:space="preserve">(7432), 429–432. </w:t>
      </w:r>
      <w:hyperlink r:id="rId13" w:history="1">
        <w:r w:rsidRPr="00AF6FEA">
          <w:rPr>
            <w:rStyle w:val="Hyperlink"/>
            <w:lang w:val="en-GB"/>
          </w:rPr>
          <w:t>https://doi.org/10.1038/nature11723</w:t>
        </w:r>
      </w:hyperlink>
      <w:r w:rsidRPr="00AF6FEA">
        <w:rPr>
          <w:lang w:val="en-GB"/>
        </w:rPr>
        <w:t xml:space="preserve">  </w:t>
      </w:r>
    </w:p>
    <w:p w14:paraId="211645A4" w14:textId="77777777" w:rsidR="00F62CC5" w:rsidRPr="00AF6FEA" w:rsidRDefault="00F62CC5" w:rsidP="00B10DAA">
      <w:pPr>
        <w:pStyle w:val="NormalWeb"/>
        <w:jc w:val="both"/>
        <w:rPr>
          <w:lang w:val="en-GB"/>
        </w:rPr>
      </w:pPr>
      <w:proofErr w:type="spellStart"/>
      <w:r w:rsidRPr="00AF6FEA">
        <w:rPr>
          <w:lang w:val="en-GB"/>
        </w:rPr>
        <w:t>Brouns</w:t>
      </w:r>
      <w:proofErr w:type="spellEnd"/>
      <w:r w:rsidRPr="00AF6FEA">
        <w:rPr>
          <w:lang w:val="en-GB"/>
        </w:rPr>
        <w:t xml:space="preserve">, S. J. J., </w:t>
      </w:r>
      <w:proofErr w:type="spellStart"/>
      <w:r w:rsidRPr="00AF6FEA">
        <w:rPr>
          <w:lang w:val="en-GB"/>
        </w:rPr>
        <w:t>Jore</w:t>
      </w:r>
      <w:proofErr w:type="spellEnd"/>
      <w:r w:rsidRPr="00AF6FEA">
        <w:rPr>
          <w:lang w:val="en-GB"/>
        </w:rPr>
        <w:t xml:space="preserve">, M. M., Lundgren, M., </w:t>
      </w:r>
      <w:proofErr w:type="spellStart"/>
      <w:r w:rsidRPr="00AF6FEA">
        <w:rPr>
          <w:lang w:val="en-GB"/>
        </w:rPr>
        <w:t>Westra</w:t>
      </w:r>
      <w:proofErr w:type="spellEnd"/>
      <w:r w:rsidRPr="00AF6FEA">
        <w:rPr>
          <w:lang w:val="en-GB"/>
        </w:rPr>
        <w:t xml:space="preserve">, E. R., </w:t>
      </w:r>
      <w:proofErr w:type="spellStart"/>
      <w:r w:rsidRPr="00AF6FEA">
        <w:rPr>
          <w:lang w:val="en-GB"/>
        </w:rPr>
        <w:t>Slijkhuis</w:t>
      </w:r>
      <w:proofErr w:type="spellEnd"/>
      <w:r w:rsidRPr="00AF6FEA">
        <w:rPr>
          <w:lang w:val="en-GB"/>
        </w:rPr>
        <w:t xml:space="preserve">, R. J. H., </w:t>
      </w:r>
      <w:proofErr w:type="spellStart"/>
      <w:r w:rsidRPr="00AF6FEA">
        <w:rPr>
          <w:lang w:val="en-GB"/>
        </w:rPr>
        <w:t>Snijders</w:t>
      </w:r>
      <w:proofErr w:type="spellEnd"/>
      <w:r w:rsidRPr="00AF6FEA">
        <w:rPr>
          <w:lang w:val="en-GB"/>
        </w:rPr>
        <w:t xml:space="preserve">, A. P. L., Dickman, M. J., Makarova, K. S., </w:t>
      </w:r>
      <w:proofErr w:type="spellStart"/>
      <w:r w:rsidRPr="00AF6FEA">
        <w:rPr>
          <w:lang w:val="en-GB"/>
        </w:rPr>
        <w:t>Koonin</w:t>
      </w:r>
      <w:proofErr w:type="spellEnd"/>
      <w:r w:rsidRPr="00AF6FEA">
        <w:rPr>
          <w:lang w:val="en-GB"/>
        </w:rPr>
        <w:t xml:space="preserve">, E. V., &amp; van der Oost, J. (2008). Small </w:t>
      </w:r>
      <w:r w:rsidRPr="00AF6FEA">
        <w:rPr>
          <w:lang w:val="en-GB"/>
        </w:rPr>
        <w:lastRenderedPageBreak/>
        <w:t xml:space="preserve">CRISPR RNAs guide antiviral </w:t>
      </w:r>
      <w:proofErr w:type="spellStart"/>
      <w:r w:rsidRPr="00AF6FEA">
        <w:rPr>
          <w:lang w:val="en-GB"/>
        </w:rPr>
        <w:t>defense</w:t>
      </w:r>
      <w:proofErr w:type="spellEnd"/>
      <w:r w:rsidRPr="00AF6FEA">
        <w:rPr>
          <w:lang w:val="en-GB"/>
        </w:rPr>
        <w:t xml:space="preserve"> in prokaryotes. </w:t>
      </w:r>
      <w:r w:rsidRPr="00AF6FEA">
        <w:rPr>
          <w:rStyle w:val="Emphasis"/>
          <w:lang w:val="en-GB"/>
        </w:rPr>
        <w:t>Science, 321</w:t>
      </w:r>
      <w:r w:rsidRPr="00AF6FEA">
        <w:rPr>
          <w:lang w:val="en-GB"/>
        </w:rPr>
        <w:t xml:space="preserve">(5891), 960–964. </w:t>
      </w:r>
      <w:hyperlink r:id="rId14" w:history="1">
        <w:r w:rsidRPr="00AF6FEA">
          <w:rPr>
            <w:rStyle w:val="Hyperlink"/>
            <w:lang w:val="en-GB"/>
          </w:rPr>
          <w:t>https://doi.org/10.1126/science.1159689</w:t>
        </w:r>
      </w:hyperlink>
      <w:r w:rsidRPr="00AF6FEA">
        <w:rPr>
          <w:lang w:val="en-GB"/>
        </w:rPr>
        <w:t xml:space="preserve">  </w:t>
      </w:r>
    </w:p>
    <w:p w14:paraId="6E7A696F" w14:textId="77777777" w:rsidR="00F62CC5" w:rsidRPr="00AF6FEA" w:rsidRDefault="00F62CC5" w:rsidP="00B10DAA">
      <w:pPr>
        <w:pStyle w:val="NormalWeb"/>
        <w:jc w:val="both"/>
        <w:rPr>
          <w:lang w:val="en-GB"/>
        </w:rPr>
      </w:pPr>
      <w:r w:rsidRPr="00AF6FEA">
        <w:rPr>
          <w:lang w:val="en-GB"/>
        </w:rPr>
        <w:t xml:space="preserve">Chakraborty, C., Bhattacharya, M., Das, A., </w:t>
      </w:r>
      <w:proofErr w:type="spellStart"/>
      <w:r w:rsidRPr="00AF6FEA">
        <w:rPr>
          <w:lang w:val="en-GB"/>
        </w:rPr>
        <w:t>Agoramoorthy</w:t>
      </w:r>
      <w:proofErr w:type="spellEnd"/>
      <w:r w:rsidRPr="00AF6FEA">
        <w:rPr>
          <w:lang w:val="en-GB"/>
        </w:rPr>
        <w:t xml:space="preserve">, G., &amp; Lee, S.-S. (2026). CRISPR-Cas9-mediated therapeutics: Current clinical trials and therapy approval landscape to treat human diseases. </w:t>
      </w:r>
      <w:r w:rsidRPr="00AF6FEA">
        <w:rPr>
          <w:rStyle w:val="Emphasis"/>
          <w:lang w:val="en-GB"/>
        </w:rPr>
        <w:t>Molecular Therapy – Nucleic Acids</w:t>
      </w:r>
      <w:r w:rsidRPr="00AF6FEA">
        <w:rPr>
          <w:lang w:val="en-GB"/>
        </w:rPr>
        <w:t xml:space="preserve">, 102859. </w:t>
      </w:r>
      <w:hyperlink r:id="rId15" w:history="1">
        <w:r w:rsidRPr="00AF6FEA">
          <w:rPr>
            <w:rStyle w:val="Hyperlink"/>
            <w:lang w:val="en-GB"/>
          </w:rPr>
          <w:t>https://doi.org/10.1016/j.omtn.2026.102859</w:t>
        </w:r>
      </w:hyperlink>
      <w:r w:rsidRPr="00AF6FEA">
        <w:rPr>
          <w:lang w:val="en-GB"/>
        </w:rPr>
        <w:t xml:space="preserve">  </w:t>
      </w:r>
    </w:p>
    <w:p w14:paraId="692BC4C1" w14:textId="77777777" w:rsidR="00F62CC5" w:rsidRPr="00AF6FEA" w:rsidRDefault="00F62CC5" w:rsidP="00B10DAA">
      <w:pPr>
        <w:pStyle w:val="NormalWeb"/>
        <w:jc w:val="both"/>
        <w:rPr>
          <w:lang w:val="en-GB"/>
        </w:rPr>
      </w:pPr>
      <w:r w:rsidRPr="00AF6FEA">
        <w:rPr>
          <w:lang w:val="en-GB"/>
        </w:rPr>
        <w:t xml:space="preserve">Charlesworth, C. T., Deshpande, P. S., </w:t>
      </w:r>
      <w:proofErr w:type="spellStart"/>
      <w:r w:rsidRPr="00AF6FEA">
        <w:rPr>
          <w:lang w:val="en-GB"/>
        </w:rPr>
        <w:t>Dever</w:t>
      </w:r>
      <w:proofErr w:type="spellEnd"/>
      <w:r w:rsidRPr="00AF6FEA">
        <w:rPr>
          <w:lang w:val="en-GB"/>
        </w:rPr>
        <w:t xml:space="preserve">, D. P., Camarena, J., </w:t>
      </w:r>
      <w:proofErr w:type="spellStart"/>
      <w:r w:rsidRPr="00AF6FEA">
        <w:rPr>
          <w:lang w:val="en-GB"/>
        </w:rPr>
        <w:t>Lemgart</w:t>
      </w:r>
      <w:proofErr w:type="spellEnd"/>
      <w:r w:rsidRPr="00AF6FEA">
        <w:rPr>
          <w:lang w:val="en-GB"/>
        </w:rPr>
        <w:t xml:space="preserve">, V. T., Cromer, M. K., </w:t>
      </w:r>
      <w:proofErr w:type="spellStart"/>
      <w:r w:rsidRPr="00AF6FEA">
        <w:rPr>
          <w:lang w:val="en-GB"/>
        </w:rPr>
        <w:t>Vakulskas</w:t>
      </w:r>
      <w:proofErr w:type="spellEnd"/>
      <w:r w:rsidRPr="00AF6FEA">
        <w:rPr>
          <w:lang w:val="en-GB"/>
        </w:rPr>
        <w:t xml:space="preserve">, C. A., Collingwood, M. A., Zhang, L., Bode, N. M., </w:t>
      </w:r>
      <w:proofErr w:type="spellStart"/>
      <w:r w:rsidRPr="00AF6FEA">
        <w:rPr>
          <w:lang w:val="en-GB"/>
        </w:rPr>
        <w:t>Behlke</w:t>
      </w:r>
      <w:proofErr w:type="spellEnd"/>
      <w:r w:rsidRPr="00AF6FEA">
        <w:rPr>
          <w:lang w:val="en-GB"/>
        </w:rPr>
        <w:t xml:space="preserve">, M. A., </w:t>
      </w:r>
      <w:proofErr w:type="spellStart"/>
      <w:r w:rsidRPr="00AF6FEA">
        <w:rPr>
          <w:lang w:val="en-GB"/>
        </w:rPr>
        <w:t>Dejene</w:t>
      </w:r>
      <w:proofErr w:type="spellEnd"/>
      <w:r w:rsidRPr="00AF6FEA">
        <w:rPr>
          <w:lang w:val="en-GB"/>
        </w:rPr>
        <w:t xml:space="preserve">, B., </w:t>
      </w:r>
      <w:proofErr w:type="spellStart"/>
      <w:r w:rsidRPr="00AF6FEA">
        <w:rPr>
          <w:lang w:val="en-GB"/>
        </w:rPr>
        <w:t>Cieniewicz</w:t>
      </w:r>
      <w:proofErr w:type="spellEnd"/>
      <w:r w:rsidRPr="00AF6FEA">
        <w:rPr>
          <w:lang w:val="en-GB"/>
        </w:rPr>
        <w:t xml:space="preserve">, B., Romano, R., </w:t>
      </w:r>
      <w:proofErr w:type="spellStart"/>
      <w:r w:rsidRPr="00AF6FEA">
        <w:rPr>
          <w:lang w:val="en-GB"/>
        </w:rPr>
        <w:t>Lesch</w:t>
      </w:r>
      <w:proofErr w:type="spellEnd"/>
      <w:r w:rsidRPr="00AF6FEA">
        <w:rPr>
          <w:lang w:val="en-GB"/>
        </w:rPr>
        <w:t xml:space="preserve">, B. J., Gomez-Ospina, N., Mantri, S., Pavel-Dinu, M., Weinberg, K. I., … </w:t>
      </w:r>
      <w:proofErr w:type="spellStart"/>
      <w:r w:rsidRPr="00AF6FEA">
        <w:rPr>
          <w:lang w:val="en-GB"/>
        </w:rPr>
        <w:t>Porteus</w:t>
      </w:r>
      <w:proofErr w:type="spellEnd"/>
      <w:r w:rsidRPr="00AF6FEA">
        <w:rPr>
          <w:lang w:val="en-GB"/>
        </w:rPr>
        <w:t xml:space="preserve">, M. H. (2019). Identification of </w:t>
      </w:r>
      <w:proofErr w:type="spellStart"/>
      <w:r w:rsidRPr="00AF6FEA">
        <w:rPr>
          <w:lang w:val="en-GB"/>
        </w:rPr>
        <w:t>preexisting</w:t>
      </w:r>
      <w:proofErr w:type="spellEnd"/>
      <w:r w:rsidRPr="00AF6FEA">
        <w:rPr>
          <w:lang w:val="en-GB"/>
        </w:rPr>
        <w:t xml:space="preserve"> adaptive immunity to Cas9 proteins in humans. </w:t>
      </w:r>
      <w:r w:rsidRPr="00AF6FEA">
        <w:rPr>
          <w:rStyle w:val="Emphasis"/>
          <w:lang w:val="en-GB"/>
        </w:rPr>
        <w:t>Nature Medicine, 25</w:t>
      </w:r>
      <w:r w:rsidRPr="00AF6FEA">
        <w:rPr>
          <w:lang w:val="en-GB"/>
        </w:rPr>
        <w:t xml:space="preserve">(2), 249–254. </w:t>
      </w:r>
      <w:hyperlink r:id="rId16" w:history="1">
        <w:r w:rsidRPr="00AF6FEA">
          <w:rPr>
            <w:rStyle w:val="Hyperlink"/>
            <w:lang w:val="en-GB"/>
          </w:rPr>
          <w:t>https://doi.org/10.1038/s41591-018-0326-x</w:t>
        </w:r>
      </w:hyperlink>
      <w:r w:rsidRPr="00AF6FEA">
        <w:rPr>
          <w:lang w:val="en-GB"/>
        </w:rPr>
        <w:t xml:space="preserve">  </w:t>
      </w:r>
    </w:p>
    <w:p w14:paraId="4F27FCA6" w14:textId="77777777" w:rsidR="00F62CC5" w:rsidRPr="00AF6FEA" w:rsidRDefault="00F62CC5" w:rsidP="00B10DAA">
      <w:pPr>
        <w:pStyle w:val="NormalWeb"/>
        <w:jc w:val="both"/>
        <w:rPr>
          <w:lang w:val="en-GB"/>
        </w:rPr>
      </w:pPr>
      <w:r w:rsidRPr="00AF6FEA">
        <w:rPr>
          <w:lang w:val="en-GB"/>
        </w:rPr>
        <w:t xml:space="preserve">Cong, L., Ran, F. A., Cox, D., Lin, S., </w:t>
      </w:r>
      <w:proofErr w:type="spellStart"/>
      <w:r w:rsidRPr="00AF6FEA">
        <w:rPr>
          <w:lang w:val="en-GB"/>
        </w:rPr>
        <w:t>Barretto</w:t>
      </w:r>
      <w:proofErr w:type="spellEnd"/>
      <w:r w:rsidRPr="00AF6FEA">
        <w:rPr>
          <w:lang w:val="en-GB"/>
        </w:rPr>
        <w:t xml:space="preserve">, R., Habib, N., Hsu, P. D., Wu, X., Jiang, W., </w:t>
      </w:r>
      <w:proofErr w:type="spellStart"/>
      <w:r w:rsidRPr="00AF6FEA">
        <w:rPr>
          <w:lang w:val="en-GB"/>
        </w:rPr>
        <w:t>Marraffini</w:t>
      </w:r>
      <w:proofErr w:type="spellEnd"/>
      <w:r w:rsidRPr="00AF6FEA">
        <w:rPr>
          <w:lang w:val="en-GB"/>
        </w:rPr>
        <w:t xml:space="preserve">, L. A., &amp; Zhang, F. (2013). Multiplex genome engineering using CRISPR/Cas systems. </w:t>
      </w:r>
      <w:r w:rsidRPr="00AF6FEA">
        <w:rPr>
          <w:rStyle w:val="Emphasis"/>
          <w:lang w:val="en-GB"/>
        </w:rPr>
        <w:t>Science, 339</w:t>
      </w:r>
      <w:r w:rsidRPr="00AF6FEA">
        <w:rPr>
          <w:lang w:val="en-GB"/>
        </w:rPr>
        <w:t xml:space="preserve">(6121), 819–823. </w:t>
      </w:r>
      <w:hyperlink r:id="rId17" w:tgtFrame="_new" w:history="1">
        <w:r w:rsidRPr="00AF6FEA">
          <w:rPr>
            <w:rStyle w:val="Hyperlink"/>
            <w:lang w:val="en-GB"/>
          </w:rPr>
          <w:t>https://doi.org/10.1126/science.1231143</w:t>
        </w:r>
      </w:hyperlink>
      <w:r w:rsidRPr="00AF6FEA">
        <w:rPr>
          <w:lang w:val="en-GB"/>
        </w:rPr>
        <w:t xml:space="preserve"> </w:t>
      </w:r>
    </w:p>
    <w:p w14:paraId="4C1452A8" w14:textId="77777777" w:rsidR="00F62CC5" w:rsidRPr="00AF6FEA" w:rsidRDefault="00F62CC5" w:rsidP="00B10DAA">
      <w:pPr>
        <w:pStyle w:val="NormalWeb"/>
        <w:jc w:val="both"/>
        <w:rPr>
          <w:lang w:val="en-GB"/>
        </w:rPr>
      </w:pPr>
      <w:r w:rsidRPr="00AF6FEA">
        <w:rPr>
          <w:lang w:val="en-GB"/>
        </w:rPr>
        <w:t xml:space="preserve">Cox, D. B. T., </w:t>
      </w:r>
      <w:proofErr w:type="spellStart"/>
      <w:r w:rsidRPr="00AF6FEA">
        <w:rPr>
          <w:lang w:val="en-GB"/>
        </w:rPr>
        <w:t>Gootenberg</w:t>
      </w:r>
      <w:proofErr w:type="spellEnd"/>
      <w:r w:rsidRPr="00AF6FEA">
        <w:rPr>
          <w:lang w:val="en-GB"/>
        </w:rPr>
        <w:t xml:space="preserve">, J. S., </w:t>
      </w:r>
      <w:proofErr w:type="spellStart"/>
      <w:r w:rsidRPr="00AF6FEA">
        <w:rPr>
          <w:lang w:val="en-GB"/>
        </w:rPr>
        <w:t>Abudayyeh</w:t>
      </w:r>
      <w:proofErr w:type="spellEnd"/>
      <w:r w:rsidRPr="00AF6FEA">
        <w:rPr>
          <w:lang w:val="en-GB"/>
        </w:rPr>
        <w:t xml:space="preserve">, O. O., Franklin, B., Kellner, M. J., </w:t>
      </w:r>
      <w:proofErr w:type="spellStart"/>
      <w:r w:rsidRPr="00AF6FEA">
        <w:rPr>
          <w:lang w:val="en-GB"/>
        </w:rPr>
        <w:t>Joung</w:t>
      </w:r>
      <w:proofErr w:type="spellEnd"/>
      <w:r w:rsidRPr="00AF6FEA">
        <w:rPr>
          <w:lang w:val="en-GB"/>
        </w:rPr>
        <w:t xml:space="preserve">, J., &amp; Zhang, F. (2017). RNA editing with CRISPR-Cas13. </w:t>
      </w:r>
      <w:r w:rsidRPr="00AF6FEA">
        <w:rPr>
          <w:rStyle w:val="Emphasis"/>
          <w:lang w:val="en-GB"/>
        </w:rPr>
        <w:t>Science, 358</w:t>
      </w:r>
      <w:r w:rsidRPr="00AF6FEA">
        <w:rPr>
          <w:lang w:val="en-GB"/>
        </w:rPr>
        <w:t xml:space="preserve">(6366), 1019–1027. </w:t>
      </w:r>
      <w:hyperlink r:id="rId18" w:tgtFrame="_new" w:history="1">
        <w:r w:rsidRPr="00AF6FEA">
          <w:rPr>
            <w:rStyle w:val="Hyperlink"/>
            <w:lang w:val="en-GB"/>
          </w:rPr>
          <w:t>https://doi.org/10.1126/science.aaq0180</w:t>
        </w:r>
      </w:hyperlink>
      <w:r w:rsidRPr="00AF6FEA">
        <w:rPr>
          <w:lang w:val="en-GB"/>
        </w:rPr>
        <w:t xml:space="preserve"> </w:t>
      </w:r>
    </w:p>
    <w:p w14:paraId="42B3D584" w14:textId="77777777" w:rsidR="00F62CC5" w:rsidRPr="00AF6FEA" w:rsidRDefault="00F62CC5" w:rsidP="00B10DAA">
      <w:pPr>
        <w:pStyle w:val="NormalWeb"/>
        <w:jc w:val="both"/>
        <w:rPr>
          <w:lang w:val="en-GB"/>
        </w:rPr>
      </w:pPr>
      <w:proofErr w:type="spellStart"/>
      <w:r w:rsidRPr="00AF6FEA">
        <w:rPr>
          <w:lang w:val="en-GB"/>
        </w:rPr>
        <w:t>Cyranoski</w:t>
      </w:r>
      <w:proofErr w:type="spellEnd"/>
      <w:r w:rsidRPr="00AF6FEA">
        <w:rPr>
          <w:lang w:val="en-GB"/>
        </w:rPr>
        <w:t xml:space="preserve">, D. (2019). The CRISPR-baby scandal: What’s next for human gene-editing. </w:t>
      </w:r>
      <w:r w:rsidRPr="00AF6FEA">
        <w:rPr>
          <w:rStyle w:val="Emphasis"/>
          <w:lang w:val="en-GB"/>
        </w:rPr>
        <w:t>Nature, 566</w:t>
      </w:r>
      <w:r w:rsidRPr="00AF6FEA">
        <w:rPr>
          <w:lang w:val="en-GB"/>
        </w:rPr>
        <w:t xml:space="preserve">(7745), 440–442. </w:t>
      </w:r>
      <w:hyperlink r:id="rId19" w:history="1">
        <w:r w:rsidRPr="00AF6FEA">
          <w:rPr>
            <w:rStyle w:val="Hyperlink"/>
            <w:lang w:val="en-GB"/>
          </w:rPr>
          <w:t>https://doi.org/10.1038/d41586-019-00673-1</w:t>
        </w:r>
      </w:hyperlink>
      <w:r w:rsidRPr="00AF6FEA">
        <w:rPr>
          <w:lang w:val="en-GB"/>
        </w:rPr>
        <w:t xml:space="preserve">  </w:t>
      </w:r>
    </w:p>
    <w:p w14:paraId="081304AB" w14:textId="77777777" w:rsidR="00F62CC5" w:rsidRPr="00EF1FA9" w:rsidRDefault="00F62CC5" w:rsidP="00B10DAA">
      <w:pPr>
        <w:pStyle w:val="NormalWeb"/>
        <w:jc w:val="both"/>
        <w:rPr>
          <w:lang w:val="fr-FR"/>
        </w:rPr>
      </w:pPr>
      <w:proofErr w:type="spellStart"/>
      <w:r w:rsidRPr="00AF6FEA">
        <w:rPr>
          <w:lang w:val="en-GB"/>
        </w:rPr>
        <w:t>Deltcheva</w:t>
      </w:r>
      <w:proofErr w:type="spellEnd"/>
      <w:r w:rsidRPr="00AF6FEA">
        <w:rPr>
          <w:lang w:val="en-GB"/>
        </w:rPr>
        <w:t xml:space="preserve">, E., </w:t>
      </w:r>
      <w:proofErr w:type="spellStart"/>
      <w:r w:rsidRPr="00AF6FEA">
        <w:rPr>
          <w:lang w:val="en-GB"/>
        </w:rPr>
        <w:t>Chylinski</w:t>
      </w:r>
      <w:proofErr w:type="spellEnd"/>
      <w:r w:rsidRPr="00AF6FEA">
        <w:rPr>
          <w:lang w:val="en-GB"/>
        </w:rPr>
        <w:t xml:space="preserve">, K., Sharma, C. M., Gonzales, K., Chao, Y., Pirzada, Z. A., Eckert, M. R., Vogel, J., &amp; Charpentier, E. (2011). CRISPR RNA maturation by trans-encoded small RNA and host factor RNase III. </w:t>
      </w:r>
      <w:r w:rsidRPr="00EF1FA9">
        <w:rPr>
          <w:rStyle w:val="Emphasis"/>
          <w:lang w:val="fr-FR"/>
        </w:rPr>
        <w:t>Nature, 471</w:t>
      </w:r>
      <w:r w:rsidRPr="00EF1FA9">
        <w:rPr>
          <w:lang w:val="fr-FR"/>
        </w:rPr>
        <w:t xml:space="preserve">(7340), 602–607. </w:t>
      </w:r>
      <w:hyperlink r:id="rId20" w:history="1">
        <w:r w:rsidRPr="00EF1FA9">
          <w:rPr>
            <w:rStyle w:val="Hyperlink"/>
            <w:lang w:val="fr-FR"/>
          </w:rPr>
          <w:t>https://doi.org/10.1038/nature09886</w:t>
        </w:r>
      </w:hyperlink>
      <w:r w:rsidRPr="00EF1FA9">
        <w:rPr>
          <w:lang w:val="fr-FR"/>
        </w:rPr>
        <w:t xml:space="preserve">  </w:t>
      </w:r>
    </w:p>
    <w:p w14:paraId="5CA6D42F" w14:textId="77777777" w:rsidR="00F62CC5" w:rsidRPr="00AF6FEA" w:rsidRDefault="00F62CC5" w:rsidP="00B10DAA">
      <w:pPr>
        <w:pStyle w:val="NormalWeb"/>
        <w:jc w:val="both"/>
        <w:rPr>
          <w:lang w:val="en-GB"/>
        </w:rPr>
      </w:pPr>
      <w:r w:rsidRPr="00EF1FA9">
        <w:rPr>
          <w:lang w:val="fr-FR"/>
        </w:rPr>
        <w:t xml:space="preserve">Dominguez, A. A., Lim, W. A., &amp; Qi, L. S. (2016). </w:t>
      </w:r>
      <w:r w:rsidRPr="00AF6FEA">
        <w:rPr>
          <w:lang w:val="en-GB"/>
        </w:rPr>
        <w:t xml:space="preserve">Beyond editing: Repurposing CRISPR–Cas9 for precision genome regulation and interrogation. </w:t>
      </w:r>
      <w:r w:rsidRPr="00AF6FEA">
        <w:rPr>
          <w:rStyle w:val="Emphasis"/>
          <w:lang w:val="en-GB"/>
        </w:rPr>
        <w:t>Nature Reviews Molecular Cell Biology, 17</w:t>
      </w:r>
      <w:r w:rsidRPr="00AF6FEA">
        <w:rPr>
          <w:lang w:val="en-GB"/>
        </w:rPr>
        <w:t xml:space="preserve">(1), 5–15. </w:t>
      </w:r>
      <w:hyperlink r:id="rId21" w:history="1">
        <w:r w:rsidRPr="00AF6FEA">
          <w:rPr>
            <w:rStyle w:val="Hyperlink"/>
            <w:lang w:val="en-GB"/>
          </w:rPr>
          <w:t>https://doi.org/10.1038/nrm.2015.2</w:t>
        </w:r>
      </w:hyperlink>
      <w:r w:rsidRPr="00AF6FEA">
        <w:rPr>
          <w:lang w:val="en-GB"/>
        </w:rPr>
        <w:t xml:space="preserve">  </w:t>
      </w:r>
    </w:p>
    <w:p w14:paraId="0726F488" w14:textId="77777777" w:rsidR="00F62CC5" w:rsidRPr="00EF1FA9" w:rsidRDefault="00F62CC5" w:rsidP="00B10DAA">
      <w:pPr>
        <w:pStyle w:val="NormalWeb"/>
        <w:jc w:val="both"/>
        <w:rPr>
          <w:lang w:val="fr-FR"/>
        </w:rPr>
      </w:pPr>
      <w:proofErr w:type="spellStart"/>
      <w:r w:rsidRPr="00AF6FEA">
        <w:rPr>
          <w:lang w:val="en-GB"/>
        </w:rPr>
        <w:t>Esvelt</w:t>
      </w:r>
      <w:proofErr w:type="spellEnd"/>
      <w:r w:rsidRPr="00AF6FEA">
        <w:rPr>
          <w:lang w:val="en-GB"/>
        </w:rPr>
        <w:t xml:space="preserve">, K. M., </w:t>
      </w:r>
      <w:proofErr w:type="spellStart"/>
      <w:r w:rsidRPr="00AF6FEA">
        <w:rPr>
          <w:lang w:val="en-GB"/>
        </w:rPr>
        <w:t>Smidler</w:t>
      </w:r>
      <w:proofErr w:type="spellEnd"/>
      <w:r w:rsidRPr="00AF6FEA">
        <w:rPr>
          <w:lang w:val="en-GB"/>
        </w:rPr>
        <w:t xml:space="preserve">, A. L., </w:t>
      </w:r>
      <w:proofErr w:type="spellStart"/>
      <w:r w:rsidRPr="00AF6FEA">
        <w:rPr>
          <w:lang w:val="en-GB"/>
        </w:rPr>
        <w:t>Catteruccia</w:t>
      </w:r>
      <w:proofErr w:type="spellEnd"/>
      <w:r w:rsidRPr="00AF6FEA">
        <w:rPr>
          <w:lang w:val="en-GB"/>
        </w:rPr>
        <w:t xml:space="preserve">, F., &amp; Church, G. M. (2014). Concerning RNA-guided gene drives for the alteration of wild populations. </w:t>
      </w:r>
      <w:proofErr w:type="spellStart"/>
      <w:r w:rsidRPr="00AF6FEA">
        <w:rPr>
          <w:rStyle w:val="Emphasis"/>
          <w:lang w:val="en-GB"/>
        </w:rPr>
        <w:t>eLife</w:t>
      </w:r>
      <w:proofErr w:type="spellEnd"/>
      <w:r w:rsidRPr="00AF6FEA">
        <w:rPr>
          <w:rStyle w:val="Emphasis"/>
          <w:lang w:val="en-GB"/>
        </w:rPr>
        <w:t>, 3</w:t>
      </w:r>
      <w:r w:rsidRPr="00AF6FEA">
        <w:rPr>
          <w:lang w:val="en-GB"/>
        </w:rPr>
        <w:t xml:space="preserve">, e03401. </w:t>
      </w:r>
      <w:hyperlink r:id="rId22" w:history="1">
        <w:r w:rsidRPr="00EF1FA9">
          <w:rPr>
            <w:rStyle w:val="Hyperlink"/>
            <w:lang w:val="fr-FR"/>
          </w:rPr>
          <w:t>https://doi.org/10.7554/eLife.03401</w:t>
        </w:r>
      </w:hyperlink>
      <w:r w:rsidRPr="00EF1FA9">
        <w:rPr>
          <w:lang w:val="fr-FR"/>
        </w:rPr>
        <w:t xml:space="preserve">  </w:t>
      </w:r>
    </w:p>
    <w:p w14:paraId="7C7FB6A1" w14:textId="77777777" w:rsidR="00F62CC5" w:rsidRPr="00EF1FA9" w:rsidRDefault="00F62CC5" w:rsidP="00B10DAA">
      <w:pPr>
        <w:pStyle w:val="NormalWeb"/>
        <w:jc w:val="both"/>
        <w:rPr>
          <w:lang w:val="fr-FR"/>
        </w:rPr>
      </w:pPr>
      <w:proofErr w:type="spellStart"/>
      <w:r w:rsidRPr="00EF1FA9">
        <w:rPr>
          <w:lang w:val="fr-FR"/>
        </w:rPr>
        <w:t>Gantz</w:t>
      </w:r>
      <w:proofErr w:type="spellEnd"/>
      <w:r w:rsidRPr="00EF1FA9">
        <w:rPr>
          <w:lang w:val="fr-FR"/>
        </w:rPr>
        <w:t xml:space="preserve">, V. M., </w:t>
      </w:r>
      <w:proofErr w:type="spellStart"/>
      <w:r w:rsidRPr="00EF1FA9">
        <w:rPr>
          <w:lang w:val="fr-FR"/>
        </w:rPr>
        <w:t>Jasinskiene</w:t>
      </w:r>
      <w:proofErr w:type="spellEnd"/>
      <w:r w:rsidRPr="00EF1FA9">
        <w:rPr>
          <w:lang w:val="fr-FR"/>
        </w:rPr>
        <w:t xml:space="preserve">, N., </w:t>
      </w:r>
      <w:proofErr w:type="spellStart"/>
      <w:r w:rsidRPr="00EF1FA9">
        <w:rPr>
          <w:lang w:val="fr-FR"/>
        </w:rPr>
        <w:t>Tatarenkova</w:t>
      </w:r>
      <w:proofErr w:type="spellEnd"/>
      <w:r w:rsidRPr="00EF1FA9">
        <w:rPr>
          <w:lang w:val="fr-FR"/>
        </w:rPr>
        <w:t xml:space="preserve">, O., </w:t>
      </w:r>
      <w:proofErr w:type="spellStart"/>
      <w:r w:rsidRPr="00EF1FA9">
        <w:rPr>
          <w:lang w:val="fr-FR"/>
        </w:rPr>
        <w:t>Fazekas</w:t>
      </w:r>
      <w:proofErr w:type="spellEnd"/>
      <w:r w:rsidRPr="00EF1FA9">
        <w:rPr>
          <w:lang w:val="fr-FR"/>
        </w:rPr>
        <w:t xml:space="preserve">, A., </w:t>
      </w:r>
      <w:proofErr w:type="spellStart"/>
      <w:r w:rsidRPr="00EF1FA9">
        <w:rPr>
          <w:lang w:val="fr-FR"/>
        </w:rPr>
        <w:t>Macias</w:t>
      </w:r>
      <w:proofErr w:type="spellEnd"/>
      <w:r w:rsidRPr="00EF1FA9">
        <w:rPr>
          <w:lang w:val="fr-FR"/>
        </w:rPr>
        <w:t xml:space="preserve">, V. M., </w:t>
      </w:r>
      <w:proofErr w:type="spellStart"/>
      <w:r w:rsidRPr="00EF1FA9">
        <w:rPr>
          <w:lang w:val="fr-FR"/>
        </w:rPr>
        <w:t>Bier</w:t>
      </w:r>
      <w:proofErr w:type="spellEnd"/>
      <w:r w:rsidRPr="00EF1FA9">
        <w:rPr>
          <w:lang w:val="fr-FR"/>
        </w:rPr>
        <w:t xml:space="preserve">, E., &amp; James, A. A. (2015). </w:t>
      </w:r>
      <w:r w:rsidRPr="00AF6FEA">
        <w:rPr>
          <w:lang w:val="en-GB"/>
        </w:rPr>
        <w:t xml:space="preserve">Highly efficient Cas9-mediated gene drive for population modification of the malaria vector mosquito </w:t>
      </w:r>
      <w:r w:rsidRPr="00AF6FEA">
        <w:rPr>
          <w:rStyle w:val="Emphasis"/>
          <w:lang w:val="en-GB"/>
        </w:rPr>
        <w:t xml:space="preserve">Anopheles </w:t>
      </w:r>
      <w:proofErr w:type="spellStart"/>
      <w:r w:rsidRPr="00AF6FEA">
        <w:rPr>
          <w:rStyle w:val="Emphasis"/>
          <w:lang w:val="en-GB"/>
        </w:rPr>
        <w:t>stephensi</w:t>
      </w:r>
      <w:proofErr w:type="spellEnd"/>
      <w:r w:rsidRPr="00AF6FEA">
        <w:rPr>
          <w:lang w:val="en-GB"/>
        </w:rPr>
        <w:t xml:space="preserve">. </w:t>
      </w:r>
      <w:r w:rsidRPr="00AF6FEA">
        <w:rPr>
          <w:rStyle w:val="Emphasis"/>
          <w:lang w:val="en-GB"/>
        </w:rPr>
        <w:t>Proceedings of the National Academy of Sciences of the United States of America, 112</w:t>
      </w:r>
      <w:r w:rsidRPr="00AF6FEA">
        <w:rPr>
          <w:lang w:val="en-GB"/>
        </w:rPr>
        <w:t xml:space="preserve">(49), E6736–E6743. </w:t>
      </w:r>
      <w:hyperlink r:id="rId23" w:history="1">
        <w:r w:rsidRPr="00EF1FA9">
          <w:rPr>
            <w:rStyle w:val="Hyperlink"/>
            <w:lang w:val="fr-FR"/>
          </w:rPr>
          <w:t>https://doi.org/10.1073/pnas.1521077112</w:t>
        </w:r>
      </w:hyperlink>
      <w:r w:rsidRPr="00EF1FA9">
        <w:rPr>
          <w:lang w:val="fr-FR"/>
        </w:rPr>
        <w:t xml:space="preserve">  </w:t>
      </w:r>
    </w:p>
    <w:p w14:paraId="4A8E4BA7" w14:textId="77777777" w:rsidR="00F62CC5" w:rsidRPr="00AF6FEA" w:rsidRDefault="00F62CC5" w:rsidP="00B10DAA">
      <w:pPr>
        <w:pStyle w:val="NormalWeb"/>
        <w:jc w:val="both"/>
        <w:rPr>
          <w:lang w:val="en-GB"/>
        </w:rPr>
      </w:pPr>
      <w:r w:rsidRPr="00EF1FA9">
        <w:rPr>
          <w:lang w:val="fr-FR"/>
        </w:rPr>
        <w:t xml:space="preserve">Garneau, J. E., Dupuis, M.-È., </w:t>
      </w:r>
      <w:proofErr w:type="spellStart"/>
      <w:r w:rsidRPr="00EF1FA9">
        <w:rPr>
          <w:lang w:val="fr-FR"/>
        </w:rPr>
        <w:t>Villion</w:t>
      </w:r>
      <w:proofErr w:type="spellEnd"/>
      <w:r w:rsidRPr="00EF1FA9">
        <w:rPr>
          <w:lang w:val="fr-FR"/>
        </w:rPr>
        <w:t xml:space="preserve">, M., Romero, D. A., </w:t>
      </w:r>
      <w:proofErr w:type="spellStart"/>
      <w:r w:rsidRPr="00EF1FA9">
        <w:rPr>
          <w:lang w:val="fr-FR"/>
        </w:rPr>
        <w:t>Barrangou</w:t>
      </w:r>
      <w:proofErr w:type="spellEnd"/>
      <w:r w:rsidRPr="00EF1FA9">
        <w:rPr>
          <w:lang w:val="fr-FR"/>
        </w:rPr>
        <w:t xml:space="preserve">, R., Boyaval, P., </w:t>
      </w:r>
      <w:proofErr w:type="spellStart"/>
      <w:r w:rsidRPr="00EF1FA9">
        <w:rPr>
          <w:lang w:val="fr-FR"/>
        </w:rPr>
        <w:t>Fremaux</w:t>
      </w:r>
      <w:proofErr w:type="spellEnd"/>
      <w:r w:rsidRPr="00EF1FA9">
        <w:rPr>
          <w:lang w:val="fr-FR"/>
        </w:rPr>
        <w:t xml:space="preserve">, C., Horvath, P., </w:t>
      </w:r>
      <w:proofErr w:type="spellStart"/>
      <w:r w:rsidRPr="00EF1FA9">
        <w:rPr>
          <w:lang w:val="fr-FR"/>
        </w:rPr>
        <w:t>Magadán</w:t>
      </w:r>
      <w:proofErr w:type="spellEnd"/>
      <w:r w:rsidRPr="00EF1FA9">
        <w:rPr>
          <w:lang w:val="fr-FR"/>
        </w:rPr>
        <w:t xml:space="preserve">, A. H., &amp; Moineau, S. (2010). </w:t>
      </w:r>
      <w:r w:rsidRPr="00AF6FEA">
        <w:rPr>
          <w:lang w:val="en-GB"/>
        </w:rPr>
        <w:t xml:space="preserve">The CRISPR/Cas bacterial immune system cleaves bacteriophage and plasmid DNA. </w:t>
      </w:r>
      <w:r w:rsidRPr="00AF6FEA">
        <w:rPr>
          <w:rStyle w:val="Emphasis"/>
          <w:lang w:val="en-GB"/>
        </w:rPr>
        <w:t>Nature, 468</w:t>
      </w:r>
      <w:r w:rsidRPr="00AF6FEA">
        <w:rPr>
          <w:lang w:val="en-GB"/>
        </w:rPr>
        <w:t xml:space="preserve">(7320), 67–71. </w:t>
      </w:r>
      <w:hyperlink r:id="rId24" w:history="1">
        <w:r w:rsidRPr="00AF6FEA">
          <w:rPr>
            <w:rStyle w:val="Hyperlink"/>
            <w:lang w:val="en-GB"/>
          </w:rPr>
          <w:t>https://doi.org/10.1038/nature09523</w:t>
        </w:r>
      </w:hyperlink>
      <w:r w:rsidRPr="00AF6FEA">
        <w:rPr>
          <w:lang w:val="en-GB"/>
        </w:rPr>
        <w:t xml:space="preserve">  </w:t>
      </w:r>
    </w:p>
    <w:p w14:paraId="4FF92799" w14:textId="77777777" w:rsidR="00F62CC5" w:rsidRPr="00AF6FEA" w:rsidRDefault="00F62CC5" w:rsidP="00B10DAA">
      <w:pPr>
        <w:pStyle w:val="NormalWeb"/>
        <w:jc w:val="both"/>
        <w:rPr>
          <w:lang w:val="en-GB"/>
        </w:rPr>
      </w:pPr>
      <w:proofErr w:type="spellStart"/>
      <w:r w:rsidRPr="00AF6FEA">
        <w:rPr>
          <w:lang w:val="en-GB"/>
        </w:rPr>
        <w:lastRenderedPageBreak/>
        <w:t>Gasiunas</w:t>
      </w:r>
      <w:proofErr w:type="spellEnd"/>
      <w:r w:rsidRPr="00AF6FEA">
        <w:rPr>
          <w:lang w:val="en-GB"/>
        </w:rPr>
        <w:t xml:space="preserve">, G., </w:t>
      </w:r>
      <w:proofErr w:type="spellStart"/>
      <w:r w:rsidRPr="00AF6FEA">
        <w:rPr>
          <w:lang w:val="en-GB"/>
        </w:rPr>
        <w:t>Barrangou</w:t>
      </w:r>
      <w:proofErr w:type="spellEnd"/>
      <w:r w:rsidRPr="00AF6FEA">
        <w:rPr>
          <w:lang w:val="en-GB"/>
        </w:rPr>
        <w:t xml:space="preserve">, R., Horvath, P., &amp; </w:t>
      </w:r>
      <w:proofErr w:type="spellStart"/>
      <w:r w:rsidRPr="00AF6FEA">
        <w:rPr>
          <w:lang w:val="en-GB"/>
        </w:rPr>
        <w:t>Siksnys</w:t>
      </w:r>
      <w:proofErr w:type="spellEnd"/>
      <w:r w:rsidRPr="00AF6FEA">
        <w:rPr>
          <w:lang w:val="en-GB"/>
        </w:rPr>
        <w:t xml:space="preserve">, V. (2012). Cas9–crRNA ribonucleoprotein complex mediates specific DNA cleavage for adaptive immunity in bacteria. </w:t>
      </w:r>
      <w:r w:rsidRPr="00AF6FEA">
        <w:rPr>
          <w:rStyle w:val="Emphasis"/>
          <w:lang w:val="en-GB"/>
        </w:rPr>
        <w:t>Proceedings of the National Academy of Sciences of the United States of America, 109</w:t>
      </w:r>
      <w:r w:rsidRPr="00AF6FEA">
        <w:rPr>
          <w:lang w:val="en-GB"/>
        </w:rPr>
        <w:t xml:space="preserve">(39), E2579–E2586. </w:t>
      </w:r>
      <w:hyperlink r:id="rId25" w:history="1">
        <w:r w:rsidRPr="00AF6FEA">
          <w:rPr>
            <w:rStyle w:val="Hyperlink"/>
            <w:lang w:val="en-GB"/>
          </w:rPr>
          <w:t>https://doi.org/10.1073/pnas.1208507109</w:t>
        </w:r>
      </w:hyperlink>
      <w:r w:rsidRPr="00AF6FEA">
        <w:rPr>
          <w:lang w:val="en-GB"/>
        </w:rPr>
        <w:t xml:space="preserve">  </w:t>
      </w:r>
    </w:p>
    <w:p w14:paraId="247101EF" w14:textId="77777777" w:rsidR="00F62CC5" w:rsidRPr="00AF6FEA" w:rsidRDefault="00F62CC5" w:rsidP="00B10DAA">
      <w:pPr>
        <w:pStyle w:val="NormalWeb"/>
        <w:jc w:val="both"/>
        <w:rPr>
          <w:lang w:val="en-GB"/>
        </w:rPr>
      </w:pPr>
      <w:proofErr w:type="spellStart"/>
      <w:r w:rsidRPr="00AF6FEA">
        <w:rPr>
          <w:lang w:val="en-GB"/>
        </w:rPr>
        <w:t>Gaudelli</w:t>
      </w:r>
      <w:proofErr w:type="spellEnd"/>
      <w:r w:rsidRPr="00AF6FEA">
        <w:rPr>
          <w:lang w:val="en-GB"/>
        </w:rPr>
        <w:t xml:space="preserve">, N. M., </w:t>
      </w:r>
      <w:proofErr w:type="spellStart"/>
      <w:r w:rsidRPr="00AF6FEA">
        <w:rPr>
          <w:lang w:val="en-GB"/>
        </w:rPr>
        <w:t>Komor</w:t>
      </w:r>
      <w:proofErr w:type="spellEnd"/>
      <w:r w:rsidRPr="00AF6FEA">
        <w:rPr>
          <w:lang w:val="en-GB"/>
        </w:rPr>
        <w:t xml:space="preserve">, A. C., Rees, H. A., Packer, M. S., </w:t>
      </w:r>
      <w:proofErr w:type="spellStart"/>
      <w:r w:rsidRPr="00AF6FEA">
        <w:rPr>
          <w:lang w:val="en-GB"/>
        </w:rPr>
        <w:t>Badran</w:t>
      </w:r>
      <w:proofErr w:type="spellEnd"/>
      <w:r w:rsidRPr="00AF6FEA">
        <w:rPr>
          <w:lang w:val="en-GB"/>
        </w:rPr>
        <w:t xml:space="preserve">, A. H., Bryson, D. I., &amp; Liu, D. R. (2017). Programmable base editing of A•T to G•C in genomic DNA without DNA cleavage. </w:t>
      </w:r>
      <w:r w:rsidRPr="00AF6FEA">
        <w:rPr>
          <w:rStyle w:val="Emphasis"/>
          <w:lang w:val="en-GB"/>
        </w:rPr>
        <w:t>Nature, 551</w:t>
      </w:r>
      <w:r w:rsidRPr="00AF6FEA">
        <w:rPr>
          <w:lang w:val="en-GB"/>
        </w:rPr>
        <w:t xml:space="preserve">(7681), 464–471. </w:t>
      </w:r>
      <w:hyperlink r:id="rId26" w:tgtFrame="_new" w:history="1">
        <w:r w:rsidRPr="00AF6FEA">
          <w:rPr>
            <w:rStyle w:val="Hyperlink"/>
            <w:lang w:val="en-GB"/>
          </w:rPr>
          <w:t>https://doi.org/10.1038/nature24644</w:t>
        </w:r>
      </w:hyperlink>
      <w:r w:rsidRPr="00AF6FEA">
        <w:rPr>
          <w:lang w:val="en-GB"/>
        </w:rPr>
        <w:t xml:space="preserve"> </w:t>
      </w:r>
    </w:p>
    <w:p w14:paraId="1E63F023" w14:textId="77777777" w:rsidR="00F62CC5" w:rsidRPr="00AF6FEA" w:rsidRDefault="00F62CC5" w:rsidP="00B10DAA">
      <w:pPr>
        <w:pStyle w:val="NormalWeb"/>
        <w:jc w:val="both"/>
        <w:rPr>
          <w:lang w:val="en-GB"/>
        </w:rPr>
      </w:pPr>
      <w:proofErr w:type="spellStart"/>
      <w:r w:rsidRPr="00AF6FEA">
        <w:rPr>
          <w:lang w:val="en-GB"/>
        </w:rPr>
        <w:t>Gillmore</w:t>
      </w:r>
      <w:proofErr w:type="spellEnd"/>
      <w:r w:rsidRPr="00AF6FEA">
        <w:rPr>
          <w:lang w:val="en-GB"/>
        </w:rPr>
        <w:t xml:space="preserve">, J. D., </w:t>
      </w:r>
      <w:proofErr w:type="spellStart"/>
      <w:r w:rsidRPr="00AF6FEA">
        <w:rPr>
          <w:lang w:val="en-GB"/>
        </w:rPr>
        <w:t>Gane</w:t>
      </w:r>
      <w:proofErr w:type="spellEnd"/>
      <w:r w:rsidRPr="00AF6FEA">
        <w:rPr>
          <w:lang w:val="en-GB"/>
        </w:rPr>
        <w:t xml:space="preserve">, E., </w:t>
      </w:r>
      <w:proofErr w:type="spellStart"/>
      <w:r w:rsidRPr="00AF6FEA">
        <w:rPr>
          <w:lang w:val="en-GB"/>
        </w:rPr>
        <w:t>Täubel</w:t>
      </w:r>
      <w:proofErr w:type="spellEnd"/>
      <w:r w:rsidRPr="00AF6FEA">
        <w:rPr>
          <w:lang w:val="en-GB"/>
        </w:rPr>
        <w:t xml:space="preserve">, J., Kao, J., Fontana, M., Maitland, M. L., </w:t>
      </w:r>
      <w:proofErr w:type="spellStart"/>
      <w:r w:rsidRPr="00AF6FEA">
        <w:rPr>
          <w:lang w:val="en-GB"/>
        </w:rPr>
        <w:t>Seitzer</w:t>
      </w:r>
      <w:proofErr w:type="spellEnd"/>
      <w:r w:rsidRPr="00AF6FEA">
        <w:rPr>
          <w:lang w:val="en-GB"/>
        </w:rPr>
        <w:t xml:space="preserve">, J., O’Connell, D., Walsh, K. R., Wood, K., Phillips, J., Xu, Y., Amaral, A., Boyd, A. P., </w:t>
      </w:r>
      <w:proofErr w:type="spellStart"/>
      <w:r w:rsidRPr="00AF6FEA">
        <w:rPr>
          <w:lang w:val="en-GB"/>
        </w:rPr>
        <w:t>Cehelsky</w:t>
      </w:r>
      <w:proofErr w:type="spellEnd"/>
      <w:r w:rsidRPr="00AF6FEA">
        <w:rPr>
          <w:lang w:val="en-GB"/>
        </w:rPr>
        <w:t xml:space="preserve">, J. E., McKee, M. D., </w:t>
      </w:r>
      <w:proofErr w:type="spellStart"/>
      <w:r w:rsidRPr="00AF6FEA">
        <w:rPr>
          <w:lang w:val="en-GB"/>
        </w:rPr>
        <w:t>Schiermeier</w:t>
      </w:r>
      <w:proofErr w:type="spellEnd"/>
      <w:r w:rsidRPr="00AF6FEA">
        <w:rPr>
          <w:lang w:val="en-GB"/>
        </w:rPr>
        <w:t xml:space="preserve">, A., Harari, O., Murphy, A., … </w:t>
      </w:r>
      <w:proofErr w:type="spellStart"/>
      <w:r w:rsidRPr="00AF6FEA">
        <w:rPr>
          <w:lang w:val="en-GB"/>
        </w:rPr>
        <w:t>Lebwohl</w:t>
      </w:r>
      <w:proofErr w:type="spellEnd"/>
      <w:r w:rsidRPr="00AF6FEA">
        <w:rPr>
          <w:lang w:val="en-GB"/>
        </w:rPr>
        <w:t xml:space="preserve">, D. (2021). CRISPR-Cas9 in vivo gene editing for transthyretin amyloidosis. </w:t>
      </w:r>
      <w:r w:rsidRPr="00AF6FEA">
        <w:rPr>
          <w:rStyle w:val="Emphasis"/>
          <w:lang w:val="en-GB"/>
        </w:rPr>
        <w:t>New England Journal of Medicine, 385</w:t>
      </w:r>
      <w:r w:rsidRPr="00AF6FEA">
        <w:rPr>
          <w:lang w:val="en-GB"/>
        </w:rPr>
        <w:t xml:space="preserve">(6), 493–502. </w:t>
      </w:r>
      <w:hyperlink r:id="rId27" w:history="1">
        <w:r w:rsidRPr="00AF6FEA">
          <w:rPr>
            <w:rStyle w:val="Hyperlink"/>
            <w:lang w:val="en-GB"/>
          </w:rPr>
          <w:t>https://doi.org/10.1056/NEJMoa2107454</w:t>
        </w:r>
      </w:hyperlink>
      <w:r w:rsidRPr="00AF6FEA">
        <w:rPr>
          <w:lang w:val="en-GB"/>
        </w:rPr>
        <w:t xml:space="preserve">  </w:t>
      </w:r>
    </w:p>
    <w:p w14:paraId="7B003F09" w14:textId="77777777" w:rsidR="00F62CC5" w:rsidRPr="00AF6FEA" w:rsidRDefault="00F62CC5" w:rsidP="00B10DAA">
      <w:pPr>
        <w:pStyle w:val="NormalWeb"/>
        <w:jc w:val="both"/>
        <w:rPr>
          <w:lang w:val="en-GB"/>
        </w:rPr>
      </w:pPr>
      <w:proofErr w:type="spellStart"/>
      <w:r w:rsidRPr="00AF6FEA">
        <w:rPr>
          <w:lang w:val="en-GB"/>
        </w:rPr>
        <w:t>Haapaniemi</w:t>
      </w:r>
      <w:proofErr w:type="spellEnd"/>
      <w:r w:rsidRPr="00AF6FEA">
        <w:rPr>
          <w:lang w:val="en-GB"/>
        </w:rPr>
        <w:t xml:space="preserve">, E., </w:t>
      </w:r>
      <w:proofErr w:type="spellStart"/>
      <w:r w:rsidRPr="00AF6FEA">
        <w:rPr>
          <w:lang w:val="en-GB"/>
        </w:rPr>
        <w:t>Botla</w:t>
      </w:r>
      <w:proofErr w:type="spellEnd"/>
      <w:r w:rsidRPr="00AF6FEA">
        <w:rPr>
          <w:lang w:val="en-GB"/>
        </w:rPr>
        <w:t xml:space="preserve">, S., Persson, J., </w:t>
      </w:r>
      <w:proofErr w:type="spellStart"/>
      <w:r w:rsidRPr="00AF6FEA">
        <w:rPr>
          <w:lang w:val="en-GB"/>
        </w:rPr>
        <w:t>Schmierer</w:t>
      </w:r>
      <w:proofErr w:type="spellEnd"/>
      <w:r w:rsidRPr="00AF6FEA">
        <w:rPr>
          <w:lang w:val="en-GB"/>
        </w:rPr>
        <w:t xml:space="preserve">, B., &amp; Taipale, J. (2018). CRISPR-Cas9 genome editing induces a p53-mediated DNA damage response. </w:t>
      </w:r>
      <w:r w:rsidRPr="00AF6FEA">
        <w:rPr>
          <w:rStyle w:val="Emphasis"/>
          <w:lang w:val="en-GB"/>
        </w:rPr>
        <w:t>Nature Medicine, 24</w:t>
      </w:r>
      <w:r w:rsidRPr="00AF6FEA">
        <w:rPr>
          <w:lang w:val="en-GB"/>
        </w:rPr>
        <w:t xml:space="preserve">(7), 927–930. </w:t>
      </w:r>
      <w:hyperlink r:id="rId28" w:history="1">
        <w:r w:rsidRPr="00AF6FEA">
          <w:rPr>
            <w:rStyle w:val="Hyperlink"/>
            <w:lang w:val="en-GB"/>
          </w:rPr>
          <w:t>https://doi.org/10.1038/s41591-018-0049-z</w:t>
        </w:r>
      </w:hyperlink>
      <w:r w:rsidRPr="00AF6FEA">
        <w:rPr>
          <w:lang w:val="en-GB"/>
        </w:rPr>
        <w:t xml:space="preserve">  </w:t>
      </w:r>
    </w:p>
    <w:p w14:paraId="537F31AE" w14:textId="77777777" w:rsidR="00F62CC5" w:rsidRPr="00AF6FEA" w:rsidRDefault="00F62CC5" w:rsidP="00B10DAA">
      <w:pPr>
        <w:pStyle w:val="NormalWeb"/>
        <w:jc w:val="both"/>
        <w:rPr>
          <w:lang w:val="en-GB"/>
        </w:rPr>
      </w:pPr>
      <w:r w:rsidRPr="00AF6FEA">
        <w:rPr>
          <w:lang w:val="en-GB"/>
        </w:rPr>
        <w:t xml:space="preserve">Hsu, P. D., Scott, D. A., Weinstein, J. A., Ran, F. A., </w:t>
      </w:r>
      <w:proofErr w:type="spellStart"/>
      <w:r w:rsidRPr="00AF6FEA">
        <w:rPr>
          <w:lang w:val="en-GB"/>
        </w:rPr>
        <w:t>Konermann</w:t>
      </w:r>
      <w:proofErr w:type="spellEnd"/>
      <w:r w:rsidRPr="00AF6FEA">
        <w:rPr>
          <w:lang w:val="en-GB"/>
        </w:rPr>
        <w:t xml:space="preserve">, S., </w:t>
      </w:r>
      <w:proofErr w:type="spellStart"/>
      <w:r w:rsidRPr="00AF6FEA">
        <w:rPr>
          <w:lang w:val="en-GB"/>
        </w:rPr>
        <w:t>Agarwala</w:t>
      </w:r>
      <w:proofErr w:type="spellEnd"/>
      <w:r w:rsidRPr="00AF6FEA">
        <w:rPr>
          <w:lang w:val="en-GB"/>
        </w:rPr>
        <w:t xml:space="preserve">, V., Li, Y., Fine, E. J., Wu, X., </w:t>
      </w:r>
      <w:proofErr w:type="spellStart"/>
      <w:r w:rsidRPr="00AF6FEA">
        <w:rPr>
          <w:lang w:val="en-GB"/>
        </w:rPr>
        <w:t>Shalem</w:t>
      </w:r>
      <w:proofErr w:type="spellEnd"/>
      <w:r w:rsidRPr="00AF6FEA">
        <w:rPr>
          <w:lang w:val="en-GB"/>
        </w:rPr>
        <w:t xml:space="preserve">, O., </w:t>
      </w:r>
      <w:proofErr w:type="spellStart"/>
      <w:r w:rsidRPr="00AF6FEA">
        <w:rPr>
          <w:lang w:val="en-GB"/>
        </w:rPr>
        <w:t>Cradick</w:t>
      </w:r>
      <w:proofErr w:type="spellEnd"/>
      <w:r w:rsidRPr="00AF6FEA">
        <w:rPr>
          <w:lang w:val="en-GB"/>
        </w:rPr>
        <w:t xml:space="preserve">, T. J., </w:t>
      </w:r>
      <w:proofErr w:type="spellStart"/>
      <w:r w:rsidRPr="00AF6FEA">
        <w:rPr>
          <w:lang w:val="en-GB"/>
        </w:rPr>
        <w:t>Marraffini</w:t>
      </w:r>
      <w:proofErr w:type="spellEnd"/>
      <w:r w:rsidRPr="00AF6FEA">
        <w:rPr>
          <w:lang w:val="en-GB"/>
        </w:rPr>
        <w:t xml:space="preserve">, L. A., Bao, G., &amp; Zhang, F. (2013). DNA targeting specificity of RNA-guided Cas9 nucleases. </w:t>
      </w:r>
      <w:r w:rsidRPr="00AF6FEA">
        <w:rPr>
          <w:rStyle w:val="Emphasis"/>
          <w:lang w:val="en-GB"/>
        </w:rPr>
        <w:t>Nature Biotechnology, 31</w:t>
      </w:r>
      <w:r w:rsidRPr="00AF6FEA">
        <w:rPr>
          <w:lang w:val="en-GB"/>
        </w:rPr>
        <w:t xml:space="preserve">(9), 827–832. </w:t>
      </w:r>
      <w:hyperlink r:id="rId29" w:history="1">
        <w:r w:rsidRPr="00AF6FEA">
          <w:rPr>
            <w:rStyle w:val="Hyperlink"/>
            <w:lang w:val="en-GB"/>
          </w:rPr>
          <w:t>https://doi.org/10.1038/nbt.2647</w:t>
        </w:r>
      </w:hyperlink>
      <w:r w:rsidRPr="00AF6FEA">
        <w:rPr>
          <w:lang w:val="en-GB"/>
        </w:rPr>
        <w:t xml:space="preserve">  </w:t>
      </w:r>
    </w:p>
    <w:p w14:paraId="51A1D253" w14:textId="77777777" w:rsidR="00F62CC5" w:rsidRPr="00AF6FEA" w:rsidRDefault="00F62CC5" w:rsidP="00B10DAA">
      <w:pPr>
        <w:pStyle w:val="NormalWeb"/>
        <w:jc w:val="both"/>
        <w:rPr>
          <w:lang w:val="en-GB"/>
        </w:rPr>
      </w:pPr>
      <w:r w:rsidRPr="00AF6FEA">
        <w:rPr>
          <w:lang w:val="en-GB"/>
        </w:rPr>
        <w:t xml:space="preserve">Ishii, T. (2017). Germ line genome editing in clinics: The approaches, objectives and global society. </w:t>
      </w:r>
      <w:r w:rsidRPr="00AF6FEA">
        <w:rPr>
          <w:rStyle w:val="Emphasis"/>
          <w:lang w:val="en-GB"/>
        </w:rPr>
        <w:t>Briefings in Functional Genomics, 16</w:t>
      </w:r>
      <w:r w:rsidRPr="00AF6FEA">
        <w:rPr>
          <w:lang w:val="en-GB"/>
        </w:rPr>
        <w:t xml:space="preserve">(1), 46–56. https://doi.org/10.1093/bfgp/elv053 </w:t>
      </w:r>
    </w:p>
    <w:p w14:paraId="480EAC7E" w14:textId="77777777" w:rsidR="00F62CC5" w:rsidRPr="00AF6FEA" w:rsidRDefault="00F62CC5" w:rsidP="00B10DAA">
      <w:pPr>
        <w:pStyle w:val="NormalWeb"/>
        <w:jc w:val="both"/>
        <w:rPr>
          <w:lang w:val="en-GB"/>
        </w:rPr>
      </w:pPr>
      <w:proofErr w:type="spellStart"/>
      <w:r w:rsidRPr="00AF6FEA">
        <w:rPr>
          <w:lang w:val="en-GB"/>
        </w:rPr>
        <w:t>Jinek</w:t>
      </w:r>
      <w:proofErr w:type="spellEnd"/>
      <w:r w:rsidRPr="00AF6FEA">
        <w:rPr>
          <w:lang w:val="en-GB"/>
        </w:rPr>
        <w:t xml:space="preserve">, M., </w:t>
      </w:r>
      <w:proofErr w:type="spellStart"/>
      <w:r w:rsidRPr="00AF6FEA">
        <w:rPr>
          <w:lang w:val="en-GB"/>
        </w:rPr>
        <w:t>Chylinski</w:t>
      </w:r>
      <w:proofErr w:type="spellEnd"/>
      <w:r w:rsidRPr="00AF6FEA">
        <w:rPr>
          <w:lang w:val="en-GB"/>
        </w:rPr>
        <w:t xml:space="preserve">, K., Fonfara, I., Hauer, M., </w:t>
      </w:r>
      <w:proofErr w:type="spellStart"/>
      <w:r w:rsidRPr="00AF6FEA">
        <w:rPr>
          <w:lang w:val="en-GB"/>
        </w:rPr>
        <w:t>Doudna</w:t>
      </w:r>
      <w:proofErr w:type="spellEnd"/>
      <w:r w:rsidRPr="00AF6FEA">
        <w:rPr>
          <w:lang w:val="en-GB"/>
        </w:rPr>
        <w:t xml:space="preserve">, J. A., &amp; Charpentier, E. (2012). A programmable dual-RNA–guided DNA endonuclease in adaptive bacterial immunity. </w:t>
      </w:r>
      <w:r w:rsidRPr="00AF6FEA">
        <w:rPr>
          <w:rStyle w:val="Emphasis"/>
          <w:lang w:val="en-GB"/>
        </w:rPr>
        <w:t>Science, 337</w:t>
      </w:r>
      <w:r w:rsidRPr="00AF6FEA">
        <w:rPr>
          <w:lang w:val="en-GB"/>
        </w:rPr>
        <w:t xml:space="preserve">(6096), 816–821. </w:t>
      </w:r>
      <w:hyperlink r:id="rId30" w:tgtFrame="_new" w:history="1">
        <w:r w:rsidRPr="00AF6FEA">
          <w:rPr>
            <w:rStyle w:val="Hyperlink"/>
            <w:lang w:val="en-GB"/>
          </w:rPr>
          <w:t>https://doi.org/10.1126/science.1225829</w:t>
        </w:r>
      </w:hyperlink>
      <w:r w:rsidRPr="00AF6FEA">
        <w:rPr>
          <w:lang w:val="en-GB"/>
        </w:rPr>
        <w:t xml:space="preserve"> </w:t>
      </w:r>
    </w:p>
    <w:p w14:paraId="75FC3EA7" w14:textId="77777777" w:rsidR="00F62CC5" w:rsidRPr="00AF6FEA" w:rsidRDefault="00F62CC5" w:rsidP="00B10DAA">
      <w:pPr>
        <w:pStyle w:val="NormalWeb"/>
        <w:jc w:val="both"/>
        <w:rPr>
          <w:lang w:val="en-GB"/>
        </w:rPr>
      </w:pPr>
      <w:proofErr w:type="spellStart"/>
      <w:r w:rsidRPr="00AF6FEA">
        <w:rPr>
          <w:lang w:val="en-GB"/>
        </w:rPr>
        <w:t>Kleinstiver</w:t>
      </w:r>
      <w:proofErr w:type="spellEnd"/>
      <w:r w:rsidRPr="00AF6FEA">
        <w:rPr>
          <w:lang w:val="en-GB"/>
        </w:rPr>
        <w:t xml:space="preserve">, B. P., </w:t>
      </w:r>
      <w:proofErr w:type="spellStart"/>
      <w:r w:rsidRPr="00AF6FEA">
        <w:rPr>
          <w:lang w:val="en-GB"/>
        </w:rPr>
        <w:t>Pattanayak</w:t>
      </w:r>
      <w:proofErr w:type="spellEnd"/>
      <w:r w:rsidRPr="00AF6FEA">
        <w:rPr>
          <w:lang w:val="en-GB"/>
        </w:rPr>
        <w:t xml:space="preserve">, V., </w:t>
      </w:r>
      <w:proofErr w:type="spellStart"/>
      <w:r w:rsidRPr="00AF6FEA">
        <w:rPr>
          <w:lang w:val="en-GB"/>
        </w:rPr>
        <w:t>Prew</w:t>
      </w:r>
      <w:proofErr w:type="spellEnd"/>
      <w:r w:rsidRPr="00AF6FEA">
        <w:rPr>
          <w:lang w:val="en-GB"/>
        </w:rPr>
        <w:t xml:space="preserve">, M. S., Tsai, S. Q., Nguyen, N. T., Zheng, Z., &amp; </w:t>
      </w:r>
      <w:proofErr w:type="spellStart"/>
      <w:r w:rsidRPr="00AF6FEA">
        <w:rPr>
          <w:lang w:val="en-GB"/>
        </w:rPr>
        <w:t>Joung</w:t>
      </w:r>
      <w:proofErr w:type="spellEnd"/>
      <w:r w:rsidRPr="00AF6FEA">
        <w:rPr>
          <w:lang w:val="en-GB"/>
        </w:rPr>
        <w:t xml:space="preserve">, J. K. (2016). High-fidelity CRISPR–Cas9 nucleases with no detectable genome-wide off-target effects. </w:t>
      </w:r>
      <w:r w:rsidRPr="00AF6FEA">
        <w:rPr>
          <w:rStyle w:val="Emphasis"/>
          <w:lang w:val="en-GB"/>
        </w:rPr>
        <w:t>Nature, 529</w:t>
      </w:r>
      <w:r w:rsidRPr="00AF6FEA">
        <w:rPr>
          <w:lang w:val="en-GB"/>
        </w:rPr>
        <w:t xml:space="preserve">, 490–495. </w:t>
      </w:r>
      <w:hyperlink r:id="rId31" w:history="1">
        <w:r w:rsidRPr="00AF6FEA">
          <w:rPr>
            <w:rStyle w:val="Hyperlink"/>
            <w:lang w:val="en-GB"/>
          </w:rPr>
          <w:t>https://doi.org/10.1038/nature16526</w:t>
        </w:r>
      </w:hyperlink>
      <w:r w:rsidRPr="00AF6FEA">
        <w:rPr>
          <w:lang w:val="en-GB"/>
        </w:rPr>
        <w:t xml:space="preserve">  </w:t>
      </w:r>
    </w:p>
    <w:p w14:paraId="68FC878C" w14:textId="77777777" w:rsidR="00F62CC5" w:rsidRPr="00AF6FEA" w:rsidRDefault="00F62CC5" w:rsidP="00B10DAA">
      <w:pPr>
        <w:pStyle w:val="NormalWeb"/>
        <w:jc w:val="both"/>
        <w:rPr>
          <w:lang w:val="en-GB"/>
        </w:rPr>
      </w:pPr>
      <w:proofErr w:type="spellStart"/>
      <w:r w:rsidRPr="00AF6FEA">
        <w:rPr>
          <w:lang w:val="en-GB"/>
        </w:rPr>
        <w:t>Komor</w:t>
      </w:r>
      <w:proofErr w:type="spellEnd"/>
      <w:r w:rsidRPr="00AF6FEA">
        <w:rPr>
          <w:lang w:val="en-GB"/>
        </w:rPr>
        <w:t xml:space="preserve">, A. C., Kim, Y. B., Packer, M. S., </w:t>
      </w:r>
      <w:proofErr w:type="spellStart"/>
      <w:r w:rsidRPr="00AF6FEA">
        <w:rPr>
          <w:lang w:val="en-GB"/>
        </w:rPr>
        <w:t>Zuris</w:t>
      </w:r>
      <w:proofErr w:type="spellEnd"/>
      <w:r w:rsidRPr="00AF6FEA">
        <w:rPr>
          <w:lang w:val="en-GB"/>
        </w:rPr>
        <w:t xml:space="preserve">, J. A., &amp; Liu, D. R. (2016). Programmable editing of a target base in genomic DNA without double-stranded DNA cleavage. </w:t>
      </w:r>
      <w:r w:rsidRPr="00AF6FEA">
        <w:rPr>
          <w:rStyle w:val="Emphasis"/>
          <w:lang w:val="en-GB"/>
        </w:rPr>
        <w:t>Nature, 533</w:t>
      </w:r>
      <w:r w:rsidRPr="00AF6FEA">
        <w:rPr>
          <w:lang w:val="en-GB"/>
        </w:rPr>
        <w:t xml:space="preserve">(7603), 420–424. </w:t>
      </w:r>
      <w:hyperlink r:id="rId32" w:history="1">
        <w:r w:rsidRPr="00AF6FEA">
          <w:rPr>
            <w:rStyle w:val="Hyperlink"/>
            <w:lang w:val="en-GB"/>
          </w:rPr>
          <w:t>https://doi.org/10.1038/nature17946</w:t>
        </w:r>
      </w:hyperlink>
      <w:r w:rsidRPr="00AF6FEA">
        <w:rPr>
          <w:lang w:val="en-GB"/>
        </w:rPr>
        <w:t xml:space="preserve">  </w:t>
      </w:r>
    </w:p>
    <w:p w14:paraId="3AE901DE" w14:textId="77777777" w:rsidR="00F62CC5" w:rsidRPr="00AF6FEA" w:rsidRDefault="00F62CC5" w:rsidP="00B10DAA">
      <w:pPr>
        <w:pStyle w:val="NormalWeb"/>
        <w:jc w:val="both"/>
        <w:rPr>
          <w:lang w:val="en-GB"/>
        </w:rPr>
      </w:pPr>
      <w:proofErr w:type="spellStart"/>
      <w:r w:rsidRPr="00AF6FEA">
        <w:rPr>
          <w:lang w:val="en-GB"/>
        </w:rPr>
        <w:t>Kosicki</w:t>
      </w:r>
      <w:proofErr w:type="spellEnd"/>
      <w:r w:rsidRPr="00AF6FEA">
        <w:rPr>
          <w:lang w:val="en-GB"/>
        </w:rPr>
        <w:t xml:space="preserve">, M., </w:t>
      </w:r>
      <w:proofErr w:type="spellStart"/>
      <w:r w:rsidRPr="00AF6FEA">
        <w:rPr>
          <w:lang w:val="en-GB"/>
        </w:rPr>
        <w:t>Tomberg</w:t>
      </w:r>
      <w:proofErr w:type="spellEnd"/>
      <w:r w:rsidRPr="00AF6FEA">
        <w:rPr>
          <w:lang w:val="en-GB"/>
        </w:rPr>
        <w:t xml:space="preserve">, K., &amp; Bradley, A. (2018). Repair of double-strand breaks induced by CRISPR–Cas9 leads to large deletions and complex rearrangements. </w:t>
      </w:r>
      <w:r w:rsidRPr="00AF6FEA">
        <w:rPr>
          <w:rStyle w:val="Emphasis"/>
          <w:lang w:val="en-GB"/>
        </w:rPr>
        <w:t>Nature Biotechnology, 36</w:t>
      </w:r>
      <w:r w:rsidRPr="00AF6FEA">
        <w:rPr>
          <w:lang w:val="en-GB"/>
        </w:rPr>
        <w:t xml:space="preserve">(8), 765–771. </w:t>
      </w:r>
      <w:hyperlink r:id="rId33" w:history="1">
        <w:r w:rsidRPr="00AF6FEA">
          <w:rPr>
            <w:rStyle w:val="Hyperlink"/>
            <w:lang w:val="en-GB"/>
          </w:rPr>
          <w:t>https://doi.org/10.1038/nbt.4192</w:t>
        </w:r>
      </w:hyperlink>
      <w:r w:rsidRPr="00AF6FEA">
        <w:rPr>
          <w:lang w:val="en-GB"/>
        </w:rPr>
        <w:t xml:space="preserve">  </w:t>
      </w:r>
    </w:p>
    <w:p w14:paraId="17F96CBB" w14:textId="77777777" w:rsidR="00F62CC5" w:rsidRPr="00AF6FEA" w:rsidRDefault="00F62CC5" w:rsidP="00B10DAA">
      <w:pPr>
        <w:pStyle w:val="NormalWeb"/>
        <w:jc w:val="both"/>
        <w:rPr>
          <w:lang w:val="en-GB"/>
        </w:rPr>
      </w:pPr>
      <w:proofErr w:type="spellStart"/>
      <w:r w:rsidRPr="00AF6FEA">
        <w:rPr>
          <w:lang w:val="en-GB"/>
        </w:rPr>
        <w:t>Lanphier</w:t>
      </w:r>
      <w:proofErr w:type="spellEnd"/>
      <w:r w:rsidRPr="00AF6FEA">
        <w:rPr>
          <w:lang w:val="en-GB"/>
        </w:rPr>
        <w:t xml:space="preserve">, E., </w:t>
      </w:r>
      <w:proofErr w:type="spellStart"/>
      <w:r w:rsidRPr="00AF6FEA">
        <w:rPr>
          <w:lang w:val="en-GB"/>
        </w:rPr>
        <w:t>Urnov</w:t>
      </w:r>
      <w:proofErr w:type="spellEnd"/>
      <w:r w:rsidRPr="00AF6FEA">
        <w:rPr>
          <w:lang w:val="en-GB"/>
        </w:rPr>
        <w:t xml:space="preserve">, F., </w:t>
      </w:r>
      <w:proofErr w:type="spellStart"/>
      <w:r w:rsidRPr="00AF6FEA">
        <w:rPr>
          <w:lang w:val="en-GB"/>
        </w:rPr>
        <w:t>Haecker</w:t>
      </w:r>
      <w:proofErr w:type="spellEnd"/>
      <w:r w:rsidRPr="00AF6FEA">
        <w:rPr>
          <w:lang w:val="en-GB"/>
        </w:rPr>
        <w:t xml:space="preserve">, S. E., Werner, M., &amp; </w:t>
      </w:r>
      <w:proofErr w:type="spellStart"/>
      <w:r w:rsidRPr="00AF6FEA">
        <w:rPr>
          <w:lang w:val="en-GB"/>
        </w:rPr>
        <w:t>Smolenski</w:t>
      </w:r>
      <w:proofErr w:type="spellEnd"/>
      <w:r w:rsidRPr="00AF6FEA">
        <w:rPr>
          <w:lang w:val="en-GB"/>
        </w:rPr>
        <w:t xml:space="preserve">, J. (2015). Don’t edit the human germ line. </w:t>
      </w:r>
      <w:r w:rsidRPr="00AF6FEA">
        <w:rPr>
          <w:rStyle w:val="Emphasis"/>
          <w:lang w:val="en-GB"/>
        </w:rPr>
        <w:t>Nature, 519</w:t>
      </w:r>
      <w:r w:rsidRPr="00AF6FEA">
        <w:rPr>
          <w:lang w:val="en-GB"/>
        </w:rPr>
        <w:t xml:space="preserve">(7544), 410–411. </w:t>
      </w:r>
      <w:hyperlink r:id="rId34" w:history="1">
        <w:r w:rsidRPr="00AF6FEA">
          <w:rPr>
            <w:rStyle w:val="Hyperlink"/>
            <w:lang w:val="en-GB"/>
          </w:rPr>
          <w:t>https://doi.org/10.1038/519410a</w:t>
        </w:r>
      </w:hyperlink>
      <w:r w:rsidRPr="00AF6FEA">
        <w:rPr>
          <w:lang w:val="en-GB"/>
        </w:rPr>
        <w:t xml:space="preserve">  </w:t>
      </w:r>
    </w:p>
    <w:p w14:paraId="56CCF58F" w14:textId="77777777" w:rsidR="00F62CC5" w:rsidRPr="00AF6FEA" w:rsidRDefault="00F62CC5" w:rsidP="00B10DAA">
      <w:pPr>
        <w:pStyle w:val="NormalWeb"/>
        <w:jc w:val="both"/>
        <w:rPr>
          <w:lang w:val="en-GB"/>
        </w:rPr>
      </w:pPr>
      <w:r w:rsidRPr="00AF6FEA">
        <w:rPr>
          <w:lang w:val="en-GB"/>
        </w:rPr>
        <w:t xml:space="preserve">Mali, P., Yang, L., </w:t>
      </w:r>
      <w:proofErr w:type="spellStart"/>
      <w:r w:rsidRPr="00AF6FEA">
        <w:rPr>
          <w:lang w:val="en-GB"/>
        </w:rPr>
        <w:t>Esvelt</w:t>
      </w:r>
      <w:proofErr w:type="spellEnd"/>
      <w:r w:rsidRPr="00AF6FEA">
        <w:rPr>
          <w:lang w:val="en-GB"/>
        </w:rPr>
        <w:t xml:space="preserve">, K. M., </w:t>
      </w:r>
      <w:proofErr w:type="spellStart"/>
      <w:r w:rsidRPr="00AF6FEA">
        <w:rPr>
          <w:lang w:val="en-GB"/>
        </w:rPr>
        <w:t>Aach</w:t>
      </w:r>
      <w:proofErr w:type="spellEnd"/>
      <w:r w:rsidRPr="00AF6FEA">
        <w:rPr>
          <w:lang w:val="en-GB"/>
        </w:rPr>
        <w:t xml:space="preserve">, J., </w:t>
      </w:r>
      <w:proofErr w:type="spellStart"/>
      <w:r w:rsidRPr="00AF6FEA">
        <w:rPr>
          <w:lang w:val="en-GB"/>
        </w:rPr>
        <w:t>Guell</w:t>
      </w:r>
      <w:proofErr w:type="spellEnd"/>
      <w:r w:rsidRPr="00AF6FEA">
        <w:rPr>
          <w:lang w:val="en-GB"/>
        </w:rPr>
        <w:t xml:space="preserve">, M., DiCarlo, J. E., </w:t>
      </w:r>
      <w:proofErr w:type="spellStart"/>
      <w:r w:rsidRPr="00AF6FEA">
        <w:rPr>
          <w:lang w:val="en-GB"/>
        </w:rPr>
        <w:t>Norville</w:t>
      </w:r>
      <w:proofErr w:type="spellEnd"/>
      <w:r w:rsidRPr="00AF6FEA">
        <w:rPr>
          <w:lang w:val="en-GB"/>
        </w:rPr>
        <w:t xml:space="preserve">, J. E., &amp; Church, G. M. (2013). RNA-guided human genome engineering via Cas9. </w:t>
      </w:r>
      <w:r w:rsidRPr="00AF6FEA">
        <w:rPr>
          <w:rStyle w:val="Emphasis"/>
          <w:lang w:val="en-GB"/>
        </w:rPr>
        <w:t>Science, 339</w:t>
      </w:r>
      <w:r w:rsidRPr="00AF6FEA">
        <w:rPr>
          <w:lang w:val="en-GB"/>
        </w:rPr>
        <w:t xml:space="preserve">(6121), 823–826. </w:t>
      </w:r>
      <w:hyperlink r:id="rId35" w:history="1">
        <w:r w:rsidRPr="00AF6FEA">
          <w:rPr>
            <w:rStyle w:val="Hyperlink"/>
            <w:lang w:val="en-GB"/>
          </w:rPr>
          <w:t>https://doi.org/10.1126/science.1232033</w:t>
        </w:r>
      </w:hyperlink>
      <w:r w:rsidRPr="00AF6FEA">
        <w:rPr>
          <w:lang w:val="en-GB"/>
        </w:rPr>
        <w:t xml:space="preserve">  </w:t>
      </w:r>
    </w:p>
    <w:p w14:paraId="0FF54E90" w14:textId="77777777" w:rsidR="00F62CC5" w:rsidRPr="00AF6FEA" w:rsidRDefault="00F62CC5" w:rsidP="00B10DAA">
      <w:pPr>
        <w:pStyle w:val="NormalWeb"/>
        <w:jc w:val="both"/>
        <w:rPr>
          <w:lang w:val="en-GB"/>
        </w:rPr>
      </w:pPr>
      <w:r>
        <w:lastRenderedPageBreak/>
        <w:t xml:space="preserve">Mallick, C., Kaur, N., Thakur, N., &amp; Mehta, P. (2021). A review on therapeutic application of CRISPR/Cas9 for HIV. </w:t>
      </w:r>
      <w:r>
        <w:rPr>
          <w:rStyle w:val="Emphasis"/>
        </w:rPr>
        <w:t>Journal of Pharmaceutical Research International, 33</w:t>
      </w:r>
      <w:r>
        <w:t xml:space="preserve">(63A), 98–106. </w:t>
      </w:r>
      <w:hyperlink r:id="rId36" w:tgtFrame="_new" w:history="1">
        <w:r>
          <w:rPr>
            <w:rStyle w:val="Hyperlink"/>
          </w:rPr>
          <w:t>https://doi.org/10.9734/jpri/2021/v33i63A35220</w:t>
        </w:r>
      </w:hyperlink>
    </w:p>
    <w:p w14:paraId="50D39519" w14:textId="77777777" w:rsidR="00F62CC5" w:rsidRPr="00AF6FEA" w:rsidRDefault="00F62CC5" w:rsidP="00B10DAA">
      <w:pPr>
        <w:pStyle w:val="NormalWeb"/>
        <w:jc w:val="both"/>
        <w:rPr>
          <w:lang w:val="en-GB"/>
        </w:rPr>
      </w:pPr>
      <w:proofErr w:type="spellStart"/>
      <w:r w:rsidRPr="00AF6FEA">
        <w:rPr>
          <w:lang w:val="en-GB"/>
        </w:rPr>
        <w:t>Oye</w:t>
      </w:r>
      <w:proofErr w:type="spellEnd"/>
      <w:r w:rsidRPr="00AF6FEA">
        <w:rPr>
          <w:lang w:val="en-GB"/>
        </w:rPr>
        <w:t xml:space="preserve">, K. A., </w:t>
      </w:r>
      <w:proofErr w:type="spellStart"/>
      <w:r w:rsidRPr="00AF6FEA">
        <w:rPr>
          <w:lang w:val="en-GB"/>
        </w:rPr>
        <w:t>Esvelt</w:t>
      </w:r>
      <w:proofErr w:type="spellEnd"/>
      <w:r w:rsidRPr="00AF6FEA">
        <w:rPr>
          <w:lang w:val="en-GB"/>
        </w:rPr>
        <w:t xml:space="preserve">, K., Appleton, E., </w:t>
      </w:r>
      <w:proofErr w:type="spellStart"/>
      <w:r w:rsidRPr="00AF6FEA">
        <w:rPr>
          <w:lang w:val="en-GB"/>
        </w:rPr>
        <w:t>Catteruccia</w:t>
      </w:r>
      <w:proofErr w:type="spellEnd"/>
      <w:r w:rsidRPr="00AF6FEA">
        <w:rPr>
          <w:lang w:val="en-GB"/>
        </w:rPr>
        <w:t xml:space="preserve">, F., Church, G., </w:t>
      </w:r>
      <w:proofErr w:type="spellStart"/>
      <w:r w:rsidRPr="00AF6FEA">
        <w:rPr>
          <w:lang w:val="en-GB"/>
        </w:rPr>
        <w:t>Kuiken</w:t>
      </w:r>
      <w:proofErr w:type="spellEnd"/>
      <w:r w:rsidRPr="00AF6FEA">
        <w:rPr>
          <w:lang w:val="en-GB"/>
        </w:rPr>
        <w:t xml:space="preserve">, T., Lightfoot, S. B.-Y., McNamara, J., </w:t>
      </w:r>
      <w:proofErr w:type="spellStart"/>
      <w:r w:rsidRPr="00AF6FEA">
        <w:rPr>
          <w:lang w:val="en-GB"/>
        </w:rPr>
        <w:t>Smidler</w:t>
      </w:r>
      <w:proofErr w:type="spellEnd"/>
      <w:r w:rsidRPr="00AF6FEA">
        <w:rPr>
          <w:lang w:val="en-GB"/>
        </w:rPr>
        <w:t xml:space="preserve">, A., &amp; Collins, J. P. (2014). Regulating gene drives. </w:t>
      </w:r>
      <w:r w:rsidRPr="00AF6FEA">
        <w:rPr>
          <w:rStyle w:val="Emphasis"/>
          <w:lang w:val="en-GB"/>
        </w:rPr>
        <w:t>Science, 345</w:t>
      </w:r>
      <w:r w:rsidRPr="00AF6FEA">
        <w:rPr>
          <w:lang w:val="en-GB"/>
        </w:rPr>
        <w:t xml:space="preserve">(6197), 626–628. </w:t>
      </w:r>
      <w:hyperlink r:id="rId37" w:history="1">
        <w:r w:rsidRPr="00AF6FEA">
          <w:rPr>
            <w:rStyle w:val="Hyperlink"/>
            <w:lang w:val="en-GB"/>
          </w:rPr>
          <w:t>https://doi.org/10.1126/science.1254287</w:t>
        </w:r>
      </w:hyperlink>
      <w:r w:rsidRPr="00AF6FEA">
        <w:rPr>
          <w:lang w:val="en-GB"/>
        </w:rPr>
        <w:t xml:space="preserve">  </w:t>
      </w:r>
    </w:p>
    <w:p w14:paraId="600BAF0E" w14:textId="77777777" w:rsidR="00F62CC5" w:rsidRPr="00AF6FEA" w:rsidRDefault="00F62CC5" w:rsidP="00B10DAA">
      <w:pPr>
        <w:pStyle w:val="NormalWeb"/>
        <w:jc w:val="both"/>
        <w:rPr>
          <w:lang w:val="en-GB"/>
        </w:rPr>
      </w:pPr>
      <w:proofErr w:type="spellStart"/>
      <w:r w:rsidRPr="00AF6FEA">
        <w:rPr>
          <w:lang w:val="en-GB"/>
        </w:rPr>
        <w:t>Pawluk</w:t>
      </w:r>
      <w:proofErr w:type="spellEnd"/>
      <w:r w:rsidRPr="00AF6FEA">
        <w:rPr>
          <w:lang w:val="en-GB"/>
        </w:rPr>
        <w:t xml:space="preserve">, A., </w:t>
      </w:r>
      <w:proofErr w:type="spellStart"/>
      <w:r w:rsidRPr="00AF6FEA">
        <w:rPr>
          <w:lang w:val="en-GB"/>
        </w:rPr>
        <w:t>Amrani</w:t>
      </w:r>
      <w:proofErr w:type="spellEnd"/>
      <w:r w:rsidRPr="00AF6FEA">
        <w:rPr>
          <w:lang w:val="en-GB"/>
        </w:rPr>
        <w:t xml:space="preserve">, N., Zhang, Y., Garcia, B., Hidalgo-Reyes, Y., Lee, J., </w:t>
      </w:r>
      <w:proofErr w:type="spellStart"/>
      <w:r w:rsidRPr="00AF6FEA">
        <w:rPr>
          <w:lang w:val="en-GB"/>
        </w:rPr>
        <w:t>Edraki</w:t>
      </w:r>
      <w:proofErr w:type="spellEnd"/>
      <w:r w:rsidRPr="00AF6FEA">
        <w:rPr>
          <w:lang w:val="en-GB"/>
        </w:rPr>
        <w:t xml:space="preserve">, A., Shah, M., </w:t>
      </w:r>
      <w:proofErr w:type="spellStart"/>
      <w:r w:rsidRPr="00AF6FEA">
        <w:rPr>
          <w:lang w:val="en-GB"/>
        </w:rPr>
        <w:t>Sontheimer</w:t>
      </w:r>
      <w:proofErr w:type="spellEnd"/>
      <w:r w:rsidRPr="00AF6FEA">
        <w:rPr>
          <w:lang w:val="en-GB"/>
        </w:rPr>
        <w:t xml:space="preserve">, E. J., Maxwell, K. L., &amp; Davidson, A. R. (2016). Naturally occurring off-switches for CRISPR-Cas9. </w:t>
      </w:r>
      <w:r w:rsidRPr="00AF6FEA">
        <w:rPr>
          <w:rStyle w:val="Emphasis"/>
          <w:lang w:val="en-GB"/>
        </w:rPr>
        <w:t>Cell, 167</w:t>
      </w:r>
      <w:r w:rsidRPr="00AF6FEA">
        <w:rPr>
          <w:lang w:val="en-GB"/>
        </w:rPr>
        <w:t xml:space="preserve">(7), 1829–1838.e9. </w:t>
      </w:r>
      <w:hyperlink r:id="rId38" w:history="1">
        <w:r w:rsidRPr="00AF6FEA">
          <w:rPr>
            <w:rStyle w:val="Hyperlink"/>
            <w:lang w:val="en-GB"/>
          </w:rPr>
          <w:t>https://doi.org/10.1016/j.cell.2016.11.017</w:t>
        </w:r>
      </w:hyperlink>
      <w:r w:rsidRPr="00AF6FEA">
        <w:rPr>
          <w:lang w:val="en-GB"/>
        </w:rPr>
        <w:t xml:space="preserve">  </w:t>
      </w:r>
    </w:p>
    <w:p w14:paraId="3B479729" w14:textId="77777777" w:rsidR="00F62CC5" w:rsidRPr="00AF6FEA" w:rsidRDefault="00F62CC5" w:rsidP="00B10DAA">
      <w:pPr>
        <w:pStyle w:val="NormalWeb"/>
        <w:jc w:val="both"/>
        <w:rPr>
          <w:lang w:val="en-GB"/>
        </w:rPr>
      </w:pPr>
      <w:proofErr w:type="spellStart"/>
      <w:r w:rsidRPr="00AF6FEA">
        <w:rPr>
          <w:lang w:val="en-GB"/>
        </w:rPr>
        <w:t>Pawluk</w:t>
      </w:r>
      <w:proofErr w:type="spellEnd"/>
      <w:r w:rsidRPr="00AF6FEA">
        <w:rPr>
          <w:lang w:val="en-GB"/>
        </w:rPr>
        <w:t xml:space="preserve">, A., Davidson, A. R., &amp; Maxwell, K. L. (2018). Anti-CRISPR: Discovery, mechanism and function. </w:t>
      </w:r>
      <w:r w:rsidRPr="00AF6FEA">
        <w:rPr>
          <w:rStyle w:val="Emphasis"/>
          <w:lang w:val="en-GB"/>
        </w:rPr>
        <w:t>Nature Reviews Microbiology, 16</w:t>
      </w:r>
      <w:r w:rsidRPr="00AF6FEA">
        <w:rPr>
          <w:lang w:val="en-GB"/>
        </w:rPr>
        <w:t xml:space="preserve">(1), 12–17. </w:t>
      </w:r>
      <w:hyperlink r:id="rId39" w:history="1">
        <w:r w:rsidRPr="00AF6FEA">
          <w:rPr>
            <w:rStyle w:val="Hyperlink"/>
            <w:lang w:val="en-GB"/>
          </w:rPr>
          <w:t>https://doi.org/10.1038/nrmicro.2017.120</w:t>
        </w:r>
      </w:hyperlink>
      <w:r w:rsidRPr="00AF6FEA">
        <w:rPr>
          <w:lang w:val="en-GB"/>
        </w:rPr>
        <w:t xml:space="preserve">  </w:t>
      </w:r>
    </w:p>
    <w:p w14:paraId="447EC906" w14:textId="77777777" w:rsidR="00F62CC5" w:rsidRPr="00AF6FEA" w:rsidRDefault="00F62CC5" w:rsidP="00B10DAA">
      <w:pPr>
        <w:pStyle w:val="NormalWeb"/>
        <w:jc w:val="both"/>
        <w:rPr>
          <w:lang w:val="en-GB"/>
        </w:rPr>
      </w:pPr>
      <w:proofErr w:type="spellStart"/>
      <w:r w:rsidRPr="00AF6FEA">
        <w:rPr>
          <w:lang w:val="en-GB"/>
        </w:rPr>
        <w:t>Pawluk</w:t>
      </w:r>
      <w:proofErr w:type="spellEnd"/>
      <w:r w:rsidRPr="00AF6FEA">
        <w:rPr>
          <w:lang w:val="en-GB"/>
        </w:rPr>
        <w:t xml:space="preserve">, A., </w:t>
      </w:r>
      <w:proofErr w:type="spellStart"/>
      <w:r w:rsidRPr="00AF6FEA">
        <w:rPr>
          <w:lang w:val="en-GB"/>
        </w:rPr>
        <w:t>Staals</w:t>
      </w:r>
      <w:proofErr w:type="spellEnd"/>
      <w:r w:rsidRPr="00AF6FEA">
        <w:rPr>
          <w:lang w:val="en-GB"/>
        </w:rPr>
        <w:t xml:space="preserve">, R. H. J., Taylor, C., Watson, B. N. J., Saha, S., </w:t>
      </w:r>
      <w:proofErr w:type="spellStart"/>
      <w:r w:rsidRPr="00AF6FEA">
        <w:rPr>
          <w:lang w:val="en-GB"/>
        </w:rPr>
        <w:t>Fineran</w:t>
      </w:r>
      <w:proofErr w:type="spellEnd"/>
      <w:r w:rsidRPr="00AF6FEA">
        <w:rPr>
          <w:lang w:val="en-GB"/>
        </w:rPr>
        <w:t xml:space="preserve">, P. C., Maxwell, K. L., &amp; Davidson, A. R. (2016). Inactivation of CRISPR-Cas systems by anti-CRISPR proteins in diverse bacterial species. </w:t>
      </w:r>
      <w:r w:rsidRPr="00AF6FEA">
        <w:rPr>
          <w:rStyle w:val="Emphasis"/>
          <w:lang w:val="en-GB"/>
        </w:rPr>
        <w:t>Nature Microbiology, 1</w:t>
      </w:r>
      <w:r w:rsidRPr="00AF6FEA">
        <w:rPr>
          <w:lang w:val="en-GB"/>
        </w:rPr>
        <w:t xml:space="preserve">(8), 16085. </w:t>
      </w:r>
      <w:hyperlink r:id="rId40" w:history="1">
        <w:r w:rsidRPr="00AF6FEA">
          <w:rPr>
            <w:rStyle w:val="Hyperlink"/>
            <w:lang w:val="en-GB"/>
          </w:rPr>
          <w:t>https://doi.org/10.1038/nmicrobiol.2016.85</w:t>
        </w:r>
      </w:hyperlink>
      <w:r w:rsidRPr="00AF6FEA">
        <w:rPr>
          <w:lang w:val="en-GB"/>
        </w:rPr>
        <w:t xml:space="preserve">  </w:t>
      </w:r>
    </w:p>
    <w:p w14:paraId="4EF2CFCF" w14:textId="77777777" w:rsidR="00F62CC5" w:rsidRPr="00AF6FEA" w:rsidRDefault="00F62CC5" w:rsidP="00B10DAA">
      <w:pPr>
        <w:pStyle w:val="NormalWeb"/>
        <w:jc w:val="both"/>
        <w:rPr>
          <w:lang w:val="en-GB"/>
        </w:rPr>
      </w:pPr>
      <w:r w:rsidRPr="00AF6FEA">
        <w:rPr>
          <w:lang w:val="en-GB"/>
        </w:rPr>
        <w:t xml:space="preserve">Qi, L. S., Larson, M. H., Gilbert, L. A., </w:t>
      </w:r>
      <w:proofErr w:type="spellStart"/>
      <w:r w:rsidRPr="00AF6FEA">
        <w:rPr>
          <w:lang w:val="en-GB"/>
        </w:rPr>
        <w:t>Doudna</w:t>
      </w:r>
      <w:proofErr w:type="spellEnd"/>
      <w:r w:rsidRPr="00AF6FEA">
        <w:rPr>
          <w:lang w:val="en-GB"/>
        </w:rPr>
        <w:t xml:space="preserve">, J. A., Weissman, J. S., Arkin, A. P., &amp; Lim, W. A. (2013). Repurposing CRISPR as an RNA-guided platform for sequence-specific control of gene expression. </w:t>
      </w:r>
      <w:r w:rsidRPr="00AF6FEA">
        <w:rPr>
          <w:rStyle w:val="Emphasis"/>
          <w:lang w:val="en-GB"/>
        </w:rPr>
        <w:t>Cell, 152</w:t>
      </w:r>
      <w:r w:rsidRPr="00AF6FEA">
        <w:rPr>
          <w:lang w:val="en-GB"/>
        </w:rPr>
        <w:t xml:space="preserve">(5), 1173–1183. </w:t>
      </w:r>
      <w:hyperlink r:id="rId41" w:history="1">
        <w:r w:rsidRPr="00AF6FEA">
          <w:rPr>
            <w:rStyle w:val="Hyperlink"/>
            <w:lang w:val="en-GB"/>
          </w:rPr>
          <w:t>https://doi.org/10.1016/j.cell.2013.02.022</w:t>
        </w:r>
      </w:hyperlink>
      <w:r w:rsidRPr="00AF6FEA">
        <w:rPr>
          <w:lang w:val="en-GB"/>
        </w:rPr>
        <w:t xml:space="preserve">  </w:t>
      </w:r>
    </w:p>
    <w:p w14:paraId="541B0FDD" w14:textId="77777777" w:rsidR="00F62CC5" w:rsidRPr="00AF6FEA" w:rsidRDefault="00F62CC5" w:rsidP="00B10DAA">
      <w:pPr>
        <w:pStyle w:val="NormalWeb"/>
        <w:jc w:val="both"/>
        <w:rPr>
          <w:lang w:val="en-GB"/>
        </w:rPr>
      </w:pPr>
      <w:proofErr w:type="spellStart"/>
      <w:r w:rsidRPr="00AF6FEA">
        <w:rPr>
          <w:lang w:val="en-GB"/>
        </w:rPr>
        <w:t>Slaymaker</w:t>
      </w:r>
      <w:proofErr w:type="spellEnd"/>
      <w:r w:rsidRPr="00AF6FEA">
        <w:rPr>
          <w:lang w:val="en-GB"/>
        </w:rPr>
        <w:t xml:space="preserve">, I. M., Gao, L., Zetsche, B., Scott, D. A., Yan, W. X., &amp; Zhang, F. (2016). Rationally engineered Cas9 nucleases with improved specificity. </w:t>
      </w:r>
      <w:r w:rsidRPr="00AF6FEA">
        <w:rPr>
          <w:rStyle w:val="Emphasis"/>
          <w:lang w:val="en-GB"/>
        </w:rPr>
        <w:t>Science, 351</w:t>
      </w:r>
      <w:r w:rsidRPr="00AF6FEA">
        <w:rPr>
          <w:lang w:val="en-GB"/>
        </w:rPr>
        <w:t xml:space="preserve">(6268), 84–88. </w:t>
      </w:r>
      <w:hyperlink r:id="rId42" w:tgtFrame="_new" w:history="1">
        <w:r w:rsidRPr="00AF6FEA">
          <w:rPr>
            <w:rStyle w:val="Hyperlink"/>
            <w:lang w:val="en-GB"/>
          </w:rPr>
          <w:t>https://doi.org/10.1126/science.aad5227</w:t>
        </w:r>
      </w:hyperlink>
      <w:r w:rsidRPr="00AF6FEA">
        <w:rPr>
          <w:lang w:val="en-GB"/>
        </w:rPr>
        <w:t xml:space="preserve"> </w:t>
      </w:r>
    </w:p>
    <w:p w14:paraId="2D3C7F0E" w14:textId="77777777" w:rsidR="00F62CC5" w:rsidRPr="00AF6FEA" w:rsidRDefault="00F62CC5" w:rsidP="00B10DAA">
      <w:pPr>
        <w:pStyle w:val="NormalWeb"/>
        <w:jc w:val="both"/>
        <w:rPr>
          <w:lang w:val="en-GB"/>
        </w:rPr>
      </w:pPr>
      <w:r w:rsidRPr="00AF6FEA">
        <w:rPr>
          <w:lang w:val="en-GB"/>
        </w:rPr>
        <w:t xml:space="preserve">Tsai, S. Q., Zheng, Z., Nguyen, N. T., </w:t>
      </w:r>
      <w:proofErr w:type="spellStart"/>
      <w:r w:rsidRPr="00AF6FEA">
        <w:rPr>
          <w:lang w:val="en-GB"/>
        </w:rPr>
        <w:t>Liebers</w:t>
      </w:r>
      <w:proofErr w:type="spellEnd"/>
      <w:r w:rsidRPr="00AF6FEA">
        <w:rPr>
          <w:lang w:val="en-GB"/>
        </w:rPr>
        <w:t xml:space="preserve">, M., </w:t>
      </w:r>
      <w:proofErr w:type="spellStart"/>
      <w:r w:rsidRPr="00AF6FEA">
        <w:rPr>
          <w:lang w:val="en-GB"/>
        </w:rPr>
        <w:t>Topkar</w:t>
      </w:r>
      <w:proofErr w:type="spellEnd"/>
      <w:r w:rsidRPr="00AF6FEA">
        <w:rPr>
          <w:lang w:val="en-GB"/>
        </w:rPr>
        <w:t xml:space="preserve">, V. V., Thapar, V., </w:t>
      </w:r>
      <w:proofErr w:type="spellStart"/>
      <w:r w:rsidRPr="00AF6FEA">
        <w:rPr>
          <w:lang w:val="en-GB"/>
        </w:rPr>
        <w:t>Wyvekens</w:t>
      </w:r>
      <w:proofErr w:type="spellEnd"/>
      <w:r w:rsidRPr="00AF6FEA">
        <w:rPr>
          <w:lang w:val="en-GB"/>
        </w:rPr>
        <w:t xml:space="preserve">, N., </w:t>
      </w:r>
      <w:proofErr w:type="spellStart"/>
      <w:r w:rsidRPr="00AF6FEA">
        <w:rPr>
          <w:lang w:val="en-GB"/>
        </w:rPr>
        <w:t>Khayter</w:t>
      </w:r>
      <w:proofErr w:type="spellEnd"/>
      <w:r w:rsidRPr="00AF6FEA">
        <w:rPr>
          <w:lang w:val="en-GB"/>
        </w:rPr>
        <w:t xml:space="preserve">, C., </w:t>
      </w:r>
      <w:proofErr w:type="spellStart"/>
      <w:r w:rsidRPr="00AF6FEA">
        <w:rPr>
          <w:lang w:val="en-GB"/>
        </w:rPr>
        <w:t>Iafrate</w:t>
      </w:r>
      <w:proofErr w:type="spellEnd"/>
      <w:r w:rsidRPr="00AF6FEA">
        <w:rPr>
          <w:lang w:val="en-GB"/>
        </w:rPr>
        <w:t xml:space="preserve">, A. J., Le, L. P., </w:t>
      </w:r>
      <w:proofErr w:type="spellStart"/>
      <w:r w:rsidRPr="00AF6FEA">
        <w:rPr>
          <w:lang w:val="en-GB"/>
        </w:rPr>
        <w:t>Aryee</w:t>
      </w:r>
      <w:proofErr w:type="spellEnd"/>
      <w:r w:rsidRPr="00AF6FEA">
        <w:rPr>
          <w:lang w:val="en-GB"/>
        </w:rPr>
        <w:t xml:space="preserve">, M. J., &amp; </w:t>
      </w:r>
      <w:proofErr w:type="spellStart"/>
      <w:r w:rsidRPr="00AF6FEA">
        <w:rPr>
          <w:lang w:val="en-GB"/>
        </w:rPr>
        <w:t>Joung</w:t>
      </w:r>
      <w:proofErr w:type="spellEnd"/>
      <w:r w:rsidRPr="00AF6FEA">
        <w:rPr>
          <w:lang w:val="en-GB"/>
        </w:rPr>
        <w:t>, J. K. (2015). GUIDE-</w:t>
      </w:r>
      <w:proofErr w:type="spellStart"/>
      <w:r w:rsidRPr="00AF6FEA">
        <w:rPr>
          <w:lang w:val="en-GB"/>
        </w:rPr>
        <w:t>seq</w:t>
      </w:r>
      <w:proofErr w:type="spellEnd"/>
      <w:r w:rsidRPr="00AF6FEA">
        <w:rPr>
          <w:lang w:val="en-GB"/>
        </w:rPr>
        <w:t xml:space="preserve"> enables genome-wide profiling of off-target cleavage by CRISPR-Cas nucleases. </w:t>
      </w:r>
      <w:r w:rsidRPr="00AF6FEA">
        <w:rPr>
          <w:rStyle w:val="Emphasis"/>
          <w:lang w:val="en-GB"/>
        </w:rPr>
        <w:t>Nature Biotechnology, 33</w:t>
      </w:r>
      <w:r w:rsidRPr="00AF6FEA">
        <w:rPr>
          <w:lang w:val="en-GB"/>
        </w:rPr>
        <w:t xml:space="preserve">(2), 187–197. </w:t>
      </w:r>
      <w:hyperlink r:id="rId43" w:history="1">
        <w:r w:rsidRPr="00AF6FEA">
          <w:rPr>
            <w:rStyle w:val="Hyperlink"/>
            <w:lang w:val="en-GB"/>
          </w:rPr>
          <w:t>https://doi.org/10.1038/nbt.3117</w:t>
        </w:r>
      </w:hyperlink>
      <w:r w:rsidRPr="00AF6FEA">
        <w:rPr>
          <w:lang w:val="en-GB"/>
        </w:rPr>
        <w:t xml:space="preserve">  </w:t>
      </w:r>
    </w:p>
    <w:p w14:paraId="04E319E6" w14:textId="77777777" w:rsidR="00F62CC5" w:rsidRPr="00AF6FEA" w:rsidRDefault="00F62CC5" w:rsidP="00B10DAA">
      <w:pPr>
        <w:pStyle w:val="NormalWeb"/>
        <w:jc w:val="both"/>
        <w:rPr>
          <w:lang w:val="en-GB"/>
        </w:rPr>
      </w:pPr>
      <w:proofErr w:type="spellStart"/>
      <w:r w:rsidRPr="00AF6FEA">
        <w:rPr>
          <w:lang w:val="en-GB"/>
        </w:rPr>
        <w:t>Vandamme</w:t>
      </w:r>
      <w:proofErr w:type="spellEnd"/>
      <w:r w:rsidRPr="00AF6FEA">
        <w:rPr>
          <w:lang w:val="en-GB"/>
        </w:rPr>
        <w:t xml:space="preserve">, C., </w:t>
      </w:r>
      <w:proofErr w:type="spellStart"/>
      <w:r w:rsidRPr="00AF6FEA">
        <w:rPr>
          <w:lang w:val="en-GB"/>
        </w:rPr>
        <w:t>Adjali</w:t>
      </w:r>
      <w:proofErr w:type="spellEnd"/>
      <w:r w:rsidRPr="00AF6FEA">
        <w:rPr>
          <w:lang w:val="en-GB"/>
        </w:rPr>
        <w:t xml:space="preserve">, O., &amp; </w:t>
      </w:r>
      <w:proofErr w:type="spellStart"/>
      <w:r w:rsidRPr="00AF6FEA">
        <w:rPr>
          <w:lang w:val="en-GB"/>
        </w:rPr>
        <w:t>Mingozzi</w:t>
      </w:r>
      <w:proofErr w:type="spellEnd"/>
      <w:r w:rsidRPr="00AF6FEA">
        <w:rPr>
          <w:lang w:val="en-GB"/>
        </w:rPr>
        <w:t xml:space="preserve">, F. (2017). </w:t>
      </w:r>
      <w:proofErr w:type="spellStart"/>
      <w:r w:rsidRPr="00AF6FEA">
        <w:rPr>
          <w:lang w:val="en-GB"/>
        </w:rPr>
        <w:t>Unraveling</w:t>
      </w:r>
      <w:proofErr w:type="spellEnd"/>
      <w:r w:rsidRPr="00AF6FEA">
        <w:rPr>
          <w:lang w:val="en-GB"/>
        </w:rPr>
        <w:t xml:space="preserve"> the complex story of immune responses to AAV vectors trial after trial. </w:t>
      </w:r>
      <w:r w:rsidRPr="00AF6FEA">
        <w:rPr>
          <w:rStyle w:val="Emphasis"/>
          <w:lang w:val="en-GB"/>
        </w:rPr>
        <w:t>Human Gene Therapy, 28</w:t>
      </w:r>
      <w:r w:rsidRPr="00AF6FEA">
        <w:rPr>
          <w:lang w:val="en-GB"/>
        </w:rPr>
        <w:t xml:space="preserve">(11), 1061–1074. </w:t>
      </w:r>
      <w:hyperlink r:id="rId44" w:history="1">
        <w:r w:rsidRPr="00AF6FEA">
          <w:rPr>
            <w:rStyle w:val="Hyperlink"/>
            <w:lang w:val="en-GB"/>
          </w:rPr>
          <w:t>https://doi.org/10.1089/hum.2017.150</w:t>
        </w:r>
      </w:hyperlink>
      <w:r w:rsidRPr="00AF6FEA">
        <w:rPr>
          <w:lang w:val="en-GB"/>
        </w:rPr>
        <w:t xml:space="preserve">  </w:t>
      </w:r>
    </w:p>
    <w:p w14:paraId="17654FEB" w14:textId="77777777" w:rsidR="00F62CC5" w:rsidRPr="00AF6FEA" w:rsidRDefault="00F62CC5" w:rsidP="00B10DAA">
      <w:pPr>
        <w:pStyle w:val="NormalWeb"/>
        <w:jc w:val="both"/>
        <w:rPr>
          <w:lang w:val="en-GB"/>
        </w:rPr>
      </w:pPr>
      <w:r w:rsidRPr="00AF6FEA">
        <w:rPr>
          <w:lang w:val="en-GB"/>
        </w:rPr>
        <w:t xml:space="preserve">Yu, L., Yin, M., Zhu, Y., Lu, Z., Xiao, B., Zhou, F., Yu, Y., &amp; Huang, Z. (2026). An anti-CRISPR targets the sgRNA to block Cas9 and guides the design of enhanced genome editors. </w:t>
      </w:r>
      <w:r w:rsidRPr="00AF6FEA">
        <w:rPr>
          <w:rStyle w:val="Emphasis"/>
          <w:lang w:val="en-GB"/>
        </w:rPr>
        <w:t>Nature Structural &amp; Molecular Biology, 33</w:t>
      </w:r>
      <w:r w:rsidRPr="00AF6FEA">
        <w:rPr>
          <w:lang w:val="en-GB"/>
        </w:rPr>
        <w:t xml:space="preserve">, 318–329. </w:t>
      </w:r>
      <w:hyperlink r:id="rId45" w:history="1">
        <w:r w:rsidRPr="00AF6FEA">
          <w:rPr>
            <w:rStyle w:val="Hyperlink"/>
            <w:lang w:val="en-GB"/>
          </w:rPr>
          <w:t>https://doi.org/10.1038/s41594-025-01741-z</w:t>
        </w:r>
      </w:hyperlink>
      <w:r w:rsidRPr="00AF6FEA">
        <w:rPr>
          <w:lang w:val="en-GB"/>
        </w:rPr>
        <w:t xml:space="preserve">   </w:t>
      </w:r>
    </w:p>
    <w:p w14:paraId="24B7A92A" w14:textId="77777777" w:rsidR="00F62CC5" w:rsidRDefault="00F62CC5" w:rsidP="00B10DAA">
      <w:pPr>
        <w:pStyle w:val="NormalWeb"/>
        <w:jc w:val="both"/>
        <w:rPr>
          <w:lang w:val="en-GB"/>
        </w:rPr>
      </w:pPr>
      <w:r w:rsidRPr="00AF6FEA">
        <w:rPr>
          <w:lang w:val="en-GB"/>
        </w:rPr>
        <w:t xml:space="preserve">Zetsche, B., </w:t>
      </w:r>
      <w:proofErr w:type="spellStart"/>
      <w:r w:rsidRPr="00AF6FEA">
        <w:rPr>
          <w:lang w:val="en-GB"/>
        </w:rPr>
        <w:t>Gootenberg</w:t>
      </w:r>
      <w:proofErr w:type="spellEnd"/>
      <w:r w:rsidRPr="00AF6FEA">
        <w:rPr>
          <w:lang w:val="en-GB"/>
        </w:rPr>
        <w:t xml:space="preserve">, J. S., </w:t>
      </w:r>
      <w:proofErr w:type="spellStart"/>
      <w:r w:rsidRPr="00AF6FEA">
        <w:rPr>
          <w:lang w:val="en-GB"/>
        </w:rPr>
        <w:t>Abudayyeh</w:t>
      </w:r>
      <w:proofErr w:type="spellEnd"/>
      <w:r w:rsidRPr="00AF6FEA">
        <w:rPr>
          <w:lang w:val="en-GB"/>
        </w:rPr>
        <w:t xml:space="preserve">, O. O., </w:t>
      </w:r>
      <w:proofErr w:type="spellStart"/>
      <w:r w:rsidRPr="00AF6FEA">
        <w:rPr>
          <w:lang w:val="en-GB"/>
        </w:rPr>
        <w:t>Slaymaker</w:t>
      </w:r>
      <w:proofErr w:type="spellEnd"/>
      <w:r w:rsidRPr="00AF6FEA">
        <w:rPr>
          <w:lang w:val="en-GB"/>
        </w:rPr>
        <w:t xml:space="preserve">, I. M., Makarova, K. S., </w:t>
      </w:r>
      <w:proofErr w:type="spellStart"/>
      <w:r w:rsidRPr="00AF6FEA">
        <w:rPr>
          <w:lang w:val="en-GB"/>
        </w:rPr>
        <w:t>Essletzbichler</w:t>
      </w:r>
      <w:proofErr w:type="spellEnd"/>
      <w:r w:rsidRPr="00AF6FEA">
        <w:rPr>
          <w:lang w:val="en-GB"/>
        </w:rPr>
        <w:t xml:space="preserve">, P., Volz, S. E., </w:t>
      </w:r>
      <w:proofErr w:type="spellStart"/>
      <w:r w:rsidRPr="00AF6FEA">
        <w:rPr>
          <w:lang w:val="en-GB"/>
        </w:rPr>
        <w:t>Joung</w:t>
      </w:r>
      <w:proofErr w:type="spellEnd"/>
      <w:r w:rsidRPr="00AF6FEA">
        <w:rPr>
          <w:lang w:val="en-GB"/>
        </w:rPr>
        <w:t xml:space="preserve">, J., van der Oost, J., Regev, A., </w:t>
      </w:r>
      <w:proofErr w:type="spellStart"/>
      <w:r w:rsidRPr="00AF6FEA">
        <w:rPr>
          <w:lang w:val="en-GB"/>
        </w:rPr>
        <w:t>Koonin</w:t>
      </w:r>
      <w:proofErr w:type="spellEnd"/>
      <w:r w:rsidRPr="00AF6FEA">
        <w:rPr>
          <w:lang w:val="en-GB"/>
        </w:rPr>
        <w:t xml:space="preserve">, E. V., &amp; Zhang, F. (2015). Cpf1 is a single RNA-guided endonuclease of a class 2 CRISPR-Cas system. </w:t>
      </w:r>
      <w:r w:rsidRPr="00AF6FEA">
        <w:rPr>
          <w:rStyle w:val="Emphasis"/>
          <w:lang w:val="en-GB"/>
        </w:rPr>
        <w:t>Cell, 163</w:t>
      </w:r>
      <w:r w:rsidRPr="00AF6FEA">
        <w:rPr>
          <w:lang w:val="en-GB"/>
        </w:rPr>
        <w:t xml:space="preserve">(3), 759–771. </w:t>
      </w:r>
      <w:hyperlink r:id="rId46" w:history="1">
        <w:r w:rsidRPr="00AF6FEA">
          <w:rPr>
            <w:rStyle w:val="Hyperlink"/>
            <w:lang w:val="en-GB"/>
          </w:rPr>
          <w:t>https://doi.org/10.1016/j.cell.2015.09.038</w:t>
        </w:r>
      </w:hyperlink>
      <w:r w:rsidRPr="00AF6FEA">
        <w:rPr>
          <w:lang w:val="en-GB"/>
        </w:rPr>
        <w:t xml:space="preserve">  </w:t>
      </w:r>
    </w:p>
    <w:p w14:paraId="0CA41DBF" w14:textId="77777777" w:rsidR="00B10DAA" w:rsidRPr="00B10DAA" w:rsidRDefault="00B10DAA" w:rsidP="00B10DAA">
      <w:pPr>
        <w:shd w:val="clear" w:color="auto" w:fill="FFFFFF"/>
        <w:spacing w:after="0" w:line="240" w:lineRule="auto"/>
        <w:ind w:left="0" w:right="0" w:firstLine="0"/>
        <w:jc w:val="left"/>
        <w:rPr>
          <w:rFonts w:ascii="Consolas" w:hAnsi="Consolas"/>
          <w:color w:val="1B1B1B"/>
          <w:kern w:val="0"/>
          <w:lang w:val="en-US" w:eastAsia="en-US"/>
        </w:rPr>
      </w:pPr>
      <w:r w:rsidRPr="00E7107F">
        <w:rPr>
          <w:rFonts w:ascii="Consolas" w:hAnsi="Consolas"/>
          <w:color w:val="1B1B1B"/>
          <w:kern w:val="0"/>
          <w:highlight w:val="yellow"/>
          <w:lang w:val="en-US" w:eastAsia="en-US"/>
        </w:rPr>
        <w:lastRenderedPageBreak/>
        <w:t xml:space="preserve">Ramesh B, </w:t>
      </w:r>
      <w:proofErr w:type="spellStart"/>
      <w:r w:rsidRPr="00E7107F">
        <w:rPr>
          <w:rFonts w:ascii="Consolas" w:hAnsi="Consolas"/>
          <w:color w:val="1B1B1B"/>
          <w:kern w:val="0"/>
          <w:highlight w:val="yellow"/>
          <w:lang w:val="en-US" w:eastAsia="en-US"/>
        </w:rPr>
        <w:t>Fakoya</w:t>
      </w:r>
      <w:proofErr w:type="spellEnd"/>
      <w:r w:rsidRPr="00E7107F">
        <w:rPr>
          <w:rFonts w:ascii="Consolas" w:hAnsi="Consolas"/>
          <w:color w:val="1B1B1B"/>
          <w:kern w:val="0"/>
          <w:highlight w:val="yellow"/>
          <w:lang w:val="en-US" w:eastAsia="en-US"/>
        </w:rPr>
        <w:t xml:space="preserve"> AO. Clustered Regularly Interspaced Short Palindromic Repeats (CRISPR)-Cas Unleashed: Transforming Gene Editing </w:t>
      </w:r>
      <w:proofErr w:type="gramStart"/>
      <w:r w:rsidRPr="00E7107F">
        <w:rPr>
          <w:rFonts w:ascii="Consolas" w:hAnsi="Consolas"/>
          <w:color w:val="1B1B1B"/>
          <w:kern w:val="0"/>
          <w:highlight w:val="yellow"/>
          <w:lang w:val="en-US" w:eastAsia="en-US"/>
        </w:rPr>
        <w:t>With</w:t>
      </w:r>
      <w:proofErr w:type="gramEnd"/>
      <w:r w:rsidRPr="00E7107F">
        <w:rPr>
          <w:rFonts w:ascii="Consolas" w:hAnsi="Consolas"/>
          <w:color w:val="1B1B1B"/>
          <w:kern w:val="0"/>
          <w:highlight w:val="yellow"/>
          <w:lang w:val="en-US" w:eastAsia="en-US"/>
        </w:rPr>
        <w:t xml:space="preserve"> Breakthroughs, Applications, and Ethical Dilemmas. </w:t>
      </w:r>
      <w:proofErr w:type="spellStart"/>
      <w:r w:rsidRPr="00E7107F">
        <w:rPr>
          <w:rFonts w:ascii="Consolas" w:hAnsi="Consolas"/>
          <w:color w:val="1B1B1B"/>
          <w:kern w:val="0"/>
          <w:highlight w:val="yellow"/>
          <w:lang w:val="en-US" w:eastAsia="en-US"/>
        </w:rPr>
        <w:t>Cureus</w:t>
      </w:r>
      <w:proofErr w:type="spellEnd"/>
      <w:r w:rsidRPr="00E7107F">
        <w:rPr>
          <w:rFonts w:ascii="Consolas" w:hAnsi="Consolas"/>
          <w:color w:val="1B1B1B"/>
          <w:kern w:val="0"/>
          <w:highlight w:val="yellow"/>
          <w:lang w:val="en-US" w:eastAsia="en-US"/>
        </w:rPr>
        <w:t>. 2025 Nov 1;17(11</w:t>
      </w:r>
      <w:proofErr w:type="gramStart"/>
      <w:r w:rsidRPr="00E7107F">
        <w:rPr>
          <w:rFonts w:ascii="Consolas" w:hAnsi="Consolas"/>
          <w:color w:val="1B1B1B"/>
          <w:kern w:val="0"/>
          <w:highlight w:val="yellow"/>
          <w:lang w:val="en-US" w:eastAsia="en-US"/>
        </w:rPr>
        <w:t>):e</w:t>
      </w:r>
      <w:proofErr w:type="gramEnd"/>
      <w:r w:rsidRPr="00E7107F">
        <w:rPr>
          <w:rFonts w:ascii="Consolas" w:hAnsi="Consolas"/>
          <w:color w:val="1B1B1B"/>
          <w:kern w:val="0"/>
          <w:highlight w:val="yellow"/>
          <w:lang w:val="en-US" w:eastAsia="en-US"/>
        </w:rPr>
        <w:t xml:space="preserve">95908. </w:t>
      </w:r>
      <w:proofErr w:type="spellStart"/>
      <w:r w:rsidRPr="00E7107F">
        <w:rPr>
          <w:rFonts w:ascii="Consolas" w:hAnsi="Consolas"/>
          <w:color w:val="1B1B1B"/>
          <w:kern w:val="0"/>
          <w:highlight w:val="yellow"/>
          <w:lang w:val="en-US" w:eastAsia="en-US"/>
        </w:rPr>
        <w:t>doi</w:t>
      </w:r>
      <w:proofErr w:type="spellEnd"/>
      <w:r w:rsidRPr="00E7107F">
        <w:rPr>
          <w:rFonts w:ascii="Consolas" w:hAnsi="Consolas"/>
          <w:color w:val="1B1B1B"/>
          <w:kern w:val="0"/>
          <w:highlight w:val="yellow"/>
          <w:lang w:val="en-US" w:eastAsia="en-US"/>
        </w:rPr>
        <w:t>: 10.7759/cureus.95908. PMID: 41211267; PMCID: PMC12594536.</w:t>
      </w:r>
    </w:p>
    <w:p w14:paraId="34E16BFA" w14:textId="42E8D882" w:rsidR="00A34E95" w:rsidRDefault="00A34E95" w:rsidP="00B10DAA">
      <w:pPr>
        <w:rPr>
          <w:rFonts w:ascii="Arial" w:hAnsi="Arial" w:cs="Arial"/>
          <w:color w:val="222222"/>
          <w:sz w:val="20"/>
          <w:szCs w:val="20"/>
          <w:highlight w:val="yellow"/>
          <w:shd w:val="clear" w:color="auto" w:fill="FFFFFF"/>
        </w:rPr>
      </w:pPr>
    </w:p>
    <w:p w14:paraId="78124B07" w14:textId="77777777" w:rsidR="002609AE" w:rsidRPr="002609AE" w:rsidRDefault="002609AE" w:rsidP="002609AE">
      <w:pPr>
        <w:shd w:val="clear" w:color="auto" w:fill="FFFFFF"/>
        <w:spacing w:after="0" w:line="240" w:lineRule="auto"/>
        <w:ind w:left="0" w:right="0" w:firstLine="0"/>
        <w:jc w:val="left"/>
        <w:rPr>
          <w:rFonts w:ascii="Consolas" w:hAnsi="Consolas"/>
          <w:color w:val="1B1B1B"/>
          <w:kern w:val="0"/>
          <w:lang w:val="en-US" w:eastAsia="en-US"/>
        </w:rPr>
      </w:pPr>
      <w:r w:rsidRPr="00E7107F">
        <w:rPr>
          <w:rFonts w:ascii="Consolas" w:hAnsi="Consolas"/>
          <w:color w:val="1B1B1B"/>
          <w:kern w:val="0"/>
          <w:highlight w:val="yellow"/>
          <w:lang w:val="en-US" w:eastAsia="en-US"/>
        </w:rPr>
        <w:t xml:space="preserve">Huang YY, Zhang XY, Zhu P, Ji L. Development of clustered regularly interspaced short palindromic repeats/CRISPR-associated technology for potential clinical applications. World J Clin Cases. 2022 Jun 26;10(18):5934-5945. </w:t>
      </w:r>
      <w:proofErr w:type="spellStart"/>
      <w:r w:rsidRPr="00E7107F">
        <w:rPr>
          <w:rFonts w:ascii="Consolas" w:hAnsi="Consolas"/>
          <w:color w:val="1B1B1B"/>
          <w:kern w:val="0"/>
          <w:highlight w:val="yellow"/>
          <w:lang w:val="en-US" w:eastAsia="en-US"/>
        </w:rPr>
        <w:t>doi</w:t>
      </w:r>
      <w:proofErr w:type="spellEnd"/>
      <w:r w:rsidRPr="00E7107F">
        <w:rPr>
          <w:rFonts w:ascii="Consolas" w:hAnsi="Consolas"/>
          <w:color w:val="1B1B1B"/>
          <w:kern w:val="0"/>
          <w:highlight w:val="yellow"/>
          <w:lang w:val="en-US" w:eastAsia="en-US"/>
        </w:rPr>
        <w:t>: 10.12998/</w:t>
      </w:r>
      <w:proofErr w:type="gramStart"/>
      <w:r w:rsidRPr="00E7107F">
        <w:rPr>
          <w:rFonts w:ascii="Consolas" w:hAnsi="Consolas"/>
          <w:color w:val="1B1B1B"/>
          <w:kern w:val="0"/>
          <w:highlight w:val="yellow"/>
          <w:lang w:val="en-US" w:eastAsia="en-US"/>
        </w:rPr>
        <w:t>wjcc.v10.i</w:t>
      </w:r>
      <w:proofErr w:type="gramEnd"/>
      <w:r w:rsidRPr="00E7107F">
        <w:rPr>
          <w:rFonts w:ascii="Consolas" w:hAnsi="Consolas"/>
          <w:color w:val="1B1B1B"/>
          <w:kern w:val="0"/>
          <w:highlight w:val="yellow"/>
          <w:lang w:val="en-US" w:eastAsia="en-US"/>
        </w:rPr>
        <w:t>18.5934. PMID: 35949837; PMCID: PMC9254185.</w:t>
      </w:r>
    </w:p>
    <w:p w14:paraId="70D55303" w14:textId="77777777" w:rsidR="002609AE" w:rsidRPr="002609AE" w:rsidRDefault="002609AE" w:rsidP="00E7107F">
      <w:pPr>
        <w:shd w:val="clear" w:color="auto" w:fill="FFFFFF"/>
        <w:spacing w:before="100" w:beforeAutospacing="1" w:after="0" w:line="240" w:lineRule="auto"/>
        <w:ind w:left="720" w:right="0" w:firstLine="0"/>
        <w:jc w:val="left"/>
        <w:rPr>
          <w:rFonts w:ascii="Helvetica" w:hAnsi="Helvetica" w:cs="Helvetica"/>
          <w:color w:val="1B1B1B"/>
          <w:kern w:val="0"/>
          <w:lang w:val="en-US" w:eastAsia="en-US"/>
        </w:rPr>
      </w:pPr>
    </w:p>
    <w:p w14:paraId="79C6BBC1" w14:textId="77777777" w:rsidR="002609AE" w:rsidRPr="00AF6FEA" w:rsidRDefault="002609AE" w:rsidP="00B10DAA">
      <w:pPr>
        <w:rPr>
          <w:lang w:val="en-GB"/>
        </w:rPr>
      </w:pPr>
    </w:p>
    <w:sectPr w:rsidR="002609AE" w:rsidRPr="00AF6FEA" w:rsidSect="00CB6EB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9C698" w14:textId="77777777" w:rsidR="00CE11A6" w:rsidRDefault="00CE11A6" w:rsidP="00433279">
      <w:pPr>
        <w:spacing w:after="0" w:line="240" w:lineRule="auto"/>
      </w:pPr>
      <w:r>
        <w:separator/>
      </w:r>
    </w:p>
  </w:endnote>
  <w:endnote w:type="continuationSeparator" w:id="0">
    <w:p w14:paraId="6C0FAC20" w14:textId="77777777" w:rsidR="00CE11A6" w:rsidRDefault="00CE11A6" w:rsidP="0043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A668" w14:textId="77777777" w:rsidR="00433279" w:rsidRDefault="00433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0F45" w14:textId="77777777" w:rsidR="00433279" w:rsidRDefault="00433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41A7" w14:textId="77777777" w:rsidR="00433279" w:rsidRDefault="0043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2611" w14:textId="77777777" w:rsidR="00CE11A6" w:rsidRDefault="00CE11A6" w:rsidP="00433279">
      <w:pPr>
        <w:spacing w:after="0" w:line="240" w:lineRule="auto"/>
      </w:pPr>
      <w:r>
        <w:separator/>
      </w:r>
    </w:p>
  </w:footnote>
  <w:footnote w:type="continuationSeparator" w:id="0">
    <w:p w14:paraId="13822084" w14:textId="77777777" w:rsidR="00CE11A6" w:rsidRDefault="00CE11A6" w:rsidP="0043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E043" w14:textId="627DA79C" w:rsidR="00433279" w:rsidRDefault="00CE11A6">
    <w:pPr>
      <w:pStyle w:val="Header"/>
    </w:pPr>
    <w:r>
      <w:rPr>
        <w:noProof/>
      </w:rPr>
      <w:pict w14:anchorId="0055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068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442E" w14:textId="7F0B1A95" w:rsidR="00433279" w:rsidRDefault="00CE11A6">
    <w:pPr>
      <w:pStyle w:val="Header"/>
    </w:pPr>
    <w:r>
      <w:rPr>
        <w:noProof/>
      </w:rPr>
      <w:pict w14:anchorId="6616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069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A892" w14:textId="1702FB43" w:rsidR="00433279" w:rsidRDefault="00CE11A6">
    <w:pPr>
      <w:pStyle w:val="Header"/>
    </w:pPr>
    <w:r>
      <w:rPr>
        <w:noProof/>
      </w:rPr>
      <w:pict w14:anchorId="5B8BA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068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572D8"/>
    <w:multiLevelType w:val="multilevel"/>
    <w:tmpl w:val="4AF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32397"/>
    <w:multiLevelType w:val="multilevel"/>
    <w:tmpl w:val="FE8E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1"/>
  </w:num>
  <w:num w:numId="4">
    <w:abstractNumId w:val="2"/>
  </w:num>
  <w:num w:numId="5">
    <w:abstractNumId w:val="0"/>
  </w:num>
  <w:num w:numId="6">
    <w:abstractNumId w:val="15"/>
  </w:num>
  <w:num w:numId="7">
    <w:abstractNumId w:val="4"/>
  </w:num>
  <w:num w:numId="8">
    <w:abstractNumId w:val="3"/>
  </w:num>
  <w:num w:numId="9">
    <w:abstractNumId w:val="19"/>
  </w:num>
  <w:num w:numId="10">
    <w:abstractNumId w:val="6"/>
  </w:num>
  <w:num w:numId="11">
    <w:abstractNumId w:val="8"/>
  </w:num>
  <w:num w:numId="12">
    <w:abstractNumId w:val="17"/>
  </w:num>
  <w:num w:numId="13">
    <w:abstractNumId w:val="12"/>
  </w:num>
  <w:num w:numId="14">
    <w:abstractNumId w:val="1"/>
  </w:num>
  <w:num w:numId="15">
    <w:abstractNumId w:val="20"/>
  </w:num>
  <w:num w:numId="16">
    <w:abstractNumId w:val="14"/>
  </w:num>
  <w:num w:numId="17">
    <w:abstractNumId w:val="5"/>
  </w:num>
  <w:num w:numId="18">
    <w:abstractNumId w:val="16"/>
  </w:num>
  <w:num w:numId="19">
    <w:abstractNumId w:val="9"/>
  </w:num>
  <w:num w:numId="20">
    <w:abstractNumId w:val="10"/>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M7EA0mZGRqZmhko6SsGpxcWZ+XkgBYa1AIKAIeIs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11E2D"/>
    <w:rsid w:val="0022042D"/>
    <w:rsid w:val="00220ADF"/>
    <w:rsid w:val="002216D7"/>
    <w:rsid w:val="002312EA"/>
    <w:rsid w:val="002401A0"/>
    <w:rsid w:val="00241AA3"/>
    <w:rsid w:val="0024324D"/>
    <w:rsid w:val="00246BC3"/>
    <w:rsid w:val="00257AC1"/>
    <w:rsid w:val="00260455"/>
    <w:rsid w:val="002609AE"/>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10D9"/>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1803"/>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3279"/>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B4B"/>
    <w:rsid w:val="00683EC3"/>
    <w:rsid w:val="006907D2"/>
    <w:rsid w:val="00692471"/>
    <w:rsid w:val="00693DFE"/>
    <w:rsid w:val="00695D59"/>
    <w:rsid w:val="006A2C41"/>
    <w:rsid w:val="006A2C8B"/>
    <w:rsid w:val="006A39B3"/>
    <w:rsid w:val="006A7ABC"/>
    <w:rsid w:val="006B0247"/>
    <w:rsid w:val="006B57D5"/>
    <w:rsid w:val="006B66BC"/>
    <w:rsid w:val="006D2558"/>
    <w:rsid w:val="006D455D"/>
    <w:rsid w:val="006E13D4"/>
    <w:rsid w:val="006E4B0A"/>
    <w:rsid w:val="006F1ABF"/>
    <w:rsid w:val="006F1FC2"/>
    <w:rsid w:val="006F708E"/>
    <w:rsid w:val="00705A87"/>
    <w:rsid w:val="007063E6"/>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7F1D31"/>
    <w:rsid w:val="008017C0"/>
    <w:rsid w:val="00802367"/>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676C1"/>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C639C"/>
    <w:rsid w:val="008D0444"/>
    <w:rsid w:val="008E39F1"/>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10DAA"/>
    <w:rsid w:val="00B20865"/>
    <w:rsid w:val="00B451DB"/>
    <w:rsid w:val="00B567DD"/>
    <w:rsid w:val="00B56E93"/>
    <w:rsid w:val="00B6043D"/>
    <w:rsid w:val="00B62252"/>
    <w:rsid w:val="00B74506"/>
    <w:rsid w:val="00B8003F"/>
    <w:rsid w:val="00B81562"/>
    <w:rsid w:val="00B84C19"/>
    <w:rsid w:val="00B928B4"/>
    <w:rsid w:val="00BA248E"/>
    <w:rsid w:val="00BA3C57"/>
    <w:rsid w:val="00BB0BE1"/>
    <w:rsid w:val="00BB4C3B"/>
    <w:rsid w:val="00BB6828"/>
    <w:rsid w:val="00BB7829"/>
    <w:rsid w:val="00BC386E"/>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11A6"/>
    <w:rsid w:val="00CE5BFA"/>
    <w:rsid w:val="00CE6483"/>
    <w:rsid w:val="00CF3244"/>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107F"/>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1FA9"/>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3E9C5"/>
  <w15:docId w15:val="{AC576CB5-72B0-4025-910F-3EA8BC3C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43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7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3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279"/>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2884665">
      <w:bodyDiv w:val="1"/>
      <w:marLeft w:val="0"/>
      <w:marRight w:val="0"/>
      <w:marTop w:val="0"/>
      <w:marBottom w:val="0"/>
      <w:divBdr>
        <w:top w:val="none" w:sz="0" w:space="0" w:color="auto"/>
        <w:left w:val="none" w:sz="0" w:space="0" w:color="auto"/>
        <w:bottom w:val="none" w:sz="0" w:space="0" w:color="auto"/>
        <w:right w:val="none" w:sz="0" w:space="0" w:color="auto"/>
      </w:divBdr>
      <w:divsChild>
        <w:div w:id="9776149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02979398">
      <w:bodyDiv w:val="1"/>
      <w:marLeft w:val="0"/>
      <w:marRight w:val="0"/>
      <w:marTop w:val="0"/>
      <w:marBottom w:val="0"/>
      <w:divBdr>
        <w:top w:val="none" w:sz="0" w:space="0" w:color="auto"/>
        <w:left w:val="none" w:sz="0" w:space="0" w:color="auto"/>
        <w:bottom w:val="none" w:sz="0" w:space="0" w:color="auto"/>
        <w:right w:val="none" w:sz="0" w:space="0" w:color="auto"/>
      </w:divBdr>
      <w:divsChild>
        <w:div w:id="158421757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11723" TargetMode="External"/><Relationship Id="rId18" Type="http://schemas.openxmlformats.org/officeDocument/2006/relationships/hyperlink" Target="https://doi.org/10.1126/science.aaq0180" TargetMode="External"/><Relationship Id="rId26" Type="http://schemas.openxmlformats.org/officeDocument/2006/relationships/hyperlink" Target="https://doi.org/10.1038/nature24644" TargetMode="External"/><Relationship Id="rId39" Type="http://schemas.openxmlformats.org/officeDocument/2006/relationships/hyperlink" Target="https://doi.org/10.1038/nrmicro.2017.120" TargetMode="External"/><Relationship Id="rId21" Type="http://schemas.openxmlformats.org/officeDocument/2006/relationships/hyperlink" Target="https://doi.org/10.1038/nrm.2015.2" TargetMode="External"/><Relationship Id="rId34" Type="http://schemas.openxmlformats.org/officeDocument/2006/relationships/hyperlink" Target="https://doi.org/10.1038/519410a" TargetMode="External"/><Relationship Id="rId42" Type="http://schemas.openxmlformats.org/officeDocument/2006/relationships/hyperlink" Target="https://doi.org/10.1126/science.aad5227"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1-018-0326-x" TargetMode="External"/><Relationship Id="rId29" Type="http://schemas.openxmlformats.org/officeDocument/2006/relationships/hyperlink" Target="https://doi.org/10.1038/nbt.2647" TargetMode="External"/><Relationship Id="rId11" Type="http://schemas.openxmlformats.org/officeDocument/2006/relationships/hyperlink" Target="https://doi.org/10.1126/science.aab1028" TargetMode="External"/><Relationship Id="rId24" Type="http://schemas.openxmlformats.org/officeDocument/2006/relationships/hyperlink" Target="https://doi.org/10.1038/nature09523" TargetMode="External"/><Relationship Id="rId32" Type="http://schemas.openxmlformats.org/officeDocument/2006/relationships/hyperlink" Target="https://doi.org/10.1038/nature17946" TargetMode="External"/><Relationship Id="rId37" Type="http://schemas.openxmlformats.org/officeDocument/2006/relationships/hyperlink" Target="https://doi.org/10.1126/science.1254287" TargetMode="External"/><Relationship Id="rId40" Type="http://schemas.openxmlformats.org/officeDocument/2006/relationships/hyperlink" Target="https://doi.org/10.1038/nmicrobiol.2016.85" TargetMode="External"/><Relationship Id="rId45" Type="http://schemas.openxmlformats.org/officeDocument/2006/relationships/hyperlink" Target="https://doi.org/10.1038/s41594-025-01741-z"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38/s41586-019-1711-4" TargetMode="External"/><Relationship Id="rId19" Type="http://schemas.openxmlformats.org/officeDocument/2006/relationships/hyperlink" Target="https://doi.org/10.1038/d41586-019-00673-1" TargetMode="External"/><Relationship Id="rId31" Type="http://schemas.openxmlformats.org/officeDocument/2006/relationships/hyperlink" Target="https://doi.org/10.1038/nature16526" TargetMode="External"/><Relationship Id="rId44" Type="http://schemas.openxmlformats.org/officeDocument/2006/relationships/hyperlink" Target="https://doi.org/10.1089/hum.2017.15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9734/jabb/2024/v27i111591" TargetMode="External"/><Relationship Id="rId14" Type="http://schemas.openxmlformats.org/officeDocument/2006/relationships/hyperlink" Target="https://doi.org/10.1126/science.1159689" TargetMode="External"/><Relationship Id="rId22" Type="http://schemas.openxmlformats.org/officeDocument/2006/relationships/hyperlink" Target="https://doi.org/10.7554/eLife.03401" TargetMode="External"/><Relationship Id="rId27" Type="http://schemas.openxmlformats.org/officeDocument/2006/relationships/hyperlink" Target="https://doi.org/10.1056/NEJMoa2107454" TargetMode="External"/><Relationship Id="rId30" Type="http://schemas.openxmlformats.org/officeDocument/2006/relationships/hyperlink" Target="https://doi.org/10.1126/science.1225829" TargetMode="External"/><Relationship Id="rId35" Type="http://schemas.openxmlformats.org/officeDocument/2006/relationships/hyperlink" Target="https://doi.org/10.1126/science.1232033" TargetMode="External"/><Relationship Id="rId43" Type="http://schemas.openxmlformats.org/officeDocument/2006/relationships/hyperlink" Target="https://doi.org/10.1038/nbt.3117" TargetMode="External"/><Relationship Id="rId48" Type="http://schemas.openxmlformats.org/officeDocument/2006/relationships/header" Target="header2.xml"/><Relationship Id="rId8" Type="http://schemas.openxmlformats.org/officeDocument/2006/relationships/hyperlink" Target="https://doi.org/10.1126/science.aaf5573"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26/science.1138140" TargetMode="External"/><Relationship Id="rId17" Type="http://schemas.openxmlformats.org/officeDocument/2006/relationships/hyperlink" Target="https://doi.org/10.1126/science.1231143" TargetMode="External"/><Relationship Id="rId25" Type="http://schemas.openxmlformats.org/officeDocument/2006/relationships/hyperlink" Target="https://doi.org/10.1073/pnas.1208507109" TargetMode="External"/><Relationship Id="rId33" Type="http://schemas.openxmlformats.org/officeDocument/2006/relationships/hyperlink" Target="https://doi.org/10.1038/nbt.4192" TargetMode="External"/><Relationship Id="rId38" Type="http://schemas.openxmlformats.org/officeDocument/2006/relationships/hyperlink" Target="https://doi.org/10.1016/j.cell.2016.11.017" TargetMode="External"/><Relationship Id="rId46" Type="http://schemas.openxmlformats.org/officeDocument/2006/relationships/hyperlink" Target="https://doi.org/10.1016/j.cell.2015.09.038" TargetMode="External"/><Relationship Id="rId20" Type="http://schemas.openxmlformats.org/officeDocument/2006/relationships/hyperlink" Target="https://doi.org/10.1038/nature09886" TargetMode="External"/><Relationship Id="rId41" Type="http://schemas.openxmlformats.org/officeDocument/2006/relationships/hyperlink" Target="https://doi.org/10.1016/j.cell.2013.02.0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omtn.2026.102859" TargetMode="External"/><Relationship Id="rId23" Type="http://schemas.openxmlformats.org/officeDocument/2006/relationships/hyperlink" Target="https://doi.org/10.1073/pnas.1521077112" TargetMode="External"/><Relationship Id="rId28" Type="http://schemas.openxmlformats.org/officeDocument/2006/relationships/hyperlink" Target="https://doi.org/10.1038/s41591-018-0049-z" TargetMode="External"/><Relationship Id="rId36" Type="http://schemas.openxmlformats.org/officeDocument/2006/relationships/hyperlink" Target="https://doi.org/10.9734/jpri/2021/v33i63A3522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2B527-A36B-4CA1-89CB-A958B256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11662</TotalTime>
  <Pages>19</Pages>
  <Words>9267</Words>
  <Characters>52828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160</cp:revision>
  <cp:lastPrinted>2025-12-13T07:14:00Z</cp:lastPrinted>
  <dcterms:created xsi:type="dcterms:W3CDTF">2025-09-24T12:44:00Z</dcterms:created>
  <dcterms:modified xsi:type="dcterms:W3CDTF">2026-03-06T10:14:00Z</dcterms:modified>
</cp:coreProperties>
</file>