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48AC4" w14:textId="2E7289B1" w:rsidR="00142DB7" w:rsidRPr="00E0484B" w:rsidRDefault="00074DDE" w:rsidP="00B343BB">
      <w:pPr>
        <w:spacing w:before="0" w:beforeAutospacing="0" w:after="0" w:afterAutospacing="0" w:line="240" w:lineRule="auto"/>
        <w:jc w:val="center"/>
        <w:outlineLvl w:val="9"/>
        <w:rPr>
          <w:b/>
          <w:bCs/>
          <w:szCs w:val="24"/>
        </w:rPr>
      </w:pPr>
      <w:bookmarkStart w:id="0" w:name="_Toc25033"/>
      <w:bookmarkStart w:id="1" w:name="_Toc1538"/>
      <w:bookmarkStart w:id="2" w:name="_GoBack"/>
      <w:r w:rsidRPr="00E0484B">
        <w:rPr>
          <w:b/>
          <w:bCs/>
          <w:szCs w:val="24"/>
        </w:rPr>
        <w:t xml:space="preserve">Prevalence and Risk Factors of </w:t>
      </w:r>
      <w:r w:rsidRPr="00E0484B">
        <w:rPr>
          <w:b/>
          <w:bCs/>
          <w:i/>
          <w:iCs/>
          <w:szCs w:val="24"/>
        </w:rPr>
        <w:t>Chlamydia trachomatis</w:t>
      </w:r>
      <w:r w:rsidRPr="00E0484B">
        <w:rPr>
          <w:b/>
          <w:bCs/>
          <w:szCs w:val="24"/>
        </w:rPr>
        <w:t xml:space="preserve"> among Female University Students in Port Harcourt, Nigeria: A Pilot Screening Study Using Rapid Antigen Testing</w:t>
      </w:r>
    </w:p>
    <w:p w14:paraId="203131DD" w14:textId="77777777" w:rsidR="00074DDE" w:rsidRPr="00E0484B" w:rsidRDefault="00074DDE" w:rsidP="00B343BB">
      <w:pPr>
        <w:spacing w:before="0" w:beforeAutospacing="0" w:after="0" w:afterAutospacing="0" w:line="240" w:lineRule="auto"/>
        <w:jc w:val="center"/>
        <w:outlineLvl w:val="9"/>
        <w:rPr>
          <w:b/>
          <w:bCs/>
          <w:szCs w:val="24"/>
          <w:lang w:val="en-GB"/>
        </w:rPr>
      </w:pPr>
    </w:p>
    <w:p w14:paraId="73671319" w14:textId="26D96D13" w:rsidR="00252D9A" w:rsidRPr="00E53020" w:rsidRDefault="00252D9A" w:rsidP="00E53020">
      <w:pPr>
        <w:pStyle w:val="NormalWeb"/>
        <w:spacing w:beforeAutospacing="0" w:afterAutospacing="0"/>
        <w:jc w:val="center"/>
        <w:rPr>
          <w:b/>
          <w:bCs/>
        </w:rPr>
      </w:pPr>
      <w:bookmarkStart w:id="3" w:name="_Toc2897"/>
      <w:bookmarkStart w:id="4" w:name="_Toc28644"/>
      <w:bookmarkEnd w:id="0"/>
      <w:bookmarkEnd w:id="1"/>
      <w:r w:rsidRPr="00E53020">
        <w:rPr>
          <w:b/>
          <w:bCs/>
        </w:rPr>
        <w:t>ABSTRACT</w:t>
      </w:r>
    </w:p>
    <w:p w14:paraId="62A57636" w14:textId="2FDF4D62" w:rsidR="00252D9A" w:rsidRDefault="00252D9A" w:rsidP="00252D9A">
      <w:pPr>
        <w:pStyle w:val="NormalWeb"/>
        <w:spacing w:beforeAutospacing="0" w:afterAutospacing="0"/>
        <w:jc w:val="both"/>
      </w:pPr>
      <w:r w:rsidRPr="00E53020">
        <w:rPr>
          <w:i/>
          <w:iCs/>
        </w:rPr>
        <w:t>Chlamydia trachomatis</w:t>
      </w:r>
      <w:r w:rsidRPr="00E53020">
        <w:t xml:space="preserve"> infection is among the most common bacterial sexually transmitted infections globally, with young women disproportionately affected due to biological susceptibility and the </w:t>
      </w:r>
      <w:r w:rsidR="00D6572A" w:rsidRPr="00E53020">
        <w:t>often-asymptomatic</w:t>
      </w:r>
      <w:r w:rsidRPr="00E53020">
        <w:t xml:space="preserve"> nature of infection. In Nigeria, routine screening among university students is limited, largely due to diagnostic and resource constraints.</w:t>
      </w:r>
      <w:r w:rsidR="00F670EA" w:rsidRPr="00E53020">
        <w:t xml:space="preserve"> </w:t>
      </w:r>
      <w:r w:rsidRPr="00E53020">
        <w:t xml:space="preserve">This pilot study assessed the prevalence of </w:t>
      </w:r>
      <w:r w:rsidRPr="00E53020">
        <w:rPr>
          <w:i/>
          <w:iCs/>
        </w:rPr>
        <w:t>C. trachomatis</w:t>
      </w:r>
      <w:r w:rsidRPr="00E53020">
        <w:t xml:space="preserve"> among female undergraduate students at Rivers State University, Port Harcourt, Nigeria, using a urine-based lateral flow assay (LFA), and examined associated socio-demographic characteristics, sexual behaviors, knowledge, and testing practices.</w:t>
      </w:r>
      <w:r w:rsidR="00F670EA" w:rsidRPr="00E53020">
        <w:t xml:space="preserve"> </w:t>
      </w:r>
      <w:r w:rsidRPr="00E53020">
        <w:t xml:space="preserve">A cross-sectional study was conducted among 150 consenting female undergraduates. Structured questionnaires captured socio-demographic data, sexual behavior, contraceptive use, and awareness of </w:t>
      </w:r>
      <w:r w:rsidRPr="00E53020">
        <w:rPr>
          <w:i/>
          <w:iCs/>
        </w:rPr>
        <w:t>C. trachomatis</w:t>
      </w:r>
      <w:r w:rsidRPr="00E53020">
        <w:t xml:space="preserve">. Urine samples were tested for </w:t>
      </w:r>
      <w:r w:rsidRPr="00E53020">
        <w:rPr>
          <w:i/>
          <w:iCs/>
        </w:rPr>
        <w:t>C. trachomatis</w:t>
      </w:r>
      <w:r w:rsidRPr="00E53020">
        <w:t xml:space="preserve"> antigens using the ROSTEC Chlamydia Rapid Test Cassette. Data were analyzed descriptively using SPSS.</w:t>
      </w:r>
      <w:r w:rsidR="00E53020" w:rsidRPr="00E53020">
        <w:t xml:space="preserve"> </w:t>
      </w:r>
      <w:r w:rsidRPr="00E53020">
        <w:t xml:space="preserve">Participants had a mean age of 20.0 ± 1.82 years; 60% were single, and 65.3% resided on campus. While 92.7% had received sexual education, only 12.7% reported prior awareness of </w:t>
      </w:r>
      <w:r w:rsidRPr="00E53020">
        <w:rPr>
          <w:i/>
          <w:iCs/>
        </w:rPr>
        <w:t>C. trachomatis</w:t>
      </w:r>
      <w:r w:rsidRPr="00E53020">
        <w:t xml:space="preserve">. Sexual activity was reported by 45.3%, with 26.0% engaging in unprotected intercourse. Contraceptive use was reported by 36%, and 41.3% attended routine STI check-ups. All urine samples tested negative for </w:t>
      </w:r>
      <w:r w:rsidRPr="00E53020">
        <w:rPr>
          <w:i/>
          <w:iCs/>
        </w:rPr>
        <w:t>C. trachomatis</w:t>
      </w:r>
      <w:r w:rsidRPr="00E53020">
        <w:t>, resulting in a prevalence of 0.0%.</w:t>
      </w:r>
      <w:r w:rsidR="00E53020" w:rsidRPr="00E53020">
        <w:t xml:space="preserve"> </w:t>
      </w:r>
      <w:r w:rsidRPr="00E53020">
        <w:t xml:space="preserve">The </w:t>
      </w:r>
      <w:proofErr w:type="gramStart"/>
      <w:r w:rsidRPr="00E53020">
        <w:t>zero</w:t>
      </w:r>
      <w:r w:rsidR="006B076D" w:rsidRPr="00E53020">
        <w:t xml:space="preserve"> </w:t>
      </w:r>
      <w:r w:rsidRPr="00E53020">
        <w:t>prevalence</w:t>
      </w:r>
      <w:proofErr w:type="gramEnd"/>
      <w:r w:rsidRPr="00E53020">
        <w:t xml:space="preserve"> observed likely reflects limitations of urine-based LFAs in asymptomatic populations rather than true absence of infection. These findings highlight both the feasibility and limitations of rapid screening approaches in university settings and underscore the need for confirmatory molecular testing and improved infection-specific sexual health education.</w:t>
      </w:r>
    </w:p>
    <w:p w14:paraId="6CA73CFE" w14:textId="77777777" w:rsidR="00E53020" w:rsidRPr="00E53020" w:rsidRDefault="00E53020" w:rsidP="00252D9A">
      <w:pPr>
        <w:pStyle w:val="NormalWeb"/>
        <w:spacing w:beforeAutospacing="0" w:afterAutospacing="0"/>
        <w:jc w:val="both"/>
      </w:pPr>
    </w:p>
    <w:p w14:paraId="389AD2B9" w14:textId="66DBC792" w:rsidR="00252D9A" w:rsidRDefault="00252D9A" w:rsidP="00252D9A">
      <w:pPr>
        <w:pStyle w:val="NormalWeb"/>
        <w:spacing w:beforeAutospacing="0" w:afterAutospacing="0"/>
        <w:jc w:val="both"/>
        <w:rPr>
          <w:i/>
          <w:iCs/>
        </w:rPr>
      </w:pPr>
      <w:r w:rsidRPr="00E53020">
        <w:rPr>
          <w:i/>
          <w:iCs/>
        </w:rPr>
        <w:t>Keywords: Chlamydia trachomatis, prevalence, lateral flow assay, university students, sexually transmitted infection, Nigeria</w:t>
      </w:r>
    </w:p>
    <w:p w14:paraId="1C83532C" w14:textId="77777777" w:rsidR="00E53020" w:rsidRPr="00E53020" w:rsidRDefault="00E53020" w:rsidP="00252D9A">
      <w:pPr>
        <w:pStyle w:val="NormalWeb"/>
        <w:spacing w:beforeAutospacing="0" w:afterAutospacing="0"/>
        <w:jc w:val="both"/>
        <w:rPr>
          <w:i/>
          <w:iCs/>
        </w:rPr>
      </w:pPr>
    </w:p>
    <w:p w14:paraId="73CC07B6" w14:textId="77777777" w:rsidR="00E53020" w:rsidRDefault="00252D9A" w:rsidP="00E53020">
      <w:pPr>
        <w:pStyle w:val="NormalWeb"/>
        <w:spacing w:beforeAutospacing="0" w:afterAutospacing="0"/>
        <w:jc w:val="both"/>
        <w:rPr>
          <w:b/>
          <w:bCs/>
        </w:rPr>
      </w:pPr>
      <w:r w:rsidRPr="00E0484B">
        <w:rPr>
          <w:b/>
          <w:bCs/>
        </w:rPr>
        <w:t>INTRODUCTION</w:t>
      </w:r>
      <w:bookmarkStart w:id="5" w:name="_Toc26828"/>
      <w:bookmarkStart w:id="6" w:name="_Toc23265"/>
      <w:bookmarkStart w:id="7" w:name="_Toc11096"/>
      <w:bookmarkEnd w:id="3"/>
      <w:bookmarkEnd w:id="4"/>
    </w:p>
    <w:p w14:paraId="6A9F27B5" w14:textId="77777777" w:rsidR="002550DE" w:rsidRPr="002550DE" w:rsidRDefault="002550DE" w:rsidP="002550DE">
      <w:pPr>
        <w:spacing w:before="0" w:beforeAutospacing="0" w:after="0" w:afterAutospacing="0" w:line="240" w:lineRule="auto"/>
        <w:jc w:val="both"/>
        <w:rPr>
          <w:szCs w:val="24"/>
          <w:lang w:eastAsia="zh-CN"/>
        </w:rPr>
      </w:pPr>
      <w:r w:rsidRPr="002550DE">
        <w:rPr>
          <w:i/>
          <w:iCs/>
          <w:szCs w:val="24"/>
          <w:lang w:eastAsia="zh-CN"/>
        </w:rPr>
        <w:t>Chlamydia trachomatis</w:t>
      </w:r>
      <w:r w:rsidRPr="002550DE">
        <w:rPr>
          <w:szCs w:val="24"/>
          <w:lang w:eastAsia="zh-CN"/>
        </w:rPr>
        <w:t xml:space="preserve"> infection remains one of the most prevalent bacterial sexually transmitted infections (STIs) globally and continues to pose a major public health challenge, particularly among adolescents and young adults. The World Health Organization estimates that approximately 129 million new cases of chlamydial infection occur worldwide each year, with the highest burden observed in low- and middle-income countries where access to sexual health services is limited (WHO, 2023). Young women aged 15–24 years are disproportionately affected, a trend attributed to a combination of biological susceptibility and high-risk sexual behaviors. Biological factors such as cervical ectopy increase vulnerability to infection, while behavioral factors—including early sexual debut, inconsistent condom use, multiple sexual partners, and limited engagement with preventive health services—further elevate risk (WHO, 2023; Fenton et al., 2001; Otu et al., 2020).</w:t>
      </w:r>
    </w:p>
    <w:p w14:paraId="76C34B2E"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Chlamydia infection is particularly concerning because it is frequently asymptomatic in women, with up to 70–80% of infections presenting without overt clinical signs. As a result, many infections remain undetected and untreated, allowing persistent infection to cause progressive reproductive tract damage. Untreated </w:t>
      </w:r>
      <w:r w:rsidRPr="002550DE">
        <w:rPr>
          <w:i/>
          <w:iCs/>
          <w:szCs w:val="24"/>
          <w:lang w:eastAsia="zh-CN"/>
        </w:rPr>
        <w:t>C. trachomatis</w:t>
      </w:r>
      <w:r w:rsidRPr="002550DE">
        <w:rPr>
          <w:szCs w:val="24"/>
          <w:lang w:eastAsia="zh-CN"/>
        </w:rPr>
        <w:t xml:space="preserve"> infection has been strongly associated with serious long-term reproductive health </w:t>
      </w:r>
      <w:r w:rsidRPr="002550DE">
        <w:rPr>
          <w:szCs w:val="24"/>
          <w:lang w:eastAsia="zh-CN"/>
        </w:rPr>
        <w:lastRenderedPageBreak/>
        <w:t>consequences, including pelvic inflammatory disease (PID), chronic pelvic pain, tubal factor infertility, and ectopic pregnancy (</w:t>
      </w:r>
      <w:proofErr w:type="spellStart"/>
      <w:r w:rsidRPr="002550DE">
        <w:rPr>
          <w:szCs w:val="24"/>
          <w:lang w:eastAsia="zh-CN"/>
        </w:rPr>
        <w:t>Adesiji</w:t>
      </w:r>
      <w:proofErr w:type="spellEnd"/>
      <w:r w:rsidRPr="002550DE">
        <w:rPr>
          <w:szCs w:val="24"/>
          <w:lang w:eastAsia="zh-CN"/>
        </w:rPr>
        <w:t xml:space="preserve"> et al., 2018b; Sharaf et al., 2021). In addition, chlamydial infection increases susceptibility to other sexually transmitted pathogens, including HIV, thereby amplifying its public health significance (Workowski et al., 2021).</w:t>
      </w:r>
    </w:p>
    <w:p w14:paraId="3D280A4A"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In Nigeria, the epidemiology of </w:t>
      </w:r>
      <w:r w:rsidRPr="002550DE">
        <w:rPr>
          <w:i/>
          <w:iCs/>
          <w:szCs w:val="24"/>
          <w:lang w:eastAsia="zh-CN"/>
        </w:rPr>
        <w:t>C. trachomatis</w:t>
      </w:r>
      <w:r w:rsidRPr="002550DE">
        <w:rPr>
          <w:szCs w:val="24"/>
          <w:lang w:eastAsia="zh-CN"/>
        </w:rPr>
        <w:t xml:space="preserve"> infection remains poorly characterized, particularly among non-clinical populations such as university students. Available data are largely derived from hospital-based, antenatal, or high-risk group studies, which may underestimate or misrepresent the true burden of infection in young, sexually active populations who may not routinely seek healthcare services (</w:t>
      </w:r>
      <w:proofErr w:type="spellStart"/>
      <w:r w:rsidRPr="002550DE">
        <w:rPr>
          <w:szCs w:val="24"/>
          <w:lang w:eastAsia="zh-CN"/>
        </w:rPr>
        <w:t>Adesiji</w:t>
      </w:r>
      <w:proofErr w:type="spellEnd"/>
      <w:r w:rsidRPr="002550DE">
        <w:rPr>
          <w:szCs w:val="24"/>
          <w:lang w:eastAsia="zh-CN"/>
        </w:rPr>
        <w:t xml:space="preserve"> et al., 2018a; </w:t>
      </w:r>
      <w:proofErr w:type="spellStart"/>
      <w:r w:rsidRPr="002550DE">
        <w:rPr>
          <w:szCs w:val="24"/>
          <w:lang w:eastAsia="zh-CN"/>
        </w:rPr>
        <w:t>Ikpeama</w:t>
      </w:r>
      <w:proofErr w:type="spellEnd"/>
      <w:r w:rsidRPr="002550DE">
        <w:rPr>
          <w:szCs w:val="24"/>
          <w:lang w:eastAsia="zh-CN"/>
        </w:rPr>
        <w:t xml:space="preserve"> et al., 2016; </w:t>
      </w:r>
      <w:proofErr w:type="spellStart"/>
      <w:r w:rsidRPr="002550DE">
        <w:rPr>
          <w:szCs w:val="24"/>
          <w:lang w:eastAsia="zh-CN"/>
        </w:rPr>
        <w:t>Okoror</w:t>
      </w:r>
      <w:proofErr w:type="spellEnd"/>
      <w:r w:rsidRPr="002550DE">
        <w:rPr>
          <w:szCs w:val="24"/>
          <w:lang w:eastAsia="zh-CN"/>
        </w:rPr>
        <w:t xml:space="preserve"> et al., 2019). Female university students represent a unique demographic group characterized by increased sexual autonomy, experimentation, and exposure to peer influence, often coupled with low perceived susceptibility to STIs and limited uptake of routine screening services (Bakare et al., 2002b; Otu et al., 2020).</w:t>
      </w:r>
    </w:p>
    <w:p w14:paraId="441F85FC"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Despite this heightened vulnerability, structured STI screening programs are rarely integrated into university health systems in Nigeria, and national sexual health policies primarily focus on HIV rather than bacterial STIs such as chlamydia (Nigerian Ministry of Health, 2022). Sociocultural barriers—including stigma, fear of disclosure, inadequate infection-specific education, and misconceptions about STI risk—further contribute to low testing uptake among young women (Bakare et al., 2002a; Tobin et al., 2014).</w:t>
      </w:r>
    </w:p>
    <w:p w14:paraId="0863EADE"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Diagnostic capacity remains a critical barrier to effective chlamydia control in resource-limited settings. Nucleic acid amplification tests (NAATs) are regarded as the gold standard for </w:t>
      </w:r>
      <w:r w:rsidRPr="002550DE">
        <w:rPr>
          <w:i/>
          <w:iCs/>
          <w:szCs w:val="24"/>
          <w:lang w:eastAsia="zh-CN"/>
        </w:rPr>
        <w:t>C. trachomatis</w:t>
      </w:r>
      <w:r w:rsidRPr="002550DE">
        <w:rPr>
          <w:szCs w:val="24"/>
          <w:lang w:eastAsia="zh-CN"/>
        </w:rPr>
        <w:t xml:space="preserve"> diagnosis due to their high sensitivity and specificity. However, their widespread use in university or community-based screening programs is constrained by high costs, the need for specialized laboratory infrastructure, trained personnel, and prolonged turnaround times (</w:t>
      </w:r>
      <w:proofErr w:type="spellStart"/>
      <w:r w:rsidRPr="002550DE">
        <w:rPr>
          <w:szCs w:val="24"/>
          <w:lang w:eastAsia="zh-CN"/>
        </w:rPr>
        <w:t>Okoror</w:t>
      </w:r>
      <w:proofErr w:type="spellEnd"/>
      <w:r w:rsidRPr="002550DE">
        <w:rPr>
          <w:szCs w:val="24"/>
          <w:lang w:eastAsia="zh-CN"/>
        </w:rPr>
        <w:t xml:space="preserve"> et al., 2019; Skidmore et al., 2008). Enzyme immunoassays and serological tests, while useful for epidemiological studies, have limited value for detecting active infection, particularly in asymptomatic individuals (</w:t>
      </w:r>
      <w:proofErr w:type="spellStart"/>
      <w:r w:rsidRPr="002550DE">
        <w:rPr>
          <w:szCs w:val="24"/>
          <w:lang w:eastAsia="zh-CN"/>
        </w:rPr>
        <w:t>Ikpeama</w:t>
      </w:r>
      <w:proofErr w:type="spellEnd"/>
      <w:r w:rsidRPr="002550DE">
        <w:rPr>
          <w:szCs w:val="24"/>
          <w:lang w:eastAsia="zh-CN"/>
        </w:rPr>
        <w:t xml:space="preserve"> et al., 2016).</w:t>
      </w:r>
    </w:p>
    <w:p w14:paraId="7C3603B6"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Rapid diagnostic tests, such as lateral flow assays (LFAs), have therefore emerged as potential tools for preliminary STI screening in resource-constrained settings. LFAs are designed to detect </w:t>
      </w:r>
      <w:r w:rsidRPr="002550DE">
        <w:rPr>
          <w:i/>
          <w:iCs/>
          <w:szCs w:val="24"/>
          <w:lang w:eastAsia="zh-CN"/>
        </w:rPr>
        <w:t>C. trachomatis</w:t>
      </w:r>
      <w:r w:rsidRPr="002550DE">
        <w:rPr>
          <w:szCs w:val="24"/>
          <w:lang w:eastAsia="zh-CN"/>
        </w:rPr>
        <w:t xml:space="preserve"> antigens in non-invasive specimens such as urine, producing results within minutes without the need for sophisticated equipment (Ogbu et al., 2021; Skidmore et al., 2008). While these tests offer practical advantages for outreach screening, concerns remain regarding their diagnostic sensitivity in asymptomatic populations where bacterial load may be low.</w:t>
      </w:r>
    </w:p>
    <w:p w14:paraId="3F395EBE"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In Nigeria, existing studies report a prevalence of </w:t>
      </w:r>
      <w:r w:rsidRPr="002550DE">
        <w:rPr>
          <w:i/>
          <w:iCs/>
          <w:szCs w:val="24"/>
          <w:lang w:eastAsia="zh-CN"/>
        </w:rPr>
        <w:t>C. trachomatis</w:t>
      </w:r>
      <w:r w:rsidRPr="002550DE">
        <w:rPr>
          <w:szCs w:val="24"/>
          <w:lang w:eastAsia="zh-CN"/>
        </w:rPr>
        <w:t xml:space="preserve"> infection ranging from approximately 5% to 15% among young women, but these estimates are predominantly based on hospital-attending populations and molecular diagnostic methods, limiting their generalizability to university-based screening contexts (Arinze-</w:t>
      </w:r>
      <w:proofErr w:type="spellStart"/>
      <w:r w:rsidRPr="002550DE">
        <w:rPr>
          <w:szCs w:val="24"/>
          <w:lang w:eastAsia="zh-CN"/>
        </w:rPr>
        <w:t>Akwari</w:t>
      </w:r>
      <w:proofErr w:type="spellEnd"/>
      <w:r w:rsidRPr="002550DE">
        <w:rPr>
          <w:szCs w:val="24"/>
          <w:lang w:eastAsia="zh-CN"/>
        </w:rPr>
        <w:t xml:space="preserve"> et al., 2014; Nwankwo &amp; </w:t>
      </w:r>
      <w:proofErr w:type="spellStart"/>
      <w:r w:rsidRPr="002550DE">
        <w:rPr>
          <w:szCs w:val="24"/>
          <w:lang w:eastAsia="zh-CN"/>
        </w:rPr>
        <w:t>Magaji</w:t>
      </w:r>
      <w:proofErr w:type="spellEnd"/>
      <w:r w:rsidRPr="002550DE">
        <w:rPr>
          <w:szCs w:val="24"/>
          <w:lang w:eastAsia="zh-CN"/>
        </w:rPr>
        <w:t xml:space="preserve">, 2014; </w:t>
      </w:r>
      <w:proofErr w:type="spellStart"/>
      <w:r w:rsidRPr="002550DE">
        <w:rPr>
          <w:szCs w:val="24"/>
          <w:lang w:eastAsia="zh-CN"/>
        </w:rPr>
        <w:t>Okoror</w:t>
      </w:r>
      <w:proofErr w:type="spellEnd"/>
      <w:r w:rsidRPr="002550DE">
        <w:rPr>
          <w:szCs w:val="24"/>
          <w:lang w:eastAsia="zh-CN"/>
        </w:rPr>
        <w:t xml:space="preserve"> et al., 2019). Understanding infection dynamics and risk behaviors within university populations is essential for designing targeted, evidence-based interventions.</w:t>
      </w:r>
    </w:p>
    <w:p w14:paraId="16F48228" w14:textId="77777777" w:rsidR="002550DE" w:rsidRPr="002550DE" w:rsidRDefault="002550DE" w:rsidP="002550DE">
      <w:pPr>
        <w:spacing w:before="0" w:beforeAutospacing="0" w:after="0" w:afterAutospacing="0" w:line="240" w:lineRule="auto"/>
        <w:jc w:val="both"/>
        <w:rPr>
          <w:szCs w:val="24"/>
          <w:lang w:eastAsia="zh-CN"/>
        </w:rPr>
      </w:pPr>
      <w:r w:rsidRPr="002550DE">
        <w:rPr>
          <w:szCs w:val="24"/>
          <w:lang w:eastAsia="zh-CN"/>
        </w:rPr>
        <w:t xml:space="preserve">Given the public health importance of </w:t>
      </w:r>
      <w:r w:rsidRPr="002550DE">
        <w:rPr>
          <w:i/>
          <w:iCs/>
          <w:szCs w:val="24"/>
          <w:lang w:eastAsia="zh-CN"/>
        </w:rPr>
        <w:t>C. trachomatis</w:t>
      </w:r>
      <w:r w:rsidRPr="002550DE">
        <w:rPr>
          <w:szCs w:val="24"/>
          <w:lang w:eastAsia="zh-CN"/>
        </w:rPr>
        <w:t xml:space="preserve">, the asymptomatic nature of infection, and the diagnostic and behavioral challenges affecting young women in tertiary institutions, population-specific prevalence studies are urgently needed. This study therefore aimed to determine the prevalence of </w:t>
      </w:r>
      <w:r w:rsidRPr="002550DE">
        <w:rPr>
          <w:i/>
          <w:iCs/>
          <w:szCs w:val="24"/>
          <w:lang w:eastAsia="zh-CN"/>
        </w:rPr>
        <w:t>Chlamydia trachomatis</w:t>
      </w:r>
      <w:r w:rsidRPr="002550DE">
        <w:rPr>
          <w:szCs w:val="24"/>
          <w:lang w:eastAsia="zh-CN"/>
        </w:rPr>
        <w:t xml:space="preserve"> infection among female undergraduates at Rivers State University using urine-based lateral </w:t>
      </w:r>
      <w:r w:rsidRPr="002550DE">
        <w:rPr>
          <w:szCs w:val="24"/>
          <w:lang w:eastAsia="zh-CN"/>
        </w:rPr>
        <w:lastRenderedPageBreak/>
        <w:t>flow assays, and to examine associated socio-demographic characteristics, sexual behaviors, contraceptive use, and awareness of chlamydial infection.</w:t>
      </w:r>
    </w:p>
    <w:p w14:paraId="6D25B96C" w14:textId="77777777" w:rsidR="004A7022" w:rsidRPr="00E53020" w:rsidRDefault="004A7022" w:rsidP="00E53020">
      <w:pPr>
        <w:spacing w:before="0" w:beforeAutospacing="0" w:after="0" w:afterAutospacing="0" w:line="240" w:lineRule="auto"/>
        <w:jc w:val="both"/>
        <w:rPr>
          <w:szCs w:val="24"/>
          <w:lang w:eastAsia="zh-CN"/>
        </w:rPr>
      </w:pPr>
    </w:p>
    <w:p w14:paraId="228AB176" w14:textId="77777777" w:rsidR="00F25DD9" w:rsidRDefault="00F25DD9" w:rsidP="00F25DD9">
      <w:pPr>
        <w:spacing w:before="0" w:beforeAutospacing="0" w:after="0" w:afterAutospacing="0" w:line="240" w:lineRule="auto"/>
        <w:jc w:val="both"/>
        <w:rPr>
          <w:b/>
          <w:bCs/>
          <w:szCs w:val="24"/>
          <w:lang w:eastAsia="zh-CN"/>
        </w:rPr>
      </w:pPr>
      <w:r w:rsidRPr="00E0484B">
        <w:rPr>
          <w:b/>
          <w:bCs/>
          <w:szCs w:val="24"/>
          <w:lang w:eastAsia="zh-CN"/>
        </w:rPr>
        <w:t>MATERIALS AND METHODS</w:t>
      </w:r>
    </w:p>
    <w:p w14:paraId="2B45E445" w14:textId="77777777" w:rsidR="00D233F4" w:rsidRPr="00E0484B" w:rsidRDefault="00D233F4" w:rsidP="00F25DD9">
      <w:pPr>
        <w:spacing w:before="0" w:beforeAutospacing="0" w:after="0" w:afterAutospacing="0" w:line="240" w:lineRule="auto"/>
        <w:jc w:val="both"/>
        <w:rPr>
          <w:b/>
          <w:bCs/>
          <w:szCs w:val="24"/>
          <w:lang w:eastAsia="zh-CN"/>
        </w:rPr>
      </w:pPr>
    </w:p>
    <w:p w14:paraId="3DC6AEAB" w14:textId="77777777" w:rsidR="00F25DD9" w:rsidRPr="00E0484B" w:rsidRDefault="00F25DD9" w:rsidP="00F25DD9">
      <w:pPr>
        <w:spacing w:before="0" w:beforeAutospacing="0" w:after="0" w:afterAutospacing="0" w:line="240" w:lineRule="auto"/>
        <w:jc w:val="both"/>
        <w:rPr>
          <w:b/>
          <w:bCs/>
          <w:szCs w:val="24"/>
          <w:lang w:eastAsia="zh-CN"/>
        </w:rPr>
      </w:pPr>
      <w:r w:rsidRPr="00E0484B">
        <w:rPr>
          <w:b/>
          <w:bCs/>
          <w:szCs w:val="24"/>
          <w:lang w:eastAsia="zh-CN"/>
        </w:rPr>
        <w:t>Study Design and Setting</w:t>
      </w:r>
    </w:p>
    <w:p w14:paraId="0A27B5CF" w14:textId="20DDDA8E" w:rsidR="00F25DD9" w:rsidRDefault="00F25DD9" w:rsidP="00F25DD9">
      <w:pPr>
        <w:spacing w:before="0" w:beforeAutospacing="0" w:after="0" w:afterAutospacing="0" w:line="240" w:lineRule="auto"/>
        <w:jc w:val="both"/>
        <w:rPr>
          <w:szCs w:val="24"/>
          <w:lang w:eastAsia="zh-CN"/>
        </w:rPr>
      </w:pPr>
      <w:r w:rsidRPr="00D233F4">
        <w:rPr>
          <w:szCs w:val="24"/>
          <w:lang w:eastAsia="zh-CN"/>
        </w:rPr>
        <w:t xml:space="preserve">This cross-sectional pilot screening study was conducted at Rivers State University, Port Harcourt, Nigeria, a major tertiary institution in the Niger Delta region, </w:t>
      </w:r>
      <w:r w:rsidR="003D7060">
        <w:rPr>
          <w:szCs w:val="24"/>
          <w:lang w:eastAsia="zh-CN"/>
        </w:rPr>
        <w:t xml:space="preserve">between </w:t>
      </w:r>
      <w:proofErr w:type="spellStart"/>
      <w:r w:rsidR="00EA6669">
        <w:rPr>
          <w:szCs w:val="24"/>
          <w:lang w:eastAsia="zh-CN"/>
        </w:rPr>
        <w:t>s</w:t>
      </w:r>
      <w:r w:rsidR="003D7060">
        <w:rPr>
          <w:szCs w:val="24"/>
          <w:lang w:eastAsia="zh-CN"/>
        </w:rPr>
        <w:t>eptember</w:t>
      </w:r>
      <w:proofErr w:type="spellEnd"/>
      <w:r w:rsidR="00EA6669">
        <w:rPr>
          <w:szCs w:val="24"/>
          <w:lang w:eastAsia="zh-CN"/>
        </w:rPr>
        <w:t xml:space="preserve"> and </w:t>
      </w:r>
      <w:proofErr w:type="spellStart"/>
      <w:r w:rsidR="00EA6669">
        <w:rPr>
          <w:szCs w:val="24"/>
          <w:lang w:eastAsia="zh-CN"/>
        </w:rPr>
        <w:t>o</w:t>
      </w:r>
      <w:r w:rsidR="003D7060">
        <w:rPr>
          <w:szCs w:val="24"/>
          <w:lang w:eastAsia="zh-CN"/>
        </w:rPr>
        <w:t>ctober</w:t>
      </w:r>
      <w:proofErr w:type="spellEnd"/>
      <w:r w:rsidRPr="00D233F4">
        <w:rPr>
          <w:szCs w:val="24"/>
          <w:lang w:eastAsia="zh-CN"/>
        </w:rPr>
        <w:t xml:space="preserve">, </w:t>
      </w:r>
      <w:r w:rsidR="003D7060">
        <w:rPr>
          <w:szCs w:val="24"/>
          <w:lang w:eastAsia="zh-CN"/>
        </w:rPr>
        <w:t>2025</w:t>
      </w:r>
      <w:r w:rsidRPr="00D233F4">
        <w:rPr>
          <w:szCs w:val="24"/>
          <w:lang w:eastAsia="zh-CN"/>
        </w:rPr>
        <w:t xml:space="preserve">. The study aimed to determine the prevalence of </w:t>
      </w:r>
      <w:r w:rsidRPr="00D233F4">
        <w:rPr>
          <w:i/>
          <w:iCs/>
          <w:szCs w:val="24"/>
          <w:lang w:eastAsia="zh-CN"/>
        </w:rPr>
        <w:t>Chlamydia trachomatis</w:t>
      </w:r>
      <w:r w:rsidRPr="00D233F4">
        <w:rPr>
          <w:szCs w:val="24"/>
          <w:lang w:eastAsia="zh-CN"/>
        </w:rPr>
        <w:t xml:space="preserve"> infections among female undergraduate students aged 18–30 years and to assess associated behavioral and risk factors. A cross-sectional design was employed to provide a snapshot of infection burden within this high-risk population.</w:t>
      </w:r>
    </w:p>
    <w:p w14:paraId="0E0222BB" w14:textId="77777777" w:rsidR="00D233F4" w:rsidRPr="00D233F4" w:rsidRDefault="00D233F4" w:rsidP="00F25DD9">
      <w:pPr>
        <w:spacing w:before="0" w:beforeAutospacing="0" w:after="0" w:afterAutospacing="0" w:line="240" w:lineRule="auto"/>
        <w:jc w:val="both"/>
        <w:rPr>
          <w:szCs w:val="24"/>
          <w:lang w:eastAsia="zh-CN"/>
        </w:rPr>
      </w:pPr>
    </w:p>
    <w:p w14:paraId="307677F4" w14:textId="77777777" w:rsidR="00F25DD9" w:rsidRPr="00E0484B" w:rsidRDefault="00F25DD9" w:rsidP="00F25DD9">
      <w:pPr>
        <w:spacing w:before="0" w:beforeAutospacing="0" w:after="0" w:afterAutospacing="0" w:line="240" w:lineRule="auto"/>
        <w:jc w:val="both"/>
        <w:rPr>
          <w:b/>
          <w:bCs/>
          <w:szCs w:val="24"/>
          <w:lang w:eastAsia="zh-CN"/>
        </w:rPr>
      </w:pPr>
      <w:r w:rsidRPr="00E0484B">
        <w:rPr>
          <w:b/>
          <w:bCs/>
          <w:szCs w:val="24"/>
          <w:lang w:eastAsia="zh-CN"/>
        </w:rPr>
        <w:t>Study Population and Eligibility</w:t>
      </w:r>
    </w:p>
    <w:p w14:paraId="4BE4967E" w14:textId="77777777" w:rsidR="00F25DD9" w:rsidRDefault="00F25DD9" w:rsidP="00F25DD9">
      <w:pPr>
        <w:spacing w:before="0" w:beforeAutospacing="0" w:after="0" w:afterAutospacing="0" w:line="240" w:lineRule="auto"/>
        <w:jc w:val="both"/>
        <w:rPr>
          <w:szCs w:val="24"/>
          <w:lang w:eastAsia="zh-CN"/>
        </w:rPr>
      </w:pPr>
      <w:r w:rsidRPr="00421586">
        <w:rPr>
          <w:szCs w:val="24"/>
          <w:lang w:eastAsia="zh-CN"/>
        </w:rPr>
        <w:t xml:space="preserve">Female undergraduate students were recruited via campus awareness campaigns, including posters, social media, and announcements at the university health </w:t>
      </w:r>
      <w:proofErr w:type="spellStart"/>
      <w:r w:rsidRPr="00421586">
        <w:rPr>
          <w:szCs w:val="24"/>
          <w:lang w:eastAsia="zh-CN"/>
        </w:rPr>
        <w:t>centre</w:t>
      </w:r>
      <w:proofErr w:type="spellEnd"/>
      <w:r w:rsidRPr="00421586">
        <w:rPr>
          <w:szCs w:val="24"/>
          <w:lang w:eastAsia="zh-CN"/>
        </w:rPr>
        <w:t>. Inclusion criteria comprised students aged 18–30 years who provided informed consent and agreed to provide urine samples and complete a structured questionnaire. Exclusion criteria included current pregnancy, menstruation at the time of collection, recent antibiotic use (within two weeks), ongoing STI treatment, inability or refusal to provide informed consent, or presence of any serious illness that could interfere with participation.</w:t>
      </w:r>
    </w:p>
    <w:p w14:paraId="69CA563A" w14:textId="77777777" w:rsidR="00421586" w:rsidRPr="00421586" w:rsidRDefault="00421586" w:rsidP="00F25DD9">
      <w:pPr>
        <w:spacing w:before="0" w:beforeAutospacing="0" w:after="0" w:afterAutospacing="0" w:line="240" w:lineRule="auto"/>
        <w:jc w:val="both"/>
        <w:rPr>
          <w:szCs w:val="24"/>
          <w:lang w:eastAsia="zh-CN"/>
        </w:rPr>
      </w:pPr>
    </w:p>
    <w:p w14:paraId="1B6E4B39" w14:textId="77777777" w:rsidR="00F25DD9" w:rsidRPr="00421586" w:rsidRDefault="00F25DD9" w:rsidP="00F25DD9">
      <w:pPr>
        <w:spacing w:before="0" w:beforeAutospacing="0" w:after="0" w:afterAutospacing="0" w:line="240" w:lineRule="auto"/>
        <w:jc w:val="both"/>
        <w:rPr>
          <w:b/>
          <w:bCs/>
          <w:szCs w:val="24"/>
          <w:lang w:eastAsia="zh-CN"/>
        </w:rPr>
      </w:pPr>
      <w:r w:rsidRPr="00421586">
        <w:rPr>
          <w:b/>
          <w:bCs/>
          <w:szCs w:val="24"/>
          <w:lang w:eastAsia="zh-CN"/>
        </w:rPr>
        <w:t>Sample Size Determination</w:t>
      </w:r>
    </w:p>
    <w:p w14:paraId="71488F50" w14:textId="77777777" w:rsidR="00F25DD9" w:rsidRPr="00421586" w:rsidRDefault="00F25DD9" w:rsidP="00F25DD9">
      <w:pPr>
        <w:spacing w:before="0" w:beforeAutospacing="0" w:after="0" w:afterAutospacing="0" w:line="240" w:lineRule="auto"/>
        <w:jc w:val="both"/>
        <w:rPr>
          <w:szCs w:val="24"/>
          <w:lang w:eastAsia="zh-CN"/>
        </w:rPr>
      </w:pPr>
      <w:r w:rsidRPr="00421586">
        <w:rPr>
          <w:szCs w:val="24"/>
          <w:lang w:eastAsia="zh-CN"/>
        </w:rPr>
        <w:t>The minimum sample size was calculated using Cochran’s formula for prevalence studies:</w:t>
      </w:r>
    </w:p>
    <w:p w14:paraId="62FCA5C5" w14:textId="77777777" w:rsidR="00C412B3" w:rsidRPr="00E0484B" w:rsidRDefault="00C412B3" w:rsidP="00B343BB">
      <w:pPr>
        <w:spacing w:before="0" w:beforeAutospacing="0" w:after="0" w:afterAutospacing="0" w:line="240" w:lineRule="auto"/>
        <w:jc w:val="both"/>
        <w:rPr>
          <w:color w:val="000000" w:themeColor="text1"/>
          <w:szCs w:val="24"/>
        </w:rPr>
      </w:pPr>
      <w:r w:rsidRPr="00E0484B">
        <w:rPr>
          <w:color w:val="000000" w:themeColor="text1"/>
          <w:szCs w:val="24"/>
        </w:rPr>
        <w:t>Using the formula:</w:t>
      </w:r>
      <w:bookmarkEnd w:id="5"/>
      <w:bookmarkEnd w:id="6"/>
      <w:bookmarkEnd w:id="7"/>
    </w:p>
    <w:p w14:paraId="11705B59" w14:textId="77777777" w:rsidR="00C412B3" w:rsidRPr="00E0484B" w:rsidRDefault="00C412B3" w:rsidP="00B343BB">
      <w:pPr>
        <w:spacing w:before="0" w:beforeAutospacing="0" w:after="0" w:afterAutospacing="0" w:line="240" w:lineRule="auto"/>
        <w:jc w:val="both"/>
        <w:rPr>
          <w:color w:val="000000" w:themeColor="text1"/>
          <w:szCs w:val="24"/>
        </w:rPr>
      </w:pPr>
      <w:bookmarkStart w:id="8" w:name="_Toc30811"/>
      <w:bookmarkStart w:id="9" w:name="_Toc28897"/>
      <w:bookmarkStart w:id="10" w:name="_Toc27702"/>
      <m:oMath>
        <m:r>
          <m:rPr>
            <m:nor/>
          </m:rPr>
          <w:rPr>
            <w:rFonts w:eastAsia="Cambria Math"/>
            <w:i/>
            <w:color w:val="000000" w:themeColor="text1"/>
            <w:szCs w:val="24"/>
          </w:rPr>
          <m:t>n</m:t>
        </m:r>
        <m:r>
          <m:rPr>
            <m:nor/>
          </m:rPr>
          <w:rPr>
            <w:rFonts w:eastAsia="Cambria Math"/>
            <w:color w:val="000000" w:themeColor="text1"/>
            <w:szCs w:val="24"/>
          </w:rPr>
          <m:t xml:space="preserve">= </m:t>
        </m:r>
        <m:f>
          <m:fPr>
            <m:ctrlPr>
              <w:rPr>
                <w:rFonts w:ascii="Cambria Math" w:eastAsia="Cambria Math" w:hAnsi="Cambria Math"/>
                <w:color w:val="000000" w:themeColor="text1"/>
                <w:szCs w:val="24"/>
              </w:rPr>
            </m:ctrlPr>
          </m:fPr>
          <m:num>
            <m:sSup>
              <m:sSupPr>
                <m:ctrlPr>
                  <w:rPr>
                    <w:rFonts w:ascii="Cambria Math" w:eastAsia="Cambria Math" w:hAnsi="Cambria Math"/>
                    <w:color w:val="000000" w:themeColor="text1"/>
                    <w:szCs w:val="24"/>
                  </w:rPr>
                </m:ctrlPr>
              </m:sSupPr>
              <m:e>
                <m:r>
                  <m:rPr>
                    <m:nor/>
                  </m:rPr>
                  <w:rPr>
                    <w:rFonts w:eastAsia="Cambria Math"/>
                    <w:i/>
                    <w:color w:val="000000" w:themeColor="text1"/>
                    <w:szCs w:val="24"/>
                  </w:rPr>
                  <m:t>z</m:t>
                </m:r>
              </m:e>
              <m:sup>
                <m:r>
                  <m:rPr>
                    <m:nor/>
                  </m:rPr>
                  <w:rPr>
                    <w:rFonts w:eastAsia="Cambria Math"/>
                    <w:color w:val="000000" w:themeColor="text1"/>
                    <w:szCs w:val="24"/>
                  </w:rPr>
                  <m:t>2</m:t>
                </m:r>
              </m:sup>
            </m:sSup>
            <m:r>
              <m:rPr>
                <m:nor/>
              </m:rPr>
              <w:rPr>
                <w:rFonts w:eastAsia="Cambria Math"/>
                <w:i/>
                <w:color w:val="000000" w:themeColor="text1"/>
                <w:szCs w:val="24"/>
              </w:rPr>
              <m:t>pq</m:t>
            </m:r>
          </m:num>
          <m:den>
            <m:sSup>
              <m:sSupPr>
                <m:ctrlPr>
                  <w:rPr>
                    <w:rFonts w:ascii="Cambria Math" w:eastAsia="Cambria Math" w:hAnsi="Cambria Math"/>
                    <w:color w:val="000000" w:themeColor="text1"/>
                    <w:szCs w:val="24"/>
                  </w:rPr>
                </m:ctrlPr>
              </m:sSupPr>
              <m:e>
                <m:r>
                  <m:rPr>
                    <m:nor/>
                  </m:rPr>
                  <w:rPr>
                    <w:rFonts w:eastAsia="Cambria Math"/>
                    <w:i/>
                    <w:color w:val="000000" w:themeColor="text1"/>
                    <w:szCs w:val="24"/>
                  </w:rPr>
                  <m:t>d</m:t>
                </m:r>
              </m:e>
              <m:sup>
                <m:r>
                  <m:rPr>
                    <m:nor/>
                  </m:rPr>
                  <w:rPr>
                    <w:rFonts w:eastAsia="Cambria Math"/>
                    <w:color w:val="000000" w:themeColor="text1"/>
                    <w:szCs w:val="24"/>
                  </w:rPr>
                  <m:t>2</m:t>
                </m:r>
              </m:sup>
            </m:sSup>
          </m:den>
        </m:f>
      </m:oMath>
      <w:r w:rsidRPr="00E0484B">
        <w:rPr>
          <w:color w:val="000000" w:themeColor="text1"/>
          <w:szCs w:val="24"/>
        </w:rPr>
        <w:tab/>
        <w:t>     (Cochran, 1977)</w:t>
      </w:r>
      <w:bookmarkEnd w:id="8"/>
      <w:bookmarkEnd w:id="9"/>
      <w:bookmarkEnd w:id="10"/>
    </w:p>
    <w:p w14:paraId="1E6D2493" w14:textId="77777777" w:rsidR="00C412B3" w:rsidRPr="00E0484B" w:rsidRDefault="00C412B3" w:rsidP="00B343BB">
      <w:pPr>
        <w:spacing w:before="0" w:beforeAutospacing="0" w:after="0" w:afterAutospacing="0" w:line="240" w:lineRule="auto"/>
        <w:jc w:val="both"/>
        <w:rPr>
          <w:color w:val="000000" w:themeColor="text1"/>
          <w:szCs w:val="24"/>
        </w:rPr>
      </w:pPr>
      <w:bookmarkStart w:id="11" w:name="_Toc354"/>
      <w:bookmarkStart w:id="12" w:name="_Toc24780"/>
      <w:bookmarkStart w:id="13" w:name="_Toc9977"/>
      <w:r w:rsidRPr="00E0484B">
        <w:rPr>
          <w:color w:val="000000" w:themeColor="text1"/>
          <w:szCs w:val="24"/>
        </w:rPr>
        <w:t>Where n = Minimum sample size</w:t>
      </w:r>
      <w:bookmarkEnd w:id="11"/>
      <w:bookmarkEnd w:id="12"/>
      <w:bookmarkEnd w:id="13"/>
    </w:p>
    <w:p w14:paraId="5C20DA91" w14:textId="77777777" w:rsidR="00C412B3" w:rsidRPr="00E0484B" w:rsidRDefault="00C412B3" w:rsidP="00B343BB">
      <w:pPr>
        <w:spacing w:before="0" w:beforeAutospacing="0" w:after="0" w:afterAutospacing="0" w:line="240" w:lineRule="auto"/>
        <w:jc w:val="both"/>
        <w:rPr>
          <w:color w:val="000000" w:themeColor="text1"/>
          <w:szCs w:val="24"/>
        </w:rPr>
      </w:pPr>
      <w:bookmarkStart w:id="14" w:name="_Toc15160"/>
      <w:bookmarkStart w:id="15" w:name="_Toc7247"/>
      <w:bookmarkStart w:id="16" w:name="_Toc4186"/>
      <w:r w:rsidRPr="00E0484B">
        <w:rPr>
          <w:color w:val="000000" w:themeColor="text1"/>
          <w:szCs w:val="24"/>
        </w:rPr>
        <w:t>Z = Standard normal deviation corresponding to 95% confidence level set at 1.96</w:t>
      </w:r>
      <w:bookmarkEnd w:id="14"/>
      <w:bookmarkEnd w:id="15"/>
      <w:bookmarkEnd w:id="16"/>
    </w:p>
    <w:p w14:paraId="736DCB3C" w14:textId="77777777" w:rsidR="00C412B3" w:rsidRPr="00E0484B" w:rsidRDefault="00C412B3" w:rsidP="00B343BB">
      <w:pPr>
        <w:spacing w:before="0" w:beforeAutospacing="0" w:after="0" w:afterAutospacing="0" w:line="240" w:lineRule="auto"/>
        <w:jc w:val="both"/>
        <w:rPr>
          <w:color w:val="000000" w:themeColor="text1"/>
          <w:szCs w:val="24"/>
        </w:rPr>
      </w:pPr>
      <w:bookmarkStart w:id="17" w:name="_Toc23147"/>
      <w:bookmarkStart w:id="18" w:name="_Toc3372"/>
      <w:bookmarkStart w:id="19" w:name="_Toc10790"/>
      <w:r w:rsidRPr="00E0484B">
        <w:rPr>
          <w:color w:val="000000" w:themeColor="text1"/>
          <w:szCs w:val="24"/>
        </w:rPr>
        <w:t>p =30.2% = 0.30.2,</w:t>
      </w:r>
      <w:bookmarkEnd w:id="17"/>
      <w:bookmarkEnd w:id="18"/>
      <w:bookmarkEnd w:id="19"/>
      <w:r w:rsidRPr="00E0484B">
        <w:rPr>
          <w:color w:val="000000" w:themeColor="text1"/>
          <w:szCs w:val="24"/>
        </w:rPr>
        <w:t xml:space="preserve"> </w:t>
      </w:r>
    </w:p>
    <w:p w14:paraId="561A9F7A" w14:textId="77777777" w:rsidR="00C412B3" w:rsidRPr="00E0484B" w:rsidRDefault="00C412B3" w:rsidP="00B343BB">
      <w:pPr>
        <w:spacing w:before="0" w:beforeAutospacing="0" w:after="0" w:afterAutospacing="0" w:line="240" w:lineRule="auto"/>
        <w:jc w:val="both"/>
        <w:rPr>
          <w:color w:val="000000" w:themeColor="text1"/>
          <w:szCs w:val="24"/>
        </w:rPr>
      </w:pPr>
      <w:bookmarkStart w:id="20" w:name="_Toc22241"/>
      <w:bookmarkStart w:id="21" w:name="_Toc6661"/>
      <w:bookmarkStart w:id="22" w:name="_Toc30328"/>
      <w:r w:rsidRPr="00E0484B">
        <w:rPr>
          <w:color w:val="000000" w:themeColor="text1"/>
          <w:szCs w:val="24"/>
        </w:rPr>
        <w:t>q = 1-p = 0.698,</w:t>
      </w:r>
      <w:bookmarkEnd w:id="20"/>
      <w:bookmarkEnd w:id="21"/>
      <w:bookmarkEnd w:id="22"/>
      <w:r w:rsidRPr="00E0484B">
        <w:rPr>
          <w:color w:val="000000" w:themeColor="text1"/>
          <w:szCs w:val="24"/>
        </w:rPr>
        <w:t xml:space="preserve"> </w:t>
      </w:r>
    </w:p>
    <w:p w14:paraId="5664EDB3" w14:textId="77777777" w:rsidR="00C412B3" w:rsidRPr="00E0484B" w:rsidRDefault="00C412B3" w:rsidP="00B343BB">
      <w:pPr>
        <w:spacing w:before="0" w:beforeAutospacing="0" w:after="0" w:afterAutospacing="0" w:line="240" w:lineRule="auto"/>
        <w:jc w:val="both"/>
        <w:rPr>
          <w:color w:val="000000" w:themeColor="text1"/>
          <w:szCs w:val="24"/>
        </w:rPr>
      </w:pPr>
      <w:bookmarkStart w:id="23" w:name="_Toc21202"/>
      <w:bookmarkStart w:id="24" w:name="_Toc7934"/>
      <w:bookmarkStart w:id="25" w:name="_Toc19230"/>
      <w:r w:rsidRPr="00E0484B">
        <w:rPr>
          <w:color w:val="000000" w:themeColor="text1"/>
          <w:szCs w:val="24"/>
        </w:rPr>
        <w:t>d = desired precision, 7.35% (0.735)</w:t>
      </w:r>
      <w:bookmarkEnd w:id="23"/>
      <w:bookmarkEnd w:id="24"/>
      <w:bookmarkEnd w:id="25"/>
    </w:p>
    <w:p w14:paraId="78FFD8D2" w14:textId="77777777" w:rsidR="00C412B3" w:rsidRPr="00E0484B" w:rsidRDefault="00C412B3" w:rsidP="00B343BB">
      <w:pPr>
        <w:spacing w:before="0" w:beforeAutospacing="0" w:after="0" w:afterAutospacing="0" w:line="240" w:lineRule="auto"/>
        <w:jc w:val="both"/>
        <w:rPr>
          <w:rFonts w:eastAsia="Cambria Math"/>
          <w:color w:val="000000" w:themeColor="text1"/>
          <w:szCs w:val="24"/>
        </w:rPr>
      </w:pPr>
      <w:bookmarkStart w:id="26" w:name="_Toc2549"/>
      <w:bookmarkStart w:id="27" w:name="_Toc20877"/>
      <w:bookmarkStart w:id="28" w:name="_Toc11573"/>
      <m:oMathPara>
        <m:oMath>
          <m:r>
            <m:rPr>
              <m:nor/>
            </m:rPr>
            <w:rPr>
              <w:rFonts w:eastAsia="Cambria Math"/>
              <w:i/>
              <w:color w:val="000000" w:themeColor="text1"/>
              <w:szCs w:val="24"/>
            </w:rPr>
            <m:t>n</m:t>
          </m:r>
          <m:r>
            <m:rPr>
              <m:nor/>
            </m:rPr>
            <w:rPr>
              <w:rFonts w:eastAsia="Cambria Math"/>
              <w:color w:val="000000" w:themeColor="text1"/>
              <w:szCs w:val="24"/>
            </w:rPr>
            <m:t xml:space="preserve">= </m:t>
          </m:r>
          <m:f>
            <m:fPr>
              <m:ctrlPr>
                <w:rPr>
                  <w:rFonts w:ascii="Cambria Math" w:eastAsia="Cambria Math" w:hAnsi="Cambria Math"/>
                  <w:color w:val="000000" w:themeColor="text1"/>
                  <w:szCs w:val="24"/>
                </w:rPr>
              </m:ctrlPr>
            </m:fPr>
            <m:num>
              <m:sSup>
                <m:sSupPr>
                  <m:ctrlPr>
                    <w:rPr>
                      <w:rFonts w:ascii="Cambria Math" w:eastAsia="Cambria Math" w:hAnsi="Cambria Math"/>
                      <w:color w:val="000000" w:themeColor="text1"/>
                      <w:szCs w:val="24"/>
                    </w:rPr>
                  </m:ctrlPr>
                </m:sSupPr>
                <m:e>
                  <m:r>
                    <m:rPr>
                      <m:nor/>
                    </m:rPr>
                    <w:rPr>
                      <w:rFonts w:eastAsia="Cambria Math"/>
                      <w:color w:val="000000" w:themeColor="text1"/>
                      <w:szCs w:val="24"/>
                    </w:rPr>
                    <m:t>1.96</m:t>
                  </m:r>
                </m:e>
                <m:sup>
                  <m:r>
                    <m:rPr>
                      <m:nor/>
                    </m:rPr>
                    <w:rPr>
                      <w:rFonts w:eastAsia="Cambria Math"/>
                      <w:color w:val="000000" w:themeColor="text1"/>
                      <w:szCs w:val="24"/>
                    </w:rPr>
                    <m:t>2</m:t>
                  </m:r>
                </m:sup>
              </m:sSup>
              <m:r>
                <m:rPr>
                  <m:nor/>
                </m:rPr>
                <w:rPr>
                  <w:rFonts w:eastAsia="Cambria Math"/>
                  <w:i/>
                  <w:color w:val="000000" w:themeColor="text1"/>
                  <w:szCs w:val="24"/>
                </w:rPr>
                <m:t>x</m:t>
              </m:r>
              <m:r>
                <m:rPr>
                  <m:nor/>
                </m:rPr>
                <w:rPr>
                  <w:rFonts w:eastAsia="Cambria Math"/>
                  <w:color w:val="000000" w:themeColor="text1"/>
                  <w:szCs w:val="24"/>
                </w:rPr>
                <m:t>0.30.2</m:t>
              </m:r>
              <m:r>
                <m:rPr>
                  <m:nor/>
                </m:rPr>
                <w:rPr>
                  <w:rFonts w:eastAsia="Cambria Math"/>
                  <w:i/>
                  <w:color w:val="000000" w:themeColor="text1"/>
                  <w:szCs w:val="24"/>
                </w:rPr>
                <m:t>x</m:t>
              </m:r>
              <m:r>
                <m:rPr>
                  <m:nor/>
                </m:rPr>
                <w:rPr>
                  <w:rFonts w:eastAsia="Cambria Math"/>
                  <w:color w:val="000000" w:themeColor="text1"/>
                  <w:szCs w:val="24"/>
                </w:rPr>
                <m:t>0.698</m:t>
              </m:r>
            </m:num>
            <m:den>
              <m:sSup>
                <m:sSupPr>
                  <m:ctrlPr>
                    <w:rPr>
                      <w:rFonts w:ascii="Cambria Math" w:eastAsia="Cambria Math" w:hAnsi="Cambria Math"/>
                      <w:color w:val="000000" w:themeColor="text1"/>
                      <w:szCs w:val="24"/>
                    </w:rPr>
                  </m:ctrlPr>
                </m:sSupPr>
                <m:e>
                  <m:r>
                    <m:rPr>
                      <m:nor/>
                    </m:rPr>
                    <w:rPr>
                      <w:rFonts w:eastAsia="Cambria Math"/>
                      <w:color w:val="000000" w:themeColor="text1"/>
                      <w:szCs w:val="24"/>
                    </w:rPr>
                    <m:t>0.735</m:t>
                  </m:r>
                </m:e>
                <m:sup>
                  <m:r>
                    <m:rPr>
                      <m:nor/>
                    </m:rPr>
                    <w:rPr>
                      <w:rFonts w:eastAsia="Cambria Math"/>
                      <w:color w:val="000000" w:themeColor="text1"/>
                      <w:szCs w:val="24"/>
                    </w:rPr>
                    <m:t>2</m:t>
                  </m:r>
                </m:sup>
              </m:sSup>
            </m:den>
          </m:f>
        </m:oMath>
      </m:oMathPara>
      <w:bookmarkEnd w:id="26"/>
      <w:bookmarkEnd w:id="27"/>
      <w:bookmarkEnd w:id="28"/>
    </w:p>
    <w:p w14:paraId="5DA8E41F" w14:textId="50803B67" w:rsidR="005C74C0" w:rsidRPr="00E0484B" w:rsidRDefault="00C412B3" w:rsidP="00B343BB">
      <w:pPr>
        <w:spacing w:before="0" w:beforeAutospacing="0" w:after="0" w:afterAutospacing="0" w:line="240" w:lineRule="auto"/>
        <w:jc w:val="both"/>
        <w:rPr>
          <w:rStyle w:val="Strong"/>
          <w:color w:val="000000" w:themeColor="text1"/>
          <w:szCs w:val="24"/>
        </w:rPr>
      </w:pPr>
      <w:bookmarkStart w:id="29" w:name="_Toc3095"/>
      <w:bookmarkStart w:id="30" w:name="_Toc9943"/>
      <w:bookmarkStart w:id="31" w:name="_Toc23949"/>
      <w:r w:rsidRPr="00E0484B">
        <w:rPr>
          <w:rFonts w:eastAsia="Cambria Math"/>
          <w:color w:val="000000" w:themeColor="text1"/>
          <w:szCs w:val="24"/>
        </w:rPr>
        <w:t>n = 1</w:t>
      </w:r>
      <w:r w:rsidR="00F44D2C">
        <w:rPr>
          <w:rFonts w:eastAsia="Cambria Math"/>
          <w:color w:val="000000" w:themeColor="text1"/>
          <w:szCs w:val="24"/>
        </w:rPr>
        <w:t>33</w:t>
      </w:r>
      <w:r w:rsidRPr="00E0484B">
        <w:rPr>
          <w:rFonts w:eastAsia="Cambria Math"/>
          <w:color w:val="000000" w:themeColor="text1"/>
          <w:szCs w:val="24"/>
        </w:rPr>
        <w:t xml:space="preserve"> </w:t>
      </w:r>
      <w:bookmarkEnd w:id="29"/>
      <w:bookmarkEnd w:id="30"/>
      <w:bookmarkEnd w:id="31"/>
      <w:r w:rsidR="00F44D2C">
        <w:rPr>
          <w:rFonts w:eastAsia="Cambria Math"/>
          <w:color w:val="000000" w:themeColor="text1"/>
          <w:szCs w:val="24"/>
        </w:rPr>
        <w:t>participants</w:t>
      </w:r>
    </w:p>
    <w:p w14:paraId="7A252C6A" w14:textId="77777777" w:rsidR="00F25DD9" w:rsidRDefault="00F25DD9" w:rsidP="00F25DD9">
      <w:pPr>
        <w:spacing w:before="0" w:beforeAutospacing="0" w:after="0" w:afterAutospacing="0" w:line="240" w:lineRule="auto"/>
        <w:jc w:val="both"/>
        <w:outlineLvl w:val="9"/>
        <w:rPr>
          <w:szCs w:val="24"/>
          <w:lang w:eastAsia="zh-CN"/>
        </w:rPr>
      </w:pPr>
      <w:r w:rsidRPr="00F44D2C">
        <w:rPr>
          <w:szCs w:val="24"/>
          <w:lang w:eastAsia="zh-CN"/>
        </w:rPr>
        <w:t>This yielded a minimum of 133 participants, adjusted to 150 to account for non-response.</w:t>
      </w:r>
    </w:p>
    <w:p w14:paraId="0DC97E22" w14:textId="77777777" w:rsidR="00F44D2C" w:rsidRPr="00F44D2C" w:rsidRDefault="00F44D2C" w:rsidP="00F25DD9">
      <w:pPr>
        <w:spacing w:before="0" w:beforeAutospacing="0" w:after="0" w:afterAutospacing="0" w:line="240" w:lineRule="auto"/>
        <w:jc w:val="both"/>
        <w:outlineLvl w:val="9"/>
        <w:rPr>
          <w:szCs w:val="24"/>
          <w:lang w:eastAsia="zh-CN"/>
        </w:rPr>
      </w:pPr>
    </w:p>
    <w:p w14:paraId="7F25DF88" w14:textId="77777777"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Sampling Technique</w:t>
      </w:r>
    </w:p>
    <w:p w14:paraId="6AFD5C84" w14:textId="77777777" w:rsidR="00F25DD9" w:rsidRDefault="00F25DD9" w:rsidP="00F25DD9">
      <w:pPr>
        <w:spacing w:before="0" w:beforeAutospacing="0" w:after="0" w:afterAutospacing="0" w:line="240" w:lineRule="auto"/>
        <w:jc w:val="both"/>
        <w:outlineLvl w:val="9"/>
        <w:rPr>
          <w:szCs w:val="24"/>
          <w:lang w:eastAsia="zh-CN"/>
        </w:rPr>
      </w:pPr>
      <w:r w:rsidRPr="00F44D2C">
        <w:rPr>
          <w:szCs w:val="24"/>
          <w:lang w:eastAsia="zh-CN"/>
        </w:rPr>
        <w:t>A convenience sampling approach was employed, with recruitment across hostels, lecture halls, and common areas to ensure representation from all faculties and academic levels.</w:t>
      </w:r>
    </w:p>
    <w:p w14:paraId="2C8EFD39" w14:textId="77777777" w:rsidR="00F44D2C" w:rsidRPr="00F44D2C" w:rsidRDefault="00F44D2C" w:rsidP="00F25DD9">
      <w:pPr>
        <w:spacing w:before="0" w:beforeAutospacing="0" w:after="0" w:afterAutospacing="0" w:line="240" w:lineRule="auto"/>
        <w:jc w:val="both"/>
        <w:outlineLvl w:val="9"/>
        <w:rPr>
          <w:szCs w:val="24"/>
          <w:lang w:eastAsia="zh-CN"/>
        </w:rPr>
      </w:pPr>
    </w:p>
    <w:p w14:paraId="14D31464" w14:textId="5CCC9B2B"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 xml:space="preserve">Data Collection </w:t>
      </w:r>
    </w:p>
    <w:p w14:paraId="00C1EB1E" w14:textId="77777777" w:rsidR="00F25DD9" w:rsidRDefault="00F25DD9" w:rsidP="00F25DD9">
      <w:pPr>
        <w:spacing w:before="0" w:beforeAutospacing="0" w:after="0" w:afterAutospacing="0" w:line="240" w:lineRule="auto"/>
        <w:jc w:val="both"/>
        <w:outlineLvl w:val="9"/>
        <w:rPr>
          <w:szCs w:val="24"/>
          <w:lang w:eastAsia="zh-CN"/>
        </w:rPr>
      </w:pPr>
      <w:r w:rsidRPr="00F44D2C">
        <w:rPr>
          <w:szCs w:val="24"/>
          <w:lang w:eastAsia="zh-CN"/>
        </w:rPr>
        <w:t xml:space="preserve">A pretested structured questionnaire collected data on socio-demographics, sexual behaviors, contraceptive use, STI history, awareness of </w:t>
      </w:r>
      <w:r w:rsidRPr="00F44D2C">
        <w:rPr>
          <w:i/>
          <w:iCs/>
          <w:szCs w:val="24"/>
          <w:lang w:eastAsia="zh-CN"/>
        </w:rPr>
        <w:t>C. trachomatis</w:t>
      </w:r>
      <w:r w:rsidRPr="00F44D2C">
        <w:rPr>
          <w:szCs w:val="24"/>
          <w:lang w:eastAsia="zh-CN"/>
        </w:rPr>
        <w:t>, and prior testing practices.</w:t>
      </w:r>
    </w:p>
    <w:p w14:paraId="6C995EE0" w14:textId="77777777" w:rsidR="00F44D2C" w:rsidRPr="00F44D2C" w:rsidRDefault="00F44D2C" w:rsidP="00F25DD9">
      <w:pPr>
        <w:spacing w:before="0" w:beforeAutospacing="0" w:after="0" w:afterAutospacing="0" w:line="240" w:lineRule="auto"/>
        <w:jc w:val="both"/>
        <w:outlineLvl w:val="9"/>
        <w:rPr>
          <w:szCs w:val="24"/>
          <w:lang w:eastAsia="zh-CN"/>
        </w:rPr>
      </w:pPr>
    </w:p>
    <w:p w14:paraId="2A658683" w14:textId="77777777"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Materials and Equipment</w:t>
      </w:r>
    </w:p>
    <w:p w14:paraId="13E6144E" w14:textId="77777777" w:rsidR="00F25DD9" w:rsidRPr="00041016" w:rsidRDefault="00F25DD9" w:rsidP="00041016">
      <w:pPr>
        <w:spacing w:before="0" w:beforeAutospacing="0" w:after="0" w:afterAutospacing="0" w:line="240" w:lineRule="auto"/>
        <w:jc w:val="both"/>
        <w:outlineLvl w:val="9"/>
        <w:rPr>
          <w:szCs w:val="24"/>
          <w:lang w:eastAsia="zh-CN"/>
        </w:rPr>
      </w:pPr>
      <w:r w:rsidRPr="00041016">
        <w:rPr>
          <w:szCs w:val="24"/>
          <w:lang w:eastAsia="zh-CN"/>
        </w:rPr>
        <w:t xml:space="preserve">Lateral Flow Assay (LFA) Kits: ROSTEC Chlamydia Rapid Test Cassette for urine samples, detecting </w:t>
      </w:r>
      <w:r w:rsidRPr="00041016">
        <w:rPr>
          <w:i/>
          <w:iCs/>
          <w:szCs w:val="24"/>
          <w:lang w:eastAsia="zh-CN"/>
        </w:rPr>
        <w:t>C. trachomatis</w:t>
      </w:r>
      <w:r w:rsidRPr="00041016">
        <w:rPr>
          <w:szCs w:val="24"/>
          <w:lang w:eastAsia="zh-CN"/>
        </w:rPr>
        <w:t xml:space="preserve"> antigens via immunochromatography. Positive results produced a colored line in the test region; a control line confirmed test validity.</w:t>
      </w:r>
    </w:p>
    <w:p w14:paraId="7CA5A29A" w14:textId="4779B140" w:rsidR="00F25DD9" w:rsidRPr="00041016" w:rsidRDefault="00F25DD9" w:rsidP="00041016">
      <w:pPr>
        <w:spacing w:before="0" w:beforeAutospacing="0" w:after="0" w:afterAutospacing="0" w:line="240" w:lineRule="auto"/>
        <w:jc w:val="both"/>
        <w:outlineLvl w:val="9"/>
        <w:rPr>
          <w:szCs w:val="24"/>
          <w:lang w:eastAsia="zh-CN"/>
        </w:rPr>
      </w:pPr>
      <w:r w:rsidRPr="00041016">
        <w:rPr>
          <w:szCs w:val="24"/>
          <w:lang w:eastAsia="zh-CN"/>
        </w:rPr>
        <w:t>Sample Collection: Sterile urine collection cups (20–30 mL) and sealable transport containers</w:t>
      </w:r>
      <w:r w:rsidR="00041016" w:rsidRPr="00041016">
        <w:rPr>
          <w:szCs w:val="24"/>
          <w:lang w:eastAsia="zh-CN"/>
        </w:rPr>
        <w:t xml:space="preserve"> were used.</w:t>
      </w:r>
    </w:p>
    <w:p w14:paraId="795BE138" w14:textId="77777777" w:rsidR="00F25DD9" w:rsidRPr="00041016" w:rsidRDefault="00F25DD9" w:rsidP="00041016">
      <w:pPr>
        <w:spacing w:before="0" w:beforeAutospacing="0" w:after="0" w:afterAutospacing="0" w:line="240" w:lineRule="auto"/>
        <w:jc w:val="both"/>
        <w:outlineLvl w:val="9"/>
        <w:rPr>
          <w:szCs w:val="24"/>
          <w:lang w:eastAsia="zh-CN"/>
        </w:rPr>
      </w:pPr>
      <w:r w:rsidRPr="00041016">
        <w:rPr>
          <w:szCs w:val="24"/>
          <w:lang w:eastAsia="zh-CN"/>
        </w:rPr>
        <w:t>Personal Protective Equipment (PPE): Gloves, lab coats, and masks.</w:t>
      </w:r>
    </w:p>
    <w:p w14:paraId="54DC1FE6" w14:textId="77777777" w:rsidR="00F25DD9" w:rsidRPr="00041016" w:rsidRDefault="00F25DD9" w:rsidP="00041016">
      <w:pPr>
        <w:spacing w:before="0" w:beforeAutospacing="0" w:after="0" w:afterAutospacing="0" w:line="240" w:lineRule="auto"/>
        <w:jc w:val="both"/>
        <w:outlineLvl w:val="9"/>
        <w:rPr>
          <w:szCs w:val="24"/>
          <w:lang w:eastAsia="zh-CN"/>
        </w:rPr>
      </w:pPr>
      <w:r w:rsidRPr="00041016">
        <w:rPr>
          <w:szCs w:val="24"/>
          <w:lang w:eastAsia="zh-CN"/>
        </w:rPr>
        <w:t>Ancillary Materials: Hand sanitizers, biohazard disposal containers, permanent markers, and logbooks.</w:t>
      </w:r>
    </w:p>
    <w:p w14:paraId="153288AD" w14:textId="77777777" w:rsidR="00041016" w:rsidRPr="00E0484B" w:rsidRDefault="00041016" w:rsidP="00041016">
      <w:pPr>
        <w:spacing w:before="0" w:beforeAutospacing="0" w:after="0" w:afterAutospacing="0" w:line="240" w:lineRule="auto"/>
        <w:jc w:val="both"/>
        <w:outlineLvl w:val="9"/>
        <w:rPr>
          <w:b/>
          <w:bCs/>
          <w:szCs w:val="24"/>
          <w:lang w:eastAsia="zh-CN"/>
        </w:rPr>
      </w:pPr>
    </w:p>
    <w:p w14:paraId="1BC08C74" w14:textId="24CA7FD2"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S</w:t>
      </w:r>
      <w:r w:rsidR="00A34240">
        <w:rPr>
          <w:b/>
          <w:bCs/>
          <w:szCs w:val="24"/>
          <w:lang w:eastAsia="zh-CN"/>
        </w:rPr>
        <w:t>ample</w:t>
      </w:r>
      <w:r w:rsidRPr="00E0484B">
        <w:rPr>
          <w:b/>
          <w:bCs/>
          <w:szCs w:val="24"/>
          <w:lang w:eastAsia="zh-CN"/>
        </w:rPr>
        <w:t xml:space="preserve"> Collection and LFA Testing</w:t>
      </w:r>
    </w:p>
    <w:p w14:paraId="44D90612" w14:textId="3D20707F" w:rsidR="00F25DD9" w:rsidRPr="00A34240" w:rsidRDefault="00F25DD9" w:rsidP="00F25DD9">
      <w:pPr>
        <w:spacing w:before="0" w:beforeAutospacing="0" w:after="0" w:afterAutospacing="0" w:line="240" w:lineRule="auto"/>
        <w:jc w:val="both"/>
        <w:outlineLvl w:val="9"/>
        <w:rPr>
          <w:szCs w:val="24"/>
          <w:lang w:eastAsia="zh-CN"/>
        </w:rPr>
      </w:pPr>
      <w:r w:rsidRPr="00A34240">
        <w:rPr>
          <w:szCs w:val="24"/>
          <w:lang w:eastAsia="zh-CN"/>
        </w:rPr>
        <w:t>Participants provided midstream urine samples after refraining from urination for at least one hour. Samples were transported immediately to the laboratory</w:t>
      </w:r>
      <w:r w:rsidR="00A34240">
        <w:rPr>
          <w:szCs w:val="24"/>
          <w:lang w:eastAsia="zh-CN"/>
        </w:rPr>
        <w:t xml:space="preserve">. </w:t>
      </w:r>
      <w:r w:rsidRPr="00A34240">
        <w:rPr>
          <w:szCs w:val="24"/>
          <w:lang w:eastAsia="zh-CN"/>
        </w:rPr>
        <w:t>Testing followed the manufacturer’s instructions</w:t>
      </w:r>
      <w:r w:rsidR="00A34240">
        <w:rPr>
          <w:szCs w:val="24"/>
          <w:lang w:eastAsia="zh-CN"/>
        </w:rPr>
        <w:t xml:space="preserve"> as follows: </w:t>
      </w:r>
    </w:p>
    <w:p w14:paraId="54CAC8C3" w14:textId="77777777" w:rsidR="00F25DD9" w:rsidRPr="00A34240" w:rsidRDefault="00F25DD9" w:rsidP="00F25DD9">
      <w:pPr>
        <w:numPr>
          <w:ilvl w:val="0"/>
          <w:numId w:val="19"/>
        </w:numPr>
        <w:spacing w:before="0" w:beforeAutospacing="0" w:after="0" w:afterAutospacing="0" w:line="240" w:lineRule="auto"/>
        <w:jc w:val="both"/>
        <w:outlineLvl w:val="9"/>
        <w:rPr>
          <w:szCs w:val="24"/>
          <w:lang w:eastAsia="zh-CN"/>
        </w:rPr>
      </w:pPr>
      <w:r w:rsidRPr="00A34240">
        <w:rPr>
          <w:szCs w:val="24"/>
          <w:lang w:eastAsia="zh-CN"/>
        </w:rPr>
        <w:t>Add 6 drops of Extraction Solution A to the sample aliquot, stand 1 min.</w:t>
      </w:r>
    </w:p>
    <w:p w14:paraId="0284D415" w14:textId="77777777" w:rsidR="00F25DD9" w:rsidRPr="00A34240" w:rsidRDefault="00F25DD9" w:rsidP="00F25DD9">
      <w:pPr>
        <w:numPr>
          <w:ilvl w:val="0"/>
          <w:numId w:val="19"/>
        </w:numPr>
        <w:spacing w:before="0" w:beforeAutospacing="0" w:after="0" w:afterAutospacing="0" w:line="240" w:lineRule="auto"/>
        <w:jc w:val="both"/>
        <w:outlineLvl w:val="9"/>
        <w:rPr>
          <w:szCs w:val="24"/>
          <w:lang w:eastAsia="zh-CN"/>
        </w:rPr>
      </w:pPr>
      <w:r w:rsidRPr="00A34240">
        <w:rPr>
          <w:szCs w:val="24"/>
          <w:lang w:eastAsia="zh-CN"/>
        </w:rPr>
        <w:t>Add 6 drops of Extraction Solution B, shake, stand 1 min.</w:t>
      </w:r>
    </w:p>
    <w:p w14:paraId="3CC8EB0B" w14:textId="77777777" w:rsidR="00F25DD9" w:rsidRPr="00A34240" w:rsidRDefault="00F25DD9" w:rsidP="00F25DD9">
      <w:pPr>
        <w:numPr>
          <w:ilvl w:val="0"/>
          <w:numId w:val="19"/>
        </w:numPr>
        <w:spacing w:before="0" w:beforeAutospacing="0" w:after="0" w:afterAutospacing="0" w:line="240" w:lineRule="auto"/>
        <w:jc w:val="both"/>
        <w:outlineLvl w:val="9"/>
        <w:rPr>
          <w:szCs w:val="24"/>
          <w:lang w:eastAsia="zh-CN"/>
        </w:rPr>
      </w:pPr>
      <w:r w:rsidRPr="00A34240">
        <w:rPr>
          <w:szCs w:val="24"/>
          <w:lang w:eastAsia="zh-CN"/>
        </w:rPr>
        <w:t>Apply 3 drops (~150 µL) to the test device sample well.</w:t>
      </w:r>
    </w:p>
    <w:p w14:paraId="02EDCE6F" w14:textId="77777777" w:rsidR="00F25DD9" w:rsidRPr="00A34240" w:rsidRDefault="00F25DD9" w:rsidP="00F25DD9">
      <w:pPr>
        <w:numPr>
          <w:ilvl w:val="0"/>
          <w:numId w:val="19"/>
        </w:numPr>
        <w:spacing w:before="0" w:beforeAutospacing="0" w:after="0" w:afterAutospacing="0" w:line="240" w:lineRule="auto"/>
        <w:jc w:val="both"/>
        <w:outlineLvl w:val="9"/>
        <w:rPr>
          <w:szCs w:val="24"/>
          <w:lang w:eastAsia="zh-CN"/>
        </w:rPr>
      </w:pPr>
      <w:r w:rsidRPr="00A34240">
        <w:rPr>
          <w:szCs w:val="24"/>
          <w:lang w:eastAsia="zh-CN"/>
        </w:rPr>
        <w:t>Interpret after 10 minutes (maximum 15 minutes).</w:t>
      </w:r>
    </w:p>
    <w:p w14:paraId="78151CBC" w14:textId="77777777" w:rsidR="00F25DD9" w:rsidRDefault="00F25DD9" w:rsidP="00F25DD9">
      <w:pPr>
        <w:spacing w:before="0" w:beforeAutospacing="0" w:after="0" w:afterAutospacing="0" w:line="240" w:lineRule="auto"/>
        <w:jc w:val="both"/>
        <w:outlineLvl w:val="9"/>
        <w:rPr>
          <w:szCs w:val="24"/>
          <w:lang w:eastAsia="zh-CN"/>
        </w:rPr>
      </w:pPr>
      <w:r w:rsidRPr="00A34240">
        <w:rPr>
          <w:szCs w:val="24"/>
          <w:lang w:eastAsia="zh-CN"/>
        </w:rPr>
        <w:t>Two lines (test and control) indicated a positive result; only the control line indicated a negative result. Daily positive and negative controls ensured assay validity.</w:t>
      </w:r>
    </w:p>
    <w:p w14:paraId="31DC3AED" w14:textId="77777777" w:rsidR="00A34240" w:rsidRPr="00A34240" w:rsidRDefault="00A34240" w:rsidP="00F25DD9">
      <w:pPr>
        <w:spacing w:before="0" w:beforeAutospacing="0" w:after="0" w:afterAutospacing="0" w:line="240" w:lineRule="auto"/>
        <w:jc w:val="both"/>
        <w:outlineLvl w:val="9"/>
        <w:rPr>
          <w:szCs w:val="24"/>
          <w:lang w:eastAsia="zh-CN"/>
        </w:rPr>
      </w:pPr>
    </w:p>
    <w:p w14:paraId="5CFC6324" w14:textId="77777777"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Biosafety and Waste Disposal</w:t>
      </w:r>
    </w:p>
    <w:p w14:paraId="59743CCF" w14:textId="77777777" w:rsidR="00F25DD9" w:rsidRDefault="00F25DD9" w:rsidP="00F25DD9">
      <w:pPr>
        <w:spacing w:before="0" w:beforeAutospacing="0" w:after="0" w:afterAutospacing="0" w:line="240" w:lineRule="auto"/>
        <w:jc w:val="both"/>
        <w:outlineLvl w:val="9"/>
        <w:rPr>
          <w:szCs w:val="24"/>
          <w:lang w:eastAsia="zh-CN"/>
        </w:rPr>
      </w:pPr>
      <w:r w:rsidRPr="00A34240">
        <w:rPr>
          <w:szCs w:val="24"/>
          <w:lang w:eastAsia="zh-CN"/>
        </w:rPr>
        <w:t>All handling adhered to institutional biosafety protocols. Used materials were disposed of in biohazard containers.</w:t>
      </w:r>
    </w:p>
    <w:p w14:paraId="2DEAF4C5" w14:textId="77777777" w:rsidR="00A34240" w:rsidRPr="00A34240" w:rsidRDefault="00A34240" w:rsidP="00F25DD9">
      <w:pPr>
        <w:spacing w:before="0" w:beforeAutospacing="0" w:after="0" w:afterAutospacing="0" w:line="240" w:lineRule="auto"/>
        <w:jc w:val="both"/>
        <w:outlineLvl w:val="9"/>
        <w:rPr>
          <w:szCs w:val="24"/>
          <w:lang w:eastAsia="zh-CN"/>
        </w:rPr>
      </w:pPr>
    </w:p>
    <w:p w14:paraId="5B4DBE25" w14:textId="77777777"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Data Management and Analysis</w:t>
      </w:r>
    </w:p>
    <w:p w14:paraId="50846F53" w14:textId="0D060C8E" w:rsidR="00F25DD9" w:rsidRDefault="00F25DD9" w:rsidP="00F25DD9">
      <w:pPr>
        <w:spacing w:before="0" w:beforeAutospacing="0" w:after="0" w:afterAutospacing="0" w:line="240" w:lineRule="auto"/>
        <w:jc w:val="both"/>
        <w:outlineLvl w:val="9"/>
        <w:rPr>
          <w:szCs w:val="24"/>
          <w:lang w:eastAsia="zh-CN"/>
        </w:rPr>
      </w:pPr>
      <w:r w:rsidRPr="00A34240">
        <w:rPr>
          <w:szCs w:val="24"/>
          <w:lang w:eastAsia="zh-CN"/>
        </w:rPr>
        <w:t xml:space="preserve">Questionnaire responses and test results were entered into a secure database, with access limited to the research team. Data analysis was conducted using SPSS version 25. Descriptive statistics summarized </w:t>
      </w:r>
      <w:r w:rsidR="00702FFF">
        <w:rPr>
          <w:szCs w:val="24"/>
          <w:lang w:eastAsia="zh-CN"/>
        </w:rPr>
        <w:t xml:space="preserve">the </w:t>
      </w:r>
      <w:r w:rsidRPr="00A34240">
        <w:rPr>
          <w:szCs w:val="24"/>
          <w:lang w:eastAsia="zh-CN"/>
        </w:rPr>
        <w:t>variables. Chi-square analysis</w:t>
      </w:r>
      <w:r w:rsidR="00CA61D0">
        <w:rPr>
          <w:szCs w:val="24"/>
          <w:lang w:eastAsia="zh-CN"/>
        </w:rPr>
        <w:t xml:space="preserve"> </w:t>
      </w:r>
      <w:r w:rsidRPr="00A34240">
        <w:rPr>
          <w:szCs w:val="24"/>
          <w:lang w:eastAsia="zh-CN"/>
        </w:rPr>
        <w:t>to assess associations between infection status and risk factors</w:t>
      </w:r>
      <w:r w:rsidR="00CA61D0">
        <w:rPr>
          <w:szCs w:val="24"/>
          <w:lang w:eastAsia="zh-CN"/>
        </w:rPr>
        <w:t>.</w:t>
      </w:r>
      <w:r w:rsidR="00707277">
        <w:rPr>
          <w:szCs w:val="24"/>
          <w:lang w:eastAsia="zh-CN"/>
        </w:rPr>
        <w:t xml:space="preserve"> </w:t>
      </w:r>
      <w:r w:rsidRPr="00A34240">
        <w:rPr>
          <w:szCs w:val="24"/>
          <w:lang w:eastAsia="zh-CN"/>
        </w:rPr>
        <w:t xml:space="preserve">Statistical significance was set at </w:t>
      </w:r>
      <w:r w:rsidRPr="00A34240">
        <w:rPr>
          <w:i/>
          <w:iCs/>
          <w:szCs w:val="24"/>
          <w:lang w:eastAsia="zh-CN"/>
        </w:rPr>
        <w:t>p</w:t>
      </w:r>
      <w:r w:rsidRPr="00A34240">
        <w:rPr>
          <w:szCs w:val="24"/>
          <w:lang w:eastAsia="zh-CN"/>
        </w:rPr>
        <w:t xml:space="preserve"> &lt; 0.05.</w:t>
      </w:r>
    </w:p>
    <w:p w14:paraId="52EDC1D1" w14:textId="77777777" w:rsidR="00A34240" w:rsidRPr="00A34240" w:rsidRDefault="00A34240" w:rsidP="00F25DD9">
      <w:pPr>
        <w:spacing w:before="0" w:beforeAutospacing="0" w:after="0" w:afterAutospacing="0" w:line="240" w:lineRule="auto"/>
        <w:jc w:val="both"/>
        <w:outlineLvl w:val="9"/>
        <w:rPr>
          <w:szCs w:val="24"/>
          <w:lang w:eastAsia="zh-CN"/>
        </w:rPr>
      </w:pPr>
    </w:p>
    <w:p w14:paraId="03AFB3D9" w14:textId="77777777" w:rsidR="00F25DD9" w:rsidRPr="00E0484B" w:rsidRDefault="00F25DD9" w:rsidP="00F25DD9">
      <w:pPr>
        <w:spacing w:before="0" w:beforeAutospacing="0" w:after="0" w:afterAutospacing="0" w:line="240" w:lineRule="auto"/>
        <w:jc w:val="both"/>
        <w:outlineLvl w:val="9"/>
        <w:rPr>
          <w:b/>
          <w:bCs/>
          <w:szCs w:val="24"/>
          <w:lang w:eastAsia="zh-CN"/>
        </w:rPr>
      </w:pPr>
      <w:r w:rsidRPr="00E0484B">
        <w:rPr>
          <w:b/>
          <w:bCs/>
          <w:szCs w:val="24"/>
          <w:lang w:eastAsia="zh-CN"/>
        </w:rPr>
        <w:t>Ethical Considerations</w:t>
      </w:r>
    </w:p>
    <w:p w14:paraId="06934681" w14:textId="77777777" w:rsidR="00F25DD9" w:rsidRPr="00A34240" w:rsidRDefault="00F25DD9" w:rsidP="00F25DD9">
      <w:pPr>
        <w:spacing w:before="0" w:beforeAutospacing="0" w:after="0" w:afterAutospacing="0" w:line="240" w:lineRule="auto"/>
        <w:jc w:val="both"/>
        <w:outlineLvl w:val="9"/>
        <w:rPr>
          <w:szCs w:val="24"/>
          <w:lang w:eastAsia="zh-CN"/>
        </w:rPr>
      </w:pPr>
      <w:r w:rsidRPr="00A34240">
        <w:rPr>
          <w:szCs w:val="24"/>
          <w:lang w:eastAsia="zh-CN"/>
        </w:rPr>
        <w:t>Ethical approval was obtained from the Rivers State Ministry of Health Ethics Committee. Participation was voluntary, with written informed consent obtained from all participants. Confidentiality was maintained using unique codes. Students testing positive received post-test counseling and referral for confirmatory testing and treatment. Non-invasive sampling minimized participant risk.</w:t>
      </w:r>
    </w:p>
    <w:p w14:paraId="689ECD8C" w14:textId="0D4DBBAA" w:rsidR="00C412B3" w:rsidRPr="00E0484B" w:rsidRDefault="00C412B3" w:rsidP="00B343BB">
      <w:pPr>
        <w:spacing w:before="0" w:beforeAutospacing="0" w:after="0" w:afterAutospacing="0" w:line="240" w:lineRule="auto"/>
        <w:jc w:val="both"/>
        <w:outlineLvl w:val="9"/>
        <w:rPr>
          <w:color w:val="000000" w:themeColor="text1"/>
          <w:szCs w:val="24"/>
        </w:rPr>
      </w:pPr>
    </w:p>
    <w:p w14:paraId="10A9BD85" w14:textId="5AD85116" w:rsidR="0091586C" w:rsidRPr="0091586C" w:rsidRDefault="00C412B3" w:rsidP="0091586C">
      <w:pPr>
        <w:pStyle w:val="Heading1"/>
        <w:spacing w:line="240" w:lineRule="auto"/>
        <w:ind w:leftChars="0" w:left="0"/>
        <w:jc w:val="both"/>
        <w:rPr>
          <w:szCs w:val="24"/>
        </w:rPr>
      </w:pPr>
      <w:bookmarkStart w:id="32" w:name="_Toc4349"/>
      <w:bookmarkStart w:id="33" w:name="_Toc852"/>
      <w:r w:rsidRPr="00E0484B">
        <w:rPr>
          <w:szCs w:val="24"/>
        </w:rPr>
        <w:t>RESULT</w:t>
      </w:r>
      <w:bookmarkEnd w:id="32"/>
      <w:bookmarkEnd w:id="33"/>
      <w:r w:rsidRPr="00E0484B">
        <w:rPr>
          <w:szCs w:val="24"/>
        </w:rPr>
        <w:t>S</w:t>
      </w:r>
    </w:p>
    <w:p w14:paraId="516DEBE7" w14:textId="2C19D585" w:rsidR="00D34414" w:rsidRPr="00D93AC7" w:rsidRDefault="00152927" w:rsidP="00D34414">
      <w:pPr>
        <w:pStyle w:val="Heading3"/>
        <w:rPr>
          <w:b/>
          <w:bCs w:val="0"/>
          <w:szCs w:val="24"/>
        </w:rPr>
      </w:pPr>
      <w:bookmarkStart w:id="34" w:name="_Toc1131"/>
      <w:bookmarkStart w:id="35" w:name="_Toc28159"/>
      <w:bookmarkStart w:id="36" w:name="_Toc22095"/>
      <w:r w:rsidRPr="00D93AC7">
        <w:rPr>
          <w:b/>
          <w:bCs w:val="0"/>
          <w:szCs w:val="24"/>
        </w:rPr>
        <w:t xml:space="preserve">Participant </w:t>
      </w:r>
      <w:r w:rsidR="00060937" w:rsidRPr="00D93AC7">
        <w:rPr>
          <w:b/>
          <w:bCs w:val="0"/>
          <w:szCs w:val="24"/>
        </w:rPr>
        <w:t>socio-demographic characteristics</w:t>
      </w:r>
    </w:p>
    <w:p w14:paraId="58B6FCD7" w14:textId="32BD9C7D" w:rsidR="00152927" w:rsidRPr="00E0484B" w:rsidRDefault="00152927" w:rsidP="00D34414">
      <w:pPr>
        <w:pStyle w:val="Heading3"/>
        <w:rPr>
          <w:szCs w:val="24"/>
        </w:rPr>
      </w:pPr>
      <w:r w:rsidRPr="00E0484B">
        <w:rPr>
          <w:szCs w:val="24"/>
        </w:rPr>
        <w:t>A total</w:t>
      </w:r>
      <w:r w:rsidR="00D34414" w:rsidRPr="00E0484B">
        <w:rPr>
          <w:szCs w:val="24"/>
        </w:rPr>
        <w:t xml:space="preserve"> </w:t>
      </w:r>
      <w:r w:rsidRPr="00E0484B">
        <w:rPr>
          <w:szCs w:val="24"/>
        </w:rPr>
        <w:t>of 150 female students participated (mean age: 20.0 ± 1.82 years, range 18–27). Most participants were single (60.0%), resided on campus (65.3%), and were distributed across all academic years (100–500 levels)</w:t>
      </w:r>
      <w:r w:rsidR="00D93AC7">
        <w:rPr>
          <w:szCs w:val="24"/>
        </w:rPr>
        <w:t xml:space="preserve"> (Table 1</w:t>
      </w:r>
      <w:r w:rsidR="00070DA4">
        <w:rPr>
          <w:szCs w:val="24"/>
        </w:rPr>
        <w:t>, Figure 1</w:t>
      </w:r>
      <w:r w:rsidR="00AC36B6">
        <w:rPr>
          <w:szCs w:val="24"/>
        </w:rPr>
        <w:t>-4</w:t>
      </w:r>
      <w:r w:rsidR="00D93AC7">
        <w:rPr>
          <w:szCs w:val="24"/>
        </w:rPr>
        <w:t>)</w:t>
      </w:r>
    </w:p>
    <w:p w14:paraId="18CBF637" w14:textId="416B369F" w:rsidR="00152927" w:rsidRDefault="00152927">
      <w:pPr>
        <w:pStyle w:val="NormalWeb"/>
        <w:rPr>
          <w:b/>
          <w:bCs/>
        </w:rPr>
      </w:pPr>
      <w:r w:rsidRPr="00EE6051">
        <w:rPr>
          <w:b/>
          <w:bCs/>
        </w:rPr>
        <w:lastRenderedPageBreak/>
        <w:t>Table 1. Socio-Demographic Characteristics of Respondents (n = 150)</w:t>
      </w:r>
    </w:p>
    <w:tbl>
      <w:tblPr>
        <w:tblStyle w:val="TableGrid"/>
        <w:tblW w:w="0" w:type="auto"/>
        <w:tblLook w:val="04A0" w:firstRow="1" w:lastRow="0" w:firstColumn="1" w:lastColumn="0" w:noHBand="0" w:noVBand="1"/>
      </w:tblPr>
      <w:tblGrid>
        <w:gridCol w:w="2130"/>
        <w:gridCol w:w="2130"/>
        <w:gridCol w:w="2131"/>
        <w:gridCol w:w="2131"/>
      </w:tblGrid>
      <w:tr w:rsidR="000C68F1" w14:paraId="26050509" w14:textId="77777777" w:rsidTr="000C68F1">
        <w:tc>
          <w:tcPr>
            <w:tcW w:w="2130" w:type="dxa"/>
          </w:tcPr>
          <w:p w14:paraId="7478F156" w14:textId="20B30F0C" w:rsidR="000C68F1" w:rsidRDefault="000C68F1">
            <w:pPr>
              <w:pStyle w:val="NormalWeb"/>
              <w:rPr>
                <w:b/>
                <w:bCs/>
              </w:rPr>
            </w:pPr>
            <w:r w:rsidRPr="00E0484B">
              <w:rPr>
                <w:rFonts w:eastAsia="Times New Roman"/>
                <w:b/>
                <w:bCs/>
              </w:rPr>
              <w:t>Variable</w:t>
            </w:r>
          </w:p>
        </w:tc>
        <w:tc>
          <w:tcPr>
            <w:tcW w:w="2130" w:type="dxa"/>
          </w:tcPr>
          <w:p w14:paraId="5ECF558B" w14:textId="21BE4388" w:rsidR="000C68F1" w:rsidRDefault="00572AE2">
            <w:pPr>
              <w:pStyle w:val="NormalWeb"/>
              <w:rPr>
                <w:b/>
                <w:bCs/>
              </w:rPr>
            </w:pPr>
            <w:r w:rsidRPr="00E0484B">
              <w:rPr>
                <w:rFonts w:eastAsia="Times New Roman"/>
                <w:b/>
                <w:bCs/>
              </w:rPr>
              <w:t>Category</w:t>
            </w:r>
          </w:p>
        </w:tc>
        <w:tc>
          <w:tcPr>
            <w:tcW w:w="2131" w:type="dxa"/>
          </w:tcPr>
          <w:p w14:paraId="5311A583" w14:textId="4912DDA6" w:rsidR="000C68F1" w:rsidRDefault="00572AE2">
            <w:pPr>
              <w:pStyle w:val="NormalWeb"/>
              <w:rPr>
                <w:b/>
                <w:bCs/>
              </w:rPr>
            </w:pPr>
            <w:r w:rsidRPr="00E0484B">
              <w:rPr>
                <w:rFonts w:eastAsia="Times New Roman"/>
                <w:b/>
                <w:bCs/>
              </w:rPr>
              <w:t>Frequency (n)</w:t>
            </w:r>
          </w:p>
        </w:tc>
        <w:tc>
          <w:tcPr>
            <w:tcW w:w="2131" w:type="dxa"/>
          </w:tcPr>
          <w:p w14:paraId="670781A2" w14:textId="2F66FE76" w:rsidR="000C68F1" w:rsidRDefault="00572AE2">
            <w:pPr>
              <w:pStyle w:val="NormalWeb"/>
              <w:rPr>
                <w:b/>
                <w:bCs/>
              </w:rPr>
            </w:pPr>
            <w:r w:rsidRPr="00E0484B">
              <w:rPr>
                <w:rFonts w:eastAsia="Times New Roman"/>
                <w:b/>
                <w:bCs/>
              </w:rPr>
              <w:t>Percentage (%)</w:t>
            </w:r>
          </w:p>
        </w:tc>
      </w:tr>
      <w:tr w:rsidR="000C68F1" w14:paraId="50BC6AB3" w14:textId="77777777" w:rsidTr="00224824">
        <w:tc>
          <w:tcPr>
            <w:tcW w:w="2130" w:type="dxa"/>
            <w:vAlign w:val="center"/>
          </w:tcPr>
          <w:p w14:paraId="299EF44D" w14:textId="514F39E8" w:rsidR="000C68F1" w:rsidRDefault="000C68F1" w:rsidP="000C68F1">
            <w:pPr>
              <w:pStyle w:val="NormalWeb"/>
              <w:rPr>
                <w:b/>
                <w:bCs/>
              </w:rPr>
            </w:pPr>
            <w:r w:rsidRPr="00E0484B">
              <w:rPr>
                <w:rFonts w:eastAsia="Times New Roman"/>
              </w:rPr>
              <w:t>Age (years)</w:t>
            </w:r>
          </w:p>
        </w:tc>
        <w:tc>
          <w:tcPr>
            <w:tcW w:w="2130" w:type="dxa"/>
          </w:tcPr>
          <w:p w14:paraId="520EF321" w14:textId="3D779065" w:rsidR="000C68F1" w:rsidRDefault="00572AE2" w:rsidP="000C68F1">
            <w:pPr>
              <w:pStyle w:val="NormalWeb"/>
              <w:rPr>
                <w:b/>
                <w:bCs/>
              </w:rPr>
            </w:pPr>
            <w:r w:rsidRPr="00E0484B">
              <w:rPr>
                <w:rFonts w:eastAsia="Times New Roman"/>
              </w:rPr>
              <w:t>18–27, Mean = 20 ± 1.82</w:t>
            </w:r>
          </w:p>
        </w:tc>
        <w:tc>
          <w:tcPr>
            <w:tcW w:w="2131" w:type="dxa"/>
          </w:tcPr>
          <w:p w14:paraId="22922BEE" w14:textId="1D3CC1BF" w:rsidR="000C68F1" w:rsidRDefault="00572AE2" w:rsidP="000C68F1">
            <w:pPr>
              <w:pStyle w:val="NormalWeb"/>
              <w:rPr>
                <w:b/>
                <w:bCs/>
              </w:rPr>
            </w:pPr>
            <w:r>
              <w:rPr>
                <w:b/>
                <w:bCs/>
              </w:rPr>
              <w:t>-</w:t>
            </w:r>
          </w:p>
        </w:tc>
        <w:tc>
          <w:tcPr>
            <w:tcW w:w="2131" w:type="dxa"/>
          </w:tcPr>
          <w:p w14:paraId="5CAC155D" w14:textId="31542273" w:rsidR="000C68F1" w:rsidRDefault="000D5B1E" w:rsidP="000C68F1">
            <w:pPr>
              <w:pStyle w:val="NormalWeb"/>
              <w:rPr>
                <w:b/>
                <w:bCs/>
              </w:rPr>
            </w:pPr>
            <w:r>
              <w:rPr>
                <w:b/>
                <w:bCs/>
              </w:rPr>
              <w:t>-</w:t>
            </w:r>
          </w:p>
        </w:tc>
      </w:tr>
      <w:tr w:rsidR="000C68F1" w14:paraId="5B414DE8" w14:textId="77777777" w:rsidTr="00FE4338">
        <w:tc>
          <w:tcPr>
            <w:tcW w:w="2130" w:type="dxa"/>
            <w:vAlign w:val="center"/>
          </w:tcPr>
          <w:p w14:paraId="67562DAA" w14:textId="74F5C195" w:rsidR="000C68F1" w:rsidRDefault="000C68F1" w:rsidP="000C68F1">
            <w:pPr>
              <w:pStyle w:val="NormalWeb"/>
              <w:rPr>
                <w:b/>
                <w:bCs/>
              </w:rPr>
            </w:pPr>
            <w:r w:rsidRPr="00E0484B">
              <w:rPr>
                <w:rFonts w:eastAsia="Times New Roman"/>
              </w:rPr>
              <w:t>Marital Status</w:t>
            </w:r>
          </w:p>
        </w:tc>
        <w:tc>
          <w:tcPr>
            <w:tcW w:w="2130" w:type="dxa"/>
          </w:tcPr>
          <w:p w14:paraId="7022CE63" w14:textId="76129B7E" w:rsidR="000C68F1" w:rsidRDefault="000C68F1" w:rsidP="000C68F1">
            <w:pPr>
              <w:pStyle w:val="NormalWeb"/>
              <w:rPr>
                <w:b/>
                <w:bCs/>
              </w:rPr>
            </w:pPr>
            <w:r w:rsidRPr="00E0484B">
              <w:rPr>
                <w:rFonts w:eastAsia="Times New Roman"/>
              </w:rPr>
              <w:t>Single</w:t>
            </w:r>
          </w:p>
        </w:tc>
        <w:tc>
          <w:tcPr>
            <w:tcW w:w="2131" w:type="dxa"/>
          </w:tcPr>
          <w:p w14:paraId="0254A0EF" w14:textId="6BA3EAE6" w:rsidR="000C68F1" w:rsidRDefault="00572AE2" w:rsidP="000C68F1">
            <w:pPr>
              <w:pStyle w:val="NormalWeb"/>
              <w:rPr>
                <w:b/>
                <w:bCs/>
              </w:rPr>
            </w:pPr>
            <w:r>
              <w:rPr>
                <w:b/>
                <w:bCs/>
              </w:rPr>
              <w:t>90</w:t>
            </w:r>
          </w:p>
        </w:tc>
        <w:tc>
          <w:tcPr>
            <w:tcW w:w="2131" w:type="dxa"/>
          </w:tcPr>
          <w:p w14:paraId="03AE92C5" w14:textId="42D047C5" w:rsidR="000C68F1" w:rsidRDefault="000D5B1E" w:rsidP="000C68F1">
            <w:pPr>
              <w:pStyle w:val="NormalWeb"/>
              <w:rPr>
                <w:b/>
                <w:bCs/>
              </w:rPr>
            </w:pPr>
            <w:r>
              <w:rPr>
                <w:b/>
                <w:bCs/>
              </w:rPr>
              <w:t>60.0</w:t>
            </w:r>
          </w:p>
        </w:tc>
      </w:tr>
      <w:tr w:rsidR="000C68F1" w14:paraId="3380F6CC" w14:textId="77777777" w:rsidTr="000C68F1">
        <w:tc>
          <w:tcPr>
            <w:tcW w:w="2130" w:type="dxa"/>
          </w:tcPr>
          <w:p w14:paraId="7356B2E8" w14:textId="77777777" w:rsidR="000C68F1" w:rsidRDefault="000C68F1" w:rsidP="000C68F1">
            <w:pPr>
              <w:pStyle w:val="NormalWeb"/>
              <w:rPr>
                <w:b/>
                <w:bCs/>
              </w:rPr>
            </w:pPr>
          </w:p>
        </w:tc>
        <w:tc>
          <w:tcPr>
            <w:tcW w:w="2130" w:type="dxa"/>
          </w:tcPr>
          <w:p w14:paraId="601A65F1" w14:textId="364FFBB1" w:rsidR="000C68F1" w:rsidRDefault="000C68F1" w:rsidP="000C68F1">
            <w:pPr>
              <w:pStyle w:val="NormalWeb"/>
              <w:rPr>
                <w:b/>
                <w:bCs/>
              </w:rPr>
            </w:pPr>
            <w:r w:rsidRPr="00E0484B">
              <w:rPr>
                <w:rFonts w:eastAsia="Times New Roman"/>
              </w:rPr>
              <w:t>Relationship</w:t>
            </w:r>
          </w:p>
        </w:tc>
        <w:tc>
          <w:tcPr>
            <w:tcW w:w="2131" w:type="dxa"/>
          </w:tcPr>
          <w:p w14:paraId="6FC5AB89" w14:textId="249258B5" w:rsidR="000C68F1" w:rsidRDefault="00572AE2" w:rsidP="000C68F1">
            <w:pPr>
              <w:pStyle w:val="NormalWeb"/>
              <w:rPr>
                <w:b/>
                <w:bCs/>
              </w:rPr>
            </w:pPr>
            <w:r>
              <w:rPr>
                <w:b/>
                <w:bCs/>
              </w:rPr>
              <w:t>60</w:t>
            </w:r>
          </w:p>
        </w:tc>
        <w:tc>
          <w:tcPr>
            <w:tcW w:w="2131" w:type="dxa"/>
          </w:tcPr>
          <w:p w14:paraId="0D529092" w14:textId="58F03282" w:rsidR="000C68F1" w:rsidRDefault="000D5B1E" w:rsidP="000C68F1">
            <w:pPr>
              <w:pStyle w:val="NormalWeb"/>
              <w:rPr>
                <w:b/>
                <w:bCs/>
              </w:rPr>
            </w:pPr>
            <w:r>
              <w:rPr>
                <w:b/>
                <w:bCs/>
              </w:rPr>
              <w:t>40.0</w:t>
            </w:r>
          </w:p>
        </w:tc>
      </w:tr>
      <w:tr w:rsidR="000C68F1" w14:paraId="78F6A244" w14:textId="77777777" w:rsidTr="00703BF3">
        <w:tc>
          <w:tcPr>
            <w:tcW w:w="2130" w:type="dxa"/>
          </w:tcPr>
          <w:p w14:paraId="7588CE11" w14:textId="65E48B1C" w:rsidR="000C68F1" w:rsidRDefault="000C68F1" w:rsidP="000C68F1">
            <w:pPr>
              <w:pStyle w:val="NormalWeb"/>
              <w:rPr>
                <w:b/>
                <w:bCs/>
              </w:rPr>
            </w:pPr>
            <w:r w:rsidRPr="00E0484B">
              <w:rPr>
                <w:rFonts w:eastAsia="Times New Roman"/>
              </w:rPr>
              <w:t>Residence</w:t>
            </w:r>
          </w:p>
        </w:tc>
        <w:tc>
          <w:tcPr>
            <w:tcW w:w="2130" w:type="dxa"/>
            <w:vAlign w:val="center"/>
          </w:tcPr>
          <w:p w14:paraId="1C5659D7" w14:textId="0C748500" w:rsidR="000C68F1" w:rsidRDefault="000C68F1" w:rsidP="000C68F1">
            <w:pPr>
              <w:pStyle w:val="NormalWeb"/>
              <w:rPr>
                <w:b/>
                <w:bCs/>
              </w:rPr>
            </w:pPr>
            <w:r w:rsidRPr="00E0484B">
              <w:rPr>
                <w:rFonts w:eastAsia="Times New Roman"/>
              </w:rPr>
              <w:t>On campus</w:t>
            </w:r>
          </w:p>
        </w:tc>
        <w:tc>
          <w:tcPr>
            <w:tcW w:w="2131" w:type="dxa"/>
          </w:tcPr>
          <w:p w14:paraId="37C143BB" w14:textId="4CB9E7EA" w:rsidR="000C68F1" w:rsidRDefault="000D5B1E" w:rsidP="000C68F1">
            <w:pPr>
              <w:pStyle w:val="NormalWeb"/>
              <w:rPr>
                <w:b/>
                <w:bCs/>
              </w:rPr>
            </w:pPr>
            <w:r>
              <w:rPr>
                <w:b/>
                <w:bCs/>
              </w:rPr>
              <w:t>98</w:t>
            </w:r>
          </w:p>
        </w:tc>
        <w:tc>
          <w:tcPr>
            <w:tcW w:w="2131" w:type="dxa"/>
          </w:tcPr>
          <w:p w14:paraId="0C50205F" w14:textId="418F5261" w:rsidR="000C68F1" w:rsidRDefault="000D5B1E" w:rsidP="000C68F1">
            <w:pPr>
              <w:pStyle w:val="NormalWeb"/>
              <w:rPr>
                <w:b/>
                <w:bCs/>
              </w:rPr>
            </w:pPr>
            <w:r>
              <w:rPr>
                <w:b/>
                <w:bCs/>
              </w:rPr>
              <w:t>65.3</w:t>
            </w:r>
          </w:p>
        </w:tc>
      </w:tr>
      <w:tr w:rsidR="000C68F1" w14:paraId="0E6373CF" w14:textId="77777777" w:rsidTr="00AF0AB6">
        <w:tc>
          <w:tcPr>
            <w:tcW w:w="2130" w:type="dxa"/>
          </w:tcPr>
          <w:p w14:paraId="28BC0F07" w14:textId="77777777" w:rsidR="000C68F1" w:rsidRDefault="000C68F1" w:rsidP="000C68F1">
            <w:pPr>
              <w:pStyle w:val="NormalWeb"/>
              <w:rPr>
                <w:b/>
                <w:bCs/>
              </w:rPr>
            </w:pPr>
          </w:p>
        </w:tc>
        <w:tc>
          <w:tcPr>
            <w:tcW w:w="2130" w:type="dxa"/>
            <w:vAlign w:val="center"/>
          </w:tcPr>
          <w:p w14:paraId="519950FD" w14:textId="1EF9CA44" w:rsidR="000C68F1" w:rsidRDefault="000C68F1" w:rsidP="000C68F1">
            <w:pPr>
              <w:pStyle w:val="NormalWeb"/>
              <w:rPr>
                <w:b/>
                <w:bCs/>
              </w:rPr>
            </w:pPr>
            <w:r w:rsidRPr="00E0484B">
              <w:rPr>
                <w:rFonts w:eastAsia="Times New Roman"/>
              </w:rPr>
              <w:t>Off campus</w:t>
            </w:r>
          </w:p>
        </w:tc>
        <w:tc>
          <w:tcPr>
            <w:tcW w:w="2131" w:type="dxa"/>
          </w:tcPr>
          <w:p w14:paraId="01C4E4C3" w14:textId="71597A67" w:rsidR="000C68F1" w:rsidRDefault="000D5B1E" w:rsidP="000C68F1">
            <w:pPr>
              <w:pStyle w:val="NormalWeb"/>
              <w:rPr>
                <w:b/>
                <w:bCs/>
              </w:rPr>
            </w:pPr>
            <w:r>
              <w:rPr>
                <w:b/>
                <w:bCs/>
              </w:rPr>
              <w:t>51</w:t>
            </w:r>
          </w:p>
        </w:tc>
        <w:tc>
          <w:tcPr>
            <w:tcW w:w="2131" w:type="dxa"/>
          </w:tcPr>
          <w:p w14:paraId="7988C110" w14:textId="4507BFB6" w:rsidR="000C68F1" w:rsidRDefault="000D5B1E" w:rsidP="000C68F1">
            <w:pPr>
              <w:pStyle w:val="NormalWeb"/>
              <w:rPr>
                <w:b/>
                <w:bCs/>
              </w:rPr>
            </w:pPr>
            <w:r>
              <w:rPr>
                <w:b/>
                <w:bCs/>
              </w:rPr>
              <w:t>34.0</w:t>
            </w:r>
          </w:p>
        </w:tc>
      </w:tr>
      <w:tr w:rsidR="000C68F1" w14:paraId="64DA1F38" w14:textId="77777777" w:rsidTr="000C68F1">
        <w:tc>
          <w:tcPr>
            <w:tcW w:w="2130" w:type="dxa"/>
          </w:tcPr>
          <w:p w14:paraId="185E9375" w14:textId="77777777" w:rsidR="000C68F1" w:rsidRDefault="000C68F1" w:rsidP="000C68F1">
            <w:pPr>
              <w:pStyle w:val="NormalWeb"/>
              <w:rPr>
                <w:b/>
                <w:bCs/>
              </w:rPr>
            </w:pPr>
          </w:p>
        </w:tc>
        <w:tc>
          <w:tcPr>
            <w:tcW w:w="2130" w:type="dxa"/>
          </w:tcPr>
          <w:p w14:paraId="7F4BBF60" w14:textId="4DF65C6C" w:rsidR="000C68F1" w:rsidRDefault="000C68F1" w:rsidP="000C68F1">
            <w:pPr>
              <w:pStyle w:val="NormalWeb"/>
              <w:rPr>
                <w:b/>
                <w:bCs/>
              </w:rPr>
            </w:pPr>
            <w:r w:rsidRPr="00E0484B">
              <w:rPr>
                <w:rFonts w:eastAsia="Times New Roman"/>
              </w:rPr>
              <w:t>Family home</w:t>
            </w:r>
          </w:p>
        </w:tc>
        <w:tc>
          <w:tcPr>
            <w:tcW w:w="2131" w:type="dxa"/>
          </w:tcPr>
          <w:p w14:paraId="17F9B7D8" w14:textId="10B9BAA8" w:rsidR="000C68F1" w:rsidRDefault="000D5B1E" w:rsidP="000C68F1">
            <w:pPr>
              <w:pStyle w:val="NormalWeb"/>
              <w:rPr>
                <w:b/>
                <w:bCs/>
              </w:rPr>
            </w:pPr>
            <w:r>
              <w:rPr>
                <w:b/>
                <w:bCs/>
              </w:rPr>
              <w:t>1</w:t>
            </w:r>
          </w:p>
        </w:tc>
        <w:tc>
          <w:tcPr>
            <w:tcW w:w="2131" w:type="dxa"/>
          </w:tcPr>
          <w:p w14:paraId="620E9795" w14:textId="0117BB46" w:rsidR="000C68F1" w:rsidRDefault="000D5B1E" w:rsidP="000C68F1">
            <w:pPr>
              <w:pStyle w:val="NormalWeb"/>
              <w:rPr>
                <w:b/>
                <w:bCs/>
              </w:rPr>
            </w:pPr>
            <w:r>
              <w:rPr>
                <w:b/>
                <w:bCs/>
              </w:rPr>
              <w:t>0.7</w:t>
            </w:r>
          </w:p>
        </w:tc>
      </w:tr>
      <w:tr w:rsidR="000C68F1" w14:paraId="6902E1C1" w14:textId="77777777" w:rsidTr="000C68F1">
        <w:tc>
          <w:tcPr>
            <w:tcW w:w="2130" w:type="dxa"/>
          </w:tcPr>
          <w:p w14:paraId="1EEC9D5C" w14:textId="38957B50" w:rsidR="000C68F1" w:rsidRDefault="000C68F1" w:rsidP="000C68F1">
            <w:pPr>
              <w:pStyle w:val="NormalWeb"/>
              <w:rPr>
                <w:b/>
                <w:bCs/>
              </w:rPr>
            </w:pPr>
            <w:r w:rsidRPr="00E0484B">
              <w:rPr>
                <w:rFonts w:eastAsia="Times New Roman"/>
              </w:rPr>
              <w:t>Year of Study</w:t>
            </w:r>
          </w:p>
        </w:tc>
        <w:tc>
          <w:tcPr>
            <w:tcW w:w="2130" w:type="dxa"/>
          </w:tcPr>
          <w:p w14:paraId="765D891E" w14:textId="66F4279E" w:rsidR="000C68F1" w:rsidRDefault="000C68F1" w:rsidP="000C68F1">
            <w:pPr>
              <w:pStyle w:val="NormalWeb"/>
              <w:rPr>
                <w:b/>
                <w:bCs/>
              </w:rPr>
            </w:pPr>
            <w:r w:rsidRPr="00E0484B">
              <w:rPr>
                <w:rFonts w:eastAsia="Times New Roman"/>
              </w:rPr>
              <w:t>100 Level</w:t>
            </w:r>
          </w:p>
        </w:tc>
        <w:tc>
          <w:tcPr>
            <w:tcW w:w="2131" w:type="dxa"/>
          </w:tcPr>
          <w:p w14:paraId="7D6234A9" w14:textId="1CB23DA0" w:rsidR="000C68F1" w:rsidRDefault="000D5B1E" w:rsidP="000C68F1">
            <w:pPr>
              <w:pStyle w:val="NormalWeb"/>
              <w:rPr>
                <w:b/>
                <w:bCs/>
              </w:rPr>
            </w:pPr>
            <w:r>
              <w:rPr>
                <w:b/>
                <w:bCs/>
              </w:rPr>
              <w:t>32</w:t>
            </w:r>
          </w:p>
        </w:tc>
        <w:tc>
          <w:tcPr>
            <w:tcW w:w="2131" w:type="dxa"/>
          </w:tcPr>
          <w:p w14:paraId="3B8B45D5" w14:textId="272F04CC" w:rsidR="000C68F1" w:rsidRDefault="000D5B1E" w:rsidP="000C68F1">
            <w:pPr>
              <w:pStyle w:val="NormalWeb"/>
              <w:rPr>
                <w:b/>
                <w:bCs/>
              </w:rPr>
            </w:pPr>
            <w:r>
              <w:rPr>
                <w:b/>
                <w:bCs/>
              </w:rPr>
              <w:t>21.3</w:t>
            </w:r>
          </w:p>
        </w:tc>
      </w:tr>
      <w:tr w:rsidR="000C68F1" w14:paraId="09E1A672" w14:textId="77777777" w:rsidTr="000C68F1">
        <w:tc>
          <w:tcPr>
            <w:tcW w:w="2130" w:type="dxa"/>
          </w:tcPr>
          <w:p w14:paraId="2E9BA01A" w14:textId="77777777" w:rsidR="000C68F1" w:rsidRDefault="000C68F1" w:rsidP="000C68F1">
            <w:pPr>
              <w:pStyle w:val="NormalWeb"/>
              <w:rPr>
                <w:b/>
                <w:bCs/>
              </w:rPr>
            </w:pPr>
          </w:p>
        </w:tc>
        <w:tc>
          <w:tcPr>
            <w:tcW w:w="2130" w:type="dxa"/>
          </w:tcPr>
          <w:p w14:paraId="2359CA02" w14:textId="144DD59E" w:rsidR="000C68F1" w:rsidRDefault="000C68F1" w:rsidP="000C68F1">
            <w:pPr>
              <w:pStyle w:val="NormalWeb"/>
              <w:rPr>
                <w:b/>
                <w:bCs/>
              </w:rPr>
            </w:pPr>
            <w:r w:rsidRPr="00E0484B">
              <w:rPr>
                <w:rFonts w:eastAsia="Times New Roman"/>
              </w:rPr>
              <w:t>200 Level</w:t>
            </w:r>
          </w:p>
        </w:tc>
        <w:tc>
          <w:tcPr>
            <w:tcW w:w="2131" w:type="dxa"/>
          </w:tcPr>
          <w:p w14:paraId="46A769EB" w14:textId="0E6CBD99" w:rsidR="000C68F1" w:rsidRDefault="000D5B1E" w:rsidP="000C68F1">
            <w:pPr>
              <w:pStyle w:val="NormalWeb"/>
              <w:rPr>
                <w:b/>
                <w:bCs/>
              </w:rPr>
            </w:pPr>
            <w:r>
              <w:rPr>
                <w:b/>
                <w:bCs/>
              </w:rPr>
              <w:t>37</w:t>
            </w:r>
          </w:p>
        </w:tc>
        <w:tc>
          <w:tcPr>
            <w:tcW w:w="2131" w:type="dxa"/>
          </w:tcPr>
          <w:p w14:paraId="1F97493F" w14:textId="25A46D9D" w:rsidR="000C68F1" w:rsidRDefault="000D5B1E" w:rsidP="000C68F1">
            <w:pPr>
              <w:pStyle w:val="NormalWeb"/>
              <w:rPr>
                <w:b/>
                <w:bCs/>
              </w:rPr>
            </w:pPr>
            <w:r>
              <w:rPr>
                <w:b/>
                <w:bCs/>
              </w:rPr>
              <w:t>24.7</w:t>
            </w:r>
          </w:p>
        </w:tc>
      </w:tr>
      <w:tr w:rsidR="000C68F1" w14:paraId="6E47DAC0" w14:textId="77777777" w:rsidTr="000C68F1">
        <w:tc>
          <w:tcPr>
            <w:tcW w:w="2130" w:type="dxa"/>
          </w:tcPr>
          <w:p w14:paraId="30BB0B81" w14:textId="77777777" w:rsidR="000C68F1" w:rsidRDefault="000C68F1" w:rsidP="000C68F1">
            <w:pPr>
              <w:pStyle w:val="NormalWeb"/>
              <w:rPr>
                <w:b/>
                <w:bCs/>
              </w:rPr>
            </w:pPr>
          </w:p>
        </w:tc>
        <w:tc>
          <w:tcPr>
            <w:tcW w:w="2130" w:type="dxa"/>
          </w:tcPr>
          <w:p w14:paraId="12B50E29" w14:textId="51066DD9" w:rsidR="000C68F1" w:rsidRDefault="000C68F1" w:rsidP="000C68F1">
            <w:pPr>
              <w:pStyle w:val="NormalWeb"/>
              <w:rPr>
                <w:b/>
                <w:bCs/>
              </w:rPr>
            </w:pPr>
            <w:r w:rsidRPr="00E0484B">
              <w:rPr>
                <w:rFonts w:eastAsia="Times New Roman"/>
              </w:rPr>
              <w:t>300 Level</w:t>
            </w:r>
          </w:p>
        </w:tc>
        <w:tc>
          <w:tcPr>
            <w:tcW w:w="2131" w:type="dxa"/>
          </w:tcPr>
          <w:p w14:paraId="46ECFA82" w14:textId="6125D838" w:rsidR="000C68F1" w:rsidRDefault="000D5B1E" w:rsidP="000C68F1">
            <w:pPr>
              <w:pStyle w:val="NormalWeb"/>
              <w:rPr>
                <w:b/>
                <w:bCs/>
              </w:rPr>
            </w:pPr>
            <w:r>
              <w:rPr>
                <w:b/>
                <w:bCs/>
              </w:rPr>
              <w:t>25</w:t>
            </w:r>
          </w:p>
        </w:tc>
        <w:tc>
          <w:tcPr>
            <w:tcW w:w="2131" w:type="dxa"/>
          </w:tcPr>
          <w:p w14:paraId="0C532F3C" w14:textId="600788B7" w:rsidR="000C68F1" w:rsidRDefault="000D5B1E" w:rsidP="000C68F1">
            <w:pPr>
              <w:pStyle w:val="NormalWeb"/>
              <w:rPr>
                <w:b/>
                <w:bCs/>
              </w:rPr>
            </w:pPr>
            <w:r>
              <w:rPr>
                <w:b/>
                <w:bCs/>
              </w:rPr>
              <w:t>16.7</w:t>
            </w:r>
          </w:p>
        </w:tc>
      </w:tr>
      <w:tr w:rsidR="000C68F1" w14:paraId="35F8D9F7" w14:textId="77777777" w:rsidTr="000C68F1">
        <w:tc>
          <w:tcPr>
            <w:tcW w:w="2130" w:type="dxa"/>
          </w:tcPr>
          <w:p w14:paraId="559FDC4E" w14:textId="77777777" w:rsidR="000C68F1" w:rsidRDefault="000C68F1" w:rsidP="000C68F1">
            <w:pPr>
              <w:pStyle w:val="NormalWeb"/>
              <w:rPr>
                <w:b/>
                <w:bCs/>
              </w:rPr>
            </w:pPr>
          </w:p>
        </w:tc>
        <w:tc>
          <w:tcPr>
            <w:tcW w:w="2130" w:type="dxa"/>
          </w:tcPr>
          <w:p w14:paraId="70D36D2E" w14:textId="47CB826D" w:rsidR="000C68F1" w:rsidRDefault="000C68F1" w:rsidP="000C68F1">
            <w:pPr>
              <w:pStyle w:val="NormalWeb"/>
              <w:rPr>
                <w:b/>
                <w:bCs/>
              </w:rPr>
            </w:pPr>
            <w:r w:rsidRPr="00E0484B">
              <w:rPr>
                <w:rFonts w:eastAsia="Times New Roman"/>
              </w:rPr>
              <w:t>400 Level</w:t>
            </w:r>
          </w:p>
        </w:tc>
        <w:tc>
          <w:tcPr>
            <w:tcW w:w="2131" w:type="dxa"/>
          </w:tcPr>
          <w:p w14:paraId="7A107D89" w14:textId="7BE84FCE" w:rsidR="000C68F1" w:rsidRDefault="000D5B1E" w:rsidP="000C68F1">
            <w:pPr>
              <w:pStyle w:val="NormalWeb"/>
              <w:rPr>
                <w:b/>
                <w:bCs/>
              </w:rPr>
            </w:pPr>
            <w:r>
              <w:rPr>
                <w:b/>
                <w:bCs/>
              </w:rPr>
              <w:t>38</w:t>
            </w:r>
          </w:p>
        </w:tc>
        <w:tc>
          <w:tcPr>
            <w:tcW w:w="2131" w:type="dxa"/>
          </w:tcPr>
          <w:p w14:paraId="65ACEC79" w14:textId="42E89D65" w:rsidR="000C68F1" w:rsidRDefault="000D5B1E" w:rsidP="000C68F1">
            <w:pPr>
              <w:pStyle w:val="NormalWeb"/>
              <w:rPr>
                <w:b/>
                <w:bCs/>
              </w:rPr>
            </w:pPr>
            <w:r>
              <w:rPr>
                <w:b/>
                <w:bCs/>
              </w:rPr>
              <w:t>25.3</w:t>
            </w:r>
          </w:p>
        </w:tc>
      </w:tr>
      <w:tr w:rsidR="000C68F1" w14:paraId="69C01F85" w14:textId="77777777" w:rsidTr="000C68F1">
        <w:tc>
          <w:tcPr>
            <w:tcW w:w="2130" w:type="dxa"/>
          </w:tcPr>
          <w:p w14:paraId="4529F9BC" w14:textId="77777777" w:rsidR="000C68F1" w:rsidRDefault="000C68F1" w:rsidP="000C68F1">
            <w:pPr>
              <w:pStyle w:val="NormalWeb"/>
              <w:rPr>
                <w:b/>
                <w:bCs/>
              </w:rPr>
            </w:pPr>
          </w:p>
        </w:tc>
        <w:tc>
          <w:tcPr>
            <w:tcW w:w="2130" w:type="dxa"/>
          </w:tcPr>
          <w:p w14:paraId="765E889F" w14:textId="74214933" w:rsidR="000C68F1" w:rsidRPr="00E0484B" w:rsidRDefault="000C68F1" w:rsidP="000C68F1">
            <w:pPr>
              <w:pStyle w:val="NormalWeb"/>
              <w:rPr>
                <w:rFonts w:eastAsia="Times New Roman"/>
              </w:rPr>
            </w:pPr>
            <w:r w:rsidRPr="00E0484B">
              <w:rPr>
                <w:rFonts w:eastAsia="Times New Roman"/>
              </w:rPr>
              <w:t>500 Level</w:t>
            </w:r>
          </w:p>
        </w:tc>
        <w:tc>
          <w:tcPr>
            <w:tcW w:w="2131" w:type="dxa"/>
          </w:tcPr>
          <w:p w14:paraId="23AC281C" w14:textId="3BAE85E9" w:rsidR="000C68F1" w:rsidRDefault="000D5B1E" w:rsidP="000C68F1">
            <w:pPr>
              <w:pStyle w:val="NormalWeb"/>
              <w:rPr>
                <w:b/>
                <w:bCs/>
              </w:rPr>
            </w:pPr>
            <w:r>
              <w:rPr>
                <w:b/>
                <w:bCs/>
              </w:rPr>
              <w:t>18</w:t>
            </w:r>
          </w:p>
        </w:tc>
        <w:tc>
          <w:tcPr>
            <w:tcW w:w="2131" w:type="dxa"/>
          </w:tcPr>
          <w:p w14:paraId="1E8B86D3" w14:textId="2B27428C" w:rsidR="000C68F1" w:rsidRDefault="000D5B1E" w:rsidP="000C68F1">
            <w:pPr>
              <w:pStyle w:val="NormalWeb"/>
              <w:rPr>
                <w:b/>
                <w:bCs/>
              </w:rPr>
            </w:pPr>
            <w:r>
              <w:rPr>
                <w:b/>
                <w:bCs/>
              </w:rPr>
              <w:t>12.0</w:t>
            </w:r>
          </w:p>
        </w:tc>
      </w:tr>
    </w:tbl>
    <w:p w14:paraId="330533A9" w14:textId="77777777" w:rsidR="000C68F1" w:rsidRPr="00EE6051" w:rsidRDefault="000C68F1">
      <w:pPr>
        <w:pStyle w:val="NormalWeb"/>
        <w:rPr>
          <w:b/>
          <w:bCs/>
        </w:rPr>
      </w:pPr>
    </w:p>
    <w:p w14:paraId="6C1D1859" w14:textId="2E1800DB" w:rsidR="00EA3E0F" w:rsidRPr="00E0484B" w:rsidRDefault="00EA3E0F" w:rsidP="00815694">
      <w:pPr>
        <w:pStyle w:val="NormalWeb"/>
        <w:rPr>
          <w:b/>
          <w:bCs/>
        </w:rPr>
      </w:pPr>
      <w:r w:rsidRPr="00E0484B">
        <w:rPr>
          <w:b/>
          <w:bCs/>
          <w:noProof/>
        </w:rPr>
        <w:drawing>
          <wp:inline distT="0" distB="0" distL="0" distR="0" wp14:anchorId="4784442F" wp14:editId="5EC98A01">
            <wp:extent cx="5367655" cy="2495768"/>
            <wp:effectExtent l="0" t="0" r="4445" b="0"/>
            <wp:docPr id="699609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002" cy="2497789"/>
                    </a:xfrm>
                    <a:prstGeom prst="rect">
                      <a:avLst/>
                    </a:prstGeom>
                    <a:noFill/>
                    <a:ln>
                      <a:noFill/>
                    </a:ln>
                  </pic:spPr>
                </pic:pic>
              </a:graphicData>
            </a:graphic>
          </wp:inline>
        </w:drawing>
      </w:r>
    </w:p>
    <w:p w14:paraId="03B41F4C" w14:textId="77777777" w:rsidR="00051920" w:rsidRDefault="00051920">
      <w:pPr>
        <w:pStyle w:val="NormalWeb"/>
        <w:rPr>
          <w:b/>
          <w:bCs/>
        </w:rPr>
      </w:pPr>
    </w:p>
    <w:p w14:paraId="09985A88" w14:textId="77777777" w:rsidR="00051920" w:rsidRDefault="00051920">
      <w:pPr>
        <w:pStyle w:val="NormalWeb"/>
        <w:rPr>
          <w:b/>
          <w:bCs/>
        </w:rPr>
      </w:pPr>
    </w:p>
    <w:p w14:paraId="68DBE319" w14:textId="302153CB" w:rsidR="00B22E2D" w:rsidRDefault="00815694">
      <w:pPr>
        <w:pStyle w:val="NormalWeb"/>
        <w:rPr>
          <w:b/>
          <w:bCs/>
        </w:rPr>
      </w:pPr>
      <w:r w:rsidRPr="00E0484B">
        <w:rPr>
          <w:b/>
          <w:bCs/>
        </w:rPr>
        <w:t>Sexual Behavior and Risk Factors</w:t>
      </w:r>
    </w:p>
    <w:p w14:paraId="2C1C4642" w14:textId="48F42C01" w:rsidR="00EF02FD" w:rsidRPr="00EF02FD" w:rsidRDefault="00815694">
      <w:pPr>
        <w:pStyle w:val="NormalWeb"/>
        <w:rPr>
          <w:color w:val="EE0000"/>
        </w:rPr>
      </w:pPr>
      <w:r w:rsidRPr="00E0484B">
        <w:t>Most participants (92.7%) reported receiving sexual education,</w:t>
      </w:r>
      <w:r w:rsidR="00EF02FD">
        <w:t xml:space="preserve"> </w:t>
      </w:r>
      <w:r w:rsidRPr="00E0484B">
        <w:t xml:space="preserve">45.3% were sexually active, and 26.0% admitted to unprotected intercourse. Prior STI diagnosis was low (6%), and 36.0% reported contraceptive use. Routine STI check-up attendance was 41.3%. Missing </w:t>
      </w:r>
      <w:r w:rsidRPr="00717B0A">
        <w:t>responses for sensitive questions were high, indicating potential underreporting</w:t>
      </w:r>
      <w:r w:rsidR="00B22E2D" w:rsidRPr="00717B0A">
        <w:t xml:space="preserve"> (Table 2, Figures 5</w:t>
      </w:r>
      <w:r w:rsidR="00717B0A" w:rsidRPr="00717B0A">
        <w:t>-</w:t>
      </w:r>
      <w:r w:rsidR="00B22E2D" w:rsidRPr="00717B0A">
        <w:t>9).</w:t>
      </w:r>
    </w:p>
    <w:p w14:paraId="74048A32" w14:textId="1CEB515D" w:rsidR="00152927" w:rsidRDefault="00815694">
      <w:pPr>
        <w:pStyle w:val="NormalWeb"/>
        <w:rPr>
          <w:b/>
          <w:bCs/>
        </w:rPr>
      </w:pPr>
      <w:r w:rsidRPr="00176E00">
        <w:rPr>
          <w:b/>
          <w:bCs/>
        </w:rPr>
        <w:t>Table 2. Sexual Behavior and Risk Factors (n = 150)</w:t>
      </w:r>
    </w:p>
    <w:tbl>
      <w:tblPr>
        <w:tblStyle w:val="TableGrid"/>
        <w:tblW w:w="0" w:type="auto"/>
        <w:tblLook w:val="04A0" w:firstRow="1" w:lastRow="0" w:firstColumn="1" w:lastColumn="0" w:noHBand="0" w:noVBand="1"/>
      </w:tblPr>
      <w:tblGrid>
        <w:gridCol w:w="2130"/>
        <w:gridCol w:w="2130"/>
        <w:gridCol w:w="2131"/>
        <w:gridCol w:w="2131"/>
      </w:tblGrid>
      <w:tr w:rsidR="00EF02FD" w14:paraId="79E52F2F" w14:textId="77777777" w:rsidTr="00EF02FD">
        <w:tc>
          <w:tcPr>
            <w:tcW w:w="2130" w:type="dxa"/>
          </w:tcPr>
          <w:p w14:paraId="4898038D" w14:textId="4DD73DBA" w:rsidR="00EF02FD" w:rsidRDefault="00EF02FD">
            <w:pPr>
              <w:pStyle w:val="NormalWeb"/>
              <w:rPr>
                <w:b/>
                <w:bCs/>
              </w:rPr>
            </w:pPr>
            <w:r w:rsidRPr="00E0484B">
              <w:rPr>
                <w:rFonts w:eastAsia="Times New Roman"/>
              </w:rPr>
              <w:t>Received Sexual Education</w:t>
            </w:r>
          </w:p>
        </w:tc>
        <w:tc>
          <w:tcPr>
            <w:tcW w:w="2130" w:type="dxa"/>
          </w:tcPr>
          <w:p w14:paraId="0ACD1570" w14:textId="10B033F5" w:rsidR="00EF02FD" w:rsidRPr="007C6056" w:rsidRDefault="00EF02FD">
            <w:pPr>
              <w:pStyle w:val="NormalWeb"/>
            </w:pPr>
            <w:r w:rsidRPr="007C6056">
              <w:t xml:space="preserve">Yes </w:t>
            </w:r>
          </w:p>
        </w:tc>
        <w:tc>
          <w:tcPr>
            <w:tcW w:w="2131" w:type="dxa"/>
          </w:tcPr>
          <w:p w14:paraId="78BC1BA9" w14:textId="0BFD816B" w:rsidR="00EF02FD" w:rsidRPr="007C6056" w:rsidRDefault="00BD1348">
            <w:pPr>
              <w:pStyle w:val="NormalWeb"/>
            </w:pPr>
            <w:r w:rsidRPr="007C6056">
              <w:t>139</w:t>
            </w:r>
          </w:p>
        </w:tc>
        <w:tc>
          <w:tcPr>
            <w:tcW w:w="2131" w:type="dxa"/>
          </w:tcPr>
          <w:p w14:paraId="637E2884" w14:textId="4E36389B" w:rsidR="00EF02FD" w:rsidRPr="007C6056" w:rsidRDefault="00BD1348">
            <w:pPr>
              <w:pStyle w:val="NormalWeb"/>
            </w:pPr>
            <w:r w:rsidRPr="007C6056">
              <w:t>92.7</w:t>
            </w:r>
          </w:p>
        </w:tc>
      </w:tr>
      <w:tr w:rsidR="00EF02FD" w14:paraId="578A2B9B" w14:textId="77777777" w:rsidTr="00EF02FD">
        <w:tc>
          <w:tcPr>
            <w:tcW w:w="2130" w:type="dxa"/>
          </w:tcPr>
          <w:p w14:paraId="6850191B" w14:textId="77777777" w:rsidR="00EF02FD" w:rsidRDefault="00EF02FD">
            <w:pPr>
              <w:pStyle w:val="NormalWeb"/>
              <w:rPr>
                <w:b/>
                <w:bCs/>
              </w:rPr>
            </w:pPr>
          </w:p>
        </w:tc>
        <w:tc>
          <w:tcPr>
            <w:tcW w:w="2130" w:type="dxa"/>
          </w:tcPr>
          <w:p w14:paraId="63E00489" w14:textId="11759EC6" w:rsidR="00EF02FD" w:rsidRPr="007C6056" w:rsidRDefault="00EF02FD">
            <w:pPr>
              <w:pStyle w:val="NormalWeb"/>
            </w:pPr>
            <w:r w:rsidRPr="007C6056">
              <w:t>No</w:t>
            </w:r>
          </w:p>
        </w:tc>
        <w:tc>
          <w:tcPr>
            <w:tcW w:w="2131" w:type="dxa"/>
          </w:tcPr>
          <w:p w14:paraId="241AF2E8" w14:textId="1078D2B0" w:rsidR="00EF02FD" w:rsidRPr="007C6056" w:rsidRDefault="00BD1348">
            <w:pPr>
              <w:pStyle w:val="NormalWeb"/>
            </w:pPr>
            <w:r w:rsidRPr="007C6056">
              <w:t>8</w:t>
            </w:r>
          </w:p>
        </w:tc>
        <w:tc>
          <w:tcPr>
            <w:tcW w:w="2131" w:type="dxa"/>
          </w:tcPr>
          <w:p w14:paraId="38E580C7" w14:textId="4072790E" w:rsidR="00EF02FD" w:rsidRPr="007C6056" w:rsidRDefault="00BD1348">
            <w:pPr>
              <w:pStyle w:val="NormalWeb"/>
            </w:pPr>
            <w:r w:rsidRPr="007C6056">
              <w:t>5.3</w:t>
            </w:r>
          </w:p>
        </w:tc>
      </w:tr>
      <w:tr w:rsidR="00EF02FD" w14:paraId="06FFF424" w14:textId="77777777" w:rsidTr="00EF02FD">
        <w:tc>
          <w:tcPr>
            <w:tcW w:w="2130" w:type="dxa"/>
          </w:tcPr>
          <w:p w14:paraId="6AB7C6ED" w14:textId="254C1773" w:rsidR="00EF02FD" w:rsidRDefault="00EF02FD">
            <w:pPr>
              <w:pStyle w:val="NormalWeb"/>
              <w:rPr>
                <w:b/>
                <w:bCs/>
              </w:rPr>
            </w:pPr>
            <w:r w:rsidRPr="00E0484B">
              <w:rPr>
                <w:rFonts w:eastAsia="Times New Roman"/>
              </w:rPr>
              <w:t>Currently Sexually Active</w:t>
            </w:r>
          </w:p>
        </w:tc>
        <w:tc>
          <w:tcPr>
            <w:tcW w:w="2130" w:type="dxa"/>
          </w:tcPr>
          <w:p w14:paraId="27576856" w14:textId="23B11CD5" w:rsidR="00EF02FD" w:rsidRPr="007C6056" w:rsidRDefault="00EF02FD">
            <w:pPr>
              <w:pStyle w:val="NormalWeb"/>
            </w:pPr>
            <w:r w:rsidRPr="007C6056">
              <w:t>Yes</w:t>
            </w:r>
          </w:p>
        </w:tc>
        <w:tc>
          <w:tcPr>
            <w:tcW w:w="2131" w:type="dxa"/>
          </w:tcPr>
          <w:p w14:paraId="5F4A76D8" w14:textId="0DF0C78E" w:rsidR="00EF02FD" w:rsidRPr="007C6056" w:rsidRDefault="00BD1348">
            <w:pPr>
              <w:pStyle w:val="NormalWeb"/>
            </w:pPr>
            <w:r w:rsidRPr="007C6056">
              <w:t>68</w:t>
            </w:r>
          </w:p>
        </w:tc>
        <w:tc>
          <w:tcPr>
            <w:tcW w:w="2131" w:type="dxa"/>
          </w:tcPr>
          <w:p w14:paraId="46BE20DF" w14:textId="3D82AA9B" w:rsidR="00EF02FD" w:rsidRPr="007C6056" w:rsidRDefault="00BD1348">
            <w:pPr>
              <w:pStyle w:val="NormalWeb"/>
            </w:pPr>
            <w:r w:rsidRPr="007C6056">
              <w:t>45.3</w:t>
            </w:r>
          </w:p>
        </w:tc>
      </w:tr>
      <w:tr w:rsidR="00EF02FD" w14:paraId="5BFC3BBD" w14:textId="77777777" w:rsidTr="00EF02FD">
        <w:tc>
          <w:tcPr>
            <w:tcW w:w="2130" w:type="dxa"/>
          </w:tcPr>
          <w:p w14:paraId="2445B67D" w14:textId="77777777" w:rsidR="00EF02FD" w:rsidRDefault="00EF02FD">
            <w:pPr>
              <w:pStyle w:val="NormalWeb"/>
              <w:rPr>
                <w:b/>
                <w:bCs/>
              </w:rPr>
            </w:pPr>
          </w:p>
        </w:tc>
        <w:tc>
          <w:tcPr>
            <w:tcW w:w="2130" w:type="dxa"/>
          </w:tcPr>
          <w:p w14:paraId="21768FBC" w14:textId="463E7D79" w:rsidR="00EF02FD" w:rsidRPr="007C6056" w:rsidRDefault="00EF02FD">
            <w:pPr>
              <w:pStyle w:val="NormalWeb"/>
            </w:pPr>
            <w:r w:rsidRPr="007C6056">
              <w:t>No</w:t>
            </w:r>
          </w:p>
        </w:tc>
        <w:tc>
          <w:tcPr>
            <w:tcW w:w="2131" w:type="dxa"/>
          </w:tcPr>
          <w:p w14:paraId="5C74ED39" w14:textId="698A5522" w:rsidR="00EF02FD" w:rsidRPr="007C6056" w:rsidRDefault="00BD1348">
            <w:pPr>
              <w:pStyle w:val="NormalWeb"/>
            </w:pPr>
            <w:r w:rsidRPr="007C6056">
              <w:t>68</w:t>
            </w:r>
          </w:p>
        </w:tc>
        <w:tc>
          <w:tcPr>
            <w:tcW w:w="2131" w:type="dxa"/>
          </w:tcPr>
          <w:p w14:paraId="0CBD79F4" w14:textId="558D6468" w:rsidR="00EF02FD" w:rsidRPr="007C6056" w:rsidRDefault="00BD1348">
            <w:pPr>
              <w:pStyle w:val="NormalWeb"/>
            </w:pPr>
            <w:r w:rsidRPr="007C6056">
              <w:t>45.3</w:t>
            </w:r>
          </w:p>
        </w:tc>
      </w:tr>
      <w:tr w:rsidR="00EF02FD" w14:paraId="162E0382" w14:textId="77777777" w:rsidTr="00EF02FD">
        <w:tc>
          <w:tcPr>
            <w:tcW w:w="2130" w:type="dxa"/>
          </w:tcPr>
          <w:p w14:paraId="768CA10A" w14:textId="77777777" w:rsidR="00EF02FD" w:rsidRDefault="00EF02FD">
            <w:pPr>
              <w:pStyle w:val="NormalWeb"/>
              <w:rPr>
                <w:b/>
                <w:bCs/>
              </w:rPr>
            </w:pPr>
          </w:p>
        </w:tc>
        <w:tc>
          <w:tcPr>
            <w:tcW w:w="2130" w:type="dxa"/>
          </w:tcPr>
          <w:p w14:paraId="0C0B059B" w14:textId="72489A34" w:rsidR="00EF02FD" w:rsidRPr="007C6056" w:rsidRDefault="00EF02FD">
            <w:pPr>
              <w:pStyle w:val="NormalWeb"/>
            </w:pPr>
            <w:r w:rsidRPr="007C6056">
              <w:t>Missing</w:t>
            </w:r>
          </w:p>
        </w:tc>
        <w:tc>
          <w:tcPr>
            <w:tcW w:w="2131" w:type="dxa"/>
          </w:tcPr>
          <w:p w14:paraId="1DE2C049" w14:textId="56718BF4" w:rsidR="00EF02FD" w:rsidRPr="007C6056" w:rsidRDefault="00BD1348">
            <w:pPr>
              <w:pStyle w:val="NormalWeb"/>
            </w:pPr>
            <w:r w:rsidRPr="007C6056">
              <w:t>14</w:t>
            </w:r>
          </w:p>
        </w:tc>
        <w:tc>
          <w:tcPr>
            <w:tcW w:w="2131" w:type="dxa"/>
          </w:tcPr>
          <w:p w14:paraId="1EF7741B" w14:textId="55D9766E" w:rsidR="00EF02FD" w:rsidRPr="007C6056" w:rsidRDefault="00BD1348">
            <w:pPr>
              <w:pStyle w:val="NormalWeb"/>
            </w:pPr>
            <w:r w:rsidRPr="007C6056">
              <w:t>19.3</w:t>
            </w:r>
          </w:p>
        </w:tc>
      </w:tr>
      <w:tr w:rsidR="00EF02FD" w14:paraId="2769C740" w14:textId="77777777" w:rsidTr="00EF02FD">
        <w:tc>
          <w:tcPr>
            <w:tcW w:w="2130" w:type="dxa"/>
          </w:tcPr>
          <w:p w14:paraId="7E494194" w14:textId="3B7F3790" w:rsidR="00EF02FD" w:rsidRDefault="00EF02FD">
            <w:pPr>
              <w:pStyle w:val="NormalWeb"/>
              <w:rPr>
                <w:b/>
                <w:bCs/>
              </w:rPr>
            </w:pPr>
            <w:r w:rsidRPr="00E0484B">
              <w:rPr>
                <w:rFonts w:eastAsia="Times New Roman"/>
              </w:rPr>
              <w:t>Engaged in Unprotected Sex</w:t>
            </w:r>
          </w:p>
        </w:tc>
        <w:tc>
          <w:tcPr>
            <w:tcW w:w="2130" w:type="dxa"/>
          </w:tcPr>
          <w:p w14:paraId="5B65C32D" w14:textId="15756FD8" w:rsidR="00EF02FD" w:rsidRPr="007C6056" w:rsidRDefault="00BD1348">
            <w:pPr>
              <w:pStyle w:val="NormalWeb"/>
            </w:pPr>
            <w:r w:rsidRPr="007C6056">
              <w:t>Yes</w:t>
            </w:r>
          </w:p>
        </w:tc>
        <w:tc>
          <w:tcPr>
            <w:tcW w:w="2131" w:type="dxa"/>
          </w:tcPr>
          <w:p w14:paraId="69FD6B4A" w14:textId="416B1907" w:rsidR="00EF02FD" w:rsidRPr="007C6056" w:rsidRDefault="00C81943">
            <w:pPr>
              <w:pStyle w:val="NormalWeb"/>
            </w:pPr>
            <w:r w:rsidRPr="007C6056">
              <w:t>39</w:t>
            </w:r>
          </w:p>
        </w:tc>
        <w:tc>
          <w:tcPr>
            <w:tcW w:w="2131" w:type="dxa"/>
          </w:tcPr>
          <w:p w14:paraId="3A09DCD6" w14:textId="7FAB1021" w:rsidR="00EF02FD" w:rsidRPr="007C6056" w:rsidRDefault="00C81943">
            <w:pPr>
              <w:pStyle w:val="NormalWeb"/>
            </w:pPr>
            <w:r w:rsidRPr="007C6056">
              <w:t>26.01</w:t>
            </w:r>
          </w:p>
        </w:tc>
      </w:tr>
      <w:tr w:rsidR="00EF02FD" w14:paraId="49DAFC57" w14:textId="77777777" w:rsidTr="00EF02FD">
        <w:tc>
          <w:tcPr>
            <w:tcW w:w="2130" w:type="dxa"/>
          </w:tcPr>
          <w:p w14:paraId="200D9CFF" w14:textId="77777777" w:rsidR="00EF02FD" w:rsidRDefault="00EF02FD">
            <w:pPr>
              <w:pStyle w:val="NormalWeb"/>
              <w:rPr>
                <w:b/>
                <w:bCs/>
              </w:rPr>
            </w:pPr>
          </w:p>
        </w:tc>
        <w:tc>
          <w:tcPr>
            <w:tcW w:w="2130" w:type="dxa"/>
          </w:tcPr>
          <w:p w14:paraId="454CA5B3" w14:textId="09DB56F7" w:rsidR="00EF02FD" w:rsidRPr="007C6056" w:rsidRDefault="00BD1348">
            <w:pPr>
              <w:pStyle w:val="NormalWeb"/>
            </w:pPr>
            <w:r w:rsidRPr="007C6056">
              <w:t>No</w:t>
            </w:r>
          </w:p>
        </w:tc>
        <w:tc>
          <w:tcPr>
            <w:tcW w:w="2131" w:type="dxa"/>
          </w:tcPr>
          <w:p w14:paraId="287D8D4F" w14:textId="134E0CBA" w:rsidR="00EF02FD" w:rsidRPr="007C6056" w:rsidRDefault="00C81943">
            <w:pPr>
              <w:pStyle w:val="NormalWeb"/>
            </w:pPr>
            <w:r w:rsidRPr="007C6056">
              <w:t>15</w:t>
            </w:r>
          </w:p>
        </w:tc>
        <w:tc>
          <w:tcPr>
            <w:tcW w:w="2131" w:type="dxa"/>
          </w:tcPr>
          <w:p w14:paraId="73A2DBE6" w14:textId="0AEF86E5" w:rsidR="00EF02FD" w:rsidRPr="007C6056" w:rsidRDefault="00C81943">
            <w:pPr>
              <w:pStyle w:val="NormalWeb"/>
            </w:pPr>
            <w:r w:rsidRPr="007C6056">
              <w:t>10.0</w:t>
            </w:r>
          </w:p>
        </w:tc>
      </w:tr>
      <w:tr w:rsidR="00EF02FD" w14:paraId="7CFD0E42" w14:textId="77777777" w:rsidTr="00EF02FD">
        <w:tc>
          <w:tcPr>
            <w:tcW w:w="2130" w:type="dxa"/>
          </w:tcPr>
          <w:p w14:paraId="710F841F" w14:textId="77777777" w:rsidR="00EF02FD" w:rsidRDefault="00EF02FD">
            <w:pPr>
              <w:pStyle w:val="NormalWeb"/>
              <w:rPr>
                <w:b/>
                <w:bCs/>
              </w:rPr>
            </w:pPr>
          </w:p>
        </w:tc>
        <w:tc>
          <w:tcPr>
            <w:tcW w:w="2130" w:type="dxa"/>
          </w:tcPr>
          <w:p w14:paraId="7B4C9664" w14:textId="5596F04A" w:rsidR="00EF02FD" w:rsidRPr="007C6056" w:rsidRDefault="00BD1348">
            <w:pPr>
              <w:pStyle w:val="NormalWeb"/>
            </w:pPr>
            <w:r w:rsidRPr="007C6056">
              <w:t>Prefer not to say</w:t>
            </w:r>
          </w:p>
        </w:tc>
        <w:tc>
          <w:tcPr>
            <w:tcW w:w="2131" w:type="dxa"/>
          </w:tcPr>
          <w:p w14:paraId="4432615B" w14:textId="5B1C03F0" w:rsidR="00EF02FD" w:rsidRPr="007C6056" w:rsidRDefault="00C81943">
            <w:pPr>
              <w:pStyle w:val="NormalWeb"/>
            </w:pPr>
            <w:r w:rsidRPr="007C6056">
              <w:t>78</w:t>
            </w:r>
          </w:p>
        </w:tc>
        <w:tc>
          <w:tcPr>
            <w:tcW w:w="2131" w:type="dxa"/>
          </w:tcPr>
          <w:p w14:paraId="5BCDB09B" w14:textId="21A47A36" w:rsidR="00EF02FD" w:rsidRPr="007C6056" w:rsidRDefault="00C81943">
            <w:pPr>
              <w:pStyle w:val="NormalWeb"/>
            </w:pPr>
            <w:r w:rsidRPr="007C6056">
              <w:t>52.0</w:t>
            </w:r>
          </w:p>
        </w:tc>
      </w:tr>
      <w:tr w:rsidR="00EF02FD" w14:paraId="0BB24CC3" w14:textId="77777777" w:rsidTr="00EF02FD">
        <w:tc>
          <w:tcPr>
            <w:tcW w:w="2130" w:type="dxa"/>
          </w:tcPr>
          <w:p w14:paraId="13190605" w14:textId="2D90252B" w:rsidR="00EF02FD" w:rsidRDefault="00EF02FD">
            <w:pPr>
              <w:pStyle w:val="NormalWeb"/>
              <w:rPr>
                <w:b/>
                <w:bCs/>
              </w:rPr>
            </w:pPr>
            <w:r w:rsidRPr="00E0484B">
              <w:rPr>
                <w:rFonts w:eastAsia="Times New Roman"/>
              </w:rPr>
              <w:t>Ever Diagnosed with an STI</w:t>
            </w:r>
          </w:p>
        </w:tc>
        <w:tc>
          <w:tcPr>
            <w:tcW w:w="2130" w:type="dxa"/>
          </w:tcPr>
          <w:p w14:paraId="4208B406" w14:textId="284D54A7" w:rsidR="00EF02FD" w:rsidRPr="007C6056" w:rsidRDefault="00BD1348">
            <w:pPr>
              <w:pStyle w:val="NormalWeb"/>
            </w:pPr>
            <w:r w:rsidRPr="007C6056">
              <w:t xml:space="preserve">Yes </w:t>
            </w:r>
          </w:p>
        </w:tc>
        <w:tc>
          <w:tcPr>
            <w:tcW w:w="2131" w:type="dxa"/>
          </w:tcPr>
          <w:p w14:paraId="62EF2B96" w14:textId="3DF12137" w:rsidR="00EF02FD" w:rsidRPr="007C6056" w:rsidRDefault="00C81943">
            <w:pPr>
              <w:pStyle w:val="NormalWeb"/>
            </w:pPr>
            <w:r w:rsidRPr="007C6056">
              <w:t>9</w:t>
            </w:r>
          </w:p>
        </w:tc>
        <w:tc>
          <w:tcPr>
            <w:tcW w:w="2131" w:type="dxa"/>
          </w:tcPr>
          <w:p w14:paraId="0C67F86E" w14:textId="3ACAC839" w:rsidR="00EF02FD" w:rsidRPr="007C6056" w:rsidRDefault="00C81943">
            <w:pPr>
              <w:pStyle w:val="NormalWeb"/>
            </w:pPr>
            <w:r w:rsidRPr="007C6056">
              <w:t>6.0</w:t>
            </w:r>
          </w:p>
        </w:tc>
      </w:tr>
      <w:tr w:rsidR="00EF02FD" w14:paraId="305AE60D" w14:textId="77777777" w:rsidTr="00EF02FD">
        <w:tc>
          <w:tcPr>
            <w:tcW w:w="2130" w:type="dxa"/>
          </w:tcPr>
          <w:p w14:paraId="52377C2D" w14:textId="77777777" w:rsidR="00EF02FD" w:rsidRDefault="00EF02FD">
            <w:pPr>
              <w:pStyle w:val="NormalWeb"/>
              <w:rPr>
                <w:b/>
                <w:bCs/>
              </w:rPr>
            </w:pPr>
          </w:p>
        </w:tc>
        <w:tc>
          <w:tcPr>
            <w:tcW w:w="2130" w:type="dxa"/>
          </w:tcPr>
          <w:p w14:paraId="35A3B20D" w14:textId="585124D4" w:rsidR="00EF02FD" w:rsidRPr="007C6056" w:rsidRDefault="00BD1348">
            <w:pPr>
              <w:pStyle w:val="NormalWeb"/>
            </w:pPr>
            <w:r w:rsidRPr="007C6056">
              <w:t xml:space="preserve">No </w:t>
            </w:r>
          </w:p>
        </w:tc>
        <w:tc>
          <w:tcPr>
            <w:tcW w:w="2131" w:type="dxa"/>
          </w:tcPr>
          <w:p w14:paraId="63F25F2F" w14:textId="3339E414" w:rsidR="00EF02FD" w:rsidRPr="007C6056" w:rsidRDefault="00C81943">
            <w:pPr>
              <w:pStyle w:val="NormalWeb"/>
            </w:pPr>
            <w:r w:rsidRPr="007C6056">
              <w:t>61</w:t>
            </w:r>
          </w:p>
        </w:tc>
        <w:tc>
          <w:tcPr>
            <w:tcW w:w="2131" w:type="dxa"/>
          </w:tcPr>
          <w:p w14:paraId="643A6C55" w14:textId="3460B78B" w:rsidR="00EF02FD" w:rsidRPr="007C6056" w:rsidRDefault="00C81943">
            <w:pPr>
              <w:pStyle w:val="NormalWeb"/>
            </w:pPr>
            <w:r w:rsidRPr="007C6056">
              <w:t>40.7</w:t>
            </w:r>
          </w:p>
        </w:tc>
      </w:tr>
      <w:tr w:rsidR="00EF02FD" w14:paraId="3C4F9736" w14:textId="77777777" w:rsidTr="00EF02FD">
        <w:tc>
          <w:tcPr>
            <w:tcW w:w="2130" w:type="dxa"/>
          </w:tcPr>
          <w:p w14:paraId="2A384D27" w14:textId="77777777" w:rsidR="00EF02FD" w:rsidRDefault="00EF02FD">
            <w:pPr>
              <w:pStyle w:val="NormalWeb"/>
              <w:rPr>
                <w:b/>
                <w:bCs/>
              </w:rPr>
            </w:pPr>
          </w:p>
        </w:tc>
        <w:tc>
          <w:tcPr>
            <w:tcW w:w="2130" w:type="dxa"/>
          </w:tcPr>
          <w:p w14:paraId="4CF48F22" w14:textId="0D6D8734" w:rsidR="00EF02FD" w:rsidRPr="007C6056" w:rsidRDefault="00BD1348">
            <w:pPr>
              <w:pStyle w:val="NormalWeb"/>
            </w:pPr>
            <w:r w:rsidRPr="007C6056">
              <w:t>Prefer not to say</w:t>
            </w:r>
          </w:p>
        </w:tc>
        <w:tc>
          <w:tcPr>
            <w:tcW w:w="2131" w:type="dxa"/>
          </w:tcPr>
          <w:p w14:paraId="5D23ED82" w14:textId="04F58846" w:rsidR="00EF02FD" w:rsidRPr="007C6056" w:rsidRDefault="00C81943">
            <w:pPr>
              <w:pStyle w:val="NormalWeb"/>
            </w:pPr>
            <w:r w:rsidRPr="007C6056">
              <w:t>63</w:t>
            </w:r>
          </w:p>
        </w:tc>
        <w:tc>
          <w:tcPr>
            <w:tcW w:w="2131" w:type="dxa"/>
          </w:tcPr>
          <w:p w14:paraId="465B6C1E" w14:textId="701CAF35" w:rsidR="00EF02FD" w:rsidRPr="007C6056" w:rsidRDefault="00C81943">
            <w:pPr>
              <w:pStyle w:val="NormalWeb"/>
            </w:pPr>
            <w:r w:rsidRPr="007C6056">
              <w:t>42.0</w:t>
            </w:r>
          </w:p>
        </w:tc>
      </w:tr>
      <w:tr w:rsidR="00EF02FD" w14:paraId="0EE813E5" w14:textId="77777777" w:rsidTr="00EF02FD">
        <w:tc>
          <w:tcPr>
            <w:tcW w:w="2130" w:type="dxa"/>
          </w:tcPr>
          <w:p w14:paraId="5468C410" w14:textId="22F1BAD5" w:rsidR="00EF02FD" w:rsidRDefault="00EF02FD">
            <w:pPr>
              <w:pStyle w:val="NormalWeb"/>
              <w:rPr>
                <w:b/>
                <w:bCs/>
              </w:rPr>
            </w:pPr>
            <w:r w:rsidRPr="00E0484B">
              <w:rPr>
                <w:rFonts w:eastAsia="Times New Roman"/>
              </w:rPr>
              <w:t>STI-Related Symptoms</w:t>
            </w:r>
          </w:p>
        </w:tc>
        <w:tc>
          <w:tcPr>
            <w:tcW w:w="2130" w:type="dxa"/>
          </w:tcPr>
          <w:p w14:paraId="523684A9" w14:textId="016A2868" w:rsidR="00EF02FD" w:rsidRPr="007C6056" w:rsidRDefault="00BD1348">
            <w:pPr>
              <w:pStyle w:val="NormalWeb"/>
            </w:pPr>
            <w:r w:rsidRPr="007C6056">
              <w:t>yes</w:t>
            </w:r>
          </w:p>
        </w:tc>
        <w:tc>
          <w:tcPr>
            <w:tcW w:w="2131" w:type="dxa"/>
          </w:tcPr>
          <w:p w14:paraId="108C21FC" w14:textId="505563FA" w:rsidR="00EF02FD" w:rsidRPr="007C6056" w:rsidRDefault="00C81943">
            <w:pPr>
              <w:pStyle w:val="NormalWeb"/>
            </w:pPr>
            <w:r w:rsidRPr="007C6056">
              <w:t>31</w:t>
            </w:r>
          </w:p>
        </w:tc>
        <w:tc>
          <w:tcPr>
            <w:tcW w:w="2131" w:type="dxa"/>
          </w:tcPr>
          <w:p w14:paraId="6B008B2C" w14:textId="531C505A" w:rsidR="00EF02FD" w:rsidRPr="007C6056" w:rsidRDefault="00C81943">
            <w:pPr>
              <w:pStyle w:val="NormalWeb"/>
            </w:pPr>
            <w:r w:rsidRPr="007C6056">
              <w:t>20.7</w:t>
            </w:r>
          </w:p>
        </w:tc>
      </w:tr>
      <w:tr w:rsidR="00EF02FD" w14:paraId="7F7AD7B5" w14:textId="77777777" w:rsidTr="00EF02FD">
        <w:tc>
          <w:tcPr>
            <w:tcW w:w="2130" w:type="dxa"/>
          </w:tcPr>
          <w:p w14:paraId="784FE3DF" w14:textId="77777777" w:rsidR="00EF02FD" w:rsidRDefault="00EF02FD">
            <w:pPr>
              <w:pStyle w:val="NormalWeb"/>
              <w:rPr>
                <w:b/>
                <w:bCs/>
              </w:rPr>
            </w:pPr>
          </w:p>
        </w:tc>
        <w:tc>
          <w:tcPr>
            <w:tcW w:w="2130" w:type="dxa"/>
          </w:tcPr>
          <w:p w14:paraId="2BE5DE3F" w14:textId="4ADB9E2B" w:rsidR="00EF02FD" w:rsidRPr="007C6056" w:rsidRDefault="007C6056">
            <w:pPr>
              <w:pStyle w:val="NormalWeb"/>
            </w:pPr>
            <w:r>
              <w:t>N</w:t>
            </w:r>
            <w:r w:rsidR="00BD1348" w:rsidRPr="007C6056">
              <w:t>o</w:t>
            </w:r>
          </w:p>
        </w:tc>
        <w:tc>
          <w:tcPr>
            <w:tcW w:w="2131" w:type="dxa"/>
          </w:tcPr>
          <w:p w14:paraId="2C8BD0A8" w14:textId="37BB30A3" w:rsidR="00EF02FD" w:rsidRPr="007C6056" w:rsidRDefault="00C81943">
            <w:pPr>
              <w:pStyle w:val="NormalWeb"/>
            </w:pPr>
            <w:r w:rsidRPr="007C6056">
              <w:t>37</w:t>
            </w:r>
          </w:p>
        </w:tc>
        <w:tc>
          <w:tcPr>
            <w:tcW w:w="2131" w:type="dxa"/>
          </w:tcPr>
          <w:p w14:paraId="0AD09899" w14:textId="31F7E282" w:rsidR="00EF02FD" w:rsidRPr="007C6056" w:rsidRDefault="00C81943">
            <w:pPr>
              <w:pStyle w:val="NormalWeb"/>
            </w:pPr>
            <w:r w:rsidRPr="007C6056">
              <w:t>24.7</w:t>
            </w:r>
          </w:p>
        </w:tc>
      </w:tr>
      <w:tr w:rsidR="00EF02FD" w14:paraId="597F3793" w14:textId="77777777" w:rsidTr="00EF02FD">
        <w:tc>
          <w:tcPr>
            <w:tcW w:w="2130" w:type="dxa"/>
          </w:tcPr>
          <w:p w14:paraId="26B22873" w14:textId="77777777" w:rsidR="00EF02FD" w:rsidRDefault="00EF02FD">
            <w:pPr>
              <w:pStyle w:val="NormalWeb"/>
              <w:rPr>
                <w:b/>
                <w:bCs/>
              </w:rPr>
            </w:pPr>
          </w:p>
        </w:tc>
        <w:tc>
          <w:tcPr>
            <w:tcW w:w="2130" w:type="dxa"/>
          </w:tcPr>
          <w:p w14:paraId="1BC69A9F" w14:textId="598B392B" w:rsidR="00EF02FD" w:rsidRPr="007C6056" w:rsidRDefault="00BD1348">
            <w:pPr>
              <w:pStyle w:val="NormalWeb"/>
            </w:pPr>
            <w:r w:rsidRPr="007C6056">
              <w:t>Prefer not to say</w:t>
            </w:r>
          </w:p>
        </w:tc>
        <w:tc>
          <w:tcPr>
            <w:tcW w:w="2131" w:type="dxa"/>
          </w:tcPr>
          <w:p w14:paraId="2D268D3F" w14:textId="1CDE3CC0" w:rsidR="00EF02FD" w:rsidRPr="007C6056" w:rsidRDefault="00C81943">
            <w:pPr>
              <w:pStyle w:val="NormalWeb"/>
            </w:pPr>
            <w:r w:rsidRPr="007C6056">
              <w:t>62</w:t>
            </w:r>
          </w:p>
        </w:tc>
        <w:tc>
          <w:tcPr>
            <w:tcW w:w="2131" w:type="dxa"/>
          </w:tcPr>
          <w:p w14:paraId="3B05684D" w14:textId="0966385B" w:rsidR="00EF02FD" w:rsidRPr="007C6056" w:rsidRDefault="00C81943">
            <w:pPr>
              <w:pStyle w:val="NormalWeb"/>
            </w:pPr>
            <w:r w:rsidRPr="007C6056">
              <w:t>41.3</w:t>
            </w:r>
          </w:p>
        </w:tc>
      </w:tr>
      <w:tr w:rsidR="00EF02FD" w14:paraId="1C131918" w14:textId="77777777" w:rsidTr="00EF02FD">
        <w:tc>
          <w:tcPr>
            <w:tcW w:w="2130" w:type="dxa"/>
          </w:tcPr>
          <w:p w14:paraId="0083E7EF" w14:textId="0C0E7F59" w:rsidR="00EF02FD" w:rsidRDefault="00EF02FD">
            <w:pPr>
              <w:pStyle w:val="NormalWeb"/>
              <w:rPr>
                <w:b/>
                <w:bCs/>
              </w:rPr>
            </w:pPr>
            <w:r w:rsidRPr="00E0484B">
              <w:rPr>
                <w:rFonts w:eastAsia="Times New Roman"/>
              </w:rPr>
              <w:t>Contraceptive Use</w:t>
            </w:r>
          </w:p>
        </w:tc>
        <w:tc>
          <w:tcPr>
            <w:tcW w:w="2130" w:type="dxa"/>
          </w:tcPr>
          <w:p w14:paraId="5F657405" w14:textId="5F608E85" w:rsidR="00EF02FD" w:rsidRPr="007C6056" w:rsidRDefault="00BD1348">
            <w:pPr>
              <w:pStyle w:val="NormalWeb"/>
            </w:pPr>
            <w:r w:rsidRPr="007C6056">
              <w:t>yes</w:t>
            </w:r>
          </w:p>
        </w:tc>
        <w:tc>
          <w:tcPr>
            <w:tcW w:w="2131" w:type="dxa"/>
          </w:tcPr>
          <w:p w14:paraId="5220C67F" w14:textId="7B4A63DF" w:rsidR="00EF02FD" w:rsidRPr="007C6056" w:rsidRDefault="00C81943">
            <w:pPr>
              <w:pStyle w:val="NormalWeb"/>
            </w:pPr>
            <w:r w:rsidRPr="007C6056">
              <w:t>54</w:t>
            </w:r>
          </w:p>
        </w:tc>
        <w:tc>
          <w:tcPr>
            <w:tcW w:w="2131" w:type="dxa"/>
          </w:tcPr>
          <w:p w14:paraId="4E6BE3E8" w14:textId="36102475" w:rsidR="00EF02FD" w:rsidRPr="007C6056" w:rsidRDefault="00C81943">
            <w:pPr>
              <w:pStyle w:val="NormalWeb"/>
            </w:pPr>
            <w:r w:rsidRPr="007C6056">
              <w:t>36.0</w:t>
            </w:r>
          </w:p>
        </w:tc>
      </w:tr>
      <w:tr w:rsidR="00EF02FD" w14:paraId="15C720C0" w14:textId="77777777" w:rsidTr="00EF02FD">
        <w:tc>
          <w:tcPr>
            <w:tcW w:w="2130" w:type="dxa"/>
          </w:tcPr>
          <w:p w14:paraId="23B67115" w14:textId="77777777" w:rsidR="00EF02FD" w:rsidRDefault="00EF02FD">
            <w:pPr>
              <w:pStyle w:val="NormalWeb"/>
              <w:rPr>
                <w:b/>
                <w:bCs/>
              </w:rPr>
            </w:pPr>
          </w:p>
        </w:tc>
        <w:tc>
          <w:tcPr>
            <w:tcW w:w="2130" w:type="dxa"/>
          </w:tcPr>
          <w:p w14:paraId="291CF16C" w14:textId="1D9F27C7" w:rsidR="00EF02FD" w:rsidRPr="007C6056" w:rsidRDefault="007C6056">
            <w:pPr>
              <w:pStyle w:val="NormalWeb"/>
            </w:pPr>
            <w:r>
              <w:t>N</w:t>
            </w:r>
            <w:r w:rsidR="00BD1348" w:rsidRPr="007C6056">
              <w:t>o</w:t>
            </w:r>
          </w:p>
        </w:tc>
        <w:tc>
          <w:tcPr>
            <w:tcW w:w="2131" w:type="dxa"/>
          </w:tcPr>
          <w:p w14:paraId="566677F4" w14:textId="6718A392" w:rsidR="00EF02FD" w:rsidRPr="007C6056" w:rsidRDefault="005F4A3A">
            <w:pPr>
              <w:pStyle w:val="NormalWeb"/>
            </w:pPr>
            <w:r w:rsidRPr="007C6056">
              <w:t>89</w:t>
            </w:r>
          </w:p>
        </w:tc>
        <w:tc>
          <w:tcPr>
            <w:tcW w:w="2131" w:type="dxa"/>
          </w:tcPr>
          <w:p w14:paraId="34149C90" w14:textId="4833E73E" w:rsidR="00EF02FD" w:rsidRPr="007C6056" w:rsidRDefault="005F4A3A">
            <w:pPr>
              <w:pStyle w:val="NormalWeb"/>
            </w:pPr>
            <w:r w:rsidRPr="007C6056">
              <w:t>59.3</w:t>
            </w:r>
          </w:p>
        </w:tc>
      </w:tr>
      <w:tr w:rsidR="00EF02FD" w14:paraId="4E8CCEE0" w14:textId="77777777" w:rsidTr="00EF02FD">
        <w:tc>
          <w:tcPr>
            <w:tcW w:w="2130" w:type="dxa"/>
          </w:tcPr>
          <w:p w14:paraId="13401076" w14:textId="1C6B2EF1" w:rsidR="00EF02FD" w:rsidRDefault="00EF02FD">
            <w:pPr>
              <w:pStyle w:val="NormalWeb"/>
              <w:rPr>
                <w:b/>
                <w:bCs/>
              </w:rPr>
            </w:pPr>
            <w:r w:rsidRPr="00E0484B">
              <w:rPr>
                <w:rFonts w:eastAsia="Times New Roman"/>
              </w:rPr>
              <w:t>Routine STI Check-Up</w:t>
            </w:r>
          </w:p>
        </w:tc>
        <w:tc>
          <w:tcPr>
            <w:tcW w:w="2130" w:type="dxa"/>
          </w:tcPr>
          <w:p w14:paraId="1BC446E0" w14:textId="27AD5E1D" w:rsidR="00EF02FD" w:rsidRPr="007C6056" w:rsidRDefault="007C6056">
            <w:pPr>
              <w:pStyle w:val="NormalWeb"/>
            </w:pPr>
            <w:r>
              <w:t>Y</w:t>
            </w:r>
            <w:r w:rsidR="00BD1348" w:rsidRPr="007C6056">
              <w:t>es</w:t>
            </w:r>
          </w:p>
        </w:tc>
        <w:tc>
          <w:tcPr>
            <w:tcW w:w="2131" w:type="dxa"/>
          </w:tcPr>
          <w:p w14:paraId="53DFC834" w14:textId="19D71148" w:rsidR="00EF02FD" w:rsidRPr="007C6056" w:rsidRDefault="005F4A3A">
            <w:pPr>
              <w:pStyle w:val="NormalWeb"/>
            </w:pPr>
            <w:r w:rsidRPr="007C6056">
              <w:t>62</w:t>
            </w:r>
          </w:p>
        </w:tc>
        <w:tc>
          <w:tcPr>
            <w:tcW w:w="2131" w:type="dxa"/>
          </w:tcPr>
          <w:p w14:paraId="4B106202" w14:textId="302E90A8" w:rsidR="00EF02FD" w:rsidRPr="007C6056" w:rsidRDefault="005F4A3A">
            <w:pPr>
              <w:pStyle w:val="NormalWeb"/>
            </w:pPr>
            <w:r w:rsidRPr="007C6056">
              <w:t>41.3</w:t>
            </w:r>
          </w:p>
        </w:tc>
      </w:tr>
      <w:tr w:rsidR="00EF02FD" w14:paraId="2AEEA260" w14:textId="77777777" w:rsidTr="00EF02FD">
        <w:tc>
          <w:tcPr>
            <w:tcW w:w="2130" w:type="dxa"/>
          </w:tcPr>
          <w:p w14:paraId="0AE953A6" w14:textId="77777777" w:rsidR="00EF02FD" w:rsidRDefault="00EF02FD">
            <w:pPr>
              <w:pStyle w:val="NormalWeb"/>
              <w:rPr>
                <w:b/>
                <w:bCs/>
              </w:rPr>
            </w:pPr>
          </w:p>
        </w:tc>
        <w:tc>
          <w:tcPr>
            <w:tcW w:w="2130" w:type="dxa"/>
          </w:tcPr>
          <w:p w14:paraId="343ACCD7" w14:textId="444E37ED" w:rsidR="00EF02FD" w:rsidRPr="007C6056" w:rsidRDefault="007C6056">
            <w:pPr>
              <w:pStyle w:val="NormalWeb"/>
            </w:pPr>
            <w:r>
              <w:t>N</w:t>
            </w:r>
            <w:r w:rsidR="00BD1348" w:rsidRPr="007C6056">
              <w:t>o</w:t>
            </w:r>
          </w:p>
        </w:tc>
        <w:tc>
          <w:tcPr>
            <w:tcW w:w="2131" w:type="dxa"/>
          </w:tcPr>
          <w:p w14:paraId="4ED11D29" w14:textId="3EADDE1F" w:rsidR="00EF02FD" w:rsidRPr="007C6056" w:rsidRDefault="005F4A3A">
            <w:pPr>
              <w:pStyle w:val="NormalWeb"/>
            </w:pPr>
            <w:r w:rsidRPr="007C6056">
              <w:t>88</w:t>
            </w:r>
          </w:p>
        </w:tc>
        <w:tc>
          <w:tcPr>
            <w:tcW w:w="2131" w:type="dxa"/>
          </w:tcPr>
          <w:p w14:paraId="47588B8E" w14:textId="13468918" w:rsidR="00EF02FD" w:rsidRPr="007C6056" w:rsidRDefault="005F4A3A">
            <w:pPr>
              <w:pStyle w:val="NormalWeb"/>
            </w:pPr>
            <w:r w:rsidRPr="007C6056">
              <w:t>58.7</w:t>
            </w:r>
          </w:p>
        </w:tc>
      </w:tr>
    </w:tbl>
    <w:p w14:paraId="35F3FA0C" w14:textId="75DA4495" w:rsidR="00A07F7F" w:rsidRDefault="00A07F7F" w:rsidP="00A07F7F">
      <w:pPr>
        <w:pStyle w:val="NormalWeb"/>
      </w:pPr>
      <w:r w:rsidRPr="00E0484B">
        <w:rPr>
          <w:noProof/>
        </w:rPr>
        <w:drawing>
          <wp:inline distT="0" distB="0" distL="0" distR="0" wp14:anchorId="1678DE47" wp14:editId="7B932B04">
            <wp:extent cx="5274310" cy="3168272"/>
            <wp:effectExtent l="0" t="0" r="2540" b="0"/>
            <wp:docPr id="1462981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6033" cy="3175314"/>
                    </a:xfrm>
                    <a:prstGeom prst="rect">
                      <a:avLst/>
                    </a:prstGeom>
                    <a:noFill/>
                    <a:ln>
                      <a:noFill/>
                    </a:ln>
                  </pic:spPr>
                </pic:pic>
              </a:graphicData>
            </a:graphic>
          </wp:inline>
        </w:drawing>
      </w:r>
    </w:p>
    <w:p w14:paraId="6BAD82BF" w14:textId="77777777" w:rsidR="00E37680" w:rsidRDefault="00E37680" w:rsidP="00E37680">
      <w:pPr>
        <w:pStyle w:val="NormalWeb"/>
        <w:spacing w:beforeAutospacing="0" w:afterAutospacing="0"/>
        <w:jc w:val="both"/>
        <w:rPr>
          <w:rFonts w:eastAsia="Times New Roman"/>
          <w:noProof/>
        </w:rPr>
      </w:pPr>
    </w:p>
    <w:p w14:paraId="46A46389" w14:textId="4BB1B8C1" w:rsidR="00E37680" w:rsidRDefault="00D9569E" w:rsidP="00E37680">
      <w:pPr>
        <w:pStyle w:val="NormalWeb"/>
        <w:spacing w:beforeAutospacing="0" w:afterAutospacing="0"/>
        <w:jc w:val="both"/>
        <w:rPr>
          <w:rStyle w:val="Strong"/>
          <w:iCs/>
        </w:rPr>
      </w:pPr>
      <w:r>
        <w:rPr>
          <w:rStyle w:val="Strong"/>
          <w:iCs/>
        </w:rPr>
        <w:lastRenderedPageBreak/>
        <w:t xml:space="preserve">                                    </w:t>
      </w:r>
      <w:r w:rsidRPr="00E0484B">
        <w:rPr>
          <w:rFonts w:eastAsia="Times New Roman"/>
          <w:noProof/>
        </w:rPr>
        <w:drawing>
          <wp:inline distT="0" distB="0" distL="114300" distR="114300" wp14:anchorId="7C09A943" wp14:editId="19AF77C9">
            <wp:extent cx="2436753" cy="1689735"/>
            <wp:effectExtent l="0" t="0" r="1905" b="5715"/>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a:picLocks noChangeAspect="1"/>
                    </pic:cNvPicPr>
                  </pic:nvPicPr>
                  <pic:blipFill>
                    <a:blip r:embed="rId11"/>
                    <a:srcRect t="6649"/>
                    <a:stretch>
                      <a:fillRect/>
                    </a:stretch>
                  </pic:blipFill>
                  <pic:spPr>
                    <a:xfrm>
                      <a:off x="0" y="0"/>
                      <a:ext cx="2509069" cy="1739881"/>
                    </a:xfrm>
                    <a:prstGeom prst="rect">
                      <a:avLst/>
                    </a:prstGeom>
                    <a:noFill/>
                    <a:ln>
                      <a:noFill/>
                    </a:ln>
                  </pic:spPr>
                </pic:pic>
              </a:graphicData>
            </a:graphic>
          </wp:inline>
        </w:drawing>
      </w:r>
      <w:r>
        <w:rPr>
          <w:rStyle w:val="Strong"/>
          <w:iCs/>
        </w:rPr>
        <w:t xml:space="preserve">   </w:t>
      </w:r>
    </w:p>
    <w:p w14:paraId="60CC78AA" w14:textId="7A7DC967" w:rsidR="00E37680" w:rsidRPr="00D9569E" w:rsidRDefault="00E37680" w:rsidP="00D9569E">
      <w:pPr>
        <w:pStyle w:val="NormalWeb"/>
        <w:spacing w:beforeAutospacing="0" w:afterAutospacing="0"/>
        <w:jc w:val="center"/>
        <w:rPr>
          <w:iCs/>
          <w:sz w:val="16"/>
          <w:szCs w:val="16"/>
        </w:rPr>
      </w:pPr>
      <w:r w:rsidRPr="00D9569E">
        <w:rPr>
          <w:rStyle w:val="Strong"/>
          <w:iCs/>
          <w:sz w:val="16"/>
          <w:szCs w:val="16"/>
        </w:rPr>
        <w:t>Figure 8.</w:t>
      </w:r>
      <w:r w:rsidRPr="00D9569E">
        <w:rPr>
          <w:iCs/>
          <w:sz w:val="16"/>
          <w:szCs w:val="16"/>
        </w:rPr>
        <w:t xml:space="preserve"> Prevalence of reported STI diagnosis and symptoms.</w:t>
      </w:r>
    </w:p>
    <w:p w14:paraId="1FC4274D" w14:textId="77777777" w:rsidR="001C7345" w:rsidRPr="00D9569E" w:rsidRDefault="001C7345" w:rsidP="00D9569E">
      <w:pPr>
        <w:spacing w:before="0" w:beforeAutospacing="0" w:after="0" w:afterAutospacing="0" w:line="240" w:lineRule="auto"/>
        <w:jc w:val="center"/>
        <w:rPr>
          <w:b/>
          <w:bCs/>
          <w:sz w:val="16"/>
          <w:szCs w:val="16"/>
        </w:rPr>
      </w:pPr>
    </w:p>
    <w:p w14:paraId="130E50D8" w14:textId="6562F0FE" w:rsidR="003F725F" w:rsidRPr="003F725F" w:rsidRDefault="00815694" w:rsidP="00815694">
      <w:pPr>
        <w:spacing w:before="0" w:beforeAutospacing="0" w:after="0" w:afterAutospacing="0" w:line="240" w:lineRule="auto"/>
        <w:jc w:val="both"/>
        <w:rPr>
          <w:b/>
          <w:bCs/>
          <w:i/>
          <w:iCs/>
          <w:szCs w:val="24"/>
        </w:rPr>
      </w:pPr>
      <w:r w:rsidRPr="00E0484B">
        <w:rPr>
          <w:b/>
          <w:bCs/>
          <w:szCs w:val="24"/>
        </w:rPr>
        <w:t xml:space="preserve">Knowledge and Testing for </w:t>
      </w:r>
      <w:r w:rsidRPr="00E0484B">
        <w:rPr>
          <w:b/>
          <w:bCs/>
          <w:i/>
          <w:iCs/>
          <w:szCs w:val="24"/>
        </w:rPr>
        <w:t>Chlamydia trachomatis</w:t>
      </w:r>
    </w:p>
    <w:p w14:paraId="6FA5F9AB" w14:textId="31DC0303" w:rsidR="00815694" w:rsidRDefault="00815694" w:rsidP="00815694">
      <w:pPr>
        <w:spacing w:before="0" w:beforeAutospacing="0" w:after="0" w:afterAutospacing="0" w:line="240" w:lineRule="auto"/>
        <w:jc w:val="both"/>
        <w:rPr>
          <w:szCs w:val="24"/>
        </w:rPr>
      </w:pPr>
      <w:r w:rsidRPr="003F725F">
        <w:rPr>
          <w:szCs w:val="24"/>
        </w:rPr>
        <w:t>Awareness and testing were extremely low (Table 3</w:t>
      </w:r>
      <w:r w:rsidR="001C7345">
        <w:rPr>
          <w:szCs w:val="24"/>
        </w:rPr>
        <w:t>, Figure 10 &amp; 11</w:t>
      </w:r>
      <w:r w:rsidRPr="003F725F">
        <w:rPr>
          <w:szCs w:val="24"/>
        </w:rPr>
        <w:t xml:space="preserve">). Only 12.7% reported knowledge of </w:t>
      </w:r>
      <w:r w:rsidRPr="003F725F">
        <w:rPr>
          <w:i/>
          <w:iCs/>
          <w:szCs w:val="24"/>
        </w:rPr>
        <w:t>C. trachomatis</w:t>
      </w:r>
      <w:r w:rsidRPr="003F725F">
        <w:rPr>
          <w:szCs w:val="24"/>
        </w:rPr>
        <w:t>, and only 0.7% had ever been tested. Missing responses were substantial, highlighting gaps in infection-specific literacy despite high general sexual education exposure.</w:t>
      </w:r>
    </w:p>
    <w:p w14:paraId="1FDDBE68" w14:textId="77777777" w:rsidR="00141FF8" w:rsidRDefault="00141FF8" w:rsidP="00815694">
      <w:pPr>
        <w:spacing w:before="0" w:beforeAutospacing="0" w:after="0" w:afterAutospacing="0" w:line="240" w:lineRule="auto"/>
        <w:jc w:val="both"/>
        <w:rPr>
          <w:szCs w:val="24"/>
        </w:rPr>
      </w:pPr>
    </w:p>
    <w:p w14:paraId="0FAAC72D" w14:textId="5C7C6AD2" w:rsidR="00141FF8" w:rsidRPr="00141FF8" w:rsidRDefault="00141FF8" w:rsidP="00815694">
      <w:pPr>
        <w:spacing w:before="0" w:beforeAutospacing="0" w:after="0" w:afterAutospacing="0" w:line="240" w:lineRule="auto"/>
        <w:jc w:val="both"/>
        <w:rPr>
          <w:b/>
          <w:bCs/>
          <w:szCs w:val="24"/>
        </w:rPr>
      </w:pPr>
      <w:r w:rsidRPr="00E0484B">
        <w:rPr>
          <w:b/>
          <w:bCs/>
          <w:szCs w:val="24"/>
        </w:rPr>
        <w:t>Table 3. Knowledge and Testing Behavior (n = 150)</w:t>
      </w:r>
    </w:p>
    <w:tbl>
      <w:tblPr>
        <w:tblStyle w:val="TableGrid"/>
        <w:tblW w:w="0" w:type="auto"/>
        <w:tblLook w:val="04A0" w:firstRow="1" w:lastRow="0" w:firstColumn="1" w:lastColumn="0" w:noHBand="0" w:noVBand="1"/>
      </w:tblPr>
      <w:tblGrid>
        <w:gridCol w:w="3078"/>
        <w:gridCol w:w="1182"/>
        <w:gridCol w:w="2131"/>
        <w:gridCol w:w="2131"/>
      </w:tblGrid>
      <w:tr w:rsidR="00141FF8" w14:paraId="3EE35217" w14:textId="77777777" w:rsidTr="00A30F01">
        <w:tc>
          <w:tcPr>
            <w:tcW w:w="3078" w:type="dxa"/>
          </w:tcPr>
          <w:p w14:paraId="40CD0659" w14:textId="77777777" w:rsidR="00141FF8" w:rsidRDefault="00141FF8" w:rsidP="00A30F01">
            <w:pPr>
              <w:spacing w:before="0" w:beforeAutospacing="0" w:after="0" w:afterAutospacing="0" w:line="240" w:lineRule="auto"/>
              <w:rPr>
                <w:b/>
                <w:bCs/>
                <w:szCs w:val="24"/>
              </w:rPr>
            </w:pPr>
            <w:r w:rsidRPr="003F725F">
              <w:rPr>
                <w:b/>
                <w:bCs/>
                <w:szCs w:val="24"/>
              </w:rPr>
              <w:t>Variable</w:t>
            </w:r>
          </w:p>
        </w:tc>
        <w:tc>
          <w:tcPr>
            <w:tcW w:w="1182" w:type="dxa"/>
          </w:tcPr>
          <w:p w14:paraId="147969DD" w14:textId="77777777" w:rsidR="00141FF8" w:rsidRDefault="00141FF8" w:rsidP="00A30F01">
            <w:pPr>
              <w:spacing w:before="0" w:beforeAutospacing="0" w:after="0" w:afterAutospacing="0" w:line="240" w:lineRule="auto"/>
              <w:rPr>
                <w:b/>
                <w:bCs/>
                <w:szCs w:val="24"/>
              </w:rPr>
            </w:pPr>
            <w:r w:rsidRPr="003F725F">
              <w:rPr>
                <w:b/>
                <w:bCs/>
                <w:szCs w:val="24"/>
              </w:rPr>
              <w:t>Category</w:t>
            </w:r>
          </w:p>
        </w:tc>
        <w:tc>
          <w:tcPr>
            <w:tcW w:w="2131" w:type="dxa"/>
          </w:tcPr>
          <w:p w14:paraId="10DEFB7C" w14:textId="77777777" w:rsidR="00141FF8" w:rsidRDefault="00141FF8" w:rsidP="00A30F01">
            <w:pPr>
              <w:spacing w:before="0" w:beforeAutospacing="0" w:after="0" w:afterAutospacing="0" w:line="240" w:lineRule="auto"/>
              <w:rPr>
                <w:b/>
                <w:bCs/>
                <w:szCs w:val="24"/>
              </w:rPr>
            </w:pPr>
            <w:r w:rsidRPr="003F725F">
              <w:rPr>
                <w:b/>
                <w:bCs/>
                <w:szCs w:val="24"/>
              </w:rPr>
              <w:t>Frequency (n)</w:t>
            </w:r>
          </w:p>
        </w:tc>
        <w:tc>
          <w:tcPr>
            <w:tcW w:w="2131" w:type="dxa"/>
          </w:tcPr>
          <w:p w14:paraId="5562805D" w14:textId="77777777" w:rsidR="00141FF8" w:rsidRDefault="00141FF8" w:rsidP="00A30F01">
            <w:pPr>
              <w:spacing w:before="0" w:beforeAutospacing="0" w:after="0" w:afterAutospacing="0" w:line="240" w:lineRule="auto"/>
              <w:rPr>
                <w:b/>
                <w:bCs/>
                <w:szCs w:val="24"/>
              </w:rPr>
            </w:pPr>
            <w:r w:rsidRPr="003F725F">
              <w:rPr>
                <w:b/>
                <w:bCs/>
                <w:szCs w:val="24"/>
              </w:rPr>
              <w:t>Percentage (%)</w:t>
            </w:r>
          </w:p>
        </w:tc>
      </w:tr>
      <w:tr w:rsidR="00141FF8" w14:paraId="1FBC268F" w14:textId="77777777" w:rsidTr="00A30F01">
        <w:tc>
          <w:tcPr>
            <w:tcW w:w="3078" w:type="dxa"/>
            <w:vAlign w:val="center"/>
          </w:tcPr>
          <w:p w14:paraId="31D1222F" w14:textId="77777777" w:rsidR="00141FF8" w:rsidRDefault="00141FF8" w:rsidP="00A30F01">
            <w:pPr>
              <w:spacing w:before="0" w:beforeAutospacing="0" w:after="0" w:afterAutospacing="0" w:line="240" w:lineRule="auto"/>
              <w:rPr>
                <w:b/>
                <w:bCs/>
                <w:szCs w:val="24"/>
              </w:rPr>
            </w:pPr>
            <w:r w:rsidRPr="003F725F">
              <w:rPr>
                <w:szCs w:val="24"/>
              </w:rPr>
              <w:t>Knowledge about Chlamydia</w:t>
            </w:r>
          </w:p>
        </w:tc>
        <w:tc>
          <w:tcPr>
            <w:tcW w:w="1182" w:type="dxa"/>
          </w:tcPr>
          <w:p w14:paraId="3F193925" w14:textId="77777777" w:rsidR="00141FF8" w:rsidRDefault="00141FF8" w:rsidP="00A30F01">
            <w:pPr>
              <w:spacing w:before="0" w:beforeAutospacing="0" w:after="0" w:afterAutospacing="0" w:line="240" w:lineRule="auto"/>
              <w:rPr>
                <w:b/>
                <w:bCs/>
                <w:szCs w:val="24"/>
              </w:rPr>
            </w:pPr>
            <w:r>
              <w:rPr>
                <w:b/>
                <w:bCs/>
                <w:szCs w:val="24"/>
              </w:rPr>
              <w:t>Yes</w:t>
            </w:r>
          </w:p>
        </w:tc>
        <w:tc>
          <w:tcPr>
            <w:tcW w:w="2131" w:type="dxa"/>
          </w:tcPr>
          <w:p w14:paraId="45B212A3" w14:textId="77777777" w:rsidR="00141FF8" w:rsidRDefault="00141FF8" w:rsidP="00A30F01">
            <w:pPr>
              <w:spacing w:before="0" w:beforeAutospacing="0" w:after="0" w:afterAutospacing="0" w:line="240" w:lineRule="auto"/>
              <w:rPr>
                <w:b/>
                <w:bCs/>
                <w:szCs w:val="24"/>
              </w:rPr>
            </w:pPr>
            <w:r>
              <w:rPr>
                <w:b/>
                <w:bCs/>
                <w:szCs w:val="24"/>
              </w:rPr>
              <w:t>19</w:t>
            </w:r>
          </w:p>
        </w:tc>
        <w:tc>
          <w:tcPr>
            <w:tcW w:w="2131" w:type="dxa"/>
          </w:tcPr>
          <w:p w14:paraId="5B81DB05" w14:textId="77777777" w:rsidR="00141FF8" w:rsidRDefault="00141FF8" w:rsidP="00A30F01">
            <w:pPr>
              <w:spacing w:before="0" w:beforeAutospacing="0" w:after="0" w:afterAutospacing="0" w:line="240" w:lineRule="auto"/>
              <w:rPr>
                <w:b/>
                <w:bCs/>
                <w:szCs w:val="24"/>
              </w:rPr>
            </w:pPr>
            <w:r>
              <w:rPr>
                <w:b/>
                <w:bCs/>
                <w:szCs w:val="24"/>
              </w:rPr>
              <w:t>12.7</w:t>
            </w:r>
          </w:p>
        </w:tc>
      </w:tr>
      <w:tr w:rsidR="00141FF8" w14:paraId="4B69A73B" w14:textId="77777777" w:rsidTr="00A30F01">
        <w:tc>
          <w:tcPr>
            <w:tcW w:w="3078" w:type="dxa"/>
          </w:tcPr>
          <w:p w14:paraId="10200A54" w14:textId="77777777" w:rsidR="00141FF8" w:rsidRDefault="00141FF8" w:rsidP="00A30F01">
            <w:pPr>
              <w:spacing w:before="0" w:beforeAutospacing="0" w:after="0" w:afterAutospacing="0" w:line="240" w:lineRule="auto"/>
              <w:rPr>
                <w:b/>
                <w:bCs/>
                <w:szCs w:val="24"/>
              </w:rPr>
            </w:pPr>
          </w:p>
        </w:tc>
        <w:tc>
          <w:tcPr>
            <w:tcW w:w="1182" w:type="dxa"/>
          </w:tcPr>
          <w:p w14:paraId="3838EBD8" w14:textId="77777777" w:rsidR="00141FF8" w:rsidRDefault="00141FF8" w:rsidP="00A30F01">
            <w:pPr>
              <w:spacing w:before="0" w:beforeAutospacing="0" w:after="0" w:afterAutospacing="0" w:line="240" w:lineRule="auto"/>
              <w:rPr>
                <w:b/>
                <w:bCs/>
                <w:szCs w:val="24"/>
              </w:rPr>
            </w:pPr>
            <w:r>
              <w:rPr>
                <w:b/>
                <w:bCs/>
                <w:szCs w:val="24"/>
              </w:rPr>
              <w:t>No</w:t>
            </w:r>
          </w:p>
        </w:tc>
        <w:tc>
          <w:tcPr>
            <w:tcW w:w="2131" w:type="dxa"/>
          </w:tcPr>
          <w:p w14:paraId="7ABC8133" w14:textId="77777777" w:rsidR="00141FF8" w:rsidRDefault="00141FF8" w:rsidP="00A30F01">
            <w:pPr>
              <w:spacing w:before="0" w:beforeAutospacing="0" w:after="0" w:afterAutospacing="0" w:line="240" w:lineRule="auto"/>
              <w:rPr>
                <w:b/>
                <w:bCs/>
                <w:szCs w:val="24"/>
              </w:rPr>
            </w:pPr>
            <w:r>
              <w:rPr>
                <w:b/>
                <w:bCs/>
                <w:szCs w:val="24"/>
              </w:rPr>
              <w:t>51</w:t>
            </w:r>
          </w:p>
        </w:tc>
        <w:tc>
          <w:tcPr>
            <w:tcW w:w="2131" w:type="dxa"/>
          </w:tcPr>
          <w:p w14:paraId="2CB58986" w14:textId="77777777" w:rsidR="00141FF8" w:rsidRDefault="00141FF8" w:rsidP="00A30F01">
            <w:pPr>
              <w:spacing w:before="0" w:beforeAutospacing="0" w:after="0" w:afterAutospacing="0" w:line="240" w:lineRule="auto"/>
              <w:rPr>
                <w:b/>
                <w:bCs/>
                <w:szCs w:val="24"/>
              </w:rPr>
            </w:pPr>
            <w:r>
              <w:rPr>
                <w:b/>
                <w:bCs/>
                <w:szCs w:val="24"/>
              </w:rPr>
              <w:t>34.0</w:t>
            </w:r>
          </w:p>
        </w:tc>
      </w:tr>
      <w:tr w:rsidR="00141FF8" w14:paraId="35EFF68E" w14:textId="77777777" w:rsidTr="00A30F01">
        <w:tc>
          <w:tcPr>
            <w:tcW w:w="3078" w:type="dxa"/>
          </w:tcPr>
          <w:p w14:paraId="2F415C33" w14:textId="77777777" w:rsidR="00141FF8" w:rsidRDefault="00141FF8" w:rsidP="00A30F01">
            <w:pPr>
              <w:spacing w:before="0" w:beforeAutospacing="0" w:after="0" w:afterAutospacing="0" w:line="240" w:lineRule="auto"/>
              <w:rPr>
                <w:b/>
                <w:bCs/>
                <w:szCs w:val="24"/>
              </w:rPr>
            </w:pPr>
          </w:p>
        </w:tc>
        <w:tc>
          <w:tcPr>
            <w:tcW w:w="1182" w:type="dxa"/>
          </w:tcPr>
          <w:p w14:paraId="797ADB3A" w14:textId="77777777" w:rsidR="00141FF8" w:rsidRDefault="00141FF8" w:rsidP="00A30F01">
            <w:pPr>
              <w:spacing w:before="0" w:beforeAutospacing="0" w:after="0" w:afterAutospacing="0" w:line="240" w:lineRule="auto"/>
              <w:rPr>
                <w:b/>
                <w:bCs/>
                <w:szCs w:val="24"/>
              </w:rPr>
            </w:pPr>
            <w:r>
              <w:rPr>
                <w:b/>
                <w:bCs/>
                <w:szCs w:val="24"/>
              </w:rPr>
              <w:t>Not Sure</w:t>
            </w:r>
          </w:p>
        </w:tc>
        <w:tc>
          <w:tcPr>
            <w:tcW w:w="2131" w:type="dxa"/>
          </w:tcPr>
          <w:p w14:paraId="793943F1" w14:textId="77777777" w:rsidR="00141FF8" w:rsidRDefault="00141FF8" w:rsidP="00A30F01">
            <w:pPr>
              <w:spacing w:before="0" w:beforeAutospacing="0" w:after="0" w:afterAutospacing="0" w:line="240" w:lineRule="auto"/>
              <w:rPr>
                <w:b/>
                <w:bCs/>
                <w:szCs w:val="24"/>
              </w:rPr>
            </w:pPr>
            <w:r>
              <w:rPr>
                <w:b/>
                <w:bCs/>
                <w:szCs w:val="24"/>
              </w:rPr>
              <w:t>3</w:t>
            </w:r>
          </w:p>
        </w:tc>
        <w:tc>
          <w:tcPr>
            <w:tcW w:w="2131" w:type="dxa"/>
          </w:tcPr>
          <w:p w14:paraId="24F068C4" w14:textId="77777777" w:rsidR="00141FF8" w:rsidRDefault="00141FF8" w:rsidP="00A30F01">
            <w:pPr>
              <w:spacing w:before="0" w:beforeAutospacing="0" w:after="0" w:afterAutospacing="0" w:line="240" w:lineRule="auto"/>
              <w:rPr>
                <w:b/>
                <w:bCs/>
                <w:szCs w:val="24"/>
              </w:rPr>
            </w:pPr>
            <w:r>
              <w:rPr>
                <w:b/>
                <w:bCs/>
                <w:szCs w:val="24"/>
              </w:rPr>
              <w:t>2.0</w:t>
            </w:r>
          </w:p>
        </w:tc>
      </w:tr>
      <w:tr w:rsidR="00141FF8" w14:paraId="75DE695C" w14:textId="77777777" w:rsidTr="00A30F01">
        <w:tc>
          <w:tcPr>
            <w:tcW w:w="3078" w:type="dxa"/>
          </w:tcPr>
          <w:p w14:paraId="51D266C6" w14:textId="77777777" w:rsidR="00141FF8" w:rsidRDefault="00141FF8" w:rsidP="00A30F01">
            <w:pPr>
              <w:spacing w:before="0" w:beforeAutospacing="0" w:after="0" w:afterAutospacing="0" w:line="240" w:lineRule="auto"/>
              <w:rPr>
                <w:b/>
                <w:bCs/>
                <w:szCs w:val="24"/>
              </w:rPr>
            </w:pPr>
          </w:p>
        </w:tc>
        <w:tc>
          <w:tcPr>
            <w:tcW w:w="1182" w:type="dxa"/>
          </w:tcPr>
          <w:p w14:paraId="0FBD94D2" w14:textId="77777777" w:rsidR="00141FF8" w:rsidRDefault="00141FF8" w:rsidP="00A30F01">
            <w:pPr>
              <w:spacing w:before="0" w:beforeAutospacing="0" w:after="0" w:afterAutospacing="0" w:line="240" w:lineRule="auto"/>
              <w:rPr>
                <w:b/>
                <w:bCs/>
                <w:szCs w:val="24"/>
              </w:rPr>
            </w:pPr>
            <w:r>
              <w:rPr>
                <w:b/>
                <w:bCs/>
                <w:szCs w:val="24"/>
              </w:rPr>
              <w:t>Missing</w:t>
            </w:r>
          </w:p>
        </w:tc>
        <w:tc>
          <w:tcPr>
            <w:tcW w:w="2131" w:type="dxa"/>
          </w:tcPr>
          <w:p w14:paraId="7702FC6D" w14:textId="77777777" w:rsidR="00141FF8" w:rsidRDefault="00141FF8" w:rsidP="00A30F01">
            <w:pPr>
              <w:spacing w:before="0" w:beforeAutospacing="0" w:after="0" w:afterAutospacing="0" w:line="240" w:lineRule="auto"/>
              <w:rPr>
                <w:b/>
                <w:bCs/>
                <w:szCs w:val="24"/>
              </w:rPr>
            </w:pPr>
            <w:r>
              <w:rPr>
                <w:b/>
                <w:bCs/>
                <w:szCs w:val="24"/>
              </w:rPr>
              <w:t>77</w:t>
            </w:r>
          </w:p>
        </w:tc>
        <w:tc>
          <w:tcPr>
            <w:tcW w:w="2131" w:type="dxa"/>
          </w:tcPr>
          <w:p w14:paraId="489ACE05" w14:textId="77777777" w:rsidR="00141FF8" w:rsidRDefault="00141FF8" w:rsidP="00A30F01">
            <w:pPr>
              <w:spacing w:before="0" w:beforeAutospacing="0" w:after="0" w:afterAutospacing="0" w:line="240" w:lineRule="auto"/>
              <w:rPr>
                <w:b/>
                <w:bCs/>
                <w:szCs w:val="24"/>
              </w:rPr>
            </w:pPr>
            <w:r>
              <w:rPr>
                <w:b/>
                <w:bCs/>
                <w:szCs w:val="24"/>
              </w:rPr>
              <w:t>51.3</w:t>
            </w:r>
          </w:p>
        </w:tc>
      </w:tr>
      <w:tr w:rsidR="00141FF8" w14:paraId="15C9D528" w14:textId="77777777" w:rsidTr="00A30F01">
        <w:tc>
          <w:tcPr>
            <w:tcW w:w="3078" w:type="dxa"/>
          </w:tcPr>
          <w:p w14:paraId="707CDC90" w14:textId="77777777" w:rsidR="00141FF8" w:rsidRDefault="00141FF8" w:rsidP="00A30F01">
            <w:pPr>
              <w:spacing w:before="0" w:beforeAutospacing="0" w:after="0" w:afterAutospacing="0" w:line="240" w:lineRule="auto"/>
              <w:rPr>
                <w:b/>
                <w:bCs/>
                <w:szCs w:val="24"/>
              </w:rPr>
            </w:pPr>
            <w:r w:rsidRPr="003F725F">
              <w:rPr>
                <w:szCs w:val="24"/>
              </w:rPr>
              <w:t>Ever Tested for Chlamydia</w:t>
            </w:r>
          </w:p>
        </w:tc>
        <w:tc>
          <w:tcPr>
            <w:tcW w:w="1182" w:type="dxa"/>
          </w:tcPr>
          <w:p w14:paraId="0126811E" w14:textId="77777777" w:rsidR="00141FF8" w:rsidRDefault="00141FF8" w:rsidP="00A30F01">
            <w:pPr>
              <w:spacing w:before="0" w:beforeAutospacing="0" w:after="0" w:afterAutospacing="0" w:line="240" w:lineRule="auto"/>
              <w:rPr>
                <w:b/>
                <w:bCs/>
                <w:szCs w:val="24"/>
              </w:rPr>
            </w:pPr>
            <w:r>
              <w:rPr>
                <w:b/>
                <w:bCs/>
                <w:szCs w:val="24"/>
              </w:rPr>
              <w:t>Yes</w:t>
            </w:r>
          </w:p>
        </w:tc>
        <w:tc>
          <w:tcPr>
            <w:tcW w:w="2131" w:type="dxa"/>
          </w:tcPr>
          <w:p w14:paraId="3D3418AA" w14:textId="77777777" w:rsidR="00141FF8" w:rsidRDefault="00141FF8" w:rsidP="00A30F01">
            <w:pPr>
              <w:spacing w:before="0" w:beforeAutospacing="0" w:after="0" w:afterAutospacing="0" w:line="240" w:lineRule="auto"/>
              <w:rPr>
                <w:b/>
                <w:bCs/>
                <w:szCs w:val="24"/>
              </w:rPr>
            </w:pPr>
            <w:r>
              <w:rPr>
                <w:b/>
                <w:bCs/>
                <w:szCs w:val="24"/>
              </w:rPr>
              <w:t>1</w:t>
            </w:r>
          </w:p>
        </w:tc>
        <w:tc>
          <w:tcPr>
            <w:tcW w:w="2131" w:type="dxa"/>
          </w:tcPr>
          <w:p w14:paraId="12A31784" w14:textId="77777777" w:rsidR="00141FF8" w:rsidRDefault="00141FF8" w:rsidP="00A30F01">
            <w:pPr>
              <w:spacing w:before="0" w:beforeAutospacing="0" w:after="0" w:afterAutospacing="0" w:line="240" w:lineRule="auto"/>
              <w:rPr>
                <w:b/>
                <w:bCs/>
                <w:szCs w:val="24"/>
              </w:rPr>
            </w:pPr>
            <w:r>
              <w:rPr>
                <w:b/>
                <w:bCs/>
                <w:szCs w:val="24"/>
              </w:rPr>
              <w:t>0.7</w:t>
            </w:r>
          </w:p>
        </w:tc>
      </w:tr>
      <w:tr w:rsidR="00141FF8" w14:paraId="20A9CF6F" w14:textId="77777777" w:rsidTr="00A30F01">
        <w:tc>
          <w:tcPr>
            <w:tcW w:w="3078" w:type="dxa"/>
          </w:tcPr>
          <w:p w14:paraId="7B032DD4" w14:textId="77777777" w:rsidR="00141FF8" w:rsidRDefault="00141FF8" w:rsidP="00A30F01">
            <w:pPr>
              <w:spacing w:before="0" w:beforeAutospacing="0" w:after="0" w:afterAutospacing="0" w:line="240" w:lineRule="auto"/>
              <w:rPr>
                <w:b/>
                <w:bCs/>
                <w:szCs w:val="24"/>
              </w:rPr>
            </w:pPr>
          </w:p>
        </w:tc>
        <w:tc>
          <w:tcPr>
            <w:tcW w:w="1182" w:type="dxa"/>
          </w:tcPr>
          <w:p w14:paraId="4402171A" w14:textId="77777777" w:rsidR="00141FF8" w:rsidRDefault="00141FF8" w:rsidP="00A30F01">
            <w:pPr>
              <w:spacing w:before="0" w:beforeAutospacing="0" w:after="0" w:afterAutospacing="0" w:line="240" w:lineRule="auto"/>
              <w:rPr>
                <w:b/>
                <w:bCs/>
                <w:szCs w:val="24"/>
              </w:rPr>
            </w:pPr>
            <w:r>
              <w:rPr>
                <w:b/>
                <w:bCs/>
                <w:szCs w:val="24"/>
              </w:rPr>
              <w:t>No</w:t>
            </w:r>
          </w:p>
        </w:tc>
        <w:tc>
          <w:tcPr>
            <w:tcW w:w="2131" w:type="dxa"/>
          </w:tcPr>
          <w:p w14:paraId="1F3D084E" w14:textId="77777777" w:rsidR="00141FF8" w:rsidRDefault="00141FF8" w:rsidP="00A30F01">
            <w:pPr>
              <w:spacing w:before="0" w:beforeAutospacing="0" w:after="0" w:afterAutospacing="0" w:line="240" w:lineRule="auto"/>
              <w:rPr>
                <w:b/>
                <w:bCs/>
                <w:szCs w:val="24"/>
              </w:rPr>
            </w:pPr>
            <w:r>
              <w:rPr>
                <w:b/>
                <w:bCs/>
                <w:szCs w:val="24"/>
              </w:rPr>
              <w:t>80</w:t>
            </w:r>
          </w:p>
        </w:tc>
        <w:tc>
          <w:tcPr>
            <w:tcW w:w="2131" w:type="dxa"/>
          </w:tcPr>
          <w:p w14:paraId="0374533C" w14:textId="77777777" w:rsidR="00141FF8" w:rsidRDefault="00141FF8" w:rsidP="00A30F01">
            <w:pPr>
              <w:spacing w:before="0" w:beforeAutospacing="0" w:after="0" w:afterAutospacing="0" w:line="240" w:lineRule="auto"/>
              <w:rPr>
                <w:b/>
                <w:bCs/>
                <w:szCs w:val="24"/>
              </w:rPr>
            </w:pPr>
            <w:r>
              <w:rPr>
                <w:b/>
                <w:bCs/>
                <w:szCs w:val="24"/>
              </w:rPr>
              <w:t>53.3</w:t>
            </w:r>
          </w:p>
        </w:tc>
      </w:tr>
      <w:tr w:rsidR="00141FF8" w14:paraId="3BDDBEDA" w14:textId="77777777" w:rsidTr="00A30F01">
        <w:tc>
          <w:tcPr>
            <w:tcW w:w="3078" w:type="dxa"/>
          </w:tcPr>
          <w:p w14:paraId="2D87965D" w14:textId="77777777" w:rsidR="00141FF8" w:rsidRDefault="00141FF8" w:rsidP="00A30F01">
            <w:pPr>
              <w:spacing w:before="0" w:beforeAutospacing="0" w:after="0" w:afterAutospacing="0" w:line="240" w:lineRule="auto"/>
              <w:rPr>
                <w:b/>
                <w:bCs/>
                <w:szCs w:val="24"/>
              </w:rPr>
            </w:pPr>
          </w:p>
        </w:tc>
        <w:tc>
          <w:tcPr>
            <w:tcW w:w="1182" w:type="dxa"/>
          </w:tcPr>
          <w:p w14:paraId="45A03ABD" w14:textId="77777777" w:rsidR="00141FF8" w:rsidRDefault="00141FF8" w:rsidP="00A30F01">
            <w:pPr>
              <w:spacing w:before="0" w:beforeAutospacing="0" w:after="0" w:afterAutospacing="0" w:line="240" w:lineRule="auto"/>
              <w:rPr>
                <w:b/>
                <w:bCs/>
                <w:szCs w:val="24"/>
              </w:rPr>
            </w:pPr>
            <w:r>
              <w:rPr>
                <w:b/>
                <w:bCs/>
                <w:szCs w:val="24"/>
              </w:rPr>
              <w:t>Missing</w:t>
            </w:r>
          </w:p>
        </w:tc>
        <w:tc>
          <w:tcPr>
            <w:tcW w:w="2131" w:type="dxa"/>
          </w:tcPr>
          <w:p w14:paraId="2EFA2D0B" w14:textId="77777777" w:rsidR="00141FF8" w:rsidRDefault="00141FF8" w:rsidP="00A30F01">
            <w:pPr>
              <w:spacing w:before="0" w:beforeAutospacing="0" w:after="0" w:afterAutospacing="0" w:line="240" w:lineRule="auto"/>
              <w:rPr>
                <w:b/>
                <w:bCs/>
                <w:szCs w:val="24"/>
              </w:rPr>
            </w:pPr>
            <w:r>
              <w:rPr>
                <w:b/>
                <w:bCs/>
                <w:szCs w:val="24"/>
              </w:rPr>
              <w:t>69</w:t>
            </w:r>
          </w:p>
        </w:tc>
        <w:tc>
          <w:tcPr>
            <w:tcW w:w="2131" w:type="dxa"/>
          </w:tcPr>
          <w:p w14:paraId="4E9EC44E" w14:textId="77777777" w:rsidR="00141FF8" w:rsidRDefault="00141FF8" w:rsidP="00A30F01">
            <w:pPr>
              <w:spacing w:before="0" w:beforeAutospacing="0" w:after="0" w:afterAutospacing="0" w:line="240" w:lineRule="auto"/>
              <w:rPr>
                <w:b/>
                <w:bCs/>
                <w:szCs w:val="24"/>
              </w:rPr>
            </w:pPr>
            <w:r>
              <w:rPr>
                <w:b/>
                <w:bCs/>
                <w:szCs w:val="24"/>
              </w:rPr>
              <w:t>46.0</w:t>
            </w:r>
          </w:p>
        </w:tc>
      </w:tr>
    </w:tbl>
    <w:p w14:paraId="320339CC" w14:textId="77777777" w:rsidR="00141FF8" w:rsidRDefault="00141FF8" w:rsidP="00815694">
      <w:pPr>
        <w:spacing w:before="0" w:beforeAutospacing="0" w:after="0" w:afterAutospacing="0" w:line="240" w:lineRule="auto"/>
        <w:jc w:val="both"/>
        <w:rPr>
          <w:szCs w:val="24"/>
        </w:rPr>
      </w:pPr>
    </w:p>
    <w:p w14:paraId="04B0EA9C" w14:textId="77777777" w:rsidR="00E77502" w:rsidRDefault="00E77502" w:rsidP="00815694">
      <w:pPr>
        <w:spacing w:before="0" w:beforeAutospacing="0" w:after="0" w:afterAutospacing="0" w:line="240" w:lineRule="auto"/>
        <w:jc w:val="both"/>
        <w:rPr>
          <w:szCs w:val="24"/>
        </w:rPr>
      </w:pPr>
    </w:p>
    <w:p w14:paraId="54260FD6" w14:textId="353402ED" w:rsidR="00AE133E" w:rsidRDefault="00AE133E" w:rsidP="00815694">
      <w:pPr>
        <w:spacing w:before="0" w:beforeAutospacing="0" w:after="0" w:afterAutospacing="0" w:line="240" w:lineRule="auto"/>
        <w:jc w:val="both"/>
        <w:rPr>
          <w:szCs w:val="24"/>
        </w:rPr>
      </w:pPr>
      <w:r w:rsidRPr="00E0484B">
        <w:rPr>
          <w:rFonts w:eastAsia="Times New Roman"/>
          <w:noProof/>
          <w:szCs w:val="24"/>
        </w:rPr>
        <w:drawing>
          <wp:inline distT="0" distB="0" distL="114300" distR="114300" wp14:anchorId="797A2CB6" wp14:editId="5F1242B1">
            <wp:extent cx="1915228" cy="1428441"/>
            <wp:effectExtent l="0" t="0" r="8890" b="635"/>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1"/>
                    <pic:cNvPicPr>
                      <a:picLocks noChangeAspect="1"/>
                    </pic:cNvPicPr>
                  </pic:nvPicPr>
                  <pic:blipFill>
                    <a:blip r:embed="rId12"/>
                    <a:srcRect t="6796"/>
                    <a:stretch>
                      <a:fillRect/>
                    </a:stretch>
                  </pic:blipFill>
                  <pic:spPr>
                    <a:xfrm>
                      <a:off x="0" y="0"/>
                      <a:ext cx="1939335" cy="1446421"/>
                    </a:xfrm>
                    <a:prstGeom prst="rect">
                      <a:avLst/>
                    </a:prstGeom>
                    <a:noFill/>
                    <a:ln>
                      <a:noFill/>
                    </a:ln>
                  </pic:spPr>
                </pic:pic>
              </a:graphicData>
            </a:graphic>
          </wp:inline>
        </w:drawing>
      </w:r>
      <w:r w:rsidR="00DB48CE" w:rsidRPr="00E0484B">
        <w:rPr>
          <w:rFonts w:eastAsia="Times New Roman"/>
          <w:noProof/>
        </w:rPr>
        <w:drawing>
          <wp:inline distT="0" distB="0" distL="114300" distR="114300" wp14:anchorId="27611D2F" wp14:editId="71BE78E0">
            <wp:extent cx="1966519" cy="1413407"/>
            <wp:effectExtent l="0" t="0" r="0" b="0"/>
            <wp:docPr id="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pic:cNvPicPr>
                      <a:picLocks noChangeAspect="1"/>
                    </pic:cNvPicPr>
                  </pic:nvPicPr>
                  <pic:blipFill>
                    <a:blip r:embed="rId13"/>
                    <a:stretch>
                      <a:fillRect/>
                    </a:stretch>
                  </pic:blipFill>
                  <pic:spPr>
                    <a:xfrm>
                      <a:off x="0" y="0"/>
                      <a:ext cx="2005328" cy="1441300"/>
                    </a:xfrm>
                    <a:prstGeom prst="rect">
                      <a:avLst/>
                    </a:prstGeom>
                    <a:noFill/>
                    <a:ln>
                      <a:noFill/>
                    </a:ln>
                  </pic:spPr>
                </pic:pic>
              </a:graphicData>
            </a:graphic>
          </wp:inline>
        </w:drawing>
      </w:r>
    </w:p>
    <w:p w14:paraId="7B15AE17" w14:textId="78E58703" w:rsidR="00AE133E" w:rsidRPr="00D436CB" w:rsidRDefault="00AE133E" w:rsidP="00AE133E">
      <w:pPr>
        <w:pStyle w:val="NormalWeb"/>
        <w:spacing w:beforeAutospacing="0" w:afterAutospacing="0"/>
        <w:jc w:val="both"/>
        <w:rPr>
          <w:iCs/>
          <w:sz w:val="12"/>
          <w:szCs w:val="12"/>
        </w:rPr>
      </w:pPr>
      <w:r w:rsidRPr="00DB48CE">
        <w:rPr>
          <w:rStyle w:val="Strong"/>
          <w:iCs/>
          <w:sz w:val="12"/>
          <w:szCs w:val="12"/>
        </w:rPr>
        <w:t>Figure 10.</w:t>
      </w:r>
      <w:r w:rsidRPr="00DB48CE">
        <w:rPr>
          <w:iCs/>
          <w:sz w:val="12"/>
          <w:szCs w:val="12"/>
        </w:rPr>
        <w:t xml:space="preserve"> Knowledge of </w:t>
      </w:r>
      <w:r w:rsidRPr="00DB48CE">
        <w:rPr>
          <w:rStyle w:val="Emphasis"/>
          <w:sz w:val="12"/>
          <w:szCs w:val="12"/>
        </w:rPr>
        <w:t>Chlamydia trachomatis</w:t>
      </w:r>
      <w:r w:rsidRPr="00DB48CE">
        <w:rPr>
          <w:iCs/>
          <w:sz w:val="12"/>
          <w:szCs w:val="12"/>
        </w:rPr>
        <w:t xml:space="preserve"> among respondents</w:t>
      </w:r>
      <w:r w:rsidRPr="00D436CB">
        <w:rPr>
          <w:iCs/>
          <w:sz w:val="12"/>
          <w:szCs w:val="12"/>
        </w:rPr>
        <w:t xml:space="preserve">. </w:t>
      </w:r>
      <w:r w:rsidRPr="00D436CB">
        <w:rPr>
          <w:rStyle w:val="Strong"/>
          <w:iCs/>
          <w:sz w:val="12"/>
          <w:szCs w:val="12"/>
        </w:rPr>
        <w:t>Figure 11.</w:t>
      </w:r>
      <w:r w:rsidRPr="00D436CB">
        <w:rPr>
          <w:iCs/>
          <w:sz w:val="12"/>
          <w:szCs w:val="12"/>
        </w:rPr>
        <w:t xml:space="preserve"> History of testing for </w:t>
      </w:r>
      <w:r w:rsidRPr="00D436CB">
        <w:rPr>
          <w:rStyle w:val="Emphasis"/>
          <w:sz w:val="12"/>
          <w:szCs w:val="12"/>
        </w:rPr>
        <w:t>Chlamydia trachomatis</w:t>
      </w:r>
      <w:r w:rsidRPr="00D436CB">
        <w:rPr>
          <w:iCs/>
          <w:sz w:val="12"/>
          <w:szCs w:val="12"/>
        </w:rPr>
        <w:t xml:space="preserve">. </w:t>
      </w:r>
    </w:p>
    <w:p w14:paraId="337E7BAB" w14:textId="77777777" w:rsidR="003C0AA8" w:rsidRPr="00E0484B" w:rsidRDefault="003C0AA8" w:rsidP="00B343BB">
      <w:pPr>
        <w:spacing w:before="0" w:beforeAutospacing="0" w:after="0" w:afterAutospacing="0" w:line="240" w:lineRule="auto"/>
        <w:jc w:val="both"/>
        <w:rPr>
          <w:b/>
          <w:bCs/>
          <w:i/>
          <w:iCs/>
          <w:szCs w:val="24"/>
        </w:rPr>
      </w:pPr>
    </w:p>
    <w:p w14:paraId="320CF5D4" w14:textId="77777777" w:rsidR="003C0AA8" w:rsidRPr="00E0484B" w:rsidRDefault="003C0AA8" w:rsidP="003C0AA8">
      <w:pPr>
        <w:spacing w:before="0" w:beforeAutospacing="0" w:after="0" w:afterAutospacing="0" w:line="240" w:lineRule="auto"/>
        <w:jc w:val="both"/>
        <w:rPr>
          <w:b/>
          <w:bCs/>
          <w:szCs w:val="24"/>
        </w:rPr>
      </w:pPr>
      <w:r w:rsidRPr="00E0484B">
        <w:rPr>
          <w:b/>
          <w:bCs/>
          <w:szCs w:val="24"/>
        </w:rPr>
        <w:t xml:space="preserve">Prevalence of </w:t>
      </w:r>
      <w:r w:rsidRPr="00E0484B">
        <w:rPr>
          <w:b/>
          <w:bCs/>
          <w:i/>
          <w:iCs/>
          <w:szCs w:val="24"/>
        </w:rPr>
        <w:t>Chlamydia trachomatis</w:t>
      </w:r>
    </w:p>
    <w:p w14:paraId="0226E03F" w14:textId="06BF8EDB" w:rsidR="00636602" w:rsidRDefault="003C0AA8" w:rsidP="003C0AA8">
      <w:pPr>
        <w:spacing w:before="0" w:beforeAutospacing="0" w:after="0" w:afterAutospacing="0" w:line="240" w:lineRule="auto"/>
        <w:jc w:val="both"/>
        <w:rPr>
          <w:b/>
          <w:bCs/>
          <w:szCs w:val="24"/>
        </w:rPr>
      </w:pPr>
      <w:r w:rsidRPr="00057B20">
        <w:rPr>
          <w:szCs w:val="24"/>
        </w:rPr>
        <w:t xml:space="preserve">All participants tested negative for </w:t>
      </w:r>
      <w:r w:rsidRPr="00057B20">
        <w:rPr>
          <w:i/>
          <w:iCs/>
          <w:szCs w:val="24"/>
        </w:rPr>
        <w:t>C. trachomatis</w:t>
      </w:r>
      <w:r w:rsidRPr="00057B20">
        <w:rPr>
          <w:szCs w:val="24"/>
        </w:rPr>
        <w:t xml:space="preserve"> antigens using LFA (0% prevalence). No positive cases were detected, and therefore</w:t>
      </w:r>
      <w:r w:rsidR="00141FF8">
        <w:rPr>
          <w:szCs w:val="24"/>
        </w:rPr>
        <w:t>,</w:t>
      </w:r>
      <w:r w:rsidRPr="00057B20">
        <w:rPr>
          <w:szCs w:val="24"/>
        </w:rPr>
        <w:t xml:space="preserve"> inferential analysis (e.g., chi-square) was not performed</w:t>
      </w:r>
      <w:r w:rsidR="00931499">
        <w:rPr>
          <w:b/>
          <w:bCs/>
          <w:szCs w:val="24"/>
        </w:rPr>
        <w:t xml:space="preserve"> (</w:t>
      </w:r>
      <w:r w:rsidR="004A345B">
        <w:rPr>
          <w:b/>
          <w:bCs/>
          <w:szCs w:val="24"/>
        </w:rPr>
        <w:t xml:space="preserve">Table 4, </w:t>
      </w:r>
      <w:r w:rsidR="00931499">
        <w:rPr>
          <w:b/>
          <w:bCs/>
          <w:szCs w:val="24"/>
        </w:rPr>
        <w:t>Figure</w:t>
      </w:r>
      <w:r w:rsidR="004A345B">
        <w:rPr>
          <w:b/>
          <w:bCs/>
          <w:szCs w:val="24"/>
        </w:rPr>
        <w:t>s 12 &amp;</w:t>
      </w:r>
      <w:r w:rsidR="00931499">
        <w:rPr>
          <w:b/>
          <w:bCs/>
          <w:szCs w:val="24"/>
        </w:rPr>
        <w:t xml:space="preserve"> 13)</w:t>
      </w:r>
      <w:r w:rsidR="00636602">
        <w:rPr>
          <w:b/>
          <w:bCs/>
          <w:szCs w:val="24"/>
        </w:rPr>
        <w:t>.</w:t>
      </w:r>
    </w:p>
    <w:bookmarkEnd w:id="34"/>
    <w:bookmarkEnd w:id="35"/>
    <w:bookmarkEnd w:id="36"/>
    <w:p w14:paraId="449630DC" w14:textId="142E447B" w:rsidR="00C412B3" w:rsidRPr="00E0484B" w:rsidRDefault="00C412B3" w:rsidP="00B343BB">
      <w:pPr>
        <w:pStyle w:val="NormalWeb"/>
        <w:spacing w:beforeAutospacing="0" w:afterAutospacing="0"/>
        <w:jc w:val="both"/>
        <w:rPr>
          <w:rStyle w:val="Strong"/>
          <w:iCs/>
        </w:rPr>
      </w:pPr>
    </w:p>
    <w:p w14:paraId="0E3BA952" w14:textId="14916B3B" w:rsidR="00C412B3" w:rsidRDefault="00C412B3" w:rsidP="00B343BB">
      <w:pPr>
        <w:pStyle w:val="NormalWeb"/>
        <w:spacing w:beforeAutospacing="0" w:afterAutospacing="0"/>
        <w:jc w:val="both"/>
        <w:rPr>
          <w:rStyle w:val="Strong"/>
          <w:iCs/>
        </w:rPr>
      </w:pPr>
      <w:r w:rsidRPr="00E0484B">
        <w:rPr>
          <w:rStyle w:val="Strong"/>
          <w:iCs/>
        </w:rPr>
        <w:t>Table</w:t>
      </w:r>
      <w:r w:rsidR="007849E6" w:rsidRPr="00E0484B">
        <w:rPr>
          <w:rStyle w:val="Strong"/>
          <w:iCs/>
        </w:rPr>
        <w:t xml:space="preserve"> </w:t>
      </w:r>
      <w:r w:rsidRPr="00E0484B">
        <w:rPr>
          <w:rStyle w:val="Strong"/>
          <w:iCs/>
        </w:rPr>
        <w:t xml:space="preserve">4: Prevalence of </w:t>
      </w:r>
      <w:r w:rsidRPr="00E0484B">
        <w:rPr>
          <w:rStyle w:val="Emphasis"/>
          <w:b/>
          <w:bCs/>
        </w:rPr>
        <w:t>Chlamydia trachomatis</w:t>
      </w:r>
      <w:r w:rsidRPr="00E0484B">
        <w:rPr>
          <w:rStyle w:val="Strong"/>
          <w:iCs/>
          <w:color w:val="EE0000"/>
        </w:rPr>
        <w:t xml:space="preserve"> </w:t>
      </w:r>
      <w:r w:rsidRPr="00E0484B">
        <w:rPr>
          <w:rStyle w:val="Strong"/>
          <w:iCs/>
        </w:rPr>
        <w:t>Infection among Respondents (n = 150)</w:t>
      </w:r>
    </w:p>
    <w:tbl>
      <w:tblPr>
        <w:tblStyle w:val="TableGrid"/>
        <w:tblW w:w="0" w:type="auto"/>
        <w:tblLook w:val="04A0" w:firstRow="1" w:lastRow="0" w:firstColumn="1" w:lastColumn="0" w:noHBand="0" w:noVBand="1"/>
      </w:tblPr>
      <w:tblGrid>
        <w:gridCol w:w="2840"/>
        <w:gridCol w:w="2841"/>
        <w:gridCol w:w="2841"/>
      </w:tblGrid>
      <w:tr w:rsidR="00636602" w14:paraId="39B5FFED" w14:textId="77777777" w:rsidTr="00636602">
        <w:tc>
          <w:tcPr>
            <w:tcW w:w="2840" w:type="dxa"/>
          </w:tcPr>
          <w:p w14:paraId="02583D43" w14:textId="648D78BE" w:rsidR="00636602" w:rsidRDefault="00636602" w:rsidP="00B343BB">
            <w:pPr>
              <w:pStyle w:val="NormalWeb"/>
              <w:spacing w:beforeAutospacing="0" w:afterAutospacing="0"/>
              <w:rPr>
                <w:iCs/>
              </w:rPr>
            </w:pPr>
            <w:r w:rsidRPr="00E0484B">
              <w:rPr>
                <w:b/>
                <w:bCs/>
                <w:iCs/>
                <w:lang w:bidi="ar"/>
              </w:rPr>
              <w:t>Test Outcome</w:t>
            </w:r>
          </w:p>
        </w:tc>
        <w:tc>
          <w:tcPr>
            <w:tcW w:w="2841" w:type="dxa"/>
          </w:tcPr>
          <w:p w14:paraId="0E32E4CC" w14:textId="2186FD3E" w:rsidR="00636602" w:rsidRDefault="00636602" w:rsidP="00B343BB">
            <w:pPr>
              <w:pStyle w:val="NormalWeb"/>
              <w:spacing w:beforeAutospacing="0" w:afterAutospacing="0"/>
              <w:rPr>
                <w:iCs/>
              </w:rPr>
            </w:pPr>
            <w:r w:rsidRPr="00E0484B">
              <w:rPr>
                <w:b/>
                <w:bCs/>
                <w:iCs/>
                <w:lang w:bidi="ar"/>
              </w:rPr>
              <w:t>Frequency (n)</w:t>
            </w:r>
          </w:p>
        </w:tc>
        <w:tc>
          <w:tcPr>
            <w:tcW w:w="2841" w:type="dxa"/>
          </w:tcPr>
          <w:p w14:paraId="51801517" w14:textId="0872615E" w:rsidR="00636602" w:rsidRDefault="00636602" w:rsidP="00B343BB">
            <w:pPr>
              <w:pStyle w:val="NormalWeb"/>
              <w:spacing w:beforeAutospacing="0" w:afterAutospacing="0"/>
              <w:rPr>
                <w:iCs/>
              </w:rPr>
            </w:pPr>
            <w:r w:rsidRPr="00E0484B">
              <w:rPr>
                <w:b/>
                <w:bCs/>
                <w:iCs/>
                <w:lang w:bidi="ar"/>
              </w:rPr>
              <w:t>Percentage (%)</w:t>
            </w:r>
          </w:p>
        </w:tc>
      </w:tr>
      <w:tr w:rsidR="00636602" w14:paraId="589C64C4" w14:textId="77777777" w:rsidTr="00636602">
        <w:tc>
          <w:tcPr>
            <w:tcW w:w="2840" w:type="dxa"/>
          </w:tcPr>
          <w:p w14:paraId="16280882" w14:textId="545046E0" w:rsidR="00636602" w:rsidRDefault="00636602" w:rsidP="00B343BB">
            <w:pPr>
              <w:pStyle w:val="NormalWeb"/>
              <w:spacing w:beforeAutospacing="0" w:afterAutospacing="0"/>
              <w:rPr>
                <w:iCs/>
              </w:rPr>
            </w:pPr>
            <w:r w:rsidRPr="00E0484B">
              <w:rPr>
                <w:iCs/>
                <w:lang w:bidi="ar"/>
              </w:rPr>
              <w:t>Negative</w:t>
            </w:r>
          </w:p>
        </w:tc>
        <w:tc>
          <w:tcPr>
            <w:tcW w:w="2841" w:type="dxa"/>
          </w:tcPr>
          <w:p w14:paraId="18DB1BCD" w14:textId="20E3BB37" w:rsidR="00636602" w:rsidRDefault="00B15773" w:rsidP="00B343BB">
            <w:pPr>
              <w:pStyle w:val="NormalWeb"/>
              <w:spacing w:beforeAutospacing="0" w:afterAutospacing="0"/>
              <w:rPr>
                <w:iCs/>
              </w:rPr>
            </w:pPr>
            <w:r>
              <w:rPr>
                <w:iCs/>
              </w:rPr>
              <w:t>150</w:t>
            </w:r>
          </w:p>
        </w:tc>
        <w:tc>
          <w:tcPr>
            <w:tcW w:w="2841" w:type="dxa"/>
          </w:tcPr>
          <w:p w14:paraId="28C64045" w14:textId="7C710BB3" w:rsidR="00636602" w:rsidRDefault="00B15773" w:rsidP="00B343BB">
            <w:pPr>
              <w:pStyle w:val="NormalWeb"/>
              <w:spacing w:beforeAutospacing="0" w:afterAutospacing="0"/>
              <w:rPr>
                <w:iCs/>
              </w:rPr>
            </w:pPr>
            <w:r>
              <w:rPr>
                <w:iCs/>
              </w:rPr>
              <w:t>100.0</w:t>
            </w:r>
          </w:p>
        </w:tc>
      </w:tr>
      <w:tr w:rsidR="00B15773" w14:paraId="6C005262" w14:textId="77777777" w:rsidTr="00636602">
        <w:tc>
          <w:tcPr>
            <w:tcW w:w="2840" w:type="dxa"/>
          </w:tcPr>
          <w:p w14:paraId="05177A5A" w14:textId="48DBC5A8" w:rsidR="00B15773" w:rsidRPr="00E0484B" w:rsidRDefault="00B15773" w:rsidP="00B343BB">
            <w:pPr>
              <w:pStyle w:val="NormalWeb"/>
              <w:spacing w:beforeAutospacing="0" w:afterAutospacing="0"/>
              <w:rPr>
                <w:iCs/>
                <w:lang w:bidi="ar"/>
              </w:rPr>
            </w:pPr>
            <w:r w:rsidRPr="00E0484B">
              <w:rPr>
                <w:iCs/>
                <w:lang w:bidi="ar"/>
              </w:rPr>
              <w:t>Positive</w:t>
            </w:r>
          </w:p>
        </w:tc>
        <w:tc>
          <w:tcPr>
            <w:tcW w:w="2841" w:type="dxa"/>
          </w:tcPr>
          <w:p w14:paraId="70BD7C06" w14:textId="323AABBA" w:rsidR="00B15773" w:rsidRDefault="00B15773" w:rsidP="00B343BB">
            <w:pPr>
              <w:pStyle w:val="NormalWeb"/>
              <w:spacing w:beforeAutospacing="0" w:afterAutospacing="0"/>
              <w:rPr>
                <w:iCs/>
              </w:rPr>
            </w:pPr>
            <w:r>
              <w:rPr>
                <w:iCs/>
              </w:rPr>
              <w:t>0</w:t>
            </w:r>
          </w:p>
        </w:tc>
        <w:tc>
          <w:tcPr>
            <w:tcW w:w="2841" w:type="dxa"/>
          </w:tcPr>
          <w:p w14:paraId="304BEE43" w14:textId="22C470B1" w:rsidR="00B15773" w:rsidRDefault="00B15773" w:rsidP="00B343BB">
            <w:pPr>
              <w:pStyle w:val="NormalWeb"/>
              <w:spacing w:beforeAutospacing="0" w:afterAutospacing="0"/>
              <w:rPr>
                <w:iCs/>
              </w:rPr>
            </w:pPr>
            <w:r>
              <w:rPr>
                <w:iCs/>
              </w:rPr>
              <w:t>0.0</w:t>
            </w:r>
          </w:p>
        </w:tc>
      </w:tr>
    </w:tbl>
    <w:p w14:paraId="6877C415" w14:textId="5D921927" w:rsidR="00636602" w:rsidRPr="00E0484B" w:rsidRDefault="00B15773" w:rsidP="00B15773">
      <w:pPr>
        <w:pStyle w:val="NormalWeb"/>
        <w:tabs>
          <w:tab w:val="center" w:pos="4153"/>
          <w:tab w:val="left" w:pos="4554"/>
        </w:tabs>
        <w:spacing w:beforeAutospacing="0" w:afterAutospacing="0"/>
        <w:jc w:val="both"/>
        <w:rPr>
          <w:iCs/>
        </w:rPr>
      </w:pPr>
      <w:r>
        <w:rPr>
          <w:iCs/>
          <w:lang w:bidi="ar"/>
        </w:rPr>
        <w:tab/>
      </w:r>
      <w:r>
        <w:rPr>
          <w:iCs/>
          <w:lang w:bidi="ar"/>
        </w:rPr>
        <w:tab/>
      </w:r>
    </w:p>
    <w:p w14:paraId="1779D60B" w14:textId="65E57720" w:rsidR="00057299" w:rsidRDefault="00057299" w:rsidP="00B343BB">
      <w:pPr>
        <w:spacing w:before="0" w:beforeAutospacing="0" w:after="0" w:afterAutospacing="0" w:line="240" w:lineRule="auto"/>
        <w:jc w:val="both"/>
        <w:outlineLvl w:val="9"/>
        <w:rPr>
          <w:iCs/>
          <w:szCs w:val="24"/>
        </w:rPr>
      </w:pPr>
      <w:r w:rsidRPr="00E0484B">
        <w:rPr>
          <w:rFonts w:eastAsia="Times New Roman"/>
          <w:noProof/>
          <w:szCs w:val="24"/>
        </w:rPr>
        <w:lastRenderedPageBreak/>
        <w:drawing>
          <wp:inline distT="0" distB="0" distL="114300" distR="114300" wp14:anchorId="4149E506" wp14:editId="4AB1BC7F">
            <wp:extent cx="2048821" cy="1532238"/>
            <wp:effectExtent l="0" t="0" r="889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
                    <pic:cNvPicPr>
                      <a:picLocks noChangeAspect="1"/>
                    </pic:cNvPicPr>
                  </pic:nvPicPr>
                  <pic:blipFill>
                    <a:blip r:embed="rId14"/>
                    <a:srcRect t="6542"/>
                    <a:stretch>
                      <a:fillRect/>
                    </a:stretch>
                  </pic:blipFill>
                  <pic:spPr>
                    <a:xfrm>
                      <a:off x="0" y="0"/>
                      <a:ext cx="2070482" cy="1548438"/>
                    </a:xfrm>
                    <a:prstGeom prst="rect">
                      <a:avLst/>
                    </a:prstGeom>
                    <a:noFill/>
                    <a:ln>
                      <a:noFill/>
                    </a:ln>
                  </pic:spPr>
                </pic:pic>
              </a:graphicData>
            </a:graphic>
          </wp:inline>
        </w:drawing>
      </w:r>
      <w:r w:rsidR="00B15773">
        <w:rPr>
          <w:iCs/>
          <w:szCs w:val="24"/>
        </w:rPr>
        <w:t xml:space="preserve">  </w:t>
      </w:r>
      <w:r w:rsidR="00B15773" w:rsidRPr="00E0484B">
        <w:rPr>
          <w:rFonts w:eastAsia="Times New Roman"/>
          <w:noProof/>
          <w:szCs w:val="24"/>
        </w:rPr>
        <w:drawing>
          <wp:inline distT="0" distB="0" distL="114300" distR="114300" wp14:anchorId="2F17F991" wp14:editId="7258D507">
            <wp:extent cx="2628849" cy="1527296"/>
            <wp:effectExtent l="0" t="0" r="635"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3"/>
                    <pic:cNvPicPr>
                      <a:picLocks noChangeAspect="1"/>
                    </pic:cNvPicPr>
                  </pic:nvPicPr>
                  <pic:blipFill>
                    <a:blip r:embed="rId15"/>
                    <a:srcRect t="6489"/>
                    <a:stretch>
                      <a:fillRect/>
                    </a:stretch>
                  </pic:blipFill>
                  <pic:spPr>
                    <a:xfrm>
                      <a:off x="0" y="0"/>
                      <a:ext cx="2694184" cy="1565254"/>
                    </a:xfrm>
                    <a:prstGeom prst="rect">
                      <a:avLst/>
                    </a:prstGeom>
                    <a:noFill/>
                    <a:ln>
                      <a:noFill/>
                    </a:ln>
                  </pic:spPr>
                </pic:pic>
              </a:graphicData>
            </a:graphic>
          </wp:inline>
        </w:drawing>
      </w:r>
    </w:p>
    <w:p w14:paraId="0AEBED74" w14:textId="4B220CE7" w:rsidR="00057299" w:rsidRPr="00B15773" w:rsidRDefault="00057299" w:rsidP="00B15773">
      <w:pPr>
        <w:spacing w:before="0" w:beforeAutospacing="0" w:after="0" w:afterAutospacing="0" w:line="240" w:lineRule="auto"/>
        <w:jc w:val="both"/>
        <w:outlineLvl w:val="9"/>
        <w:rPr>
          <w:iCs/>
          <w:sz w:val="12"/>
          <w:szCs w:val="12"/>
        </w:rPr>
      </w:pPr>
      <w:r w:rsidRPr="00B15773">
        <w:rPr>
          <w:rStyle w:val="Strong"/>
          <w:b w:val="0"/>
          <w:bCs w:val="0"/>
          <w:iCs/>
          <w:sz w:val="12"/>
          <w:szCs w:val="12"/>
        </w:rPr>
        <w:t>Figure 1</w:t>
      </w:r>
      <w:r w:rsidR="00946E4E">
        <w:rPr>
          <w:rStyle w:val="Strong"/>
          <w:b w:val="0"/>
          <w:bCs w:val="0"/>
          <w:iCs/>
          <w:sz w:val="12"/>
          <w:szCs w:val="12"/>
        </w:rPr>
        <w:t>1</w:t>
      </w:r>
      <w:r w:rsidRPr="00B15773">
        <w:rPr>
          <w:b/>
          <w:bCs/>
          <w:iCs/>
          <w:sz w:val="12"/>
          <w:szCs w:val="12"/>
        </w:rPr>
        <w:t xml:space="preserve"> </w:t>
      </w:r>
      <w:r w:rsidRPr="00B15773">
        <w:rPr>
          <w:iCs/>
          <w:sz w:val="12"/>
          <w:szCs w:val="12"/>
        </w:rPr>
        <w:t xml:space="preserve">Distribution of </w:t>
      </w:r>
      <w:r w:rsidRPr="00B15773">
        <w:rPr>
          <w:rStyle w:val="Emphasis"/>
          <w:sz w:val="12"/>
          <w:szCs w:val="12"/>
        </w:rPr>
        <w:t>Chlamydia trachomatis</w:t>
      </w:r>
      <w:r w:rsidRPr="00B15773">
        <w:rPr>
          <w:iCs/>
          <w:sz w:val="12"/>
          <w:szCs w:val="12"/>
        </w:rPr>
        <w:t xml:space="preserve"> RDT results among respondents</w:t>
      </w:r>
      <w:r w:rsidRPr="00B15773">
        <w:rPr>
          <w:iCs/>
          <w:sz w:val="14"/>
          <w:szCs w:val="14"/>
        </w:rPr>
        <w:t xml:space="preserve">. </w:t>
      </w:r>
      <w:r w:rsidRPr="00B15773">
        <w:rPr>
          <w:rStyle w:val="Strong"/>
          <w:b w:val="0"/>
          <w:bCs w:val="0"/>
          <w:iCs/>
          <w:sz w:val="12"/>
          <w:szCs w:val="12"/>
        </w:rPr>
        <w:t>Figure 13</w:t>
      </w:r>
      <w:r w:rsidRPr="00B15773">
        <w:rPr>
          <w:rStyle w:val="Strong"/>
          <w:iCs/>
          <w:sz w:val="12"/>
          <w:szCs w:val="12"/>
        </w:rPr>
        <w:t>.</w:t>
      </w:r>
      <w:r w:rsidRPr="00B15773">
        <w:rPr>
          <w:iCs/>
          <w:sz w:val="12"/>
          <w:szCs w:val="12"/>
        </w:rPr>
        <w:t xml:space="preserve"> Prevalence of </w:t>
      </w:r>
      <w:r w:rsidRPr="00B15773">
        <w:rPr>
          <w:rStyle w:val="Emphasis"/>
          <w:sz w:val="12"/>
          <w:szCs w:val="12"/>
        </w:rPr>
        <w:t>Chlamydia trachomatis</w:t>
      </w:r>
      <w:r w:rsidRPr="00B15773">
        <w:rPr>
          <w:iCs/>
          <w:sz w:val="12"/>
          <w:szCs w:val="12"/>
        </w:rPr>
        <w:t xml:space="preserve"> infection among female students. </w:t>
      </w:r>
    </w:p>
    <w:p w14:paraId="0F9742B7" w14:textId="77777777" w:rsidR="00652D2B" w:rsidRPr="00B15773" w:rsidRDefault="00652D2B" w:rsidP="00F61569">
      <w:pPr>
        <w:pStyle w:val="NormalWeb"/>
        <w:spacing w:beforeAutospacing="0" w:afterAutospacing="0"/>
        <w:jc w:val="both"/>
        <w:rPr>
          <w:b/>
          <w:bCs/>
          <w:sz w:val="12"/>
          <w:szCs w:val="12"/>
        </w:rPr>
      </w:pPr>
      <w:bookmarkStart w:id="37" w:name="_Toc20048"/>
      <w:bookmarkStart w:id="38" w:name="_Toc22614"/>
    </w:p>
    <w:p w14:paraId="63DE67D8" w14:textId="5BC788B9" w:rsidR="00474037" w:rsidRDefault="00474037" w:rsidP="00474037">
      <w:pPr>
        <w:pStyle w:val="NormalWeb"/>
        <w:spacing w:beforeAutospacing="0" w:afterAutospacing="0"/>
        <w:jc w:val="both"/>
        <w:rPr>
          <w:b/>
          <w:bCs/>
        </w:rPr>
      </w:pPr>
      <w:r w:rsidRPr="00474037">
        <w:rPr>
          <w:b/>
          <w:bCs/>
        </w:rPr>
        <w:t>Discussion</w:t>
      </w:r>
    </w:p>
    <w:p w14:paraId="6642ADB9" w14:textId="317D8F35" w:rsidR="00474037" w:rsidRPr="00BA465A" w:rsidRDefault="00DD17B6" w:rsidP="00474037">
      <w:pPr>
        <w:pStyle w:val="NormalWeb"/>
        <w:spacing w:beforeAutospacing="0" w:afterAutospacing="0"/>
        <w:jc w:val="both"/>
      </w:pPr>
      <w:r w:rsidRPr="00BA465A">
        <w:t xml:space="preserve">This pilot screening study evaluated the prevalence of </w:t>
      </w:r>
      <w:r w:rsidRPr="008F017A">
        <w:rPr>
          <w:i/>
          <w:iCs/>
        </w:rPr>
        <w:t>Chlamydia trachomatis</w:t>
      </w:r>
      <w:r w:rsidRPr="00BA465A">
        <w:t xml:space="preserve"> among 150 female undergraduate students at Rivers State University, Port Harcourt, using a urine-based lateral flow antigen assay. All participants tested negative, yielding a prevalence of 0.0%. While this finding may initially appear reassuring, it should be interpreted with caution. The largely asymptomatic nature of </w:t>
      </w:r>
      <w:r w:rsidRPr="008F017A">
        <w:rPr>
          <w:i/>
          <w:iCs/>
        </w:rPr>
        <w:t>C. trachomatis</w:t>
      </w:r>
      <w:r w:rsidRPr="00BA465A">
        <w:t xml:space="preserve"> infection in women, combined with the lower sensitivity of antigen-based LFAs in urine specimens, suggests that the absence of detectable infection likely reflects diagnostic limitations rather than a true absence of disease (Chernesky et al., 2014; Gaydos et al., 2013; Herbst de Cortina et al., 2016; Skidmore et al., 2008). Antigen shedding in urine is often intermittent, and low bacterial loads in asymptomatic individuals can result in false-negative outcomes </w:t>
      </w:r>
      <w:r w:rsidR="00474037" w:rsidRPr="00BA465A">
        <w:t>highlighting the challenges of community-based rapid testing in resource-limited university settings.</w:t>
      </w:r>
    </w:p>
    <w:p w14:paraId="490CCF52" w14:textId="77777777" w:rsidR="008F017A" w:rsidRDefault="00474037" w:rsidP="00474037">
      <w:pPr>
        <w:pStyle w:val="NormalWeb"/>
        <w:spacing w:beforeAutospacing="0" w:afterAutospacing="0"/>
        <w:jc w:val="both"/>
      </w:pPr>
      <w:r w:rsidRPr="00474037">
        <w:t>Comparative data from Nigeria and other African contexts indicate prevalence rates ranging from 5% to 15% among young women when more sensitive methods such as nucleic acid amplification tests (NAATs) or endocervical swabs are employed (Arinze-</w:t>
      </w:r>
      <w:proofErr w:type="spellStart"/>
      <w:r w:rsidRPr="00474037">
        <w:t>Akwari</w:t>
      </w:r>
      <w:proofErr w:type="spellEnd"/>
      <w:r w:rsidRPr="00474037">
        <w:t xml:space="preserve"> et al., 2014; Nwankwo &amp; </w:t>
      </w:r>
      <w:proofErr w:type="spellStart"/>
      <w:r w:rsidRPr="00474037">
        <w:t>Magaji</w:t>
      </w:r>
      <w:proofErr w:type="spellEnd"/>
      <w:r w:rsidRPr="00474037">
        <w:t xml:space="preserve">, 2014; </w:t>
      </w:r>
      <w:proofErr w:type="spellStart"/>
      <w:r w:rsidRPr="00474037">
        <w:t>Okoror</w:t>
      </w:r>
      <w:proofErr w:type="spellEnd"/>
      <w:r w:rsidRPr="00474037">
        <w:t xml:space="preserve"> et al., 2019). Hospital-based and molecular studies are more likely to detect low-level asymptomatic infections that antigen-based community screening may miss, while international evidence further supports the superior sensitivity of NAATs for asymptomatic populations (Otieno et al., 2015). These observations underscore that the apparent zero prevalence in this pilot study should not be interpreted as the true infection rate but rather as an indication of the feasibility and limitations of urine-based LFA screening in this population.</w:t>
      </w:r>
      <w:r w:rsidR="00DD17B6">
        <w:t xml:space="preserve"> </w:t>
      </w:r>
    </w:p>
    <w:p w14:paraId="7D9CB053" w14:textId="41F7588C" w:rsidR="00474037" w:rsidRPr="00474037" w:rsidRDefault="00DD17B6" w:rsidP="00474037">
      <w:pPr>
        <w:pStyle w:val="NormalWeb"/>
        <w:spacing w:beforeAutospacing="0" w:afterAutospacing="0"/>
        <w:jc w:val="both"/>
      </w:pPr>
      <w:r w:rsidRPr="00DD17B6">
        <w:t xml:space="preserve">The socio-demographic and behavioral characteristics of participants further suggest ongoing vulnerability to STIs despite the absence of detected infection. Although the majority reported receiving sexual education, awareness of </w:t>
      </w:r>
      <w:r w:rsidRPr="008F017A">
        <w:rPr>
          <w:i/>
          <w:iCs/>
        </w:rPr>
        <w:t>C. trachomatis</w:t>
      </w:r>
      <w:r w:rsidRPr="00DD17B6">
        <w:t xml:space="preserve"> was remarkably low, consistent with earlier Nigerian studies demonstrating poor infection-specific knowledge among young women (Bakare et al., 2002b; </w:t>
      </w:r>
      <w:proofErr w:type="spellStart"/>
      <w:r w:rsidRPr="00DD17B6">
        <w:t>Isiugo-Abanihe</w:t>
      </w:r>
      <w:proofErr w:type="spellEnd"/>
      <w:r w:rsidRPr="00DD17B6">
        <w:t xml:space="preserve"> et al., 2015; </w:t>
      </w:r>
      <w:proofErr w:type="spellStart"/>
      <w:r w:rsidRPr="00DD17B6">
        <w:t>Wariso</w:t>
      </w:r>
      <w:proofErr w:type="spellEnd"/>
      <w:r w:rsidRPr="00DD17B6">
        <w:t xml:space="preserve"> &amp; </w:t>
      </w:r>
      <w:proofErr w:type="spellStart"/>
      <w:r w:rsidRPr="00DD17B6">
        <w:t>Odigie</w:t>
      </w:r>
      <w:proofErr w:type="spellEnd"/>
      <w:r w:rsidRPr="00DD17B6">
        <w:t>, 2016). The presence of sexual risk behaviors, including unprotected intercourse and low routine STI testing, highlights the disconnect between general sexual health education and actionable STI prevention, reinforcing the need for targeted interventions within university health programs.</w:t>
      </w:r>
      <w:r>
        <w:t xml:space="preserve"> </w:t>
      </w:r>
      <w:r w:rsidR="00474037" w:rsidRPr="00474037">
        <w:t xml:space="preserve">The methodological limitations inherent in LFAs must be emphasized. Pooled sensitivities of antigen-based rapid tests range from 60–70% compared to NAATs, with reduced performance in urine samples due to low organism burden and intermittent antigen shedding (Chernesky et al., 2014; Gaydos et al., 2013; Herbst de Cortina et al., 2016). Consequently, false negatives are a significant concern in asymptomatic, community-based populations. Resource constraints, including the lack of molecular laboratories, high reagent costs, and limited trained personnel, further restrict the routine use of </w:t>
      </w:r>
      <w:r w:rsidR="00474037" w:rsidRPr="00474037">
        <w:lastRenderedPageBreak/>
        <w:t>NAATs in university health centers (</w:t>
      </w:r>
      <w:proofErr w:type="spellStart"/>
      <w:r w:rsidR="00474037" w:rsidRPr="00474037">
        <w:t>Okoror</w:t>
      </w:r>
      <w:proofErr w:type="spellEnd"/>
      <w:r w:rsidR="00474037" w:rsidRPr="00474037">
        <w:t xml:space="preserve"> et al., 2019; </w:t>
      </w:r>
      <w:proofErr w:type="spellStart"/>
      <w:r w:rsidR="00474037" w:rsidRPr="00474037">
        <w:t>Opone</w:t>
      </w:r>
      <w:proofErr w:type="spellEnd"/>
      <w:r w:rsidR="00474037" w:rsidRPr="00474037">
        <w:t xml:space="preserve"> et al., 2020). These factors underscore the need to interpret the pilot findings in the context of diagnostic limitations rather than true epidemiologic absence.</w:t>
      </w:r>
    </w:p>
    <w:p w14:paraId="57337D49" w14:textId="6DF528B4" w:rsidR="00474037" w:rsidRPr="00474037" w:rsidRDefault="00474037" w:rsidP="00474037">
      <w:pPr>
        <w:pStyle w:val="NormalWeb"/>
        <w:spacing w:beforeAutospacing="0" w:afterAutospacing="0"/>
        <w:jc w:val="both"/>
      </w:pPr>
      <w:r w:rsidRPr="00474037">
        <w:t xml:space="preserve">Despite the </w:t>
      </w:r>
      <w:r w:rsidR="008A4261" w:rsidRPr="00474037">
        <w:t>zero-prevalence</w:t>
      </w:r>
      <w:r w:rsidRPr="00474037">
        <w:t xml:space="preserve"> observed, this study provides valuable insights into the feasibility of rapid screening in university settings, identifies persistent gaps in infection-specific awareness, and demonstrates the need for integrated STI prevention strategies. The study highlights that even in populations with high exposure to general sexual education, targeted knowledge and accessible screening remain insufficient. Future large-scale studies should incorporate NAAT validation, expand to include male partners, and explore cost-effective, routine screening algorithms to improve detection among asymptomatic individuals while simultaneously reinforcing sexual health education initiatives.</w:t>
      </w:r>
    </w:p>
    <w:p w14:paraId="6D5A403E" w14:textId="77777777" w:rsidR="00474037" w:rsidRPr="00474037" w:rsidRDefault="00474037" w:rsidP="00474037">
      <w:pPr>
        <w:pStyle w:val="NormalWeb"/>
        <w:spacing w:beforeAutospacing="0" w:afterAutospacing="0"/>
        <w:jc w:val="both"/>
        <w:rPr>
          <w:b/>
          <w:bCs/>
        </w:rPr>
      </w:pPr>
      <w:r w:rsidRPr="00474037">
        <w:rPr>
          <w:b/>
          <w:bCs/>
        </w:rPr>
        <w:t>Conclusion</w:t>
      </w:r>
    </w:p>
    <w:p w14:paraId="7E84F173" w14:textId="20EC5975" w:rsidR="00474037" w:rsidRDefault="00474037" w:rsidP="00474037">
      <w:pPr>
        <w:pStyle w:val="NormalWeb"/>
        <w:spacing w:beforeAutospacing="0" w:afterAutospacing="0"/>
        <w:jc w:val="both"/>
      </w:pPr>
      <w:r w:rsidRPr="00474037">
        <w:t xml:space="preserve">This pilot study found no detectable </w:t>
      </w:r>
      <w:r w:rsidRPr="00474037">
        <w:rPr>
          <w:i/>
          <w:iCs/>
        </w:rPr>
        <w:t>Chlamydia trachomatis</w:t>
      </w:r>
      <w:r w:rsidRPr="00474037">
        <w:t xml:space="preserve"> infection among female undergraduates using a urine-based lateral flow assay. While the findings suggest a low apparent prevalence, the diagnostic limitations of LFAs in asymptomatic populations likely contribute to </w:t>
      </w:r>
      <w:r w:rsidR="00563BCA" w:rsidRPr="00474037">
        <w:t>under detection</w:t>
      </w:r>
      <w:r w:rsidRPr="00474037">
        <w:t xml:space="preserve">. High exposure to general sexual education did not translate into infection-specific awareness, and sexual risk behaviors, including unprotected intercourse, were present among participants. These results emphasize the importance of enhancing infection-specific sexual health education, integrating accessible screening tools like LFAs into university health services, and expanding access to more sensitive diagnostic approaches to enable early detection, timely management, and prevention of </w:t>
      </w:r>
      <w:r w:rsidRPr="00474037">
        <w:rPr>
          <w:i/>
          <w:iCs/>
        </w:rPr>
        <w:t>C. trachomatis</w:t>
      </w:r>
      <w:r w:rsidRPr="00474037">
        <w:t xml:space="preserve"> infections.</w:t>
      </w:r>
    </w:p>
    <w:p w14:paraId="145A3D20" w14:textId="77777777" w:rsidR="00474037" w:rsidRPr="00474037" w:rsidRDefault="00474037" w:rsidP="00474037">
      <w:pPr>
        <w:pStyle w:val="NormalWeb"/>
        <w:spacing w:beforeAutospacing="0" w:afterAutospacing="0"/>
        <w:jc w:val="both"/>
      </w:pPr>
    </w:p>
    <w:p w14:paraId="4D2FBF04" w14:textId="77777777" w:rsidR="00474037" w:rsidRPr="00474037" w:rsidRDefault="00474037" w:rsidP="00474037">
      <w:pPr>
        <w:pStyle w:val="NormalWeb"/>
        <w:spacing w:beforeAutospacing="0" w:afterAutospacing="0"/>
        <w:jc w:val="both"/>
        <w:rPr>
          <w:b/>
          <w:bCs/>
        </w:rPr>
      </w:pPr>
      <w:r w:rsidRPr="00474037">
        <w:rPr>
          <w:b/>
          <w:bCs/>
        </w:rPr>
        <w:t>Recommendations</w:t>
      </w:r>
    </w:p>
    <w:p w14:paraId="3BBFC835" w14:textId="7150B5F8" w:rsidR="00474037" w:rsidRDefault="00474037" w:rsidP="00474037">
      <w:pPr>
        <w:pStyle w:val="NormalWeb"/>
        <w:spacing w:beforeAutospacing="0" w:afterAutospacing="0"/>
        <w:jc w:val="both"/>
      </w:pPr>
      <w:r w:rsidRPr="00474037">
        <w:t xml:space="preserve">University sexual health programs should incorporate targeted content on </w:t>
      </w:r>
      <w:r w:rsidRPr="00474037">
        <w:rPr>
          <w:i/>
          <w:iCs/>
        </w:rPr>
        <w:t>Chlamydia trachomatis</w:t>
      </w:r>
      <w:r w:rsidRPr="00474037">
        <w:t xml:space="preserve"> and other sexually transmitted infections to bridge knowledge gaps and promote informed health behaviors. Screening strategies should adopt a tiered approach, using LFAs for preliminary detection complemented by confirmatory NAATs for high-risk individuals. Investments in molecular diagnostic infrastructure, laboratory capacity, and personnel training can enhance detection and monitoring of asymptomatic infections. Behavioral interventions promoting consistent condom use, awareness and uptake of contraception, and routine STI check-ups should be scaled up. Additionally, future research should involve large-scale, multicenter studies to accurately estimate prevalence and identify associated risk factors, including studies incorporating male partners and validated molecular diagnostics to optimize STI control in university settings.</w:t>
      </w:r>
    </w:p>
    <w:p w14:paraId="4061E5D4" w14:textId="06BABDE0" w:rsidR="001F3DA2" w:rsidRDefault="001F3DA2" w:rsidP="00474037">
      <w:pPr>
        <w:pStyle w:val="NormalWeb"/>
        <w:spacing w:beforeAutospacing="0" w:afterAutospacing="0"/>
        <w:jc w:val="both"/>
      </w:pPr>
    </w:p>
    <w:p w14:paraId="49573A0A" w14:textId="77777777" w:rsidR="001F3DA2" w:rsidRPr="001F3DA2" w:rsidRDefault="001F3DA2" w:rsidP="001F3DA2">
      <w:pPr>
        <w:pStyle w:val="NormalWeb"/>
        <w:spacing w:beforeAutospacing="0" w:afterAutospacing="0"/>
        <w:jc w:val="both"/>
        <w:rPr>
          <w:b/>
        </w:rPr>
      </w:pPr>
      <w:r w:rsidRPr="001F3DA2">
        <w:rPr>
          <w:b/>
        </w:rPr>
        <w:t xml:space="preserve">Consent </w:t>
      </w:r>
    </w:p>
    <w:p w14:paraId="6FA6BC96" w14:textId="53D3BBDE" w:rsidR="001F3DA2" w:rsidRDefault="001F3DA2" w:rsidP="001F3DA2">
      <w:pPr>
        <w:pStyle w:val="NormalWeb"/>
        <w:spacing w:beforeAutospacing="0" w:afterAutospacing="0"/>
        <w:jc w:val="both"/>
      </w:pPr>
      <w:r>
        <w:t>As per international standards or university standards, Participants’ written consent has been collected and preserved by the author(s).</w:t>
      </w:r>
    </w:p>
    <w:p w14:paraId="30B50F55" w14:textId="77777777" w:rsidR="001F3DA2" w:rsidRDefault="001F3DA2" w:rsidP="001F3DA2">
      <w:pPr>
        <w:pStyle w:val="NormalWeb"/>
        <w:spacing w:beforeAutospacing="0" w:afterAutospacing="0"/>
        <w:jc w:val="both"/>
      </w:pPr>
    </w:p>
    <w:p w14:paraId="7CDB10A2" w14:textId="68C034C3" w:rsidR="001F3DA2" w:rsidRPr="001F3DA2" w:rsidRDefault="001F3DA2" w:rsidP="001F3DA2">
      <w:pPr>
        <w:pStyle w:val="NormalWeb"/>
        <w:spacing w:beforeAutospacing="0" w:afterAutospacing="0"/>
        <w:jc w:val="both"/>
        <w:rPr>
          <w:b/>
        </w:rPr>
      </w:pPr>
      <w:r w:rsidRPr="001F3DA2">
        <w:rPr>
          <w:b/>
        </w:rPr>
        <w:t>Ethical approval</w:t>
      </w:r>
    </w:p>
    <w:p w14:paraId="4951F8BD" w14:textId="77777777" w:rsidR="001F3DA2" w:rsidRDefault="001F3DA2" w:rsidP="001F3DA2">
      <w:pPr>
        <w:pStyle w:val="NormalWeb"/>
        <w:spacing w:beforeAutospacing="0" w:afterAutospacing="0"/>
        <w:jc w:val="both"/>
      </w:pPr>
    </w:p>
    <w:p w14:paraId="4512F545" w14:textId="25403276" w:rsidR="001F3DA2" w:rsidRPr="00474037" w:rsidRDefault="001F3DA2" w:rsidP="001F3DA2">
      <w:pPr>
        <w:pStyle w:val="NormalWeb"/>
        <w:spacing w:beforeAutospacing="0" w:afterAutospacing="0"/>
        <w:jc w:val="both"/>
      </w:pPr>
      <w:r>
        <w:t>Ethical approval was obtained from the Rivers State Ministry of Health Ethics Committee. Participation was voluntary, with written informed consent obtained from all participants. Confidentiality was maintained using unique codes. Students testing positive received post-test counseling and referral for confirmatory testing and treatment. Non-invasive sampling minimized participant risk.</w:t>
      </w:r>
    </w:p>
    <w:p w14:paraId="2014E7CA" w14:textId="5D0D0101" w:rsidR="00376FD2" w:rsidRPr="00474037" w:rsidRDefault="00376FD2" w:rsidP="00B343BB">
      <w:pPr>
        <w:pStyle w:val="NormalWeb"/>
        <w:spacing w:beforeAutospacing="0" w:afterAutospacing="0"/>
        <w:jc w:val="both"/>
      </w:pPr>
    </w:p>
    <w:p w14:paraId="7A261F77" w14:textId="77777777" w:rsidR="00563BCA" w:rsidRDefault="00376FD2" w:rsidP="00162AC7">
      <w:pPr>
        <w:spacing w:before="0" w:beforeAutospacing="0" w:line="240" w:lineRule="auto"/>
        <w:rPr>
          <w:szCs w:val="24"/>
        </w:rPr>
      </w:pPr>
      <w:bookmarkStart w:id="39" w:name="_Hlk190852809"/>
      <w:r w:rsidRPr="00162AC7">
        <w:rPr>
          <w:szCs w:val="24"/>
        </w:rPr>
        <w:lastRenderedPageBreak/>
        <w:t>Disclaimer (Artificial intelligence)</w:t>
      </w:r>
    </w:p>
    <w:p w14:paraId="56C106F5" w14:textId="184EDF44" w:rsidR="00561507" w:rsidRPr="0051360F" w:rsidRDefault="00376FD2" w:rsidP="0051360F">
      <w:pPr>
        <w:spacing w:before="0" w:beforeAutospacing="0" w:line="240" w:lineRule="auto"/>
        <w:rPr>
          <w:szCs w:val="24"/>
        </w:rPr>
      </w:pPr>
      <w:r w:rsidRPr="00162AC7">
        <w:rPr>
          <w:szCs w:val="24"/>
        </w:rPr>
        <w:t xml:space="preserve">Author(s) hereby declare that NO generative AI technologies such as Large Language Models (ChatGPT, COPILOT, etc.) and text-to-image generators have been used during the writing or editing of this manuscript. </w:t>
      </w:r>
      <w:bookmarkEnd w:id="39"/>
    </w:p>
    <w:bookmarkEnd w:id="37"/>
    <w:bookmarkEnd w:id="38"/>
    <w:p w14:paraId="6567CEDA" w14:textId="4B8A2DF6" w:rsidR="000F08D3" w:rsidRPr="000F08D3" w:rsidRDefault="000F08D3" w:rsidP="000F08D3">
      <w:pPr>
        <w:pStyle w:val="NormalWeb"/>
        <w:spacing w:beforeAutospacing="0" w:afterAutospacing="0"/>
        <w:rPr>
          <w:b/>
          <w:bCs/>
        </w:rPr>
      </w:pPr>
      <w:r w:rsidRPr="000F08D3">
        <w:rPr>
          <w:b/>
          <w:bCs/>
        </w:rPr>
        <w:t>REFERENCES</w:t>
      </w:r>
    </w:p>
    <w:p w14:paraId="03900D60" w14:textId="3C9306A7" w:rsidR="00BA0DDE" w:rsidRPr="000F08D3" w:rsidRDefault="000F08D3" w:rsidP="00946E4E">
      <w:pPr>
        <w:pStyle w:val="NormalWeb"/>
        <w:numPr>
          <w:ilvl w:val="0"/>
          <w:numId w:val="25"/>
        </w:numPr>
        <w:spacing w:beforeAutospacing="0" w:afterAutospacing="0"/>
      </w:pPr>
      <w:r w:rsidRPr="000F08D3">
        <w:t xml:space="preserve">Adesiji, Y. O., Adekanle, D. A., &amp; </w:t>
      </w:r>
      <w:proofErr w:type="spellStart"/>
      <w:r w:rsidRPr="000F08D3">
        <w:t>Oyelese</w:t>
      </w:r>
      <w:proofErr w:type="spellEnd"/>
      <w:r w:rsidRPr="000F08D3">
        <w:t xml:space="preserve">, A. O. (2018). Prevalence of </w:t>
      </w:r>
      <w:r w:rsidRPr="000F08D3">
        <w:rPr>
          <w:i/>
          <w:iCs/>
        </w:rPr>
        <w:t>Chlamydia trachomatis</w:t>
      </w:r>
      <w:r w:rsidRPr="000F08D3">
        <w:t xml:space="preserve"> among women in Nigeria. </w:t>
      </w:r>
      <w:r w:rsidRPr="000F08D3">
        <w:rPr>
          <w:i/>
          <w:iCs/>
        </w:rPr>
        <w:t>African Journal of Microbiology Research, 12</w:t>
      </w:r>
      <w:r w:rsidRPr="000F08D3">
        <w:t>(10), 234–240.</w:t>
      </w:r>
    </w:p>
    <w:p w14:paraId="34F40B78" w14:textId="77777777" w:rsidR="000F08D3" w:rsidRPr="000F08D3" w:rsidRDefault="000F08D3" w:rsidP="00946E4E">
      <w:pPr>
        <w:pStyle w:val="NormalWeb"/>
        <w:numPr>
          <w:ilvl w:val="0"/>
          <w:numId w:val="25"/>
        </w:numPr>
        <w:spacing w:beforeAutospacing="0" w:afterAutospacing="0"/>
      </w:pPr>
      <w:r w:rsidRPr="000F08D3">
        <w:t xml:space="preserve">Adesiji, Y. O., Aina, O. F., &amp; Akinyemi, O. O. (2018). Pelvic inflammatory disease and its reproductive health consequences among Nigerian women. </w:t>
      </w:r>
      <w:r w:rsidRPr="000F08D3">
        <w:rPr>
          <w:i/>
          <w:iCs/>
        </w:rPr>
        <w:t>African Journal of Clinical and Experimental Microbiology, 19</w:t>
      </w:r>
      <w:r w:rsidRPr="000F08D3">
        <w:t>(2), 105–112.</w:t>
      </w:r>
    </w:p>
    <w:p w14:paraId="1168C72C" w14:textId="77777777" w:rsidR="000F08D3" w:rsidRPr="000F08D3" w:rsidRDefault="000F08D3" w:rsidP="00946E4E">
      <w:pPr>
        <w:pStyle w:val="NormalWeb"/>
        <w:numPr>
          <w:ilvl w:val="0"/>
          <w:numId w:val="25"/>
        </w:numPr>
        <w:spacing w:beforeAutospacing="0" w:afterAutospacing="0"/>
      </w:pPr>
      <w:r w:rsidRPr="000F08D3">
        <w:t>Arinze-</w:t>
      </w:r>
      <w:proofErr w:type="spellStart"/>
      <w:r w:rsidRPr="000F08D3">
        <w:t>Akwari</w:t>
      </w:r>
      <w:proofErr w:type="spellEnd"/>
      <w:r w:rsidRPr="000F08D3">
        <w:t xml:space="preserve">, O. C., </w:t>
      </w:r>
      <w:proofErr w:type="spellStart"/>
      <w:r w:rsidRPr="000F08D3">
        <w:t>Nwadioha</w:t>
      </w:r>
      <w:proofErr w:type="spellEnd"/>
      <w:r w:rsidRPr="000F08D3">
        <w:t xml:space="preserve">, S. I., &amp; Nwokorie, F. O. (2014). Prevalence of </w:t>
      </w:r>
      <w:r w:rsidRPr="000F08D3">
        <w:rPr>
          <w:i/>
          <w:iCs/>
        </w:rPr>
        <w:t>Chlamydia trachomatis</w:t>
      </w:r>
      <w:r w:rsidRPr="000F08D3">
        <w:t xml:space="preserve"> infection among female undergraduate students in Port Harcourt, Nigeria. </w:t>
      </w:r>
      <w:r w:rsidRPr="000F08D3">
        <w:rPr>
          <w:i/>
          <w:iCs/>
        </w:rPr>
        <w:t>Nigerian Journal of Clinical Practice, 17</w:t>
      </w:r>
      <w:r w:rsidRPr="000F08D3">
        <w:t xml:space="preserve">(3), 321–326. </w:t>
      </w:r>
      <w:hyperlink r:id="rId16" w:tgtFrame="_new" w:history="1">
        <w:r w:rsidRPr="000F08D3">
          <w:rPr>
            <w:rStyle w:val="Hyperlink"/>
          </w:rPr>
          <w:t>https://doi.org/10.4103/1119-3077.130238</w:t>
        </w:r>
      </w:hyperlink>
    </w:p>
    <w:p w14:paraId="7BADAEE2" w14:textId="77777777" w:rsidR="000F08D3" w:rsidRPr="000F08D3" w:rsidRDefault="000F08D3" w:rsidP="00946E4E">
      <w:pPr>
        <w:pStyle w:val="NormalWeb"/>
        <w:numPr>
          <w:ilvl w:val="0"/>
          <w:numId w:val="25"/>
        </w:numPr>
        <w:spacing w:beforeAutospacing="0" w:afterAutospacing="0"/>
      </w:pPr>
      <w:r w:rsidRPr="000F08D3">
        <w:t xml:space="preserve">Bakare, R. A., Oni, A. A., Umar, U. S., Adewole, I. F., </w:t>
      </w:r>
      <w:proofErr w:type="spellStart"/>
      <w:r w:rsidRPr="000F08D3">
        <w:t>Shokunbi</w:t>
      </w:r>
      <w:proofErr w:type="spellEnd"/>
      <w:r w:rsidRPr="000F08D3">
        <w:t xml:space="preserve">, W. A., </w:t>
      </w:r>
      <w:proofErr w:type="spellStart"/>
      <w:r w:rsidRPr="000F08D3">
        <w:t>Fayemiwo</w:t>
      </w:r>
      <w:proofErr w:type="spellEnd"/>
      <w:r w:rsidRPr="000F08D3">
        <w:t xml:space="preserve">, S. A., &amp; </w:t>
      </w:r>
      <w:proofErr w:type="spellStart"/>
      <w:r w:rsidRPr="000F08D3">
        <w:t>Fasina</w:t>
      </w:r>
      <w:proofErr w:type="spellEnd"/>
      <w:r w:rsidRPr="000F08D3">
        <w:t xml:space="preserve">, N. A. (2002). Pattern of sexually transmitted diseases among commercial sex workers in Ibadan, Nigeria. </w:t>
      </w:r>
      <w:r w:rsidRPr="000F08D3">
        <w:rPr>
          <w:i/>
          <w:iCs/>
        </w:rPr>
        <w:t>African Journal of Medicine and Medical Sciences, 31</w:t>
      </w:r>
      <w:r w:rsidRPr="000F08D3">
        <w:t>(3), 243–247.</w:t>
      </w:r>
    </w:p>
    <w:p w14:paraId="511B1461" w14:textId="77777777" w:rsidR="000F08D3" w:rsidRPr="000F08D3" w:rsidRDefault="000F08D3" w:rsidP="00946E4E">
      <w:pPr>
        <w:pStyle w:val="NormalWeb"/>
        <w:numPr>
          <w:ilvl w:val="0"/>
          <w:numId w:val="25"/>
        </w:numPr>
        <w:spacing w:beforeAutospacing="0" w:afterAutospacing="0"/>
      </w:pPr>
      <w:r w:rsidRPr="000F08D3">
        <w:t xml:space="preserve">Bakare, R. A., Oni, A. A., Umar, U. S., Adewole, I. F., &amp; Shittu, A. O. (2002). Sexual </w:t>
      </w:r>
      <w:proofErr w:type="spellStart"/>
      <w:r w:rsidRPr="000F08D3">
        <w:t>behaviour</w:t>
      </w:r>
      <w:proofErr w:type="spellEnd"/>
      <w:r w:rsidRPr="000F08D3">
        <w:t xml:space="preserve"> and condom use among female students in a Nigerian tertiary institution. </w:t>
      </w:r>
      <w:r w:rsidRPr="000F08D3">
        <w:rPr>
          <w:i/>
          <w:iCs/>
        </w:rPr>
        <w:t>African Journal of Reproductive Health, 6</w:t>
      </w:r>
      <w:r w:rsidRPr="000F08D3">
        <w:t xml:space="preserve">(2), 53–59. </w:t>
      </w:r>
      <w:hyperlink r:id="rId17" w:tgtFrame="_new" w:history="1">
        <w:r w:rsidRPr="000F08D3">
          <w:rPr>
            <w:rStyle w:val="Hyperlink"/>
          </w:rPr>
          <w:t>https://doi.org/10.2307/3583133</w:t>
        </w:r>
      </w:hyperlink>
    </w:p>
    <w:p w14:paraId="16E9A5E2" w14:textId="77777777" w:rsidR="000F08D3" w:rsidRPr="000F08D3" w:rsidRDefault="000F08D3" w:rsidP="00946E4E">
      <w:pPr>
        <w:pStyle w:val="NormalWeb"/>
        <w:numPr>
          <w:ilvl w:val="0"/>
          <w:numId w:val="25"/>
        </w:numPr>
        <w:spacing w:beforeAutospacing="0" w:afterAutospacing="0"/>
      </w:pPr>
      <w:r w:rsidRPr="000F08D3">
        <w:t xml:space="preserve">Chernesky, M. A., Jang, D., Gilchrist, J., Hatchette, T., Poirier, A., </w:t>
      </w:r>
      <w:proofErr w:type="spellStart"/>
      <w:r w:rsidRPr="000F08D3">
        <w:t>Flandin</w:t>
      </w:r>
      <w:proofErr w:type="spellEnd"/>
      <w:r w:rsidRPr="000F08D3">
        <w:t xml:space="preserve">, J. F., Smieja, M., &amp; Ratnam, S. (2014). Head-to-head comparison of second-generation nucleic acid amplification tests for detection of </w:t>
      </w:r>
      <w:r w:rsidRPr="000F08D3">
        <w:rPr>
          <w:i/>
          <w:iCs/>
        </w:rPr>
        <w:t>Chlamydia trachomatis</w:t>
      </w:r>
      <w:r w:rsidRPr="000F08D3">
        <w:t xml:space="preserve"> and </w:t>
      </w:r>
      <w:r w:rsidRPr="000F08D3">
        <w:rPr>
          <w:i/>
          <w:iCs/>
        </w:rPr>
        <w:t>Neisseria gonorrhoeae</w:t>
      </w:r>
      <w:r w:rsidRPr="000F08D3">
        <w:t xml:space="preserve">. </w:t>
      </w:r>
      <w:r w:rsidRPr="000F08D3">
        <w:rPr>
          <w:i/>
          <w:iCs/>
        </w:rPr>
        <w:t>Journal of Clinical Microbiology, 52</w:t>
      </w:r>
      <w:r w:rsidRPr="000F08D3">
        <w:t xml:space="preserve">(7), 2305–2310. </w:t>
      </w:r>
      <w:hyperlink r:id="rId18" w:tgtFrame="_new" w:history="1">
        <w:r w:rsidRPr="000F08D3">
          <w:rPr>
            <w:rStyle w:val="Hyperlink"/>
          </w:rPr>
          <w:t>https://doi.org/10.1128/JCM.03552-13</w:t>
        </w:r>
      </w:hyperlink>
    </w:p>
    <w:p w14:paraId="1C8D7E02" w14:textId="77777777" w:rsidR="000F08D3" w:rsidRPr="000F08D3" w:rsidRDefault="000F08D3" w:rsidP="00946E4E">
      <w:pPr>
        <w:pStyle w:val="NormalWeb"/>
        <w:numPr>
          <w:ilvl w:val="0"/>
          <w:numId w:val="25"/>
        </w:numPr>
        <w:spacing w:beforeAutospacing="0" w:afterAutospacing="0"/>
      </w:pPr>
      <w:r w:rsidRPr="000F08D3">
        <w:t xml:space="preserve">Chernesky, M. A., Jang, D., Portillo, E., et al. (2014). Self-collected versus clinician-collected swabs for the diagnosis of </w:t>
      </w:r>
      <w:r w:rsidRPr="000F08D3">
        <w:rPr>
          <w:i/>
          <w:iCs/>
        </w:rPr>
        <w:t>Chlamydia trachomatis</w:t>
      </w:r>
      <w:r w:rsidRPr="000F08D3">
        <w:t xml:space="preserve"> using NAATs. </w:t>
      </w:r>
      <w:r w:rsidRPr="000F08D3">
        <w:rPr>
          <w:i/>
          <w:iCs/>
        </w:rPr>
        <w:t>Sexually Transmitted Diseases, 41</w:t>
      </w:r>
      <w:r w:rsidRPr="000F08D3">
        <w:t xml:space="preserve">(2), 75–79. </w:t>
      </w:r>
      <w:hyperlink r:id="rId19" w:tgtFrame="_new" w:history="1">
        <w:r w:rsidRPr="000F08D3">
          <w:rPr>
            <w:rStyle w:val="Hyperlink"/>
          </w:rPr>
          <w:t>https://doi.org/10.1097/OLQ.0000000000000077</w:t>
        </w:r>
      </w:hyperlink>
    </w:p>
    <w:p w14:paraId="7B27E153" w14:textId="77777777" w:rsidR="000F08D3" w:rsidRPr="000F08D3" w:rsidRDefault="000F08D3" w:rsidP="00946E4E">
      <w:pPr>
        <w:pStyle w:val="NormalWeb"/>
        <w:numPr>
          <w:ilvl w:val="0"/>
          <w:numId w:val="25"/>
        </w:numPr>
        <w:spacing w:beforeAutospacing="0" w:afterAutospacing="0"/>
      </w:pPr>
      <w:r w:rsidRPr="000F08D3">
        <w:t xml:space="preserve">Fenton, K. A., Johnson, A. M., McManus, S., &amp; Erens, B. (2001). Measuring sexual </w:t>
      </w:r>
      <w:proofErr w:type="spellStart"/>
      <w:r w:rsidRPr="000F08D3">
        <w:t>behaviour</w:t>
      </w:r>
      <w:proofErr w:type="spellEnd"/>
      <w:r w:rsidRPr="000F08D3">
        <w:t xml:space="preserve">: Methodological challenges in survey research. </w:t>
      </w:r>
      <w:r w:rsidRPr="000F08D3">
        <w:rPr>
          <w:i/>
          <w:iCs/>
        </w:rPr>
        <w:t>Sexually Transmitted Infections, 77</w:t>
      </w:r>
      <w:r w:rsidRPr="000F08D3">
        <w:t xml:space="preserve">(2), 84–92. </w:t>
      </w:r>
      <w:hyperlink r:id="rId20" w:tgtFrame="_new" w:history="1">
        <w:r w:rsidRPr="000F08D3">
          <w:rPr>
            <w:rStyle w:val="Hyperlink"/>
          </w:rPr>
          <w:t>https://doi.org/10.1136/sti.77.2.84</w:t>
        </w:r>
      </w:hyperlink>
    </w:p>
    <w:p w14:paraId="43FC1BBF" w14:textId="77777777" w:rsidR="000F08D3" w:rsidRPr="000F08D3" w:rsidRDefault="000F08D3" w:rsidP="00946E4E">
      <w:pPr>
        <w:pStyle w:val="NormalWeb"/>
        <w:numPr>
          <w:ilvl w:val="0"/>
          <w:numId w:val="25"/>
        </w:numPr>
        <w:spacing w:beforeAutospacing="0" w:afterAutospacing="0"/>
      </w:pPr>
      <w:r w:rsidRPr="000F08D3">
        <w:t xml:space="preserve">Gaydos, C. A., Van Der Pol, B., Jett-Goheen, M., et al. (2013). Performance of the Cepheid CT/NG Xpert rapid PCR test for detection of </w:t>
      </w:r>
      <w:r w:rsidRPr="000F08D3">
        <w:rPr>
          <w:i/>
          <w:iCs/>
        </w:rPr>
        <w:t>Chlamydia trachomatis</w:t>
      </w:r>
      <w:r w:rsidRPr="000F08D3">
        <w:t xml:space="preserve"> and </w:t>
      </w:r>
      <w:r w:rsidRPr="000F08D3">
        <w:rPr>
          <w:i/>
          <w:iCs/>
        </w:rPr>
        <w:t>Neisseria gonorrhoeae</w:t>
      </w:r>
      <w:r w:rsidRPr="000F08D3">
        <w:t xml:space="preserve">. </w:t>
      </w:r>
      <w:r w:rsidRPr="000F08D3">
        <w:rPr>
          <w:i/>
          <w:iCs/>
        </w:rPr>
        <w:t>Journal of Clinical Microbiology, 51</w:t>
      </w:r>
      <w:r w:rsidRPr="000F08D3">
        <w:t xml:space="preserve">(6), 1666–1672. </w:t>
      </w:r>
      <w:hyperlink r:id="rId21" w:tgtFrame="_new" w:history="1">
        <w:r w:rsidRPr="000F08D3">
          <w:rPr>
            <w:rStyle w:val="Hyperlink"/>
          </w:rPr>
          <w:t>https://doi.org/10.1128/JCM.03461-12</w:t>
        </w:r>
      </w:hyperlink>
    </w:p>
    <w:p w14:paraId="39C14C1F" w14:textId="77777777" w:rsidR="000F08D3" w:rsidRPr="000F08D3" w:rsidRDefault="000F08D3" w:rsidP="00946E4E">
      <w:pPr>
        <w:pStyle w:val="NormalWeb"/>
        <w:numPr>
          <w:ilvl w:val="0"/>
          <w:numId w:val="25"/>
        </w:numPr>
        <w:spacing w:beforeAutospacing="0" w:afterAutospacing="0"/>
      </w:pPr>
      <w:r w:rsidRPr="000F08D3">
        <w:t xml:space="preserve">Herbst de Cortina, S., Bristow, C. C., Joseph Davey, D., &amp; Klausner, J. D. (2016). A systematic review of point-of-care testing for </w:t>
      </w:r>
      <w:r w:rsidRPr="000F08D3">
        <w:rPr>
          <w:i/>
          <w:iCs/>
        </w:rPr>
        <w:t>Chlamydia trachomatis</w:t>
      </w:r>
      <w:r w:rsidRPr="000F08D3">
        <w:t xml:space="preserve">, </w:t>
      </w:r>
      <w:r w:rsidRPr="000F08D3">
        <w:rPr>
          <w:i/>
          <w:iCs/>
        </w:rPr>
        <w:t>Neisseria gonorrhoeae</w:t>
      </w:r>
      <w:r w:rsidRPr="000F08D3">
        <w:t xml:space="preserve">, and </w:t>
      </w:r>
      <w:r w:rsidRPr="000F08D3">
        <w:rPr>
          <w:i/>
          <w:iCs/>
        </w:rPr>
        <w:t>Trichomonas vaginalis</w:t>
      </w:r>
      <w:r w:rsidRPr="000F08D3">
        <w:t xml:space="preserve">. </w:t>
      </w:r>
      <w:r w:rsidRPr="000F08D3">
        <w:rPr>
          <w:i/>
          <w:iCs/>
        </w:rPr>
        <w:t>Infectious Diseases in Obstetrics and Gynecology</w:t>
      </w:r>
      <w:r w:rsidRPr="000F08D3">
        <w:t xml:space="preserve">, 2016, Article 4386127. </w:t>
      </w:r>
      <w:hyperlink r:id="rId22" w:tgtFrame="_new" w:history="1">
        <w:r w:rsidRPr="000F08D3">
          <w:rPr>
            <w:rStyle w:val="Hyperlink"/>
          </w:rPr>
          <w:t>https://doi.org/10.1155/2016/4386127</w:t>
        </w:r>
      </w:hyperlink>
    </w:p>
    <w:p w14:paraId="47922404" w14:textId="77777777" w:rsidR="000F08D3" w:rsidRPr="000F08D3" w:rsidRDefault="000F08D3" w:rsidP="00946E4E">
      <w:pPr>
        <w:pStyle w:val="NormalWeb"/>
        <w:numPr>
          <w:ilvl w:val="0"/>
          <w:numId w:val="25"/>
        </w:numPr>
        <w:spacing w:beforeAutospacing="0" w:afterAutospacing="0"/>
      </w:pPr>
      <w:proofErr w:type="spellStart"/>
      <w:r w:rsidRPr="000F08D3">
        <w:t>Ikpeama</w:t>
      </w:r>
      <w:proofErr w:type="spellEnd"/>
      <w:r w:rsidRPr="000F08D3">
        <w:t xml:space="preserve">, C. A., Offor, U. S., </w:t>
      </w:r>
      <w:proofErr w:type="spellStart"/>
      <w:r w:rsidRPr="000F08D3">
        <w:t>Ezeama</w:t>
      </w:r>
      <w:proofErr w:type="spellEnd"/>
      <w:r w:rsidRPr="000F08D3">
        <w:t xml:space="preserve">, C. O., Maduka, I. C., &amp; </w:t>
      </w:r>
      <w:proofErr w:type="spellStart"/>
      <w:r w:rsidRPr="000F08D3">
        <w:t>Ugonabo</w:t>
      </w:r>
      <w:proofErr w:type="spellEnd"/>
      <w:r w:rsidRPr="000F08D3">
        <w:t xml:space="preserve">, M. C. (2016). Prevalence of </w:t>
      </w:r>
      <w:r w:rsidRPr="000F08D3">
        <w:rPr>
          <w:i/>
          <w:iCs/>
        </w:rPr>
        <w:t>Chlamydia trachomatis</w:t>
      </w:r>
      <w:r w:rsidRPr="000F08D3">
        <w:t xml:space="preserve"> IgG antibodies in a population of Nigerian women. </w:t>
      </w:r>
      <w:r w:rsidRPr="000F08D3">
        <w:rPr>
          <w:i/>
          <w:iCs/>
        </w:rPr>
        <w:t xml:space="preserve">Tropical Journal of Obstetrics and </w:t>
      </w:r>
      <w:proofErr w:type="spellStart"/>
      <w:r w:rsidRPr="000F08D3">
        <w:rPr>
          <w:i/>
          <w:iCs/>
        </w:rPr>
        <w:t>Gynaecology</w:t>
      </w:r>
      <w:proofErr w:type="spellEnd"/>
      <w:r w:rsidRPr="000F08D3">
        <w:rPr>
          <w:i/>
          <w:iCs/>
        </w:rPr>
        <w:t>, 33</w:t>
      </w:r>
      <w:r w:rsidRPr="000F08D3">
        <w:t>(1), 66–70.</w:t>
      </w:r>
    </w:p>
    <w:p w14:paraId="4C7C96BA" w14:textId="77777777" w:rsidR="000F08D3" w:rsidRPr="000F08D3" w:rsidRDefault="000F08D3" w:rsidP="00946E4E">
      <w:pPr>
        <w:pStyle w:val="NormalWeb"/>
        <w:numPr>
          <w:ilvl w:val="0"/>
          <w:numId w:val="25"/>
        </w:numPr>
        <w:spacing w:beforeAutospacing="0" w:afterAutospacing="0"/>
      </w:pPr>
      <w:proofErr w:type="spellStart"/>
      <w:r w:rsidRPr="000F08D3">
        <w:lastRenderedPageBreak/>
        <w:t>Isiugo-Abanihe</w:t>
      </w:r>
      <w:proofErr w:type="spellEnd"/>
      <w:r w:rsidRPr="000F08D3">
        <w:t xml:space="preserve">, U. C., Olajide, R., Nwokocha, E., </w:t>
      </w:r>
      <w:proofErr w:type="spellStart"/>
      <w:r w:rsidRPr="000F08D3">
        <w:t>Fayehun</w:t>
      </w:r>
      <w:proofErr w:type="spellEnd"/>
      <w:r w:rsidRPr="000F08D3">
        <w:t xml:space="preserve">, F., Okunola, R., &amp; Akingbade, R. (2015). Adolescent sexuality and life skills education in Nigeria. </w:t>
      </w:r>
      <w:r w:rsidRPr="000F08D3">
        <w:rPr>
          <w:i/>
          <w:iCs/>
        </w:rPr>
        <w:t>African Journal of Reproductive Health, 19</w:t>
      </w:r>
      <w:r w:rsidRPr="000F08D3">
        <w:t>(1), 101–111.</w:t>
      </w:r>
    </w:p>
    <w:p w14:paraId="62AF3F46" w14:textId="77777777" w:rsidR="000F08D3" w:rsidRPr="000F08D3" w:rsidRDefault="000F08D3" w:rsidP="00946E4E">
      <w:pPr>
        <w:pStyle w:val="NormalWeb"/>
        <w:numPr>
          <w:ilvl w:val="0"/>
          <w:numId w:val="25"/>
        </w:numPr>
        <w:spacing w:beforeAutospacing="0" w:afterAutospacing="0"/>
      </w:pPr>
      <w:proofErr w:type="spellStart"/>
      <w:r w:rsidRPr="000F08D3">
        <w:t>Isiugo-Abanihe</w:t>
      </w:r>
      <w:proofErr w:type="spellEnd"/>
      <w:r w:rsidRPr="000F08D3">
        <w:t xml:space="preserve">, U. C., </w:t>
      </w:r>
      <w:proofErr w:type="spellStart"/>
      <w:r w:rsidRPr="000F08D3">
        <w:t>Oyediran</w:t>
      </w:r>
      <w:proofErr w:type="spellEnd"/>
      <w:r w:rsidRPr="000F08D3">
        <w:t xml:space="preserve">, K. A., &amp; </w:t>
      </w:r>
      <w:proofErr w:type="spellStart"/>
      <w:r w:rsidRPr="000F08D3">
        <w:t>Fakeye</w:t>
      </w:r>
      <w:proofErr w:type="spellEnd"/>
      <w:r w:rsidRPr="000F08D3">
        <w:t xml:space="preserve">, O. O. (2015). Contraceptive use and sexual </w:t>
      </w:r>
      <w:proofErr w:type="spellStart"/>
      <w:r w:rsidRPr="000F08D3">
        <w:t>behaviour</w:t>
      </w:r>
      <w:proofErr w:type="spellEnd"/>
      <w:r w:rsidRPr="000F08D3">
        <w:t xml:space="preserve"> among Nigerian university students. </w:t>
      </w:r>
      <w:r w:rsidRPr="000F08D3">
        <w:rPr>
          <w:i/>
          <w:iCs/>
        </w:rPr>
        <w:t>African Population Studies, 29</w:t>
      </w:r>
      <w:r w:rsidRPr="000F08D3">
        <w:t>(2), 1806–1819.</w:t>
      </w:r>
    </w:p>
    <w:p w14:paraId="781B5B3C" w14:textId="77777777" w:rsidR="000F08D3" w:rsidRPr="000F08D3" w:rsidRDefault="000F08D3" w:rsidP="00946E4E">
      <w:pPr>
        <w:pStyle w:val="NormalWeb"/>
        <w:numPr>
          <w:ilvl w:val="0"/>
          <w:numId w:val="25"/>
        </w:numPr>
        <w:spacing w:beforeAutospacing="0" w:afterAutospacing="0"/>
      </w:pPr>
      <w:r w:rsidRPr="000F08D3">
        <w:t xml:space="preserve">Nigerian Ministry of Health. (2022). </w:t>
      </w:r>
      <w:r w:rsidRPr="000F08D3">
        <w:rPr>
          <w:i/>
          <w:iCs/>
        </w:rPr>
        <w:t>Integrated national guidelines for HIV prevention, treatment, and care</w:t>
      </w:r>
      <w:r w:rsidRPr="000F08D3">
        <w:t>. Government of Nigeria.</w:t>
      </w:r>
    </w:p>
    <w:p w14:paraId="4C8801D6" w14:textId="77777777" w:rsidR="000F08D3" w:rsidRPr="000F08D3" w:rsidRDefault="000F08D3" w:rsidP="00946E4E">
      <w:pPr>
        <w:pStyle w:val="NormalWeb"/>
        <w:numPr>
          <w:ilvl w:val="0"/>
          <w:numId w:val="25"/>
        </w:numPr>
        <w:spacing w:beforeAutospacing="0" w:afterAutospacing="0"/>
      </w:pPr>
      <w:r w:rsidRPr="000F08D3">
        <w:t xml:space="preserve">Nwankwo, E. O., &amp; Magaji, N. S. (2014). Prevalence of </w:t>
      </w:r>
      <w:r w:rsidRPr="000F08D3">
        <w:rPr>
          <w:i/>
          <w:iCs/>
        </w:rPr>
        <w:t>Chlamydia trachomatis</w:t>
      </w:r>
      <w:r w:rsidRPr="000F08D3">
        <w:t xml:space="preserve"> infection among female undergraduates of the University of Nigeria, Enugu Campus. </w:t>
      </w:r>
      <w:r w:rsidRPr="000F08D3">
        <w:rPr>
          <w:i/>
          <w:iCs/>
        </w:rPr>
        <w:t>Nigerian Journal of Medicine, 23</w:t>
      </w:r>
      <w:r w:rsidRPr="000F08D3">
        <w:t>(1), 35–40.</w:t>
      </w:r>
    </w:p>
    <w:p w14:paraId="18BB3E18" w14:textId="77777777" w:rsidR="000F08D3" w:rsidRPr="000F08D3" w:rsidRDefault="000F08D3" w:rsidP="00946E4E">
      <w:pPr>
        <w:pStyle w:val="NormalWeb"/>
        <w:numPr>
          <w:ilvl w:val="0"/>
          <w:numId w:val="25"/>
        </w:numPr>
        <w:spacing w:beforeAutospacing="0" w:afterAutospacing="0"/>
      </w:pPr>
      <w:r w:rsidRPr="000F08D3">
        <w:t xml:space="preserve">Ogbu, M., Okeke, C. E., &amp; Uzochukwu, B. S. (2021). Diagnostic performance of lateral flow assays for STI screening. </w:t>
      </w:r>
      <w:r w:rsidRPr="000F08D3">
        <w:rPr>
          <w:i/>
          <w:iCs/>
        </w:rPr>
        <w:t>Journal of Medical Diagnostics, 9</w:t>
      </w:r>
      <w:r w:rsidRPr="000F08D3">
        <w:t>(3), 45–52.</w:t>
      </w:r>
    </w:p>
    <w:p w14:paraId="6249DFE8" w14:textId="77777777" w:rsidR="000F08D3" w:rsidRPr="000F08D3" w:rsidRDefault="000F08D3" w:rsidP="00946E4E">
      <w:pPr>
        <w:pStyle w:val="NormalWeb"/>
        <w:numPr>
          <w:ilvl w:val="0"/>
          <w:numId w:val="25"/>
        </w:numPr>
        <w:spacing w:beforeAutospacing="0" w:afterAutospacing="0"/>
      </w:pPr>
      <w:proofErr w:type="spellStart"/>
      <w:r w:rsidRPr="000F08D3">
        <w:t>Okoror</w:t>
      </w:r>
      <w:proofErr w:type="spellEnd"/>
      <w:r w:rsidRPr="000F08D3">
        <w:t xml:space="preserve">, L. E., Agbonlahor, D. E., </w:t>
      </w:r>
      <w:proofErr w:type="spellStart"/>
      <w:r w:rsidRPr="000F08D3">
        <w:t>Esumeh</w:t>
      </w:r>
      <w:proofErr w:type="spellEnd"/>
      <w:r w:rsidRPr="000F08D3">
        <w:t xml:space="preserve">, F. I., &amp; </w:t>
      </w:r>
      <w:proofErr w:type="spellStart"/>
      <w:r w:rsidRPr="000F08D3">
        <w:t>Umolu</w:t>
      </w:r>
      <w:proofErr w:type="spellEnd"/>
      <w:r w:rsidRPr="000F08D3">
        <w:t xml:space="preserve">, P. I. (2019). Epidemiology of </w:t>
      </w:r>
      <w:r w:rsidRPr="000F08D3">
        <w:rPr>
          <w:i/>
          <w:iCs/>
        </w:rPr>
        <w:t>Chlamydia trachomatis</w:t>
      </w:r>
      <w:r w:rsidRPr="000F08D3">
        <w:t xml:space="preserve"> in Nigerian populations. </w:t>
      </w:r>
      <w:r w:rsidRPr="000F08D3">
        <w:rPr>
          <w:i/>
          <w:iCs/>
        </w:rPr>
        <w:t>Nigerian Journal of Clinical Practice, 22</w:t>
      </w:r>
      <w:r w:rsidRPr="000F08D3">
        <w:t xml:space="preserve">(5), 678–684. </w:t>
      </w:r>
      <w:hyperlink r:id="rId23" w:tgtFrame="_new" w:history="1">
        <w:r w:rsidRPr="000F08D3">
          <w:rPr>
            <w:rStyle w:val="Hyperlink"/>
          </w:rPr>
          <w:t>https://doi.org/10.4103/njcp.njcp_380_18</w:t>
        </w:r>
      </w:hyperlink>
    </w:p>
    <w:p w14:paraId="471FA22B" w14:textId="77777777" w:rsidR="000F08D3" w:rsidRPr="000F08D3" w:rsidRDefault="000F08D3" w:rsidP="00946E4E">
      <w:pPr>
        <w:pStyle w:val="NormalWeb"/>
        <w:numPr>
          <w:ilvl w:val="0"/>
          <w:numId w:val="25"/>
        </w:numPr>
        <w:spacing w:beforeAutospacing="0" w:afterAutospacing="0"/>
      </w:pPr>
      <w:proofErr w:type="spellStart"/>
      <w:r w:rsidRPr="000F08D3">
        <w:t>Opone</w:t>
      </w:r>
      <w:proofErr w:type="spellEnd"/>
      <w:r w:rsidRPr="000F08D3">
        <w:t xml:space="preserve">, C. A., Aboderin, A. O., &amp; </w:t>
      </w:r>
      <w:proofErr w:type="spellStart"/>
      <w:r w:rsidRPr="000F08D3">
        <w:t>Omoare</w:t>
      </w:r>
      <w:proofErr w:type="spellEnd"/>
      <w:r w:rsidRPr="000F08D3">
        <w:t xml:space="preserve">, A. A. (2020). Prevalence of </w:t>
      </w:r>
      <w:r w:rsidRPr="000F08D3">
        <w:rPr>
          <w:i/>
          <w:iCs/>
        </w:rPr>
        <w:t>Chlamydia trachomatis</w:t>
      </w:r>
      <w:r w:rsidRPr="000F08D3">
        <w:t xml:space="preserve"> infection among undergraduate students in a Nigerian university. </w:t>
      </w:r>
      <w:r w:rsidRPr="000F08D3">
        <w:rPr>
          <w:i/>
          <w:iCs/>
        </w:rPr>
        <w:t>Journal of Family Medicine and Primary Care, 9</w:t>
      </w:r>
      <w:r w:rsidRPr="000F08D3">
        <w:t>(2), 1180–1184.</w:t>
      </w:r>
    </w:p>
    <w:p w14:paraId="239D3220" w14:textId="77777777" w:rsidR="000F08D3" w:rsidRPr="000F08D3" w:rsidRDefault="000F08D3" w:rsidP="00946E4E">
      <w:pPr>
        <w:pStyle w:val="NormalWeb"/>
        <w:numPr>
          <w:ilvl w:val="0"/>
          <w:numId w:val="25"/>
        </w:numPr>
        <w:spacing w:beforeAutospacing="0" w:afterAutospacing="0"/>
      </w:pPr>
      <w:r w:rsidRPr="000F08D3">
        <w:t xml:space="preserve">Otieno, F. O., </w:t>
      </w:r>
      <w:proofErr w:type="spellStart"/>
      <w:r w:rsidRPr="000F08D3">
        <w:t>Ndivo</w:t>
      </w:r>
      <w:proofErr w:type="spellEnd"/>
      <w:r w:rsidRPr="000F08D3">
        <w:t xml:space="preserve">, R., </w:t>
      </w:r>
      <w:proofErr w:type="spellStart"/>
      <w:r w:rsidRPr="000F08D3">
        <w:t>Oswago</w:t>
      </w:r>
      <w:proofErr w:type="spellEnd"/>
      <w:r w:rsidRPr="000F08D3">
        <w:t xml:space="preserve">, S., et al. (2015). Correlates of prevalent sexually transmitted infections among young adults in Kenya. </w:t>
      </w:r>
      <w:r w:rsidRPr="000F08D3">
        <w:rPr>
          <w:i/>
          <w:iCs/>
        </w:rPr>
        <w:t>Sexual Health, 12</w:t>
      </w:r>
      <w:r w:rsidRPr="000F08D3">
        <w:t>(1), 82–85.</w:t>
      </w:r>
    </w:p>
    <w:p w14:paraId="6098BBAE" w14:textId="77777777" w:rsidR="000F08D3" w:rsidRPr="000F08D3" w:rsidRDefault="000F08D3" w:rsidP="00946E4E">
      <w:pPr>
        <w:pStyle w:val="NormalWeb"/>
        <w:numPr>
          <w:ilvl w:val="0"/>
          <w:numId w:val="25"/>
        </w:numPr>
        <w:spacing w:beforeAutospacing="0" w:afterAutospacing="0"/>
      </w:pPr>
      <w:r w:rsidRPr="000F08D3">
        <w:t xml:space="preserve">Otu, A., </w:t>
      </w:r>
      <w:proofErr w:type="spellStart"/>
      <w:r w:rsidRPr="000F08D3">
        <w:t>Ebenso</w:t>
      </w:r>
      <w:proofErr w:type="spellEnd"/>
      <w:r w:rsidRPr="000F08D3">
        <w:t xml:space="preserve">, B., </w:t>
      </w:r>
      <w:proofErr w:type="spellStart"/>
      <w:r w:rsidRPr="000F08D3">
        <w:t>Okuzu</w:t>
      </w:r>
      <w:proofErr w:type="spellEnd"/>
      <w:r w:rsidRPr="000F08D3">
        <w:t xml:space="preserve">, O., &amp; Osifo-Dawodu, E. (2020). Using theatre to increase awareness of sexual and reproductive health rights among university students in Nigeria. </w:t>
      </w:r>
      <w:r w:rsidRPr="000F08D3">
        <w:rPr>
          <w:i/>
          <w:iCs/>
        </w:rPr>
        <w:t>BMC Public Health, 20</w:t>
      </w:r>
      <w:r w:rsidRPr="000F08D3">
        <w:t>(1), 1–10.</w:t>
      </w:r>
    </w:p>
    <w:p w14:paraId="5E64FC0B" w14:textId="77777777" w:rsidR="000F08D3" w:rsidRPr="000F08D3" w:rsidRDefault="000F08D3" w:rsidP="00946E4E">
      <w:pPr>
        <w:pStyle w:val="NormalWeb"/>
        <w:numPr>
          <w:ilvl w:val="0"/>
          <w:numId w:val="25"/>
        </w:numPr>
        <w:spacing w:beforeAutospacing="0" w:afterAutospacing="0"/>
      </w:pPr>
      <w:r w:rsidRPr="000F08D3">
        <w:t>Sharaf, M. A., El-</w:t>
      </w:r>
      <w:proofErr w:type="spellStart"/>
      <w:r w:rsidRPr="000F08D3">
        <w:t>Bohoty</w:t>
      </w:r>
      <w:proofErr w:type="spellEnd"/>
      <w:r w:rsidRPr="000F08D3">
        <w:t xml:space="preserve">, S. B., </w:t>
      </w:r>
      <w:proofErr w:type="spellStart"/>
      <w:r w:rsidRPr="000F08D3">
        <w:t>Hodeib</w:t>
      </w:r>
      <w:proofErr w:type="spellEnd"/>
      <w:r w:rsidRPr="000F08D3">
        <w:t>, H. A., &amp; El-</w:t>
      </w:r>
      <w:proofErr w:type="spellStart"/>
      <w:r w:rsidRPr="000F08D3">
        <w:t>Kholi</w:t>
      </w:r>
      <w:proofErr w:type="spellEnd"/>
      <w:r w:rsidRPr="000F08D3">
        <w:t xml:space="preserve">, D. G. (2021). </w:t>
      </w:r>
      <w:r w:rsidRPr="000F08D3">
        <w:rPr>
          <w:i/>
          <w:iCs/>
        </w:rPr>
        <w:t>Chlamydia trachomatis</w:t>
      </w:r>
      <w:r w:rsidRPr="000F08D3">
        <w:t xml:space="preserve"> infection as a risk factor for infertility in women. </w:t>
      </w:r>
      <w:r w:rsidRPr="000F08D3">
        <w:rPr>
          <w:i/>
          <w:iCs/>
        </w:rPr>
        <w:t>Journal of Advances in Medicine and Medical Research, 33</w:t>
      </w:r>
      <w:r w:rsidRPr="000F08D3">
        <w:t xml:space="preserve">(9), 63–70. </w:t>
      </w:r>
      <w:hyperlink r:id="rId24" w:tgtFrame="_new" w:history="1">
        <w:r w:rsidRPr="000F08D3">
          <w:rPr>
            <w:rStyle w:val="Hyperlink"/>
          </w:rPr>
          <w:t>https://doi.org/10.9734/jammr/2021/v33i930899</w:t>
        </w:r>
      </w:hyperlink>
    </w:p>
    <w:p w14:paraId="6326192C" w14:textId="77777777" w:rsidR="000F08D3" w:rsidRPr="000F08D3" w:rsidRDefault="000F08D3" w:rsidP="00946E4E">
      <w:pPr>
        <w:pStyle w:val="NormalWeb"/>
        <w:numPr>
          <w:ilvl w:val="0"/>
          <w:numId w:val="25"/>
        </w:numPr>
        <w:spacing w:beforeAutospacing="0" w:afterAutospacing="0"/>
      </w:pPr>
      <w:r w:rsidRPr="000F08D3">
        <w:t xml:space="preserve">Skidmore, S., Kaye, M., Pearn, J., &amp; Horner, P. (2008). Evaluation of the Clearview Chlamydia test. </w:t>
      </w:r>
      <w:r w:rsidRPr="000F08D3">
        <w:rPr>
          <w:i/>
          <w:iCs/>
        </w:rPr>
        <w:t>International Journal of STD &amp; AIDS, 19</w:t>
      </w:r>
      <w:r w:rsidRPr="000F08D3">
        <w:t>(10), 711–713.</w:t>
      </w:r>
    </w:p>
    <w:p w14:paraId="47A08B65" w14:textId="77777777" w:rsidR="000F08D3" w:rsidRPr="000F08D3" w:rsidRDefault="000F08D3" w:rsidP="00946E4E">
      <w:pPr>
        <w:pStyle w:val="NormalWeb"/>
        <w:numPr>
          <w:ilvl w:val="0"/>
          <w:numId w:val="25"/>
        </w:numPr>
        <w:spacing w:beforeAutospacing="0" w:afterAutospacing="0"/>
      </w:pPr>
      <w:r w:rsidRPr="000F08D3">
        <w:t xml:space="preserve">Tobin, E. A., </w:t>
      </w:r>
      <w:proofErr w:type="spellStart"/>
      <w:r w:rsidRPr="000F08D3">
        <w:t>Okonofua</w:t>
      </w:r>
      <w:proofErr w:type="spellEnd"/>
      <w:r w:rsidRPr="000F08D3">
        <w:t xml:space="preserve">, F. E., &amp; Obi, A. I. (2014). Acceptability of voluntary counselling and testing among medical students in Benin City, Nigeria. </w:t>
      </w:r>
      <w:r w:rsidRPr="000F08D3">
        <w:rPr>
          <w:i/>
          <w:iCs/>
        </w:rPr>
        <w:t>Nigerian Journal of Clinical Practice, 17</w:t>
      </w:r>
      <w:r w:rsidRPr="000F08D3">
        <w:t>(5), 555–561.</w:t>
      </w:r>
    </w:p>
    <w:p w14:paraId="7510766F" w14:textId="77777777" w:rsidR="000F08D3" w:rsidRPr="000F08D3" w:rsidRDefault="000F08D3" w:rsidP="00946E4E">
      <w:pPr>
        <w:pStyle w:val="NormalWeb"/>
        <w:numPr>
          <w:ilvl w:val="0"/>
          <w:numId w:val="25"/>
        </w:numPr>
        <w:spacing w:beforeAutospacing="0" w:afterAutospacing="0"/>
      </w:pPr>
      <w:proofErr w:type="spellStart"/>
      <w:r w:rsidRPr="000F08D3">
        <w:t>Wariso</w:t>
      </w:r>
      <w:proofErr w:type="spellEnd"/>
      <w:r w:rsidRPr="000F08D3">
        <w:t xml:space="preserve">, B. A., &amp; Odigie, A. E. (2016). Awareness of </w:t>
      </w:r>
      <w:r w:rsidRPr="000F08D3">
        <w:rPr>
          <w:i/>
          <w:iCs/>
        </w:rPr>
        <w:t>Chlamydia trachomatis</w:t>
      </w:r>
      <w:r w:rsidRPr="000F08D3">
        <w:t xml:space="preserve"> infection among female undergraduates in Port Harcourt, Nigeria. </w:t>
      </w:r>
      <w:r w:rsidRPr="000F08D3">
        <w:rPr>
          <w:i/>
          <w:iCs/>
        </w:rPr>
        <w:t>International Journal of Reproductive Medicine</w:t>
      </w:r>
      <w:r w:rsidRPr="000F08D3">
        <w:t xml:space="preserve">, 2016, Article 4373268. </w:t>
      </w:r>
      <w:hyperlink r:id="rId25" w:tgtFrame="_new" w:history="1">
        <w:r w:rsidRPr="000F08D3">
          <w:rPr>
            <w:rStyle w:val="Hyperlink"/>
          </w:rPr>
          <w:t>https://doi.org/10.1155/2016/4373268</w:t>
        </w:r>
      </w:hyperlink>
    </w:p>
    <w:p w14:paraId="139C6AE0" w14:textId="77777777" w:rsidR="000F08D3" w:rsidRPr="000F08D3" w:rsidRDefault="000F08D3" w:rsidP="00946E4E">
      <w:pPr>
        <w:pStyle w:val="NormalWeb"/>
        <w:numPr>
          <w:ilvl w:val="0"/>
          <w:numId w:val="25"/>
        </w:numPr>
        <w:spacing w:beforeAutospacing="0" w:afterAutospacing="0"/>
      </w:pPr>
      <w:r w:rsidRPr="000F08D3">
        <w:t xml:space="preserve">Workowski, K. A., Bachmann, L. H., Chan, P. A., et al. (2021). Sexually transmitted infections treatment guidelines, 2021. </w:t>
      </w:r>
      <w:r w:rsidRPr="000F08D3">
        <w:rPr>
          <w:i/>
          <w:iCs/>
        </w:rPr>
        <w:t>MMWR Recommendations and Reports, 70</w:t>
      </w:r>
      <w:r w:rsidRPr="000F08D3">
        <w:t xml:space="preserve">(4), 1–187. </w:t>
      </w:r>
      <w:hyperlink r:id="rId26" w:tgtFrame="_new" w:history="1">
        <w:r w:rsidRPr="000F08D3">
          <w:rPr>
            <w:rStyle w:val="Hyperlink"/>
          </w:rPr>
          <w:t>https://doi.org/10.15585/mmwr.rr7004a1</w:t>
        </w:r>
      </w:hyperlink>
    </w:p>
    <w:p w14:paraId="72BCD23D" w14:textId="77777777" w:rsidR="000F08D3" w:rsidRPr="000F08D3" w:rsidRDefault="000F08D3" w:rsidP="00946E4E">
      <w:pPr>
        <w:pStyle w:val="NormalWeb"/>
        <w:numPr>
          <w:ilvl w:val="0"/>
          <w:numId w:val="25"/>
        </w:numPr>
        <w:spacing w:beforeAutospacing="0" w:afterAutospacing="0"/>
      </w:pPr>
      <w:r w:rsidRPr="000F08D3">
        <w:t xml:space="preserve">World Health Organization. (2022). </w:t>
      </w:r>
      <w:r w:rsidRPr="000F08D3">
        <w:rPr>
          <w:i/>
          <w:iCs/>
        </w:rPr>
        <w:t>Global health sector strategies on HIV, viral hepatitis and sexually transmitted infections, 2022–2030</w:t>
      </w:r>
      <w:r w:rsidRPr="000F08D3">
        <w:t>. WHO.</w:t>
      </w:r>
    </w:p>
    <w:p w14:paraId="50DA5735" w14:textId="77777777" w:rsidR="000F08D3" w:rsidRPr="000F08D3" w:rsidRDefault="000F08D3" w:rsidP="00946E4E">
      <w:pPr>
        <w:pStyle w:val="NormalWeb"/>
        <w:numPr>
          <w:ilvl w:val="0"/>
          <w:numId w:val="25"/>
        </w:numPr>
        <w:spacing w:beforeAutospacing="0" w:afterAutospacing="0"/>
      </w:pPr>
      <w:r w:rsidRPr="000F08D3">
        <w:t xml:space="preserve">World Health Organization. (2023). </w:t>
      </w:r>
      <w:r w:rsidRPr="000F08D3">
        <w:rPr>
          <w:i/>
          <w:iCs/>
        </w:rPr>
        <w:t>Global STI report 2023</w:t>
      </w:r>
      <w:r w:rsidRPr="000F08D3">
        <w:t>. WHO.</w:t>
      </w:r>
    </w:p>
    <w:bookmarkEnd w:id="2"/>
    <w:p w14:paraId="58578724" w14:textId="77777777" w:rsidR="00C412B3" w:rsidRPr="00814266" w:rsidRDefault="00C412B3" w:rsidP="000F08D3">
      <w:pPr>
        <w:pStyle w:val="NormalWeb"/>
        <w:spacing w:beforeAutospacing="0" w:afterAutospacing="0"/>
        <w:rPr>
          <w:color w:val="000000" w:themeColor="text1"/>
        </w:rPr>
      </w:pPr>
    </w:p>
    <w:sectPr w:rsidR="00C412B3" w:rsidRPr="00814266">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pgNumType w:fmt="decimalFullWidt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9615" w14:textId="77777777" w:rsidR="00BB73FC" w:rsidRDefault="00BB73FC">
      <w:pPr>
        <w:spacing w:line="240" w:lineRule="auto"/>
      </w:pPr>
      <w:r>
        <w:separator/>
      </w:r>
    </w:p>
  </w:endnote>
  <w:endnote w:type="continuationSeparator" w:id="0">
    <w:p w14:paraId="752962DD" w14:textId="77777777" w:rsidR="00BB73FC" w:rsidRDefault="00BB7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9D93" w14:textId="77777777" w:rsidR="00783AEA" w:rsidRDefault="0078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2152" w14:textId="77777777" w:rsidR="00EB4FDB" w:rsidRDefault="002C1E7B">
    <w:pPr>
      <w:pStyle w:val="Footer"/>
    </w:pPr>
    <w:r>
      <w:rPr>
        <w:noProof/>
      </w:rPr>
      <mc:AlternateContent>
        <mc:Choice Requires="wps">
          <w:drawing>
            <wp:anchor distT="0" distB="0" distL="114300" distR="114300" simplePos="0" relativeHeight="251658240" behindDoc="0" locked="0" layoutInCell="1" allowOverlap="1" wp14:anchorId="469628C6" wp14:editId="11C28BBD">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85875" w14:textId="77777777" w:rsidR="00EB4FDB" w:rsidRDefault="002C1E7B">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9628C6" id="_x0000_t202" coordsize="21600,21600" o:spt="202" path="m,l,21600r21600,l21600,xe">
              <v:stroke joinstyle="miter"/>
              <v:path gradientshapeok="t" o:connecttype="rect"/>
            </v:shapetype>
            <v:shape id="Text Box 1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4qUgIAAAs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DHd&#10;DipSAgAACwUAAA4AAAAAAAAAAAAAAAAALgIAAGRycy9lMm9Eb2MueG1sUEsBAi0AFAAGAAgAAAAh&#10;AHGq0bnXAAAABQEAAA8AAAAAAAAAAAAAAAAArAQAAGRycy9kb3ducmV2LnhtbFBLBQYAAAAABAAE&#10;APMAAACwBQAAAAA=&#10;" filled="f" stroked="f" strokeweight=".5pt">
              <v:textbox style="mso-fit-shape-to-text:t" inset="0,0,0,0">
                <w:txbxContent>
                  <w:p w14:paraId="12285875" w14:textId="77777777" w:rsidR="00EB4FDB" w:rsidRDefault="002C1E7B">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0E3A" w14:textId="77777777" w:rsidR="00783AEA" w:rsidRDefault="0078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5761" w14:textId="77777777" w:rsidR="00BB73FC" w:rsidRDefault="00BB73FC">
      <w:pPr>
        <w:spacing w:before="0" w:after="0"/>
      </w:pPr>
      <w:r>
        <w:separator/>
      </w:r>
    </w:p>
  </w:footnote>
  <w:footnote w:type="continuationSeparator" w:id="0">
    <w:p w14:paraId="5868BFEB" w14:textId="77777777" w:rsidR="00BB73FC" w:rsidRDefault="00BB73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29C4" w14:textId="08D528BF" w:rsidR="00783AEA" w:rsidRDefault="00BB73FC">
    <w:pPr>
      <w:pStyle w:val="Header"/>
    </w:pPr>
    <w:r>
      <w:rPr>
        <w:noProof/>
      </w:rPr>
      <w:pict w14:anchorId="03B31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4" o:spid="_x0000_s2050" type="#_x0000_t136" style="position:absolute;margin-left:0;margin-top:0;width:526.05pt;height:59.3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8E4B" w14:textId="267126D5" w:rsidR="00783AEA" w:rsidRDefault="00BB73FC">
    <w:pPr>
      <w:pStyle w:val="Header"/>
    </w:pPr>
    <w:r>
      <w:rPr>
        <w:noProof/>
      </w:rPr>
      <w:pict w14:anchorId="2FCEA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5" o:spid="_x0000_s2051" type="#_x0000_t136" style="position:absolute;margin-left:0;margin-top:0;width:526.05pt;height:59.3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945E" w14:textId="6F5A8C6C" w:rsidR="00783AEA" w:rsidRDefault="00BB73FC">
    <w:pPr>
      <w:pStyle w:val="Header"/>
    </w:pPr>
    <w:r>
      <w:rPr>
        <w:noProof/>
      </w:rPr>
      <w:pict w14:anchorId="7436A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92953" o:spid="_x0000_s2049" type="#_x0000_t136" style="position:absolute;margin-left:0;margin-top:0;width:526.05pt;height:59.3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CD0A63"/>
    <w:multiLevelType w:val="singleLevel"/>
    <w:tmpl w:val="9BCD0A63"/>
    <w:lvl w:ilvl="0">
      <w:start w:val="1"/>
      <w:numFmt w:val="decimal"/>
      <w:lvlText w:val="%1."/>
      <w:lvlJc w:val="left"/>
      <w:pPr>
        <w:tabs>
          <w:tab w:val="left" w:pos="425"/>
        </w:tabs>
        <w:ind w:left="425" w:hanging="425"/>
      </w:pPr>
      <w:rPr>
        <w:rFonts w:hint="default"/>
      </w:rPr>
    </w:lvl>
  </w:abstractNum>
  <w:abstractNum w:abstractNumId="1" w15:restartNumberingAfterBreak="0">
    <w:nsid w:val="FDC85A77"/>
    <w:multiLevelType w:val="singleLevel"/>
    <w:tmpl w:val="FDC85A77"/>
    <w:lvl w:ilvl="0">
      <w:start w:val="1"/>
      <w:numFmt w:val="decimal"/>
      <w:lvlText w:val="%1."/>
      <w:lvlJc w:val="left"/>
      <w:pPr>
        <w:tabs>
          <w:tab w:val="left" w:pos="425"/>
        </w:tabs>
        <w:ind w:left="425" w:hanging="425"/>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07D7802"/>
    <w:multiLevelType w:val="multilevel"/>
    <w:tmpl w:val="80B2A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F50EAE"/>
    <w:multiLevelType w:val="hybridMultilevel"/>
    <w:tmpl w:val="DE12E94A"/>
    <w:lvl w:ilvl="0" w:tplc="72A6E97C">
      <w:start w:val="1"/>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05D5777F"/>
    <w:multiLevelType w:val="multilevel"/>
    <w:tmpl w:val="1920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F2F326"/>
    <w:multiLevelType w:val="singleLevel"/>
    <w:tmpl w:val="07F2F326"/>
    <w:lvl w:ilvl="0">
      <w:start w:val="1"/>
      <w:numFmt w:val="decimal"/>
      <w:lvlText w:val="%1."/>
      <w:lvlJc w:val="left"/>
      <w:pPr>
        <w:tabs>
          <w:tab w:val="left" w:pos="425"/>
        </w:tabs>
        <w:ind w:left="425" w:hanging="425"/>
      </w:pPr>
      <w:rPr>
        <w:rFonts w:hint="default"/>
      </w:rPr>
    </w:lvl>
  </w:abstractNum>
  <w:abstractNum w:abstractNumId="16" w15:restartNumberingAfterBreak="0">
    <w:nsid w:val="0A8533DD"/>
    <w:multiLevelType w:val="multilevel"/>
    <w:tmpl w:val="B0789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2858A9"/>
    <w:multiLevelType w:val="hybridMultilevel"/>
    <w:tmpl w:val="4A66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C4EC38"/>
    <w:multiLevelType w:val="singleLevel"/>
    <w:tmpl w:val="1EC4EC38"/>
    <w:lvl w:ilvl="0">
      <w:start w:val="14"/>
      <w:numFmt w:val="decimal"/>
      <w:suff w:val="space"/>
      <w:lvlText w:val="%1."/>
      <w:lvlJc w:val="left"/>
    </w:lvl>
  </w:abstractNum>
  <w:abstractNum w:abstractNumId="19" w15:restartNumberingAfterBreak="0">
    <w:nsid w:val="25710E8B"/>
    <w:multiLevelType w:val="multilevel"/>
    <w:tmpl w:val="5046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11F26"/>
    <w:multiLevelType w:val="multilevel"/>
    <w:tmpl w:val="5CF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59FEC"/>
    <w:multiLevelType w:val="singleLevel"/>
    <w:tmpl w:val="30C59FEC"/>
    <w:lvl w:ilvl="0">
      <w:start w:val="1"/>
      <w:numFmt w:val="decimal"/>
      <w:lvlText w:val="%1."/>
      <w:lvlJc w:val="left"/>
      <w:pPr>
        <w:tabs>
          <w:tab w:val="left" w:pos="425"/>
        </w:tabs>
        <w:ind w:left="425" w:hanging="425"/>
      </w:pPr>
      <w:rPr>
        <w:rFonts w:hint="default"/>
      </w:rPr>
    </w:lvl>
  </w:abstractNum>
  <w:abstractNum w:abstractNumId="22" w15:restartNumberingAfterBreak="0">
    <w:nsid w:val="36023094"/>
    <w:multiLevelType w:val="multilevel"/>
    <w:tmpl w:val="C538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332BC"/>
    <w:multiLevelType w:val="hybridMultilevel"/>
    <w:tmpl w:val="27F4FF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012189C"/>
    <w:multiLevelType w:val="multilevel"/>
    <w:tmpl w:val="B97E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5"/>
  </w:num>
  <w:num w:numId="12">
    <w:abstractNumId w:val="21"/>
  </w:num>
  <w:num w:numId="13">
    <w:abstractNumId w:val="1"/>
  </w:num>
  <w:num w:numId="14">
    <w:abstractNumId w:val="0"/>
  </w:num>
  <w:num w:numId="15">
    <w:abstractNumId w:val="18"/>
  </w:num>
  <w:num w:numId="16">
    <w:abstractNumId w:val="17"/>
  </w:num>
  <w:num w:numId="17">
    <w:abstractNumId w:val="13"/>
  </w:num>
  <w:num w:numId="18">
    <w:abstractNumId w:val="20"/>
  </w:num>
  <w:num w:numId="19">
    <w:abstractNumId w:val="22"/>
  </w:num>
  <w:num w:numId="20">
    <w:abstractNumId w:val="14"/>
  </w:num>
  <w:num w:numId="21">
    <w:abstractNumId w:val="19"/>
  </w:num>
  <w:num w:numId="22">
    <w:abstractNumId w:val="24"/>
  </w:num>
  <w:num w:numId="23">
    <w:abstractNumId w:val="12"/>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C34432"/>
    <w:rsid w:val="000141EA"/>
    <w:rsid w:val="00027588"/>
    <w:rsid w:val="00041016"/>
    <w:rsid w:val="000503AB"/>
    <w:rsid w:val="00050A31"/>
    <w:rsid w:val="00051920"/>
    <w:rsid w:val="00057299"/>
    <w:rsid w:val="00057B20"/>
    <w:rsid w:val="00060937"/>
    <w:rsid w:val="00070DA4"/>
    <w:rsid w:val="000716D2"/>
    <w:rsid w:val="00071AAB"/>
    <w:rsid w:val="00074DDE"/>
    <w:rsid w:val="000868D9"/>
    <w:rsid w:val="00097E8C"/>
    <w:rsid w:val="000A3E58"/>
    <w:rsid w:val="000B76C4"/>
    <w:rsid w:val="000C5610"/>
    <w:rsid w:val="000C68F1"/>
    <w:rsid w:val="000D5B1E"/>
    <w:rsid w:val="000E312A"/>
    <w:rsid w:val="000E6552"/>
    <w:rsid w:val="000E73A9"/>
    <w:rsid w:val="000F08D3"/>
    <w:rsid w:val="000F3A4F"/>
    <w:rsid w:val="000F59AC"/>
    <w:rsid w:val="000F6FEE"/>
    <w:rsid w:val="001364FE"/>
    <w:rsid w:val="001368DD"/>
    <w:rsid w:val="00141FF8"/>
    <w:rsid w:val="00142DB7"/>
    <w:rsid w:val="001455B3"/>
    <w:rsid w:val="00147DB3"/>
    <w:rsid w:val="001518A5"/>
    <w:rsid w:val="00152927"/>
    <w:rsid w:val="00162AC7"/>
    <w:rsid w:val="00170095"/>
    <w:rsid w:val="00170E4F"/>
    <w:rsid w:val="00172736"/>
    <w:rsid w:val="001743F4"/>
    <w:rsid w:val="001745F4"/>
    <w:rsid w:val="00176E00"/>
    <w:rsid w:val="00187C33"/>
    <w:rsid w:val="001936B7"/>
    <w:rsid w:val="00196AB1"/>
    <w:rsid w:val="001B3BDC"/>
    <w:rsid w:val="001C7345"/>
    <w:rsid w:val="001F3DA2"/>
    <w:rsid w:val="00201333"/>
    <w:rsid w:val="00210FA7"/>
    <w:rsid w:val="00216417"/>
    <w:rsid w:val="00216A5C"/>
    <w:rsid w:val="00236477"/>
    <w:rsid w:val="00236F07"/>
    <w:rsid w:val="00242E10"/>
    <w:rsid w:val="00252D9A"/>
    <w:rsid w:val="002550DE"/>
    <w:rsid w:val="0026631D"/>
    <w:rsid w:val="002A6861"/>
    <w:rsid w:val="002C1E7B"/>
    <w:rsid w:val="002C2F53"/>
    <w:rsid w:val="0030605D"/>
    <w:rsid w:val="00326664"/>
    <w:rsid w:val="00331BD3"/>
    <w:rsid w:val="00332AB9"/>
    <w:rsid w:val="0033518C"/>
    <w:rsid w:val="003437C2"/>
    <w:rsid w:val="00376FD2"/>
    <w:rsid w:val="00377186"/>
    <w:rsid w:val="003A1C03"/>
    <w:rsid w:val="003A3D1E"/>
    <w:rsid w:val="003C0AA8"/>
    <w:rsid w:val="003D7060"/>
    <w:rsid w:val="003E7790"/>
    <w:rsid w:val="003F725F"/>
    <w:rsid w:val="00414627"/>
    <w:rsid w:val="00417EDC"/>
    <w:rsid w:val="00421586"/>
    <w:rsid w:val="00425D63"/>
    <w:rsid w:val="0044723A"/>
    <w:rsid w:val="004643D8"/>
    <w:rsid w:val="00474037"/>
    <w:rsid w:val="004775C0"/>
    <w:rsid w:val="00497C24"/>
    <w:rsid w:val="004A345B"/>
    <w:rsid w:val="004A7022"/>
    <w:rsid w:val="004B0EF5"/>
    <w:rsid w:val="004B2904"/>
    <w:rsid w:val="004C09CB"/>
    <w:rsid w:val="004C7BA5"/>
    <w:rsid w:val="004D2FA9"/>
    <w:rsid w:val="004D32B3"/>
    <w:rsid w:val="004D6D99"/>
    <w:rsid w:val="004E7628"/>
    <w:rsid w:val="004F48F2"/>
    <w:rsid w:val="00507F83"/>
    <w:rsid w:val="0051360F"/>
    <w:rsid w:val="005149B1"/>
    <w:rsid w:val="00561507"/>
    <w:rsid w:val="00563BCA"/>
    <w:rsid w:val="005647F2"/>
    <w:rsid w:val="005662D1"/>
    <w:rsid w:val="00572AE2"/>
    <w:rsid w:val="00573A09"/>
    <w:rsid w:val="00584D07"/>
    <w:rsid w:val="00592F18"/>
    <w:rsid w:val="00593E89"/>
    <w:rsid w:val="005A4526"/>
    <w:rsid w:val="005C1B16"/>
    <w:rsid w:val="005C74C0"/>
    <w:rsid w:val="005D0C17"/>
    <w:rsid w:val="005D213A"/>
    <w:rsid w:val="005E53D0"/>
    <w:rsid w:val="005F4A3A"/>
    <w:rsid w:val="006002EB"/>
    <w:rsid w:val="006128EF"/>
    <w:rsid w:val="00615245"/>
    <w:rsid w:val="006264B4"/>
    <w:rsid w:val="006334CA"/>
    <w:rsid w:val="0063420C"/>
    <w:rsid w:val="00636602"/>
    <w:rsid w:val="00643033"/>
    <w:rsid w:val="00644CC3"/>
    <w:rsid w:val="00652578"/>
    <w:rsid w:val="00652D2B"/>
    <w:rsid w:val="00661468"/>
    <w:rsid w:val="006649F0"/>
    <w:rsid w:val="006673B4"/>
    <w:rsid w:val="0067245D"/>
    <w:rsid w:val="0068470E"/>
    <w:rsid w:val="00686DED"/>
    <w:rsid w:val="00695DCD"/>
    <w:rsid w:val="006A05CC"/>
    <w:rsid w:val="006A35A7"/>
    <w:rsid w:val="006B076D"/>
    <w:rsid w:val="006C25E1"/>
    <w:rsid w:val="006D44E1"/>
    <w:rsid w:val="006F5C41"/>
    <w:rsid w:val="006F5EBF"/>
    <w:rsid w:val="00702FFF"/>
    <w:rsid w:val="00703A44"/>
    <w:rsid w:val="00707277"/>
    <w:rsid w:val="00714BE7"/>
    <w:rsid w:val="007152D7"/>
    <w:rsid w:val="00717B0A"/>
    <w:rsid w:val="00723F16"/>
    <w:rsid w:val="00735CEA"/>
    <w:rsid w:val="00743B82"/>
    <w:rsid w:val="00746C14"/>
    <w:rsid w:val="00755655"/>
    <w:rsid w:val="007814E5"/>
    <w:rsid w:val="00783AEA"/>
    <w:rsid w:val="00783F0B"/>
    <w:rsid w:val="007849E6"/>
    <w:rsid w:val="007A228F"/>
    <w:rsid w:val="007C2C59"/>
    <w:rsid w:val="007C6056"/>
    <w:rsid w:val="007D57E4"/>
    <w:rsid w:val="007D7E23"/>
    <w:rsid w:val="007F7226"/>
    <w:rsid w:val="00801F23"/>
    <w:rsid w:val="008020FF"/>
    <w:rsid w:val="00814266"/>
    <w:rsid w:val="00815694"/>
    <w:rsid w:val="00837632"/>
    <w:rsid w:val="008442BC"/>
    <w:rsid w:val="0085640F"/>
    <w:rsid w:val="008567AA"/>
    <w:rsid w:val="00892712"/>
    <w:rsid w:val="008A4261"/>
    <w:rsid w:val="008A5FD4"/>
    <w:rsid w:val="008A680A"/>
    <w:rsid w:val="008B0BB0"/>
    <w:rsid w:val="008D108D"/>
    <w:rsid w:val="008D324D"/>
    <w:rsid w:val="008E1ABF"/>
    <w:rsid w:val="008E6C4B"/>
    <w:rsid w:val="008F017A"/>
    <w:rsid w:val="008F18C0"/>
    <w:rsid w:val="00907648"/>
    <w:rsid w:val="0091586C"/>
    <w:rsid w:val="00921960"/>
    <w:rsid w:val="00930FDE"/>
    <w:rsid w:val="00931499"/>
    <w:rsid w:val="009457D5"/>
    <w:rsid w:val="00946E4E"/>
    <w:rsid w:val="00984C93"/>
    <w:rsid w:val="00987CE1"/>
    <w:rsid w:val="0099405C"/>
    <w:rsid w:val="009C600F"/>
    <w:rsid w:val="009C7D5F"/>
    <w:rsid w:val="009D3723"/>
    <w:rsid w:val="009E04F2"/>
    <w:rsid w:val="00A03B7B"/>
    <w:rsid w:val="00A03BDE"/>
    <w:rsid w:val="00A07F7F"/>
    <w:rsid w:val="00A200C9"/>
    <w:rsid w:val="00A24EBB"/>
    <w:rsid w:val="00A250D5"/>
    <w:rsid w:val="00A27BE8"/>
    <w:rsid w:val="00A32F56"/>
    <w:rsid w:val="00A34240"/>
    <w:rsid w:val="00A36028"/>
    <w:rsid w:val="00A91424"/>
    <w:rsid w:val="00AA2C77"/>
    <w:rsid w:val="00AC36B6"/>
    <w:rsid w:val="00AC3FB9"/>
    <w:rsid w:val="00AC702A"/>
    <w:rsid w:val="00AD226F"/>
    <w:rsid w:val="00AD2534"/>
    <w:rsid w:val="00AD4DC3"/>
    <w:rsid w:val="00AE133E"/>
    <w:rsid w:val="00AE401B"/>
    <w:rsid w:val="00AF34D8"/>
    <w:rsid w:val="00B13A52"/>
    <w:rsid w:val="00B15773"/>
    <w:rsid w:val="00B168F2"/>
    <w:rsid w:val="00B22E2D"/>
    <w:rsid w:val="00B24CF4"/>
    <w:rsid w:val="00B26993"/>
    <w:rsid w:val="00B343BB"/>
    <w:rsid w:val="00B4570C"/>
    <w:rsid w:val="00B5208C"/>
    <w:rsid w:val="00B549B5"/>
    <w:rsid w:val="00B65763"/>
    <w:rsid w:val="00B74876"/>
    <w:rsid w:val="00B831AB"/>
    <w:rsid w:val="00B912FF"/>
    <w:rsid w:val="00B92AAB"/>
    <w:rsid w:val="00BA0DDE"/>
    <w:rsid w:val="00BA465A"/>
    <w:rsid w:val="00BA5968"/>
    <w:rsid w:val="00BA66DC"/>
    <w:rsid w:val="00BB73FC"/>
    <w:rsid w:val="00BB7C2B"/>
    <w:rsid w:val="00BC06CD"/>
    <w:rsid w:val="00BC1664"/>
    <w:rsid w:val="00BC2546"/>
    <w:rsid w:val="00BD1348"/>
    <w:rsid w:val="00BF07ED"/>
    <w:rsid w:val="00BF1B3F"/>
    <w:rsid w:val="00C05085"/>
    <w:rsid w:val="00C10264"/>
    <w:rsid w:val="00C1593D"/>
    <w:rsid w:val="00C267F6"/>
    <w:rsid w:val="00C36AA3"/>
    <w:rsid w:val="00C37A4D"/>
    <w:rsid w:val="00C412B3"/>
    <w:rsid w:val="00C56C7E"/>
    <w:rsid w:val="00C618A5"/>
    <w:rsid w:val="00C71ED5"/>
    <w:rsid w:val="00C776A4"/>
    <w:rsid w:val="00C81943"/>
    <w:rsid w:val="00CA2C6C"/>
    <w:rsid w:val="00CA2F0A"/>
    <w:rsid w:val="00CA61D0"/>
    <w:rsid w:val="00CB3F39"/>
    <w:rsid w:val="00CC0600"/>
    <w:rsid w:val="00CC19EE"/>
    <w:rsid w:val="00CC4E42"/>
    <w:rsid w:val="00CC78AC"/>
    <w:rsid w:val="00CE4F12"/>
    <w:rsid w:val="00CF2E8B"/>
    <w:rsid w:val="00CF7953"/>
    <w:rsid w:val="00D0136C"/>
    <w:rsid w:val="00D07232"/>
    <w:rsid w:val="00D10245"/>
    <w:rsid w:val="00D21BDD"/>
    <w:rsid w:val="00D233F4"/>
    <w:rsid w:val="00D34414"/>
    <w:rsid w:val="00D436CB"/>
    <w:rsid w:val="00D6572A"/>
    <w:rsid w:val="00D65F07"/>
    <w:rsid w:val="00D71500"/>
    <w:rsid w:val="00D92BB7"/>
    <w:rsid w:val="00D93AC7"/>
    <w:rsid w:val="00D9569E"/>
    <w:rsid w:val="00D97F20"/>
    <w:rsid w:val="00DA42E0"/>
    <w:rsid w:val="00DB48CE"/>
    <w:rsid w:val="00DC1D2B"/>
    <w:rsid w:val="00DC76D2"/>
    <w:rsid w:val="00DD17B6"/>
    <w:rsid w:val="00DD30ED"/>
    <w:rsid w:val="00DD75B2"/>
    <w:rsid w:val="00DE7EA9"/>
    <w:rsid w:val="00E0454F"/>
    <w:rsid w:val="00E0484B"/>
    <w:rsid w:val="00E12D20"/>
    <w:rsid w:val="00E37680"/>
    <w:rsid w:val="00E44E10"/>
    <w:rsid w:val="00E45FC0"/>
    <w:rsid w:val="00E53020"/>
    <w:rsid w:val="00E61AE7"/>
    <w:rsid w:val="00E64C21"/>
    <w:rsid w:val="00E77502"/>
    <w:rsid w:val="00E93F62"/>
    <w:rsid w:val="00EA3E0F"/>
    <w:rsid w:val="00EA6669"/>
    <w:rsid w:val="00EB4FDB"/>
    <w:rsid w:val="00EB67B0"/>
    <w:rsid w:val="00EC24C6"/>
    <w:rsid w:val="00EC3FD8"/>
    <w:rsid w:val="00EE4DB7"/>
    <w:rsid w:val="00EE6051"/>
    <w:rsid w:val="00EE623E"/>
    <w:rsid w:val="00EF02FD"/>
    <w:rsid w:val="00EF2933"/>
    <w:rsid w:val="00F04E46"/>
    <w:rsid w:val="00F05146"/>
    <w:rsid w:val="00F1115D"/>
    <w:rsid w:val="00F258D0"/>
    <w:rsid w:val="00F25DD9"/>
    <w:rsid w:val="00F34963"/>
    <w:rsid w:val="00F3513C"/>
    <w:rsid w:val="00F436A9"/>
    <w:rsid w:val="00F44D2C"/>
    <w:rsid w:val="00F465C5"/>
    <w:rsid w:val="00F4755D"/>
    <w:rsid w:val="00F47FDB"/>
    <w:rsid w:val="00F5180D"/>
    <w:rsid w:val="00F51B21"/>
    <w:rsid w:val="00F51D87"/>
    <w:rsid w:val="00F61569"/>
    <w:rsid w:val="00F670EA"/>
    <w:rsid w:val="00F8455C"/>
    <w:rsid w:val="00F93384"/>
    <w:rsid w:val="00FB24B1"/>
    <w:rsid w:val="00FD026E"/>
    <w:rsid w:val="02685549"/>
    <w:rsid w:val="06B45F64"/>
    <w:rsid w:val="09C34432"/>
    <w:rsid w:val="0CA159C8"/>
    <w:rsid w:val="0CCA7DCA"/>
    <w:rsid w:val="0CFD47D2"/>
    <w:rsid w:val="0EEA683C"/>
    <w:rsid w:val="10D53471"/>
    <w:rsid w:val="11E567AE"/>
    <w:rsid w:val="16AE63D5"/>
    <w:rsid w:val="1A3B1EA6"/>
    <w:rsid w:val="1B3A6FA4"/>
    <w:rsid w:val="1D1469FF"/>
    <w:rsid w:val="1E317E22"/>
    <w:rsid w:val="1E367AEE"/>
    <w:rsid w:val="1E521F77"/>
    <w:rsid w:val="2041692B"/>
    <w:rsid w:val="206A45DE"/>
    <w:rsid w:val="223B00A3"/>
    <w:rsid w:val="22D30DEE"/>
    <w:rsid w:val="25FA0A26"/>
    <w:rsid w:val="278443B6"/>
    <w:rsid w:val="283723ED"/>
    <w:rsid w:val="29DA1AD6"/>
    <w:rsid w:val="2A2B33A7"/>
    <w:rsid w:val="2B3014F6"/>
    <w:rsid w:val="2C0415D9"/>
    <w:rsid w:val="2F3F350A"/>
    <w:rsid w:val="2F5F2142"/>
    <w:rsid w:val="2FBB5661"/>
    <w:rsid w:val="32F27335"/>
    <w:rsid w:val="34F53B2C"/>
    <w:rsid w:val="367B7D91"/>
    <w:rsid w:val="371B7598"/>
    <w:rsid w:val="3D521098"/>
    <w:rsid w:val="3EF604D7"/>
    <w:rsid w:val="3FAF4B4D"/>
    <w:rsid w:val="40CE5F26"/>
    <w:rsid w:val="42344739"/>
    <w:rsid w:val="43E4056D"/>
    <w:rsid w:val="447D2DED"/>
    <w:rsid w:val="490E2FDD"/>
    <w:rsid w:val="49364CAA"/>
    <w:rsid w:val="4D154241"/>
    <w:rsid w:val="4E321958"/>
    <w:rsid w:val="4F5D2E23"/>
    <w:rsid w:val="5102419C"/>
    <w:rsid w:val="51953E2A"/>
    <w:rsid w:val="531D4FFF"/>
    <w:rsid w:val="550F0D5B"/>
    <w:rsid w:val="58F873AB"/>
    <w:rsid w:val="5CC0222E"/>
    <w:rsid w:val="5D603730"/>
    <w:rsid w:val="609D3914"/>
    <w:rsid w:val="611B1FB0"/>
    <w:rsid w:val="61A75FDD"/>
    <w:rsid w:val="64FD156E"/>
    <w:rsid w:val="690040FA"/>
    <w:rsid w:val="6C6A14B7"/>
    <w:rsid w:val="73E57E14"/>
    <w:rsid w:val="75CF53EE"/>
    <w:rsid w:val="766B233D"/>
    <w:rsid w:val="785D5538"/>
    <w:rsid w:val="7B6C0B8B"/>
    <w:rsid w:val="7E631328"/>
    <w:rsid w:val="7EE00ED9"/>
    <w:rsid w:val="7FB7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475456"/>
  <w15:docId w15:val="{8B70A406-9EAD-4DB3-B97B-8A4C4C0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uiPriority="9" w:unhideWhenUsed="1"/>
    <w:lsdException w:name="heading 3"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34" w:unhideWhenUsed="1"/>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before="100" w:beforeAutospacing="1" w:after="100" w:afterAutospacing="1" w:line="480" w:lineRule="auto"/>
      <w:outlineLvl w:val="0"/>
    </w:pPr>
    <w:rPr>
      <w:sz w:val="24"/>
    </w:rPr>
  </w:style>
  <w:style w:type="paragraph" w:styleId="Heading1">
    <w:name w:val="heading 1"/>
    <w:basedOn w:val="TableofAuthorities"/>
    <w:next w:val="Normal"/>
    <w:qFormat/>
    <w:pPr>
      <w:spacing w:before="0" w:beforeAutospacing="0" w:after="0" w:afterAutospacing="0"/>
      <w:jc w:val="center"/>
    </w:pPr>
    <w:rPr>
      <w:b/>
      <w:bCs/>
      <w:szCs w:val="48"/>
      <w:lang w:eastAsia="zh-CN"/>
    </w:rPr>
  </w:style>
  <w:style w:type="paragraph" w:styleId="Heading2">
    <w:name w:val="heading 2"/>
    <w:basedOn w:val="Normal"/>
    <w:next w:val="Normal"/>
    <w:link w:val="Heading2Char"/>
    <w:uiPriority w:val="9"/>
    <w:unhideWhenUsed/>
    <w:qFormat/>
    <w:pPr>
      <w:spacing w:before="0" w:beforeAutospacing="0" w:after="0" w:afterAutospacing="0"/>
      <w:outlineLvl w:val="1"/>
    </w:pPr>
    <w:rPr>
      <w:b/>
      <w:bCs/>
      <w:szCs w:val="36"/>
      <w:lang w:eastAsia="zh-CN"/>
    </w:rPr>
  </w:style>
  <w:style w:type="paragraph" w:styleId="Heading3">
    <w:name w:val="heading 3"/>
    <w:next w:val="Normal"/>
    <w:link w:val="Heading3Char"/>
    <w:uiPriority w:val="9"/>
    <w:unhideWhenUsed/>
    <w:qFormat/>
    <w:pPr>
      <w:spacing w:line="480" w:lineRule="auto"/>
      <w:outlineLvl w:val="2"/>
    </w:pPr>
    <w:rPr>
      <w:bCs/>
      <w:color w:val="000000" w:themeColor="text1"/>
      <w:sz w:val="24"/>
      <w:szCs w:val="27"/>
      <w:lang w:eastAsia="zh-CN"/>
    </w:rPr>
  </w:style>
  <w:style w:type="paragraph" w:styleId="Heading4">
    <w:name w:val="heading 4"/>
    <w:next w:val="Normal"/>
    <w:link w:val="Heading4Char"/>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qFormat/>
    <w:pPr>
      <w:ind w:leftChars="200" w:left="420"/>
    </w:pPr>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uiPriority w:val="99"/>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3Char">
    <w:name w:val="Heading 3 Char"/>
    <w:basedOn w:val="DefaultParagraphFont"/>
    <w:link w:val="Heading3"/>
    <w:uiPriority w:val="9"/>
    <w:qFormat/>
    <w:rPr>
      <w:rFonts w:ascii="Times New Roman" w:eastAsia="Arial" w:hAnsi="Times New Roman" w:cs="Arial" w:hint="default"/>
      <w:color w:val="000000" w:themeColor="text1"/>
      <w:sz w:val="24"/>
      <w:szCs w:val="22"/>
      <w:lang w:val="en" w:eastAsia="en-US"/>
    </w:rPr>
  </w:style>
  <w:style w:type="character" w:customStyle="1" w:styleId="Heading2Char">
    <w:name w:val="Heading 2 Char"/>
    <w:basedOn w:val="DefaultParagraphFont"/>
    <w:link w:val="Heading2"/>
    <w:uiPriority w:val="9"/>
    <w:qFormat/>
    <w:rPr>
      <w:rFonts w:ascii="Times New Roman" w:eastAsia="Arial" w:hAnsi="Times New Roman" w:cs="Arial" w:hint="default"/>
      <w:b/>
      <w:bCs/>
      <w:sz w:val="24"/>
      <w:szCs w:val="26"/>
      <w:lang w:val="en" w:eastAsia="en-US"/>
    </w:rPr>
  </w:style>
  <w:style w:type="character" w:customStyle="1" w:styleId="Heading4Char">
    <w:name w:val="Heading 4 Char"/>
    <w:basedOn w:val="DefaultParagraphFont"/>
    <w:link w:val="Heading4"/>
    <w:uiPriority w:val="9"/>
    <w:qFormat/>
    <w:rPr>
      <w:rFonts w:ascii="Times New Roman" w:eastAsia="Calibri" w:hAnsi="Times New Roman" w:cs="Calibri"/>
      <w:b/>
      <w:bCs/>
      <w:sz w:val="24"/>
      <w:szCs w:val="24"/>
      <w:lang w:val="en" w:eastAsia="en-US"/>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styleId="UnresolvedMention">
    <w:name w:val="Unresolved Mention"/>
    <w:basedOn w:val="DefaultParagraphFont"/>
    <w:uiPriority w:val="99"/>
    <w:semiHidden/>
    <w:unhideWhenUsed/>
    <w:rsid w:val="007F7226"/>
    <w:rPr>
      <w:color w:val="605E5C"/>
      <w:shd w:val="clear" w:color="auto" w:fill="E1DFDD"/>
    </w:rPr>
  </w:style>
  <w:style w:type="paragraph" w:styleId="ListParagraph">
    <w:name w:val="List Paragraph"/>
    <w:basedOn w:val="Normal"/>
    <w:uiPriority w:val="34"/>
    <w:qFormat/>
    <w:rsid w:val="008020FF"/>
    <w:pPr>
      <w:spacing w:before="0" w:beforeAutospacing="0" w:after="0" w:afterAutospacing="0" w:line="240" w:lineRule="auto"/>
      <w:ind w:left="720"/>
      <w:contextualSpacing/>
      <w:outlineLvl w:val="9"/>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28/JCM.03552-13" TargetMode="External"/><Relationship Id="rId26" Type="http://schemas.openxmlformats.org/officeDocument/2006/relationships/hyperlink" Target="https://doi.org/10.15585/mmwr.rr7004a1" TargetMode="External"/><Relationship Id="rId3" Type="http://schemas.openxmlformats.org/officeDocument/2006/relationships/numbering" Target="numbering.xml"/><Relationship Id="rId21" Type="http://schemas.openxmlformats.org/officeDocument/2006/relationships/hyperlink" Target="https://doi.org/10.1128/JCM.03461-1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2307/3583133" TargetMode="External"/><Relationship Id="rId25" Type="http://schemas.openxmlformats.org/officeDocument/2006/relationships/hyperlink" Target="https://doi.org/10.1155/2016/437326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4103/1119-3077.130238" TargetMode="External"/><Relationship Id="rId20" Type="http://schemas.openxmlformats.org/officeDocument/2006/relationships/hyperlink" Target="https://doi.org/10.1136/sti.77.2.8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9734/jammr/2021/v33i930899"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doi.org/10.4103/njcp.njcp_380_18"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097/OLQ.0000000000000077"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155/2016/438612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98F06-4FB3-423B-A06F-6C6372EB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11</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1158</cp:lastModifiedBy>
  <cp:revision>177</cp:revision>
  <dcterms:created xsi:type="dcterms:W3CDTF">2025-08-09T09:23:00Z</dcterms:created>
  <dcterms:modified xsi:type="dcterms:W3CDTF">2026-02-27T06:53:00Z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564ED9A5CAC544188F2B5B9CA38760EE_11</vt:lpwstr>
  </property>
  <property fmtid="{D5CDD505-2E9C-101B-9397-08002B2CF9AE}" pid="4" name="GrammarlyDocumentId">
    <vt:lpwstr>0f11e388-3f2c-402f-ad9d-b691340d4640</vt:lpwstr>
  </property>
</Properties>
</file>