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CAF4" w14:textId="77777777" w:rsidR="001B0FE8" w:rsidRDefault="001B0FE8" w:rsidP="00A35A46">
      <w:pPr>
        <w:jc w:val="center"/>
        <w:rPr>
          <w:rFonts w:ascii="Arial" w:hAnsi="Arial" w:cs="Arial"/>
          <w:b/>
          <w:sz w:val="24"/>
          <w:szCs w:val="24"/>
        </w:rPr>
      </w:pPr>
    </w:p>
    <w:p w14:paraId="0C1911A5" w14:textId="24012F71" w:rsidR="00A35A46" w:rsidRDefault="00A35A46" w:rsidP="00A35A46">
      <w:pPr>
        <w:jc w:val="center"/>
        <w:rPr>
          <w:rFonts w:ascii="Arial" w:hAnsi="Arial" w:cs="Arial"/>
          <w:b/>
          <w:sz w:val="24"/>
          <w:szCs w:val="24"/>
        </w:rPr>
      </w:pPr>
      <w:r w:rsidRPr="00631DDE">
        <w:rPr>
          <w:rFonts w:ascii="Arial" w:hAnsi="Arial" w:cs="Arial"/>
          <w:b/>
          <w:sz w:val="24"/>
          <w:szCs w:val="24"/>
        </w:rPr>
        <w:t>Thermodynamic Characterization of Wet and Dry Atmospheric States Using a Two-State Hidden Markov Model over the Middle Belt Region of Nigeria</w:t>
      </w:r>
    </w:p>
    <w:p w14:paraId="74D1BC0C" w14:textId="77777777" w:rsidR="006E528F" w:rsidRPr="00631DDE" w:rsidRDefault="006E528F" w:rsidP="00A35A46">
      <w:pPr>
        <w:jc w:val="center"/>
        <w:rPr>
          <w:rFonts w:ascii="Arial" w:hAnsi="Arial" w:cs="Arial"/>
          <w:b/>
          <w:sz w:val="24"/>
          <w:szCs w:val="24"/>
        </w:rPr>
      </w:pPr>
    </w:p>
    <w:p w14:paraId="4E2C0AD7" w14:textId="77777777" w:rsidR="002C57D2" w:rsidRPr="00FB3A86" w:rsidRDefault="002C57D2" w:rsidP="00441B6F">
      <w:pPr>
        <w:pStyle w:val="Affiliation"/>
        <w:spacing w:after="0" w:line="240" w:lineRule="auto"/>
        <w:jc w:val="both"/>
        <w:rPr>
          <w:rFonts w:ascii="Arial" w:hAnsi="Arial" w:cs="Arial"/>
        </w:rPr>
      </w:pPr>
    </w:p>
    <w:p w14:paraId="0AA8B778" w14:textId="77777777" w:rsidR="00B01FCD" w:rsidRDefault="00FD2625" w:rsidP="00631DDE">
      <w:pPr>
        <w:pStyle w:val="Copyright"/>
        <w:spacing w:after="0" w:line="240" w:lineRule="auto"/>
        <w:jc w:val="both"/>
        <w:rPr>
          <w:rFonts w:ascii="Arial" w:hAnsi="Arial" w:cs="Arial"/>
        </w:rPr>
      </w:pPr>
      <w:r>
        <w:rPr>
          <w:rFonts w:ascii="Arial" w:hAnsi="Arial" w:cs="Arial"/>
        </w:rPr>
      </w:r>
      <w:r>
        <w:rPr>
          <w:rFonts w:ascii="Arial" w:hAnsi="Arial" w:cs="Arial"/>
        </w:rPr>
        <w:pict w14:anchorId="0597D0A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r w:rsidR="00B01FCD" w:rsidRPr="00FB3A86">
        <w:rPr>
          <w:rFonts w:ascii="Arial" w:hAnsi="Arial" w:cs="Arial"/>
        </w:rPr>
        <w:t>ABSTRACT</w:t>
      </w:r>
      <w:r w:rsidR="00A35A46">
        <w:rPr>
          <w:rFonts w:ascii="Arial" w:hAnsi="Arial" w:cs="Arial"/>
        </w:rPr>
        <w:t xml:space="preserve"> </w:t>
      </w:r>
    </w:p>
    <w:p w14:paraId="059336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2B4E55" w14:paraId="1B8688DC" w14:textId="77777777" w:rsidTr="002B4E55">
        <w:tc>
          <w:tcPr>
            <w:tcW w:w="9576" w:type="dxa"/>
            <w:shd w:val="clear" w:color="auto" w:fill="F2F2F2"/>
          </w:tcPr>
          <w:p w14:paraId="7B9EF0BD" w14:textId="143F600B" w:rsidR="00505F06" w:rsidRPr="002B4E55" w:rsidRDefault="00B84B97" w:rsidP="00437269">
            <w:pPr>
              <w:jc w:val="both"/>
              <w:rPr>
                <w:rFonts w:ascii="Arial" w:eastAsia="Calibri" w:hAnsi="Arial" w:cs="Arial"/>
              </w:rPr>
            </w:pPr>
            <w:r w:rsidRPr="00B84B97">
              <w:rPr>
                <w:rFonts w:ascii="Arial" w:hAnsi="Arial" w:cs="Arial"/>
              </w:rPr>
              <w:t xml:space="preserve">Tropical temperature and rainfall variability in Nigeria </w:t>
            </w:r>
            <w:proofErr w:type="gramStart"/>
            <w:r w:rsidRPr="00B84B97">
              <w:rPr>
                <w:rFonts w:ascii="Arial" w:hAnsi="Arial" w:cs="Arial"/>
              </w:rPr>
              <w:t>is</w:t>
            </w:r>
            <w:proofErr w:type="gramEnd"/>
            <w:r w:rsidRPr="00B84B97">
              <w:rPr>
                <w:rFonts w:ascii="Arial" w:hAnsi="Arial" w:cs="Arial"/>
              </w:rPr>
              <w:t xml:space="preserve"> driven by interactions between thermal energy, latent and sensible heat fluxes, and large-scale circulation. Hidden Markov Models (HMMs) can link observed meteorological data to underlying thermodynamic regimes, providing a probabilistic framework to understand wet and dry seasonal transitions beyond traditional statistical approaches.</w:t>
            </w:r>
            <w:r>
              <w:rPr>
                <w:rFonts w:ascii="Arial" w:hAnsi="Arial" w:cs="Arial"/>
              </w:rPr>
              <w:t xml:space="preserve"> </w:t>
            </w:r>
            <w:r w:rsidR="00A35A46" w:rsidRPr="002B4E55">
              <w:rPr>
                <w:rFonts w:ascii="Arial" w:hAnsi="Arial" w:cs="Arial"/>
              </w:rPr>
              <w:t xml:space="preserve">This study investigated the temporal and seasonal evolution of rainfall and temperature variability in the core Middle Belt states (Benue, Plateau, Niger, Kogi, Nasarawa, Kwara, and FCT) of Nigeria using a two-state Hidden Markov Model (HMM). The model identified two hidden thermodynamic regimes representing dry and wet atmospheric states based on 30 years (1991-2020) </w:t>
            </w:r>
            <w:r w:rsidR="00F46E68" w:rsidRPr="002B4E55">
              <w:rPr>
                <w:rFonts w:ascii="Arial" w:hAnsi="Arial" w:cs="Arial"/>
              </w:rPr>
              <w:t xml:space="preserve">daily </w:t>
            </w:r>
            <w:r w:rsidR="00A35A46" w:rsidRPr="002B4E55">
              <w:rPr>
                <w:rFonts w:ascii="Arial" w:hAnsi="Arial" w:cs="Arial"/>
              </w:rPr>
              <w:t>rainfall and temperature data</w:t>
            </w:r>
            <w:r w:rsidR="00F46E68" w:rsidRPr="002B4E55">
              <w:rPr>
                <w:rFonts w:ascii="Arial" w:hAnsi="Arial" w:cs="Arial"/>
              </w:rPr>
              <w:t xml:space="preserve"> obtained from National Aeronautic and Space Administration (NASA) meteorological center</w:t>
            </w:r>
            <w:r w:rsidR="00A35A46" w:rsidRPr="002B4E55">
              <w:rPr>
                <w:rFonts w:ascii="Arial" w:hAnsi="Arial" w:cs="Arial"/>
              </w:rPr>
              <w:t xml:space="preserve">. </w:t>
            </w:r>
            <w:r w:rsidR="006847EC">
              <w:rPr>
                <w:rFonts w:ascii="Arial" w:hAnsi="Arial" w:cs="Arial"/>
              </w:rPr>
              <w:t>The results shows</w:t>
            </w:r>
            <w:r w:rsidR="00A35A46" w:rsidRPr="002B4E55">
              <w:rPr>
                <w:rFonts w:ascii="Arial" w:hAnsi="Arial" w:cs="Arial"/>
              </w:rPr>
              <w:t xml:space="preserve"> that dry-state persistence was strongest in Plateau (0.979), Benue (0.956), and Kogi (0.918), while wet-state persistence was particularly high in Kogi (0.961), Benue (0.911), and Plateau (0.955)</w:t>
            </w:r>
            <w:r w:rsidR="006847EC">
              <w:rPr>
                <w:rFonts w:ascii="Arial" w:hAnsi="Arial" w:cs="Arial"/>
              </w:rPr>
              <w:t xml:space="preserve"> as revealed by the t</w:t>
            </w:r>
            <w:r w:rsidR="006847EC" w:rsidRPr="002B4E55">
              <w:rPr>
                <w:rFonts w:ascii="Arial" w:hAnsi="Arial" w:cs="Arial"/>
              </w:rPr>
              <w:t>ransition probabilities</w:t>
            </w:r>
            <w:r w:rsidR="00A35A46" w:rsidRPr="002B4E55">
              <w:rPr>
                <w:rFonts w:ascii="Arial" w:hAnsi="Arial" w:cs="Arial"/>
              </w:rPr>
              <w:t xml:space="preserve">, indicating stable atmospheric conditions once a regime is established. State frequency analysis revealed spatial heterogeneity across the Middle Belt, with dry-state dominance in Kwara (80%), Niger (73%), Plateau (69%), and Benue (68%), while wet-state dominance occurred in Nasarawa (77%), the Federal Capital Territory (74%), and Kogi (69%). Seasonal analysis confirmed strong dry-state dominance during the dry season in Plateau (0.996), Niger (0.994), and Kwara (0.985), whereas Nasarawa (0.993) and FCT (0.991) maintained wet-state characteristics even during nominal dry periods, indicating sustained atmospheric moisture availability. </w:t>
            </w:r>
            <w:r w:rsidR="00BC5280">
              <w:rPr>
                <w:rFonts w:ascii="Arial" w:hAnsi="Arial" w:cs="Arial"/>
              </w:rPr>
              <w:t>The study concludes that t</w:t>
            </w:r>
            <w:r w:rsidR="00BC5280" w:rsidRPr="00202099">
              <w:rPr>
                <w:rFonts w:ascii="Arial" w:hAnsi="Arial" w:cs="Arial"/>
              </w:rPr>
              <w:t>here is dual climatic domination in the Middle Belt, with so</w:t>
            </w:r>
            <w:r w:rsidR="00437269">
              <w:rPr>
                <w:rFonts w:ascii="Arial" w:hAnsi="Arial" w:cs="Arial"/>
              </w:rPr>
              <w:t>me states (</w:t>
            </w:r>
            <w:proofErr w:type="spellStart"/>
            <w:r w:rsidR="00437269">
              <w:rPr>
                <w:rFonts w:ascii="Arial" w:hAnsi="Arial" w:cs="Arial"/>
              </w:rPr>
              <w:t>Kwara</w:t>
            </w:r>
            <w:proofErr w:type="spellEnd"/>
            <w:r w:rsidR="00437269">
              <w:rPr>
                <w:rFonts w:ascii="Arial" w:hAnsi="Arial" w:cs="Arial"/>
              </w:rPr>
              <w:t xml:space="preserve">, Niger, Benue </w:t>
            </w:r>
            <w:r w:rsidR="00437269" w:rsidRPr="00202099">
              <w:rPr>
                <w:rFonts w:ascii="Arial" w:hAnsi="Arial" w:cs="Arial"/>
              </w:rPr>
              <w:t>and Plateau</w:t>
            </w:r>
            <w:r w:rsidR="00BC5280" w:rsidRPr="00202099">
              <w:rPr>
                <w:rFonts w:ascii="Arial" w:hAnsi="Arial" w:cs="Arial"/>
              </w:rPr>
              <w:t>) having a dry climate and others (</w:t>
            </w:r>
            <w:proofErr w:type="spellStart"/>
            <w:r w:rsidR="00BC5280" w:rsidRPr="00202099">
              <w:rPr>
                <w:rFonts w:ascii="Arial" w:hAnsi="Arial" w:cs="Arial"/>
              </w:rPr>
              <w:t>Kogi</w:t>
            </w:r>
            <w:proofErr w:type="spellEnd"/>
            <w:r w:rsidR="00BC5280" w:rsidRPr="00202099">
              <w:rPr>
                <w:rFonts w:ascii="Arial" w:hAnsi="Arial" w:cs="Arial"/>
              </w:rPr>
              <w:t>, Nasarawa, FCT) a wet climate</w:t>
            </w:r>
            <w:r w:rsidR="00437269">
              <w:rPr>
                <w:rFonts w:ascii="Arial" w:hAnsi="Arial" w:cs="Arial"/>
              </w:rPr>
              <w:t xml:space="preserve">. </w:t>
            </w:r>
            <w:r w:rsidR="00A35A46" w:rsidRPr="002B4E55">
              <w:rPr>
                <w:rFonts w:ascii="Arial" w:hAnsi="Arial" w:cs="Arial"/>
              </w:rPr>
              <w:t>The two-state HMM effectively captures these hidden atmospheric regimes and provides a physically meaningful framework for understanding seasonal climate variability</w:t>
            </w:r>
            <w:r w:rsidR="00F46E68" w:rsidRPr="002B4E55">
              <w:rPr>
                <w:rFonts w:ascii="Arial" w:hAnsi="Arial" w:cs="Arial"/>
              </w:rPr>
              <w:t xml:space="preserve">, </w:t>
            </w:r>
            <w:r w:rsidR="00F46E68" w:rsidRPr="002B4E55">
              <w:rPr>
                <w:rFonts w:ascii="Arial" w:hAnsi="Arial" w:cs="Arial"/>
                <w:bCs/>
                <w:lang w:val="en-IN"/>
              </w:rPr>
              <w:t xml:space="preserve">agricultural planning, </w:t>
            </w:r>
            <w:r w:rsidR="002B4E55" w:rsidRPr="002B4E55">
              <w:rPr>
                <w:rFonts w:ascii="Arial" w:hAnsi="Arial" w:cs="Arial"/>
                <w:bCs/>
                <w:lang w:val="en-IN"/>
              </w:rPr>
              <w:t>risk flood assessment</w:t>
            </w:r>
            <w:r w:rsidR="00A35A46" w:rsidRPr="002B4E55">
              <w:rPr>
                <w:rFonts w:ascii="Arial" w:hAnsi="Arial" w:cs="Arial"/>
              </w:rPr>
              <w:t xml:space="preserve"> and improving climate predictability in central Nigeria.</w:t>
            </w:r>
          </w:p>
        </w:tc>
      </w:tr>
    </w:tbl>
    <w:p w14:paraId="133D1FB0" w14:textId="77777777" w:rsidR="00636EB2" w:rsidRDefault="00636EB2" w:rsidP="00441B6F">
      <w:pPr>
        <w:pStyle w:val="Body"/>
        <w:spacing w:after="0"/>
        <w:rPr>
          <w:rFonts w:ascii="Arial" w:hAnsi="Arial" w:cs="Arial"/>
          <w:i/>
        </w:rPr>
      </w:pPr>
    </w:p>
    <w:p w14:paraId="2AF56C85" w14:textId="77777777" w:rsidR="00A35A46" w:rsidRPr="00A35A46" w:rsidRDefault="00A24E7E" w:rsidP="00A35A46">
      <w:pPr>
        <w:jc w:val="both"/>
        <w:rPr>
          <w:rFonts w:ascii="Arial" w:hAnsi="Arial" w:cs="Arial"/>
          <w:i/>
        </w:rPr>
      </w:pPr>
      <w:r>
        <w:rPr>
          <w:rFonts w:ascii="Arial" w:hAnsi="Arial" w:cs="Arial"/>
          <w:i/>
        </w:rPr>
        <w:t xml:space="preserve">Keywords: </w:t>
      </w:r>
      <w:r w:rsidR="00A35A46" w:rsidRPr="00A35A46">
        <w:rPr>
          <w:rFonts w:ascii="Arial" w:hAnsi="Arial" w:cs="Arial"/>
          <w:i/>
        </w:rPr>
        <w:t>Hidden Markov Model, Tempe</w:t>
      </w:r>
      <w:r w:rsidR="00A35A46">
        <w:rPr>
          <w:rFonts w:ascii="Arial" w:hAnsi="Arial" w:cs="Arial"/>
          <w:i/>
        </w:rPr>
        <w:t>rature, Rainfall, Dry t</w:t>
      </w:r>
      <w:r w:rsidR="00A35A46" w:rsidRPr="00A35A46">
        <w:rPr>
          <w:rFonts w:ascii="Arial" w:hAnsi="Arial" w:cs="Arial"/>
          <w:i/>
        </w:rPr>
        <w:t>hermodynamic</w:t>
      </w:r>
      <w:r w:rsidR="00A35A46">
        <w:rPr>
          <w:rFonts w:ascii="Arial" w:hAnsi="Arial" w:cs="Arial"/>
          <w:i/>
        </w:rPr>
        <w:t xml:space="preserve"> state</w:t>
      </w:r>
      <w:r w:rsidR="00A35A46" w:rsidRPr="00A35A46">
        <w:rPr>
          <w:rFonts w:ascii="Arial" w:hAnsi="Arial" w:cs="Arial"/>
          <w:i/>
        </w:rPr>
        <w:t xml:space="preserve">, </w:t>
      </w:r>
      <w:r w:rsidR="00A35A46">
        <w:rPr>
          <w:rFonts w:ascii="Arial" w:hAnsi="Arial" w:cs="Arial"/>
          <w:i/>
        </w:rPr>
        <w:t>Wet t</w:t>
      </w:r>
      <w:r w:rsidR="00A35A46" w:rsidRPr="00A35A46">
        <w:rPr>
          <w:rFonts w:ascii="Arial" w:hAnsi="Arial" w:cs="Arial"/>
          <w:i/>
        </w:rPr>
        <w:t>hermodynamic</w:t>
      </w:r>
      <w:r w:rsidR="00A35A46">
        <w:rPr>
          <w:rFonts w:ascii="Arial" w:hAnsi="Arial" w:cs="Arial"/>
          <w:i/>
        </w:rPr>
        <w:t xml:space="preserve"> state, </w:t>
      </w:r>
      <w:r w:rsidR="00A35A46" w:rsidRPr="00A35A46">
        <w:rPr>
          <w:rFonts w:ascii="Arial" w:hAnsi="Arial" w:cs="Arial"/>
          <w:i/>
        </w:rPr>
        <w:t>Middle Belt Nigeria, Transition Probability</w:t>
      </w:r>
    </w:p>
    <w:p w14:paraId="2450EC08" w14:textId="77777777" w:rsidR="00A24E7E" w:rsidRDefault="00A24E7E" w:rsidP="00441B6F">
      <w:pPr>
        <w:pStyle w:val="Body"/>
        <w:spacing w:after="0"/>
        <w:rPr>
          <w:rFonts w:ascii="Arial" w:hAnsi="Arial" w:cs="Arial"/>
          <w:i/>
        </w:rPr>
      </w:pPr>
    </w:p>
    <w:p w14:paraId="4F7BAD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B70D26">
        <w:rPr>
          <w:rFonts w:ascii="Arial" w:hAnsi="Arial" w:cs="Arial"/>
        </w:rPr>
        <w:t xml:space="preserve"> </w:t>
      </w:r>
    </w:p>
    <w:p w14:paraId="56C9277C" w14:textId="77777777" w:rsidR="00790ADA" w:rsidRPr="00FB3A86" w:rsidRDefault="00790ADA" w:rsidP="00441B6F">
      <w:pPr>
        <w:pStyle w:val="AbstHead"/>
        <w:spacing w:after="0"/>
        <w:jc w:val="both"/>
        <w:rPr>
          <w:rFonts w:ascii="Arial" w:hAnsi="Arial" w:cs="Arial"/>
        </w:rPr>
      </w:pPr>
    </w:p>
    <w:p w14:paraId="7DFCAF16" w14:textId="1F4B6D46" w:rsidR="00ED02C0" w:rsidRPr="001D0319" w:rsidRDefault="00ED02C0" w:rsidP="00ED02C0">
      <w:pPr>
        <w:spacing w:line="360" w:lineRule="auto"/>
        <w:jc w:val="both"/>
        <w:rPr>
          <w:rFonts w:ascii="Arial" w:hAnsi="Arial" w:cs="Arial"/>
        </w:rPr>
      </w:pPr>
      <w:r w:rsidRPr="001D0319">
        <w:rPr>
          <w:rFonts w:ascii="Arial" w:hAnsi="Arial" w:cs="Arial"/>
        </w:rPr>
        <w:t>The intricate relationships between thermal energy, moisture availability, and large-scale atmospheric circulation control the tropical atmosphere. Temperature and rainfall are two basic meteorological variables that illustrate these thermodynamic mechanisms. Rainfall is the result of condensation processes involving latent heat release during phase shifts of water vapor, whereas temperature represents the thermal condition of the atmosphere (Wallace and Hobbs, 2006). In the tropics, convection, atmospheric stability, and large-scale circulation are all significantly influenced by the interchange of sensible and latent heat (Holton, 2004). The West African monsoon system often causes atmospheric conditions in tropical countries like Nigeria to fluctuate between dry and wet regimes (Nicholson, 2013). Wet periods are defined by moist convection, deep cloud formation, and significant latent heat release during rainfall events, whereas dry periods are typically linked to increased solar radiation, decreased cloud cover, and the predominance of sensible heat flux (Rogers and Yau, 1989). One important atmospheric heating mechanism that influences regional temperature variability is latent heat generated during condensation, which intensifies vertical motion and propels convec</w:t>
      </w:r>
      <w:r w:rsidR="00185D03">
        <w:rPr>
          <w:rFonts w:ascii="Arial" w:hAnsi="Arial" w:cs="Arial"/>
        </w:rPr>
        <w:t>tive circulation</w:t>
      </w:r>
      <w:r w:rsidRPr="001D0319">
        <w:rPr>
          <w:rFonts w:ascii="Arial" w:hAnsi="Arial" w:cs="Arial"/>
        </w:rPr>
        <w:t xml:space="preserve">. Therefore, it is crucial to comprehend the switching behavior between these </w:t>
      </w:r>
      <w:r w:rsidRPr="001D0319">
        <w:rPr>
          <w:rFonts w:ascii="Arial" w:hAnsi="Arial" w:cs="Arial"/>
        </w:rPr>
        <w:lastRenderedPageBreak/>
        <w:t>thermodynamic states in order to characterize the climate and predict the seasons in tropical environments.</w:t>
      </w:r>
    </w:p>
    <w:p w14:paraId="61D5E689" w14:textId="77777777" w:rsidR="00ED02C0" w:rsidRPr="001D0319" w:rsidRDefault="00ED02C0" w:rsidP="00ED02C0">
      <w:pPr>
        <w:spacing w:line="360" w:lineRule="auto"/>
        <w:jc w:val="both"/>
        <w:rPr>
          <w:rFonts w:ascii="Arial" w:hAnsi="Arial" w:cs="Arial"/>
        </w:rPr>
      </w:pPr>
    </w:p>
    <w:p w14:paraId="65FA063C" w14:textId="3134E548" w:rsidR="00ED02C0" w:rsidRPr="001D0319" w:rsidRDefault="00ED02C0" w:rsidP="00ED02C0">
      <w:pPr>
        <w:spacing w:line="360" w:lineRule="auto"/>
        <w:jc w:val="both"/>
        <w:rPr>
          <w:rFonts w:ascii="Arial" w:hAnsi="Arial" w:cs="Arial"/>
        </w:rPr>
      </w:pPr>
      <w:proofErr w:type="spellStart"/>
      <w:r w:rsidRPr="001D0319">
        <w:rPr>
          <w:rFonts w:ascii="Arial" w:hAnsi="Arial" w:cs="Arial"/>
        </w:rPr>
        <w:t>Akinsanola</w:t>
      </w:r>
      <w:proofErr w:type="spellEnd"/>
      <w:r w:rsidRPr="001D0319">
        <w:rPr>
          <w:rFonts w:ascii="Arial" w:hAnsi="Arial" w:cs="Arial"/>
        </w:rPr>
        <w:t xml:space="preserve"> and </w:t>
      </w:r>
      <w:proofErr w:type="spellStart"/>
      <w:r w:rsidRPr="001D0319">
        <w:rPr>
          <w:rFonts w:ascii="Arial" w:hAnsi="Arial" w:cs="Arial"/>
        </w:rPr>
        <w:t>Ogunjobi</w:t>
      </w:r>
      <w:proofErr w:type="spellEnd"/>
      <w:r w:rsidRPr="001D0319">
        <w:rPr>
          <w:rFonts w:ascii="Arial" w:hAnsi="Arial" w:cs="Arial"/>
        </w:rPr>
        <w:t>, (2014) investigated rainfall and temperature variabilities in Nigeria and discovered that there have been statistically significant increases in precipitation and air temperature in vast majority of the country. Traditional statistical approaches often describe rainfall (</w:t>
      </w:r>
      <w:proofErr w:type="spellStart"/>
      <w:r w:rsidRPr="001D0319">
        <w:rPr>
          <w:rFonts w:ascii="Arial" w:hAnsi="Arial" w:cs="Arial"/>
        </w:rPr>
        <w:t>Ayoade</w:t>
      </w:r>
      <w:proofErr w:type="spellEnd"/>
      <w:r w:rsidRPr="001D0319">
        <w:rPr>
          <w:rFonts w:ascii="Arial" w:hAnsi="Arial" w:cs="Arial"/>
        </w:rPr>
        <w:t xml:space="preserve">, 1994: </w:t>
      </w:r>
      <w:proofErr w:type="spellStart"/>
      <w:r w:rsidRPr="001D0319">
        <w:rPr>
          <w:rFonts w:ascii="Arial" w:hAnsi="Arial" w:cs="Arial"/>
          <w:bCs/>
        </w:rPr>
        <w:t>Adejuwon</w:t>
      </w:r>
      <w:proofErr w:type="spellEnd"/>
      <w:r w:rsidRPr="001D0319">
        <w:rPr>
          <w:rFonts w:ascii="Arial" w:hAnsi="Arial" w:cs="Arial"/>
          <w:bCs/>
        </w:rPr>
        <w:t xml:space="preserve">, 2012; Mage, 2015; </w:t>
      </w:r>
      <w:proofErr w:type="spellStart"/>
      <w:r w:rsidRPr="001D0319">
        <w:rPr>
          <w:rFonts w:ascii="Arial" w:hAnsi="Arial" w:cs="Arial"/>
          <w:bCs/>
        </w:rPr>
        <w:t>Ayansina</w:t>
      </w:r>
      <w:proofErr w:type="spellEnd"/>
      <w:r w:rsidRPr="001D0319">
        <w:rPr>
          <w:rFonts w:ascii="Arial" w:hAnsi="Arial" w:cs="Arial"/>
          <w:bCs/>
        </w:rPr>
        <w:t xml:space="preserve">, </w:t>
      </w:r>
      <w:r w:rsidR="00207573">
        <w:rPr>
          <w:rFonts w:ascii="Arial" w:hAnsi="Arial" w:cs="Arial"/>
        </w:rPr>
        <w:t xml:space="preserve">2009; </w:t>
      </w:r>
      <w:r w:rsidRPr="001D0319">
        <w:rPr>
          <w:rFonts w:ascii="Arial" w:hAnsi="Arial" w:cs="Arial"/>
          <w:bCs/>
        </w:rPr>
        <w:t xml:space="preserve">Trenberth </w:t>
      </w:r>
      <w:r w:rsidR="008314DC">
        <w:rPr>
          <w:rFonts w:ascii="Arial" w:hAnsi="Arial" w:cs="Arial"/>
        </w:rPr>
        <w:t>et al.,</w:t>
      </w:r>
      <w:r w:rsidRPr="001D0319">
        <w:rPr>
          <w:rFonts w:ascii="Arial" w:hAnsi="Arial" w:cs="Arial"/>
          <w:bCs/>
        </w:rPr>
        <w:t xml:space="preserve"> </w:t>
      </w:r>
      <w:r w:rsidRPr="001D0319">
        <w:rPr>
          <w:rFonts w:ascii="Arial" w:hAnsi="Arial" w:cs="Arial"/>
        </w:rPr>
        <w:t xml:space="preserve">2003; </w:t>
      </w:r>
      <w:proofErr w:type="spellStart"/>
      <w:r w:rsidRPr="001D0319">
        <w:rPr>
          <w:rFonts w:ascii="Arial" w:hAnsi="Arial" w:cs="Arial"/>
          <w:bCs/>
        </w:rPr>
        <w:t>Olugunorisa</w:t>
      </w:r>
      <w:proofErr w:type="spellEnd"/>
      <w:r w:rsidRPr="001D0319">
        <w:rPr>
          <w:rFonts w:ascii="Arial" w:hAnsi="Arial" w:cs="Arial"/>
          <w:bCs/>
        </w:rPr>
        <w:t xml:space="preserve"> </w:t>
      </w:r>
      <w:r w:rsidRPr="001D0319">
        <w:rPr>
          <w:rFonts w:ascii="Arial" w:hAnsi="Arial" w:cs="Arial"/>
        </w:rPr>
        <w:t xml:space="preserve">and </w:t>
      </w:r>
      <w:proofErr w:type="spellStart"/>
      <w:r w:rsidRPr="001D0319">
        <w:rPr>
          <w:rFonts w:ascii="Arial" w:hAnsi="Arial" w:cs="Arial"/>
          <w:bCs/>
        </w:rPr>
        <w:t>Adejuwon</w:t>
      </w:r>
      <w:proofErr w:type="spellEnd"/>
      <w:r w:rsidRPr="001D0319">
        <w:rPr>
          <w:rFonts w:ascii="Arial" w:hAnsi="Arial" w:cs="Arial"/>
          <w:bCs/>
        </w:rPr>
        <w:t xml:space="preserve">, </w:t>
      </w:r>
      <w:r w:rsidRPr="001D0319">
        <w:rPr>
          <w:rFonts w:ascii="Arial" w:hAnsi="Arial" w:cs="Arial"/>
        </w:rPr>
        <w:t>2003) and temperature (</w:t>
      </w:r>
      <w:proofErr w:type="spellStart"/>
      <w:r w:rsidRPr="001D0319">
        <w:rPr>
          <w:rFonts w:ascii="Arial" w:hAnsi="Arial" w:cs="Arial"/>
        </w:rPr>
        <w:t>Ewona</w:t>
      </w:r>
      <w:proofErr w:type="spellEnd"/>
      <w:r w:rsidRPr="001D0319">
        <w:rPr>
          <w:rFonts w:ascii="Arial" w:hAnsi="Arial" w:cs="Arial"/>
        </w:rPr>
        <w:t xml:space="preserve"> and Udo, 2008; </w:t>
      </w:r>
      <w:proofErr w:type="spellStart"/>
      <w:r w:rsidRPr="001D0319">
        <w:rPr>
          <w:rFonts w:ascii="Arial" w:hAnsi="Arial" w:cs="Arial"/>
        </w:rPr>
        <w:t>Ogolo</w:t>
      </w:r>
      <w:proofErr w:type="spellEnd"/>
      <w:r w:rsidRPr="001D0319">
        <w:rPr>
          <w:rFonts w:ascii="Arial" w:hAnsi="Arial" w:cs="Arial"/>
        </w:rPr>
        <w:t xml:space="preserve"> and Adeyemi, 2009; </w:t>
      </w:r>
      <w:proofErr w:type="spellStart"/>
      <w:r w:rsidRPr="001D0319">
        <w:rPr>
          <w:rFonts w:ascii="Arial" w:hAnsi="Arial" w:cs="Arial"/>
        </w:rPr>
        <w:t>Odjugo</w:t>
      </w:r>
      <w:proofErr w:type="spellEnd"/>
      <w:r w:rsidRPr="001D0319">
        <w:rPr>
          <w:rFonts w:ascii="Arial" w:hAnsi="Arial" w:cs="Arial"/>
        </w:rPr>
        <w:t xml:space="preserve">, 2011; </w:t>
      </w:r>
      <w:proofErr w:type="spellStart"/>
      <w:r w:rsidRPr="001D0319">
        <w:rPr>
          <w:rFonts w:ascii="Arial" w:hAnsi="Arial" w:cs="Arial"/>
        </w:rPr>
        <w:t>Olofintoye</w:t>
      </w:r>
      <w:proofErr w:type="spellEnd"/>
      <w:r w:rsidRPr="001D0319">
        <w:rPr>
          <w:rFonts w:ascii="Arial" w:hAnsi="Arial" w:cs="Arial"/>
        </w:rPr>
        <w:t xml:space="preserve"> and </w:t>
      </w:r>
      <w:proofErr w:type="spellStart"/>
      <w:r w:rsidRPr="001D0319">
        <w:rPr>
          <w:rFonts w:ascii="Arial" w:hAnsi="Arial" w:cs="Arial"/>
        </w:rPr>
        <w:t>Sule</w:t>
      </w:r>
      <w:proofErr w:type="spellEnd"/>
      <w:r w:rsidRPr="001D0319">
        <w:rPr>
          <w:rFonts w:ascii="Arial" w:hAnsi="Arial" w:cs="Arial"/>
        </w:rPr>
        <w:t>, 2010) variability without explicitly accounting for hidden atmospheric regimes responsible for observed transitions. However, thermodynamic equilibrium and large-scale dynamical restrictions naturally drive the evolution of atmospheric processes between quasi-stable states. A probabilistic framework for detecting such hidden states is offered by the Hidden Markov Model (HMM), which connects observable temperature and rainfall fluctuations to underlying atmospheric regimes (Zucchini and MacDonald, 2009).</w:t>
      </w:r>
    </w:p>
    <w:p w14:paraId="43CE1E4A" w14:textId="77777777" w:rsidR="00ED02C0" w:rsidRPr="001D0319" w:rsidRDefault="00ED02C0" w:rsidP="00ED02C0">
      <w:pPr>
        <w:autoSpaceDE w:val="0"/>
        <w:autoSpaceDN w:val="0"/>
        <w:adjustRightInd w:val="0"/>
        <w:spacing w:line="360" w:lineRule="auto"/>
        <w:jc w:val="both"/>
        <w:rPr>
          <w:rFonts w:ascii="Arial" w:hAnsi="Arial" w:cs="Arial"/>
        </w:rPr>
      </w:pPr>
    </w:p>
    <w:p w14:paraId="556CC556" w14:textId="57C3FAB1" w:rsidR="00ED02C0" w:rsidRPr="001D0319" w:rsidRDefault="00ED02C0" w:rsidP="00ED02C0">
      <w:pPr>
        <w:spacing w:line="360" w:lineRule="auto"/>
        <w:jc w:val="both"/>
        <w:rPr>
          <w:rFonts w:ascii="Arial" w:hAnsi="Arial" w:cs="Arial"/>
        </w:rPr>
      </w:pPr>
      <w:r w:rsidRPr="001D0319">
        <w:rPr>
          <w:rFonts w:ascii="Arial" w:hAnsi="Arial" w:cs="Arial"/>
        </w:rPr>
        <w:t>Markov chains have been applied to temperature (Agada, et al., 2016) and rainfall (</w:t>
      </w:r>
      <w:r w:rsidRPr="001D0319">
        <w:rPr>
          <w:rFonts w:ascii="Arial" w:hAnsi="Arial" w:cs="Arial"/>
          <w:color w:val="000000"/>
        </w:rPr>
        <w:t>Gabriel and Neumann, 196</w:t>
      </w:r>
      <w:r w:rsidR="00207573">
        <w:rPr>
          <w:rFonts w:ascii="Arial" w:hAnsi="Arial" w:cs="Arial"/>
          <w:color w:val="000000"/>
        </w:rPr>
        <w:t>2</w:t>
      </w:r>
      <w:r w:rsidRPr="001D0319">
        <w:rPr>
          <w:rFonts w:ascii="Arial" w:hAnsi="Arial" w:cs="Arial"/>
          <w:color w:val="000000"/>
        </w:rPr>
        <w:t xml:space="preserve">; </w:t>
      </w:r>
      <w:r w:rsidRPr="001D0319">
        <w:rPr>
          <w:rFonts w:ascii="Arial" w:hAnsi="Arial" w:cs="Arial"/>
          <w:color w:val="000002"/>
        </w:rPr>
        <w:t xml:space="preserve">Zucchini and </w:t>
      </w:r>
      <w:proofErr w:type="spellStart"/>
      <w:r w:rsidRPr="001D0319">
        <w:rPr>
          <w:rFonts w:ascii="Arial" w:hAnsi="Arial" w:cs="Arial"/>
          <w:color w:val="000002"/>
        </w:rPr>
        <w:t>Guttorp</w:t>
      </w:r>
      <w:proofErr w:type="spellEnd"/>
      <w:r w:rsidRPr="001D0319">
        <w:rPr>
          <w:rFonts w:ascii="Arial" w:hAnsi="Arial" w:cs="Arial"/>
          <w:color w:val="000002"/>
        </w:rPr>
        <w:t xml:space="preserve">, 1991; </w:t>
      </w:r>
      <w:r w:rsidRPr="001D0319">
        <w:rPr>
          <w:rFonts w:ascii="Arial" w:hAnsi="Arial" w:cs="Arial"/>
        </w:rPr>
        <w:t xml:space="preserve">Agada, et al., 2017; Agada, et al., 2025) occurrence for many years. According to early research, first-order Markov chains can be used to probabilistically simulate the persistence and conditional dependence structures found in precipitation (rainfall) sequences (Katz, 1977). These methods were later expanded to Hidden Markov Models, which made it possible to identify unobserved weather conditions that affect rainfall variability (Zucchini and </w:t>
      </w:r>
      <w:proofErr w:type="spellStart"/>
      <w:r w:rsidRPr="001D0319">
        <w:rPr>
          <w:rFonts w:ascii="Arial" w:hAnsi="Arial" w:cs="Arial"/>
        </w:rPr>
        <w:t>Gut</w:t>
      </w:r>
      <w:r w:rsidR="00185D03">
        <w:rPr>
          <w:rFonts w:ascii="Arial" w:hAnsi="Arial" w:cs="Arial"/>
        </w:rPr>
        <w:t>torp</w:t>
      </w:r>
      <w:proofErr w:type="spellEnd"/>
      <w:r w:rsidR="00185D03">
        <w:rPr>
          <w:rFonts w:ascii="Arial" w:hAnsi="Arial" w:cs="Arial"/>
        </w:rPr>
        <w:t>, 1991</w:t>
      </w:r>
      <w:r w:rsidRPr="001D0319">
        <w:rPr>
          <w:rFonts w:ascii="Arial" w:hAnsi="Arial" w:cs="Arial"/>
        </w:rPr>
        <w:t>). In West Africa, these models have been effectively used to describe seasonal rainfall dynamics, identify changes in the climate regime, and categoriz</w:t>
      </w:r>
      <w:r w:rsidR="00207573">
        <w:rPr>
          <w:rFonts w:ascii="Arial" w:hAnsi="Arial" w:cs="Arial"/>
        </w:rPr>
        <w:t>e wet and dry spells</w:t>
      </w:r>
      <w:r w:rsidRPr="001D0319">
        <w:rPr>
          <w:rFonts w:ascii="Arial" w:hAnsi="Arial" w:cs="Arial"/>
        </w:rPr>
        <w:t>. HMM's efficacy stems from its capacity to link observed meteorological data with underlying atmospheric conditions. Nevertheless, a lot of earlier applications focused on statistical classification rather than providing a clear physical understanding of the states that were found. In order to establish a connection between statistical regime identification and physical atmospheric dynamics, this study makes a contribution by explicitly understanding HMM states as thermodynamic regimes controlled by energy exchange processes within the climate system of the core Middle Belt states of Nigeria.</w:t>
      </w:r>
    </w:p>
    <w:p w14:paraId="48DB66E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406C27F" w14:textId="77777777" w:rsidR="00790ADA" w:rsidRPr="00FB3A86" w:rsidRDefault="00790ADA" w:rsidP="00441B6F">
      <w:pPr>
        <w:pStyle w:val="AbstHead"/>
        <w:spacing w:after="0"/>
        <w:jc w:val="both"/>
        <w:rPr>
          <w:rFonts w:ascii="Arial" w:hAnsi="Arial" w:cs="Arial"/>
        </w:rPr>
      </w:pPr>
    </w:p>
    <w:p w14:paraId="3260462C" w14:textId="77777777" w:rsidR="00ED02C0" w:rsidRPr="001D0319" w:rsidRDefault="00ED02C0" w:rsidP="00ED02C0">
      <w:pPr>
        <w:rPr>
          <w:rFonts w:ascii="Arial" w:hAnsi="Arial" w:cs="Arial"/>
          <w:b/>
        </w:rPr>
      </w:pPr>
      <w:r w:rsidRPr="001D0319">
        <w:rPr>
          <w:rFonts w:ascii="Arial" w:hAnsi="Arial" w:cs="Arial"/>
          <w:b/>
        </w:rPr>
        <w:t xml:space="preserve">2.1 </w:t>
      </w:r>
      <w:r w:rsidRPr="00ED02C0">
        <w:rPr>
          <w:rFonts w:ascii="Arial" w:hAnsi="Arial" w:cs="Arial"/>
          <w:b/>
          <w:i/>
        </w:rPr>
        <w:t>Study Area</w:t>
      </w:r>
    </w:p>
    <w:p w14:paraId="3270DD21" w14:textId="6D4FA720" w:rsidR="00ED02C0" w:rsidRPr="001D0319" w:rsidRDefault="00ED02C0" w:rsidP="00ED02C0">
      <w:pPr>
        <w:spacing w:line="360" w:lineRule="auto"/>
        <w:jc w:val="both"/>
        <w:rPr>
          <w:rFonts w:ascii="Arial" w:hAnsi="Arial" w:cs="Arial"/>
        </w:rPr>
      </w:pPr>
      <w:r w:rsidRPr="001D0319">
        <w:rPr>
          <w:rFonts w:ascii="Arial" w:hAnsi="Arial" w:cs="Arial"/>
        </w:rPr>
        <w:t>A transitional region, the Middle Belt of Nigeria is located between latitudes 6°N and 11°30'N and longitudes 2°42'E and 15°E. Its tropical wet (April–October) and dry (November–March) seasons differ from the south to the north, with milder temperatures seen in some locations, such as the Jos Plateau. Nigeria's Middle Belt</w:t>
      </w:r>
      <w:r>
        <w:rPr>
          <w:rFonts w:ascii="Arial" w:hAnsi="Arial" w:cs="Arial"/>
        </w:rPr>
        <w:t xml:space="preserve"> (Figure </w:t>
      </w:r>
      <w:r w:rsidR="006A0E1B">
        <w:rPr>
          <w:rFonts w:ascii="Arial" w:hAnsi="Arial" w:cs="Arial"/>
        </w:rPr>
        <w:t>1</w:t>
      </w:r>
      <w:r>
        <w:rPr>
          <w:rFonts w:ascii="Arial" w:hAnsi="Arial" w:cs="Arial"/>
        </w:rPr>
        <w:t>)</w:t>
      </w:r>
      <w:r w:rsidRPr="001D0319">
        <w:rPr>
          <w:rFonts w:ascii="Arial" w:hAnsi="Arial" w:cs="Arial"/>
        </w:rPr>
        <w:t xml:space="preserve"> is a diverse central region that primarily consists of the North Central geopolitical zone, which includes the Plateau, Nasarawa, Niger, Kogi, Kwara, Benue states, and the Federal Capital Territory (FCT). It is well-known for its numerous ethnic groups and cultural diversity between the largely Hausa-Fulani North and the Yoruba/Igbo South. It also extend to the southern regions of other northern states of Kaduna, Adamawa, Taraba, Bauchi, Kebbi, Gombe, and Yobe.</w:t>
      </w:r>
    </w:p>
    <w:p w14:paraId="2EDFF7FB" w14:textId="77777777" w:rsidR="00ED02C0" w:rsidRPr="001D0319" w:rsidRDefault="00ED02C0" w:rsidP="00ED02C0">
      <w:pPr>
        <w:rPr>
          <w:rFonts w:ascii="Arial" w:hAnsi="Arial" w:cs="Arial"/>
        </w:rPr>
      </w:pPr>
      <w:r w:rsidRPr="001D0319">
        <w:rPr>
          <w:rFonts w:ascii="Arial" w:hAnsi="Arial" w:cs="Arial"/>
          <w:noProof/>
        </w:rPr>
        <w:lastRenderedPageBreak/>
        <w:drawing>
          <wp:inline distT="0" distB="0" distL="0" distR="0" wp14:anchorId="2C2D78B5" wp14:editId="677C74E5">
            <wp:extent cx="4977130" cy="3146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6470" cy="3165222"/>
                    </a:xfrm>
                    <a:prstGeom prst="rect">
                      <a:avLst/>
                    </a:prstGeom>
                  </pic:spPr>
                </pic:pic>
              </a:graphicData>
            </a:graphic>
          </wp:inline>
        </w:drawing>
      </w:r>
    </w:p>
    <w:p w14:paraId="61392C7A" w14:textId="4C223CCC" w:rsidR="00ED02C0" w:rsidRPr="001D0319" w:rsidRDefault="00ED02C0" w:rsidP="00ED02C0">
      <w:pPr>
        <w:rPr>
          <w:rFonts w:ascii="Arial" w:hAnsi="Arial" w:cs="Arial"/>
        </w:rPr>
      </w:pPr>
      <w:r>
        <w:rPr>
          <w:rFonts w:ascii="Arial" w:hAnsi="Arial" w:cs="Arial"/>
        </w:rPr>
        <w:t xml:space="preserve">Figure </w:t>
      </w:r>
      <w:r w:rsidR="006A0E1B">
        <w:rPr>
          <w:rFonts w:ascii="Arial" w:hAnsi="Arial" w:cs="Arial"/>
        </w:rPr>
        <w:t>1</w:t>
      </w:r>
      <w:r w:rsidRPr="001D0319">
        <w:rPr>
          <w:rFonts w:ascii="Arial" w:hAnsi="Arial" w:cs="Arial"/>
        </w:rPr>
        <w:t>: Map of the Middle Belt States in Nigeria</w:t>
      </w:r>
    </w:p>
    <w:p w14:paraId="696C2B6B" w14:textId="77777777" w:rsidR="00ED02C0" w:rsidRDefault="00ED02C0" w:rsidP="00ED02C0">
      <w:pPr>
        <w:rPr>
          <w:rFonts w:ascii="Arial" w:hAnsi="Arial" w:cs="Arial"/>
          <w:b/>
        </w:rPr>
      </w:pPr>
    </w:p>
    <w:p w14:paraId="75CAA5AC" w14:textId="77777777" w:rsidR="00ED02C0" w:rsidRPr="000B1138" w:rsidRDefault="00ED02C0" w:rsidP="000B1138">
      <w:pPr>
        <w:spacing w:line="360" w:lineRule="auto"/>
        <w:jc w:val="both"/>
        <w:rPr>
          <w:rFonts w:ascii="Arial" w:hAnsi="Arial" w:cs="Arial"/>
          <w:b/>
          <w:i/>
        </w:rPr>
      </w:pPr>
      <w:r w:rsidRPr="000B1138">
        <w:rPr>
          <w:rFonts w:ascii="Arial" w:hAnsi="Arial" w:cs="Arial"/>
          <w:b/>
        </w:rPr>
        <w:t xml:space="preserve">2.2 </w:t>
      </w:r>
      <w:r w:rsidRPr="000B1138">
        <w:rPr>
          <w:rFonts w:ascii="Arial" w:hAnsi="Arial" w:cs="Arial"/>
          <w:b/>
          <w:i/>
        </w:rPr>
        <w:t>Data Description</w:t>
      </w:r>
    </w:p>
    <w:p w14:paraId="6C684E70" w14:textId="77777777" w:rsidR="00ED02C0" w:rsidRPr="000B1138" w:rsidRDefault="00ED02C0" w:rsidP="000B1138">
      <w:pPr>
        <w:spacing w:line="360" w:lineRule="auto"/>
        <w:jc w:val="both"/>
        <w:rPr>
          <w:rFonts w:ascii="Arial" w:hAnsi="Arial" w:cs="Arial"/>
          <w:b/>
        </w:rPr>
      </w:pPr>
      <w:r w:rsidRPr="000B1138">
        <w:rPr>
          <w:rFonts w:ascii="Arial" w:hAnsi="Arial" w:cs="Arial"/>
        </w:rPr>
        <w:t xml:space="preserve">Daily Rainfall and Air temperature data for the Middle Belt States (Abuja, Benue, </w:t>
      </w:r>
      <w:proofErr w:type="spellStart"/>
      <w:r w:rsidRPr="000B1138">
        <w:rPr>
          <w:rFonts w:ascii="Arial" w:hAnsi="Arial" w:cs="Arial"/>
        </w:rPr>
        <w:t>Kogi</w:t>
      </w:r>
      <w:proofErr w:type="spellEnd"/>
      <w:r w:rsidRPr="000B1138">
        <w:rPr>
          <w:rFonts w:ascii="Arial" w:hAnsi="Arial" w:cs="Arial"/>
        </w:rPr>
        <w:t xml:space="preserve">, </w:t>
      </w:r>
      <w:proofErr w:type="spellStart"/>
      <w:r w:rsidRPr="000B1138">
        <w:rPr>
          <w:rFonts w:ascii="Arial" w:hAnsi="Arial" w:cs="Arial"/>
        </w:rPr>
        <w:t>Kwara</w:t>
      </w:r>
      <w:proofErr w:type="spellEnd"/>
      <w:r w:rsidRPr="000B1138">
        <w:rPr>
          <w:rFonts w:ascii="Arial" w:hAnsi="Arial" w:cs="Arial"/>
        </w:rPr>
        <w:t xml:space="preserve">, </w:t>
      </w:r>
      <w:proofErr w:type="spellStart"/>
      <w:r w:rsidRPr="000B1138">
        <w:rPr>
          <w:rFonts w:ascii="Arial" w:hAnsi="Arial" w:cs="Arial"/>
        </w:rPr>
        <w:t>Nassarawa</w:t>
      </w:r>
      <w:proofErr w:type="spellEnd"/>
      <w:r w:rsidRPr="000B1138">
        <w:rPr>
          <w:rFonts w:ascii="Arial" w:hAnsi="Arial" w:cs="Arial"/>
        </w:rPr>
        <w:t>, Niger, and Plateau) in Nigeria from January1, 1991 to December 31, 2020 (30 years) was obtained from National Aeronautic and Space Administration (NASA) meteorological center.</w:t>
      </w:r>
    </w:p>
    <w:p w14:paraId="7896154C" w14:textId="77777777" w:rsidR="00ED02C0" w:rsidRPr="000B1138" w:rsidRDefault="00ED02C0" w:rsidP="000B1138">
      <w:pPr>
        <w:spacing w:line="360" w:lineRule="auto"/>
        <w:jc w:val="both"/>
        <w:rPr>
          <w:rFonts w:ascii="Arial" w:hAnsi="Arial" w:cs="Arial"/>
          <w:b/>
        </w:rPr>
      </w:pPr>
      <w:r w:rsidRPr="000B1138">
        <w:rPr>
          <w:rFonts w:ascii="Arial" w:hAnsi="Arial" w:cs="Arial"/>
          <w:b/>
        </w:rPr>
        <w:t xml:space="preserve">2.3 </w:t>
      </w:r>
      <w:r w:rsidRPr="000B1138">
        <w:rPr>
          <w:rFonts w:ascii="Arial" w:hAnsi="Arial" w:cs="Arial"/>
          <w:b/>
          <w:i/>
        </w:rPr>
        <w:t>Two-State Hidden Markov Model</w:t>
      </w:r>
      <w:r w:rsidRPr="000B1138">
        <w:rPr>
          <w:rFonts w:ascii="Arial" w:hAnsi="Arial" w:cs="Arial"/>
          <w:b/>
        </w:rPr>
        <w:t xml:space="preserve"> </w:t>
      </w:r>
    </w:p>
    <w:p w14:paraId="356B0FD5" w14:textId="77777777" w:rsidR="00ED02C0" w:rsidRPr="000B1138" w:rsidRDefault="00ED02C0" w:rsidP="000B1138">
      <w:pPr>
        <w:autoSpaceDE w:val="0"/>
        <w:autoSpaceDN w:val="0"/>
        <w:adjustRightInd w:val="0"/>
        <w:spacing w:line="360" w:lineRule="auto"/>
        <w:jc w:val="both"/>
        <w:rPr>
          <w:rFonts w:ascii="Arial" w:hAnsi="Arial" w:cs="Arial"/>
        </w:rPr>
      </w:pPr>
      <w:r w:rsidRPr="000B1138">
        <w:rPr>
          <w:rFonts w:ascii="Arial" w:hAnsi="Arial" w:cs="Arial"/>
        </w:rPr>
        <w:t>The Hidden Markov Model consists of a discrete hidden state process that evolves according to a Markov chain A Markov chain is a stochastic model describing a sequence of possible events in which the probability of each event depends only on the state attained in the previous event (Markovian property). A stochastic process {</w:t>
      </w:r>
      <w:proofErr w:type="spellStart"/>
      <w:r w:rsidRPr="000B1138">
        <w:rPr>
          <w:rFonts w:ascii="Arial" w:hAnsi="Arial" w:cs="Arial"/>
          <w:i/>
          <w:iCs/>
        </w:rPr>
        <w:t>X</w:t>
      </w:r>
      <w:r w:rsidRPr="000B1138">
        <w:rPr>
          <w:rFonts w:ascii="Arial" w:hAnsi="Arial" w:cs="Arial"/>
          <w:i/>
          <w:iCs/>
          <w:vertAlign w:val="subscript"/>
        </w:rPr>
        <w:t>n</w:t>
      </w:r>
      <w:proofErr w:type="spellEnd"/>
      <w:r w:rsidRPr="000B1138">
        <w:rPr>
          <w:rFonts w:ascii="Arial" w:hAnsi="Arial" w:cs="Arial"/>
        </w:rPr>
        <w:t xml:space="preserve">} is said to have the </w:t>
      </w:r>
      <w:r w:rsidRPr="000B1138">
        <w:rPr>
          <w:rFonts w:ascii="Arial" w:hAnsi="Arial" w:cs="Arial"/>
          <w:bCs/>
        </w:rPr>
        <w:t xml:space="preserve">Markovian property </w:t>
      </w:r>
      <w:r w:rsidRPr="000B1138">
        <w:rPr>
          <w:rFonts w:ascii="Arial" w:hAnsi="Arial" w:cs="Arial"/>
        </w:rPr>
        <w:t>if</w:t>
      </w:r>
    </w:p>
    <w:p w14:paraId="674B25DC" w14:textId="77777777" w:rsidR="00ED02C0" w:rsidRPr="000B1138" w:rsidRDefault="00ED02C0" w:rsidP="000B1138">
      <w:pPr>
        <w:autoSpaceDE w:val="0"/>
        <w:autoSpaceDN w:val="0"/>
        <w:adjustRightInd w:val="0"/>
        <w:spacing w:line="360" w:lineRule="auto"/>
        <w:jc w:val="both"/>
        <w:rPr>
          <w:rFonts w:ascii="Arial" w:eastAsiaTheme="minorEastAsia" w:hAnsi="Arial" w:cs="Arial"/>
        </w:rPr>
      </w:pPr>
      <m:oMathPara>
        <m:oMathParaPr>
          <m:jc m:val="center"/>
        </m:oMathParaPr>
        <m:oMath>
          <m:r>
            <w:rPr>
              <w:rFonts w:ascii="Cambria Math" w:hAnsi="Cambria Math" w:cs="Arial"/>
            </w:rPr>
            <m:t>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vertAlign w:val="subscript"/>
                </w:rPr>
                <m:t xml:space="preserve"> </m:t>
              </m:r>
              <m:r>
                <w:rPr>
                  <w:rFonts w:ascii="Cambria Math" w:hAnsi="Cambria Math" w:cs="Arial"/>
                </w:rPr>
                <m:t>=</m:t>
              </m:r>
              <m:sSub>
                <m:sSubPr>
                  <m:ctrlPr>
                    <w:rPr>
                      <w:rFonts w:ascii="Cambria Math" w:hAnsi="Cambria Math" w:cs="Arial"/>
                      <w:i/>
                    </w:rPr>
                  </m:ctrlPr>
                </m:sSubPr>
                <m:e>
                  <m:r>
                    <w:rPr>
                      <w:rFonts w:ascii="Cambria Math" w:hAnsi="Cambria Math" w:cs="Arial"/>
                    </w:rPr>
                    <m:t xml:space="preserve"> i</m:t>
                  </m:r>
                </m:e>
                <m:sub>
                  <m:r>
                    <w:rPr>
                      <w:rFonts w:ascii="Cambria Math" w:hAnsi="Cambria Math" w:cs="Arial"/>
                      <w:vertAlign w:val="subscript"/>
                    </w:rPr>
                    <m:t>n-1</m:t>
                  </m:r>
                </m:sub>
              </m:sSub>
              <m:r>
                <w:rPr>
                  <w:rFonts w:ascii="Cambria Math" w:hAnsi="Cambria Math" w:cs="Arial"/>
                  <w:vertAlign w:val="subscript"/>
                </w:rPr>
                <m:t>,</m:t>
              </m:r>
              <m:r>
                <w:rPr>
                  <w:rFonts w:ascii="Cambria Math" w:hAnsi="Cambria Math" w:cs="Arial"/>
                </w:rPr>
                <m:t xml:space="preserve">. . . ,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 xml:space="preserve"> i</m:t>
                  </m:r>
                </m:e>
                <m:sub>
                  <m:r>
                    <w:rPr>
                      <w:rFonts w:ascii="Cambria Math" w:hAnsi="Cambria Math" w:cs="Arial"/>
                      <w:vertAlign w:val="subscript"/>
                    </w:rPr>
                    <m:t>1</m:t>
                  </m:r>
                </m:sub>
              </m:sSub>
              <m:r>
                <w:rPr>
                  <w:rFonts w:ascii="Cambria Math" w:hAnsi="Cambria Math" w:cs="Arial"/>
                  <w:vertAlign w:val="subscript"/>
                </w:rPr>
                <m:t>,</m:t>
              </m:r>
              <m:sSub>
                <m:sSubPr>
                  <m:ctrlPr>
                    <w:rPr>
                      <w:rFonts w:ascii="Cambria Math" w:hAnsi="Cambria Math" w:cs="Arial"/>
                      <w:i/>
                    </w:rPr>
                  </m:ctrlPr>
                </m:sSubPr>
                <m:e>
                  <m:r>
                    <w:rPr>
                      <w:rFonts w:ascii="Cambria Math" w:hAnsi="Cambria Math" w:cs="Arial"/>
                    </w:rPr>
                    <m:t>X</m:t>
                  </m:r>
                  <m:ctrlPr>
                    <w:rPr>
                      <w:rFonts w:ascii="Cambria Math" w:hAnsi="Cambria Math" w:cs="Arial"/>
                      <w:i/>
                      <w:vertAlign w:val="subscript"/>
                    </w:rPr>
                  </m:ctrlPr>
                </m:e>
                <m:sub>
                  <m:r>
                    <w:rPr>
                      <w:rFonts w:ascii="Cambria Math" w:hAnsi="Cambria Math" w:cs="Arial"/>
                      <w:vertAlign w:val="subscript"/>
                    </w:rPr>
                    <m:t>0</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0</m:t>
                  </m:r>
                </m:sub>
              </m:sSub>
            </m:e>
          </m:d>
        </m:oMath>
      </m:oMathPara>
    </w:p>
    <w:p w14:paraId="48F84DB3" w14:textId="77777777" w:rsidR="00ED02C0" w:rsidRPr="000B1138" w:rsidRDefault="00ED02C0" w:rsidP="000B1138">
      <w:pPr>
        <w:spacing w:after="160" w:line="360" w:lineRule="auto"/>
        <w:jc w:val="both"/>
        <w:rPr>
          <w:rFonts w:ascii="Arial" w:eastAsiaTheme="minorEastAsia" w:hAnsi="Arial" w:cs="Arial"/>
        </w:rPr>
      </w:pPr>
      <w:r w:rsidRPr="000B1138">
        <w:rPr>
          <w:rFonts w:ascii="Arial" w:eastAsiaTheme="minorEastAsia" w:hAnsi="Arial" w:cs="Arial"/>
        </w:rPr>
        <w:t xml:space="preserve">                                                            </w:t>
      </w:r>
      <m:oMath>
        <m:r>
          <w:rPr>
            <w:rFonts w:ascii="Cambria Math" w:hAnsi="Cambria Math" w:cs="Arial"/>
          </w:rPr>
          <m:t>= 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vertAlign w:val="subscript"/>
              </w:rPr>
              <m:t>ij</m:t>
            </m:r>
          </m:sub>
        </m:sSub>
      </m:oMath>
      <w:r w:rsidRPr="000B1138">
        <w:rPr>
          <w:rFonts w:ascii="Arial" w:eastAsiaTheme="minorEastAsia" w:hAnsi="Arial" w:cs="Arial"/>
        </w:rPr>
        <w:tab/>
        <w:t xml:space="preserve">                </w:t>
      </w:r>
      <w:r w:rsidRPr="000B1138">
        <w:rPr>
          <w:rFonts w:ascii="Arial" w:eastAsiaTheme="minorEastAsia" w:hAnsi="Arial" w:cs="Arial"/>
        </w:rPr>
        <w:tab/>
        <w:t xml:space="preserve">(1)          </w:t>
      </w:r>
    </w:p>
    <w:p w14:paraId="78C9B1A1" w14:textId="77777777" w:rsidR="00ED02C0" w:rsidRPr="000B1138" w:rsidRDefault="00ED02C0" w:rsidP="000B1138">
      <w:pPr>
        <w:spacing w:after="160" w:line="360" w:lineRule="auto"/>
        <w:jc w:val="both"/>
        <w:rPr>
          <w:rFonts w:ascii="Arial" w:hAnsi="Arial" w:cs="Arial"/>
        </w:rPr>
      </w:pPr>
      <w:r w:rsidRPr="000B1138">
        <w:rPr>
          <w:rFonts w:ascii="Arial" w:hAnsi="Arial" w:cs="Arial"/>
        </w:rPr>
        <w:t xml:space="preserve">For all states </w:t>
      </w:r>
      <m:oMath>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0</m:t>
            </m:r>
          </m:sub>
        </m:sSub>
        <m:r>
          <w:rPr>
            <w:rFonts w:ascii="Cambria Math" w:hAnsi="Cambria Math" w:cs="Arial"/>
            <w:vertAlign w:val="subscript"/>
          </w:rPr>
          <m:t xml:space="preserve">, </m:t>
        </m:r>
        <m:sSub>
          <m:sSubPr>
            <m:ctrlPr>
              <w:rPr>
                <w:rFonts w:ascii="Cambria Math" w:hAnsi="Cambria Math" w:cs="Arial"/>
                <w:i/>
              </w:rPr>
            </m:ctrlPr>
          </m:sSubPr>
          <m:e>
            <m:r>
              <w:rPr>
                <w:rFonts w:ascii="Cambria Math" w:hAnsi="Cambria Math" w:cs="Arial"/>
              </w:rPr>
              <m:t>i</m:t>
            </m:r>
          </m:e>
          <m:sub>
            <m:r>
              <w:rPr>
                <w:rFonts w:ascii="Cambria Math" w:hAnsi="Cambria Math" w:cs="Arial"/>
                <w:vertAlign w:val="subscript"/>
              </w:rPr>
              <m:t>1</m:t>
            </m:r>
          </m:sub>
        </m:sSub>
        <m:r>
          <w:rPr>
            <w:rFonts w:ascii="Cambria Math" w:hAnsi="Cambria Math" w:cs="Arial"/>
          </w:rPr>
          <m:t xml:space="preserve">, . . .,  i,  j </m:t>
        </m:r>
      </m:oMath>
      <w:r w:rsidRPr="000B1138">
        <w:rPr>
          <w:rFonts w:ascii="Arial" w:hAnsi="Arial" w:cs="Arial"/>
        </w:rPr>
        <w:t>and</w:t>
      </w:r>
      <m:oMath>
        <m:r>
          <w:rPr>
            <w:rFonts w:ascii="Cambria Math" w:hAnsi="Cambria Math" w:cs="Arial"/>
          </w:rPr>
          <m:t xml:space="preserve"> n ≥ 0</m:t>
        </m:r>
      </m:oMath>
      <w:r w:rsidRPr="000B1138">
        <w:rPr>
          <w:rFonts w:ascii="Arial" w:hAnsi="Arial" w:cs="Arial"/>
        </w:rPr>
        <w:t xml:space="preserve">. </w:t>
      </w:r>
    </w:p>
    <w:p w14:paraId="6CB05304" w14:textId="16286886" w:rsidR="00ED02C0" w:rsidRPr="000B1138" w:rsidRDefault="00ED02C0" w:rsidP="000B1138">
      <w:pPr>
        <w:autoSpaceDE w:val="0"/>
        <w:autoSpaceDN w:val="0"/>
        <w:adjustRightInd w:val="0"/>
        <w:spacing w:line="360" w:lineRule="auto"/>
        <w:jc w:val="both"/>
        <w:rPr>
          <w:rFonts w:ascii="Arial" w:hAnsi="Arial" w:cs="Arial"/>
          <w:i/>
          <w:iCs/>
        </w:rPr>
      </w:pPr>
      <w:r w:rsidRPr="000B1138">
        <w:rPr>
          <w:rFonts w:ascii="Arial" w:hAnsi="Arial" w:cs="Arial"/>
        </w:rPr>
        <w:t xml:space="preserve">For a first-order Markov chain, the future state </w:t>
      </w:r>
      <m:oMath>
        <m:sSub>
          <m:sSubPr>
            <m:ctrlPr>
              <w:rPr>
                <w:rFonts w:ascii="Cambria Math" w:hAnsi="Cambria Math" w:cs="Arial"/>
                <w:i/>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Pr="000B1138">
        <w:rPr>
          <w:rFonts w:ascii="Arial" w:hAnsi="Arial" w:cs="Arial"/>
        </w:rPr>
        <w:t xml:space="preserve">is independent of the previous states </w:t>
      </w:r>
      <m:oMath>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1</m:t>
            </m:r>
          </m:sub>
        </m:sSub>
        <m:r>
          <w:rPr>
            <w:rFonts w:ascii="Cambria Math" w:hAnsi="Cambria Math" w:cs="Arial"/>
          </w:rPr>
          <m:t xml:space="preserve">,. . . .., </m:t>
        </m:r>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xml:space="preserve"> </m:t>
        </m:r>
      </m:oMath>
      <w:r w:rsidRPr="000B1138">
        <w:rPr>
          <w:rFonts w:ascii="Arial" w:hAnsi="Arial" w:cs="Arial"/>
        </w:rPr>
        <w:t xml:space="preserve">and depends only on the present state </w:t>
      </w:r>
      <m:oMath>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oMath>
      <w:r w:rsidRPr="000B1138">
        <w:rPr>
          <w:rFonts w:ascii="Arial" w:hAnsi="Arial" w:cs="Arial"/>
        </w:rPr>
        <w:t xml:space="preserve"> </w:t>
      </w:r>
      <w:r w:rsidRPr="000B1138">
        <w:rPr>
          <w:rFonts w:ascii="Arial" w:hAnsi="Arial" w:cs="Arial"/>
          <w:iCs/>
        </w:rPr>
        <w:t>(Agada et al., 2020)</w:t>
      </w:r>
      <w:r w:rsidRPr="000B1138">
        <w:rPr>
          <w:rFonts w:ascii="Arial" w:hAnsi="Arial" w:cs="Arial"/>
        </w:rPr>
        <w:t>. A stochastic process {</w:t>
      </w:r>
      <w:proofErr w:type="spellStart"/>
      <w:r w:rsidRPr="000B1138">
        <w:rPr>
          <w:rFonts w:ascii="Arial" w:hAnsi="Arial" w:cs="Arial"/>
          <w:i/>
          <w:iCs/>
        </w:rPr>
        <w:t>X</w:t>
      </w:r>
      <w:r w:rsidRPr="000B1138">
        <w:rPr>
          <w:rFonts w:ascii="Arial" w:hAnsi="Arial" w:cs="Arial"/>
          <w:i/>
          <w:iCs/>
          <w:vertAlign w:val="subscript"/>
        </w:rPr>
        <w:t>n</w:t>
      </w:r>
      <w:proofErr w:type="spellEnd"/>
      <w:r w:rsidRPr="000B1138">
        <w:rPr>
          <w:rFonts w:ascii="Arial" w:hAnsi="Arial" w:cs="Arial"/>
        </w:rPr>
        <w:t>} (</w:t>
      </w:r>
      <w:r w:rsidRPr="000B1138">
        <w:rPr>
          <w:rFonts w:ascii="Arial" w:hAnsi="Arial" w:cs="Arial"/>
          <w:i/>
          <w:iCs/>
        </w:rPr>
        <w:t xml:space="preserve">n </w:t>
      </w:r>
      <w:r w:rsidRPr="000B1138">
        <w:rPr>
          <w:rFonts w:ascii="Arial" w:hAnsi="Arial" w:cs="Arial"/>
        </w:rPr>
        <w:t xml:space="preserve">= 0, 1 . . .) is a </w:t>
      </w:r>
      <w:r w:rsidRPr="000B1138">
        <w:rPr>
          <w:rFonts w:ascii="Arial" w:hAnsi="Arial" w:cs="Arial"/>
          <w:bCs/>
        </w:rPr>
        <w:t xml:space="preserve">Markov chain </w:t>
      </w:r>
      <w:r w:rsidRPr="000B1138">
        <w:rPr>
          <w:rFonts w:ascii="Arial" w:hAnsi="Arial" w:cs="Arial"/>
        </w:rPr>
        <w:t xml:space="preserve">if it has the </w:t>
      </w:r>
      <w:r w:rsidRPr="000B1138">
        <w:rPr>
          <w:rFonts w:ascii="Arial" w:hAnsi="Arial" w:cs="Arial"/>
          <w:iCs/>
        </w:rPr>
        <w:t>Markovian property</w:t>
      </w:r>
      <w:r w:rsidRPr="000B1138">
        <w:rPr>
          <w:rFonts w:ascii="Arial" w:hAnsi="Arial" w:cs="Arial"/>
          <w:i/>
          <w:iCs/>
        </w:rPr>
        <w:t>.</w:t>
      </w:r>
      <w:r w:rsidR="004C150B" w:rsidRPr="000B1138">
        <w:rPr>
          <w:rFonts w:ascii="Arial" w:hAnsi="Arial" w:cs="Arial"/>
          <w:i/>
          <w:iCs/>
        </w:rPr>
        <w:t xml:space="preserve"> </w:t>
      </w:r>
      <w:r w:rsidR="004C150B" w:rsidRPr="000B1138">
        <w:rPr>
          <w:rFonts w:ascii="Arial" w:hAnsi="Arial" w:cs="Arial"/>
          <w:color w:val="231A09"/>
        </w:rPr>
        <w:t xml:space="preserve">Equation (1) implies that the probability law relating the next period’s state to the current state does not change (or remains stationary) over time. For this reason, equation (1) is often called the </w:t>
      </w:r>
      <w:r w:rsidR="004C150B" w:rsidRPr="000B1138">
        <w:rPr>
          <w:rFonts w:ascii="Arial" w:hAnsi="Arial" w:cs="Arial"/>
          <w:bCs/>
          <w:color w:val="231A09"/>
        </w:rPr>
        <w:t>Stationarity Assumption</w:t>
      </w:r>
      <w:r w:rsidR="004C150B" w:rsidRPr="000B1138">
        <w:rPr>
          <w:rFonts w:ascii="Arial" w:hAnsi="Arial" w:cs="Arial"/>
          <w:b/>
          <w:bCs/>
          <w:color w:val="231A09"/>
        </w:rPr>
        <w:t xml:space="preserve">. </w:t>
      </w:r>
      <w:r w:rsidR="004C150B" w:rsidRPr="000B1138">
        <w:rPr>
          <w:rFonts w:ascii="Arial" w:hAnsi="Arial" w:cs="Arial"/>
          <w:color w:val="231A09"/>
        </w:rPr>
        <w:t xml:space="preserve">Any Markov chain that satisfies (1) is called a </w:t>
      </w:r>
      <w:r w:rsidR="004C150B" w:rsidRPr="000B1138">
        <w:rPr>
          <w:rFonts w:ascii="Arial" w:hAnsi="Arial" w:cs="Arial"/>
          <w:bCs/>
          <w:color w:val="231A09"/>
        </w:rPr>
        <w:t>stationary Markov chain.</w:t>
      </w:r>
    </w:p>
    <w:p w14:paraId="436D9F16" w14:textId="77777777" w:rsidR="00ED02C0" w:rsidRPr="000B1138" w:rsidRDefault="00ED02C0" w:rsidP="000B1138">
      <w:pPr>
        <w:autoSpaceDE w:val="0"/>
        <w:autoSpaceDN w:val="0"/>
        <w:adjustRightInd w:val="0"/>
        <w:spacing w:line="360" w:lineRule="auto"/>
        <w:jc w:val="both"/>
        <w:rPr>
          <w:rFonts w:ascii="Arial" w:hAnsi="Arial" w:cs="Arial"/>
          <w:iCs/>
        </w:rPr>
      </w:pPr>
    </w:p>
    <w:p w14:paraId="5F7CF8B7" w14:textId="3F06E2BD" w:rsidR="00ED02C0" w:rsidRPr="000B1138" w:rsidRDefault="00ED02C0" w:rsidP="000B1138">
      <w:pPr>
        <w:autoSpaceDE w:val="0"/>
        <w:autoSpaceDN w:val="0"/>
        <w:adjustRightInd w:val="0"/>
        <w:spacing w:line="360" w:lineRule="auto"/>
        <w:jc w:val="both"/>
        <w:rPr>
          <w:rFonts w:ascii="Arial" w:hAnsi="Arial" w:cs="Arial"/>
        </w:rPr>
      </w:pPr>
      <w:r w:rsidRPr="000B1138">
        <w:rPr>
          <w:rFonts w:ascii="Arial" w:hAnsi="Arial" w:cs="Arial"/>
        </w:rPr>
        <w:t xml:space="preserve">The conditional probabilities </w:t>
      </w:r>
      <m:oMath>
        <m:r>
          <w:rPr>
            <w:rFonts w:ascii="Cambria Math" w:hAnsi="Cambria Math" w:cs="Arial"/>
          </w:rPr>
          <m:t>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m:t>
            </m:r>
          </m:e>
        </m:d>
      </m:oMath>
      <w:r w:rsidRPr="000B1138">
        <w:rPr>
          <w:rFonts w:ascii="Arial" w:hAnsi="Arial" w:cs="Arial"/>
        </w:rPr>
        <w:t xml:space="preserve"> for a Markov chain are called (one-step) </w:t>
      </w:r>
      <w:r w:rsidRPr="000B1138">
        <w:rPr>
          <w:rFonts w:ascii="Arial" w:hAnsi="Arial" w:cs="Arial"/>
          <w:bCs/>
        </w:rPr>
        <w:t xml:space="preserve">transition probabilities. </w:t>
      </w:r>
      <w:r w:rsidRPr="000B1138">
        <w:rPr>
          <w:rFonts w:ascii="Arial" w:hAnsi="Arial" w:cs="Arial"/>
        </w:rPr>
        <w:t xml:space="preserve">A Markov chain transition matrix is a square array describing the probabilities of the chain transiting from one state to another. The transition probability </w:t>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oMath>
      <w:r w:rsidRPr="000B1138">
        <w:rPr>
          <w:rFonts w:ascii="Arial" w:hAnsi="Arial" w:cs="Arial"/>
          <w:iCs/>
        </w:rPr>
        <w:t xml:space="preserve"> </w:t>
      </w:r>
      <w:r w:rsidRPr="000B1138">
        <w:rPr>
          <w:rFonts w:ascii="Arial" w:hAnsi="Arial" w:cs="Arial"/>
        </w:rPr>
        <w:t>describes the probability of moving from one rainfall regime to another regime and</w:t>
      </w:r>
      <w:r w:rsidRPr="000B1138">
        <w:rPr>
          <w:rFonts w:ascii="Arial" w:hAnsi="Arial" w:cs="Arial"/>
          <w:iCs/>
        </w:rPr>
        <w:t xml:space="preserve"> is governed by a 2x2 matrix</w:t>
      </w:r>
      <w:r w:rsidRPr="000B1138">
        <w:rPr>
          <w:rFonts w:ascii="Arial" w:hAnsi="Arial" w:cs="Arial"/>
        </w:rPr>
        <w:t>:</w:t>
      </w:r>
    </w:p>
    <w:p w14:paraId="585E69A2" w14:textId="4A6CD448" w:rsidR="00ED02C0" w:rsidRPr="000B1138" w:rsidRDefault="00FD2625" w:rsidP="000B1138">
      <w:pPr>
        <w:autoSpaceDE w:val="0"/>
        <w:autoSpaceDN w:val="0"/>
        <w:adjustRightInd w:val="0"/>
        <w:spacing w:line="360" w:lineRule="auto"/>
        <w:jc w:val="both"/>
        <w:rPr>
          <w:rFonts w:ascii="Arial" w:hAnsi="Arial" w:cs="Arial"/>
        </w:rPr>
      </w:pP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m:t>
        </m:r>
        <m:d>
          <m:dPr>
            <m:begChr m:val="["/>
            <m:endChr m:val="]"/>
            <m:ctrlPr>
              <w:rPr>
                <w:rFonts w:ascii="Cambria Math" w:hAnsi="Cambria Math" w:cs="Arial"/>
                <w:i/>
              </w:rPr>
            </m:ctrlPr>
          </m:dPr>
          <m:e>
            <m:m>
              <m:mPr>
                <m:mcs>
                  <m:mc>
                    <m:mcPr>
                      <m:count m:val="2"/>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12</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22</m:t>
                      </m:r>
                    </m:sub>
                  </m:sSub>
                </m:e>
              </m:mr>
            </m:m>
          </m:e>
        </m:d>
      </m:oMath>
      <w:r w:rsidR="00ED02C0" w:rsidRPr="000B1138">
        <w:rPr>
          <w:rFonts w:ascii="Arial" w:eastAsiaTheme="minorEastAsia" w:hAnsi="Arial" w:cs="Arial"/>
          <w:color w:val="000000"/>
        </w:rPr>
        <w:tab/>
      </w:r>
      <w:r w:rsidR="00ED02C0" w:rsidRPr="000B1138">
        <w:rPr>
          <w:rFonts w:ascii="Arial" w:eastAsiaTheme="minorEastAsia" w:hAnsi="Arial" w:cs="Arial"/>
          <w:color w:val="000000"/>
        </w:rPr>
        <w:tab/>
      </w:r>
      <w:r w:rsidR="00ED02C0" w:rsidRPr="000B1138">
        <w:rPr>
          <w:rFonts w:ascii="Arial" w:eastAsiaTheme="minorEastAsia" w:hAnsi="Arial" w:cs="Arial"/>
          <w:color w:val="000000"/>
        </w:rPr>
        <w:tab/>
      </w:r>
      <w:r w:rsidR="00ED02C0" w:rsidRPr="000B1138">
        <w:rPr>
          <w:rFonts w:ascii="Arial" w:eastAsiaTheme="minorEastAsia" w:hAnsi="Arial" w:cs="Arial"/>
          <w:color w:val="000000"/>
        </w:rPr>
        <w:tab/>
      </w:r>
      <w:r w:rsidR="006847EC">
        <w:rPr>
          <w:rFonts w:ascii="Arial" w:eastAsiaTheme="minorEastAsia" w:hAnsi="Arial" w:cs="Arial"/>
          <w:color w:val="000000"/>
        </w:rPr>
        <w:tab/>
      </w:r>
      <w:r w:rsidR="006847EC">
        <w:rPr>
          <w:rFonts w:ascii="Arial" w:eastAsiaTheme="minorEastAsia" w:hAnsi="Arial" w:cs="Arial"/>
          <w:color w:val="000000"/>
        </w:rPr>
        <w:tab/>
      </w:r>
      <w:r w:rsidR="00ED02C0" w:rsidRPr="000B1138">
        <w:rPr>
          <w:rFonts w:ascii="Arial" w:eastAsiaTheme="minorEastAsia" w:hAnsi="Arial" w:cs="Arial"/>
          <w:color w:val="000000"/>
        </w:rPr>
        <w:tab/>
      </w:r>
      <w:r w:rsidR="00ED02C0" w:rsidRPr="000B1138">
        <w:rPr>
          <w:rFonts w:ascii="Arial" w:eastAsiaTheme="minorEastAsia" w:hAnsi="Arial" w:cs="Arial"/>
          <w:color w:val="000000"/>
        </w:rPr>
        <w:tab/>
      </w:r>
      <w:r w:rsidR="00ED02C0" w:rsidRPr="000B1138">
        <w:rPr>
          <w:rFonts w:ascii="Arial" w:eastAsiaTheme="minorEastAsia" w:hAnsi="Arial" w:cs="Arial"/>
          <w:color w:val="000000"/>
        </w:rPr>
        <w:tab/>
        <w:t xml:space="preserve">       (2)</w:t>
      </w:r>
    </w:p>
    <w:p w14:paraId="6CA3A71D" w14:textId="75AEAEED" w:rsidR="0014455E" w:rsidRPr="000B1138" w:rsidRDefault="0014455E" w:rsidP="000B1138">
      <w:pPr>
        <w:autoSpaceDE w:val="0"/>
        <w:autoSpaceDN w:val="0"/>
        <w:adjustRightInd w:val="0"/>
        <w:spacing w:line="360" w:lineRule="auto"/>
        <w:jc w:val="both"/>
        <w:rPr>
          <w:rFonts w:ascii="Arial" w:hAnsi="Arial" w:cs="Arial"/>
          <w:color w:val="231A09"/>
        </w:rPr>
      </w:pPr>
      <w:r w:rsidRPr="000B1138">
        <w:rPr>
          <w:rFonts w:ascii="Arial" w:hAnsi="Arial" w:cs="Arial"/>
          <w:color w:val="231A09"/>
        </w:rPr>
        <w:t xml:space="preserve">Given that the state at time </w:t>
      </w:r>
      <w:r w:rsidRPr="000B1138">
        <w:rPr>
          <w:rFonts w:ascii="Arial" w:hAnsi="Arial" w:cs="Arial"/>
          <w:i/>
          <w:iCs/>
          <w:color w:val="231A09"/>
        </w:rPr>
        <w:t xml:space="preserve">t </w:t>
      </w:r>
      <w:r w:rsidRPr="000B1138">
        <w:rPr>
          <w:rFonts w:ascii="Arial" w:hAnsi="Arial" w:cs="Arial"/>
          <w:color w:val="231A09"/>
        </w:rPr>
        <w:t xml:space="preserve">is </w:t>
      </w:r>
      <w:r w:rsidRPr="000B1138">
        <w:rPr>
          <w:rFonts w:ascii="Arial" w:hAnsi="Arial" w:cs="Arial"/>
          <w:i/>
          <w:iCs/>
          <w:color w:val="231A09"/>
        </w:rPr>
        <w:t>i</w:t>
      </w:r>
      <w:r w:rsidRPr="000B1138">
        <w:rPr>
          <w:rFonts w:ascii="Arial" w:hAnsi="Arial" w:cs="Arial"/>
          <w:color w:val="231A09"/>
        </w:rPr>
        <w:t xml:space="preserve">, the process must be somewhere at time </w:t>
      </w:r>
      <w:r w:rsidRPr="000B1138">
        <w:rPr>
          <w:rFonts w:ascii="Arial" w:hAnsi="Arial" w:cs="Arial"/>
          <w:i/>
          <w:iCs/>
          <w:color w:val="231A09"/>
        </w:rPr>
        <w:t xml:space="preserve">t </w:t>
      </w:r>
      <w:r w:rsidRPr="000B1138">
        <w:rPr>
          <w:rFonts w:ascii="Arial" w:hAnsi="Arial" w:cs="Arial"/>
          <w:color w:val="231A09"/>
        </w:rPr>
        <w:t>+ 1. This means</w:t>
      </w:r>
    </w:p>
    <w:p w14:paraId="4979A3F9" w14:textId="77777777" w:rsidR="0014455E" w:rsidRPr="000B1138" w:rsidRDefault="0014455E" w:rsidP="000B1138">
      <w:pPr>
        <w:autoSpaceDE w:val="0"/>
        <w:autoSpaceDN w:val="0"/>
        <w:adjustRightInd w:val="0"/>
        <w:spacing w:line="360" w:lineRule="auto"/>
        <w:jc w:val="both"/>
        <w:rPr>
          <w:rFonts w:ascii="Arial" w:hAnsi="Arial" w:cs="Arial"/>
        </w:rPr>
      </w:pPr>
      <w:r w:rsidRPr="000B1138">
        <w:rPr>
          <w:rFonts w:ascii="Arial" w:hAnsi="Arial" w:cs="Arial"/>
          <w:color w:val="231A09"/>
        </w:rPr>
        <w:t xml:space="preserve">that for each </w:t>
      </w:r>
      <w:r w:rsidRPr="000B1138">
        <w:rPr>
          <w:rFonts w:ascii="Arial" w:hAnsi="Arial" w:cs="Arial"/>
          <w:i/>
          <w:iCs/>
          <w:color w:val="231A09"/>
        </w:rPr>
        <w:t>i</w:t>
      </w:r>
      <w:r w:rsidRPr="000B1138">
        <w:rPr>
          <w:rFonts w:ascii="Arial" w:hAnsi="Arial" w:cs="Arial"/>
          <w:color w:val="231A09"/>
        </w:rPr>
        <w:t>,</w:t>
      </w:r>
      <w:r w:rsidR="00ED02C0" w:rsidRPr="000B1138">
        <w:rPr>
          <w:rFonts w:ascii="Arial" w:hAnsi="Arial" w:cs="Arial"/>
        </w:rPr>
        <w:t xml:space="preserve"> </w:t>
      </w:r>
    </w:p>
    <w:p w14:paraId="077148CA" w14:textId="6AC009B1" w:rsidR="0014455E" w:rsidRPr="000B1138" w:rsidRDefault="00FD2625" w:rsidP="000B1138">
      <w:pPr>
        <w:autoSpaceDE w:val="0"/>
        <w:autoSpaceDN w:val="0"/>
        <w:adjustRightInd w:val="0"/>
        <w:spacing w:line="360" w:lineRule="auto"/>
        <w:jc w:val="both"/>
        <w:rPr>
          <w:rFonts w:ascii="Arial" w:hAnsi="Arial" w:cs="Arial"/>
        </w:rPr>
      </w:pPr>
      <m:oMath>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j=n</m:t>
            </m:r>
          </m:sup>
          <m:e>
            <m:r>
              <w:rPr>
                <w:rFonts w:ascii="Cambria Math" w:hAnsi="Cambria Math" w:cs="Arial"/>
              </w:rPr>
              <m:t>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m:t>
                </m:r>
              </m:e>
            </m:d>
            <m:r>
              <w:rPr>
                <w:rFonts w:ascii="Cambria Math" w:hAnsi="Cambria Math" w:cs="Arial"/>
              </w:rPr>
              <m:t>=1</m:t>
            </m:r>
          </m:e>
        </m:nary>
      </m:oMath>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t xml:space="preserve">        (3)</w:t>
      </w:r>
    </w:p>
    <w:p w14:paraId="1CFB4B0F" w14:textId="2EABCFA3" w:rsidR="0014455E" w:rsidRPr="000B1138" w:rsidRDefault="00FD2625" w:rsidP="000B1138">
      <w:pPr>
        <w:autoSpaceDE w:val="0"/>
        <w:autoSpaceDN w:val="0"/>
        <w:adjustRightInd w:val="0"/>
        <w:spacing w:line="360" w:lineRule="auto"/>
        <w:jc w:val="both"/>
        <w:rPr>
          <w:rFonts w:ascii="Arial" w:hAnsi="Arial" w:cs="Arial"/>
        </w:rPr>
      </w:pPr>
      <m:oMath>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j=n</m:t>
            </m:r>
          </m:sup>
          <m:e>
            <m:sSub>
              <m:sSubPr>
                <m:ctrlPr>
                  <w:rPr>
                    <w:rFonts w:ascii="Cambria Math" w:hAnsi="Cambria Math" w:cs="Arial"/>
                    <w:i/>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=1</m:t>
            </m:r>
          </m:e>
        </m:nary>
      </m:oMath>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r>
      <w:r w:rsidR="0014455E" w:rsidRPr="000B1138">
        <w:rPr>
          <w:rFonts w:ascii="Arial" w:hAnsi="Arial" w:cs="Arial"/>
        </w:rPr>
        <w:tab/>
        <w:t xml:space="preserve">         (4)</w:t>
      </w:r>
    </w:p>
    <w:p w14:paraId="764CCEDD" w14:textId="56309B74" w:rsidR="0014455E" w:rsidRPr="000B1138" w:rsidRDefault="0014455E" w:rsidP="000B1138">
      <w:pPr>
        <w:autoSpaceDE w:val="0"/>
        <w:autoSpaceDN w:val="0"/>
        <w:adjustRightInd w:val="0"/>
        <w:spacing w:line="360" w:lineRule="auto"/>
        <w:jc w:val="both"/>
        <w:rPr>
          <w:rFonts w:ascii="Arial" w:hAnsi="Arial" w:cs="Arial"/>
          <w:color w:val="231A09"/>
        </w:rPr>
      </w:pPr>
      <w:r w:rsidRPr="000B1138">
        <w:rPr>
          <w:rFonts w:ascii="Arial" w:hAnsi="Arial" w:cs="Arial"/>
          <w:color w:val="231A09"/>
        </w:rPr>
        <w:t xml:space="preserve">The entry in the </w:t>
      </w:r>
      <w:r w:rsidRPr="000B1138">
        <w:rPr>
          <w:rFonts w:ascii="Arial" w:hAnsi="Arial" w:cs="Arial"/>
          <w:i/>
          <w:iCs/>
          <w:color w:val="231A09"/>
        </w:rPr>
        <w:t xml:space="preserve">P </w:t>
      </w:r>
      <w:r w:rsidRPr="000B1138">
        <w:rPr>
          <w:rFonts w:ascii="Arial" w:hAnsi="Arial" w:cs="Arial"/>
          <w:color w:val="231A09"/>
        </w:rPr>
        <w:t>matrix must be nonnegative. Hence, all entries in the transition probability matrix are nonnegative, and the entries in each row must sum to 1.</w:t>
      </w:r>
    </w:p>
    <w:p w14:paraId="2861F02F" w14:textId="77777777" w:rsidR="00DD5F1F" w:rsidRDefault="00DD5F1F" w:rsidP="000B1138">
      <w:pPr>
        <w:autoSpaceDE w:val="0"/>
        <w:autoSpaceDN w:val="0"/>
        <w:adjustRightInd w:val="0"/>
        <w:spacing w:line="360" w:lineRule="auto"/>
        <w:jc w:val="both"/>
        <w:rPr>
          <w:rFonts w:ascii="Arial" w:hAnsi="Arial" w:cs="Arial"/>
        </w:rPr>
      </w:pPr>
    </w:p>
    <w:p w14:paraId="3C43B3ED" w14:textId="77777777" w:rsidR="00BA44A7" w:rsidRPr="000B1138" w:rsidRDefault="00BA44A7" w:rsidP="000B1138">
      <w:pPr>
        <w:autoSpaceDE w:val="0"/>
        <w:autoSpaceDN w:val="0"/>
        <w:adjustRightInd w:val="0"/>
        <w:spacing w:line="360" w:lineRule="auto"/>
        <w:jc w:val="both"/>
        <w:rPr>
          <w:rFonts w:ascii="Arial" w:hAnsi="Arial" w:cs="Arial"/>
        </w:rPr>
      </w:pPr>
      <w:r w:rsidRPr="000B1138">
        <w:rPr>
          <w:rFonts w:ascii="Arial" w:hAnsi="Arial" w:cs="Arial"/>
        </w:rPr>
        <w:t>A Hidden Markov Model (HMM) is a statistical model that captures temporal patterns by representing</w:t>
      </w:r>
    </w:p>
    <w:p w14:paraId="0C5A5594" w14:textId="77777777" w:rsidR="00BA44A7" w:rsidRPr="000B1138" w:rsidRDefault="00BA44A7" w:rsidP="000B1138">
      <w:pPr>
        <w:spacing w:line="360" w:lineRule="auto"/>
        <w:jc w:val="both"/>
        <w:rPr>
          <w:rFonts w:ascii="Arial" w:hAnsi="Arial" w:cs="Arial"/>
          <w:color w:val="000000"/>
        </w:rPr>
      </w:pPr>
      <w:r w:rsidRPr="000B1138">
        <w:rPr>
          <w:rFonts w:ascii="Arial" w:hAnsi="Arial" w:cs="Arial"/>
        </w:rPr>
        <w:t xml:space="preserve">systems with underlying hidden states that inuence observable data. </w:t>
      </w:r>
      <w:r w:rsidRPr="000B1138">
        <w:rPr>
          <w:rFonts w:ascii="Arial" w:hAnsi="Arial" w:cs="Arial"/>
          <w:color w:val="000000"/>
        </w:rPr>
        <w:t xml:space="preserve">An HMM is specified by the following components:           </w:t>
      </w:r>
    </w:p>
    <w:p w14:paraId="0091D760"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m:oMath>
        <m:r>
          <w:rPr>
            <w:rFonts w:ascii="Cambria Math" w:hAnsi="Cambria Math" w:cs="Arial"/>
            <w:color w:val="000000"/>
          </w:rPr>
          <m:t>Q=</m:t>
        </m:r>
        <m:sSub>
          <m:sSubPr>
            <m:ctrlPr>
              <w:rPr>
                <w:rFonts w:ascii="Cambria Math" w:hAnsi="Cambria Math" w:cs="Arial"/>
                <w:i/>
                <w:color w:val="000000"/>
              </w:rPr>
            </m:ctrlPr>
          </m:sSubPr>
          <m:e>
            <m:r>
              <w:rPr>
                <w:rFonts w:ascii="Cambria Math" w:hAnsi="Cambria Math" w:cs="Arial"/>
                <w:color w:val="000000"/>
              </w:rPr>
              <m:t>q</m:t>
            </m:r>
          </m:e>
          <m:sub>
            <m:r>
              <w:rPr>
                <w:rFonts w:ascii="Cambria Math" w:hAnsi="Cambria Math" w:cs="Arial"/>
                <w:color w:val="000000"/>
              </w:rPr>
              <m:t>1</m:t>
            </m:r>
          </m:sub>
        </m:sSub>
        <m:sSub>
          <m:sSubPr>
            <m:ctrlPr>
              <w:rPr>
                <w:rFonts w:ascii="Cambria Math" w:hAnsi="Cambria Math" w:cs="Arial"/>
                <w:i/>
                <w:color w:val="000000"/>
              </w:rPr>
            </m:ctrlPr>
          </m:sSubPr>
          <m:e>
            <m:r>
              <w:rPr>
                <w:rFonts w:ascii="Cambria Math" w:hAnsi="Cambria Math" w:cs="Arial"/>
                <w:color w:val="000000"/>
              </w:rPr>
              <m:t>q</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q</m:t>
            </m:r>
          </m:e>
          <m:sub>
            <m:r>
              <w:rPr>
                <w:rFonts w:ascii="Cambria Math" w:hAnsi="Cambria Math" w:cs="Arial"/>
                <w:color w:val="000000"/>
              </w:rPr>
              <m:t>N</m:t>
            </m:r>
          </m:sub>
        </m:sSub>
        <m:r>
          <w:rPr>
            <w:rFonts w:ascii="Cambria Math" w:hAnsi="Cambria Math" w:cs="Arial"/>
            <w:color w:val="000000"/>
          </w:rPr>
          <m:t xml:space="preserve">                    a set of N states</m:t>
        </m:r>
      </m:oMath>
      <w:r w:rsidRPr="000B1138">
        <w:rPr>
          <w:rFonts w:ascii="Arial" w:hAnsi="Arial" w:cs="Arial"/>
          <w:color w:val="000000"/>
        </w:rPr>
        <w:t xml:space="preserve">                                                                                                       </w:t>
      </w:r>
      <m:oMath>
        <m:r>
          <w:rPr>
            <w:rFonts w:ascii="Cambria Math" w:hAnsi="Cambria Math" w:cs="Arial"/>
            <w:color w:val="000000"/>
          </w:rPr>
          <m:t>A=</m:t>
        </m:r>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11</m:t>
            </m:r>
          </m:sub>
        </m:sSub>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1j</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 xml:space="preserve">NN        </m:t>
            </m:r>
          </m:sub>
        </m:sSub>
        <m:r>
          <w:rPr>
            <w:rFonts w:ascii="Cambria Math" w:hAnsi="Cambria Math" w:cs="Arial"/>
            <w:color w:val="000000"/>
          </w:rPr>
          <m:t xml:space="preserve">a transitio probability matrix A, each </m:t>
        </m:r>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ij</m:t>
            </m:r>
          </m:sub>
        </m:sSub>
        <m:r>
          <w:rPr>
            <w:rFonts w:ascii="Cambria Math" w:hAnsi="Cambria Math" w:cs="Arial"/>
            <w:color w:val="000000"/>
          </w:rPr>
          <m:t xml:space="preserve"> representing the </m:t>
        </m:r>
      </m:oMath>
    </w:p>
    <w:p w14:paraId="760031B9" w14:textId="77777777" w:rsidR="00BA44A7" w:rsidRPr="000B1138" w:rsidRDefault="00BA44A7" w:rsidP="000B1138">
      <w:pPr>
        <w:autoSpaceDE w:val="0"/>
        <w:autoSpaceDN w:val="0"/>
        <w:adjustRightInd w:val="0"/>
        <w:spacing w:line="360" w:lineRule="auto"/>
        <w:jc w:val="both"/>
        <w:rPr>
          <w:rFonts w:ascii="Arial" w:hAnsi="Arial" w:cs="Arial"/>
          <w:color w:val="000000"/>
        </w:rPr>
      </w:pPr>
      <m:oMathPara>
        <m:oMath>
          <m:r>
            <w:rPr>
              <w:rFonts w:ascii="Cambria Math" w:hAnsi="Cambria Math" w:cs="Arial"/>
              <w:color w:val="000000"/>
            </w:rPr>
            <m:t xml:space="preserve">                                                   probability of moving from state i to state j, s.t. </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a</m:t>
                  </m:r>
                </m:e>
                <m:sub>
                  <m:r>
                    <w:rPr>
                      <w:rFonts w:ascii="Cambria Math" w:hAnsi="Cambria Math" w:cs="Arial"/>
                      <w:color w:val="000000"/>
                    </w:rPr>
                    <m:t>ij</m:t>
                  </m:r>
                </m:sub>
              </m:sSub>
            </m:e>
          </m:nary>
          <m:r>
            <w:rPr>
              <w:rFonts w:ascii="Cambria Math" w:hAnsi="Cambria Math" w:cs="Arial"/>
              <w:color w:val="000000"/>
            </w:rPr>
            <m:t>=1 ∀i</m:t>
          </m:r>
        </m:oMath>
      </m:oMathPara>
    </w:p>
    <w:p w14:paraId="00807ABA"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m:oMathPara>
        <m:oMathParaPr>
          <m:jc m:val="left"/>
        </m:oMathParaPr>
        <m:oMath>
          <m:r>
            <w:rPr>
              <w:rFonts w:ascii="Cambria Math" w:hAnsi="Cambria Math" w:cs="Arial"/>
              <w:color w:val="000000"/>
            </w:rPr>
            <m:t>B=</m:t>
          </m:r>
          <m:sSub>
            <m:sSubPr>
              <m:ctrlPr>
                <w:rPr>
                  <w:rFonts w:ascii="Cambria Math" w:hAnsi="Cambria Math" w:cs="Arial"/>
                  <w:i/>
                  <w:color w:val="000000"/>
                </w:rPr>
              </m:ctrlPr>
            </m:sSubPr>
            <m:e>
              <m:r>
                <w:rPr>
                  <w:rFonts w:ascii="Cambria Math" w:hAnsi="Cambria Math" w:cs="Arial"/>
                  <w:color w:val="000000"/>
                </w:rPr>
                <m:t>b</m:t>
              </m:r>
            </m:e>
            <m:sub>
              <m:r>
                <w:rPr>
                  <w:rFonts w:ascii="Cambria Math" w:hAnsi="Cambria Math" w:cs="Arial"/>
                  <w:color w:val="000000"/>
                </w:rPr>
                <m:t>i</m:t>
              </m:r>
            </m:sub>
          </m:sSub>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t</m:t>
                  </m:r>
                </m:sub>
              </m:sSub>
            </m:e>
          </m:d>
          <m:r>
            <w:rPr>
              <w:rFonts w:ascii="Cambria Math" w:hAnsi="Cambria Math" w:cs="Arial"/>
              <w:color w:val="000000"/>
            </w:rPr>
            <m:t xml:space="preserve">                                       a sequence of observation likelihoods, also called emission </m:t>
          </m:r>
        </m:oMath>
      </m:oMathPara>
    </w:p>
    <w:p w14:paraId="5BF0DB9B"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w:r w:rsidRPr="000B1138">
        <w:rPr>
          <w:rFonts w:ascii="Arial" w:hAnsi="Arial" w:cs="Arial"/>
          <w:color w:val="000000"/>
        </w:rPr>
        <w:t xml:space="preserve">                                                   </w:t>
      </w:r>
      <m:oMath>
        <m:r>
          <w:rPr>
            <w:rFonts w:ascii="Cambria Math" w:hAnsi="Cambria Math" w:cs="Arial"/>
            <w:color w:val="000000"/>
          </w:rPr>
          <m:t xml:space="preserve">probabilities, each expressing the probability of an observation </m:t>
        </m:r>
      </m:oMath>
    </w:p>
    <w:p w14:paraId="42259F54" w14:textId="77777777" w:rsidR="00BA44A7" w:rsidRPr="000B1138" w:rsidRDefault="00FD2625" w:rsidP="000B1138">
      <w:pPr>
        <w:autoSpaceDE w:val="0"/>
        <w:autoSpaceDN w:val="0"/>
        <w:adjustRightInd w:val="0"/>
        <w:spacing w:line="360" w:lineRule="auto"/>
        <w:jc w:val="both"/>
        <w:rPr>
          <w:rFonts w:ascii="Arial" w:hAnsi="Arial" w:cs="Arial"/>
          <w:color w:val="000000"/>
        </w:rPr>
      </w:pPr>
      <m:oMathPara>
        <m:oMathParaPr>
          <m:jc m:val="left"/>
        </m:oMathParaPr>
        <m:oMath>
          <m:sSub>
            <m:sSubPr>
              <m:ctrlPr>
                <w:rPr>
                  <w:rFonts w:ascii="Cambria Math" w:hAnsi="Cambria Math" w:cs="Arial"/>
                  <w:i/>
                  <w:color w:val="000000"/>
                </w:rPr>
              </m:ctrlPr>
            </m:sSubPr>
            <m:e>
              <m:r>
                <w:rPr>
                  <w:rFonts w:ascii="Cambria Math" w:hAnsi="Cambria Math" w:cs="Arial"/>
                  <w:color w:val="000000"/>
                </w:rPr>
                <m:t xml:space="preserve">                                                            o</m:t>
              </m:r>
            </m:e>
            <m:sub>
              <m:r>
                <w:rPr>
                  <w:rFonts w:ascii="Cambria Math" w:hAnsi="Cambria Math" w:cs="Arial"/>
                  <w:color w:val="000000"/>
                </w:rPr>
                <m:t>t</m:t>
              </m:r>
            </m:sub>
          </m:sSub>
          <m:r>
            <w:rPr>
              <w:rFonts w:ascii="Cambria Math" w:hAnsi="Cambria Math" w:cs="Arial"/>
              <w:color w:val="000000"/>
            </w:rPr>
            <m:t xml:space="preserve"> </m:t>
          </m:r>
          <m:d>
            <m:dPr>
              <m:ctrlPr>
                <w:rPr>
                  <w:rFonts w:ascii="Cambria Math" w:hAnsi="Cambria Math" w:cs="Arial"/>
                  <w:i/>
                  <w:color w:val="000000"/>
                </w:rPr>
              </m:ctrlPr>
            </m:dPr>
            <m:e>
              <m:r>
                <w:rPr>
                  <w:rFonts w:ascii="Cambria Math" w:hAnsi="Cambria Math" w:cs="Arial"/>
                  <w:color w:val="000000"/>
                </w:rPr>
                <m:t>drawn from a vocabulary V=</m:t>
              </m:r>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2</m:t>
                  </m:r>
                </m:sub>
              </m:sSub>
              <m:r>
                <w:rPr>
                  <w:rFonts w:ascii="Cambria Math" w:hAnsi="Cambria Math" w:cs="Arial"/>
                  <w:color w:val="000000"/>
                </w:rPr>
                <m:t>,……..,v</m:t>
              </m:r>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v</m:t>
                  </m:r>
                </m:sub>
              </m:sSub>
              <m:r>
                <w:rPr>
                  <w:rFonts w:ascii="Cambria Math" w:hAnsi="Cambria Math" w:cs="Arial"/>
                  <w:color w:val="000000"/>
                </w:rPr>
                <m:t xml:space="preserve"> </m:t>
              </m:r>
            </m:e>
          </m:d>
        </m:oMath>
      </m:oMathPara>
    </w:p>
    <w:p w14:paraId="385E2C89" w14:textId="77777777" w:rsidR="00BA44A7" w:rsidRPr="000B1138" w:rsidRDefault="00BA44A7" w:rsidP="000B1138">
      <w:pPr>
        <w:autoSpaceDE w:val="0"/>
        <w:autoSpaceDN w:val="0"/>
        <w:adjustRightInd w:val="0"/>
        <w:spacing w:line="360" w:lineRule="auto"/>
        <w:jc w:val="both"/>
        <w:rPr>
          <w:rFonts w:ascii="Arial" w:hAnsi="Arial" w:cs="Arial"/>
          <w:color w:val="000000"/>
        </w:rPr>
      </w:pPr>
      <m:oMathPara>
        <m:oMathParaPr>
          <m:jc m:val="left"/>
        </m:oMathParaPr>
        <m:oMath>
          <m:r>
            <w:rPr>
              <w:rFonts w:ascii="Cambria Math" w:hAnsi="Cambria Math" w:cs="Arial"/>
              <w:color w:val="000000"/>
            </w:rPr>
            <m:t xml:space="preserve">                                                         being generated from a state </m:t>
          </m:r>
          <m:sSub>
            <m:sSubPr>
              <m:ctrlPr>
                <w:rPr>
                  <w:rFonts w:ascii="Cambria Math" w:hAnsi="Cambria Math" w:cs="Arial"/>
                  <w:i/>
                  <w:color w:val="000000"/>
                </w:rPr>
              </m:ctrlPr>
            </m:sSubPr>
            <m:e>
              <m:r>
                <w:rPr>
                  <w:rFonts w:ascii="Cambria Math" w:hAnsi="Cambria Math" w:cs="Arial"/>
                  <w:color w:val="000000"/>
                </w:rPr>
                <m:t>q</m:t>
              </m:r>
            </m:e>
            <m:sub>
              <m:r>
                <w:rPr>
                  <w:rFonts w:ascii="Cambria Math" w:hAnsi="Cambria Math" w:cs="Arial"/>
                  <w:color w:val="000000"/>
                </w:rPr>
                <m:t>i</m:t>
              </m:r>
            </m:sub>
          </m:sSub>
          <m:r>
            <w:rPr>
              <w:rFonts w:ascii="Cambria Math" w:hAnsi="Cambria Math" w:cs="Arial"/>
              <w:color w:val="000000"/>
            </w:rPr>
            <m:t xml:space="preserve"> </m:t>
          </m:r>
        </m:oMath>
      </m:oMathPara>
    </w:p>
    <w:p w14:paraId="0FDF6781"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m:oMathPara>
        <m:oMathParaPr>
          <m:jc m:val="left"/>
        </m:oMathParaPr>
        <m:oMath>
          <m:r>
            <w:rPr>
              <w:rFonts w:ascii="Cambria Math" w:hAnsi="Cambria Math" w:cs="Arial"/>
              <w:color w:val="000000"/>
            </w:rPr>
            <m:t xml:space="preserve"> π=</m:t>
          </m:r>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1</m:t>
              </m:r>
            </m:sub>
          </m:sSub>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N</m:t>
              </m:r>
            </m:sub>
          </m:sSub>
          <m:r>
            <w:rPr>
              <w:rFonts w:ascii="Cambria Math" w:hAnsi="Cambria Math" w:cs="Arial"/>
              <w:color w:val="000000"/>
            </w:rPr>
            <m:t xml:space="preserve">                  an initial probability distribution over states. </m:t>
          </m:r>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i</m:t>
              </m:r>
            </m:sub>
          </m:sSub>
          <m:r>
            <w:rPr>
              <w:rFonts w:ascii="Cambria Math" w:hAnsi="Cambria Math" w:cs="Arial"/>
              <w:color w:val="000000"/>
            </w:rPr>
            <m:t xml:space="preserve"> is the </m:t>
          </m:r>
        </m:oMath>
      </m:oMathPara>
    </w:p>
    <w:p w14:paraId="08926A47"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m:oMathPara>
        <m:oMathParaPr>
          <m:jc m:val="left"/>
        </m:oMathParaPr>
        <m:oMath>
          <m:r>
            <w:rPr>
              <w:rFonts w:ascii="Cambria Math" w:hAnsi="Cambria Math" w:cs="Arial"/>
              <w:color w:val="000000"/>
            </w:rPr>
            <m:t xml:space="preserve">                                                             probability that the Markov chain will state in state i.</m:t>
          </m:r>
        </m:oMath>
      </m:oMathPara>
    </w:p>
    <w:p w14:paraId="7403D1EC" w14:textId="77777777" w:rsidR="00BA44A7" w:rsidRPr="000B1138" w:rsidRDefault="00BA44A7" w:rsidP="000B1138">
      <w:pPr>
        <w:autoSpaceDE w:val="0"/>
        <w:autoSpaceDN w:val="0"/>
        <w:adjustRightInd w:val="0"/>
        <w:spacing w:line="360" w:lineRule="auto"/>
        <w:jc w:val="both"/>
        <w:rPr>
          <w:rFonts w:ascii="Arial" w:eastAsia="SimSun" w:hAnsi="Arial" w:cs="Arial"/>
          <w:color w:val="000000"/>
        </w:rPr>
      </w:pPr>
      <m:oMathPara>
        <m:oMathParaPr>
          <m:jc m:val="left"/>
        </m:oMathParaPr>
        <m:oMath>
          <m:r>
            <w:rPr>
              <w:rFonts w:ascii="Cambria Math" w:hAnsi="Cambria Math" w:cs="Arial"/>
              <w:color w:val="000000"/>
            </w:rPr>
            <m:t xml:space="preserve">                                                          Some states jay have </m:t>
          </m:r>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j</m:t>
              </m:r>
            </m:sub>
          </m:sSub>
          <m:r>
            <w:rPr>
              <w:rFonts w:ascii="Cambria Math" w:hAnsi="Cambria Math" w:cs="Arial"/>
              <w:color w:val="000000"/>
            </w:rPr>
            <m:t xml:space="preserve">=0, meaning that they cannot be </m:t>
          </m:r>
        </m:oMath>
      </m:oMathPara>
    </w:p>
    <w:p w14:paraId="51994A69" w14:textId="5047F30C" w:rsidR="00BA44A7" w:rsidRPr="000B1138" w:rsidRDefault="00BA44A7" w:rsidP="000B1138">
      <w:pPr>
        <w:autoSpaceDE w:val="0"/>
        <w:autoSpaceDN w:val="0"/>
        <w:adjustRightInd w:val="0"/>
        <w:spacing w:line="360" w:lineRule="auto"/>
        <w:jc w:val="both"/>
        <w:rPr>
          <w:rFonts w:ascii="Arial" w:hAnsi="Arial" w:cs="Arial"/>
          <w:color w:val="000000"/>
        </w:rPr>
      </w:pPr>
      <w:r w:rsidRPr="000B1138">
        <w:rPr>
          <w:rFonts w:ascii="Arial" w:hAnsi="Arial" w:cs="Arial"/>
          <w:color w:val="000000"/>
        </w:rPr>
        <w:t xml:space="preserve">                                                   </w:t>
      </w:r>
      <m:oMath>
        <m:r>
          <w:rPr>
            <w:rFonts w:ascii="Cambria Math" w:hAnsi="Cambria Math" w:cs="Arial"/>
            <w:color w:val="000000"/>
          </w:rPr>
          <m:t xml:space="preserve">initial states. Also, </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π</m:t>
                </m:r>
              </m:e>
              <m:sub>
                <m:r>
                  <w:rPr>
                    <w:rFonts w:ascii="Cambria Math" w:hAnsi="Cambria Math" w:cs="Arial"/>
                    <w:color w:val="000000"/>
                  </w:rPr>
                  <m:t>i</m:t>
                </m:r>
              </m:sub>
            </m:sSub>
          </m:e>
        </m:nary>
        <m:r>
          <w:rPr>
            <w:rFonts w:ascii="Cambria Math" w:hAnsi="Cambria Math" w:cs="Arial"/>
            <w:color w:val="000000"/>
          </w:rPr>
          <m:t>=1</m:t>
        </m:r>
      </m:oMath>
      <w:r w:rsidR="00DD5F1F">
        <w:rPr>
          <w:rFonts w:ascii="Arial" w:hAnsi="Arial" w:cs="Arial"/>
          <w:color w:val="000000"/>
        </w:rPr>
        <w:t xml:space="preserve">      </w:t>
      </w:r>
      <w:r w:rsidR="00DD5F1F">
        <w:rPr>
          <w:rFonts w:ascii="Arial" w:hAnsi="Arial" w:cs="Arial"/>
          <w:color w:val="000000"/>
        </w:rPr>
        <w:tab/>
      </w:r>
      <w:r w:rsidR="00DD5F1F">
        <w:rPr>
          <w:rFonts w:ascii="Arial" w:hAnsi="Arial" w:cs="Arial"/>
          <w:color w:val="000000"/>
        </w:rPr>
        <w:tab/>
      </w:r>
      <w:r w:rsidR="00DD5F1F">
        <w:rPr>
          <w:rFonts w:ascii="Arial" w:hAnsi="Arial" w:cs="Arial"/>
          <w:color w:val="000000"/>
        </w:rPr>
        <w:tab/>
      </w:r>
      <w:r w:rsidR="00DD5F1F">
        <w:rPr>
          <w:rFonts w:ascii="Arial" w:hAnsi="Arial" w:cs="Arial"/>
          <w:color w:val="000000"/>
        </w:rPr>
        <w:tab/>
        <w:t>(5)</w:t>
      </w:r>
    </w:p>
    <w:p w14:paraId="1A0CD899" w14:textId="46FE28D7" w:rsidR="00DD5F1F" w:rsidRDefault="00BA44A7" w:rsidP="000B1138">
      <w:pPr>
        <w:autoSpaceDE w:val="0"/>
        <w:autoSpaceDN w:val="0"/>
        <w:adjustRightInd w:val="0"/>
        <w:spacing w:line="360" w:lineRule="auto"/>
        <w:jc w:val="both"/>
        <w:rPr>
          <w:rFonts w:ascii="Arial" w:hAnsi="Arial" w:cs="Arial"/>
        </w:rPr>
      </w:pPr>
      <w:r w:rsidRPr="000B1138">
        <w:rPr>
          <w:rFonts w:ascii="Arial" w:hAnsi="Arial" w:cs="Arial"/>
        </w:rPr>
        <w:t xml:space="preserve">The HMM is given as input  </w:t>
      </w:r>
      <m:oMath>
        <m:r>
          <w:rPr>
            <w:rFonts w:ascii="Cambria Math" w:hAnsi="Cambria Math" w:cs="Arial"/>
            <w:color w:val="000000"/>
          </w:rPr>
          <m:t>O=</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N</m:t>
            </m:r>
          </m:sub>
        </m:sSub>
      </m:oMath>
      <w:r w:rsidRPr="000B1138">
        <w:rPr>
          <w:rFonts w:ascii="Arial" w:hAnsi="Arial" w:cs="Arial"/>
        </w:rPr>
        <w:t xml:space="preserve"> : a sequence of </w:t>
      </w:r>
      <w:r w:rsidRPr="000B1138">
        <w:rPr>
          <w:rFonts w:ascii="Arial" w:hAnsi="Arial" w:cs="Arial"/>
          <w:i/>
        </w:rPr>
        <w:t>T</w:t>
      </w:r>
      <w:r w:rsidRPr="000B1138">
        <w:rPr>
          <w:rFonts w:ascii="Arial" w:hAnsi="Arial" w:cs="Arial"/>
        </w:rPr>
        <w:t xml:space="preserve"> observations, each</w:t>
      </w:r>
      <w:r w:rsidR="00DD5F1F">
        <w:rPr>
          <w:rFonts w:ascii="Arial" w:hAnsi="Arial" w:cs="Arial"/>
        </w:rPr>
        <w:t xml:space="preserve"> </w:t>
      </w:r>
      <w:r w:rsidRPr="000B1138">
        <w:rPr>
          <w:rFonts w:ascii="Arial" w:hAnsi="Arial" w:cs="Arial"/>
        </w:rPr>
        <w:t xml:space="preserve">one drawn from the vocabulary </w:t>
      </w:r>
      <w:r w:rsidRPr="000B1138">
        <w:rPr>
          <w:rFonts w:ascii="Arial" w:hAnsi="Arial" w:cs="Arial"/>
          <w:i/>
        </w:rPr>
        <w:t>V</w:t>
      </w:r>
      <w:r w:rsidRPr="000B1138">
        <w:rPr>
          <w:rFonts w:ascii="Arial" w:hAnsi="Arial" w:cs="Arial"/>
        </w:rPr>
        <w:t>. An HMM is said to be stationary if</w:t>
      </w:r>
      <w:r w:rsidR="00DD5F1F">
        <w:rPr>
          <w:rFonts w:ascii="Arial" w:hAnsi="Arial" w:cs="Arial"/>
        </w:rPr>
        <w:t>:</w:t>
      </w:r>
    </w:p>
    <w:p w14:paraId="28A6AE14" w14:textId="79A377C2" w:rsidR="00BA44A7" w:rsidRPr="000B1138" w:rsidRDefault="00BA44A7" w:rsidP="000B1138">
      <w:pPr>
        <w:autoSpaceDE w:val="0"/>
        <w:autoSpaceDN w:val="0"/>
        <w:adjustRightInd w:val="0"/>
        <w:spacing w:line="360" w:lineRule="auto"/>
        <w:jc w:val="both"/>
        <w:rPr>
          <w:rFonts w:ascii="Arial" w:hAnsi="Arial" w:cs="Arial"/>
        </w:rPr>
      </w:pPr>
      <w:r w:rsidRPr="000B1138">
        <w:rPr>
          <w:rFonts w:ascii="Arial" w:hAnsi="Arial" w:cs="Arial"/>
        </w:rPr>
        <w:t xml:space="preserve"> </w:t>
      </w:r>
      <m:oMath>
        <m:sSub>
          <m:sSubPr>
            <m:ctrlPr>
              <w:rPr>
                <w:rFonts w:ascii="Cambria Math" w:hAnsi="Cambria Math" w:cs="Arial"/>
                <w:i/>
              </w:rPr>
            </m:ctrlPr>
          </m:sSubPr>
          <m:e>
            <m:r>
              <w:rPr>
                <w:rFonts w:ascii="Cambria Math" w:hAnsi="Cambria Math" w:cs="Arial"/>
              </w:rPr>
              <m:t>π</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π</m:t>
            </m:r>
          </m:e>
          <m:sub>
            <m:r>
              <w:rPr>
                <w:rFonts w:ascii="Cambria Math" w:hAnsi="Cambria Math" w:cs="Arial"/>
              </w:rPr>
              <m:t>∞</m:t>
            </m:r>
          </m:sub>
        </m:sSub>
      </m:oMath>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r>
      <w:r w:rsidR="00DD5F1F">
        <w:rPr>
          <w:rFonts w:ascii="Arial" w:hAnsi="Arial" w:cs="Arial"/>
        </w:rPr>
        <w:tab/>
        <w:t>(6)</w:t>
      </w:r>
    </w:p>
    <w:p w14:paraId="1D7100DF" w14:textId="77777777" w:rsidR="00BA44A7" w:rsidRPr="000B1138" w:rsidRDefault="00BA44A7" w:rsidP="000B1138">
      <w:pPr>
        <w:pStyle w:val="Default"/>
        <w:spacing w:line="360" w:lineRule="auto"/>
        <w:jc w:val="both"/>
        <w:rPr>
          <w:rFonts w:ascii="Arial" w:hAnsi="Arial" w:cs="Arial"/>
          <w:iCs/>
          <w:sz w:val="20"/>
          <w:szCs w:val="20"/>
        </w:rPr>
      </w:pPr>
      <w:r w:rsidRPr="000B1138">
        <w:rPr>
          <w:rFonts w:ascii="Arial" w:hAnsi="Arial" w:cs="Arial"/>
          <w:iCs/>
          <w:sz w:val="20"/>
          <w:szCs w:val="20"/>
        </w:rPr>
        <w:t>The initial state distribution over hidden states is given as:</w:t>
      </w:r>
    </w:p>
    <w:p w14:paraId="133B348F" w14:textId="1165D0EF" w:rsidR="00BA44A7" w:rsidRPr="000B1138" w:rsidRDefault="00BA44A7" w:rsidP="000B1138">
      <w:pPr>
        <w:pStyle w:val="Default"/>
        <w:spacing w:line="360" w:lineRule="auto"/>
        <w:ind w:left="720" w:firstLine="720"/>
        <w:jc w:val="both"/>
        <w:rPr>
          <w:rFonts w:ascii="Arial" w:eastAsiaTheme="minorEastAsia" w:hAnsi="Arial" w:cs="Arial"/>
          <w:iCs/>
          <w:sz w:val="20"/>
          <w:szCs w:val="20"/>
        </w:rPr>
      </w:pPr>
      <m:oMath>
        <m:r>
          <w:rPr>
            <w:rFonts w:ascii="Cambria Math" w:hAnsi="Cambria Math" w:cs="Arial"/>
            <w:sz w:val="20"/>
            <w:szCs w:val="20"/>
          </w:rPr>
          <m:t>π=</m:t>
        </m:r>
        <m:sSub>
          <m:sSubPr>
            <m:ctrlPr>
              <w:rPr>
                <w:rFonts w:ascii="Cambria Math" w:hAnsi="Cambria Math" w:cs="Arial"/>
                <w:i/>
                <w:iCs/>
                <w:sz w:val="20"/>
                <w:szCs w:val="20"/>
              </w:rPr>
            </m:ctrlPr>
          </m:sSubPr>
          <m:e>
            <m:r>
              <w:rPr>
                <w:rFonts w:ascii="Cambria Math" w:hAnsi="Cambria Math" w:cs="Arial"/>
                <w:sz w:val="20"/>
                <w:szCs w:val="20"/>
              </w:rPr>
              <m:t>{π</m:t>
            </m:r>
          </m:e>
          <m:sub>
            <m:r>
              <w:rPr>
                <w:rFonts w:ascii="Cambria Math" w:hAnsi="Cambria Math" w:cs="Arial"/>
                <w:sz w:val="20"/>
                <w:szCs w:val="20"/>
              </w:rPr>
              <m:t>k</m:t>
            </m:r>
          </m:sub>
        </m:sSub>
        <m:r>
          <w:rPr>
            <w:rFonts w:ascii="Cambria Math" w:hAnsi="Cambria Math" w:cs="Arial"/>
            <w:sz w:val="20"/>
            <w:szCs w:val="20"/>
          </w:rPr>
          <m:t xml:space="preserve">},    </m:t>
        </m:r>
        <m:sSub>
          <m:sSubPr>
            <m:ctrlPr>
              <w:rPr>
                <w:rFonts w:ascii="Cambria Math" w:hAnsi="Cambria Math" w:cs="Arial"/>
                <w:i/>
                <w:iCs/>
                <w:sz w:val="20"/>
                <w:szCs w:val="20"/>
              </w:rPr>
            </m:ctrlPr>
          </m:sSubPr>
          <m:e>
            <m:r>
              <w:rPr>
                <w:rFonts w:ascii="Cambria Math" w:hAnsi="Cambria Math" w:cs="Arial"/>
                <w:sz w:val="20"/>
                <w:szCs w:val="20"/>
              </w:rPr>
              <m:t>π</m:t>
            </m:r>
          </m:e>
          <m:sub>
            <m:r>
              <w:rPr>
                <w:rFonts w:ascii="Cambria Math" w:hAnsi="Cambria Math" w:cs="Arial"/>
                <w:sz w:val="20"/>
                <w:szCs w:val="20"/>
              </w:rPr>
              <m:t>k</m:t>
            </m:r>
          </m:sub>
        </m:sSub>
        <m:r>
          <w:rPr>
            <w:rFonts w:ascii="Cambria Math" w:hAnsi="Cambria Math" w:cs="Arial"/>
            <w:sz w:val="20"/>
            <w:szCs w:val="20"/>
          </w:rPr>
          <m:t>=P</m:t>
        </m:r>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rPr>
                  <m:t>q</m:t>
                </m:r>
              </m:e>
              <m:sub>
                <m:r>
                  <w:rPr>
                    <w:rFonts w:ascii="Cambria Math" w:hAnsi="Cambria Math" w:cs="Arial"/>
                    <w:sz w:val="20"/>
                    <w:szCs w:val="20"/>
                  </w:rPr>
                  <m:t>1</m:t>
                </m:r>
              </m:sub>
            </m:sSub>
            <m:r>
              <w:rPr>
                <w:rFonts w:ascii="Cambria Math" w:hAnsi="Cambria Math" w:cs="Arial"/>
                <w:sz w:val="20"/>
                <w:szCs w:val="20"/>
              </w:rPr>
              <m:t>=k</m:t>
            </m:r>
          </m:e>
        </m:d>
        <m:r>
          <w:rPr>
            <w:rFonts w:ascii="Cambria Math" w:hAnsi="Cambria Math" w:cs="Arial"/>
            <w:sz w:val="20"/>
            <w:szCs w:val="20"/>
          </w:rPr>
          <m:t xml:space="preserve">       </m:t>
        </m:r>
        <m:nary>
          <m:naryPr>
            <m:chr m:val="∑"/>
            <m:limLoc m:val="subSup"/>
            <m:ctrlPr>
              <w:rPr>
                <w:rFonts w:ascii="Cambria Math" w:hAnsi="Cambria Math" w:cs="Arial"/>
                <w:i/>
                <w:iCs/>
                <w:sz w:val="20"/>
                <w:szCs w:val="20"/>
              </w:rPr>
            </m:ctrlPr>
          </m:naryPr>
          <m:sub>
            <m:r>
              <w:rPr>
                <w:rFonts w:ascii="Cambria Math" w:hAnsi="Cambria Math" w:cs="Arial"/>
                <w:sz w:val="20"/>
                <w:szCs w:val="20"/>
              </w:rPr>
              <m:t>k=1</m:t>
            </m:r>
          </m:sub>
          <m:sup>
            <m:r>
              <w:rPr>
                <w:rFonts w:ascii="Cambria Math" w:hAnsi="Cambria Math" w:cs="Arial"/>
                <w:sz w:val="20"/>
                <w:szCs w:val="20"/>
              </w:rPr>
              <m:t>K</m:t>
            </m:r>
          </m:sup>
          <m:e>
            <m:sSub>
              <m:sSubPr>
                <m:ctrlPr>
                  <w:rPr>
                    <w:rFonts w:ascii="Cambria Math" w:hAnsi="Cambria Math" w:cs="Arial"/>
                    <w:i/>
                    <w:iCs/>
                    <w:sz w:val="20"/>
                    <w:szCs w:val="20"/>
                  </w:rPr>
                </m:ctrlPr>
              </m:sSubPr>
              <m:e>
                <m:r>
                  <w:rPr>
                    <w:rFonts w:ascii="Cambria Math" w:hAnsi="Cambria Math" w:cs="Arial"/>
                    <w:sz w:val="20"/>
                    <w:szCs w:val="20"/>
                  </w:rPr>
                  <m:t>π</m:t>
                </m:r>
              </m:e>
              <m:sub>
                <m:r>
                  <w:rPr>
                    <w:rFonts w:ascii="Cambria Math" w:hAnsi="Cambria Math" w:cs="Arial"/>
                    <w:sz w:val="20"/>
                    <w:szCs w:val="20"/>
                  </w:rPr>
                  <m:t>k</m:t>
                </m:r>
              </m:sub>
            </m:sSub>
          </m:e>
        </m:nary>
        <m:r>
          <w:rPr>
            <w:rFonts w:ascii="Cambria Math" w:hAnsi="Cambria Math" w:cs="Arial"/>
            <w:sz w:val="20"/>
            <w:szCs w:val="20"/>
          </w:rPr>
          <m:t>=1</m:t>
        </m:r>
      </m:oMath>
      <w:r w:rsidRPr="000B1138">
        <w:rPr>
          <w:rFonts w:ascii="Arial" w:eastAsiaTheme="minorEastAsia" w:hAnsi="Arial" w:cs="Arial"/>
          <w:iCs/>
          <w:sz w:val="20"/>
          <w:szCs w:val="20"/>
        </w:rPr>
        <w:t xml:space="preserve">  </w:t>
      </w:r>
      <w:r w:rsidRPr="000B1138">
        <w:rPr>
          <w:rFonts w:ascii="Arial" w:eastAsiaTheme="minorEastAsia" w:hAnsi="Arial" w:cs="Arial"/>
          <w:iCs/>
          <w:sz w:val="20"/>
          <w:szCs w:val="20"/>
        </w:rPr>
        <w:tab/>
      </w:r>
      <w:r w:rsidRPr="000B1138">
        <w:rPr>
          <w:rFonts w:ascii="Arial" w:eastAsiaTheme="minorEastAsia" w:hAnsi="Arial" w:cs="Arial"/>
          <w:iCs/>
          <w:sz w:val="20"/>
          <w:szCs w:val="20"/>
        </w:rPr>
        <w:tab/>
      </w:r>
      <w:r w:rsidR="00DD5F1F">
        <w:rPr>
          <w:rFonts w:ascii="Arial" w:eastAsiaTheme="minorEastAsia" w:hAnsi="Arial" w:cs="Arial"/>
          <w:iCs/>
          <w:sz w:val="20"/>
          <w:szCs w:val="20"/>
        </w:rPr>
        <w:tab/>
      </w:r>
      <w:r w:rsidR="00DD5F1F">
        <w:rPr>
          <w:rFonts w:ascii="Arial" w:eastAsiaTheme="minorEastAsia" w:hAnsi="Arial" w:cs="Arial"/>
          <w:iCs/>
          <w:sz w:val="20"/>
          <w:szCs w:val="20"/>
        </w:rPr>
        <w:tab/>
      </w:r>
      <w:r w:rsidRPr="000B1138">
        <w:rPr>
          <w:rFonts w:ascii="Arial" w:eastAsiaTheme="minorEastAsia" w:hAnsi="Arial" w:cs="Arial"/>
          <w:iCs/>
          <w:sz w:val="20"/>
          <w:szCs w:val="20"/>
        </w:rPr>
        <w:tab/>
        <w:t>(</w:t>
      </w:r>
      <w:r w:rsidR="00DD5F1F">
        <w:rPr>
          <w:rFonts w:ascii="Arial" w:eastAsiaTheme="minorEastAsia" w:hAnsi="Arial" w:cs="Arial"/>
          <w:iCs/>
          <w:sz w:val="20"/>
          <w:szCs w:val="20"/>
        </w:rPr>
        <w:t>7</w:t>
      </w:r>
      <w:r w:rsidRPr="000B1138">
        <w:rPr>
          <w:rFonts w:ascii="Arial" w:eastAsiaTheme="minorEastAsia" w:hAnsi="Arial" w:cs="Arial"/>
          <w:iCs/>
          <w:sz w:val="20"/>
          <w:szCs w:val="20"/>
        </w:rPr>
        <w:t>)</w:t>
      </w:r>
    </w:p>
    <w:p w14:paraId="7430C3B8" w14:textId="0734E95B" w:rsidR="00BA44A7" w:rsidRPr="00DD5F1F" w:rsidRDefault="00BA44A7" w:rsidP="000B1138">
      <w:pPr>
        <w:pStyle w:val="Default"/>
        <w:spacing w:line="360" w:lineRule="auto"/>
        <w:jc w:val="both"/>
        <w:rPr>
          <w:rFonts w:ascii="Arial" w:hAnsi="Arial" w:cs="Arial"/>
          <w:iCs/>
          <w:sz w:val="20"/>
          <w:szCs w:val="20"/>
        </w:rPr>
      </w:pPr>
      <w:r w:rsidRPr="000B1138">
        <w:rPr>
          <w:rFonts w:ascii="Arial" w:eastAsiaTheme="minorEastAsia" w:hAnsi="Arial" w:cs="Arial"/>
          <w:iCs/>
          <w:sz w:val="20"/>
          <w:szCs w:val="20"/>
        </w:rPr>
        <w:t>This distribution reflects the likelihood of the climate system starting in each regime at the beginning of the observation period.</w:t>
      </w:r>
      <w:r w:rsidR="005109DA">
        <w:rPr>
          <w:rFonts w:ascii="Arial" w:eastAsiaTheme="minorEastAsia" w:hAnsi="Arial" w:cs="Arial"/>
          <w:iCs/>
          <w:sz w:val="20"/>
          <w:szCs w:val="20"/>
        </w:rPr>
        <w:t xml:space="preserve"> </w:t>
      </w:r>
      <w:r w:rsidRPr="000B1138">
        <w:rPr>
          <w:rFonts w:ascii="Arial" w:hAnsi="Arial" w:cs="Arial"/>
          <w:sz w:val="20"/>
          <w:szCs w:val="20"/>
        </w:rPr>
        <w:t>The likelihood of the observation sequence is given as:</w:t>
      </w:r>
    </w:p>
    <w:p w14:paraId="0DD16B8C" w14:textId="3763B574" w:rsidR="00BA44A7" w:rsidRPr="000B1138" w:rsidRDefault="00BA44A7" w:rsidP="000B1138">
      <w:pPr>
        <w:pStyle w:val="Default"/>
        <w:spacing w:line="360" w:lineRule="auto"/>
        <w:ind w:left="720" w:firstLine="720"/>
        <w:jc w:val="both"/>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sz w:val="20"/>
                    <w:szCs w:val="20"/>
                  </w:rPr>
                </m:ctrlPr>
              </m:fPr>
              <m:num>
                <m:r>
                  <w:rPr>
                    <w:rFonts w:ascii="Cambria Math" w:hAnsi="Cambria Math" w:cs="Arial"/>
                    <w:sz w:val="20"/>
                    <w:szCs w:val="20"/>
                  </w:rPr>
                  <m:t>O</m:t>
                </m:r>
              </m:num>
              <m:den>
                <m:r>
                  <w:rPr>
                    <w:rFonts w:ascii="Cambria Math" w:hAnsi="Cambria Math" w:cs="Arial"/>
                    <w:sz w:val="20"/>
                    <w:szCs w:val="20"/>
                  </w:rPr>
                  <m:t>Q</m:t>
                </m:r>
              </m:den>
            </m:f>
          </m:e>
        </m:d>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T</m:t>
            </m:r>
          </m:sup>
          <m:e>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den>
                </m:f>
              </m:e>
            </m:d>
          </m:e>
        </m:nary>
      </m:oMath>
      <w:r w:rsidRPr="000B1138">
        <w:rPr>
          <w:rFonts w:ascii="Arial" w:hAnsi="Arial" w:cs="Arial"/>
          <w:sz w:val="20"/>
          <w:szCs w:val="20"/>
        </w:rPr>
        <w:t xml:space="preserve">   </w:t>
      </w:r>
      <w:r w:rsidRPr="000B1138">
        <w:rPr>
          <w:rFonts w:ascii="Arial" w:hAnsi="Arial" w:cs="Arial"/>
          <w:sz w:val="20"/>
          <w:szCs w:val="20"/>
        </w:rPr>
        <w:tab/>
      </w:r>
      <w:r w:rsidRPr="000B1138">
        <w:rPr>
          <w:rFonts w:ascii="Arial" w:hAnsi="Arial" w:cs="Arial"/>
          <w:sz w:val="20"/>
          <w:szCs w:val="20"/>
        </w:rPr>
        <w:tab/>
      </w:r>
      <w:r w:rsidR="005109DA">
        <w:rPr>
          <w:rFonts w:ascii="Arial" w:hAnsi="Arial" w:cs="Arial"/>
          <w:sz w:val="20"/>
          <w:szCs w:val="20"/>
        </w:rPr>
        <w:tab/>
      </w:r>
      <w:r w:rsidRPr="000B1138">
        <w:rPr>
          <w:rFonts w:ascii="Arial" w:hAnsi="Arial" w:cs="Arial"/>
          <w:sz w:val="20"/>
          <w:szCs w:val="20"/>
        </w:rPr>
        <w:tab/>
      </w:r>
      <w:r w:rsidRPr="000B1138">
        <w:rPr>
          <w:rFonts w:ascii="Arial" w:hAnsi="Arial" w:cs="Arial"/>
          <w:sz w:val="20"/>
          <w:szCs w:val="20"/>
        </w:rPr>
        <w:tab/>
      </w:r>
      <w:r w:rsidRPr="000B1138">
        <w:rPr>
          <w:rFonts w:ascii="Arial" w:hAnsi="Arial" w:cs="Arial"/>
          <w:sz w:val="20"/>
          <w:szCs w:val="20"/>
        </w:rPr>
        <w:tab/>
        <w:t xml:space="preserve">           (8)</w:t>
      </w:r>
    </w:p>
    <w:p w14:paraId="1CB18123" w14:textId="6E1B8B7D" w:rsidR="005109DA" w:rsidRPr="005109DA" w:rsidRDefault="005109DA" w:rsidP="000B1138">
      <w:pPr>
        <w:autoSpaceDE w:val="0"/>
        <w:autoSpaceDN w:val="0"/>
        <w:adjustRightInd w:val="0"/>
        <w:spacing w:line="360" w:lineRule="auto"/>
        <w:jc w:val="both"/>
        <w:rPr>
          <w:rFonts w:ascii="Arial" w:hAnsi="Arial" w:cs="Arial"/>
          <w:color w:val="000000"/>
        </w:rPr>
      </w:pPr>
      <w:r>
        <w:rPr>
          <w:rFonts w:ascii="Arial" w:hAnsi="Arial" w:cs="Arial"/>
        </w:rPr>
        <w:t>Where</w:t>
      </w:r>
      <m:oMath>
        <m:r>
          <w:rPr>
            <w:rFonts w:ascii="Cambria Math" w:hAnsi="Cambria Math" w:cs="Arial"/>
            <w:color w:val="000000"/>
          </w:rPr>
          <m:t xml:space="preserve"> O=</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2</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o</m:t>
            </m:r>
          </m:e>
          <m:sub>
            <m:r>
              <w:rPr>
                <w:rFonts w:ascii="Cambria Math" w:hAnsi="Cambria Math" w:cs="Arial"/>
                <w:color w:val="000000"/>
              </w:rPr>
              <m:t>N</m:t>
            </m:r>
          </m:sub>
        </m:sSub>
      </m:oMath>
      <w:r>
        <w:rPr>
          <w:rFonts w:ascii="Arial" w:hAnsi="Arial" w:cs="Arial"/>
          <w:color w:val="000000"/>
        </w:rPr>
        <w:t xml:space="preserve"> and </w:t>
      </w:r>
      <m:oMath>
        <m:r>
          <w:rPr>
            <w:rFonts w:ascii="Cambria Math" w:hAnsi="Cambria Math" w:cs="Arial"/>
          </w:rPr>
          <m:t xml:space="preserve">Q </m:t>
        </m:r>
      </m:oMath>
      <w:r>
        <w:rPr>
          <w:rFonts w:ascii="Arial" w:hAnsi="Arial" w:cs="Arial"/>
        </w:rPr>
        <w:t xml:space="preserve">represents the model parameters </w:t>
      </w:r>
      <m:oMath>
        <m:d>
          <m:dPr>
            <m:ctrlPr>
              <w:rPr>
                <w:rFonts w:ascii="Cambria Math" w:hAnsi="Cambria Math" w:cs="Arial"/>
                <w:i/>
              </w:rPr>
            </m:ctrlPr>
          </m:dPr>
          <m:e>
            <m:r>
              <w:rPr>
                <w:rFonts w:ascii="Cambria Math" w:hAnsi="Cambria Math" w:cs="Arial"/>
              </w:rPr>
              <m:t>π,A,μ,Σ</m:t>
            </m:r>
          </m:e>
        </m:d>
      </m:oMath>
      <w:r>
        <w:rPr>
          <w:rFonts w:ascii="Arial" w:hAnsi="Arial" w:cs="Arial"/>
        </w:rPr>
        <w:t xml:space="preserve"> estimated using the Baum-Welch algorithm, which is an Expectation-Maximization (EM) method. </w:t>
      </w:r>
    </w:p>
    <w:p w14:paraId="36179D85" w14:textId="0C9CC540" w:rsidR="00BA44A7" w:rsidRPr="005109DA" w:rsidRDefault="00DD11B1" w:rsidP="000B1138">
      <w:pPr>
        <w:autoSpaceDE w:val="0"/>
        <w:autoSpaceDN w:val="0"/>
        <w:adjustRightInd w:val="0"/>
        <w:spacing w:line="360" w:lineRule="auto"/>
        <w:jc w:val="both"/>
        <w:rPr>
          <w:rFonts w:ascii="Arial" w:hAnsi="Arial" w:cs="Arial"/>
        </w:rPr>
      </w:pPr>
      <w:r>
        <w:rPr>
          <w:rFonts w:ascii="Arial" w:hAnsi="Arial" w:cs="Arial"/>
        </w:rPr>
        <w:t>T</w:t>
      </w:r>
      <w:r w:rsidRPr="000B1138">
        <w:rPr>
          <w:rFonts w:ascii="Arial" w:hAnsi="Arial" w:cs="Arial"/>
        </w:rPr>
        <w:t xml:space="preserve">he Viterbi algorithm is the most widely used decoding algorithm for HMMs. </w:t>
      </w:r>
      <w:r w:rsidR="00BA44A7" w:rsidRPr="000B1138">
        <w:rPr>
          <w:rFonts w:ascii="Arial" w:hAnsi="Arial" w:cs="Arial"/>
        </w:rPr>
        <w:t>The decoding task is the process of identifying which sequence of variables is the underlying source of a sequence of observations for any model, including HMM, that co</w:t>
      </w:r>
      <w:r>
        <w:rPr>
          <w:rFonts w:ascii="Arial" w:hAnsi="Arial" w:cs="Arial"/>
        </w:rPr>
        <w:t>ntains hidden variables.</w:t>
      </w:r>
      <w:r w:rsidR="00BA44A7" w:rsidRPr="000B1138">
        <w:rPr>
          <w:rFonts w:ascii="Arial" w:hAnsi="Arial" w:cs="Arial"/>
        </w:rPr>
        <w:t xml:space="preserve"> In order to decode convolution codes over noisy digital communication links, Viterbi (1976) developed the Viterbi </w:t>
      </w:r>
      <w:r w:rsidR="00BA44A7" w:rsidRPr="000B1138">
        <w:rPr>
          <w:rFonts w:ascii="Arial" w:hAnsi="Arial" w:cs="Arial"/>
        </w:rPr>
        <w:lastRenderedPageBreak/>
        <w:t xml:space="preserve">algorithm. Viterbi is a type of dynamic programming that uses a dynamic programming trellis, much like the forward algorithm. For a given state </w:t>
      </w:r>
      <m:oMath>
        <m:sSub>
          <m:sSubPr>
            <m:ctrlPr>
              <w:rPr>
                <w:rFonts w:ascii="Cambria Math" w:hAnsi="Cambria Math" w:cs="Arial"/>
                <w:i/>
              </w:rPr>
            </m:ctrlPr>
          </m:sSubPr>
          <m:e>
            <m:r>
              <w:rPr>
                <w:rFonts w:ascii="Cambria Math" w:hAnsi="Cambria Math" w:cs="Arial"/>
              </w:rPr>
              <m:t>q</m:t>
            </m:r>
          </m:e>
          <m:sub>
            <m:r>
              <w:rPr>
                <w:rFonts w:ascii="Cambria Math" w:hAnsi="Cambria Math" w:cs="Arial"/>
              </w:rPr>
              <m:t>j</m:t>
            </m:r>
          </m:sub>
        </m:sSub>
      </m:oMath>
      <w:r w:rsidR="00BA44A7" w:rsidRPr="000B1138">
        <w:rPr>
          <w:rFonts w:ascii="Arial" w:hAnsi="Arial" w:cs="Arial"/>
        </w:rPr>
        <w:t xml:space="preserve"> at time </w:t>
      </w:r>
      <w:r w:rsidR="00BA44A7" w:rsidRPr="000B1138">
        <w:rPr>
          <w:rFonts w:ascii="Arial" w:hAnsi="Arial" w:cs="Arial"/>
          <w:i/>
        </w:rPr>
        <w:t>t</w:t>
      </w:r>
      <w:r w:rsidR="00BA44A7" w:rsidRPr="000B1138">
        <w:rPr>
          <w:rFonts w:ascii="Arial" w:hAnsi="Arial" w:cs="Arial"/>
        </w:rPr>
        <w:t xml:space="preserve">, the value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d>
          <m:dPr>
            <m:ctrlPr>
              <w:rPr>
                <w:rFonts w:ascii="Cambria Math" w:hAnsi="Cambria Math" w:cs="Arial"/>
                <w:i/>
              </w:rPr>
            </m:ctrlPr>
          </m:dPr>
          <m:e>
            <m:r>
              <w:rPr>
                <w:rFonts w:ascii="Cambria Math" w:hAnsi="Cambria Math" w:cs="Arial"/>
              </w:rPr>
              <m:t>j</m:t>
            </m:r>
          </m:e>
        </m:d>
        <m:r>
          <w:rPr>
            <w:rFonts w:ascii="Cambria Math" w:hAnsi="Cambria Math" w:cs="Arial"/>
          </w:rPr>
          <m:t xml:space="preserve"> </m:t>
        </m:r>
      </m:oMath>
      <w:r w:rsidR="00BA44A7" w:rsidRPr="000B1138">
        <w:rPr>
          <w:rFonts w:ascii="Arial" w:hAnsi="Arial" w:cs="Arial"/>
        </w:rPr>
        <w:t>is computed as:</w:t>
      </w:r>
    </w:p>
    <w:p w14:paraId="4302D1FB" w14:textId="5F389216" w:rsidR="00BA44A7" w:rsidRPr="000B1138" w:rsidRDefault="00FD2625" w:rsidP="000B1138">
      <w:pPr>
        <w:pStyle w:val="Default"/>
        <w:spacing w:line="360" w:lineRule="auto"/>
        <w:ind w:left="720" w:firstLine="720"/>
        <w:jc w:val="both"/>
        <w:rPr>
          <w:rFonts w:ascii="Arial" w:hAnsi="Arial" w:cs="Arial"/>
          <w:sz w:val="20"/>
          <w:szCs w:val="20"/>
        </w:rPr>
      </w:pPr>
      <m:oMath>
        <m:sSub>
          <m:sSubPr>
            <m:ctrlPr>
              <w:rPr>
                <w:rFonts w:ascii="Cambria Math" w:hAnsi="Cambria Math" w:cs="Arial"/>
                <w:i/>
                <w:color w:val="auto"/>
                <w:sz w:val="20"/>
                <w:szCs w:val="20"/>
              </w:rPr>
            </m:ctrlPr>
          </m:sSubPr>
          <m:e>
            <m:r>
              <w:rPr>
                <w:rFonts w:ascii="Cambria Math" w:hAnsi="Cambria Math" w:cs="Arial"/>
                <w:sz w:val="20"/>
                <w:szCs w:val="20"/>
              </w:rPr>
              <m:t>V</m:t>
            </m:r>
          </m:e>
          <m:sub>
            <m:r>
              <w:rPr>
                <w:rFonts w:ascii="Cambria Math" w:hAnsi="Cambria Math" w:cs="Arial"/>
                <w:sz w:val="20"/>
                <w:szCs w:val="20"/>
              </w:rPr>
              <m:t>i</m:t>
            </m:r>
          </m:sub>
        </m:sSub>
        <m:d>
          <m:dPr>
            <m:ctrlPr>
              <w:rPr>
                <w:rFonts w:ascii="Cambria Math" w:hAnsi="Cambria Math" w:cs="Arial"/>
                <w:i/>
                <w:color w:val="auto"/>
                <w:sz w:val="20"/>
                <w:szCs w:val="20"/>
              </w:rPr>
            </m:ctrlPr>
          </m:dPr>
          <m:e>
            <m:r>
              <w:rPr>
                <w:rFonts w:ascii="Cambria Math" w:hAnsi="Cambria Math" w:cs="Arial"/>
                <w:color w:val="auto"/>
                <w:sz w:val="20"/>
                <w:szCs w:val="20"/>
              </w:rPr>
              <m:t>j</m:t>
            </m:r>
          </m:e>
        </m:d>
        <m:r>
          <w:rPr>
            <w:rFonts w:ascii="Cambria Math" w:hAnsi="Cambria Math" w:cs="Arial"/>
            <w:sz w:val="20"/>
            <w:szCs w:val="20"/>
          </w:rPr>
          <m:t>=</m:t>
        </m:r>
        <m:m>
          <m:mPr>
            <m:mcs>
              <m:mc>
                <m:mcPr>
                  <m:count m:val="1"/>
                  <m:mcJc m:val="center"/>
                </m:mcPr>
              </m:mc>
            </m:mcs>
            <m:ctrlPr>
              <w:rPr>
                <w:rFonts w:ascii="Cambria Math" w:hAnsi="Cambria Math" w:cs="Arial"/>
                <w:i/>
                <w:sz w:val="20"/>
                <w:szCs w:val="20"/>
              </w:rPr>
            </m:ctrlPr>
          </m:mPr>
          <m:mr>
            <m:e>
              <m:r>
                <w:rPr>
                  <w:rFonts w:ascii="Cambria Math" w:hAnsi="Cambria Math" w:cs="Arial"/>
                  <w:sz w:val="20"/>
                  <w:szCs w:val="20"/>
                </w:rPr>
                <m:t>N</m:t>
              </m:r>
            </m:e>
          </m:mr>
          <m:mr>
            <m:e>
              <m:r>
                <w:rPr>
                  <w:rFonts w:ascii="Cambria Math" w:hAnsi="Cambria Math" w:cs="Arial"/>
                  <w:sz w:val="20"/>
                  <w:szCs w:val="20"/>
                </w:rPr>
                <m:t>max</m:t>
              </m:r>
            </m:e>
          </m:mr>
          <m:mr>
            <m:e>
              <m:r>
                <w:rPr>
                  <w:rFonts w:ascii="Cambria Math" w:hAnsi="Cambria Math" w:cs="Arial"/>
                  <w:sz w:val="20"/>
                  <w:szCs w:val="20"/>
                </w:rPr>
                <m:t>i=1</m:t>
              </m:r>
            </m:e>
          </m:mr>
        </m: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t-1</m:t>
            </m:r>
          </m:sub>
        </m:sSub>
        <m:d>
          <m:dPr>
            <m:ctrlPr>
              <w:rPr>
                <w:rFonts w:ascii="Cambria Math" w:hAnsi="Cambria Math" w:cs="Arial"/>
                <w:i/>
                <w:sz w:val="20"/>
                <w:szCs w:val="20"/>
              </w:rPr>
            </m:ctrlPr>
          </m:dPr>
          <m:e>
            <m:r>
              <w:rPr>
                <w:rFonts w:ascii="Cambria Math" w:hAnsi="Cambria Math" w:cs="Arial"/>
                <w:sz w:val="20"/>
                <w:szCs w:val="20"/>
              </w:rPr>
              <m:t>i</m:t>
            </m:r>
          </m:e>
        </m:d>
        <m:sSub>
          <m:sSubPr>
            <m:ctrlPr>
              <w:rPr>
                <w:rFonts w:ascii="Cambria Math" w:hAnsi="Cambria Math" w:cs="Arial"/>
                <w:i/>
                <w:color w:val="auto"/>
                <w:sz w:val="20"/>
                <w:szCs w:val="20"/>
              </w:rPr>
            </m:ctrlPr>
          </m:sSubPr>
          <m:e>
            <m:r>
              <w:rPr>
                <w:rFonts w:ascii="Cambria Math" w:hAnsi="Cambria Math" w:cs="Arial"/>
                <w:sz w:val="20"/>
                <w:szCs w:val="20"/>
              </w:rPr>
              <m:t>a</m:t>
            </m:r>
          </m:e>
          <m:sub>
            <m:r>
              <w:rPr>
                <w:rFonts w:ascii="Cambria Math" w:hAnsi="Cambria Math" w:cs="Arial"/>
                <w:sz w:val="20"/>
                <w:szCs w:val="20"/>
              </w:rPr>
              <m:t>ij</m:t>
            </m:r>
          </m:sub>
        </m:sSub>
        <m:sSub>
          <m:sSubPr>
            <m:ctrlPr>
              <w:rPr>
                <w:rFonts w:ascii="Cambria Math" w:hAnsi="Cambria Math" w:cs="Arial"/>
                <w:i/>
                <w:color w:val="auto"/>
                <w:sz w:val="20"/>
                <w:szCs w:val="20"/>
              </w:rPr>
            </m:ctrlPr>
          </m:sSubPr>
          <m:e>
            <m:r>
              <w:rPr>
                <w:rFonts w:ascii="Cambria Math" w:hAnsi="Cambria Math" w:cs="Arial"/>
                <w:sz w:val="20"/>
                <w:szCs w:val="20"/>
              </w:rPr>
              <m:t>b</m:t>
            </m:r>
          </m:e>
          <m:sub>
            <m:r>
              <w:rPr>
                <w:rFonts w:ascii="Cambria Math" w:hAnsi="Cambria Math" w:cs="Arial"/>
                <w:color w:val="auto"/>
                <w:sz w:val="20"/>
                <w:szCs w:val="20"/>
              </w:rPr>
              <m:t>j</m:t>
            </m:r>
          </m:sub>
        </m:sSub>
        <m:r>
          <w:rPr>
            <w:rFonts w:ascii="Cambria Math" w:hAnsi="Cambria Math" w:cs="Arial"/>
            <w:color w:val="auto"/>
            <w:sz w:val="20"/>
            <w:szCs w:val="20"/>
          </w:rPr>
          <m:t>(</m:t>
        </m:r>
        <m:sSub>
          <m:sSubPr>
            <m:ctrlPr>
              <w:rPr>
                <w:rFonts w:ascii="Cambria Math" w:hAnsi="Cambria Math" w:cs="Arial"/>
                <w:i/>
                <w:color w:val="auto"/>
                <w:sz w:val="20"/>
                <w:szCs w:val="20"/>
              </w:rPr>
            </m:ctrlPr>
          </m:sSubPr>
          <m:e>
            <m:r>
              <w:rPr>
                <w:rFonts w:ascii="Cambria Math" w:hAnsi="Cambria Math" w:cs="Arial"/>
                <w:color w:val="auto"/>
                <w:sz w:val="20"/>
                <w:szCs w:val="20"/>
              </w:rPr>
              <m:t>o</m:t>
            </m:r>
          </m:e>
          <m:sub>
            <m:r>
              <w:rPr>
                <w:rFonts w:ascii="Cambria Math" w:hAnsi="Cambria Math" w:cs="Arial"/>
                <w:sz w:val="20"/>
                <w:szCs w:val="20"/>
              </w:rPr>
              <m:t>t</m:t>
            </m:r>
          </m:sub>
        </m:sSub>
        <m:r>
          <w:rPr>
            <w:rFonts w:ascii="Cambria Math" w:hAnsi="Cambria Math" w:cs="Arial"/>
            <w:color w:val="auto"/>
            <w:sz w:val="20"/>
            <w:szCs w:val="20"/>
          </w:rPr>
          <m:t>)</m:t>
        </m:r>
      </m:oMath>
      <w:r w:rsidR="00BA44A7" w:rsidRPr="000B1138">
        <w:rPr>
          <w:rFonts w:ascii="Arial" w:hAnsi="Arial" w:cs="Arial"/>
          <w:color w:val="auto"/>
          <w:sz w:val="20"/>
          <w:szCs w:val="20"/>
        </w:rPr>
        <w:t xml:space="preserve"> </w:t>
      </w:r>
      <w:r w:rsidR="00BA44A7" w:rsidRPr="000B1138">
        <w:rPr>
          <w:rFonts w:ascii="Arial" w:hAnsi="Arial" w:cs="Arial"/>
          <w:color w:val="auto"/>
          <w:sz w:val="20"/>
          <w:szCs w:val="20"/>
        </w:rPr>
        <w:tab/>
      </w:r>
      <w:r w:rsidR="00BA44A7" w:rsidRPr="000B1138">
        <w:rPr>
          <w:rFonts w:ascii="Arial" w:hAnsi="Arial" w:cs="Arial"/>
          <w:color w:val="auto"/>
          <w:sz w:val="20"/>
          <w:szCs w:val="20"/>
        </w:rPr>
        <w:tab/>
      </w:r>
      <w:r w:rsidR="00BA44A7" w:rsidRPr="000B1138">
        <w:rPr>
          <w:rFonts w:ascii="Arial" w:hAnsi="Arial" w:cs="Arial"/>
          <w:color w:val="auto"/>
          <w:sz w:val="20"/>
          <w:szCs w:val="20"/>
        </w:rPr>
        <w:tab/>
      </w:r>
      <w:r w:rsidR="00BA44A7" w:rsidRPr="000B1138">
        <w:rPr>
          <w:rFonts w:ascii="Arial" w:hAnsi="Arial" w:cs="Arial"/>
          <w:color w:val="auto"/>
          <w:sz w:val="20"/>
          <w:szCs w:val="20"/>
        </w:rPr>
        <w:tab/>
      </w:r>
      <w:r w:rsidR="00DD11B1">
        <w:rPr>
          <w:rFonts w:ascii="Arial" w:hAnsi="Arial" w:cs="Arial"/>
          <w:color w:val="auto"/>
          <w:sz w:val="20"/>
          <w:szCs w:val="20"/>
        </w:rPr>
        <w:tab/>
      </w:r>
      <w:r w:rsidR="00DD11B1">
        <w:rPr>
          <w:rFonts w:ascii="Arial" w:hAnsi="Arial" w:cs="Arial"/>
          <w:color w:val="auto"/>
          <w:sz w:val="20"/>
          <w:szCs w:val="20"/>
        </w:rPr>
        <w:tab/>
      </w:r>
      <w:r w:rsidR="00BA44A7" w:rsidRPr="000B1138">
        <w:rPr>
          <w:rFonts w:ascii="Arial" w:hAnsi="Arial" w:cs="Arial"/>
          <w:color w:val="auto"/>
          <w:sz w:val="20"/>
          <w:szCs w:val="20"/>
        </w:rPr>
        <w:t xml:space="preserve">  (9)</w:t>
      </w:r>
    </w:p>
    <w:p w14:paraId="5E3E5BC7" w14:textId="77777777" w:rsidR="00BA44A7" w:rsidRPr="000B1138" w:rsidRDefault="00BA44A7" w:rsidP="000B1138">
      <w:pPr>
        <w:pStyle w:val="Default"/>
        <w:spacing w:line="360" w:lineRule="auto"/>
        <w:jc w:val="both"/>
        <w:rPr>
          <w:rFonts w:ascii="Arial" w:hAnsi="Arial" w:cs="Arial"/>
          <w:sz w:val="20"/>
          <w:szCs w:val="20"/>
        </w:rPr>
      </w:pPr>
    </w:p>
    <w:p w14:paraId="1953DA14" w14:textId="77777777" w:rsidR="00BA44A7" w:rsidRPr="000B1138" w:rsidRDefault="00BA44A7" w:rsidP="000B1138">
      <w:pPr>
        <w:autoSpaceDE w:val="0"/>
        <w:autoSpaceDN w:val="0"/>
        <w:adjustRightInd w:val="0"/>
        <w:spacing w:line="360" w:lineRule="auto"/>
        <w:jc w:val="both"/>
        <w:rPr>
          <w:rFonts w:ascii="Arial" w:hAnsi="Arial" w:cs="Arial"/>
        </w:rPr>
      </w:pPr>
      <w:r w:rsidRPr="000B1138">
        <w:rPr>
          <w:rFonts w:ascii="Arial" w:hAnsi="Arial" w:cs="Arial"/>
          <w:color w:val="000000"/>
        </w:rPr>
        <w:t>The three factors that are multiplied in Eq. (9)</w:t>
      </w:r>
      <w:r w:rsidRPr="000B1138">
        <w:rPr>
          <w:rFonts w:ascii="Arial" w:hAnsi="Arial" w:cs="Arial"/>
          <w:color w:val="0000FF"/>
        </w:rPr>
        <w:t xml:space="preserve"> </w:t>
      </w:r>
      <w:r w:rsidRPr="000B1138">
        <w:rPr>
          <w:rFonts w:ascii="Arial" w:hAnsi="Arial" w:cs="Arial"/>
          <w:color w:val="000000"/>
        </w:rPr>
        <w:t xml:space="preserve">for extending the previous paths to compute the Viterbi probability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d>
          <m:dPr>
            <m:ctrlPr>
              <w:rPr>
                <w:rFonts w:ascii="Cambria Math" w:hAnsi="Cambria Math" w:cs="Arial"/>
                <w:i/>
              </w:rPr>
            </m:ctrlPr>
          </m:dPr>
          <m:e>
            <m:r>
              <w:rPr>
                <w:rFonts w:ascii="Cambria Math" w:hAnsi="Cambria Math" w:cs="Arial"/>
              </w:rPr>
              <m:t>j</m:t>
            </m:r>
          </m:e>
        </m:d>
        <m:r>
          <w:rPr>
            <w:rFonts w:ascii="Cambria Math" w:hAnsi="Cambria Math" w:cs="Arial"/>
          </w:rPr>
          <m:t xml:space="preserve"> </m:t>
        </m:r>
      </m:oMath>
      <w:r w:rsidRPr="000B1138">
        <w:rPr>
          <w:rFonts w:ascii="Arial" w:hAnsi="Arial" w:cs="Arial"/>
          <w:color w:val="000000"/>
        </w:rPr>
        <w:t xml:space="preserve">at time </w:t>
      </w:r>
      <w:r w:rsidRPr="000B1138">
        <w:rPr>
          <w:rFonts w:ascii="Arial" w:hAnsi="Arial" w:cs="Arial"/>
          <w:i/>
          <w:color w:val="000000"/>
        </w:rPr>
        <w:t>t</w:t>
      </w:r>
      <w:r w:rsidRPr="000B1138">
        <w:rPr>
          <w:rFonts w:ascii="Arial" w:hAnsi="Arial" w:cs="Arial"/>
          <w:color w:val="000000"/>
        </w:rPr>
        <w:t xml:space="preserve"> are:</w:t>
      </w:r>
    </w:p>
    <w:p w14:paraId="40E2039D" w14:textId="77777777" w:rsidR="00BA44A7" w:rsidRPr="000B1138" w:rsidRDefault="00FD2625" w:rsidP="000B1138">
      <w:pPr>
        <w:pStyle w:val="Default"/>
        <w:spacing w:line="360" w:lineRule="auto"/>
        <w:jc w:val="both"/>
        <w:rPr>
          <w:rFonts w:ascii="Arial" w:eastAsia="SimSun"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t-1</m:t>
              </m:r>
            </m:sub>
          </m:sSub>
          <m:r>
            <w:rPr>
              <w:rFonts w:ascii="Cambria Math" w:hAnsi="Cambria Math" w:cs="Arial"/>
              <w:sz w:val="20"/>
              <w:szCs w:val="20"/>
            </w:rPr>
            <m:t xml:space="preserve">      </m:t>
          </m:r>
          <m:r>
            <m:rPr>
              <m:sty m:val="p"/>
            </m:rPr>
            <w:rPr>
              <w:rFonts w:ascii="Cambria Math" w:hAnsi="Cambria Math" w:cs="Arial"/>
              <w:sz w:val="20"/>
              <w:szCs w:val="20"/>
            </w:rPr>
            <m:t>the previous Viterbi path probability from the previous time step</m:t>
          </m:r>
        </m:oMath>
      </m:oMathPara>
    </w:p>
    <w:p w14:paraId="39B1696A" w14:textId="77777777" w:rsidR="00BA44A7" w:rsidRPr="000B1138" w:rsidRDefault="00FD2625" w:rsidP="000B1138">
      <w:pPr>
        <w:pStyle w:val="Default"/>
        <w:spacing w:line="360" w:lineRule="auto"/>
        <w:jc w:val="both"/>
        <w:rPr>
          <w:rFonts w:ascii="Arial" w:hAnsi="Arial" w:cs="Arial"/>
          <w:i/>
          <w:sz w:val="20"/>
          <w:szCs w:val="20"/>
        </w:rPr>
      </w:pPr>
      <m:oMathPara>
        <m:oMathParaPr>
          <m:jc m:val="left"/>
        </m:oMathParaPr>
        <m:oMath>
          <m:sSub>
            <m:sSubPr>
              <m:ctrlPr>
                <w:rPr>
                  <w:rFonts w:ascii="Cambria Math" w:hAnsi="Cambria Math" w:cs="Arial"/>
                  <w:i/>
                  <w:color w:val="auto"/>
                  <w:sz w:val="20"/>
                  <w:szCs w:val="20"/>
                </w:rPr>
              </m:ctrlPr>
            </m:sSubPr>
            <m:e>
              <m:r>
                <w:rPr>
                  <w:rFonts w:ascii="Cambria Math" w:hAnsi="Cambria Math" w:cs="Arial"/>
                  <w:sz w:val="20"/>
                  <w:szCs w:val="20"/>
                </w:rPr>
                <m:t>a</m:t>
              </m:r>
            </m:e>
            <m:sub>
              <m:r>
                <w:rPr>
                  <w:rFonts w:ascii="Cambria Math" w:hAnsi="Cambria Math" w:cs="Arial"/>
                  <w:sz w:val="20"/>
                  <w:szCs w:val="20"/>
                </w:rPr>
                <m:t>ij</m:t>
              </m:r>
            </m:sub>
          </m:sSub>
          <m:r>
            <w:rPr>
              <w:rFonts w:ascii="Cambria Math" w:hAnsi="Cambria Math" w:cs="Arial"/>
              <w:color w:val="auto"/>
              <w:sz w:val="20"/>
              <w:szCs w:val="20"/>
            </w:rPr>
            <m:t xml:space="preserve">          </m:t>
          </m:r>
          <m:r>
            <m:rPr>
              <m:sty m:val="p"/>
            </m:rPr>
            <w:rPr>
              <w:rFonts w:ascii="Cambria Math" w:hAnsi="Cambria Math" w:cs="Arial"/>
              <w:sz w:val="20"/>
              <w:szCs w:val="20"/>
            </w:rPr>
            <m:t xml:space="preserve">the transition probability from previous state </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r>
            <m:rPr>
              <m:sty m:val="p"/>
            </m:rPr>
            <w:rPr>
              <w:rFonts w:ascii="Cambria Math" w:hAnsi="Cambria Math" w:cs="Arial"/>
              <w:sz w:val="20"/>
              <w:szCs w:val="20"/>
            </w:rPr>
            <m:t xml:space="preserve"> to current state </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oMath>
      </m:oMathPara>
    </w:p>
    <w:p w14:paraId="6625D701" w14:textId="77777777" w:rsidR="00BA44A7" w:rsidRPr="000B1138" w:rsidRDefault="00FD2625" w:rsidP="000B1138">
      <w:pPr>
        <w:autoSpaceDE w:val="0"/>
        <w:autoSpaceDN w:val="0"/>
        <w:adjustRightInd w:val="0"/>
        <w:spacing w:line="36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e>
        </m:d>
        <m:r>
          <w:rPr>
            <w:rFonts w:ascii="Cambria Math" w:hAnsi="Cambria Math" w:cs="Arial"/>
          </w:rPr>
          <m:t xml:space="preserve">     </m:t>
        </m:r>
      </m:oMath>
      <w:r w:rsidR="00BA44A7" w:rsidRPr="000B1138">
        <w:rPr>
          <w:rFonts w:ascii="Arial" w:hAnsi="Arial" w:cs="Arial"/>
        </w:rPr>
        <w:t xml:space="preserve">the state observation likelihood of the observation symbol </w:t>
      </w:r>
      <m:oMath>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r>
          <w:rPr>
            <w:rFonts w:ascii="Cambria Math" w:hAnsi="Cambria Math" w:cs="Arial"/>
          </w:rPr>
          <m:t xml:space="preserve"> g</m:t>
        </m:r>
      </m:oMath>
      <w:r w:rsidR="00BA44A7" w:rsidRPr="000B1138">
        <w:rPr>
          <w:rFonts w:ascii="Arial" w:hAnsi="Arial" w:cs="Arial"/>
        </w:rPr>
        <w:t>iven the current state j</w:t>
      </w:r>
      <m:oMath>
        <m:r>
          <w:rPr>
            <w:rFonts w:ascii="Cambria Math" w:hAnsi="Cambria Math" w:cs="Arial"/>
          </w:rPr>
          <m:t xml:space="preserve"> </m:t>
        </m:r>
      </m:oMath>
      <w:r w:rsidR="00BA44A7" w:rsidRPr="000B1138">
        <w:rPr>
          <w:rFonts w:ascii="Arial" w:eastAsiaTheme="minorEastAsia" w:hAnsi="Arial" w:cs="Arial"/>
        </w:rPr>
        <w:t>.</w:t>
      </w:r>
    </w:p>
    <w:p w14:paraId="5FD7FE96" w14:textId="27FA9AB4" w:rsidR="00BA44A7" w:rsidRPr="000B1138" w:rsidRDefault="00BA44A7" w:rsidP="000B1138">
      <w:pPr>
        <w:spacing w:line="360" w:lineRule="auto"/>
        <w:jc w:val="both"/>
        <w:rPr>
          <w:rFonts w:ascii="Arial" w:hAnsi="Arial" w:cs="Arial"/>
        </w:rPr>
      </w:pPr>
      <w:r w:rsidRPr="000B1138">
        <w:rPr>
          <w:rFonts w:ascii="Arial" w:hAnsi="Arial" w:cs="Arial"/>
        </w:rPr>
        <w:t>The Viterbi algorithm was used to reconstruct the most probable sequence of atmospheric re</w:t>
      </w:r>
      <w:r w:rsidR="00DD11B1">
        <w:rPr>
          <w:rFonts w:ascii="Arial" w:hAnsi="Arial" w:cs="Arial"/>
        </w:rPr>
        <w:t>gimes. The HMM model estimated the transition probabilities</w:t>
      </w:r>
      <w:r w:rsidRPr="000B1138">
        <w:rPr>
          <w:rFonts w:ascii="Arial" w:hAnsi="Arial" w:cs="Arial"/>
        </w:rPr>
        <w:t xml:space="preserve">, </w:t>
      </w:r>
      <w:r w:rsidR="00DD11B1">
        <w:rPr>
          <w:rFonts w:ascii="Arial" w:hAnsi="Arial" w:cs="Arial"/>
        </w:rPr>
        <w:t>f</w:t>
      </w:r>
      <w:r w:rsidRPr="000B1138">
        <w:rPr>
          <w:rFonts w:ascii="Arial" w:hAnsi="Arial" w:cs="Arial"/>
        </w:rPr>
        <w:t xml:space="preserve">requency of hidden states, </w:t>
      </w:r>
      <w:r w:rsidR="00DD11B1">
        <w:rPr>
          <w:rFonts w:ascii="Arial" w:hAnsi="Arial" w:cs="Arial"/>
        </w:rPr>
        <w:t>s</w:t>
      </w:r>
      <w:r w:rsidRPr="000B1138">
        <w:rPr>
          <w:rFonts w:ascii="Arial" w:hAnsi="Arial" w:cs="Arial"/>
        </w:rPr>
        <w:t xml:space="preserve">easonal distribution of states and </w:t>
      </w:r>
      <w:r w:rsidR="00DD11B1">
        <w:rPr>
          <w:rFonts w:ascii="Arial" w:hAnsi="Arial" w:cs="Arial"/>
        </w:rPr>
        <w:t>the m</w:t>
      </w:r>
      <w:r w:rsidRPr="000B1138">
        <w:rPr>
          <w:rFonts w:ascii="Arial" w:hAnsi="Arial" w:cs="Arial"/>
        </w:rPr>
        <w:t>onthly distr</w:t>
      </w:r>
      <w:r w:rsidR="00402EEB" w:rsidRPr="000B1138">
        <w:rPr>
          <w:rFonts w:ascii="Arial" w:hAnsi="Arial" w:cs="Arial"/>
        </w:rPr>
        <w:t xml:space="preserve">ibution of atmospheric regimes. </w:t>
      </w:r>
      <w:r w:rsidRPr="000B1138">
        <w:rPr>
          <w:rFonts w:ascii="Arial" w:hAnsi="Arial" w:cs="Arial"/>
        </w:rPr>
        <w:t>The Hidden Markov Model estimation was performed using the depmixS4 R package.</w:t>
      </w:r>
    </w:p>
    <w:p w14:paraId="68459ABF" w14:textId="77777777" w:rsidR="00ED02C0" w:rsidRPr="000B1138" w:rsidRDefault="00ED02C0" w:rsidP="000B1138">
      <w:pPr>
        <w:spacing w:line="360" w:lineRule="auto"/>
        <w:jc w:val="both"/>
        <w:rPr>
          <w:rFonts w:ascii="Arial" w:hAnsi="Arial" w:cs="Arial"/>
          <w:b/>
          <w:i/>
        </w:rPr>
      </w:pPr>
      <w:r w:rsidRPr="000B1138">
        <w:rPr>
          <w:rFonts w:ascii="Arial" w:hAnsi="Arial" w:cs="Arial"/>
          <w:b/>
        </w:rPr>
        <w:t xml:space="preserve">2.4 </w:t>
      </w:r>
      <w:r w:rsidRPr="000B1138">
        <w:rPr>
          <w:rFonts w:ascii="Arial" w:hAnsi="Arial" w:cs="Arial"/>
          <w:b/>
          <w:i/>
        </w:rPr>
        <w:t>Data Preparation</w:t>
      </w:r>
    </w:p>
    <w:p w14:paraId="4971565C" w14:textId="6FC9CDA1" w:rsidR="00ED02C0" w:rsidRPr="000B1138" w:rsidRDefault="00DD11B1" w:rsidP="000B1138">
      <w:pPr>
        <w:spacing w:line="360" w:lineRule="auto"/>
        <w:jc w:val="both"/>
        <w:rPr>
          <w:rFonts w:ascii="Arial" w:hAnsi="Arial" w:cs="Arial"/>
        </w:rPr>
      </w:pPr>
      <w:r>
        <w:rPr>
          <w:rFonts w:ascii="Arial" w:hAnsi="Arial" w:cs="Arial"/>
        </w:rPr>
        <w:t>The daily rainfall amount and t</w:t>
      </w:r>
      <w:r w:rsidR="00ED02C0" w:rsidRPr="000B1138">
        <w:rPr>
          <w:rFonts w:ascii="Arial" w:hAnsi="Arial" w:cs="Arial"/>
        </w:rPr>
        <w:t>emperature data were classified</w:t>
      </w:r>
      <w:r>
        <w:rPr>
          <w:rFonts w:ascii="Arial" w:hAnsi="Arial" w:cs="Arial"/>
        </w:rPr>
        <w:t xml:space="preserve"> into two states</w:t>
      </w:r>
      <w:r w:rsidR="00ED02C0" w:rsidRPr="000B1138">
        <w:rPr>
          <w:rFonts w:ascii="Arial" w:hAnsi="Arial" w:cs="Arial"/>
        </w:rPr>
        <w:t xml:space="preserve">. A random variable </w:t>
      </w:r>
      <m:oMath>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oMath>
      <w:r>
        <w:rPr>
          <w:rFonts w:ascii="Arial" w:hAnsi="Arial" w:cs="Arial"/>
        </w:rPr>
        <w:t xml:space="preserve"> was defined for daily t</w:t>
      </w:r>
      <w:r w:rsidR="00ED02C0" w:rsidRPr="000B1138">
        <w:rPr>
          <w:rFonts w:ascii="Arial" w:hAnsi="Arial" w:cs="Arial"/>
        </w:rPr>
        <w:t>emperature with realization ‘0’ if ‘</w:t>
      </w:r>
      <m:oMath>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oMath>
      <w:r w:rsidR="00ED02C0" w:rsidRPr="000B1138">
        <w:rPr>
          <w:rFonts w:ascii="Arial" w:hAnsi="Arial" w:cs="Arial"/>
        </w:rPr>
        <w:t>’</w:t>
      </w:r>
      <w:r w:rsidR="00ED02C0" w:rsidRPr="000B1138">
        <w:rPr>
          <w:rFonts w:ascii="Arial" w:hAnsi="Arial" w:cs="Arial"/>
          <w:i/>
        </w:rPr>
        <w:t xml:space="preserve"> </w:t>
      </w:r>
      <w:r w:rsidR="00ED02C0" w:rsidRPr="000B1138">
        <w:rPr>
          <w:rFonts w:ascii="Arial" w:hAnsi="Arial" w:cs="Arial"/>
        </w:rPr>
        <w:t>is below average (</w:t>
      </w:r>
      <m:oMath>
        <m:acc>
          <m:accPr>
            <m:chr m:val="̅"/>
            <m:ctrlPr>
              <w:rPr>
                <w:rFonts w:ascii="Cambria Math" w:hAnsi="Cambria Math" w:cs="Arial"/>
                <w:i/>
              </w:rPr>
            </m:ctrlPr>
          </m:accPr>
          <m:e>
            <m:r>
              <w:rPr>
                <w:rFonts w:ascii="Cambria Math" w:hAnsi="Cambria Math" w:cs="Arial"/>
              </w:rPr>
              <m:t>T</m:t>
            </m:r>
          </m:e>
        </m:acc>
      </m:oMath>
      <w:r>
        <w:rPr>
          <w:rFonts w:ascii="Arial" w:hAnsi="Arial" w:cs="Arial"/>
        </w:rPr>
        <w:t>) and ‘1’ if the daily t</w:t>
      </w:r>
      <w:r w:rsidR="00ED02C0" w:rsidRPr="000B1138">
        <w:rPr>
          <w:rFonts w:ascii="Arial" w:hAnsi="Arial" w:cs="Arial"/>
        </w:rPr>
        <w:t>emperature (</w:t>
      </w:r>
      <m:oMath>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oMath>
      <w:r w:rsidR="00ED02C0" w:rsidRPr="000B1138">
        <w:rPr>
          <w:rFonts w:ascii="Arial" w:hAnsi="Arial" w:cs="Arial"/>
        </w:rPr>
        <w:t>) is above average (</w:t>
      </w:r>
      <m:oMath>
        <m:acc>
          <m:accPr>
            <m:chr m:val="̅"/>
            <m:ctrlPr>
              <w:rPr>
                <w:rFonts w:ascii="Cambria Math" w:hAnsi="Cambria Math" w:cs="Arial"/>
                <w:i/>
              </w:rPr>
            </m:ctrlPr>
          </m:accPr>
          <m:e>
            <m:r>
              <w:rPr>
                <w:rFonts w:ascii="Cambria Math" w:hAnsi="Cambria Math" w:cs="Arial"/>
              </w:rPr>
              <m:t>T</m:t>
            </m:r>
          </m:e>
        </m:acc>
      </m:oMath>
      <w:r w:rsidR="00ED02C0" w:rsidRPr="000B1138">
        <w:rPr>
          <w:rFonts w:ascii="Arial" w:hAnsi="Arial" w:cs="Arial"/>
        </w:rPr>
        <w:t xml:space="preserve">). This is termed low and high Temperature respectively. </w:t>
      </w:r>
      <w:r>
        <w:rPr>
          <w:rFonts w:ascii="Arial" w:hAnsi="Arial" w:cs="Arial"/>
        </w:rPr>
        <w:t>The average</w:t>
      </w:r>
      <w:r w:rsidR="00AC3D68" w:rsidRPr="000B1138">
        <w:rPr>
          <w:rFonts w:ascii="Arial" w:hAnsi="Arial" w:cs="Arial"/>
        </w:rPr>
        <w:t xml:space="preserve"> temperature serves as a reference threshold for distinguishing hot or cold atmospheric condition. </w:t>
      </w:r>
      <w:r w:rsidR="00ED02C0" w:rsidRPr="000B1138">
        <w:rPr>
          <w:rFonts w:ascii="Arial" w:hAnsi="Arial" w:cs="Arial"/>
        </w:rPr>
        <w:t xml:space="preserve">Also, a random variable </w:t>
      </w:r>
      <m:oMath>
        <m:sSub>
          <m:sSubPr>
            <m:ctrlPr>
              <w:rPr>
                <w:rFonts w:ascii="Cambria Math" w:hAnsi="Cambria Math" w:cs="Arial"/>
                <w:i/>
              </w:rPr>
            </m:ctrlPr>
          </m:sSubPr>
          <m:e>
            <m:r>
              <w:rPr>
                <w:rFonts w:ascii="Cambria Math" w:hAnsi="Cambria Math" w:cs="Arial"/>
              </w:rPr>
              <m:t xml:space="preserve"> R</m:t>
            </m:r>
          </m:e>
          <m:sub>
            <m:r>
              <w:rPr>
                <w:rFonts w:ascii="Cambria Math" w:hAnsi="Cambria Math" w:cs="Arial"/>
              </w:rPr>
              <m:t>n</m:t>
            </m:r>
          </m:sub>
        </m:sSub>
      </m:oMath>
      <w:r w:rsidR="008138A4" w:rsidRPr="000B1138">
        <w:rPr>
          <w:rFonts w:ascii="Arial" w:hAnsi="Arial" w:cs="Arial"/>
        </w:rPr>
        <w:t xml:space="preserve"> </w:t>
      </w:r>
      <w:r>
        <w:rPr>
          <w:rFonts w:ascii="Arial" w:hAnsi="Arial" w:cs="Arial"/>
        </w:rPr>
        <w:t>is defined to represent the r</w:t>
      </w:r>
      <w:r w:rsidR="00ED02C0" w:rsidRPr="000B1138">
        <w:rPr>
          <w:rFonts w:ascii="Arial" w:hAnsi="Arial" w:cs="Arial"/>
        </w:rPr>
        <w:t>ainfall event, with th</w:t>
      </w:r>
      <w:r>
        <w:rPr>
          <w:rFonts w:ascii="Arial" w:hAnsi="Arial" w:cs="Arial"/>
        </w:rPr>
        <w:t>e realization ‘0’ if the daily r</w:t>
      </w:r>
      <w:r w:rsidR="00ED02C0" w:rsidRPr="000B1138">
        <w:rPr>
          <w:rFonts w:ascii="Arial" w:hAnsi="Arial" w:cs="Arial"/>
        </w:rPr>
        <w:t xml:space="preserve">ainfall amount is between 0-5mm (Dry) and ‘1’ if the daily </w:t>
      </w:r>
      <w:r w:rsidR="007E50A7">
        <w:rPr>
          <w:rFonts w:ascii="Arial" w:hAnsi="Arial" w:cs="Arial"/>
        </w:rPr>
        <w:t>r</w:t>
      </w:r>
      <w:r w:rsidR="00ED02C0" w:rsidRPr="000B1138">
        <w:rPr>
          <w:rFonts w:ascii="Arial" w:hAnsi="Arial" w:cs="Arial"/>
        </w:rPr>
        <w:t xml:space="preserve">ainfall amount is greater than 5mm (Wet) (Agada, et al., 2017). Mathematically, we have; </w:t>
      </w:r>
    </w:p>
    <w:p w14:paraId="1C0AF5CB" w14:textId="2D82A065" w:rsidR="00ED02C0" w:rsidRPr="000B1138" w:rsidRDefault="00FD2625" w:rsidP="000B1138">
      <w:pPr>
        <w:spacing w:line="360" w:lineRule="auto"/>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 xml:space="preserve">            T</m:t>
            </m:r>
          </m:e>
          <m:sub>
            <m:r>
              <w:rPr>
                <w:rFonts w:ascii="Cambria Math" w:eastAsiaTheme="minorEastAsia" w:hAnsi="Cambria Math" w:cs="Arial"/>
              </w:rPr>
              <m:t>n</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0, if </m:t>
                </m:r>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r>
                  <w:rPr>
                    <w:rFonts w:ascii="Cambria Math" w:eastAsiaTheme="minorEastAsia" w:hAnsi="Cambria Math" w:cs="Arial"/>
                  </w:rPr>
                  <m:t xml:space="preserve"> &lt;</m:t>
                </m:r>
                <m:acc>
                  <m:accPr>
                    <m:chr m:val="̅"/>
                    <m:ctrlPr>
                      <w:rPr>
                        <w:rFonts w:ascii="Cambria Math" w:hAnsi="Cambria Math" w:cs="Arial"/>
                        <w:i/>
                      </w:rPr>
                    </m:ctrlPr>
                  </m:accPr>
                  <m:e>
                    <m:r>
                      <w:rPr>
                        <w:rFonts w:ascii="Cambria Math" w:hAnsi="Cambria Math" w:cs="Arial"/>
                      </w:rPr>
                      <m:t>T</m:t>
                    </m:r>
                  </m:e>
                </m:acc>
                <m:d>
                  <m:dPr>
                    <m:ctrlPr>
                      <w:rPr>
                        <w:rFonts w:ascii="Cambria Math" w:hAnsi="Cambria Math" w:cs="Arial"/>
                      </w:rPr>
                    </m:ctrlPr>
                  </m:dPr>
                  <m:e>
                    <m:r>
                      <m:rPr>
                        <m:sty m:val="p"/>
                      </m:rPr>
                      <w:rPr>
                        <w:rFonts w:ascii="Cambria Math" w:hAnsi="Cambria Math" w:cs="Arial"/>
                      </w:rPr>
                      <m:t>low Temperature</m:t>
                    </m:r>
                  </m:e>
                </m:d>
                <m:r>
                  <m:rPr>
                    <m:sty m:val="p"/>
                  </m:rPr>
                  <w:rPr>
                    <w:rFonts w:ascii="Cambria Math" w:hAnsi="Cambria Math" w:cs="Arial"/>
                  </w:rPr>
                  <m:t>.</m:t>
                </m:r>
              </m:e>
              <m:e>
                <m:r>
                  <w:rPr>
                    <w:rFonts w:ascii="Cambria Math" w:eastAsiaTheme="minorEastAsia" w:hAnsi="Cambria Math" w:cs="Arial"/>
                  </w:rPr>
                  <m:t xml:space="preserve">1, if </m:t>
                </m:r>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r>
                  <w:rPr>
                    <w:rFonts w:ascii="Cambria Math" w:eastAsiaTheme="minorEastAsia" w:hAnsi="Cambria Math" w:cs="Arial"/>
                  </w:rPr>
                  <m:t xml:space="preserve">≥ </m:t>
                </m:r>
                <m:acc>
                  <m:accPr>
                    <m:chr m:val="̅"/>
                    <m:ctrlPr>
                      <w:rPr>
                        <w:rFonts w:ascii="Cambria Math" w:hAnsi="Cambria Math" w:cs="Arial"/>
                        <w:i/>
                      </w:rPr>
                    </m:ctrlPr>
                  </m:accPr>
                  <m:e>
                    <m:r>
                      <w:rPr>
                        <w:rFonts w:ascii="Cambria Math" w:hAnsi="Cambria Math" w:cs="Arial"/>
                      </w:rPr>
                      <m:t>T</m:t>
                    </m:r>
                  </m:e>
                </m:acc>
                <m:d>
                  <m:dPr>
                    <m:ctrlPr>
                      <w:rPr>
                        <w:rFonts w:ascii="Cambria Math" w:hAnsi="Cambria Math" w:cs="Arial"/>
                      </w:rPr>
                    </m:ctrlPr>
                  </m:dPr>
                  <m:e>
                    <m:r>
                      <m:rPr>
                        <m:sty m:val="p"/>
                      </m:rPr>
                      <w:rPr>
                        <w:rFonts w:ascii="Cambria Math" w:hAnsi="Cambria Math" w:cs="Arial"/>
                      </w:rPr>
                      <m:t>high Temperature</m:t>
                    </m:r>
                  </m:e>
                </m:d>
                <m:r>
                  <w:rPr>
                    <w:rFonts w:ascii="Cambria Math" w:hAnsi="Cambria Math" w:cs="Arial"/>
                  </w:rPr>
                  <m:t>.</m:t>
                </m:r>
              </m:e>
            </m:eqArr>
          </m:e>
        </m:d>
        <m:r>
          <w:rPr>
            <w:rFonts w:ascii="Cambria Math" w:eastAsiaTheme="minorEastAsia" w:hAnsi="Cambria Math" w:cs="Arial"/>
          </w:rPr>
          <m:t xml:space="preserve">                                              </m:t>
        </m:r>
      </m:oMath>
      <w:r w:rsidR="00ED02C0" w:rsidRPr="000B1138">
        <w:rPr>
          <w:rFonts w:ascii="Arial" w:hAnsi="Arial" w:cs="Arial"/>
        </w:rPr>
        <w:t xml:space="preserve"> </w:t>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t>(</w:t>
      </w:r>
      <w:r w:rsidR="007E50A7">
        <w:rPr>
          <w:rFonts w:ascii="Arial" w:hAnsi="Arial" w:cs="Arial"/>
        </w:rPr>
        <w:t>10</w:t>
      </w:r>
      <w:r w:rsidR="00ED02C0" w:rsidRPr="000B1138">
        <w:rPr>
          <w:rFonts w:ascii="Arial" w:hAnsi="Arial" w:cs="Arial"/>
        </w:rPr>
        <w:t>)</w:t>
      </w:r>
    </w:p>
    <w:p w14:paraId="28CAE781" w14:textId="77777777" w:rsidR="008138A4" w:rsidRPr="000B1138" w:rsidRDefault="008138A4" w:rsidP="000B1138">
      <w:pPr>
        <w:spacing w:line="360" w:lineRule="auto"/>
        <w:jc w:val="both"/>
        <w:rPr>
          <w:rFonts w:ascii="Arial" w:hAnsi="Arial" w:cs="Arial"/>
        </w:rPr>
      </w:pPr>
    </w:p>
    <w:p w14:paraId="6B843593" w14:textId="23B1A9A1" w:rsidR="00ED02C0" w:rsidRPr="000B1138" w:rsidRDefault="00FD2625" w:rsidP="000B1138">
      <w:pPr>
        <w:spacing w:line="360" w:lineRule="auto"/>
        <w:jc w:val="both"/>
        <w:rPr>
          <w:rFonts w:ascii="Arial" w:hAnsi="Arial" w:cs="Arial"/>
        </w:rPr>
      </w:pPr>
      <m:oMath>
        <m:sSub>
          <m:sSubPr>
            <m:ctrlPr>
              <w:rPr>
                <w:rFonts w:ascii="Cambria Math" w:eastAsiaTheme="minorEastAsia" w:hAnsi="Cambria Math" w:cs="Arial"/>
                <w:i/>
                <w:lang w:val="en-GB"/>
              </w:rPr>
            </m:ctrlPr>
          </m:sSubPr>
          <m:e>
            <m:r>
              <w:rPr>
                <w:rFonts w:ascii="Cambria Math" w:eastAsiaTheme="minorEastAsia" w:hAnsi="Cambria Math" w:cs="Arial"/>
              </w:rPr>
              <m:t xml:space="preserve">        R</m:t>
            </m:r>
          </m:e>
          <m:sub>
            <m:r>
              <w:rPr>
                <w:rFonts w:ascii="Cambria Math" w:eastAsiaTheme="minorEastAsia" w:hAnsi="Cambria Math" w:cs="Arial"/>
              </w:rPr>
              <m:t>n</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0, if </m:t>
                </m:r>
                <m:sSub>
                  <m:sSubPr>
                    <m:ctrlPr>
                      <w:rPr>
                        <w:rFonts w:ascii="Cambria Math" w:eastAsiaTheme="minorEastAsia" w:hAnsi="Cambria Math" w:cs="Arial"/>
                        <w:i/>
                        <w:lang w:val="en-GB"/>
                      </w:rPr>
                    </m:ctrlPr>
                  </m:sSubPr>
                  <m:e>
                    <m:r>
                      <w:rPr>
                        <w:rFonts w:ascii="Cambria Math" w:eastAsiaTheme="minorEastAsia" w:hAnsi="Cambria Math" w:cs="Arial"/>
                      </w:rPr>
                      <m:t>R</m:t>
                    </m:r>
                  </m:e>
                  <m:sub>
                    <m:r>
                      <w:rPr>
                        <w:rFonts w:ascii="Cambria Math" w:eastAsiaTheme="minorEastAsia" w:hAnsi="Cambria Math" w:cs="Arial"/>
                      </w:rPr>
                      <m:t>n</m:t>
                    </m:r>
                  </m:sub>
                </m:sSub>
                <m:r>
                  <w:rPr>
                    <w:rFonts w:ascii="Cambria Math" w:eastAsiaTheme="minorEastAsia" w:hAnsi="Cambria Math" w:cs="Arial"/>
                  </w:rPr>
                  <m:t xml:space="preserve"> 0-5mm</m:t>
                </m:r>
                <m:r>
                  <w:rPr>
                    <w:rFonts w:ascii="Cambria Math" w:hAnsi="Cambria Math" w:cs="Arial"/>
                  </w:rPr>
                  <m:t xml:space="preserve">  </m:t>
                </m:r>
                <m:d>
                  <m:dPr>
                    <m:ctrlPr>
                      <w:rPr>
                        <w:rFonts w:ascii="Cambria Math" w:hAnsi="Cambria Math" w:cs="Arial"/>
                      </w:rPr>
                    </m:ctrlPr>
                  </m:dPr>
                  <m:e>
                    <m:r>
                      <m:rPr>
                        <m:sty m:val="p"/>
                      </m:rPr>
                      <w:rPr>
                        <w:rFonts w:ascii="Cambria Math" w:hAnsi="Cambria Math" w:cs="Arial"/>
                      </w:rPr>
                      <m:t xml:space="preserve">Dry </m:t>
                    </m:r>
                  </m:e>
                </m:d>
                <m:r>
                  <m:rPr>
                    <m:sty m:val="p"/>
                  </m:rPr>
                  <w:rPr>
                    <w:rFonts w:ascii="Cambria Math" w:hAnsi="Cambria Math" w:cs="Arial"/>
                  </w:rPr>
                  <m:t>.</m:t>
                </m:r>
              </m:e>
              <m:e>
                <m:r>
                  <w:rPr>
                    <w:rFonts w:ascii="Cambria Math" w:eastAsiaTheme="minorEastAsia" w:hAnsi="Cambria Math" w:cs="Arial"/>
                  </w:rPr>
                  <m:t xml:space="preserve">1, if </m:t>
                </m:r>
                <m:sSub>
                  <m:sSubPr>
                    <m:ctrlPr>
                      <w:rPr>
                        <w:rFonts w:ascii="Cambria Math" w:eastAsiaTheme="minorEastAsia" w:hAnsi="Cambria Math" w:cs="Arial"/>
                        <w:i/>
                        <w:lang w:val="en-GB"/>
                      </w:rPr>
                    </m:ctrlPr>
                  </m:sSubPr>
                  <m:e>
                    <m:r>
                      <w:rPr>
                        <w:rFonts w:ascii="Cambria Math" w:eastAsiaTheme="minorEastAsia" w:hAnsi="Cambria Math" w:cs="Arial"/>
                      </w:rPr>
                      <m:t>R</m:t>
                    </m:r>
                  </m:e>
                  <m:sub>
                    <m:r>
                      <w:rPr>
                        <w:rFonts w:ascii="Cambria Math" w:eastAsiaTheme="minorEastAsia" w:hAnsi="Cambria Math" w:cs="Arial"/>
                      </w:rPr>
                      <m:t>n</m:t>
                    </m:r>
                  </m:sub>
                </m:sSub>
                <m:r>
                  <w:rPr>
                    <w:rFonts w:ascii="Cambria Math" w:eastAsiaTheme="minorEastAsia" w:hAnsi="Cambria Math" w:cs="Arial"/>
                  </w:rPr>
                  <m:t xml:space="preserve">&gt;5mm  </m:t>
                </m:r>
                <m:d>
                  <m:dPr>
                    <m:ctrlPr>
                      <w:rPr>
                        <w:rFonts w:ascii="Cambria Math" w:hAnsi="Cambria Math" w:cs="Arial"/>
                      </w:rPr>
                    </m:ctrlPr>
                  </m:dPr>
                  <m:e>
                    <m:r>
                      <m:rPr>
                        <m:sty m:val="p"/>
                      </m:rPr>
                      <w:rPr>
                        <w:rFonts w:ascii="Cambria Math" w:hAnsi="Cambria Math" w:cs="Arial"/>
                      </w:rPr>
                      <m:t>Wet</m:t>
                    </m:r>
                  </m:e>
                </m:d>
                <m:r>
                  <w:rPr>
                    <w:rFonts w:ascii="Cambria Math" w:hAnsi="Cambria Math" w:cs="Arial"/>
                  </w:rPr>
                  <m:t>.</m:t>
                </m:r>
              </m:e>
            </m:eqArr>
          </m:e>
        </m:d>
      </m:oMath>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t>(</w:t>
      </w:r>
      <w:r w:rsidR="007E50A7">
        <w:rPr>
          <w:rFonts w:ascii="Arial" w:hAnsi="Arial" w:cs="Arial"/>
        </w:rPr>
        <w:t>11</w:t>
      </w:r>
      <w:r w:rsidR="00ED02C0" w:rsidRPr="000B1138">
        <w:rPr>
          <w:rFonts w:ascii="Arial" w:hAnsi="Arial" w:cs="Arial"/>
        </w:rPr>
        <w:t>)</w:t>
      </w:r>
    </w:p>
    <w:p w14:paraId="48B5C996" w14:textId="77777777" w:rsidR="008138A4" w:rsidRPr="000B1138" w:rsidRDefault="008138A4" w:rsidP="000B1138">
      <w:pPr>
        <w:spacing w:line="360" w:lineRule="auto"/>
        <w:jc w:val="both"/>
        <w:rPr>
          <w:rFonts w:ascii="Arial" w:hAnsi="Arial" w:cs="Arial"/>
        </w:rPr>
      </w:pPr>
    </w:p>
    <w:p w14:paraId="6360733C" w14:textId="40D08E0F" w:rsidR="008138A4" w:rsidRPr="000B1138" w:rsidRDefault="008138A4" w:rsidP="000B1138">
      <w:pPr>
        <w:spacing w:line="360" w:lineRule="auto"/>
        <w:jc w:val="both"/>
        <w:rPr>
          <w:rFonts w:ascii="Arial" w:hAnsi="Arial" w:cs="Arial"/>
        </w:rPr>
      </w:pPr>
      <w:r w:rsidRPr="000B1138">
        <w:rPr>
          <w:rFonts w:ascii="Arial" w:hAnsi="Arial" w:cs="Arial"/>
          <w:i/>
        </w:rPr>
        <w:t>where n=1,2,3</w:t>
      </w:r>
      <w:proofErr w:type="gramStart"/>
      <w:r w:rsidRPr="000B1138">
        <w:rPr>
          <w:rFonts w:ascii="Arial" w:hAnsi="Arial" w:cs="Arial"/>
          <w:i/>
        </w:rPr>
        <w:t>…..</w:t>
      </w:r>
      <w:proofErr w:type="gramEnd"/>
      <w:r w:rsidRPr="000B1138">
        <w:rPr>
          <w:rFonts w:ascii="Arial" w:hAnsi="Arial" w:cs="Arial"/>
          <w:i/>
        </w:rPr>
        <w:t>,N</w:t>
      </w:r>
      <w:r w:rsidRPr="000B1138">
        <w:rPr>
          <w:rFonts w:ascii="Arial" w:hAnsi="Arial" w:cs="Arial"/>
        </w:rPr>
        <w:t xml:space="preserve"> represents the daily observations</w:t>
      </w:r>
    </w:p>
    <w:p w14:paraId="1BE6B19D" w14:textId="0AD16650" w:rsidR="008138A4" w:rsidRPr="000B1138" w:rsidRDefault="008138A4" w:rsidP="000B1138">
      <w:pPr>
        <w:spacing w:before="240" w:line="360" w:lineRule="auto"/>
        <w:jc w:val="both"/>
        <w:rPr>
          <w:rFonts w:ascii="Arial" w:eastAsiaTheme="minorEastAsia" w:hAnsi="Arial" w:cs="Arial"/>
        </w:rPr>
      </w:pPr>
      <w:r w:rsidRPr="000B1138">
        <w:rPr>
          <w:rFonts w:ascii="Arial" w:eastAsiaTheme="minorEastAsia" w:hAnsi="Arial" w:cs="Arial"/>
        </w:rPr>
        <w:t xml:space="preserve">Seasonal variability was incorporated into the two state Hidden Markov Model by dividing the dataset into two </w:t>
      </w:r>
      <w:r w:rsidR="00AC3D68" w:rsidRPr="000B1138">
        <w:rPr>
          <w:rFonts w:ascii="Arial" w:eastAsiaTheme="minorEastAsia" w:hAnsi="Arial" w:cs="Arial"/>
        </w:rPr>
        <w:t>climatic seasons (Dry and Wet) typical of the middle belt region of Nigeria which are:</w:t>
      </w:r>
    </w:p>
    <w:p w14:paraId="642F6F65" w14:textId="259FBFC4" w:rsidR="00AC3D68" w:rsidRPr="000B1138" w:rsidRDefault="00AC3D68" w:rsidP="000B1138">
      <w:pPr>
        <w:spacing w:before="240" w:line="360" w:lineRule="auto"/>
        <w:jc w:val="both"/>
        <w:rPr>
          <w:rFonts w:ascii="Arial" w:eastAsiaTheme="minorEastAsia" w:hAnsi="Arial" w:cs="Arial"/>
        </w:rPr>
      </w:pPr>
      <w:r w:rsidRPr="000B1138">
        <w:rPr>
          <w:rFonts w:ascii="Arial" w:eastAsiaTheme="minorEastAsia" w:hAnsi="Arial" w:cs="Arial"/>
        </w:rPr>
        <w:t xml:space="preserve">Dry Season </w:t>
      </w:r>
      <m:oMath>
        <m:sSub>
          <m:sSubPr>
            <m:ctrlPr>
              <w:rPr>
                <w:rFonts w:ascii="Cambria Math" w:hAnsi="Cambria Math" w:cs="Arial"/>
                <w:i/>
              </w:rPr>
            </m:ctrlPr>
          </m:sSubPr>
          <m:e>
            <m:r>
              <w:rPr>
                <w:rFonts w:ascii="Cambria Math" w:hAnsi="Cambria Math" w:cs="Arial"/>
              </w:rPr>
              <m:t xml:space="preserve"> S</m:t>
            </m:r>
          </m:e>
          <m:sub>
            <m:r>
              <w:rPr>
                <w:rFonts w:ascii="Cambria Math" w:hAnsi="Cambria Math" w:cs="Arial"/>
              </w:rPr>
              <m:t>d</m:t>
            </m:r>
          </m:sub>
        </m:sSub>
      </m:oMath>
      <w:r w:rsidRPr="000B1138">
        <w:rPr>
          <w:rFonts w:ascii="Arial" w:eastAsiaTheme="minorEastAsia" w:hAnsi="Arial" w:cs="Arial"/>
        </w:rPr>
        <w:t xml:space="preserve"> =</w:t>
      </w:r>
      <m:oMath>
        <m:d>
          <m:dPr>
            <m:begChr m:val="{"/>
            <m:endChr m:val="}"/>
            <m:ctrlPr>
              <w:rPr>
                <w:rFonts w:ascii="Cambria Math" w:eastAsiaTheme="minorEastAsia" w:hAnsi="Cambria Math" w:cs="Arial"/>
                <w:i/>
              </w:rPr>
            </m:ctrlPr>
          </m:dPr>
          <m:e>
            <m:r>
              <w:rPr>
                <w:rFonts w:ascii="Cambria Math" w:eastAsiaTheme="minorEastAsia" w:hAnsi="Cambria Math" w:cs="Arial"/>
              </w:rPr>
              <m:t>November, December, January, Feburary and March</m:t>
            </m:r>
          </m:e>
        </m:d>
      </m:oMath>
    </w:p>
    <w:p w14:paraId="7C8C85C9" w14:textId="5B2AE869" w:rsidR="00AC3D68" w:rsidRPr="000B1138" w:rsidRDefault="00AC3D68" w:rsidP="000B1138">
      <w:pPr>
        <w:spacing w:before="240" w:line="360" w:lineRule="auto"/>
        <w:jc w:val="both"/>
        <w:rPr>
          <w:rFonts w:ascii="Arial" w:eastAsiaTheme="minorEastAsia" w:hAnsi="Arial" w:cs="Arial"/>
        </w:rPr>
      </w:pPr>
      <w:r w:rsidRPr="000B1138">
        <w:rPr>
          <w:rFonts w:ascii="Arial" w:eastAsiaTheme="minorEastAsia" w:hAnsi="Arial" w:cs="Arial"/>
        </w:rPr>
        <w:t xml:space="preserve">Wet Season </w:t>
      </w:r>
      <m:oMath>
        <m:sSub>
          <m:sSubPr>
            <m:ctrlPr>
              <w:rPr>
                <w:rFonts w:ascii="Cambria Math" w:hAnsi="Cambria Math" w:cs="Arial"/>
                <w:i/>
              </w:rPr>
            </m:ctrlPr>
          </m:sSubPr>
          <m:e>
            <m:r>
              <w:rPr>
                <w:rFonts w:ascii="Cambria Math" w:hAnsi="Cambria Math" w:cs="Arial"/>
              </w:rPr>
              <m:t xml:space="preserve"> S</m:t>
            </m:r>
          </m:e>
          <m:sub>
            <m:r>
              <w:rPr>
                <w:rFonts w:ascii="Cambria Math" w:hAnsi="Cambria Math" w:cs="Arial"/>
              </w:rPr>
              <m:t>w</m:t>
            </m:r>
          </m:sub>
        </m:sSub>
      </m:oMath>
      <w:r w:rsidRPr="000B1138">
        <w:rPr>
          <w:rFonts w:ascii="Arial" w:eastAsiaTheme="minorEastAsia" w:hAnsi="Arial" w:cs="Arial"/>
        </w:rPr>
        <w:t xml:space="preserve"> =</w:t>
      </w:r>
      <m:oMath>
        <m:d>
          <m:dPr>
            <m:begChr m:val="{"/>
            <m:endChr m:val="}"/>
            <m:ctrlPr>
              <w:rPr>
                <w:rFonts w:ascii="Cambria Math" w:eastAsiaTheme="minorEastAsia" w:hAnsi="Cambria Math" w:cs="Arial"/>
                <w:i/>
              </w:rPr>
            </m:ctrlPr>
          </m:dPr>
          <m:e>
            <m:r>
              <w:rPr>
                <w:rFonts w:ascii="Cambria Math" w:eastAsiaTheme="minorEastAsia" w:hAnsi="Cambria Math" w:cs="Arial"/>
              </w:rPr>
              <m:t>April, May, June, July, August, September and October</m:t>
            </m:r>
          </m:e>
        </m:d>
      </m:oMath>
      <w:r w:rsidR="00437269">
        <w:rPr>
          <w:rFonts w:ascii="Arial" w:eastAsiaTheme="minorEastAsia" w:hAnsi="Arial" w:cs="Arial"/>
        </w:rPr>
        <w:tab/>
      </w:r>
      <w:r w:rsidR="00437269">
        <w:rPr>
          <w:rFonts w:ascii="Arial" w:eastAsiaTheme="minorEastAsia" w:hAnsi="Arial" w:cs="Arial"/>
        </w:rPr>
        <w:tab/>
        <w:t>(12)</w:t>
      </w:r>
    </w:p>
    <w:p w14:paraId="4A083785" w14:textId="691E01FC" w:rsidR="00ED02C0" w:rsidRPr="000B1138" w:rsidRDefault="00357B8D" w:rsidP="000B1138">
      <w:pPr>
        <w:spacing w:before="240" w:line="360" w:lineRule="auto"/>
        <w:jc w:val="both"/>
        <w:rPr>
          <w:rFonts w:ascii="Arial" w:hAnsi="Arial" w:cs="Arial"/>
        </w:rPr>
      </w:pPr>
      <w:r w:rsidRPr="000B1138">
        <w:rPr>
          <w:rFonts w:ascii="Arial" w:hAnsi="Arial" w:cs="Arial"/>
        </w:rPr>
        <w:t>The r</w:t>
      </w:r>
      <w:r w:rsidR="00ED02C0" w:rsidRPr="000B1138">
        <w:rPr>
          <w:rFonts w:ascii="Arial" w:hAnsi="Arial" w:cs="Arial"/>
        </w:rPr>
        <w:t xml:space="preserve">ainfall and </w:t>
      </w:r>
      <w:r w:rsidRPr="000B1138">
        <w:rPr>
          <w:rFonts w:ascii="Arial" w:hAnsi="Arial" w:cs="Arial"/>
        </w:rPr>
        <w:t>t</w:t>
      </w:r>
      <w:r w:rsidR="00ED02C0" w:rsidRPr="000B1138">
        <w:rPr>
          <w:rFonts w:ascii="Arial" w:hAnsi="Arial" w:cs="Arial"/>
        </w:rPr>
        <w:t xml:space="preserve">emperature </w:t>
      </w:r>
      <w:r w:rsidRPr="000B1138">
        <w:rPr>
          <w:rFonts w:ascii="Arial" w:hAnsi="Arial" w:cs="Arial"/>
        </w:rPr>
        <w:t>classification (equations 3 and 4) were combined to form the atmospheric state:</w:t>
      </w:r>
    </w:p>
    <w:p w14:paraId="3F3EFCB6" w14:textId="19B773FE" w:rsidR="00357B8D" w:rsidRPr="000B1138" w:rsidRDefault="00FD2625" w:rsidP="000B1138">
      <w:pPr>
        <w:spacing w:before="240"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O</m:t>
            </m:r>
          </m:e>
          <m:sub>
            <m:r>
              <w:rPr>
                <w:rFonts w:ascii="Cambria Math" w:hAnsi="Cambria Math" w:cs="Arial"/>
              </w:rPr>
              <m:t>n</m:t>
            </m:r>
          </m:sub>
        </m:sSub>
        <m:r>
          <w:rPr>
            <w:rFonts w:ascii="Cambria Math" w:hAnsi="Cambria Math" w:cs="Arial"/>
          </w:rPr>
          <m:t>=f(</m:t>
        </m:r>
        <m:sSub>
          <m:sSubPr>
            <m:ctrlPr>
              <w:rPr>
                <w:rFonts w:ascii="Cambria Math" w:hAnsi="Cambria Math" w:cs="Arial"/>
                <w:i/>
              </w:rPr>
            </m:ctrlPr>
          </m:sSubPr>
          <m:e>
            <m:r>
              <w:rPr>
                <w:rFonts w:ascii="Cambria Math" w:hAnsi="Cambria Math" w:cs="Arial"/>
              </w:rPr>
              <m:t xml:space="preserve"> R</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 xml:space="preserve"> T</m:t>
            </m:r>
          </m:e>
          <m:sub>
            <m:r>
              <w:rPr>
                <w:rFonts w:ascii="Cambria Math" w:hAnsi="Cambria Math" w:cs="Arial"/>
              </w:rPr>
              <m:t>n</m:t>
            </m:r>
          </m:sub>
        </m:sSub>
        <m:r>
          <w:rPr>
            <w:rFonts w:ascii="Cambria Math" w:hAnsi="Cambria Math" w:cs="Arial"/>
          </w:rPr>
          <m:t>)</m:t>
        </m:r>
      </m:oMath>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t>(1</w:t>
      </w:r>
      <w:r w:rsidR="00437269">
        <w:rPr>
          <w:rFonts w:ascii="Arial" w:hAnsi="Arial" w:cs="Arial"/>
        </w:rPr>
        <w:t>3</w:t>
      </w:r>
      <w:r w:rsidR="007E50A7">
        <w:rPr>
          <w:rFonts w:ascii="Arial" w:hAnsi="Arial" w:cs="Arial"/>
        </w:rPr>
        <w:t>)</w:t>
      </w:r>
    </w:p>
    <w:p w14:paraId="7D44975E" w14:textId="39CA8EA1" w:rsidR="00357B8D" w:rsidRPr="000B1138" w:rsidRDefault="00357B8D" w:rsidP="000B1138">
      <w:pPr>
        <w:spacing w:before="240" w:line="360" w:lineRule="auto"/>
        <w:jc w:val="both"/>
        <w:rPr>
          <w:rFonts w:ascii="Arial" w:hAnsi="Arial" w:cs="Arial"/>
        </w:rPr>
      </w:pPr>
      <w:r w:rsidRPr="000B1138">
        <w:rPr>
          <w:rFonts w:ascii="Arial" w:hAnsi="Arial" w:cs="Arial"/>
        </w:rPr>
        <w:lastRenderedPageBreak/>
        <w:t xml:space="preserve">Where </w:t>
      </w:r>
    </w:p>
    <w:p w14:paraId="3846D18B" w14:textId="74151291" w:rsidR="00ED02C0" w:rsidRPr="000B1138" w:rsidRDefault="00FD2625" w:rsidP="000B1138">
      <w:pPr>
        <w:spacing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O</m:t>
            </m:r>
          </m:e>
          <m:sub>
            <m:r>
              <w:rPr>
                <w:rFonts w:ascii="Cambria Math" w:hAnsi="Cambria Math" w:cs="Arial"/>
              </w:rPr>
              <m:t>n</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 xml:space="preserve">1, if Temperature is 1 and Rainfall is 0 (Dry thermodynamic condition) </m:t>
                </m:r>
              </m:e>
              <m:e>
                <m:r>
                  <w:rPr>
                    <w:rFonts w:ascii="Cambria Math" w:eastAsiaTheme="minorEastAsia" w:hAnsi="Cambria Math" w:cs="Arial"/>
                  </w:rPr>
                  <m:t>2, if Temperature is 0 and Rainfall is 1(Wet thermodynamic condition)</m:t>
                </m:r>
              </m:e>
            </m:eqArr>
          </m:e>
        </m:d>
      </m:oMath>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t>(</w:t>
      </w:r>
      <w:r w:rsidR="007E50A7">
        <w:rPr>
          <w:rFonts w:ascii="Arial" w:hAnsi="Arial" w:cs="Arial"/>
        </w:rPr>
        <w:t>1</w:t>
      </w:r>
      <w:r w:rsidR="00437269">
        <w:rPr>
          <w:rFonts w:ascii="Arial" w:hAnsi="Arial" w:cs="Arial"/>
        </w:rPr>
        <w:t>4</w:t>
      </w:r>
      <w:r w:rsidR="00ED02C0" w:rsidRPr="000B1138">
        <w:rPr>
          <w:rFonts w:ascii="Arial" w:hAnsi="Arial" w:cs="Arial"/>
        </w:rPr>
        <w:t>)</w:t>
      </w:r>
    </w:p>
    <w:p w14:paraId="69AA3CC6" w14:textId="05B51058" w:rsidR="00357B8D" w:rsidRPr="000B1138" w:rsidRDefault="00357B8D" w:rsidP="000B1138">
      <w:pPr>
        <w:spacing w:line="360" w:lineRule="auto"/>
        <w:jc w:val="both"/>
        <w:rPr>
          <w:rFonts w:ascii="Arial" w:hAnsi="Arial" w:cs="Arial"/>
        </w:rPr>
      </w:pPr>
      <w:r w:rsidRPr="000B1138">
        <w:rPr>
          <w:rFonts w:ascii="Arial" w:hAnsi="Arial" w:cs="Arial"/>
        </w:rPr>
        <w:t>This transformation produces a discrete observation sequence required for Hidden Markov Modeling.</w:t>
      </w:r>
      <w:r w:rsidR="007E50A7">
        <w:rPr>
          <w:rFonts w:ascii="Arial" w:hAnsi="Arial" w:cs="Arial"/>
        </w:rPr>
        <w:t xml:space="preserve"> </w:t>
      </w:r>
      <w:r w:rsidR="00ED02C0" w:rsidRPr="000B1138">
        <w:rPr>
          <w:rFonts w:ascii="Arial" w:hAnsi="Arial" w:cs="Arial"/>
        </w:rPr>
        <w:t>The Dry Ther</w:t>
      </w:r>
      <w:r w:rsidR="000A3523">
        <w:rPr>
          <w:rFonts w:ascii="Arial" w:hAnsi="Arial" w:cs="Arial"/>
        </w:rPr>
        <w:t>modynamic State is characterized</w:t>
      </w:r>
      <w:r w:rsidR="00ED02C0" w:rsidRPr="000B1138">
        <w:rPr>
          <w:rFonts w:ascii="Arial" w:hAnsi="Arial" w:cs="Arial"/>
        </w:rPr>
        <w:t xml:space="preserve"> by high temperature values and Low rainfall occurrence, while the Wet Ther</w:t>
      </w:r>
      <w:r w:rsidR="000A3523">
        <w:rPr>
          <w:rFonts w:ascii="Arial" w:hAnsi="Arial" w:cs="Arial"/>
        </w:rPr>
        <w:t>modynamic State is characterized</w:t>
      </w:r>
      <w:r w:rsidR="00ED02C0" w:rsidRPr="000B1138">
        <w:rPr>
          <w:rFonts w:ascii="Arial" w:hAnsi="Arial" w:cs="Arial"/>
        </w:rPr>
        <w:t xml:space="preserve"> by increased rainfall occurrence and low temperature. </w:t>
      </w:r>
    </w:p>
    <w:p w14:paraId="1D0D5E11" w14:textId="099FCB04" w:rsidR="007E50A7" w:rsidRPr="000B1138" w:rsidRDefault="007E50A7" w:rsidP="007E50A7">
      <w:pPr>
        <w:spacing w:line="360" w:lineRule="auto"/>
        <w:jc w:val="both"/>
        <w:rPr>
          <w:rFonts w:ascii="Arial" w:hAnsi="Arial" w:cs="Arial"/>
        </w:rPr>
      </w:pPr>
      <w:r w:rsidRPr="000B1138">
        <w:rPr>
          <w:rFonts w:ascii="Arial" w:hAnsi="Arial" w:cs="Arial"/>
        </w:rPr>
        <w:t>T</w:t>
      </w:r>
      <w:r>
        <w:rPr>
          <w:rFonts w:ascii="Arial" w:hAnsi="Arial" w:cs="Arial"/>
        </w:rPr>
        <w:t>he hidden states are defined as:</w:t>
      </w:r>
    </w:p>
    <w:p w14:paraId="29DBEF92" w14:textId="3B2F8C3F" w:rsidR="003F7710" w:rsidRPr="000B1138" w:rsidRDefault="00FD2625" w:rsidP="000B1138">
      <w:pPr>
        <w:spacing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X</m:t>
            </m:r>
          </m:e>
          <m:sub>
            <m:r>
              <w:rPr>
                <w:rFonts w:ascii="Cambria Math" w:hAnsi="Cambria Math" w:cs="Arial"/>
              </w:rPr>
              <m:t>t</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1, 2</m:t>
            </m:r>
          </m:e>
        </m:d>
      </m:oMath>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t>(1</w:t>
      </w:r>
      <w:r w:rsidR="00437269">
        <w:rPr>
          <w:rFonts w:ascii="Arial" w:hAnsi="Arial" w:cs="Arial"/>
        </w:rPr>
        <w:t>5</w:t>
      </w:r>
      <w:r w:rsidR="007E50A7">
        <w:rPr>
          <w:rFonts w:ascii="Arial" w:hAnsi="Arial" w:cs="Arial"/>
        </w:rPr>
        <w:t>)</w:t>
      </w:r>
    </w:p>
    <w:p w14:paraId="6E1E822E" w14:textId="5906302F" w:rsidR="003F7710" w:rsidRPr="000B1138" w:rsidRDefault="007E50A7" w:rsidP="000B1138">
      <w:pPr>
        <w:spacing w:line="360" w:lineRule="auto"/>
        <w:jc w:val="both"/>
        <w:rPr>
          <w:rFonts w:ascii="Arial" w:hAnsi="Arial" w:cs="Arial"/>
        </w:rPr>
      </w:pPr>
      <w:r>
        <w:rPr>
          <w:rFonts w:ascii="Arial" w:hAnsi="Arial" w:cs="Arial"/>
        </w:rPr>
        <w:t>where</w:t>
      </w:r>
      <w:r w:rsidRPr="000B1138">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X</m:t>
            </m:r>
          </m:e>
          <m:sub>
            <m:r>
              <w:rPr>
                <w:rFonts w:ascii="Cambria Math" w:hAnsi="Cambria Math" w:cs="Arial"/>
              </w:rPr>
              <m:t>t</m:t>
            </m:r>
          </m:sub>
        </m:sSub>
      </m:oMath>
      <w:r w:rsidRPr="000B1138">
        <w:rPr>
          <w:rFonts w:ascii="Arial" w:hAnsi="Arial" w:cs="Arial"/>
        </w:rPr>
        <w:t xml:space="preserve"> represent the hidd</w:t>
      </w:r>
      <w:r>
        <w:rPr>
          <w:rFonts w:ascii="Arial" w:hAnsi="Arial" w:cs="Arial"/>
        </w:rPr>
        <w:t xml:space="preserve">en atmospheric state at time t, </w:t>
      </w:r>
      <w:r w:rsidR="003F7710" w:rsidRPr="000B1138">
        <w:rPr>
          <w:rFonts w:ascii="Arial" w:hAnsi="Arial" w:cs="Arial"/>
        </w:rPr>
        <w:t xml:space="preserve">1= </w:t>
      </w:r>
      <m:oMath>
        <m:r>
          <w:rPr>
            <w:rFonts w:ascii="Cambria Math" w:eastAsiaTheme="minorEastAsia" w:hAnsi="Cambria Math" w:cs="Arial"/>
          </w:rPr>
          <m:t>Dry thermodynamic regime</m:t>
        </m:r>
      </m:oMath>
      <w:r w:rsidR="003F7710" w:rsidRPr="000B1138">
        <w:rPr>
          <w:rFonts w:ascii="Arial" w:hAnsi="Arial" w:cs="Arial"/>
        </w:rPr>
        <w:t xml:space="preserve">  and 2=</w:t>
      </w:r>
      <m:oMath>
        <m:r>
          <w:rPr>
            <w:rFonts w:ascii="Cambria Math" w:eastAsiaTheme="minorEastAsia" w:hAnsi="Cambria Math" w:cs="Arial"/>
          </w:rPr>
          <m:t xml:space="preserve"> Wet thermodynamic regime</m:t>
        </m:r>
      </m:oMath>
      <w:r w:rsidR="003F7710" w:rsidRPr="000B1138">
        <w:rPr>
          <w:rFonts w:ascii="Arial" w:hAnsi="Arial" w:cs="Arial"/>
        </w:rPr>
        <w:t>.</w:t>
      </w:r>
    </w:p>
    <w:p w14:paraId="6B3A724F" w14:textId="63075DB6" w:rsidR="00ED02C0" w:rsidRPr="000B1138" w:rsidRDefault="003F7710" w:rsidP="000B1138">
      <w:pPr>
        <w:spacing w:line="360" w:lineRule="auto"/>
        <w:jc w:val="both"/>
        <w:rPr>
          <w:rFonts w:ascii="Arial" w:hAnsi="Arial" w:cs="Arial"/>
        </w:rPr>
      </w:pPr>
      <w:r w:rsidRPr="000B1138">
        <w:rPr>
          <w:rFonts w:ascii="Arial" w:hAnsi="Arial" w:cs="Arial"/>
        </w:rPr>
        <w:t xml:space="preserve">The sequence of hidden states follows a first-order Markov process </w:t>
      </w:r>
      <m:oMath>
        <m:r>
          <w:rPr>
            <w:rFonts w:ascii="Cambria Math" w:hAnsi="Cambria Math" w:cs="Arial"/>
          </w:rPr>
          <m:t>P</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n+1</m:t>
                </m:r>
              </m:sub>
            </m:sSub>
            <m:r>
              <w:rPr>
                <w:rFonts w:ascii="Cambria Math" w:hAnsi="Cambria Math" w:cs="Arial"/>
              </w:rPr>
              <m:t>= j</m:t>
            </m:r>
          </m:e>
          <m:e>
            <m:sSub>
              <m:sSubPr>
                <m:ctrlPr>
                  <w:rPr>
                    <w:rFonts w:ascii="Cambria Math" w:hAnsi="Cambria Math" w:cs="Arial"/>
                    <w:i/>
                  </w:rPr>
                </m:ctrlPr>
              </m:sSubPr>
              <m:e>
                <m:r>
                  <w:rPr>
                    <w:rFonts w:ascii="Cambria Math" w:hAnsi="Cambria Math" w:cs="Arial"/>
                  </w:rPr>
                  <m:t>X</m:t>
                </m:r>
              </m:e>
              <m:sub>
                <m:r>
                  <w:rPr>
                    <w:rFonts w:ascii="Cambria Math" w:hAnsi="Cambria Math" w:cs="Arial"/>
                    <w:vertAlign w:val="subscript"/>
                  </w:rPr>
                  <m:t>n</m:t>
                </m:r>
              </m:sub>
            </m:sSub>
            <m:r>
              <w:rPr>
                <w:rFonts w:ascii="Cambria Math" w:hAnsi="Cambria Math" w:cs="Arial"/>
              </w:rPr>
              <m:t xml:space="preserve"> = i</m:t>
            </m:r>
          </m:e>
        </m:d>
      </m:oMath>
      <w:r w:rsidRPr="000B1138">
        <w:rPr>
          <w:rFonts w:ascii="Arial" w:hAnsi="Arial" w:cs="Arial"/>
        </w:rPr>
        <w:t xml:space="preserve"> meaning that the probability of the next state depends only on the current state. </w:t>
      </w:r>
      <w:r w:rsidR="00ED02C0" w:rsidRPr="000B1138">
        <w:rPr>
          <w:rFonts w:ascii="Arial" w:hAnsi="Arial" w:cs="Arial"/>
        </w:rPr>
        <w:t>Transition probabilities were estimated to determine persistence and switching behavior between states. Mathematically, the transition probability matrix is expressed as:</w:t>
      </w:r>
    </w:p>
    <w:p w14:paraId="3C404134" w14:textId="48AF1694" w:rsidR="00ED02C0" w:rsidRPr="000B1138" w:rsidRDefault="00FD2625" w:rsidP="000B1138">
      <w:pPr>
        <w:spacing w:line="360" w:lineRule="auto"/>
        <w:ind w:left="720" w:firstLine="720"/>
        <w:jc w:val="both"/>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DW</m:t>
            </m:r>
          </m:sub>
        </m:sSub>
        <m:r>
          <w:rPr>
            <w:rFonts w:ascii="Cambria Math" w:hAnsi="Cambria Math" w:cs="Arial"/>
          </w:rPr>
          <m:t>=</m:t>
        </m:r>
        <m:d>
          <m:dPr>
            <m:ctrlPr>
              <w:rPr>
                <w:rFonts w:ascii="Cambria Math" w:hAnsi="Cambria Math" w:cs="Arial"/>
                <w:i/>
              </w:rPr>
            </m:ctrlPr>
          </m:dPr>
          <m:e>
            <m:m>
              <m:mPr>
                <m:mcs>
                  <m:mc>
                    <m:mcPr>
                      <m:count m:val="2"/>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DD</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DW</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WD</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WW</m:t>
                      </m:r>
                    </m:sub>
                  </m:sSub>
                </m:e>
              </m:mr>
            </m:m>
          </m:e>
        </m:d>
      </m:oMath>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ED02C0" w:rsidRPr="000B1138">
        <w:rPr>
          <w:rFonts w:ascii="Arial" w:hAnsi="Arial" w:cs="Arial"/>
        </w:rPr>
        <w:tab/>
      </w:r>
      <w:r w:rsidR="007E50A7">
        <w:rPr>
          <w:rFonts w:ascii="Arial" w:hAnsi="Arial" w:cs="Arial"/>
        </w:rPr>
        <w:t xml:space="preserve"> </w:t>
      </w:r>
      <w:r w:rsidR="007E50A7">
        <w:rPr>
          <w:rFonts w:ascii="Arial" w:hAnsi="Arial" w:cs="Arial"/>
        </w:rPr>
        <w:tab/>
      </w:r>
      <w:r w:rsidR="00ED02C0" w:rsidRPr="000B1138">
        <w:rPr>
          <w:rFonts w:ascii="Arial" w:hAnsi="Arial" w:cs="Arial"/>
        </w:rPr>
        <w:t>(</w:t>
      </w:r>
      <w:r w:rsidR="007E50A7">
        <w:rPr>
          <w:rFonts w:ascii="Arial" w:hAnsi="Arial" w:cs="Arial"/>
        </w:rPr>
        <w:t>1</w:t>
      </w:r>
      <w:r w:rsidR="00437269">
        <w:rPr>
          <w:rFonts w:ascii="Arial" w:hAnsi="Arial" w:cs="Arial"/>
        </w:rPr>
        <w:t>6</w:t>
      </w:r>
      <w:r w:rsidR="00ED02C0" w:rsidRPr="000B1138">
        <w:rPr>
          <w:rFonts w:ascii="Arial" w:hAnsi="Arial" w:cs="Arial"/>
        </w:rPr>
        <w:t>)</w:t>
      </w:r>
    </w:p>
    <w:p w14:paraId="26678BB8" w14:textId="77777777" w:rsidR="007E50A7" w:rsidRDefault="000B1138" w:rsidP="000B1138">
      <w:pPr>
        <w:spacing w:line="360" w:lineRule="auto"/>
        <w:jc w:val="both"/>
        <w:rPr>
          <w:rFonts w:ascii="Arial" w:hAnsi="Arial" w:cs="Arial"/>
        </w:rPr>
      </w:pPr>
      <w:r w:rsidRPr="000B1138">
        <w:rPr>
          <w:rFonts w:ascii="Arial" w:hAnsi="Arial" w:cs="Arial"/>
        </w:rPr>
        <w:t>The transition probabilities satisfy the condition:</w:t>
      </w:r>
    </w:p>
    <w:p w14:paraId="1AEFCCD9" w14:textId="4120AB6D" w:rsidR="000B1138" w:rsidRPr="000B1138" w:rsidRDefault="00FD2625" w:rsidP="000B1138">
      <w:pPr>
        <w:spacing w:line="360" w:lineRule="auto"/>
        <w:jc w:val="both"/>
        <w:rPr>
          <w:rFonts w:ascii="Arial" w:hAnsi="Arial" w:cs="Arial"/>
        </w:rPr>
      </w:pP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DD</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DW</m:t>
            </m:r>
          </m:sub>
        </m:sSub>
        <m:r>
          <w:rPr>
            <w:rFonts w:ascii="Cambria Math" w:hAnsi="Cambria Math" w:cs="Arial"/>
            <w:color w:val="000000"/>
          </w:rPr>
          <m:t>=1</m:t>
        </m:r>
      </m:oMath>
      <w:r w:rsidR="007E50A7">
        <w:rPr>
          <w:rFonts w:ascii="Arial" w:hAnsi="Arial" w:cs="Arial"/>
          <w:color w:val="000000"/>
        </w:rPr>
        <w:tab/>
      </w:r>
    </w:p>
    <w:p w14:paraId="7C925248" w14:textId="676A4AD1" w:rsidR="000B1138" w:rsidRPr="000B1138" w:rsidRDefault="00FD2625" w:rsidP="000B1138">
      <w:pPr>
        <w:pStyle w:val="Body"/>
        <w:spacing w:after="0" w:line="360" w:lineRule="auto"/>
        <w:rPr>
          <w:rFonts w:ascii="Arial" w:hAnsi="Arial" w:cs="Arial"/>
          <w:color w:val="000000"/>
        </w:rPr>
      </w:pP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WD</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WW</m:t>
            </m:r>
          </m:sub>
        </m:sSub>
        <m:r>
          <w:rPr>
            <w:rFonts w:ascii="Cambria Math" w:hAnsi="Cambria Math" w:cs="Arial"/>
            <w:color w:val="000000"/>
          </w:rPr>
          <m:t>=1</m:t>
        </m:r>
      </m:oMath>
      <w:r w:rsidR="007E50A7">
        <w:rPr>
          <w:rFonts w:ascii="Arial" w:hAnsi="Arial" w:cs="Arial"/>
          <w:color w:val="000000"/>
        </w:rPr>
        <w:t xml:space="preserve"> </w:t>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r>
      <w:r w:rsidR="007E50A7">
        <w:rPr>
          <w:rFonts w:ascii="Arial" w:hAnsi="Arial" w:cs="Arial"/>
          <w:color w:val="000000"/>
        </w:rPr>
        <w:tab/>
        <w:t>(1</w:t>
      </w:r>
      <w:r w:rsidR="00437269">
        <w:rPr>
          <w:rFonts w:ascii="Arial" w:hAnsi="Arial" w:cs="Arial"/>
          <w:color w:val="000000"/>
        </w:rPr>
        <w:t>7</w:t>
      </w:r>
      <w:r w:rsidR="007E50A7">
        <w:rPr>
          <w:rFonts w:ascii="Arial" w:hAnsi="Arial" w:cs="Arial"/>
          <w:color w:val="000000"/>
        </w:rPr>
        <w:t>)</w:t>
      </w:r>
    </w:p>
    <w:p w14:paraId="08122F27" w14:textId="042877E1" w:rsidR="00ED02C0" w:rsidRPr="000B1138" w:rsidRDefault="00ED02C0" w:rsidP="000B1138">
      <w:pPr>
        <w:spacing w:line="360" w:lineRule="auto"/>
        <w:jc w:val="both"/>
        <w:rPr>
          <w:rFonts w:ascii="Arial" w:hAnsi="Arial" w:cs="Arial"/>
        </w:rPr>
      </w:pPr>
      <w:r w:rsidRPr="000B1138">
        <w:rPr>
          <w:rFonts w:ascii="Arial" w:hAnsi="Arial" w:cs="Arial"/>
        </w:rPr>
        <w:t xml:space="preserve">where: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DD</m:t>
            </m:r>
          </m:sub>
        </m:sSub>
      </m:oMath>
      <w:r w:rsidRPr="000B1138">
        <w:rPr>
          <w:rFonts w:ascii="Arial" w:hAnsi="Arial" w:cs="Arial"/>
          <w:color w:val="000000"/>
        </w:rPr>
        <w:t xml:space="preserve"> = </w:t>
      </w:r>
      <w:r w:rsidRPr="000B1138">
        <w:rPr>
          <w:rFonts w:ascii="Arial" w:hAnsi="Arial" w:cs="Arial"/>
        </w:rPr>
        <w:t xml:space="preserve">probability of remaining in Dry Thermodynamic state,  </w:t>
      </w:r>
      <m:oMath>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DW</m:t>
            </m:r>
          </m:sub>
        </m:sSub>
      </m:oMath>
      <w:r w:rsidRPr="000B1138">
        <w:rPr>
          <w:rFonts w:ascii="Arial" w:hAnsi="Arial" w:cs="Arial"/>
        </w:rPr>
        <w:t xml:space="preserve"> = probability of transition from Dry to Wet Thermodynamic State,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color w:val="000000"/>
              </w:rPr>
              <m:t>WD</m:t>
            </m:r>
          </m:sub>
        </m:sSub>
      </m:oMath>
      <w:r w:rsidRPr="000B1138">
        <w:rPr>
          <w:rFonts w:ascii="Arial" w:hAnsi="Arial" w:cs="Arial"/>
          <w:color w:val="000000"/>
        </w:rPr>
        <w:t xml:space="preserve">= </w:t>
      </w:r>
      <w:r w:rsidRPr="000B1138">
        <w:rPr>
          <w:rFonts w:ascii="Arial" w:hAnsi="Arial" w:cs="Arial"/>
        </w:rPr>
        <w:t xml:space="preserve">probability of transition from Wet to Dry Thermodynamic State and  </w:t>
      </w:r>
      <m:oMath>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WW</m:t>
            </m:r>
          </m:sub>
        </m:sSub>
      </m:oMath>
      <w:r w:rsidRPr="000B1138">
        <w:rPr>
          <w:rFonts w:ascii="Arial" w:hAnsi="Arial" w:cs="Arial"/>
          <w:color w:val="000000"/>
        </w:rPr>
        <w:t xml:space="preserve"> = </w:t>
      </w:r>
      <w:r w:rsidRPr="000B1138">
        <w:rPr>
          <w:rFonts w:ascii="Arial" w:hAnsi="Arial" w:cs="Arial"/>
        </w:rPr>
        <w:t>probability of remaining in Wet Thermodynamic State</w:t>
      </w:r>
      <w:r w:rsidR="003F7710" w:rsidRPr="000B1138">
        <w:rPr>
          <w:rFonts w:ascii="Arial" w:hAnsi="Arial" w:cs="Arial"/>
        </w:rPr>
        <w:t>.</w:t>
      </w:r>
    </w:p>
    <w:p w14:paraId="60D02ADE" w14:textId="2BFEB1E1" w:rsidR="00402EEB" w:rsidRPr="000B1138" w:rsidRDefault="00402EEB" w:rsidP="000B1138">
      <w:pPr>
        <w:pStyle w:val="Body"/>
        <w:spacing w:after="0" w:line="360" w:lineRule="auto"/>
        <w:rPr>
          <w:rFonts w:ascii="Arial" w:hAnsi="Arial" w:cs="Arial"/>
          <w:color w:val="000000"/>
        </w:rPr>
      </w:pPr>
      <w:r w:rsidRPr="000B1138">
        <w:rPr>
          <w:rFonts w:ascii="Arial" w:hAnsi="Arial" w:cs="Arial"/>
          <w:color w:val="000000"/>
        </w:rPr>
        <w:t>The most probable sequence of the hidden atmospheric states was estimated using th</w:t>
      </w:r>
      <w:r w:rsidR="007E50A7">
        <w:rPr>
          <w:rFonts w:ascii="Arial" w:hAnsi="Arial" w:cs="Arial"/>
          <w:color w:val="000000"/>
        </w:rPr>
        <w:t>e Viterbi algorithm, which</w:t>
      </w:r>
      <w:r w:rsidR="00036926" w:rsidRPr="000B1138">
        <w:rPr>
          <w:rFonts w:ascii="Arial" w:hAnsi="Arial" w:cs="Arial"/>
          <w:color w:val="000000"/>
        </w:rPr>
        <w:t xml:space="preserve"> is defined as:</w:t>
      </w:r>
    </w:p>
    <w:p w14:paraId="2030897F" w14:textId="6C73F7CA" w:rsidR="00036926" w:rsidRPr="000B1138" w:rsidRDefault="00FD2625" w:rsidP="000B1138">
      <w:pPr>
        <w:pStyle w:val="Body"/>
        <w:spacing w:after="0" w:line="360" w:lineRule="auto"/>
        <w:rPr>
          <w:rFonts w:ascii="Arial" w:hAnsi="Arial" w:cs="Arial"/>
        </w:rPr>
      </w:pPr>
      <m:oMath>
        <m:acc>
          <m:accPr>
            <m:ctrlPr>
              <w:rPr>
                <w:rFonts w:ascii="Cambria Math" w:hAnsi="Cambria Math" w:cs="Arial"/>
                <w:i/>
              </w:rPr>
            </m:ctrlPr>
          </m:accPr>
          <m:e>
            <m:r>
              <w:rPr>
                <w:rFonts w:ascii="Cambria Math" w:hAnsi="Cambria Math" w:cs="Arial"/>
              </w:rPr>
              <m:t>S</m:t>
            </m:r>
          </m:e>
        </m:acc>
        <m:r>
          <w:rPr>
            <w:rFonts w:ascii="Cambria Math" w:hAnsi="Cambria Math" w:cs="Arial"/>
          </w:rPr>
          <m:t>=</m:t>
        </m:r>
        <m:sSub>
          <m:sSubPr>
            <m:ctrlPr>
              <w:rPr>
                <w:rFonts w:ascii="Cambria Math" w:hAnsi="Cambria Math" w:cs="Arial"/>
                <w:i/>
              </w:rPr>
            </m:ctrlPr>
          </m:sSubPr>
          <m:e>
            <m:r>
              <w:rPr>
                <w:rFonts w:ascii="Cambria Math" w:hAnsi="Cambria Math" w:cs="Arial"/>
              </w:rPr>
              <m:t>argmax</m:t>
            </m:r>
          </m:e>
          <m:sub>
            <m:r>
              <w:rPr>
                <w:rFonts w:ascii="Cambria Math" w:hAnsi="Cambria Math" w:cs="Arial"/>
              </w:rPr>
              <m:t>s</m:t>
            </m:r>
          </m:sub>
        </m:sSub>
        <m:r>
          <w:rPr>
            <w:rFonts w:ascii="Cambria Math" w:hAnsi="Cambria Math" w:cs="Arial"/>
          </w:rPr>
          <m:t>P(S</m:t>
        </m:r>
        <m:r>
          <m:rPr>
            <m:scr m:val="sans-serif"/>
          </m:rPr>
          <w:rPr>
            <w:rFonts w:ascii="Cambria Math" w:hAnsi="Cambria Math" w:cs="Arial"/>
          </w:rPr>
          <m:t>l</m:t>
        </m:r>
        <m:r>
          <w:rPr>
            <w:rFonts w:ascii="Cambria Math" w:hAnsi="Cambria Math" w:cs="Arial"/>
          </w:rPr>
          <m:t>X,θ)</m:t>
        </m:r>
      </m:oMath>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r>
      <w:r w:rsidR="007E50A7">
        <w:rPr>
          <w:rFonts w:ascii="Arial" w:hAnsi="Arial" w:cs="Arial"/>
        </w:rPr>
        <w:tab/>
        <w:t>(1</w:t>
      </w:r>
      <w:r w:rsidR="00437269">
        <w:rPr>
          <w:rFonts w:ascii="Arial" w:hAnsi="Arial" w:cs="Arial"/>
        </w:rPr>
        <w:t>8</w:t>
      </w:r>
      <w:r w:rsidR="007E50A7">
        <w:rPr>
          <w:rFonts w:ascii="Arial" w:hAnsi="Arial" w:cs="Arial"/>
        </w:rPr>
        <w:t>)</w:t>
      </w:r>
    </w:p>
    <w:p w14:paraId="70F2667D" w14:textId="146B8FDE" w:rsidR="00036926" w:rsidRPr="000B1138" w:rsidRDefault="000B1138" w:rsidP="000B1138">
      <w:pPr>
        <w:pStyle w:val="Body"/>
        <w:spacing w:after="0" w:line="360" w:lineRule="auto"/>
        <w:rPr>
          <w:rFonts w:ascii="Arial" w:hAnsi="Arial" w:cs="Arial"/>
        </w:rPr>
      </w:pPr>
      <w:r w:rsidRPr="000B1138">
        <w:rPr>
          <w:rFonts w:ascii="Arial" w:hAnsi="Arial" w:cs="Arial"/>
        </w:rPr>
        <w:t>w</w:t>
      </w:r>
      <w:r w:rsidR="00036926" w:rsidRPr="000B1138">
        <w:rPr>
          <w:rFonts w:ascii="Arial" w:hAnsi="Arial" w:cs="Arial"/>
        </w:rPr>
        <w:t xml:space="preserve">here </w:t>
      </w:r>
      <m:oMath>
        <m:acc>
          <m:accPr>
            <m:ctrlPr>
              <w:rPr>
                <w:rFonts w:ascii="Cambria Math" w:hAnsi="Cambria Math" w:cs="Arial"/>
                <w:i/>
              </w:rPr>
            </m:ctrlPr>
          </m:accPr>
          <m:e>
            <m:r>
              <w:rPr>
                <w:rFonts w:ascii="Cambria Math" w:hAnsi="Cambria Math" w:cs="Arial"/>
              </w:rPr>
              <m:t>S</m:t>
            </m:r>
          </m:e>
        </m:acc>
        <m:r>
          <w:rPr>
            <w:rFonts w:ascii="Cambria Math" w:hAnsi="Cambria Math" w:cs="Arial"/>
          </w:rPr>
          <m:t>=(</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e>
        </m:acc>
        <m:r>
          <w:rPr>
            <w:rFonts w:ascii="Cambria Math" w:hAnsi="Cambria Math" w:cs="Arial"/>
          </w:rPr>
          <m:t xml:space="preserve">, </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e>
        </m:acc>
        <m:r>
          <w:rPr>
            <w:rFonts w:ascii="Cambria Math" w:hAnsi="Cambria Math" w:cs="Arial"/>
          </w:rPr>
          <m:t>,…..</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acc>
        <m:r>
          <w:rPr>
            <w:rFonts w:ascii="Cambria Math" w:hAnsi="Cambria Math" w:cs="Arial"/>
          </w:rPr>
          <m:t>)</m:t>
        </m:r>
      </m:oMath>
      <w:r w:rsidRPr="000B1138">
        <w:rPr>
          <w:rFonts w:ascii="Arial" w:hAnsi="Arial" w:cs="Arial"/>
        </w:rPr>
        <w:t xml:space="preserve">, </w:t>
      </w:r>
      <m:oMath>
        <m:r>
          <w:rPr>
            <w:rFonts w:ascii="Cambria Math" w:hAnsi="Cambria Math" w:cs="Arial"/>
          </w:rPr>
          <m:t>θ</m:t>
        </m:r>
      </m:oMath>
      <w:r w:rsidRPr="000B1138">
        <w:rPr>
          <w:rFonts w:ascii="Arial" w:hAnsi="Arial" w:cs="Arial"/>
        </w:rPr>
        <w:t xml:space="preserve"> represents the model parameters, </w:t>
      </w:r>
      <m:oMath>
        <m:r>
          <w:rPr>
            <w:rFonts w:ascii="Cambria Math" w:hAnsi="Cambria Math" w:cs="Arial"/>
          </w:rPr>
          <m:t>P(S</m:t>
        </m:r>
        <m:r>
          <m:rPr>
            <m:scr m:val="sans-serif"/>
          </m:rPr>
          <w:rPr>
            <w:rFonts w:ascii="Cambria Math" w:hAnsi="Cambria Math" w:cs="Arial"/>
          </w:rPr>
          <m:t>l</m:t>
        </m:r>
        <m:r>
          <w:rPr>
            <w:rFonts w:ascii="Cambria Math" w:hAnsi="Cambria Math" w:cs="Arial"/>
          </w:rPr>
          <m:t>X,θ)</m:t>
        </m:r>
      </m:oMath>
      <w:r w:rsidRPr="000B1138">
        <w:rPr>
          <w:rFonts w:ascii="Arial" w:hAnsi="Arial" w:cs="Arial"/>
        </w:rPr>
        <w:t xml:space="preserve"> is the posterior probability of the state sequence given the observations. Thus, </w:t>
      </w:r>
      <m:oMath>
        <m:acc>
          <m:accPr>
            <m:ctrlPr>
              <w:rPr>
                <w:rFonts w:ascii="Cambria Math" w:hAnsi="Cambria Math" w:cs="Arial"/>
                <w:i/>
              </w:rPr>
            </m:ctrlPr>
          </m:accPr>
          <m:e>
            <m:r>
              <w:rPr>
                <w:rFonts w:ascii="Cambria Math" w:hAnsi="Cambria Math" w:cs="Arial"/>
              </w:rPr>
              <m:t>S</m:t>
            </m:r>
          </m:e>
        </m:acc>
        <m:r>
          <w:rPr>
            <w:rFonts w:ascii="Cambria Math" w:hAnsi="Cambria Math" w:cs="Arial"/>
          </w:rPr>
          <m:t>=(</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e>
        </m:acc>
        <m:r>
          <w:rPr>
            <w:rFonts w:ascii="Cambria Math" w:hAnsi="Cambria Math" w:cs="Arial"/>
          </w:rPr>
          <m:t xml:space="preserve">, </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e>
        </m:acc>
        <m:r>
          <w:rPr>
            <w:rFonts w:ascii="Cambria Math" w:hAnsi="Cambria Math" w:cs="Arial"/>
          </w:rPr>
          <m:t>,…..</m:t>
        </m:r>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e>
        </m:acc>
        <m:r>
          <w:rPr>
            <w:rFonts w:ascii="Cambria Math" w:hAnsi="Cambria Math" w:cs="Arial"/>
          </w:rPr>
          <m:t>)</m:t>
        </m:r>
      </m:oMath>
      <w:r w:rsidRPr="000B1138">
        <w:rPr>
          <w:rFonts w:ascii="Arial" w:hAnsi="Arial" w:cs="Arial"/>
        </w:rPr>
        <w:t xml:space="preserve"> represents the most likely sequences of hidden atmospheric regimes explaining the observed rainfall and temperature data.</w:t>
      </w:r>
    </w:p>
    <w:p w14:paraId="0115E9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F80BD8" w14:textId="7E6E0C9C" w:rsidR="00202099" w:rsidRDefault="000F59DA" w:rsidP="00437269">
      <w:pPr>
        <w:pStyle w:val="NormalWeb"/>
        <w:spacing w:before="0" w:beforeAutospacing="0" w:line="360" w:lineRule="auto"/>
        <w:jc w:val="both"/>
        <w:rPr>
          <w:rFonts w:ascii="Arial" w:hAnsi="Arial" w:cs="Arial"/>
          <w:sz w:val="20"/>
          <w:szCs w:val="20"/>
        </w:rPr>
      </w:pPr>
      <w:r w:rsidRPr="001D0319">
        <w:rPr>
          <w:rFonts w:ascii="Arial" w:hAnsi="Arial" w:cs="Arial"/>
          <w:sz w:val="20"/>
          <w:szCs w:val="20"/>
        </w:rPr>
        <w:t xml:space="preserve">The dry </w:t>
      </w:r>
      <w:r w:rsidR="000A3523">
        <w:rPr>
          <w:rFonts w:ascii="Arial" w:hAnsi="Arial" w:cs="Arial"/>
          <w:sz w:val="20"/>
          <w:szCs w:val="20"/>
        </w:rPr>
        <w:t xml:space="preserve">and wet </w:t>
      </w:r>
      <w:r w:rsidRPr="001D0319">
        <w:rPr>
          <w:rFonts w:ascii="Arial" w:hAnsi="Arial" w:cs="Arial"/>
          <w:sz w:val="20"/>
          <w:szCs w:val="20"/>
        </w:rPr>
        <w:t>thermodynamic state</w:t>
      </w:r>
      <w:r w:rsidR="000A3523">
        <w:rPr>
          <w:rFonts w:ascii="Arial" w:hAnsi="Arial" w:cs="Arial"/>
          <w:sz w:val="20"/>
          <w:szCs w:val="20"/>
        </w:rPr>
        <w:t xml:space="preserve">s </w:t>
      </w:r>
      <w:r w:rsidRPr="001D0319">
        <w:rPr>
          <w:rFonts w:ascii="Arial" w:hAnsi="Arial" w:cs="Arial"/>
          <w:sz w:val="20"/>
          <w:szCs w:val="20"/>
        </w:rPr>
        <w:t>were the two dominant atmospheri</w:t>
      </w:r>
      <w:r w:rsidR="000A3523">
        <w:rPr>
          <w:rFonts w:ascii="Arial" w:hAnsi="Arial" w:cs="Arial"/>
          <w:sz w:val="20"/>
          <w:szCs w:val="20"/>
        </w:rPr>
        <w:t>c regimes found using the</w:t>
      </w:r>
      <w:r w:rsidRPr="001D0319">
        <w:rPr>
          <w:rFonts w:ascii="Arial" w:hAnsi="Arial" w:cs="Arial"/>
          <w:sz w:val="20"/>
          <w:szCs w:val="20"/>
        </w:rPr>
        <w:t xml:space="preserve"> Hidden Markov Model</w:t>
      </w:r>
      <w:r w:rsidR="000A3523">
        <w:rPr>
          <w:rFonts w:ascii="Arial" w:hAnsi="Arial" w:cs="Arial"/>
          <w:sz w:val="20"/>
          <w:szCs w:val="20"/>
        </w:rPr>
        <w:t xml:space="preserve"> over Nigeria's Middle Belt region</w:t>
      </w:r>
      <w:r w:rsidRPr="001D0319">
        <w:rPr>
          <w:rFonts w:ascii="Arial" w:hAnsi="Arial" w:cs="Arial"/>
          <w:sz w:val="20"/>
          <w:szCs w:val="20"/>
        </w:rPr>
        <w:t xml:space="preserve">. Tropical atmospheric dynamics are physically compatible with the thermodynamic difference between these two states. Dry weather increases sensible heat flow and surface heating because less cloud cover allows for more incoming solar radiation (Wallace and Hobbs, 2006). Conversely, wet weather is linked to the production of deep convective clouds, where cloud cover lowers surface temperatures through radiative shading effects and condensation releases latent heat that drives vertical motion (Rogers and Yau, 1989). </w:t>
      </w:r>
      <w:r w:rsidR="000A3523" w:rsidRPr="000A3523">
        <w:rPr>
          <w:rFonts w:ascii="Arial" w:hAnsi="Arial" w:cs="Arial"/>
          <w:sz w:val="20"/>
          <w:szCs w:val="20"/>
        </w:rPr>
        <w:t>T</w:t>
      </w:r>
      <w:r w:rsidRPr="000A3523">
        <w:rPr>
          <w:rFonts w:ascii="Arial" w:hAnsi="Arial" w:cs="Arial"/>
          <w:sz w:val="20"/>
          <w:szCs w:val="20"/>
        </w:rPr>
        <w:t xml:space="preserve">he findings show a high degree of </w:t>
      </w:r>
      <w:r w:rsidR="000A3523" w:rsidRPr="000A3523">
        <w:rPr>
          <w:rFonts w:ascii="Arial" w:hAnsi="Arial" w:cs="Arial"/>
          <w:sz w:val="20"/>
          <w:szCs w:val="20"/>
        </w:rPr>
        <w:t xml:space="preserve">dry and wet persistence in Benue, Plateau, and </w:t>
      </w:r>
      <w:proofErr w:type="spellStart"/>
      <w:r w:rsidR="000A3523" w:rsidRPr="000A3523">
        <w:rPr>
          <w:rFonts w:ascii="Arial" w:hAnsi="Arial" w:cs="Arial"/>
          <w:sz w:val="20"/>
          <w:szCs w:val="20"/>
        </w:rPr>
        <w:t>Kogi</w:t>
      </w:r>
      <w:proofErr w:type="spellEnd"/>
      <w:r w:rsidRPr="000A3523">
        <w:rPr>
          <w:rFonts w:ascii="Arial" w:hAnsi="Arial" w:cs="Arial"/>
          <w:sz w:val="20"/>
          <w:szCs w:val="20"/>
        </w:rPr>
        <w:t>. The high odds of staying in the wet state (0.911, 0.955, and 0.961) and dry state (0.956, 0.979, and 0.918)</w:t>
      </w:r>
      <w:r w:rsidR="000A3523">
        <w:rPr>
          <w:rFonts w:ascii="Arial" w:hAnsi="Arial" w:cs="Arial"/>
          <w:sz w:val="20"/>
          <w:szCs w:val="20"/>
        </w:rPr>
        <w:t xml:space="preserve"> over</w:t>
      </w:r>
      <w:r w:rsidR="000A3523" w:rsidRPr="000A3523">
        <w:rPr>
          <w:rFonts w:ascii="Arial" w:hAnsi="Arial" w:cs="Arial"/>
          <w:sz w:val="20"/>
          <w:szCs w:val="20"/>
        </w:rPr>
        <w:t xml:space="preserve"> Benue, Plateau, and </w:t>
      </w:r>
      <w:proofErr w:type="spellStart"/>
      <w:r w:rsidR="000A3523" w:rsidRPr="000A3523">
        <w:rPr>
          <w:rFonts w:ascii="Arial" w:hAnsi="Arial" w:cs="Arial"/>
          <w:sz w:val="20"/>
          <w:szCs w:val="20"/>
        </w:rPr>
        <w:t>Kogi</w:t>
      </w:r>
      <w:proofErr w:type="spellEnd"/>
      <w:r w:rsidR="000A3523">
        <w:rPr>
          <w:rFonts w:ascii="Arial" w:hAnsi="Arial" w:cs="Arial"/>
          <w:sz w:val="20"/>
          <w:szCs w:val="20"/>
        </w:rPr>
        <w:t xml:space="preserve"> respectively is presented in Table 1</w:t>
      </w:r>
      <w:r w:rsidRPr="000A3523">
        <w:rPr>
          <w:rFonts w:ascii="Arial" w:hAnsi="Arial" w:cs="Arial"/>
          <w:sz w:val="20"/>
          <w:szCs w:val="20"/>
        </w:rPr>
        <w:t xml:space="preserve">. This persistence is in line with the known behavior of rainfall processes in tropical regions, where there is a strong serial correlation and a </w:t>
      </w:r>
      <w:r w:rsidRPr="000A3523">
        <w:rPr>
          <w:rFonts w:ascii="Arial" w:hAnsi="Arial" w:cs="Arial"/>
          <w:sz w:val="20"/>
          <w:szCs w:val="20"/>
        </w:rPr>
        <w:lastRenderedPageBreak/>
        <w:t>Markov dependent structure for precipitation occurrence (Katz, 1977). The application of Hidden Markov Models to rainfall has also shown that both dry and wet regimes are often quasi-stable and last for a few days befor</w:t>
      </w:r>
      <w:r w:rsidR="00185D03">
        <w:rPr>
          <w:rFonts w:ascii="Arial" w:hAnsi="Arial" w:cs="Arial"/>
          <w:sz w:val="20"/>
          <w:szCs w:val="20"/>
        </w:rPr>
        <w:t>e changing</w:t>
      </w:r>
      <w:r w:rsidRPr="000A3523">
        <w:rPr>
          <w:rFonts w:ascii="Arial" w:hAnsi="Arial" w:cs="Arial"/>
          <w:sz w:val="20"/>
          <w:szCs w:val="20"/>
        </w:rPr>
        <w:t xml:space="preserve">. </w:t>
      </w:r>
    </w:p>
    <w:p w14:paraId="391048AB" w14:textId="3FEB4E9C" w:rsidR="000F59DA" w:rsidRPr="00202099" w:rsidRDefault="000F59DA" w:rsidP="00202099">
      <w:pPr>
        <w:pStyle w:val="NormalWeb"/>
        <w:spacing w:before="0" w:beforeAutospacing="0" w:after="0" w:afterAutospacing="0"/>
        <w:jc w:val="both"/>
        <w:rPr>
          <w:rFonts w:ascii="Arial" w:hAnsi="Arial" w:cs="Arial"/>
          <w:sz w:val="20"/>
          <w:szCs w:val="20"/>
        </w:rPr>
      </w:pPr>
      <w:r w:rsidRPr="00202099">
        <w:rPr>
          <w:rFonts w:ascii="Arial" w:hAnsi="Arial" w:cs="Arial"/>
          <w:sz w:val="20"/>
          <w:szCs w:val="20"/>
        </w:rPr>
        <w:t>Table1: Transition Probability from one state to another across locations</w:t>
      </w:r>
    </w:p>
    <w:tbl>
      <w:tblPr>
        <w:tblW w:w="6960" w:type="dxa"/>
        <w:tblLook w:val="04A0" w:firstRow="1" w:lastRow="0" w:firstColumn="1" w:lastColumn="0" w:noHBand="0" w:noVBand="1"/>
      </w:tblPr>
      <w:tblGrid>
        <w:gridCol w:w="973"/>
        <w:gridCol w:w="683"/>
        <w:gridCol w:w="960"/>
        <w:gridCol w:w="960"/>
        <w:gridCol w:w="1117"/>
        <w:gridCol w:w="960"/>
        <w:gridCol w:w="960"/>
        <w:gridCol w:w="960"/>
      </w:tblGrid>
      <w:tr w:rsidR="000F59DA" w:rsidRPr="00202099" w14:paraId="051918A8" w14:textId="77777777" w:rsidTr="002B4E55">
        <w:trPr>
          <w:trHeight w:val="315"/>
        </w:trPr>
        <w:tc>
          <w:tcPr>
            <w:tcW w:w="640" w:type="dxa"/>
            <w:tcBorders>
              <w:top w:val="single" w:sz="8" w:space="0" w:color="auto"/>
              <w:left w:val="nil"/>
              <w:bottom w:val="single" w:sz="8" w:space="0" w:color="auto"/>
              <w:right w:val="nil"/>
            </w:tcBorders>
            <w:noWrap/>
            <w:vAlign w:val="center"/>
            <w:hideMark/>
          </w:tcPr>
          <w:p w14:paraId="40C08E0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Location</w:t>
            </w:r>
          </w:p>
        </w:tc>
        <w:tc>
          <w:tcPr>
            <w:tcW w:w="560" w:type="dxa"/>
            <w:tcBorders>
              <w:top w:val="single" w:sz="8" w:space="0" w:color="auto"/>
              <w:left w:val="nil"/>
              <w:bottom w:val="single" w:sz="8" w:space="0" w:color="auto"/>
              <w:right w:val="nil"/>
            </w:tcBorders>
            <w:noWrap/>
            <w:vAlign w:val="center"/>
            <w:hideMark/>
          </w:tcPr>
          <w:p w14:paraId="36158E71"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State</w:t>
            </w:r>
          </w:p>
        </w:tc>
        <w:tc>
          <w:tcPr>
            <w:tcW w:w="960" w:type="dxa"/>
            <w:tcBorders>
              <w:top w:val="single" w:sz="8" w:space="0" w:color="auto"/>
              <w:left w:val="nil"/>
              <w:bottom w:val="single" w:sz="8" w:space="0" w:color="auto"/>
              <w:right w:val="nil"/>
            </w:tcBorders>
            <w:noWrap/>
            <w:vAlign w:val="center"/>
            <w:hideMark/>
          </w:tcPr>
          <w:p w14:paraId="74064E1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960" w:type="dxa"/>
            <w:tcBorders>
              <w:top w:val="single" w:sz="8" w:space="0" w:color="auto"/>
              <w:left w:val="nil"/>
              <w:bottom w:val="single" w:sz="8" w:space="0" w:color="auto"/>
              <w:right w:val="single" w:sz="4" w:space="0" w:color="auto"/>
            </w:tcBorders>
            <w:noWrap/>
            <w:vAlign w:val="center"/>
            <w:hideMark/>
          </w:tcPr>
          <w:p w14:paraId="30EF3F7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c>
          <w:tcPr>
            <w:tcW w:w="960" w:type="dxa"/>
            <w:tcBorders>
              <w:top w:val="single" w:sz="8" w:space="0" w:color="auto"/>
              <w:left w:val="single" w:sz="4" w:space="0" w:color="auto"/>
              <w:bottom w:val="single" w:sz="8" w:space="0" w:color="auto"/>
              <w:right w:val="nil"/>
            </w:tcBorders>
            <w:noWrap/>
            <w:vAlign w:val="center"/>
            <w:hideMark/>
          </w:tcPr>
          <w:p w14:paraId="6562BA87"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Location</w:t>
            </w:r>
          </w:p>
        </w:tc>
        <w:tc>
          <w:tcPr>
            <w:tcW w:w="960" w:type="dxa"/>
            <w:tcBorders>
              <w:top w:val="single" w:sz="8" w:space="0" w:color="auto"/>
              <w:left w:val="nil"/>
              <w:bottom w:val="single" w:sz="8" w:space="0" w:color="auto"/>
              <w:right w:val="nil"/>
            </w:tcBorders>
            <w:noWrap/>
            <w:vAlign w:val="center"/>
            <w:hideMark/>
          </w:tcPr>
          <w:p w14:paraId="179AC861"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State</w:t>
            </w:r>
          </w:p>
        </w:tc>
        <w:tc>
          <w:tcPr>
            <w:tcW w:w="960" w:type="dxa"/>
            <w:tcBorders>
              <w:top w:val="single" w:sz="8" w:space="0" w:color="auto"/>
              <w:left w:val="nil"/>
              <w:bottom w:val="single" w:sz="8" w:space="0" w:color="auto"/>
              <w:right w:val="nil"/>
            </w:tcBorders>
            <w:noWrap/>
            <w:vAlign w:val="center"/>
            <w:hideMark/>
          </w:tcPr>
          <w:p w14:paraId="2805E3F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960" w:type="dxa"/>
            <w:tcBorders>
              <w:top w:val="single" w:sz="8" w:space="0" w:color="auto"/>
              <w:left w:val="nil"/>
              <w:bottom w:val="single" w:sz="8" w:space="0" w:color="auto"/>
              <w:right w:val="nil"/>
            </w:tcBorders>
            <w:noWrap/>
            <w:vAlign w:val="center"/>
            <w:hideMark/>
          </w:tcPr>
          <w:p w14:paraId="0507537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r>
      <w:tr w:rsidR="000F59DA" w:rsidRPr="00202099" w14:paraId="2A9959B4" w14:textId="77777777" w:rsidTr="002B4E55">
        <w:trPr>
          <w:trHeight w:val="300"/>
        </w:trPr>
        <w:tc>
          <w:tcPr>
            <w:tcW w:w="640" w:type="dxa"/>
            <w:tcBorders>
              <w:top w:val="nil"/>
              <w:left w:val="nil"/>
              <w:bottom w:val="nil"/>
              <w:right w:val="nil"/>
            </w:tcBorders>
            <w:noWrap/>
            <w:vAlign w:val="center"/>
            <w:hideMark/>
          </w:tcPr>
          <w:p w14:paraId="2ED38926"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Benue</w:t>
            </w:r>
          </w:p>
        </w:tc>
        <w:tc>
          <w:tcPr>
            <w:tcW w:w="560" w:type="dxa"/>
            <w:tcBorders>
              <w:top w:val="nil"/>
              <w:left w:val="nil"/>
              <w:bottom w:val="nil"/>
              <w:right w:val="nil"/>
            </w:tcBorders>
            <w:noWrap/>
            <w:vAlign w:val="center"/>
            <w:hideMark/>
          </w:tcPr>
          <w:p w14:paraId="04413F6A"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562A795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0.956</w:t>
            </w:r>
          </w:p>
        </w:tc>
        <w:tc>
          <w:tcPr>
            <w:tcW w:w="960" w:type="dxa"/>
            <w:tcBorders>
              <w:top w:val="nil"/>
              <w:left w:val="nil"/>
              <w:bottom w:val="nil"/>
              <w:right w:val="single" w:sz="4" w:space="0" w:color="auto"/>
            </w:tcBorders>
            <w:noWrap/>
            <w:vAlign w:val="center"/>
            <w:hideMark/>
          </w:tcPr>
          <w:p w14:paraId="367E8C9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0.044</w:t>
            </w:r>
          </w:p>
        </w:tc>
        <w:tc>
          <w:tcPr>
            <w:tcW w:w="960" w:type="dxa"/>
            <w:tcBorders>
              <w:top w:val="nil"/>
              <w:left w:val="single" w:sz="4" w:space="0" w:color="auto"/>
              <w:bottom w:val="nil"/>
              <w:right w:val="nil"/>
            </w:tcBorders>
            <w:noWrap/>
            <w:vAlign w:val="center"/>
            <w:hideMark/>
          </w:tcPr>
          <w:p w14:paraId="2FE3A83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Kwara</w:t>
            </w:r>
          </w:p>
        </w:tc>
        <w:tc>
          <w:tcPr>
            <w:tcW w:w="960" w:type="dxa"/>
            <w:tcBorders>
              <w:top w:val="nil"/>
              <w:left w:val="nil"/>
              <w:bottom w:val="nil"/>
              <w:right w:val="nil"/>
            </w:tcBorders>
            <w:noWrap/>
            <w:vAlign w:val="center"/>
            <w:hideMark/>
          </w:tcPr>
          <w:p w14:paraId="4BB8098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6E52AD4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nil"/>
            </w:tcBorders>
            <w:noWrap/>
            <w:vAlign w:val="center"/>
            <w:hideMark/>
          </w:tcPr>
          <w:p w14:paraId="74CE54D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377F3651" w14:textId="77777777" w:rsidTr="002B4E55">
        <w:trPr>
          <w:trHeight w:val="330"/>
        </w:trPr>
        <w:tc>
          <w:tcPr>
            <w:tcW w:w="640" w:type="dxa"/>
            <w:tcBorders>
              <w:top w:val="nil"/>
              <w:left w:val="nil"/>
              <w:bottom w:val="nil"/>
              <w:right w:val="nil"/>
            </w:tcBorders>
            <w:noWrap/>
            <w:vAlign w:val="bottom"/>
            <w:hideMark/>
          </w:tcPr>
          <w:p w14:paraId="58131EA3" w14:textId="77777777" w:rsidR="000F59DA" w:rsidRPr="00202099" w:rsidRDefault="000F59DA" w:rsidP="00202099">
            <w:pPr>
              <w:spacing w:line="360" w:lineRule="auto"/>
              <w:jc w:val="center"/>
              <w:rPr>
                <w:rFonts w:ascii="Arial" w:hAnsi="Arial" w:cs="Arial"/>
                <w:color w:val="000000"/>
              </w:rPr>
            </w:pPr>
          </w:p>
        </w:tc>
        <w:tc>
          <w:tcPr>
            <w:tcW w:w="560" w:type="dxa"/>
            <w:tcBorders>
              <w:top w:val="nil"/>
              <w:left w:val="nil"/>
              <w:bottom w:val="nil"/>
              <w:right w:val="nil"/>
            </w:tcBorders>
            <w:noWrap/>
            <w:vAlign w:val="center"/>
            <w:hideMark/>
          </w:tcPr>
          <w:p w14:paraId="708B41A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center"/>
            <w:hideMark/>
          </w:tcPr>
          <w:p w14:paraId="2962C03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0.089</w:t>
            </w:r>
          </w:p>
        </w:tc>
        <w:tc>
          <w:tcPr>
            <w:tcW w:w="960" w:type="dxa"/>
            <w:tcBorders>
              <w:top w:val="nil"/>
              <w:left w:val="nil"/>
              <w:bottom w:val="nil"/>
              <w:right w:val="single" w:sz="4" w:space="0" w:color="auto"/>
            </w:tcBorders>
            <w:noWrap/>
            <w:vAlign w:val="center"/>
            <w:hideMark/>
          </w:tcPr>
          <w:p w14:paraId="4C7402D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0.911</w:t>
            </w:r>
          </w:p>
        </w:tc>
        <w:tc>
          <w:tcPr>
            <w:tcW w:w="960" w:type="dxa"/>
            <w:tcBorders>
              <w:top w:val="nil"/>
              <w:left w:val="single" w:sz="4" w:space="0" w:color="auto"/>
              <w:bottom w:val="nil"/>
              <w:right w:val="nil"/>
            </w:tcBorders>
            <w:noWrap/>
            <w:vAlign w:val="bottom"/>
            <w:hideMark/>
          </w:tcPr>
          <w:p w14:paraId="199F1482"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center"/>
            <w:hideMark/>
          </w:tcPr>
          <w:p w14:paraId="06E27D7F"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center"/>
            <w:hideMark/>
          </w:tcPr>
          <w:p w14:paraId="39F5227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nil"/>
            </w:tcBorders>
            <w:noWrap/>
            <w:vAlign w:val="center"/>
            <w:hideMark/>
          </w:tcPr>
          <w:p w14:paraId="0C37107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05CDC1D4" w14:textId="77777777" w:rsidTr="002B4E55">
        <w:trPr>
          <w:trHeight w:val="300"/>
        </w:trPr>
        <w:tc>
          <w:tcPr>
            <w:tcW w:w="640" w:type="dxa"/>
            <w:tcBorders>
              <w:top w:val="nil"/>
              <w:left w:val="nil"/>
              <w:bottom w:val="nil"/>
              <w:right w:val="nil"/>
            </w:tcBorders>
            <w:noWrap/>
            <w:vAlign w:val="center"/>
            <w:hideMark/>
          </w:tcPr>
          <w:p w14:paraId="265384CA"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Plateau</w:t>
            </w:r>
          </w:p>
        </w:tc>
        <w:tc>
          <w:tcPr>
            <w:tcW w:w="560" w:type="dxa"/>
            <w:tcBorders>
              <w:top w:val="nil"/>
              <w:left w:val="nil"/>
              <w:bottom w:val="nil"/>
              <w:right w:val="nil"/>
            </w:tcBorders>
            <w:noWrap/>
            <w:vAlign w:val="center"/>
            <w:hideMark/>
          </w:tcPr>
          <w:p w14:paraId="6D19F82C"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1852921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0.979</w:t>
            </w:r>
          </w:p>
        </w:tc>
        <w:tc>
          <w:tcPr>
            <w:tcW w:w="960" w:type="dxa"/>
            <w:tcBorders>
              <w:top w:val="nil"/>
              <w:left w:val="nil"/>
              <w:bottom w:val="nil"/>
              <w:right w:val="single" w:sz="4" w:space="0" w:color="auto"/>
            </w:tcBorders>
            <w:noWrap/>
            <w:vAlign w:val="center"/>
            <w:hideMark/>
          </w:tcPr>
          <w:p w14:paraId="32BA672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0.021</w:t>
            </w:r>
          </w:p>
        </w:tc>
        <w:tc>
          <w:tcPr>
            <w:tcW w:w="960" w:type="dxa"/>
            <w:tcBorders>
              <w:top w:val="nil"/>
              <w:left w:val="single" w:sz="4" w:space="0" w:color="auto"/>
              <w:bottom w:val="nil"/>
              <w:right w:val="nil"/>
            </w:tcBorders>
            <w:noWrap/>
            <w:vAlign w:val="center"/>
            <w:hideMark/>
          </w:tcPr>
          <w:p w14:paraId="3414EA63"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Nasarawa</w:t>
            </w:r>
          </w:p>
        </w:tc>
        <w:tc>
          <w:tcPr>
            <w:tcW w:w="960" w:type="dxa"/>
            <w:tcBorders>
              <w:top w:val="nil"/>
              <w:left w:val="nil"/>
              <w:bottom w:val="nil"/>
              <w:right w:val="nil"/>
            </w:tcBorders>
            <w:noWrap/>
            <w:vAlign w:val="center"/>
            <w:hideMark/>
          </w:tcPr>
          <w:p w14:paraId="2170A4E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797393C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nil"/>
            </w:tcBorders>
            <w:noWrap/>
            <w:vAlign w:val="center"/>
            <w:hideMark/>
          </w:tcPr>
          <w:p w14:paraId="61F8186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69DFDFB4" w14:textId="77777777" w:rsidTr="002B4E55">
        <w:trPr>
          <w:trHeight w:val="330"/>
        </w:trPr>
        <w:tc>
          <w:tcPr>
            <w:tcW w:w="640" w:type="dxa"/>
            <w:tcBorders>
              <w:top w:val="nil"/>
              <w:left w:val="nil"/>
              <w:bottom w:val="nil"/>
              <w:right w:val="nil"/>
            </w:tcBorders>
            <w:noWrap/>
            <w:vAlign w:val="bottom"/>
            <w:hideMark/>
          </w:tcPr>
          <w:p w14:paraId="41918648" w14:textId="77777777" w:rsidR="000F59DA" w:rsidRPr="00202099" w:rsidRDefault="000F59DA" w:rsidP="00202099">
            <w:pPr>
              <w:spacing w:line="360" w:lineRule="auto"/>
              <w:jc w:val="center"/>
              <w:rPr>
                <w:rFonts w:ascii="Arial" w:hAnsi="Arial" w:cs="Arial"/>
                <w:color w:val="000000"/>
              </w:rPr>
            </w:pPr>
          </w:p>
        </w:tc>
        <w:tc>
          <w:tcPr>
            <w:tcW w:w="560" w:type="dxa"/>
            <w:tcBorders>
              <w:top w:val="nil"/>
              <w:left w:val="nil"/>
              <w:bottom w:val="nil"/>
              <w:right w:val="nil"/>
            </w:tcBorders>
            <w:noWrap/>
            <w:vAlign w:val="center"/>
            <w:hideMark/>
          </w:tcPr>
          <w:p w14:paraId="06D94EB4"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center"/>
            <w:hideMark/>
          </w:tcPr>
          <w:p w14:paraId="59ACFAF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0.045</w:t>
            </w:r>
          </w:p>
        </w:tc>
        <w:tc>
          <w:tcPr>
            <w:tcW w:w="960" w:type="dxa"/>
            <w:tcBorders>
              <w:top w:val="nil"/>
              <w:left w:val="nil"/>
              <w:bottom w:val="nil"/>
              <w:right w:val="single" w:sz="4" w:space="0" w:color="auto"/>
            </w:tcBorders>
            <w:noWrap/>
            <w:vAlign w:val="center"/>
            <w:hideMark/>
          </w:tcPr>
          <w:p w14:paraId="5C25FDE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0.955</w:t>
            </w:r>
          </w:p>
        </w:tc>
        <w:tc>
          <w:tcPr>
            <w:tcW w:w="960" w:type="dxa"/>
            <w:tcBorders>
              <w:top w:val="nil"/>
              <w:left w:val="single" w:sz="4" w:space="0" w:color="auto"/>
              <w:bottom w:val="nil"/>
              <w:right w:val="nil"/>
            </w:tcBorders>
            <w:noWrap/>
            <w:vAlign w:val="bottom"/>
            <w:hideMark/>
          </w:tcPr>
          <w:p w14:paraId="388A44A9"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center"/>
            <w:hideMark/>
          </w:tcPr>
          <w:p w14:paraId="2B78D4A6"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center"/>
            <w:hideMark/>
          </w:tcPr>
          <w:p w14:paraId="5582A23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nil"/>
            </w:tcBorders>
            <w:noWrap/>
            <w:vAlign w:val="center"/>
            <w:hideMark/>
          </w:tcPr>
          <w:p w14:paraId="0F95335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0880025C" w14:textId="77777777" w:rsidTr="002B4E55">
        <w:trPr>
          <w:trHeight w:val="300"/>
        </w:trPr>
        <w:tc>
          <w:tcPr>
            <w:tcW w:w="640" w:type="dxa"/>
            <w:tcBorders>
              <w:top w:val="nil"/>
              <w:left w:val="nil"/>
              <w:bottom w:val="nil"/>
              <w:right w:val="nil"/>
            </w:tcBorders>
            <w:noWrap/>
            <w:vAlign w:val="center"/>
            <w:hideMark/>
          </w:tcPr>
          <w:p w14:paraId="4C95FEB1"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Niger</w:t>
            </w:r>
          </w:p>
        </w:tc>
        <w:tc>
          <w:tcPr>
            <w:tcW w:w="560" w:type="dxa"/>
            <w:tcBorders>
              <w:top w:val="nil"/>
              <w:left w:val="nil"/>
              <w:bottom w:val="nil"/>
              <w:right w:val="nil"/>
            </w:tcBorders>
            <w:noWrap/>
            <w:vAlign w:val="center"/>
            <w:hideMark/>
          </w:tcPr>
          <w:p w14:paraId="3158A145"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302FAD2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single" w:sz="4" w:space="0" w:color="auto"/>
            </w:tcBorders>
            <w:noWrap/>
            <w:vAlign w:val="center"/>
            <w:hideMark/>
          </w:tcPr>
          <w:p w14:paraId="3012B03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single" w:sz="4" w:space="0" w:color="auto"/>
              <w:bottom w:val="nil"/>
              <w:right w:val="nil"/>
            </w:tcBorders>
            <w:noWrap/>
            <w:vAlign w:val="center"/>
            <w:hideMark/>
          </w:tcPr>
          <w:p w14:paraId="58003D1F"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FCT</w:t>
            </w:r>
          </w:p>
        </w:tc>
        <w:tc>
          <w:tcPr>
            <w:tcW w:w="960" w:type="dxa"/>
            <w:tcBorders>
              <w:top w:val="nil"/>
              <w:left w:val="nil"/>
              <w:bottom w:val="nil"/>
              <w:right w:val="nil"/>
            </w:tcBorders>
            <w:noWrap/>
            <w:vAlign w:val="center"/>
            <w:hideMark/>
          </w:tcPr>
          <w:p w14:paraId="1C35BF1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54F1376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nil"/>
            </w:tcBorders>
            <w:noWrap/>
            <w:vAlign w:val="center"/>
            <w:hideMark/>
          </w:tcPr>
          <w:p w14:paraId="44E7B7B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592856C7" w14:textId="77777777" w:rsidTr="002B4E55">
        <w:trPr>
          <w:trHeight w:val="345"/>
        </w:trPr>
        <w:tc>
          <w:tcPr>
            <w:tcW w:w="640" w:type="dxa"/>
            <w:tcBorders>
              <w:top w:val="nil"/>
              <w:left w:val="nil"/>
              <w:bottom w:val="nil"/>
              <w:right w:val="nil"/>
            </w:tcBorders>
            <w:noWrap/>
            <w:vAlign w:val="bottom"/>
            <w:hideMark/>
          </w:tcPr>
          <w:p w14:paraId="31E74835" w14:textId="77777777" w:rsidR="000F59DA" w:rsidRPr="00202099" w:rsidRDefault="000F59DA" w:rsidP="00202099">
            <w:pPr>
              <w:spacing w:line="360" w:lineRule="auto"/>
              <w:jc w:val="center"/>
              <w:rPr>
                <w:rFonts w:ascii="Arial" w:hAnsi="Arial" w:cs="Arial"/>
                <w:color w:val="000000"/>
              </w:rPr>
            </w:pPr>
          </w:p>
        </w:tc>
        <w:tc>
          <w:tcPr>
            <w:tcW w:w="560" w:type="dxa"/>
            <w:tcBorders>
              <w:top w:val="nil"/>
              <w:left w:val="nil"/>
              <w:bottom w:val="nil"/>
              <w:right w:val="nil"/>
            </w:tcBorders>
            <w:noWrap/>
            <w:vAlign w:val="center"/>
            <w:hideMark/>
          </w:tcPr>
          <w:p w14:paraId="10C9E95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center"/>
            <w:hideMark/>
          </w:tcPr>
          <w:p w14:paraId="2D0A023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nil"/>
              <w:right w:val="single" w:sz="4" w:space="0" w:color="auto"/>
            </w:tcBorders>
            <w:noWrap/>
            <w:vAlign w:val="center"/>
            <w:hideMark/>
          </w:tcPr>
          <w:p w14:paraId="74035CE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single" w:sz="4" w:space="0" w:color="auto"/>
              <w:bottom w:val="single" w:sz="8" w:space="0" w:color="auto"/>
              <w:right w:val="nil"/>
            </w:tcBorders>
            <w:noWrap/>
            <w:vAlign w:val="center"/>
            <w:hideMark/>
          </w:tcPr>
          <w:p w14:paraId="401100B6"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 </w:t>
            </w:r>
          </w:p>
        </w:tc>
        <w:tc>
          <w:tcPr>
            <w:tcW w:w="960" w:type="dxa"/>
            <w:tcBorders>
              <w:top w:val="nil"/>
              <w:left w:val="nil"/>
              <w:bottom w:val="single" w:sz="8" w:space="0" w:color="auto"/>
              <w:right w:val="nil"/>
            </w:tcBorders>
            <w:noWrap/>
            <w:vAlign w:val="center"/>
            <w:hideMark/>
          </w:tcPr>
          <w:p w14:paraId="67550F7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single" w:sz="8" w:space="0" w:color="auto"/>
              <w:right w:val="nil"/>
            </w:tcBorders>
            <w:noWrap/>
            <w:vAlign w:val="center"/>
            <w:hideMark/>
          </w:tcPr>
          <w:p w14:paraId="453F682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c>
          <w:tcPr>
            <w:tcW w:w="960" w:type="dxa"/>
            <w:tcBorders>
              <w:top w:val="nil"/>
              <w:left w:val="nil"/>
              <w:bottom w:val="single" w:sz="8" w:space="0" w:color="auto"/>
              <w:right w:val="nil"/>
            </w:tcBorders>
            <w:noWrap/>
            <w:vAlign w:val="center"/>
            <w:hideMark/>
          </w:tcPr>
          <w:p w14:paraId="2C8A854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w:t>
            </w:r>
          </w:p>
        </w:tc>
      </w:tr>
      <w:tr w:rsidR="000F59DA" w:rsidRPr="00202099" w14:paraId="28BAB86E" w14:textId="77777777" w:rsidTr="002B4E55">
        <w:trPr>
          <w:trHeight w:val="300"/>
        </w:trPr>
        <w:tc>
          <w:tcPr>
            <w:tcW w:w="640" w:type="dxa"/>
            <w:tcBorders>
              <w:top w:val="nil"/>
              <w:left w:val="nil"/>
              <w:bottom w:val="nil"/>
              <w:right w:val="nil"/>
            </w:tcBorders>
            <w:noWrap/>
            <w:vAlign w:val="center"/>
            <w:hideMark/>
          </w:tcPr>
          <w:p w14:paraId="7B95E38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Kogi</w:t>
            </w:r>
          </w:p>
        </w:tc>
        <w:tc>
          <w:tcPr>
            <w:tcW w:w="560" w:type="dxa"/>
            <w:tcBorders>
              <w:top w:val="nil"/>
              <w:left w:val="nil"/>
              <w:bottom w:val="nil"/>
              <w:right w:val="nil"/>
            </w:tcBorders>
            <w:noWrap/>
            <w:vAlign w:val="center"/>
            <w:hideMark/>
          </w:tcPr>
          <w:p w14:paraId="4046F76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center"/>
            <w:hideMark/>
          </w:tcPr>
          <w:p w14:paraId="7D8E155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0.918</w:t>
            </w:r>
          </w:p>
        </w:tc>
        <w:tc>
          <w:tcPr>
            <w:tcW w:w="960" w:type="dxa"/>
            <w:tcBorders>
              <w:top w:val="nil"/>
              <w:left w:val="nil"/>
              <w:bottom w:val="nil"/>
              <w:right w:val="single" w:sz="4" w:space="0" w:color="auto"/>
            </w:tcBorders>
            <w:noWrap/>
            <w:vAlign w:val="center"/>
            <w:hideMark/>
          </w:tcPr>
          <w:p w14:paraId="4ED58C2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0.082</w:t>
            </w:r>
          </w:p>
        </w:tc>
        <w:tc>
          <w:tcPr>
            <w:tcW w:w="960" w:type="dxa"/>
            <w:tcBorders>
              <w:top w:val="nil"/>
              <w:left w:val="single" w:sz="4" w:space="0" w:color="auto"/>
              <w:bottom w:val="nil"/>
              <w:right w:val="nil"/>
            </w:tcBorders>
            <w:noWrap/>
            <w:vAlign w:val="bottom"/>
            <w:hideMark/>
          </w:tcPr>
          <w:p w14:paraId="716EEDEA"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47AA0EDC" w14:textId="77777777" w:rsidR="000F59DA" w:rsidRPr="00202099" w:rsidRDefault="000F59DA" w:rsidP="00202099">
            <w:pPr>
              <w:spacing w:line="360" w:lineRule="auto"/>
              <w:rPr>
                <w:rFonts w:ascii="Arial" w:hAnsi="Arial" w:cs="Arial"/>
              </w:rPr>
            </w:pPr>
          </w:p>
        </w:tc>
        <w:tc>
          <w:tcPr>
            <w:tcW w:w="960" w:type="dxa"/>
            <w:tcBorders>
              <w:top w:val="nil"/>
              <w:left w:val="nil"/>
              <w:bottom w:val="nil"/>
              <w:right w:val="nil"/>
            </w:tcBorders>
            <w:noWrap/>
            <w:vAlign w:val="bottom"/>
            <w:hideMark/>
          </w:tcPr>
          <w:p w14:paraId="6208FAA4" w14:textId="77777777" w:rsidR="000F59DA" w:rsidRPr="00202099" w:rsidRDefault="000F59DA" w:rsidP="00202099">
            <w:pPr>
              <w:spacing w:line="360" w:lineRule="auto"/>
              <w:rPr>
                <w:rFonts w:ascii="Arial" w:hAnsi="Arial" w:cs="Arial"/>
              </w:rPr>
            </w:pPr>
          </w:p>
        </w:tc>
        <w:tc>
          <w:tcPr>
            <w:tcW w:w="960" w:type="dxa"/>
            <w:tcBorders>
              <w:top w:val="nil"/>
              <w:left w:val="nil"/>
              <w:bottom w:val="nil"/>
              <w:right w:val="nil"/>
            </w:tcBorders>
            <w:noWrap/>
            <w:vAlign w:val="bottom"/>
            <w:hideMark/>
          </w:tcPr>
          <w:p w14:paraId="0D8454ED" w14:textId="77777777" w:rsidR="000F59DA" w:rsidRPr="00202099" w:rsidRDefault="000F59DA" w:rsidP="00202099">
            <w:pPr>
              <w:spacing w:line="360" w:lineRule="auto"/>
              <w:rPr>
                <w:rFonts w:ascii="Arial" w:hAnsi="Arial" w:cs="Arial"/>
              </w:rPr>
            </w:pPr>
          </w:p>
        </w:tc>
      </w:tr>
      <w:tr w:rsidR="000F59DA" w:rsidRPr="00202099" w14:paraId="1119CF10" w14:textId="77777777" w:rsidTr="002B4E55">
        <w:trPr>
          <w:trHeight w:val="330"/>
        </w:trPr>
        <w:tc>
          <w:tcPr>
            <w:tcW w:w="640" w:type="dxa"/>
            <w:tcBorders>
              <w:top w:val="nil"/>
              <w:left w:val="nil"/>
              <w:bottom w:val="single" w:sz="4" w:space="0" w:color="auto"/>
              <w:right w:val="nil"/>
            </w:tcBorders>
            <w:noWrap/>
            <w:vAlign w:val="bottom"/>
            <w:hideMark/>
          </w:tcPr>
          <w:p w14:paraId="1E420D8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 </w:t>
            </w:r>
          </w:p>
        </w:tc>
        <w:tc>
          <w:tcPr>
            <w:tcW w:w="560" w:type="dxa"/>
            <w:tcBorders>
              <w:top w:val="nil"/>
              <w:left w:val="nil"/>
              <w:bottom w:val="single" w:sz="4" w:space="0" w:color="auto"/>
              <w:right w:val="nil"/>
            </w:tcBorders>
            <w:noWrap/>
            <w:vAlign w:val="center"/>
            <w:hideMark/>
          </w:tcPr>
          <w:p w14:paraId="670CFAE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single" w:sz="4" w:space="0" w:color="auto"/>
              <w:right w:val="nil"/>
            </w:tcBorders>
            <w:noWrap/>
            <w:vAlign w:val="center"/>
            <w:hideMark/>
          </w:tcPr>
          <w:p w14:paraId="780194F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0.039</w:t>
            </w:r>
          </w:p>
        </w:tc>
        <w:tc>
          <w:tcPr>
            <w:tcW w:w="960" w:type="dxa"/>
            <w:tcBorders>
              <w:top w:val="nil"/>
              <w:left w:val="nil"/>
              <w:bottom w:val="single" w:sz="4" w:space="0" w:color="auto"/>
              <w:right w:val="single" w:sz="4" w:space="0" w:color="auto"/>
            </w:tcBorders>
            <w:noWrap/>
            <w:vAlign w:val="center"/>
            <w:hideMark/>
          </w:tcPr>
          <w:p w14:paraId="6FBC413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0.961</w:t>
            </w:r>
          </w:p>
        </w:tc>
        <w:tc>
          <w:tcPr>
            <w:tcW w:w="960" w:type="dxa"/>
            <w:tcBorders>
              <w:top w:val="nil"/>
              <w:left w:val="single" w:sz="4" w:space="0" w:color="auto"/>
              <w:bottom w:val="nil"/>
              <w:right w:val="nil"/>
            </w:tcBorders>
            <w:noWrap/>
            <w:vAlign w:val="bottom"/>
            <w:hideMark/>
          </w:tcPr>
          <w:p w14:paraId="241E961A"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4471230F" w14:textId="77777777" w:rsidR="000F59DA" w:rsidRPr="00202099" w:rsidRDefault="000F59DA" w:rsidP="00202099">
            <w:pPr>
              <w:spacing w:line="360" w:lineRule="auto"/>
              <w:rPr>
                <w:rFonts w:ascii="Arial" w:hAnsi="Arial" w:cs="Arial"/>
              </w:rPr>
            </w:pPr>
          </w:p>
        </w:tc>
        <w:tc>
          <w:tcPr>
            <w:tcW w:w="960" w:type="dxa"/>
            <w:tcBorders>
              <w:top w:val="nil"/>
              <w:left w:val="nil"/>
              <w:bottom w:val="nil"/>
              <w:right w:val="nil"/>
            </w:tcBorders>
            <w:noWrap/>
            <w:vAlign w:val="bottom"/>
            <w:hideMark/>
          </w:tcPr>
          <w:p w14:paraId="435AD875" w14:textId="77777777" w:rsidR="000F59DA" w:rsidRPr="00202099" w:rsidRDefault="000F59DA" w:rsidP="00202099">
            <w:pPr>
              <w:spacing w:line="360" w:lineRule="auto"/>
              <w:rPr>
                <w:rFonts w:ascii="Arial" w:hAnsi="Arial" w:cs="Arial"/>
              </w:rPr>
            </w:pPr>
          </w:p>
        </w:tc>
        <w:tc>
          <w:tcPr>
            <w:tcW w:w="960" w:type="dxa"/>
            <w:tcBorders>
              <w:top w:val="nil"/>
              <w:left w:val="nil"/>
              <w:bottom w:val="nil"/>
              <w:right w:val="nil"/>
            </w:tcBorders>
            <w:noWrap/>
            <w:vAlign w:val="bottom"/>
            <w:hideMark/>
          </w:tcPr>
          <w:p w14:paraId="0F2ECA76" w14:textId="77777777" w:rsidR="000F59DA" w:rsidRPr="00202099" w:rsidRDefault="000F59DA" w:rsidP="00202099">
            <w:pPr>
              <w:spacing w:line="360" w:lineRule="auto"/>
              <w:rPr>
                <w:rFonts w:ascii="Arial" w:hAnsi="Arial" w:cs="Arial"/>
              </w:rPr>
            </w:pPr>
          </w:p>
        </w:tc>
      </w:tr>
    </w:tbl>
    <w:p w14:paraId="26294326" w14:textId="77777777" w:rsidR="000F59DA" w:rsidRPr="00202099" w:rsidRDefault="000F59DA" w:rsidP="00202099">
      <w:pPr>
        <w:spacing w:line="360" w:lineRule="auto"/>
        <w:rPr>
          <w:rFonts w:ascii="Arial" w:hAnsi="Arial" w:cs="Arial"/>
        </w:rPr>
      </w:pPr>
    </w:p>
    <w:p w14:paraId="1F35504F" w14:textId="00876C94" w:rsidR="000F59DA" w:rsidRPr="00202099" w:rsidRDefault="000F59DA" w:rsidP="00202099">
      <w:pPr>
        <w:spacing w:line="360" w:lineRule="auto"/>
        <w:jc w:val="both"/>
        <w:rPr>
          <w:rFonts w:ascii="Arial" w:hAnsi="Arial" w:cs="Arial"/>
        </w:rPr>
      </w:pPr>
      <w:r w:rsidRPr="00202099">
        <w:rPr>
          <w:rFonts w:ascii="Arial" w:hAnsi="Arial" w:cs="Arial"/>
        </w:rPr>
        <w:t xml:space="preserve">Through the seasonal migration of the Inter-Tropical Discontinuity (ITD), the monsoon circulation creates distinct wet and dry seasons throughout the Middle Belt, with prolonged wet conditions during peak monsoon months and sustained dry conditions during Harmattan dominance (Sultan and </w:t>
      </w:r>
      <w:proofErr w:type="spellStart"/>
      <w:r w:rsidRPr="00202099">
        <w:rPr>
          <w:rFonts w:ascii="Arial" w:hAnsi="Arial" w:cs="Arial"/>
        </w:rPr>
        <w:t>Janicot</w:t>
      </w:r>
      <w:proofErr w:type="spellEnd"/>
      <w:r w:rsidRPr="00202099">
        <w:rPr>
          <w:rFonts w:ascii="Arial" w:hAnsi="Arial" w:cs="Arial"/>
        </w:rPr>
        <w:t>, 2003). The high persistence probability in both wet and dry states found in Benue</w:t>
      </w:r>
      <w:r w:rsidR="00202099">
        <w:rPr>
          <w:rFonts w:ascii="Arial" w:hAnsi="Arial" w:cs="Arial"/>
        </w:rPr>
        <w:t xml:space="preserve">, </w:t>
      </w:r>
      <w:r w:rsidR="00202099" w:rsidRPr="000A3523">
        <w:rPr>
          <w:rFonts w:ascii="Arial" w:hAnsi="Arial" w:cs="Arial"/>
        </w:rPr>
        <w:t xml:space="preserve">Plateau, and </w:t>
      </w:r>
      <w:proofErr w:type="spellStart"/>
      <w:r w:rsidR="00202099" w:rsidRPr="000A3523">
        <w:rPr>
          <w:rFonts w:ascii="Arial" w:hAnsi="Arial" w:cs="Arial"/>
        </w:rPr>
        <w:t>Kogi</w:t>
      </w:r>
      <w:proofErr w:type="spellEnd"/>
      <w:r w:rsidRPr="00202099">
        <w:rPr>
          <w:rFonts w:ascii="Arial" w:hAnsi="Arial" w:cs="Arial"/>
        </w:rPr>
        <w:t xml:space="preserve"> can be explained by such extensive atmospheric control. Topography greatly influences rainfall intensity and seasonal persistence </w:t>
      </w:r>
      <w:r w:rsidR="00202099">
        <w:rPr>
          <w:rFonts w:ascii="Arial" w:hAnsi="Arial" w:cs="Arial"/>
        </w:rPr>
        <w:t xml:space="preserve">according to </w:t>
      </w:r>
      <w:proofErr w:type="spellStart"/>
      <w:r w:rsidR="00F261AE">
        <w:rPr>
          <w:rFonts w:ascii="Arial" w:hAnsi="Arial" w:cs="Arial"/>
        </w:rPr>
        <w:t>Ibebuchi</w:t>
      </w:r>
      <w:proofErr w:type="spellEnd"/>
      <w:r w:rsidR="00F261AE">
        <w:rPr>
          <w:rFonts w:ascii="Arial" w:hAnsi="Arial" w:cs="Arial"/>
        </w:rPr>
        <w:t xml:space="preserve"> and Abu</w:t>
      </w:r>
      <w:r w:rsidR="00202099" w:rsidRPr="00202099">
        <w:rPr>
          <w:rFonts w:ascii="Arial" w:hAnsi="Arial" w:cs="Arial"/>
        </w:rPr>
        <w:t xml:space="preserve"> </w:t>
      </w:r>
      <w:r w:rsidR="00202099">
        <w:rPr>
          <w:rFonts w:ascii="Arial" w:hAnsi="Arial" w:cs="Arial"/>
        </w:rPr>
        <w:t>(</w:t>
      </w:r>
      <w:r w:rsidR="00202099" w:rsidRPr="00202099">
        <w:rPr>
          <w:rFonts w:ascii="Arial" w:hAnsi="Arial" w:cs="Arial"/>
        </w:rPr>
        <w:t>2023)</w:t>
      </w:r>
      <w:r w:rsidR="00F261AE">
        <w:rPr>
          <w:rFonts w:ascii="Arial" w:hAnsi="Arial" w:cs="Arial"/>
        </w:rPr>
        <w:t>,</w:t>
      </w:r>
      <w:r w:rsidR="00202099">
        <w:rPr>
          <w:rFonts w:ascii="Arial" w:hAnsi="Arial" w:cs="Arial"/>
        </w:rPr>
        <w:t xml:space="preserve"> which explains t</w:t>
      </w:r>
      <w:r w:rsidRPr="00202099">
        <w:rPr>
          <w:rFonts w:ascii="Arial" w:hAnsi="Arial" w:cs="Arial"/>
        </w:rPr>
        <w:t xml:space="preserve">he high dry-state and distinct wet seasons </w:t>
      </w:r>
      <w:r w:rsidR="00F261AE">
        <w:rPr>
          <w:rFonts w:ascii="Arial" w:hAnsi="Arial" w:cs="Arial"/>
        </w:rPr>
        <w:t xml:space="preserve">of Plateau state. </w:t>
      </w:r>
      <w:r w:rsidRPr="00202099">
        <w:rPr>
          <w:rFonts w:ascii="Arial" w:hAnsi="Arial" w:cs="Arial"/>
        </w:rPr>
        <w:t>Given its location at the meeting point of the Niger and Benue rivers, Kogi condition's predominance of the wet thermodynamic condition makes sense. Being close to large bodies of water increases boundary-layer humidity and local moisture recycling, which can intensify convective rainfall and prolon</w:t>
      </w:r>
      <w:r w:rsidR="00185D03">
        <w:rPr>
          <w:rFonts w:ascii="Arial" w:hAnsi="Arial" w:cs="Arial"/>
        </w:rPr>
        <w:t>g wet conditions</w:t>
      </w:r>
      <w:r w:rsidRPr="00202099">
        <w:rPr>
          <w:rFonts w:ascii="Arial" w:hAnsi="Arial" w:cs="Arial"/>
        </w:rPr>
        <w:t xml:space="preserve">. Therefore, Kogi's extremely high wet-state persistence probability (0.961) is a result of both local moisture feedback mechanisms and monsoon management. Conversely, the Federal Capital Territory (FCT), Kwara, Nasarawa, and Niger show equal transition probabilities (0.5) between rainy and dry states. </w:t>
      </w:r>
      <w:r w:rsidR="00880E49">
        <w:rPr>
          <w:rFonts w:ascii="Arial" w:hAnsi="Arial" w:cs="Arial"/>
        </w:rPr>
        <w:t xml:space="preserve">According to </w:t>
      </w:r>
      <w:proofErr w:type="spellStart"/>
      <w:r w:rsidR="00880E49">
        <w:rPr>
          <w:rFonts w:ascii="Arial" w:hAnsi="Arial" w:cs="Arial"/>
        </w:rPr>
        <w:t>Froidurot</w:t>
      </w:r>
      <w:proofErr w:type="spellEnd"/>
      <w:r w:rsidR="00880E49" w:rsidRPr="00202099">
        <w:rPr>
          <w:rFonts w:ascii="Arial" w:hAnsi="Arial" w:cs="Arial"/>
        </w:rPr>
        <w:t xml:space="preserve"> </w:t>
      </w:r>
      <w:r w:rsidR="00207573">
        <w:rPr>
          <w:rFonts w:ascii="Arial" w:hAnsi="Arial" w:cs="Arial"/>
          <w:sz w:val="18"/>
          <w:szCs w:val="18"/>
          <w:lang w:val="en-IN" w:eastAsia="en-IN"/>
        </w:rPr>
        <w:t>and</w:t>
      </w:r>
      <w:r w:rsidR="00207573" w:rsidRPr="0013393F">
        <w:rPr>
          <w:rFonts w:ascii="Arial" w:hAnsi="Arial" w:cs="Arial"/>
          <w:sz w:val="18"/>
          <w:szCs w:val="18"/>
          <w:lang w:val="en-IN" w:eastAsia="en-IN"/>
        </w:rPr>
        <w:t xml:space="preserve"> </w:t>
      </w:r>
      <w:proofErr w:type="spellStart"/>
      <w:r w:rsidR="00207573" w:rsidRPr="0013393F">
        <w:rPr>
          <w:rFonts w:ascii="Arial" w:hAnsi="Arial" w:cs="Arial"/>
          <w:sz w:val="18"/>
          <w:szCs w:val="18"/>
          <w:lang w:val="en-IN" w:eastAsia="en-IN"/>
        </w:rPr>
        <w:t>Diedhiou</w:t>
      </w:r>
      <w:proofErr w:type="spellEnd"/>
      <w:r w:rsidR="00207573">
        <w:rPr>
          <w:rFonts w:ascii="Arial" w:hAnsi="Arial" w:cs="Arial"/>
        </w:rPr>
        <w:t xml:space="preserve"> </w:t>
      </w:r>
      <w:r w:rsidR="00880E49">
        <w:rPr>
          <w:rFonts w:ascii="Arial" w:hAnsi="Arial" w:cs="Arial"/>
        </w:rPr>
        <w:t>(</w:t>
      </w:r>
      <w:r w:rsidR="00880E49" w:rsidRPr="00202099">
        <w:rPr>
          <w:rFonts w:ascii="Arial" w:hAnsi="Arial" w:cs="Arial"/>
        </w:rPr>
        <w:t>2017)</w:t>
      </w:r>
      <w:r w:rsidR="00880E49">
        <w:rPr>
          <w:rFonts w:ascii="Arial" w:hAnsi="Arial" w:cs="Arial"/>
        </w:rPr>
        <w:t>,</w:t>
      </w:r>
      <w:r w:rsidRPr="00202099">
        <w:rPr>
          <w:rFonts w:ascii="Arial" w:hAnsi="Arial" w:cs="Arial"/>
        </w:rPr>
        <w:t xml:space="preserve"> </w:t>
      </w:r>
      <w:r w:rsidR="00880E49" w:rsidRPr="00202099">
        <w:rPr>
          <w:rFonts w:ascii="Arial" w:hAnsi="Arial" w:cs="Arial"/>
        </w:rPr>
        <w:t>intermittent</w:t>
      </w:r>
      <w:r w:rsidRPr="00202099">
        <w:rPr>
          <w:rFonts w:ascii="Arial" w:hAnsi="Arial" w:cs="Arial"/>
        </w:rPr>
        <w:t xml:space="preserve"> moisture surges and mesoscale convective systems typically cause greater intra-seasonal variability in transitional regions, resulting in a balanced occ</w:t>
      </w:r>
      <w:r w:rsidR="00880E49">
        <w:rPr>
          <w:rFonts w:ascii="Arial" w:hAnsi="Arial" w:cs="Arial"/>
        </w:rPr>
        <w:t xml:space="preserve">urrence of wet and dry regimes. </w:t>
      </w:r>
      <w:r w:rsidR="00880E49" w:rsidRPr="00202099">
        <w:rPr>
          <w:rFonts w:ascii="Arial" w:hAnsi="Arial" w:cs="Arial"/>
        </w:rPr>
        <w:t>This implies frequent transitions between thermodynamic states and the lack of dominant regime permanence</w:t>
      </w:r>
      <w:r w:rsidR="00880E49">
        <w:rPr>
          <w:rFonts w:ascii="Arial" w:hAnsi="Arial" w:cs="Arial"/>
        </w:rPr>
        <w:t xml:space="preserve"> in these regions</w:t>
      </w:r>
      <w:r w:rsidR="00880E49" w:rsidRPr="00202099">
        <w:rPr>
          <w:rFonts w:ascii="Arial" w:hAnsi="Arial" w:cs="Arial"/>
        </w:rPr>
        <w:t>.</w:t>
      </w:r>
    </w:p>
    <w:p w14:paraId="5B56BA18" w14:textId="77777777" w:rsidR="000F59DA" w:rsidRPr="00202099" w:rsidRDefault="000F59DA" w:rsidP="00202099">
      <w:pPr>
        <w:spacing w:line="360" w:lineRule="auto"/>
        <w:jc w:val="both"/>
        <w:rPr>
          <w:rFonts w:ascii="Arial" w:hAnsi="Arial" w:cs="Arial"/>
        </w:rPr>
      </w:pPr>
    </w:p>
    <w:p w14:paraId="292E0AEE" w14:textId="3E7F18FC" w:rsidR="000F59DA" w:rsidRPr="00202099" w:rsidRDefault="000F59DA" w:rsidP="00202099">
      <w:pPr>
        <w:spacing w:line="360" w:lineRule="auto"/>
        <w:jc w:val="both"/>
        <w:rPr>
          <w:rFonts w:ascii="Arial" w:hAnsi="Arial" w:cs="Arial"/>
        </w:rPr>
      </w:pPr>
      <w:r w:rsidRPr="00202099">
        <w:rPr>
          <w:rFonts w:ascii="Arial" w:hAnsi="Arial" w:cs="Arial"/>
        </w:rPr>
        <w:t xml:space="preserve">As seen in Table 2, the frequency analysis supports this conclusion even more. Even though the wet season was persistent, Benue recorded 7,433 dry occurrences (68%) and 3,525 wet occurrences (32%), indicating that the dry state predominated. According to climatological analyses, even in areas with substantial rainfall totals, a large portion of Nigeria's annual cycle is defined by prolonged dry-season months (Nicholson, 2013). Plateau </w:t>
      </w:r>
      <w:r w:rsidR="00880E49">
        <w:rPr>
          <w:rFonts w:ascii="Arial" w:hAnsi="Arial" w:cs="Arial"/>
        </w:rPr>
        <w:t xml:space="preserve">recorded 69% of </w:t>
      </w:r>
      <w:r w:rsidR="00880E49" w:rsidRPr="00202099">
        <w:rPr>
          <w:rFonts w:ascii="Arial" w:hAnsi="Arial" w:cs="Arial"/>
        </w:rPr>
        <w:t>dry occurrences</w:t>
      </w:r>
      <w:r w:rsidR="009224E4">
        <w:rPr>
          <w:rFonts w:ascii="Arial" w:hAnsi="Arial" w:cs="Arial"/>
        </w:rPr>
        <w:t xml:space="preserve"> and 31% of wet </w:t>
      </w:r>
      <w:r w:rsidR="009224E4" w:rsidRPr="00202099">
        <w:rPr>
          <w:rFonts w:ascii="Arial" w:hAnsi="Arial" w:cs="Arial"/>
        </w:rPr>
        <w:t>occurrences</w:t>
      </w:r>
      <w:r w:rsidR="009224E4">
        <w:rPr>
          <w:rFonts w:ascii="Arial" w:hAnsi="Arial" w:cs="Arial"/>
        </w:rPr>
        <w:t>.</w:t>
      </w:r>
      <w:r w:rsidRPr="00202099">
        <w:rPr>
          <w:rFonts w:ascii="Arial" w:hAnsi="Arial" w:cs="Arial"/>
        </w:rPr>
        <w:t xml:space="preserve"> </w:t>
      </w:r>
      <w:r w:rsidR="009224E4">
        <w:rPr>
          <w:rFonts w:ascii="Arial" w:hAnsi="Arial" w:cs="Arial"/>
        </w:rPr>
        <w:t xml:space="preserve">The dry-state dominance of 73% </w:t>
      </w:r>
      <w:r w:rsidR="009224E4" w:rsidRPr="00202099">
        <w:rPr>
          <w:rFonts w:ascii="Arial" w:hAnsi="Arial" w:cs="Arial"/>
        </w:rPr>
        <w:t>was recorded by Niger State</w:t>
      </w:r>
      <w:r w:rsidRPr="00202099">
        <w:rPr>
          <w:rFonts w:ascii="Arial" w:hAnsi="Arial" w:cs="Arial"/>
        </w:rPr>
        <w:t>, which indicates longer dr</w:t>
      </w:r>
      <w:r w:rsidR="009224E4">
        <w:rPr>
          <w:rFonts w:ascii="Arial" w:hAnsi="Arial" w:cs="Arial"/>
        </w:rPr>
        <w:t>y seasons and fewer wet periods</w:t>
      </w:r>
      <w:r w:rsidRPr="00202099">
        <w:rPr>
          <w:rFonts w:ascii="Arial" w:hAnsi="Arial" w:cs="Arial"/>
        </w:rPr>
        <w:t>. The length and variability of the dry season have been observed to increase in northern and cent</w:t>
      </w:r>
      <w:r w:rsidR="009224E4">
        <w:rPr>
          <w:rFonts w:ascii="Arial" w:hAnsi="Arial" w:cs="Arial"/>
        </w:rPr>
        <w:t>ral Nigeria, and t</w:t>
      </w:r>
      <w:r w:rsidRPr="00202099">
        <w:rPr>
          <w:rFonts w:ascii="Arial" w:hAnsi="Arial" w:cs="Arial"/>
        </w:rPr>
        <w:t xml:space="preserve">his has consequences for water resources and </w:t>
      </w:r>
      <w:r w:rsidRPr="00202099">
        <w:rPr>
          <w:rFonts w:ascii="Arial" w:hAnsi="Arial" w:cs="Arial"/>
        </w:rPr>
        <w:lastRenderedPageBreak/>
        <w:t>agriculture (</w:t>
      </w:r>
      <w:proofErr w:type="spellStart"/>
      <w:r w:rsidRPr="00202099">
        <w:rPr>
          <w:rFonts w:ascii="Arial" w:hAnsi="Arial" w:cs="Arial"/>
        </w:rPr>
        <w:t>Oguntunde</w:t>
      </w:r>
      <w:proofErr w:type="spellEnd"/>
      <w:r w:rsidRPr="00202099">
        <w:rPr>
          <w:rFonts w:ascii="Arial" w:hAnsi="Arial" w:cs="Arial"/>
        </w:rPr>
        <w:t xml:space="preserve"> et al., 2017). Despite </w:t>
      </w:r>
      <w:r w:rsidR="009224E4">
        <w:rPr>
          <w:rFonts w:ascii="Arial" w:hAnsi="Arial" w:cs="Arial"/>
        </w:rPr>
        <w:t>the fact that FCT</w:t>
      </w:r>
      <w:r w:rsidR="009224E4" w:rsidRPr="00202099">
        <w:rPr>
          <w:rFonts w:ascii="Arial" w:hAnsi="Arial" w:cs="Arial"/>
        </w:rPr>
        <w:t xml:space="preserve">, </w:t>
      </w:r>
      <w:proofErr w:type="spellStart"/>
      <w:r w:rsidR="009224E4" w:rsidRPr="00202099">
        <w:rPr>
          <w:rFonts w:ascii="Arial" w:hAnsi="Arial" w:cs="Arial"/>
        </w:rPr>
        <w:t>Kwara</w:t>
      </w:r>
      <w:proofErr w:type="spellEnd"/>
      <w:r w:rsidR="009224E4" w:rsidRPr="00202099">
        <w:rPr>
          <w:rFonts w:ascii="Arial" w:hAnsi="Arial" w:cs="Arial"/>
        </w:rPr>
        <w:t xml:space="preserve">, Nasarawa, and Niger </w:t>
      </w:r>
      <w:r w:rsidR="009224E4">
        <w:rPr>
          <w:rFonts w:ascii="Arial" w:hAnsi="Arial" w:cs="Arial"/>
        </w:rPr>
        <w:t>has</w:t>
      </w:r>
      <w:r w:rsidRPr="00202099">
        <w:rPr>
          <w:rFonts w:ascii="Arial" w:hAnsi="Arial" w:cs="Arial"/>
        </w:rPr>
        <w:t xml:space="preserve"> equal transition probability (0.5)</w:t>
      </w:r>
      <w:r w:rsidR="009224E4">
        <w:rPr>
          <w:rFonts w:ascii="Arial" w:hAnsi="Arial" w:cs="Arial"/>
        </w:rPr>
        <w:t xml:space="preserve"> as revealed in Table 1</w:t>
      </w:r>
      <w:r w:rsidRPr="00202099">
        <w:rPr>
          <w:rFonts w:ascii="Arial" w:hAnsi="Arial" w:cs="Arial"/>
        </w:rPr>
        <w:t xml:space="preserve">, the overwhelming dry events </w:t>
      </w:r>
      <w:r w:rsidR="009224E4">
        <w:rPr>
          <w:rFonts w:ascii="Arial" w:hAnsi="Arial" w:cs="Arial"/>
        </w:rPr>
        <w:t xml:space="preserve">(Table 2) </w:t>
      </w:r>
      <w:r w:rsidRPr="00202099">
        <w:rPr>
          <w:rFonts w:ascii="Arial" w:hAnsi="Arial" w:cs="Arial"/>
        </w:rPr>
        <w:t xml:space="preserve">suggests that </w:t>
      </w:r>
      <w:proofErr w:type="spellStart"/>
      <w:r w:rsidR="009224E4">
        <w:rPr>
          <w:rFonts w:ascii="Arial" w:hAnsi="Arial" w:cs="Arial"/>
        </w:rPr>
        <w:t>Kwara</w:t>
      </w:r>
      <w:proofErr w:type="spellEnd"/>
      <w:r w:rsidR="009224E4" w:rsidRPr="00202099">
        <w:rPr>
          <w:rFonts w:ascii="Arial" w:hAnsi="Arial" w:cs="Arial"/>
        </w:rPr>
        <w:t xml:space="preserve"> and Niger </w:t>
      </w:r>
      <w:r w:rsidR="009224E4">
        <w:rPr>
          <w:rFonts w:ascii="Arial" w:hAnsi="Arial" w:cs="Arial"/>
        </w:rPr>
        <w:t xml:space="preserve">becomes more </w:t>
      </w:r>
      <w:r w:rsidRPr="00202099">
        <w:rPr>
          <w:rFonts w:ascii="Arial" w:hAnsi="Arial" w:cs="Arial"/>
        </w:rPr>
        <w:t xml:space="preserve">dry during the yearly climate cycle. In contrast, Kogi State documented 7,594 wet events (69%) as opposed to 3,364 dry events (31%), indicating persistently moist circumstances. </w:t>
      </w:r>
    </w:p>
    <w:p w14:paraId="666608A0" w14:textId="77777777" w:rsidR="000F59DA" w:rsidRPr="00202099" w:rsidRDefault="000F59DA" w:rsidP="00202099">
      <w:pPr>
        <w:spacing w:line="360" w:lineRule="auto"/>
        <w:jc w:val="both"/>
        <w:rPr>
          <w:rFonts w:ascii="Arial" w:hAnsi="Arial" w:cs="Arial"/>
        </w:rPr>
      </w:pPr>
      <w:r w:rsidRPr="00202099">
        <w:rPr>
          <w:rFonts w:ascii="Arial" w:hAnsi="Arial" w:cs="Arial"/>
        </w:rPr>
        <w:t>Table 2: Frequency of Hidden states</w:t>
      </w:r>
    </w:p>
    <w:tbl>
      <w:tblPr>
        <w:tblW w:w="7088" w:type="dxa"/>
        <w:tblLook w:val="04A0" w:firstRow="1" w:lastRow="0" w:firstColumn="1" w:lastColumn="0" w:noHBand="0" w:noVBand="1"/>
      </w:tblPr>
      <w:tblGrid>
        <w:gridCol w:w="1117"/>
        <w:gridCol w:w="960"/>
        <w:gridCol w:w="960"/>
        <w:gridCol w:w="960"/>
        <w:gridCol w:w="960"/>
        <w:gridCol w:w="874"/>
        <w:gridCol w:w="1274"/>
      </w:tblGrid>
      <w:tr w:rsidR="000F59DA" w:rsidRPr="00202099" w14:paraId="337AE13B" w14:textId="77777777" w:rsidTr="000F59DA">
        <w:trPr>
          <w:trHeight w:val="300"/>
        </w:trPr>
        <w:tc>
          <w:tcPr>
            <w:tcW w:w="1100" w:type="dxa"/>
            <w:tcBorders>
              <w:top w:val="single" w:sz="4" w:space="0" w:color="auto"/>
              <w:left w:val="nil"/>
              <w:bottom w:val="single" w:sz="4" w:space="0" w:color="auto"/>
              <w:right w:val="single" w:sz="4" w:space="0" w:color="auto"/>
            </w:tcBorders>
            <w:noWrap/>
            <w:vAlign w:val="bottom"/>
            <w:hideMark/>
          </w:tcPr>
          <w:p w14:paraId="7365DCD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Location</w:t>
            </w: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25D6ABA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State Frequency</w:t>
            </w:r>
          </w:p>
        </w:tc>
        <w:tc>
          <w:tcPr>
            <w:tcW w:w="1920" w:type="dxa"/>
            <w:gridSpan w:val="2"/>
            <w:tcBorders>
              <w:top w:val="single" w:sz="4" w:space="0" w:color="auto"/>
              <w:left w:val="single" w:sz="4" w:space="0" w:color="auto"/>
              <w:bottom w:val="single" w:sz="4" w:space="0" w:color="auto"/>
              <w:right w:val="single" w:sz="4" w:space="0" w:color="auto"/>
            </w:tcBorders>
            <w:noWrap/>
            <w:vAlign w:val="bottom"/>
            <w:hideMark/>
          </w:tcPr>
          <w:p w14:paraId="378312E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Probability Freq.</w:t>
            </w:r>
          </w:p>
        </w:tc>
        <w:tc>
          <w:tcPr>
            <w:tcW w:w="2148" w:type="dxa"/>
            <w:gridSpan w:val="2"/>
            <w:tcBorders>
              <w:top w:val="single" w:sz="4" w:space="0" w:color="auto"/>
              <w:left w:val="single" w:sz="4" w:space="0" w:color="auto"/>
              <w:bottom w:val="single" w:sz="4" w:space="0" w:color="auto"/>
              <w:right w:val="nil"/>
            </w:tcBorders>
            <w:noWrap/>
            <w:vAlign w:val="bottom"/>
            <w:hideMark/>
          </w:tcPr>
          <w:p w14:paraId="3A78484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State Percentage (%)</w:t>
            </w:r>
          </w:p>
        </w:tc>
      </w:tr>
      <w:tr w:rsidR="000F59DA" w:rsidRPr="00202099" w14:paraId="7D1383C2" w14:textId="77777777" w:rsidTr="000F59DA">
        <w:trPr>
          <w:trHeight w:val="300"/>
        </w:trPr>
        <w:tc>
          <w:tcPr>
            <w:tcW w:w="1100" w:type="dxa"/>
            <w:tcBorders>
              <w:top w:val="single" w:sz="4" w:space="0" w:color="auto"/>
              <w:left w:val="nil"/>
              <w:bottom w:val="single" w:sz="4" w:space="0" w:color="auto"/>
              <w:right w:val="single" w:sz="4" w:space="0" w:color="auto"/>
            </w:tcBorders>
            <w:noWrap/>
            <w:vAlign w:val="bottom"/>
            <w:hideMark/>
          </w:tcPr>
          <w:p w14:paraId="0C1F68CE" w14:textId="77777777" w:rsidR="000F59DA" w:rsidRPr="00202099" w:rsidRDefault="000F59DA" w:rsidP="00202099">
            <w:pPr>
              <w:spacing w:line="360" w:lineRule="auto"/>
              <w:jc w:val="center"/>
              <w:rPr>
                <w:rFonts w:ascii="Arial" w:hAnsi="Arial" w:cs="Arial"/>
                <w:color w:val="000000"/>
              </w:rPr>
            </w:pPr>
          </w:p>
        </w:tc>
        <w:tc>
          <w:tcPr>
            <w:tcW w:w="960" w:type="dxa"/>
            <w:tcBorders>
              <w:top w:val="single" w:sz="4" w:space="0" w:color="auto"/>
              <w:left w:val="single" w:sz="4" w:space="0" w:color="auto"/>
              <w:bottom w:val="single" w:sz="4" w:space="0" w:color="auto"/>
              <w:right w:val="nil"/>
            </w:tcBorders>
            <w:noWrap/>
            <w:vAlign w:val="bottom"/>
            <w:hideMark/>
          </w:tcPr>
          <w:p w14:paraId="2C046E8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960" w:type="dxa"/>
            <w:tcBorders>
              <w:top w:val="single" w:sz="4" w:space="0" w:color="auto"/>
              <w:left w:val="nil"/>
              <w:bottom w:val="single" w:sz="4" w:space="0" w:color="auto"/>
              <w:right w:val="single" w:sz="4" w:space="0" w:color="auto"/>
            </w:tcBorders>
            <w:noWrap/>
            <w:vAlign w:val="bottom"/>
            <w:hideMark/>
          </w:tcPr>
          <w:p w14:paraId="41119DD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c>
          <w:tcPr>
            <w:tcW w:w="960" w:type="dxa"/>
            <w:tcBorders>
              <w:top w:val="single" w:sz="4" w:space="0" w:color="auto"/>
              <w:left w:val="single" w:sz="4" w:space="0" w:color="auto"/>
              <w:bottom w:val="single" w:sz="4" w:space="0" w:color="auto"/>
              <w:right w:val="nil"/>
            </w:tcBorders>
            <w:noWrap/>
            <w:vAlign w:val="bottom"/>
            <w:hideMark/>
          </w:tcPr>
          <w:p w14:paraId="5BE0342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960" w:type="dxa"/>
            <w:tcBorders>
              <w:top w:val="single" w:sz="4" w:space="0" w:color="auto"/>
              <w:left w:val="nil"/>
              <w:bottom w:val="single" w:sz="4" w:space="0" w:color="auto"/>
              <w:right w:val="single" w:sz="4" w:space="0" w:color="auto"/>
            </w:tcBorders>
            <w:noWrap/>
            <w:vAlign w:val="bottom"/>
            <w:hideMark/>
          </w:tcPr>
          <w:p w14:paraId="433E15E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c>
          <w:tcPr>
            <w:tcW w:w="874" w:type="dxa"/>
            <w:tcBorders>
              <w:top w:val="single" w:sz="4" w:space="0" w:color="auto"/>
              <w:left w:val="single" w:sz="4" w:space="0" w:color="auto"/>
              <w:bottom w:val="single" w:sz="4" w:space="0" w:color="auto"/>
              <w:right w:val="nil"/>
            </w:tcBorders>
            <w:noWrap/>
            <w:vAlign w:val="bottom"/>
            <w:hideMark/>
          </w:tcPr>
          <w:p w14:paraId="3FDB5FA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1274" w:type="dxa"/>
            <w:tcBorders>
              <w:top w:val="single" w:sz="4" w:space="0" w:color="auto"/>
              <w:left w:val="nil"/>
              <w:bottom w:val="single" w:sz="4" w:space="0" w:color="auto"/>
              <w:right w:val="nil"/>
            </w:tcBorders>
            <w:noWrap/>
            <w:vAlign w:val="bottom"/>
            <w:hideMark/>
          </w:tcPr>
          <w:p w14:paraId="5DF0E1C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r>
      <w:tr w:rsidR="000F59DA" w:rsidRPr="00202099" w14:paraId="20B93196" w14:textId="77777777" w:rsidTr="000F59DA">
        <w:trPr>
          <w:trHeight w:val="300"/>
        </w:trPr>
        <w:tc>
          <w:tcPr>
            <w:tcW w:w="1100" w:type="dxa"/>
            <w:tcBorders>
              <w:top w:val="single" w:sz="4" w:space="0" w:color="auto"/>
              <w:left w:val="nil"/>
              <w:bottom w:val="nil"/>
              <w:right w:val="nil"/>
            </w:tcBorders>
            <w:noWrap/>
            <w:vAlign w:val="bottom"/>
            <w:hideMark/>
          </w:tcPr>
          <w:p w14:paraId="70B2A734"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Benue</w:t>
            </w:r>
          </w:p>
        </w:tc>
        <w:tc>
          <w:tcPr>
            <w:tcW w:w="960" w:type="dxa"/>
            <w:tcBorders>
              <w:top w:val="single" w:sz="4" w:space="0" w:color="auto"/>
              <w:left w:val="nil"/>
              <w:bottom w:val="nil"/>
              <w:right w:val="nil"/>
            </w:tcBorders>
            <w:noWrap/>
            <w:vAlign w:val="bottom"/>
            <w:hideMark/>
          </w:tcPr>
          <w:p w14:paraId="10C56E4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7433</w:t>
            </w:r>
          </w:p>
        </w:tc>
        <w:tc>
          <w:tcPr>
            <w:tcW w:w="960" w:type="dxa"/>
            <w:tcBorders>
              <w:top w:val="single" w:sz="4" w:space="0" w:color="auto"/>
              <w:left w:val="nil"/>
              <w:bottom w:val="nil"/>
              <w:right w:val="nil"/>
            </w:tcBorders>
            <w:noWrap/>
            <w:vAlign w:val="bottom"/>
            <w:hideMark/>
          </w:tcPr>
          <w:p w14:paraId="012555E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3525</w:t>
            </w:r>
          </w:p>
        </w:tc>
        <w:tc>
          <w:tcPr>
            <w:tcW w:w="960" w:type="dxa"/>
            <w:tcBorders>
              <w:top w:val="single" w:sz="4" w:space="0" w:color="auto"/>
              <w:left w:val="nil"/>
              <w:bottom w:val="nil"/>
              <w:right w:val="nil"/>
            </w:tcBorders>
            <w:noWrap/>
            <w:vAlign w:val="bottom"/>
            <w:hideMark/>
          </w:tcPr>
          <w:p w14:paraId="105DD8F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0.678</w:t>
            </w:r>
          </w:p>
        </w:tc>
        <w:tc>
          <w:tcPr>
            <w:tcW w:w="960" w:type="dxa"/>
            <w:tcBorders>
              <w:top w:val="single" w:sz="4" w:space="0" w:color="auto"/>
              <w:left w:val="nil"/>
              <w:bottom w:val="nil"/>
              <w:right w:val="nil"/>
            </w:tcBorders>
            <w:noWrap/>
            <w:vAlign w:val="bottom"/>
            <w:hideMark/>
          </w:tcPr>
          <w:p w14:paraId="7B591ED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0.322</w:t>
            </w:r>
          </w:p>
        </w:tc>
        <w:tc>
          <w:tcPr>
            <w:tcW w:w="874" w:type="dxa"/>
            <w:tcBorders>
              <w:top w:val="single" w:sz="4" w:space="0" w:color="auto"/>
              <w:left w:val="nil"/>
              <w:bottom w:val="nil"/>
              <w:right w:val="nil"/>
            </w:tcBorders>
            <w:noWrap/>
            <w:vAlign w:val="bottom"/>
            <w:hideMark/>
          </w:tcPr>
          <w:p w14:paraId="25023D9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68</w:t>
            </w:r>
          </w:p>
        </w:tc>
        <w:tc>
          <w:tcPr>
            <w:tcW w:w="1274" w:type="dxa"/>
            <w:tcBorders>
              <w:top w:val="single" w:sz="4" w:space="0" w:color="auto"/>
              <w:left w:val="nil"/>
              <w:bottom w:val="nil"/>
              <w:right w:val="nil"/>
            </w:tcBorders>
            <w:noWrap/>
            <w:vAlign w:val="bottom"/>
            <w:hideMark/>
          </w:tcPr>
          <w:p w14:paraId="6202CE8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32</w:t>
            </w:r>
          </w:p>
        </w:tc>
      </w:tr>
      <w:tr w:rsidR="000F59DA" w:rsidRPr="00202099" w14:paraId="0E504A88" w14:textId="77777777" w:rsidTr="002B4E55">
        <w:trPr>
          <w:trHeight w:val="300"/>
        </w:trPr>
        <w:tc>
          <w:tcPr>
            <w:tcW w:w="1100" w:type="dxa"/>
            <w:tcBorders>
              <w:top w:val="nil"/>
              <w:left w:val="nil"/>
              <w:bottom w:val="nil"/>
              <w:right w:val="nil"/>
            </w:tcBorders>
            <w:noWrap/>
            <w:vAlign w:val="bottom"/>
            <w:hideMark/>
          </w:tcPr>
          <w:p w14:paraId="7BB0119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Plateau</w:t>
            </w:r>
          </w:p>
        </w:tc>
        <w:tc>
          <w:tcPr>
            <w:tcW w:w="960" w:type="dxa"/>
            <w:tcBorders>
              <w:top w:val="nil"/>
              <w:left w:val="nil"/>
              <w:bottom w:val="nil"/>
              <w:right w:val="nil"/>
            </w:tcBorders>
            <w:noWrap/>
            <w:vAlign w:val="bottom"/>
            <w:hideMark/>
          </w:tcPr>
          <w:p w14:paraId="2C9FE6B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7522</w:t>
            </w:r>
          </w:p>
        </w:tc>
        <w:tc>
          <w:tcPr>
            <w:tcW w:w="960" w:type="dxa"/>
            <w:tcBorders>
              <w:top w:val="nil"/>
              <w:left w:val="nil"/>
              <w:bottom w:val="nil"/>
              <w:right w:val="nil"/>
            </w:tcBorders>
            <w:noWrap/>
            <w:vAlign w:val="bottom"/>
            <w:hideMark/>
          </w:tcPr>
          <w:p w14:paraId="0D629C9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3436</w:t>
            </w:r>
          </w:p>
        </w:tc>
        <w:tc>
          <w:tcPr>
            <w:tcW w:w="960" w:type="dxa"/>
            <w:tcBorders>
              <w:top w:val="nil"/>
              <w:left w:val="nil"/>
              <w:bottom w:val="nil"/>
              <w:right w:val="nil"/>
            </w:tcBorders>
            <w:noWrap/>
            <w:vAlign w:val="bottom"/>
            <w:hideMark/>
          </w:tcPr>
          <w:p w14:paraId="1B1D7FA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0.686</w:t>
            </w:r>
          </w:p>
        </w:tc>
        <w:tc>
          <w:tcPr>
            <w:tcW w:w="960" w:type="dxa"/>
            <w:tcBorders>
              <w:top w:val="nil"/>
              <w:left w:val="nil"/>
              <w:bottom w:val="nil"/>
              <w:right w:val="nil"/>
            </w:tcBorders>
            <w:noWrap/>
            <w:vAlign w:val="bottom"/>
            <w:hideMark/>
          </w:tcPr>
          <w:p w14:paraId="55B80C9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0.314</w:t>
            </w:r>
          </w:p>
        </w:tc>
        <w:tc>
          <w:tcPr>
            <w:tcW w:w="874" w:type="dxa"/>
            <w:tcBorders>
              <w:top w:val="nil"/>
              <w:left w:val="nil"/>
              <w:bottom w:val="nil"/>
              <w:right w:val="nil"/>
            </w:tcBorders>
            <w:noWrap/>
            <w:vAlign w:val="bottom"/>
            <w:hideMark/>
          </w:tcPr>
          <w:p w14:paraId="10C85A5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w:t>
            </w:r>
          </w:p>
        </w:tc>
        <w:tc>
          <w:tcPr>
            <w:tcW w:w="1274" w:type="dxa"/>
            <w:tcBorders>
              <w:top w:val="nil"/>
              <w:left w:val="nil"/>
              <w:bottom w:val="nil"/>
              <w:right w:val="nil"/>
            </w:tcBorders>
            <w:noWrap/>
            <w:vAlign w:val="bottom"/>
            <w:hideMark/>
          </w:tcPr>
          <w:p w14:paraId="713EB91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31</w:t>
            </w:r>
          </w:p>
        </w:tc>
      </w:tr>
      <w:tr w:rsidR="000F59DA" w:rsidRPr="00202099" w14:paraId="48A44939" w14:textId="77777777" w:rsidTr="002B4E55">
        <w:trPr>
          <w:trHeight w:val="300"/>
        </w:trPr>
        <w:tc>
          <w:tcPr>
            <w:tcW w:w="1100" w:type="dxa"/>
            <w:tcBorders>
              <w:top w:val="nil"/>
              <w:left w:val="nil"/>
              <w:bottom w:val="nil"/>
              <w:right w:val="nil"/>
            </w:tcBorders>
            <w:noWrap/>
            <w:vAlign w:val="bottom"/>
            <w:hideMark/>
          </w:tcPr>
          <w:p w14:paraId="3947F17D"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Niger</w:t>
            </w:r>
          </w:p>
        </w:tc>
        <w:tc>
          <w:tcPr>
            <w:tcW w:w="960" w:type="dxa"/>
            <w:tcBorders>
              <w:top w:val="nil"/>
              <w:left w:val="nil"/>
              <w:bottom w:val="nil"/>
              <w:right w:val="nil"/>
            </w:tcBorders>
            <w:noWrap/>
            <w:vAlign w:val="bottom"/>
            <w:hideMark/>
          </w:tcPr>
          <w:p w14:paraId="1808171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7996</w:t>
            </w:r>
          </w:p>
        </w:tc>
        <w:tc>
          <w:tcPr>
            <w:tcW w:w="960" w:type="dxa"/>
            <w:tcBorders>
              <w:top w:val="nil"/>
              <w:left w:val="nil"/>
              <w:bottom w:val="nil"/>
              <w:right w:val="nil"/>
            </w:tcBorders>
            <w:noWrap/>
            <w:vAlign w:val="bottom"/>
            <w:hideMark/>
          </w:tcPr>
          <w:p w14:paraId="096A763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2962</w:t>
            </w:r>
          </w:p>
        </w:tc>
        <w:tc>
          <w:tcPr>
            <w:tcW w:w="960" w:type="dxa"/>
            <w:tcBorders>
              <w:top w:val="nil"/>
              <w:left w:val="nil"/>
              <w:bottom w:val="nil"/>
              <w:right w:val="nil"/>
            </w:tcBorders>
            <w:noWrap/>
            <w:vAlign w:val="bottom"/>
            <w:hideMark/>
          </w:tcPr>
          <w:p w14:paraId="54450F6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0.730</w:t>
            </w:r>
          </w:p>
        </w:tc>
        <w:tc>
          <w:tcPr>
            <w:tcW w:w="960" w:type="dxa"/>
            <w:tcBorders>
              <w:top w:val="nil"/>
              <w:left w:val="nil"/>
              <w:bottom w:val="nil"/>
              <w:right w:val="nil"/>
            </w:tcBorders>
            <w:noWrap/>
            <w:vAlign w:val="bottom"/>
            <w:hideMark/>
          </w:tcPr>
          <w:p w14:paraId="786D38A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0.270</w:t>
            </w:r>
          </w:p>
        </w:tc>
        <w:tc>
          <w:tcPr>
            <w:tcW w:w="874" w:type="dxa"/>
            <w:tcBorders>
              <w:top w:val="nil"/>
              <w:left w:val="nil"/>
              <w:bottom w:val="nil"/>
              <w:right w:val="nil"/>
            </w:tcBorders>
            <w:noWrap/>
            <w:vAlign w:val="bottom"/>
            <w:hideMark/>
          </w:tcPr>
          <w:p w14:paraId="1122AAF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73</w:t>
            </w:r>
          </w:p>
        </w:tc>
        <w:tc>
          <w:tcPr>
            <w:tcW w:w="1274" w:type="dxa"/>
            <w:tcBorders>
              <w:top w:val="nil"/>
              <w:left w:val="nil"/>
              <w:bottom w:val="nil"/>
              <w:right w:val="nil"/>
            </w:tcBorders>
            <w:noWrap/>
            <w:vAlign w:val="bottom"/>
            <w:hideMark/>
          </w:tcPr>
          <w:p w14:paraId="7A05B95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27</w:t>
            </w:r>
          </w:p>
        </w:tc>
      </w:tr>
      <w:tr w:rsidR="000F59DA" w:rsidRPr="00202099" w14:paraId="69DC0C5A" w14:textId="77777777" w:rsidTr="002B4E55">
        <w:trPr>
          <w:trHeight w:val="300"/>
        </w:trPr>
        <w:tc>
          <w:tcPr>
            <w:tcW w:w="1100" w:type="dxa"/>
            <w:tcBorders>
              <w:top w:val="nil"/>
              <w:left w:val="nil"/>
              <w:bottom w:val="nil"/>
              <w:right w:val="nil"/>
            </w:tcBorders>
            <w:noWrap/>
            <w:vAlign w:val="bottom"/>
            <w:hideMark/>
          </w:tcPr>
          <w:p w14:paraId="6199EB0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Kogi</w:t>
            </w:r>
          </w:p>
        </w:tc>
        <w:tc>
          <w:tcPr>
            <w:tcW w:w="960" w:type="dxa"/>
            <w:tcBorders>
              <w:top w:val="nil"/>
              <w:left w:val="nil"/>
              <w:bottom w:val="nil"/>
              <w:right w:val="nil"/>
            </w:tcBorders>
            <w:noWrap/>
            <w:vAlign w:val="bottom"/>
            <w:hideMark/>
          </w:tcPr>
          <w:p w14:paraId="68DAEEF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3364</w:t>
            </w:r>
          </w:p>
        </w:tc>
        <w:tc>
          <w:tcPr>
            <w:tcW w:w="960" w:type="dxa"/>
            <w:tcBorders>
              <w:top w:val="nil"/>
              <w:left w:val="nil"/>
              <w:bottom w:val="nil"/>
              <w:right w:val="nil"/>
            </w:tcBorders>
            <w:noWrap/>
            <w:vAlign w:val="bottom"/>
            <w:hideMark/>
          </w:tcPr>
          <w:p w14:paraId="320D8D9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7594</w:t>
            </w:r>
          </w:p>
        </w:tc>
        <w:tc>
          <w:tcPr>
            <w:tcW w:w="960" w:type="dxa"/>
            <w:tcBorders>
              <w:top w:val="nil"/>
              <w:left w:val="nil"/>
              <w:bottom w:val="nil"/>
              <w:right w:val="nil"/>
            </w:tcBorders>
            <w:noWrap/>
            <w:vAlign w:val="bottom"/>
            <w:hideMark/>
          </w:tcPr>
          <w:p w14:paraId="4CFE6F6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0.307</w:t>
            </w:r>
          </w:p>
        </w:tc>
        <w:tc>
          <w:tcPr>
            <w:tcW w:w="960" w:type="dxa"/>
            <w:tcBorders>
              <w:top w:val="nil"/>
              <w:left w:val="nil"/>
              <w:bottom w:val="nil"/>
              <w:right w:val="nil"/>
            </w:tcBorders>
            <w:noWrap/>
            <w:vAlign w:val="bottom"/>
            <w:hideMark/>
          </w:tcPr>
          <w:p w14:paraId="5804216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0.693</w:t>
            </w:r>
          </w:p>
        </w:tc>
        <w:tc>
          <w:tcPr>
            <w:tcW w:w="874" w:type="dxa"/>
            <w:tcBorders>
              <w:top w:val="nil"/>
              <w:left w:val="nil"/>
              <w:bottom w:val="nil"/>
              <w:right w:val="nil"/>
            </w:tcBorders>
            <w:noWrap/>
            <w:vAlign w:val="bottom"/>
            <w:hideMark/>
          </w:tcPr>
          <w:p w14:paraId="318135B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31</w:t>
            </w:r>
          </w:p>
        </w:tc>
        <w:tc>
          <w:tcPr>
            <w:tcW w:w="1274" w:type="dxa"/>
            <w:tcBorders>
              <w:top w:val="nil"/>
              <w:left w:val="nil"/>
              <w:bottom w:val="nil"/>
              <w:right w:val="nil"/>
            </w:tcBorders>
            <w:noWrap/>
            <w:vAlign w:val="bottom"/>
            <w:hideMark/>
          </w:tcPr>
          <w:p w14:paraId="44F79A0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w:t>
            </w:r>
          </w:p>
        </w:tc>
      </w:tr>
      <w:tr w:rsidR="000F59DA" w:rsidRPr="00202099" w14:paraId="4C733E92" w14:textId="77777777" w:rsidTr="002B4E55">
        <w:trPr>
          <w:trHeight w:val="300"/>
        </w:trPr>
        <w:tc>
          <w:tcPr>
            <w:tcW w:w="1100" w:type="dxa"/>
            <w:tcBorders>
              <w:top w:val="nil"/>
              <w:left w:val="nil"/>
              <w:bottom w:val="nil"/>
              <w:right w:val="nil"/>
            </w:tcBorders>
            <w:noWrap/>
            <w:vAlign w:val="bottom"/>
            <w:hideMark/>
          </w:tcPr>
          <w:p w14:paraId="39D2B96E"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Kwara</w:t>
            </w:r>
          </w:p>
        </w:tc>
        <w:tc>
          <w:tcPr>
            <w:tcW w:w="960" w:type="dxa"/>
            <w:tcBorders>
              <w:top w:val="nil"/>
              <w:left w:val="nil"/>
              <w:bottom w:val="nil"/>
              <w:right w:val="nil"/>
            </w:tcBorders>
            <w:noWrap/>
            <w:vAlign w:val="bottom"/>
            <w:hideMark/>
          </w:tcPr>
          <w:p w14:paraId="6420778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8750</w:t>
            </w:r>
          </w:p>
        </w:tc>
        <w:tc>
          <w:tcPr>
            <w:tcW w:w="960" w:type="dxa"/>
            <w:tcBorders>
              <w:top w:val="nil"/>
              <w:left w:val="nil"/>
              <w:bottom w:val="nil"/>
              <w:right w:val="nil"/>
            </w:tcBorders>
            <w:noWrap/>
            <w:vAlign w:val="bottom"/>
            <w:hideMark/>
          </w:tcPr>
          <w:p w14:paraId="4C96ED6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2208</w:t>
            </w:r>
          </w:p>
        </w:tc>
        <w:tc>
          <w:tcPr>
            <w:tcW w:w="960" w:type="dxa"/>
            <w:tcBorders>
              <w:top w:val="nil"/>
              <w:left w:val="nil"/>
              <w:bottom w:val="nil"/>
              <w:right w:val="nil"/>
            </w:tcBorders>
            <w:noWrap/>
            <w:vAlign w:val="bottom"/>
            <w:hideMark/>
          </w:tcPr>
          <w:p w14:paraId="551D92E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0.799</w:t>
            </w:r>
          </w:p>
        </w:tc>
        <w:tc>
          <w:tcPr>
            <w:tcW w:w="960" w:type="dxa"/>
            <w:tcBorders>
              <w:top w:val="nil"/>
              <w:left w:val="nil"/>
              <w:bottom w:val="nil"/>
              <w:right w:val="nil"/>
            </w:tcBorders>
            <w:noWrap/>
            <w:vAlign w:val="bottom"/>
            <w:hideMark/>
          </w:tcPr>
          <w:p w14:paraId="6A9A957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0.201</w:t>
            </w:r>
          </w:p>
        </w:tc>
        <w:tc>
          <w:tcPr>
            <w:tcW w:w="874" w:type="dxa"/>
            <w:tcBorders>
              <w:top w:val="nil"/>
              <w:left w:val="nil"/>
              <w:bottom w:val="nil"/>
              <w:right w:val="nil"/>
            </w:tcBorders>
            <w:noWrap/>
            <w:vAlign w:val="bottom"/>
            <w:hideMark/>
          </w:tcPr>
          <w:p w14:paraId="4765E53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80</w:t>
            </w:r>
          </w:p>
        </w:tc>
        <w:tc>
          <w:tcPr>
            <w:tcW w:w="1274" w:type="dxa"/>
            <w:tcBorders>
              <w:top w:val="nil"/>
              <w:left w:val="nil"/>
              <w:bottom w:val="nil"/>
              <w:right w:val="nil"/>
            </w:tcBorders>
            <w:noWrap/>
            <w:vAlign w:val="bottom"/>
            <w:hideMark/>
          </w:tcPr>
          <w:p w14:paraId="2B17D5D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20</w:t>
            </w:r>
          </w:p>
        </w:tc>
      </w:tr>
      <w:tr w:rsidR="000F59DA" w:rsidRPr="00202099" w14:paraId="1E16FAE7" w14:textId="77777777" w:rsidTr="002B4E55">
        <w:trPr>
          <w:trHeight w:val="300"/>
        </w:trPr>
        <w:tc>
          <w:tcPr>
            <w:tcW w:w="1100" w:type="dxa"/>
            <w:tcBorders>
              <w:top w:val="nil"/>
              <w:left w:val="nil"/>
              <w:bottom w:val="nil"/>
              <w:right w:val="nil"/>
            </w:tcBorders>
            <w:noWrap/>
            <w:vAlign w:val="bottom"/>
            <w:hideMark/>
          </w:tcPr>
          <w:p w14:paraId="7C3439F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Nasarawa</w:t>
            </w:r>
          </w:p>
        </w:tc>
        <w:tc>
          <w:tcPr>
            <w:tcW w:w="960" w:type="dxa"/>
            <w:tcBorders>
              <w:top w:val="nil"/>
              <w:left w:val="nil"/>
              <w:bottom w:val="nil"/>
              <w:right w:val="nil"/>
            </w:tcBorders>
            <w:noWrap/>
            <w:vAlign w:val="bottom"/>
            <w:hideMark/>
          </w:tcPr>
          <w:p w14:paraId="7AA1554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2514</w:t>
            </w:r>
          </w:p>
        </w:tc>
        <w:tc>
          <w:tcPr>
            <w:tcW w:w="960" w:type="dxa"/>
            <w:tcBorders>
              <w:top w:val="nil"/>
              <w:left w:val="nil"/>
              <w:bottom w:val="nil"/>
              <w:right w:val="nil"/>
            </w:tcBorders>
            <w:noWrap/>
            <w:vAlign w:val="bottom"/>
            <w:hideMark/>
          </w:tcPr>
          <w:p w14:paraId="1A528CB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8444</w:t>
            </w:r>
          </w:p>
        </w:tc>
        <w:tc>
          <w:tcPr>
            <w:tcW w:w="960" w:type="dxa"/>
            <w:tcBorders>
              <w:top w:val="nil"/>
              <w:left w:val="nil"/>
              <w:bottom w:val="nil"/>
              <w:right w:val="nil"/>
            </w:tcBorders>
            <w:noWrap/>
            <w:vAlign w:val="bottom"/>
            <w:hideMark/>
          </w:tcPr>
          <w:p w14:paraId="6BEE352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0.229</w:t>
            </w:r>
          </w:p>
        </w:tc>
        <w:tc>
          <w:tcPr>
            <w:tcW w:w="960" w:type="dxa"/>
            <w:tcBorders>
              <w:top w:val="nil"/>
              <w:left w:val="nil"/>
              <w:bottom w:val="nil"/>
              <w:right w:val="nil"/>
            </w:tcBorders>
            <w:noWrap/>
            <w:vAlign w:val="bottom"/>
            <w:hideMark/>
          </w:tcPr>
          <w:p w14:paraId="2C7A1B1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0.771</w:t>
            </w:r>
          </w:p>
        </w:tc>
        <w:tc>
          <w:tcPr>
            <w:tcW w:w="874" w:type="dxa"/>
            <w:tcBorders>
              <w:top w:val="nil"/>
              <w:left w:val="nil"/>
              <w:bottom w:val="nil"/>
              <w:right w:val="nil"/>
            </w:tcBorders>
            <w:noWrap/>
            <w:vAlign w:val="bottom"/>
            <w:hideMark/>
          </w:tcPr>
          <w:p w14:paraId="636E405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23</w:t>
            </w:r>
          </w:p>
        </w:tc>
        <w:tc>
          <w:tcPr>
            <w:tcW w:w="1274" w:type="dxa"/>
            <w:tcBorders>
              <w:top w:val="nil"/>
              <w:left w:val="nil"/>
              <w:bottom w:val="nil"/>
              <w:right w:val="nil"/>
            </w:tcBorders>
            <w:noWrap/>
            <w:vAlign w:val="bottom"/>
            <w:hideMark/>
          </w:tcPr>
          <w:p w14:paraId="17A7DEB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77</w:t>
            </w:r>
          </w:p>
        </w:tc>
      </w:tr>
      <w:tr w:rsidR="000F59DA" w:rsidRPr="00202099" w14:paraId="482F9E4C" w14:textId="77777777" w:rsidTr="002B4E55">
        <w:trPr>
          <w:trHeight w:val="300"/>
        </w:trPr>
        <w:tc>
          <w:tcPr>
            <w:tcW w:w="1100" w:type="dxa"/>
            <w:tcBorders>
              <w:top w:val="nil"/>
              <w:left w:val="nil"/>
              <w:bottom w:val="single" w:sz="4" w:space="0" w:color="auto"/>
              <w:right w:val="nil"/>
            </w:tcBorders>
            <w:noWrap/>
            <w:vAlign w:val="bottom"/>
            <w:hideMark/>
          </w:tcPr>
          <w:p w14:paraId="72A43825"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FCT</w:t>
            </w:r>
          </w:p>
        </w:tc>
        <w:tc>
          <w:tcPr>
            <w:tcW w:w="960" w:type="dxa"/>
            <w:tcBorders>
              <w:top w:val="nil"/>
              <w:left w:val="nil"/>
              <w:bottom w:val="single" w:sz="4" w:space="0" w:color="auto"/>
              <w:right w:val="nil"/>
            </w:tcBorders>
            <w:noWrap/>
            <w:vAlign w:val="bottom"/>
            <w:hideMark/>
          </w:tcPr>
          <w:p w14:paraId="210AE78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2885</w:t>
            </w:r>
          </w:p>
        </w:tc>
        <w:tc>
          <w:tcPr>
            <w:tcW w:w="960" w:type="dxa"/>
            <w:tcBorders>
              <w:top w:val="nil"/>
              <w:left w:val="nil"/>
              <w:bottom w:val="single" w:sz="4" w:space="0" w:color="auto"/>
              <w:right w:val="nil"/>
            </w:tcBorders>
            <w:noWrap/>
            <w:vAlign w:val="bottom"/>
            <w:hideMark/>
          </w:tcPr>
          <w:p w14:paraId="3A617BF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8073</w:t>
            </w:r>
          </w:p>
        </w:tc>
        <w:tc>
          <w:tcPr>
            <w:tcW w:w="960" w:type="dxa"/>
            <w:tcBorders>
              <w:top w:val="nil"/>
              <w:left w:val="nil"/>
              <w:bottom w:val="single" w:sz="4" w:space="0" w:color="auto"/>
              <w:right w:val="nil"/>
            </w:tcBorders>
            <w:noWrap/>
            <w:vAlign w:val="bottom"/>
            <w:hideMark/>
          </w:tcPr>
          <w:p w14:paraId="48DD7C9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0.263</w:t>
            </w:r>
          </w:p>
        </w:tc>
        <w:tc>
          <w:tcPr>
            <w:tcW w:w="960" w:type="dxa"/>
            <w:tcBorders>
              <w:top w:val="nil"/>
              <w:left w:val="nil"/>
              <w:bottom w:val="single" w:sz="4" w:space="0" w:color="auto"/>
              <w:right w:val="nil"/>
            </w:tcBorders>
            <w:noWrap/>
            <w:vAlign w:val="bottom"/>
            <w:hideMark/>
          </w:tcPr>
          <w:p w14:paraId="74024A4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0.737</w:t>
            </w:r>
          </w:p>
        </w:tc>
        <w:tc>
          <w:tcPr>
            <w:tcW w:w="874" w:type="dxa"/>
            <w:tcBorders>
              <w:top w:val="nil"/>
              <w:left w:val="nil"/>
              <w:bottom w:val="single" w:sz="4" w:space="0" w:color="auto"/>
              <w:right w:val="nil"/>
            </w:tcBorders>
            <w:noWrap/>
            <w:vAlign w:val="bottom"/>
            <w:hideMark/>
          </w:tcPr>
          <w:p w14:paraId="16E79AC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26</w:t>
            </w:r>
          </w:p>
        </w:tc>
        <w:tc>
          <w:tcPr>
            <w:tcW w:w="1274" w:type="dxa"/>
            <w:tcBorders>
              <w:top w:val="nil"/>
              <w:left w:val="nil"/>
              <w:bottom w:val="single" w:sz="4" w:space="0" w:color="auto"/>
              <w:right w:val="nil"/>
            </w:tcBorders>
            <w:noWrap/>
            <w:vAlign w:val="bottom"/>
            <w:hideMark/>
          </w:tcPr>
          <w:p w14:paraId="4E2A4F4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74</w:t>
            </w:r>
          </w:p>
        </w:tc>
      </w:tr>
    </w:tbl>
    <w:p w14:paraId="4342819B" w14:textId="76496BB4" w:rsidR="000F59DA" w:rsidRPr="00202099" w:rsidRDefault="000F59DA" w:rsidP="00202099">
      <w:pPr>
        <w:pStyle w:val="NormalWeb"/>
        <w:spacing w:line="360" w:lineRule="auto"/>
        <w:jc w:val="both"/>
        <w:rPr>
          <w:rFonts w:ascii="Arial" w:hAnsi="Arial" w:cs="Arial"/>
          <w:sz w:val="20"/>
          <w:szCs w:val="20"/>
        </w:rPr>
      </w:pPr>
      <w:r w:rsidRPr="00202099">
        <w:rPr>
          <w:rFonts w:ascii="Arial" w:hAnsi="Arial" w:cs="Arial"/>
          <w:sz w:val="20"/>
          <w:szCs w:val="20"/>
        </w:rPr>
        <w:t xml:space="preserve">At 8,750 occurrences (80%), Kwara had the most dry-state dominance, followed by 2,208 wet occurrences (20%). This shows that rainfall and temperature fluctuations in the state are largely governed by dry conditions (Table 2). Wet-state dominance is substantial in Nasarawa, with 2,514 occurrences (23%) in the dry state and 8,444 occurrences (77%) in the wet state. This points to the influence of prolonged rainfall and extended wet seasons. The southeastern Middle Belt has greater moisture advection from the Atlantic and is situated nearer the core monsoon rain belt (Nicholson, 2013; Sultan and </w:t>
      </w:r>
      <w:proofErr w:type="spellStart"/>
      <w:r w:rsidRPr="00202099">
        <w:rPr>
          <w:rFonts w:ascii="Arial" w:hAnsi="Arial" w:cs="Arial"/>
          <w:sz w:val="20"/>
          <w:szCs w:val="20"/>
        </w:rPr>
        <w:t>Janicot</w:t>
      </w:r>
      <w:proofErr w:type="spellEnd"/>
      <w:r w:rsidRPr="00202099">
        <w:rPr>
          <w:rFonts w:ascii="Arial" w:hAnsi="Arial" w:cs="Arial"/>
          <w:sz w:val="20"/>
          <w:szCs w:val="20"/>
        </w:rPr>
        <w:t>, 2003). In addition to suggesting ideal moisture conditions, the high wet-state frequency may make central Nigeria more vulnerable to floods during the heaviest rainy months. This effect has been extensively documented during years with intense monsoons (WMO, 201</w:t>
      </w:r>
      <w:r w:rsidR="008314DC">
        <w:rPr>
          <w:rFonts w:ascii="Arial" w:hAnsi="Arial" w:cs="Arial"/>
          <w:sz w:val="20"/>
          <w:szCs w:val="20"/>
        </w:rPr>
        <w:t>9</w:t>
      </w:r>
      <w:r w:rsidRPr="00202099">
        <w:rPr>
          <w:rFonts w:ascii="Arial" w:hAnsi="Arial" w:cs="Arial"/>
          <w:sz w:val="20"/>
          <w:szCs w:val="20"/>
        </w:rPr>
        <w:t>). In the Federal Capital Territory, there were 8,073 wet events (74%) and 2,885 dry events (26%), suggesting a rainfall regime that was dominated by rain, much like Nasarawa. This illustrates how local convection processes and monsoon circulation have a significant impact on the area. Rainfall persistence in central Nigeria is significantly influenced by the Inter-Tropical Discontinuity's (ITD) northward migration and increased convective activity during the rainy season (</w:t>
      </w:r>
      <w:proofErr w:type="spellStart"/>
      <w:r w:rsidRPr="00202099">
        <w:rPr>
          <w:rFonts w:ascii="Arial" w:hAnsi="Arial" w:cs="Arial"/>
          <w:sz w:val="20"/>
          <w:szCs w:val="20"/>
        </w:rPr>
        <w:t>Adeju</w:t>
      </w:r>
      <w:r w:rsidR="00185D03">
        <w:rPr>
          <w:rFonts w:ascii="Arial" w:hAnsi="Arial" w:cs="Arial"/>
          <w:sz w:val="20"/>
          <w:szCs w:val="20"/>
        </w:rPr>
        <w:t>won</w:t>
      </w:r>
      <w:proofErr w:type="spellEnd"/>
      <w:r w:rsidR="00185D03">
        <w:rPr>
          <w:rFonts w:ascii="Arial" w:hAnsi="Arial" w:cs="Arial"/>
          <w:sz w:val="20"/>
          <w:szCs w:val="20"/>
        </w:rPr>
        <w:t>, 2012</w:t>
      </w:r>
      <w:r w:rsidRPr="00202099">
        <w:rPr>
          <w:rFonts w:ascii="Arial" w:hAnsi="Arial" w:cs="Arial"/>
          <w:sz w:val="20"/>
          <w:szCs w:val="20"/>
        </w:rPr>
        <w:t xml:space="preserve">). </w:t>
      </w:r>
    </w:p>
    <w:p w14:paraId="71A786B3" w14:textId="1F4CB3CE" w:rsidR="000F59DA" w:rsidRPr="00202099" w:rsidRDefault="000F59DA" w:rsidP="00202099">
      <w:pPr>
        <w:spacing w:line="360" w:lineRule="auto"/>
        <w:jc w:val="both"/>
        <w:rPr>
          <w:rFonts w:ascii="Arial" w:hAnsi="Arial" w:cs="Arial"/>
        </w:rPr>
      </w:pPr>
      <w:r w:rsidRPr="00202099">
        <w:rPr>
          <w:rFonts w:ascii="Arial" w:hAnsi="Arial" w:cs="Arial"/>
        </w:rPr>
        <w:t xml:space="preserve">The time evolution of the two hidden thermodynamic states found using the two-state Hidden Markov Model (HMM) throughout the Nigerian Middle Belt states is depicted in Figure </w:t>
      </w:r>
      <w:r w:rsidR="006A0E1B" w:rsidRPr="00202099">
        <w:rPr>
          <w:rFonts w:ascii="Arial" w:hAnsi="Arial" w:cs="Arial"/>
        </w:rPr>
        <w:t>2</w:t>
      </w:r>
      <w:r w:rsidRPr="00202099">
        <w:rPr>
          <w:rFonts w:ascii="Arial" w:hAnsi="Arial" w:cs="Arial"/>
        </w:rPr>
        <w:t>(a–g). Dry Thermodynamic State (State 1) and Wet Thermodynamic State (State 2) are the hidden states. Long, uninterrupted stretches of the dry state can be seen in Benue, Plateau, Niger, and Kwara. As shown in Table 2, where Kwara is 80% dry, Niger is 73% dry, Plateau is 69% dry, and Benue is 68% dry, this is consistent with their high dry-state frequencies. Transition probabilities (Table 1) provide additional evidence for the dry state's significant persistence, which is in line with regime persistence behavior reported in stochastic climate-state m</w:t>
      </w:r>
      <w:r w:rsidR="00207573">
        <w:rPr>
          <w:rFonts w:ascii="Arial" w:hAnsi="Arial" w:cs="Arial"/>
        </w:rPr>
        <w:t>odels (</w:t>
      </w:r>
      <w:r w:rsidRPr="00202099">
        <w:rPr>
          <w:rFonts w:ascii="Arial" w:hAnsi="Arial" w:cs="Arial"/>
        </w:rPr>
        <w:t xml:space="preserve">Robertson et al., 2004). On the other hand, Nasarawa, FCT, and Kogi demonstrate extended wet-state dominance, supporting the previous finding that these areas have continuous moisture availability. The lengthier continuous wet state segments seen in the </w:t>
      </w:r>
      <w:r w:rsidRPr="00202099">
        <w:rPr>
          <w:rFonts w:ascii="Arial" w:hAnsi="Arial" w:cs="Arial"/>
        </w:rPr>
        <w:lastRenderedPageBreak/>
        <w:t>temporal plots are consistent with the high wet-state frequencies of 69% in Kogi, 77% in Nasarawa, and 74% in FCT.</w:t>
      </w:r>
      <w:r w:rsidR="00BC5280">
        <w:rPr>
          <w:rFonts w:ascii="Arial" w:hAnsi="Arial" w:cs="Arial"/>
        </w:rPr>
        <w:t xml:space="preserve"> </w:t>
      </w:r>
      <w:r w:rsidRPr="00202099">
        <w:rPr>
          <w:rFonts w:ascii="Arial" w:hAnsi="Arial" w:cs="Arial"/>
        </w:rPr>
        <w:t xml:space="preserve">Furthermore, the temporal evolution shows that state transitions are gradual rather than abrupt, indicating strong seasonal persistence in the atmospheric system. This gradual regime switching is typical of monsoon-driven climates, where rainfall variability is controlled by large-scale monsoon circulation rather than purely random atmospheric fluctuations (Sultan and </w:t>
      </w:r>
      <w:proofErr w:type="spellStart"/>
      <w:r w:rsidRPr="00202099">
        <w:rPr>
          <w:rFonts w:ascii="Arial" w:hAnsi="Arial" w:cs="Arial"/>
        </w:rPr>
        <w:t>Janicot</w:t>
      </w:r>
      <w:proofErr w:type="spellEnd"/>
      <w:r w:rsidRPr="00202099">
        <w:rPr>
          <w:rFonts w:ascii="Arial" w:hAnsi="Arial" w:cs="Arial"/>
        </w:rPr>
        <w:t>, 2003). As a result, synoptic-scale dynamic processes and large-scale monsoon circulation play a major role in controlling rainfall and temperature variability in the Middle Belt.</w:t>
      </w:r>
    </w:p>
    <w:p w14:paraId="42E77A7C" w14:textId="77777777" w:rsidR="000F59DA" w:rsidRPr="00202099" w:rsidRDefault="000F59DA" w:rsidP="00202099">
      <w:pPr>
        <w:spacing w:line="360" w:lineRule="auto"/>
        <w:rPr>
          <w:rFonts w:ascii="Arial" w:hAnsi="Arial" w:cs="Arial"/>
        </w:rPr>
      </w:pPr>
      <w:r w:rsidRPr="00202099">
        <w:rPr>
          <w:rFonts w:ascii="Arial" w:hAnsi="Arial" w:cs="Arial"/>
        </w:rPr>
        <w:t>Table 3: Seasonal distribution of states</w:t>
      </w:r>
    </w:p>
    <w:tbl>
      <w:tblPr>
        <w:tblW w:w="3840" w:type="dxa"/>
        <w:tblLook w:val="04A0" w:firstRow="1" w:lastRow="0" w:firstColumn="1" w:lastColumn="0" w:noHBand="0" w:noVBand="1"/>
      </w:tblPr>
      <w:tblGrid>
        <w:gridCol w:w="1117"/>
        <w:gridCol w:w="960"/>
        <w:gridCol w:w="960"/>
        <w:gridCol w:w="960"/>
      </w:tblGrid>
      <w:tr w:rsidR="000F59DA" w:rsidRPr="00202099" w14:paraId="345D3E6B" w14:textId="77777777" w:rsidTr="002B4E55">
        <w:trPr>
          <w:trHeight w:val="300"/>
        </w:trPr>
        <w:tc>
          <w:tcPr>
            <w:tcW w:w="960" w:type="dxa"/>
            <w:tcBorders>
              <w:top w:val="single" w:sz="4" w:space="0" w:color="auto"/>
              <w:left w:val="nil"/>
              <w:bottom w:val="single" w:sz="4" w:space="0" w:color="auto"/>
              <w:right w:val="nil"/>
            </w:tcBorders>
            <w:noWrap/>
            <w:vAlign w:val="bottom"/>
            <w:hideMark/>
          </w:tcPr>
          <w:p w14:paraId="4552D1D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Location</w:t>
            </w:r>
          </w:p>
        </w:tc>
        <w:tc>
          <w:tcPr>
            <w:tcW w:w="960" w:type="dxa"/>
            <w:tcBorders>
              <w:top w:val="single" w:sz="4" w:space="0" w:color="auto"/>
              <w:left w:val="nil"/>
              <w:bottom w:val="single" w:sz="4" w:space="0" w:color="auto"/>
              <w:right w:val="nil"/>
            </w:tcBorders>
            <w:noWrap/>
            <w:vAlign w:val="bottom"/>
            <w:hideMark/>
          </w:tcPr>
          <w:p w14:paraId="154838E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Season</w:t>
            </w:r>
          </w:p>
        </w:tc>
        <w:tc>
          <w:tcPr>
            <w:tcW w:w="960" w:type="dxa"/>
            <w:tcBorders>
              <w:top w:val="single" w:sz="4" w:space="0" w:color="auto"/>
              <w:left w:val="nil"/>
              <w:bottom w:val="single" w:sz="4" w:space="0" w:color="auto"/>
              <w:right w:val="nil"/>
            </w:tcBorders>
            <w:noWrap/>
            <w:vAlign w:val="bottom"/>
            <w:hideMark/>
          </w:tcPr>
          <w:p w14:paraId="0EBC116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Dry</w:t>
            </w:r>
          </w:p>
        </w:tc>
        <w:tc>
          <w:tcPr>
            <w:tcW w:w="960" w:type="dxa"/>
            <w:tcBorders>
              <w:top w:val="single" w:sz="4" w:space="0" w:color="auto"/>
              <w:left w:val="nil"/>
              <w:bottom w:val="single" w:sz="4" w:space="0" w:color="auto"/>
              <w:right w:val="nil"/>
            </w:tcBorders>
            <w:noWrap/>
            <w:vAlign w:val="bottom"/>
            <w:hideMark/>
          </w:tcPr>
          <w:p w14:paraId="5FF425D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Wet</w:t>
            </w:r>
          </w:p>
        </w:tc>
      </w:tr>
      <w:tr w:rsidR="000F59DA" w:rsidRPr="00202099" w14:paraId="3F6218B8" w14:textId="77777777" w:rsidTr="002B4E55">
        <w:trPr>
          <w:trHeight w:val="300"/>
        </w:trPr>
        <w:tc>
          <w:tcPr>
            <w:tcW w:w="960" w:type="dxa"/>
            <w:tcBorders>
              <w:top w:val="nil"/>
              <w:left w:val="nil"/>
              <w:bottom w:val="nil"/>
              <w:right w:val="nil"/>
            </w:tcBorders>
            <w:noWrap/>
            <w:vAlign w:val="bottom"/>
            <w:hideMark/>
          </w:tcPr>
          <w:p w14:paraId="78304C0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Benue</w:t>
            </w:r>
          </w:p>
        </w:tc>
        <w:tc>
          <w:tcPr>
            <w:tcW w:w="960" w:type="dxa"/>
            <w:tcBorders>
              <w:top w:val="nil"/>
              <w:left w:val="nil"/>
              <w:bottom w:val="nil"/>
              <w:right w:val="nil"/>
            </w:tcBorders>
            <w:noWrap/>
            <w:vAlign w:val="bottom"/>
            <w:hideMark/>
          </w:tcPr>
          <w:p w14:paraId="6FE0F151"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2396B5B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0.986</w:t>
            </w:r>
          </w:p>
        </w:tc>
        <w:tc>
          <w:tcPr>
            <w:tcW w:w="960" w:type="dxa"/>
            <w:tcBorders>
              <w:top w:val="nil"/>
              <w:left w:val="nil"/>
              <w:bottom w:val="nil"/>
              <w:right w:val="nil"/>
            </w:tcBorders>
            <w:noWrap/>
            <w:vAlign w:val="bottom"/>
            <w:hideMark/>
          </w:tcPr>
          <w:p w14:paraId="67C6597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0.014</w:t>
            </w:r>
          </w:p>
        </w:tc>
      </w:tr>
      <w:tr w:rsidR="000F59DA" w:rsidRPr="00202099" w14:paraId="4A8D088A" w14:textId="77777777" w:rsidTr="002B4E55">
        <w:trPr>
          <w:trHeight w:val="300"/>
        </w:trPr>
        <w:tc>
          <w:tcPr>
            <w:tcW w:w="960" w:type="dxa"/>
            <w:tcBorders>
              <w:top w:val="nil"/>
              <w:left w:val="nil"/>
              <w:bottom w:val="nil"/>
              <w:right w:val="nil"/>
            </w:tcBorders>
            <w:noWrap/>
            <w:vAlign w:val="bottom"/>
            <w:hideMark/>
          </w:tcPr>
          <w:p w14:paraId="315B2E6D"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1210CE7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29CC531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0.461</w:t>
            </w:r>
          </w:p>
        </w:tc>
        <w:tc>
          <w:tcPr>
            <w:tcW w:w="960" w:type="dxa"/>
            <w:tcBorders>
              <w:top w:val="nil"/>
              <w:left w:val="nil"/>
              <w:bottom w:val="nil"/>
              <w:right w:val="nil"/>
            </w:tcBorders>
            <w:noWrap/>
            <w:vAlign w:val="bottom"/>
            <w:hideMark/>
          </w:tcPr>
          <w:p w14:paraId="1E9B656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0.539</w:t>
            </w:r>
          </w:p>
        </w:tc>
      </w:tr>
      <w:tr w:rsidR="000F59DA" w:rsidRPr="00202099" w14:paraId="28C9FBEF" w14:textId="77777777" w:rsidTr="002B4E55">
        <w:trPr>
          <w:trHeight w:val="300"/>
        </w:trPr>
        <w:tc>
          <w:tcPr>
            <w:tcW w:w="960" w:type="dxa"/>
            <w:tcBorders>
              <w:top w:val="nil"/>
              <w:left w:val="nil"/>
              <w:bottom w:val="nil"/>
              <w:right w:val="nil"/>
            </w:tcBorders>
            <w:noWrap/>
            <w:vAlign w:val="bottom"/>
            <w:hideMark/>
          </w:tcPr>
          <w:p w14:paraId="1F8D68D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Plateau</w:t>
            </w:r>
          </w:p>
        </w:tc>
        <w:tc>
          <w:tcPr>
            <w:tcW w:w="960" w:type="dxa"/>
            <w:tcBorders>
              <w:top w:val="nil"/>
              <w:left w:val="nil"/>
              <w:bottom w:val="nil"/>
              <w:right w:val="nil"/>
            </w:tcBorders>
            <w:noWrap/>
            <w:vAlign w:val="bottom"/>
            <w:hideMark/>
          </w:tcPr>
          <w:p w14:paraId="0EFC616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033200C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0.996</w:t>
            </w:r>
          </w:p>
        </w:tc>
        <w:tc>
          <w:tcPr>
            <w:tcW w:w="960" w:type="dxa"/>
            <w:tcBorders>
              <w:top w:val="nil"/>
              <w:left w:val="nil"/>
              <w:bottom w:val="nil"/>
              <w:right w:val="nil"/>
            </w:tcBorders>
            <w:noWrap/>
            <w:vAlign w:val="bottom"/>
            <w:hideMark/>
          </w:tcPr>
          <w:p w14:paraId="3054303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0.004</w:t>
            </w:r>
          </w:p>
        </w:tc>
      </w:tr>
      <w:tr w:rsidR="000F59DA" w:rsidRPr="00202099" w14:paraId="706E3E5F" w14:textId="77777777" w:rsidTr="002B4E55">
        <w:trPr>
          <w:trHeight w:val="300"/>
        </w:trPr>
        <w:tc>
          <w:tcPr>
            <w:tcW w:w="960" w:type="dxa"/>
            <w:tcBorders>
              <w:top w:val="nil"/>
              <w:left w:val="nil"/>
              <w:bottom w:val="nil"/>
              <w:right w:val="nil"/>
            </w:tcBorders>
            <w:noWrap/>
            <w:vAlign w:val="bottom"/>
            <w:hideMark/>
          </w:tcPr>
          <w:p w14:paraId="67D2BD6A"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1AB9713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5738049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0.468</w:t>
            </w:r>
          </w:p>
        </w:tc>
        <w:tc>
          <w:tcPr>
            <w:tcW w:w="960" w:type="dxa"/>
            <w:tcBorders>
              <w:top w:val="nil"/>
              <w:left w:val="nil"/>
              <w:bottom w:val="nil"/>
              <w:right w:val="nil"/>
            </w:tcBorders>
            <w:noWrap/>
            <w:vAlign w:val="bottom"/>
            <w:hideMark/>
          </w:tcPr>
          <w:p w14:paraId="1B142F7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0.532</w:t>
            </w:r>
          </w:p>
        </w:tc>
      </w:tr>
      <w:tr w:rsidR="000F59DA" w:rsidRPr="00202099" w14:paraId="39B9BDBB" w14:textId="77777777" w:rsidTr="002B4E55">
        <w:trPr>
          <w:trHeight w:val="300"/>
        </w:trPr>
        <w:tc>
          <w:tcPr>
            <w:tcW w:w="960" w:type="dxa"/>
            <w:tcBorders>
              <w:top w:val="nil"/>
              <w:left w:val="nil"/>
              <w:bottom w:val="nil"/>
              <w:right w:val="nil"/>
            </w:tcBorders>
            <w:noWrap/>
            <w:vAlign w:val="bottom"/>
            <w:hideMark/>
          </w:tcPr>
          <w:p w14:paraId="505BC7A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Niger</w:t>
            </w:r>
          </w:p>
        </w:tc>
        <w:tc>
          <w:tcPr>
            <w:tcW w:w="960" w:type="dxa"/>
            <w:tcBorders>
              <w:top w:val="nil"/>
              <w:left w:val="nil"/>
              <w:bottom w:val="nil"/>
              <w:right w:val="nil"/>
            </w:tcBorders>
            <w:noWrap/>
            <w:vAlign w:val="bottom"/>
            <w:hideMark/>
          </w:tcPr>
          <w:p w14:paraId="6C076FB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7454B63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0.994</w:t>
            </w:r>
          </w:p>
        </w:tc>
        <w:tc>
          <w:tcPr>
            <w:tcW w:w="960" w:type="dxa"/>
            <w:tcBorders>
              <w:top w:val="nil"/>
              <w:left w:val="nil"/>
              <w:bottom w:val="nil"/>
              <w:right w:val="nil"/>
            </w:tcBorders>
            <w:noWrap/>
            <w:vAlign w:val="bottom"/>
            <w:hideMark/>
          </w:tcPr>
          <w:p w14:paraId="70DF187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0.006</w:t>
            </w:r>
          </w:p>
        </w:tc>
      </w:tr>
      <w:tr w:rsidR="000F59DA" w:rsidRPr="00202099" w14:paraId="32B4DE7C" w14:textId="77777777" w:rsidTr="002B4E55">
        <w:trPr>
          <w:trHeight w:val="300"/>
        </w:trPr>
        <w:tc>
          <w:tcPr>
            <w:tcW w:w="960" w:type="dxa"/>
            <w:tcBorders>
              <w:top w:val="nil"/>
              <w:left w:val="nil"/>
              <w:bottom w:val="nil"/>
              <w:right w:val="nil"/>
            </w:tcBorders>
            <w:noWrap/>
            <w:vAlign w:val="bottom"/>
            <w:hideMark/>
          </w:tcPr>
          <w:p w14:paraId="25B09390"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0219D2FC"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33BFAE9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0.543</w:t>
            </w:r>
          </w:p>
        </w:tc>
        <w:tc>
          <w:tcPr>
            <w:tcW w:w="960" w:type="dxa"/>
            <w:tcBorders>
              <w:top w:val="nil"/>
              <w:left w:val="nil"/>
              <w:bottom w:val="nil"/>
              <w:right w:val="nil"/>
            </w:tcBorders>
            <w:noWrap/>
            <w:vAlign w:val="bottom"/>
            <w:hideMark/>
          </w:tcPr>
          <w:p w14:paraId="5B99B4A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0.457</w:t>
            </w:r>
          </w:p>
        </w:tc>
      </w:tr>
      <w:tr w:rsidR="000F59DA" w:rsidRPr="00202099" w14:paraId="6FCDEE17" w14:textId="77777777" w:rsidTr="002B4E55">
        <w:trPr>
          <w:trHeight w:val="300"/>
        </w:trPr>
        <w:tc>
          <w:tcPr>
            <w:tcW w:w="960" w:type="dxa"/>
            <w:tcBorders>
              <w:top w:val="nil"/>
              <w:left w:val="nil"/>
              <w:bottom w:val="nil"/>
              <w:right w:val="nil"/>
            </w:tcBorders>
            <w:noWrap/>
            <w:vAlign w:val="bottom"/>
            <w:hideMark/>
          </w:tcPr>
          <w:p w14:paraId="5FC8172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Kogi</w:t>
            </w:r>
          </w:p>
        </w:tc>
        <w:tc>
          <w:tcPr>
            <w:tcW w:w="960" w:type="dxa"/>
            <w:tcBorders>
              <w:top w:val="nil"/>
              <w:left w:val="nil"/>
              <w:bottom w:val="nil"/>
              <w:right w:val="nil"/>
            </w:tcBorders>
            <w:noWrap/>
            <w:vAlign w:val="bottom"/>
            <w:hideMark/>
          </w:tcPr>
          <w:p w14:paraId="1A2C564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31F5F2D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0.017</w:t>
            </w:r>
          </w:p>
        </w:tc>
        <w:tc>
          <w:tcPr>
            <w:tcW w:w="960" w:type="dxa"/>
            <w:tcBorders>
              <w:top w:val="nil"/>
              <w:left w:val="nil"/>
              <w:bottom w:val="nil"/>
              <w:right w:val="nil"/>
            </w:tcBorders>
            <w:noWrap/>
            <w:vAlign w:val="bottom"/>
            <w:hideMark/>
          </w:tcPr>
          <w:p w14:paraId="4371621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0.983</w:t>
            </w:r>
          </w:p>
        </w:tc>
      </w:tr>
      <w:tr w:rsidR="000F59DA" w:rsidRPr="00202099" w14:paraId="0DFA45C8" w14:textId="77777777" w:rsidTr="002B4E55">
        <w:trPr>
          <w:trHeight w:val="300"/>
        </w:trPr>
        <w:tc>
          <w:tcPr>
            <w:tcW w:w="960" w:type="dxa"/>
            <w:tcBorders>
              <w:top w:val="nil"/>
              <w:left w:val="nil"/>
              <w:bottom w:val="nil"/>
              <w:right w:val="nil"/>
            </w:tcBorders>
            <w:noWrap/>
            <w:vAlign w:val="bottom"/>
            <w:hideMark/>
          </w:tcPr>
          <w:p w14:paraId="4A33D65A"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41B3070C"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0C2234B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0.512</w:t>
            </w:r>
          </w:p>
        </w:tc>
        <w:tc>
          <w:tcPr>
            <w:tcW w:w="960" w:type="dxa"/>
            <w:tcBorders>
              <w:top w:val="nil"/>
              <w:left w:val="nil"/>
              <w:bottom w:val="nil"/>
              <w:right w:val="nil"/>
            </w:tcBorders>
            <w:noWrap/>
            <w:vAlign w:val="bottom"/>
            <w:hideMark/>
          </w:tcPr>
          <w:p w14:paraId="174D5D2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0.488</w:t>
            </w:r>
          </w:p>
        </w:tc>
      </w:tr>
      <w:tr w:rsidR="000F59DA" w:rsidRPr="00202099" w14:paraId="724DB2F9" w14:textId="77777777" w:rsidTr="002B4E55">
        <w:trPr>
          <w:trHeight w:val="300"/>
        </w:trPr>
        <w:tc>
          <w:tcPr>
            <w:tcW w:w="960" w:type="dxa"/>
            <w:tcBorders>
              <w:top w:val="nil"/>
              <w:left w:val="nil"/>
              <w:bottom w:val="nil"/>
              <w:right w:val="nil"/>
            </w:tcBorders>
            <w:noWrap/>
            <w:vAlign w:val="bottom"/>
            <w:hideMark/>
          </w:tcPr>
          <w:p w14:paraId="5553C32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Kwara</w:t>
            </w:r>
          </w:p>
        </w:tc>
        <w:tc>
          <w:tcPr>
            <w:tcW w:w="960" w:type="dxa"/>
            <w:tcBorders>
              <w:top w:val="nil"/>
              <w:left w:val="nil"/>
              <w:bottom w:val="nil"/>
              <w:right w:val="nil"/>
            </w:tcBorders>
            <w:noWrap/>
            <w:vAlign w:val="bottom"/>
            <w:hideMark/>
          </w:tcPr>
          <w:p w14:paraId="097188AE"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63953DD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0.985</w:t>
            </w:r>
          </w:p>
        </w:tc>
        <w:tc>
          <w:tcPr>
            <w:tcW w:w="960" w:type="dxa"/>
            <w:tcBorders>
              <w:top w:val="nil"/>
              <w:left w:val="nil"/>
              <w:bottom w:val="nil"/>
              <w:right w:val="nil"/>
            </w:tcBorders>
            <w:noWrap/>
            <w:vAlign w:val="bottom"/>
            <w:hideMark/>
          </w:tcPr>
          <w:p w14:paraId="6F718D7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0.015</w:t>
            </w:r>
          </w:p>
        </w:tc>
      </w:tr>
      <w:tr w:rsidR="000F59DA" w:rsidRPr="00202099" w14:paraId="5AE0EBE1" w14:textId="77777777" w:rsidTr="002B4E55">
        <w:trPr>
          <w:trHeight w:val="300"/>
        </w:trPr>
        <w:tc>
          <w:tcPr>
            <w:tcW w:w="960" w:type="dxa"/>
            <w:tcBorders>
              <w:top w:val="nil"/>
              <w:left w:val="nil"/>
              <w:bottom w:val="nil"/>
              <w:right w:val="nil"/>
            </w:tcBorders>
            <w:noWrap/>
            <w:vAlign w:val="bottom"/>
            <w:hideMark/>
          </w:tcPr>
          <w:p w14:paraId="29D7EE13"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5BD50CDE"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175B82C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0.667</w:t>
            </w:r>
          </w:p>
        </w:tc>
        <w:tc>
          <w:tcPr>
            <w:tcW w:w="960" w:type="dxa"/>
            <w:tcBorders>
              <w:top w:val="nil"/>
              <w:left w:val="nil"/>
              <w:bottom w:val="nil"/>
              <w:right w:val="nil"/>
            </w:tcBorders>
            <w:noWrap/>
            <w:vAlign w:val="bottom"/>
            <w:hideMark/>
          </w:tcPr>
          <w:p w14:paraId="2CB5F0B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0.333</w:t>
            </w:r>
          </w:p>
        </w:tc>
      </w:tr>
      <w:tr w:rsidR="000F59DA" w:rsidRPr="00202099" w14:paraId="51FC3F6C" w14:textId="77777777" w:rsidTr="002B4E55">
        <w:trPr>
          <w:trHeight w:val="300"/>
        </w:trPr>
        <w:tc>
          <w:tcPr>
            <w:tcW w:w="960" w:type="dxa"/>
            <w:tcBorders>
              <w:top w:val="nil"/>
              <w:left w:val="nil"/>
              <w:bottom w:val="nil"/>
              <w:right w:val="nil"/>
            </w:tcBorders>
            <w:noWrap/>
            <w:vAlign w:val="bottom"/>
            <w:hideMark/>
          </w:tcPr>
          <w:p w14:paraId="01C60E8E"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Nasarawa</w:t>
            </w:r>
          </w:p>
        </w:tc>
        <w:tc>
          <w:tcPr>
            <w:tcW w:w="960" w:type="dxa"/>
            <w:tcBorders>
              <w:top w:val="nil"/>
              <w:left w:val="nil"/>
              <w:bottom w:val="nil"/>
              <w:right w:val="nil"/>
            </w:tcBorders>
            <w:noWrap/>
            <w:vAlign w:val="bottom"/>
            <w:hideMark/>
          </w:tcPr>
          <w:p w14:paraId="2628FBB6"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0D4D295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0.007</w:t>
            </w:r>
          </w:p>
        </w:tc>
        <w:tc>
          <w:tcPr>
            <w:tcW w:w="960" w:type="dxa"/>
            <w:tcBorders>
              <w:top w:val="nil"/>
              <w:left w:val="nil"/>
              <w:bottom w:val="nil"/>
              <w:right w:val="nil"/>
            </w:tcBorders>
            <w:noWrap/>
            <w:vAlign w:val="bottom"/>
            <w:hideMark/>
          </w:tcPr>
          <w:p w14:paraId="6437F69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0.993</w:t>
            </w:r>
          </w:p>
        </w:tc>
      </w:tr>
      <w:tr w:rsidR="000F59DA" w:rsidRPr="00202099" w14:paraId="6D4A9A86" w14:textId="77777777" w:rsidTr="002B4E55">
        <w:trPr>
          <w:trHeight w:val="300"/>
        </w:trPr>
        <w:tc>
          <w:tcPr>
            <w:tcW w:w="960" w:type="dxa"/>
            <w:tcBorders>
              <w:top w:val="nil"/>
              <w:left w:val="nil"/>
              <w:bottom w:val="nil"/>
              <w:right w:val="nil"/>
            </w:tcBorders>
            <w:noWrap/>
            <w:vAlign w:val="bottom"/>
            <w:hideMark/>
          </w:tcPr>
          <w:p w14:paraId="5519E507" w14:textId="77777777" w:rsidR="000F59DA" w:rsidRPr="00202099" w:rsidRDefault="000F59DA" w:rsidP="00202099">
            <w:pPr>
              <w:spacing w:line="360" w:lineRule="auto"/>
              <w:jc w:val="center"/>
              <w:rPr>
                <w:rFonts w:ascii="Arial" w:hAnsi="Arial" w:cs="Arial"/>
                <w:color w:val="000000"/>
              </w:rPr>
            </w:pPr>
          </w:p>
        </w:tc>
        <w:tc>
          <w:tcPr>
            <w:tcW w:w="960" w:type="dxa"/>
            <w:tcBorders>
              <w:top w:val="nil"/>
              <w:left w:val="nil"/>
              <w:bottom w:val="nil"/>
              <w:right w:val="nil"/>
            </w:tcBorders>
            <w:noWrap/>
            <w:vAlign w:val="bottom"/>
            <w:hideMark/>
          </w:tcPr>
          <w:p w14:paraId="5D7432B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nil"/>
              <w:right w:val="nil"/>
            </w:tcBorders>
            <w:noWrap/>
            <w:vAlign w:val="bottom"/>
            <w:hideMark/>
          </w:tcPr>
          <w:p w14:paraId="4DCB0D1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0.387</w:t>
            </w:r>
          </w:p>
        </w:tc>
        <w:tc>
          <w:tcPr>
            <w:tcW w:w="960" w:type="dxa"/>
            <w:tcBorders>
              <w:top w:val="nil"/>
              <w:left w:val="nil"/>
              <w:bottom w:val="nil"/>
              <w:right w:val="nil"/>
            </w:tcBorders>
            <w:noWrap/>
            <w:vAlign w:val="bottom"/>
            <w:hideMark/>
          </w:tcPr>
          <w:p w14:paraId="01C13CE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0.613</w:t>
            </w:r>
          </w:p>
        </w:tc>
      </w:tr>
      <w:tr w:rsidR="000F59DA" w:rsidRPr="00202099" w14:paraId="5B1E4BB7" w14:textId="77777777" w:rsidTr="002B4E55">
        <w:trPr>
          <w:trHeight w:val="300"/>
        </w:trPr>
        <w:tc>
          <w:tcPr>
            <w:tcW w:w="960" w:type="dxa"/>
            <w:tcBorders>
              <w:top w:val="nil"/>
              <w:left w:val="nil"/>
              <w:bottom w:val="nil"/>
              <w:right w:val="nil"/>
            </w:tcBorders>
            <w:noWrap/>
            <w:vAlign w:val="bottom"/>
            <w:hideMark/>
          </w:tcPr>
          <w:p w14:paraId="6216E564"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FCT</w:t>
            </w:r>
          </w:p>
        </w:tc>
        <w:tc>
          <w:tcPr>
            <w:tcW w:w="960" w:type="dxa"/>
            <w:tcBorders>
              <w:top w:val="nil"/>
              <w:left w:val="nil"/>
              <w:bottom w:val="nil"/>
              <w:right w:val="nil"/>
            </w:tcBorders>
            <w:noWrap/>
            <w:vAlign w:val="bottom"/>
            <w:hideMark/>
          </w:tcPr>
          <w:p w14:paraId="236B0EA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Dry</w:t>
            </w:r>
          </w:p>
        </w:tc>
        <w:tc>
          <w:tcPr>
            <w:tcW w:w="960" w:type="dxa"/>
            <w:tcBorders>
              <w:top w:val="nil"/>
              <w:left w:val="nil"/>
              <w:bottom w:val="nil"/>
              <w:right w:val="nil"/>
            </w:tcBorders>
            <w:noWrap/>
            <w:vAlign w:val="bottom"/>
            <w:hideMark/>
          </w:tcPr>
          <w:p w14:paraId="5D1E415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0.009</w:t>
            </w:r>
          </w:p>
        </w:tc>
        <w:tc>
          <w:tcPr>
            <w:tcW w:w="960" w:type="dxa"/>
            <w:tcBorders>
              <w:top w:val="nil"/>
              <w:left w:val="nil"/>
              <w:bottom w:val="nil"/>
              <w:right w:val="nil"/>
            </w:tcBorders>
            <w:noWrap/>
            <w:vAlign w:val="bottom"/>
            <w:hideMark/>
          </w:tcPr>
          <w:p w14:paraId="6CBE49B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0.991</w:t>
            </w:r>
          </w:p>
        </w:tc>
      </w:tr>
      <w:tr w:rsidR="000F59DA" w:rsidRPr="00202099" w14:paraId="39A35240" w14:textId="77777777" w:rsidTr="002B4E55">
        <w:trPr>
          <w:trHeight w:val="300"/>
        </w:trPr>
        <w:tc>
          <w:tcPr>
            <w:tcW w:w="960" w:type="dxa"/>
            <w:tcBorders>
              <w:top w:val="nil"/>
              <w:left w:val="nil"/>
              <w:bottom w:val="single" w:sz="4" w:space="0" w:color="auto"/>
              <w:right w:val="nil"/>
            </w:tcBorders>
            <w:noWrap/>
            <w:vAlign w:val="bottom"/>
            <w:hideMark/>
          </w:tcPr>
          <w:p w14:paraId="344B96B4"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 </w:t>
            </w:r>
          </w:p>
        </w:tc>
        <w:tc>
          <w:tcPr>
            <w:tcW w:w="960" w:type="dxa"/>
            <w:tcBorders>
              <w:top w:val="nil"/>
              <w:left w:val="nil"/>
              <w:bottom w:val="single" w:sz="4" w:space="0" w:color="auto"/>
              <w:right w:val="nil"/>
            </w:tcBorders>
            <w:noWrap/>
            <w:vAlign w:val="bottom"/>
            <w:hideMark/>
          </w:tcPr>
          <w:p w14:paraId="52E14E75"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Wet</w:t>
            </w:r>
          </w:p>
        </w:tc>
        <w:tc>
          <w:tcPr>
            <w:tcW w:w="960" w:type="dxa"/>
            <w:tcBorders>
              <w:top w:val="nil"/>
              <w:left w:val="nil"/>
              <w:bottom w:val="single" w:sz="4" w:space="0" w:color="auto"/>
              <w:right w:val="nil"/>
            </w:tcBorders>
            <w:noWrap/>
            <w:vAlign w:val="bottom"/>
            <w:hideMark/>
          </w:tcPr>
          <w:p w14:paraId="288BBAE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0.443</w:t>
            </w:r>
          </w:p>
        </w:tc>
        <w:tc>
          <w:tcPr>
            <w:tcW w:w="960" w:type="dxa"/>
            <w:tcBorders>
              <w:top w:val="nil"/>
              <w:left w:val="nil"/>
              <w:bottom w:val="single" w:sz="4" w:space="0" w:color="auto"/>
              <w:right w:val="nil"/>
            </w:tcBorders>
            <w:noWrap/>
            <w:vAlign w:val="bottom"/>
            <w:hideMark/>
          </w:tcPr>
          <w:p w14:paraId="138D953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0.557</w:t>
            </w:r>
          </w:p>
        </w:tc>
      </w:tr>
    </w:tbl>
    <w:p w14:paraId="49973C36" w14:textId="77777777" w:rsidR="000F59DA" w:rsidRPr="00202099" w:rsidRDefault="000F59DA" w:rsidP="00202099">
      <w:pPr>
        <w:spacing w:line="360" w:lineRule="auto"/>
        <w:rPr>
          <w:rFonts w:ascii="Arial" w:hAnsi="Arial" w:cs="Arial"/>
          <w:b/>
        </w:rPr>
      </w:pPr>
    </w:p>
    <w:p w14:paraId="6B769BF3" w14:textId="77777777" w:rsidR="001413E5" w:rsidRPr="00202099" w:rsidRDefault="001413E5" w:rsidP="001413E5">
      <w:pPr>
        <w:spacing w:line="360" w:lineRule="auto"/>
        <w:jc w:val="both"/>
        <w:rPr>
          <w:rFonts w:ascii="Arial" w:hAnsi="Arial" w:cs="Arial"/>
        </w:rPr>
      </w:pPr>
      <w:r w:rsidRPr="00202099">
        <w:rPr>
          <w:rFonts w:ascii="Arial" w:hAnsi="Arial" w:cs="Arial"/>
        </w:rPr>
        <w:t>The extended dry conditions characteristic of the dry season are explained by the high dry-state persistence seen in Plateau (0.979)</w:t>
      </w:r>
      <w:r>
        <w:rPr>
          <w:rFonts w:ascii="Arial" w:hAnsi="Arial" w:cs="Arial"/>
        </w:rPr>
        <w:t xml:space="preserve">, Niger (0.994), </w:t>
      </w:r>
      <w:proofErr w:type="spellStart"/>
      <w:r>
        <w:rPr>
          <w:rFonts w:ascii="Arial" w:hAnsi="Arial" w:cs="Arial"/>
        </w:rPr>
        <w:t>Kwara</w:t>
      </w:r>
      <w:proofErr w:type="spellEnd"/>
      <w:r>
        <w:rPr>
          <w:rFonts w:ascii="Arial" w:hAnsi="Arial" w:cs="Arial"/>
        </w:rPr>
        <w:t xml:space="preserve"> (0.985) </w:t>
      </w:r>
      <w:r w:rsidRPr="00202099">
        <w:rPr>
          <w:rFonts w:ascii="Arial" w:hAnsi="Arial" w:cs="Arial"/>
        </w:rPr>
        <w:t>and Benue (0.956)</w:t>
      </w:r>
      <w:r>
        <w:rPr>
          <w:rFonts w:ascii="Arial" w:hAnsi="Arial" w:cs="Arial"/>
        </w:rPr>
        <w:t xml:space="preserve"> as presented in Table 3.</w:t>
      </w:r>
      <w:r w:rsidRPr="00202099">
        <w:rPr>
          <w:rFonts w:ascii="Arial" w:hAnsi="Arial" w:cs="Arial"/>
        </w:rPr>
        <w:t xml:space="preserve"> </w:t>
      </w:r>
      <w:r>
        <w:rPr>
          <w:rFonts w:ascii="Arial" w:hAnsi="Arial" w:cs="Arial"/>
        </w:rPr>
        <w:t>This is explained by t</w:t>
      </w:r>
      <w:r w:rsidRPr="00202099">
        <w:rPr>
          <w:rFonts w:ascii="Arial" w:hAnsi="Arial" w:cs="Arial"/>
        </w:rPr>
        <w:t>he dominance of continenta</w:t>
      </w:r>
      <w:r>
        <w:rPr>
          <w:rFonts w:ascii="Arial" w:hAnsi="Arial" w:cs="Arial"/>
        </w:rPr>
        <w:t>l northeasterly Harmattan winds</w:t>
      </w:r>
      <w:r w:rsidRPr="00202099">
        <w:rPr>
          <w:rFonts w:ascii="Arial" w:hAnsi="Arial" w:cs="Arial"/>
        </w:rPr>
        <w:t xml:space="preserve">, which prevent convective rainfall and reduce moisture influx (Nicholson, 2013). In contrast, the wet state takes center stage during the rainy season, especially in </w:t>
      </w:r>
      <w:proofErr w:type="spellStart"/>
      <w:r w:rsidRPr="00202099">
        <w:rPr>
          <w:rFonts w:ascii="Arial" w:hAnsi="Arial" w:cs="Arial"/>
        </w:rPr>
        <w:t>Kogi</w:t>
      </w:r>
      <w:proofErr w:type="spellEnd"/>
      <w:r>
        <w:rPr>
          <w:rFonts w:ascii="Arial" w:hAnsi="Arial" w:cs="Arial"/>
        </w:rPr>
        <w:t xml:space="preserve"> (0.983), Nasarawa (0.993) </w:t>
      </w:r>
      <w:r w:rsidRPr="00202099">
        <w:rPr>
          <w:rFonts w:ascii="Arial" w:hAnsi="Arial" w:cs="Arial"/>
        </w:rPr>
        <w:t xml:space="preserve">and </w:t>
      </w:r>
      <w:r>
        <w:rPr>
          <w:rFonts w:ascii="Arial" w:hAnsi="Arial" w:cs="Arial"/>
        </w:rPr>
        <w:t>FCT (0.991)</w:t>
      </w:r>
      <w:r w:rsidRPr="00202099">
        <w:rPr>
          <w:rFonts w:ascii="Arial" w:hAnsi="Arial" w:cs="Arial"/>
        </w:rPr>
        <w:t xml:space="preserve">, where wet-state persistence surpasses 0.90, indicating that southwesterly monsoon winds continuously deliver precipitation from the Atlantic Ocean (Sultan and </w:t>
      </w:r>
      <w:proofErr w:type="spellStart"/>
      <w:r w:rsidRPr="00202099">
        <w:rPr>
          <w:rFonts w:ascii="Arial" w:hAnsi="Arial" w:cs="Arial"/>
        </w:rPr>
        <w:t>Janicot</w:t>
      </w:r>
      <w:proofErr w:type="spellEnd"/>
      <w:r w:rsidRPr="00202099">
        <w:rPr>
          <w:rFonts w:ascii="Arial" w:hAnsi="Arial" w:cs="Arial"/>
        </w:rPr>
        <w:t>, 2003).</w:t>
      </w:r>
    </w:p>
    <w:p w14:paraId="437B214B" w14:textId="77777777" w:rsidR="000F59DA" w:rsidRPr="00202099" w:rsidRDefault="000F59DA" w:rsidP="00202099">
      <w:pPr>
        <w:spacing w:line="360" w:lineRule="auto"/>
        <w:jc w:val="both"/>
        <w:rPr>
          <w:rFonts w:ascii="Arial" w:hAnsi="Arial" w:cs="Arial"/>
        </w:rPr>
      </w:pPr>
    </w:p>
    <w:p w14:paraId="7DE28471" w14:textId="77777777" w:rsidR="00BC5280" w:rsidRPr="00202099" w:rsidRDefault="00BC5280" w:rsidP="00BC5280">
      <w:pPr>
        <w:spacing w:line="360" w:lineRule="auto"/>
        <w:jc w:val="both"/>
        <w:rPr>
          <w:rFonts w:ascii="Arial" w:hAnsi="Arial" w:cs="Arial"/>
        </w:rPr>
      </w:pPr>
      <w:r w:rsidRPr="00202099">
        <w:rPr>
          <w:rFonts w:ascii="Arial" w:hAnsi="Arial" w:cs="Arial"/>
        </w:rPr>
        <w:t>The hidden states' monthl</w:t>
      </w:r>
      <w:r>
        <w:rPr>
          <w:rFonts w:ascii="Arial" w:hAnsi="Arial" w:cs="Arial"/>
        </w:rPr>
        <w:t>y distribution</w:t>
      </w:r>
      <w:r w:rsidRPr="00202099">
        <w:rPr>
          <w:rFonts w:ascii="Arial" w:hAnsi="Arial" w:cs="Arial"/>
        </w:rPr>
        <w:t xml:space="preserve"> corresponds to the anticipated yearly rainfall cycle in central Nigeria</w:t>
      </w:r>
      <w:r>
        <w:rPr>
          <w:rFonts w:ascii="Arial" w:hAnsi="Arial" w:cs="Arial"/>
        </w:rPr>
        <w:t xml:space="preserve"> is presented in Table 4</w:t>
      </w:r>
      <w:r w:rsidRPr="00202099">
        <w:rPr>
          <w:rFonts w:ascii="Arial" w:hAnsi="Arial" w:cs="Arial"/>
        </w:rPr>
        <w:t xml:space="preserve">. </w:t>
      </w:r>
      <w:r>
        <w:rPr>
          <w:rFonts w:ascii="Arial" w:hAnsi="Arial" w:cs="Arial"/>
        </w:rPr>
        <w:t>T</w:t>
      </w:r>
      <w:r w:rsidRPr="00202099">
        <w:rPr>
          <w:rFonts w:ascii="Arial" w:hAnsi="Arial" w:cs="Arial"/>
        </w:rPr>
        <w:t>he dry state predominates fr</w:t>
      </w:r>
      <w:r>
        <w:rPr>
          <w:rFonts w:ascii="Arial" w:hAnsi="Arial" w:cs="Arial"/>
        </w:rPr>
        <w:t xml:space="preserve">om November to March in all regions except FCT, </w:t>
      </w:r>
      <w:proofErr w:type="spellStart"/>
      <w:r>
        <w:rPr>
          <w:rFonts w:ascii="Arial" w:hAnsi="Arial" w:cs="Arial"/>
        </w:rPr>
        <w:t>Kogi</w:t>
      </w:r>
      <w:proofErr w:type="spellEnd"/>
      <w:r>
        <w:rPr>
          <w:rFonts w:ascii="Arial" w:hAnsi="Arial" w:cs="Arial"/>
        </w:rPr>
        <w:t xml:space="preserve"> and Nasarawa. This is as a result of h</w:t>
      </w:r>
      <w:r w:rsidRPr="00202099">
        <w:rPr>
          <w:rFonts w:ascii="Arial" w:hAnsi="Arial" w:cs="Arial"/>
        </w:rPr>
        <w:t>armattan impact, low air hu</w:t>
      </w:r>
      <w:r>
        <w:rPr>
          <w:rFonts w:ascii="Arial" w:hAnsi="Arial" w:cs="Arial"/>
        </w:rPr>
        <w:t xml:space="preserve">midity, and decreased rainfall </w:t>
      </w:r>
      <w:r w:rsidRPr="00202099">
        <w:rPr>
          <w:rFonts w:ascii="Arial" w:hAnsi="Arial" w:cs="Arial"/>
        </w:rPr>
        <w:t>(</w:t>
      </w:r>
      <w:proofErr w:type="spellStart"/>
      <w:r w:rsidRPr="00202099">
        <w:rPr>
          <w:rFonts w:ascii="Arial" w:hAnsi="Arial" w:cs="Arial"/>
        </w:rPr>
        <w:t>Ibebuchi</w:t>
      </w:r>
      <w:proofErr w:type="spellEnd"/>
      <w:r w:rsidRPr="00202099">
        <w:rPr>
          <w:rFonts w:ascii="Arial" w:hAnsi="Arial" w:cs="Arial"/>
        </w:rPr>
        <w:t xml:space="preserve"> and Abu, 2023). The transitional months of April through June are when the likelihood of rainfall begins to progressively change from dry to rainy conditions. This slow change reflects growing monsoon penetration and moisture availability, supporting previous results that rainfall onset in Nigeria happens gradually rather than suddenly (</w:t>
      </w:r>
      <w:proofErr w:type="spellStart"/>
      <w:r w:rsidRPr="00202099">
        <w:rPr>
          <w:rFonts w:ascii="Arial" w:hAnsi="Arial" w:cs="Arial"/>
        </w:rPr>
        <w:t>Ati</w:t>
      </w:r>
      <w:proofErr w:type="spellEnd"/>
      <w:r w:rsidRPr="00202099">
        <w:rPr>
          <w:rFonts w:ascii="Arial" w:hAnsi="Arial" w:cs="Arial"/>
        </w:rPr>
        <w:t xml:space="preserve"> et al., 2002). Peak wet-state dominance occurs from July to September, especially in Benue</w:t>
      </w:r>
      <w:r>
        <w:rPr>
          <w:rFonts w:ascii="Arial" w:hAnsi="Arial" w:cs="Arial"/>
        </w:rPr>
        <w:t>, Niger and Plateau, while</w:t>
      </w:r>
      <w:r w:rsidRPr="00202099">
        <w:rPr>
          <w:rFonts w:ascii="Arial" w:hAnsi="Arial" w:cs="Arial"/>
        </w:rPr>
        <w:t xml:space="preserve"> October </w:t>
      </w:r>
      <w:r w:rsidRPr="00202099">
        <w:rPr>
          <w:rFonts w:ascii="Arial" w:hAnsi="Arial" w:cs="Arial"/>
        </w:rPr>
        <w:lastRenderedPageBreak/>
        <w:t>gra</w:t>
      </w:r>
      <w:r>
        <w:rPr>
          <w:rFonts w:ascii="Arial" w:hAnsi="Arial" w:cs="Arial"/>
        </w:rPr>
        <w:t>dually return to dry conditions.</w:t>
      </w:r>
      <w:r w:rsidRPr="00202099">
        <w:rPr>
          <w:rFonts w:ascii="Arial" w:hAnsi="Arial" w:cs="Arial"/>
        </w:rPr>
        <w:t xml:space="preserve"> Rainfall cessation in the Middle Belt is likewise progressive, in line with regional climatological studies, as evidenced by the transition probability' slow shift between states. There is dual climatic domination in the Middle Belt, with some states (</w:t>
      </w:r>
      <w:proofErr w:type="spellStart"/>
      <w:r w:rsidRPr="00202099">
        <w:rPr>
          <w:rFonts w:ascii="Arial" w:hAnsi="Arial" w:cs="Arial"/>
        </w:rPr>
        <w:t>Kwara</w:t>
      </w:r>
      <w:proofErr w:type="spellEnd"/>
      <w:r w:rsidRPr="00202099">
        <w:rPr>
          <w:rFonts w:ascii="Arial" w:hAnsi="Arial" w:cs="Arial"/>
        </w:rPr>
        <w:t>, Niger, Benue, Plateau) having a dry climate and others (</w:t>
      </w:r>
      <w:proofErr w:type="spellStart"/>
      <w:r w:rsidRPr="00202099">
        <w:rPr>
          <w:rFonts w:ascii="Arial" w:hAnsi="Arial" w:cs="Arial"/>
        </w:rPr>
        <w:t>Kogi</w:t>
      </w:r>
      <w:proofErr w:type="spellEnd"/>
      <w:r w:rsidRPr="00202099">
        <w:rPr>
          <w:rFonts w:ascii="Arial" w:hAnsi="Arial" w:cs="Arial"/>
        </w:rPr>
        <w:t>, Nasarawa, FCT) a wet climate.</w:t>
      </w:r>
    </w:p>
    <w:p w14:paraId="075E6C04" w14:textId="77777777" w:rsidR="000F59DA" w:rsidRPr="00202099" w:rsidRDefault="000F59DA" w:rsidP="00202099">
      <w:pPr>
        <w:spacing w:line="360" w:lineRule="auto"/>
        <w:jc w:val="both"/>
        <w:rPr>
          <w:rFonts w:ascii="Arial" w:hAnsi="Arial" w:cs="Arial"/>
        </w:rPr>
      </w:pPr>
      <w:r w:rsidRPr="00202099">
        <w:rPr>
          <w:rFonts w:ascii="Arial" w:hAnsi="Arial" w:cs="Arial"/>
        </w:rPr>
        <w:t>Table 4: Monthly Distribution of States</w:t>
      </w:r>
    </w:p>
    <w:tbl>
      <w:tblPr>
        <w:tblW w:w="9480" w:type="dxa"/>
        <w:tblLook w:val="04A0" w:firstRow="1" w:lastRow="0" w:firstColumn="1" w:lastColumn="0" w:noHBand="0" w:noVBand="1"/>
      </w:tblPr>
      <w:tblGrid>
        <w:gridCol w:w="960"/>
        <w:gridCol w:w="580"/>
        <w:gridCol w:w="580"/>
        <w:gridCol w:w="580"/>
        <w:gridCol w:w="580"/>
        <w:gridCol w:w="620"/>
        <w:gridCol w:w="620"/>
        <w:gridCol w:w="610"/>
        <w:gridCol w:w="610"/>
        <w:gridCol w:w="630"/>
        <w:gridCol w:w="630"/>
        <w:gridCol w:w="640"/>
        <w:gridCol w:w="640"/>
        <w:gridCol w:w="600"/>
        <w:gridCol w:w="600"/>
      </w:tblGrid>
      <w:tr w:rsidR="000F59DA" w:rsidRPr="00202099" w14:paraId="614E462A" w14:textId="77777777" w:rsidTr="002B4E55">
        <w:trPr>
          <w:trHeight w:val="300"/>
        </w:trPr>
        <w:tc>
          <w:tcPr>
            <w:tcW w:w="960" w:type="dxa"/>
            <w:tcBorders>
              <w:top w:val="single" w:sz="4" w:space="0" w:color="auto"/>
              <w:left w:val="nil"/>
              <w:bottom w:val="nil"/>
              <w:right w:val="nil"/>
            </w:tcBorders>
            <w:noWrap/>
            <w:vAlign w:val="bottom"/>
            <w:hideMark/>
          </w:tcPr>
          <w:p w14:paraId="4C6278E5"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MONTH</w:t>
            </w:r>
          </w:p>
        </w:tc>
        <w:tc>
          <w:tcPr>
            <w:tcW w:w="1160" w:type="dxa"/>
            <w:gridSpan w:val="2"/>
            <w:tcBorders>
              <w:top w:val="single" w:sz="4" w:space="0" w:color="auto"/>
              <w:left w:val="nil"/>
              <w:bottom w:val="nil"/>
              <w:right w:val="nil"/>
            </w:tcBorders>
            <w:noWrap/>
            <w:vAlign w:val="bottom"/>
            <w:hideMark/>
          </w:tcPr>
          <w:p w14:paraId="78C4BFC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Benue</w:t>
            </w:r>
          </w:p>
        </w:tc>
        <w:tc>
          <w:tcPr>
            <w:tcW w:w="1160" w:type="dxa"/>
            <w:gridSpan w:val="2"/>
            <w:tcBorders>
              <w:top w:val="single" w:sz="4" w:space="0" w:color="auto"/>
              <w:left w:val="nil"/>
              <w:bottom w:val="nil"/>
              <w:right w:val="nil"/>
            </w:tcBorders>
            <w:noWrap/>
            <w:vAlign w:val="bottom"/>
            <w:hideMark/>
          </w:tcPr>
          <w:p w14:paraId="2EFF412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FCT</w:t>
            </w:r>
          </w:p>
        </w:tc>
        <w:tc>
          <w:tcPr>
            <w:tcW w:w="1240" w:type="dxa"/>
            <w:gridSpan w:val="2"/>
            <w:tcBorders>
              <w:top w:val="single" w:sz="4" w:space="0" w:color="auto"/>
              <w:left w:val="nil"/>
              <w:bottom w:val="nil"/>
              <w:right w:val="nil"/>
            </w:tcBorders>
            <w:noWrap/>
            <w:vAlign w:val="bottom"/>
            <w:hideMark/>
          </w:tcPr>
          <w:p w14:paraId="1172CCEF" w14:textId="77777777" w:rsidR="000F59DA" w:rsidRPr="00202099" w:rsidRDefault="000F59DA" w:rsidP="00202099">
            <w:pPr>
              <w:spacing w:line="360" w:lineRule="auto"/>
              <w:jc w:val="center"/>
              <w:rPr>
                <w:rFonts w:ascii="Arial" w:hAnsi="Arial" w:cs="Arial"/>
                <w:color w:val="000000"/>
              </w:rPr>
            </w:pPr>
            <w:proofErr w:type="spellStart"/>
            <w:r w:rsidRPr="00202099">
              <w:rPr>
                <w:rFonts w:ascii="Arial" w:hAnsi="Arial" w:cs="Arial"/>
                <w:color w:val="000000"/>
              </w:rPr>
              <w:t>kogi</w:t>
            </w:r>
            <w:proofErr w:type="spellEnd"/>
          </w:p>
        </w:tc>
        <w:tc>
          <w:tcPr>
            <w:tcW w:w="1220" w:type="dxa"/>
            <w:gridSpan w:val="2"/>
            <w:tcBorders>
              <w:top w:val="single" w:sz="4" w:space="0" w:color="auto"/>
              <w:left w:val="nil"/>
              <w:bottom w:val="nil"/>
              <w:right w:val="nil"/>
            </w:tcBorders>
            <w:noWrap/>
            <w:vAlign w:val="bottom"/>
            <w:hideMark/>
          </w:tcPr>
          <w:p w14:paraId="7C2CB1E8" w14:textId="77777777" w:rsidR="000F59DA" w:rsidRPr="00202099" w:rsidRDefault="000F59DA" w:rsidP="00202099">
            <w:pPr>
              <w:spacing w:line="360" w:lineRule="auto"/>
              <w:jc w:val="center"/>
              <w:rPr>
                <w:rFonts w:ascii="Arial" w:hAnsi="Arial" w:cs="Arial"/>
                <w:color w:val="000000"/>
              </w:rPr>
            </w:pPr>
            <w:proofErr w:type="spellStart"/>
            <w:r w:rsidRPr="00202099">
              <w:rPr>
                <w:rFonts w:ascii="Arial" w:hAnsi="Arial" w:cs="Arial"/>
                <w:color w:val="000000"/>
              </w:rPr>
              <w:t>kwara</w:t>
            </w:r>
            <w:proofErr w:type="spellEnd"/>
          </w:p>
        </w:tc>
        <w:tc>
          <w:tcPr>
            <w:tcW w:w="1260" w:type="dxa"/>
            <w:gridSpan w:val="2"/>
            <w:tcBorders>
              <w:top w:val="single" w:sz="4" w:space="0" w:color="auto"/>
              <w:left w:val="nil"/>
              <w:bottom w:val="nil"/>
              <w:right w:val="nil"/>
            </w:tcBorders>
            <w:noWrap/>
            <w:vAlign w:val="bottom"/>
            <w:hideMark/>
          </w:tcPr>
          <w:p w14:paraId="59B1FD4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Nasarawa</w:t>
            </w:r>
          </w:p>
        </w:tc>
        <w:tc>
          <w:tcPr>
            <w:tcW w:w="1280" w:type="dxa"/>
            <w:gridSpan w:val="2"/>
            <w:tcBorders>
              <w:top w:val="single" w:sz="4" w:space="0" w:color="auto"/>
              <w:left w:val="nil"/>
              <w:bottom w:val="nil"/>
              <w:right w:val="nil"/>
            </w:tcBorders>
            <w:noWrap/>
            <w:vAlign w:val="bottom"/>
            <w:hideMark/>
          </w:tcPr>
          <w:p w14:paraId="1C4D76B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Niger</w:t>
            </w:r>
          </w:p>
        </w:tc>
        <w:tc>
          <w:tcPr>
            <w:tcW w:w="1200" w:type="dxa"/>
            <w:gridSpan w:val="2"/>
            <w:tcBorders>
              <w:top w:val="single" w:sz="4" w:space="0" w:color="auto"/>
              <w:left w:val="nil"/>
              <w:bottom w:val="nil"/>
              <w:right w:val="nil"/>
            </w:tcBorders>
            <w:noWrap/>
            <w:vAlign w:val="bottom"/>
            <w:hideMark/>
          </w:tcPr>
          <w:p w14:paraId="62D0049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Plateau</w:t>
            </w:r>
          </w:p>
        </w:tc>
      </w:tr>
      <w:tr w:rsidR="000F59DA" w:rsidRPr="00202099" w14:paraId="02B1F9F4" w14:textId="77777777" w:rsidTr="002B4E55">
        <w:trPr>
          <w:trHeight w:val="300"/>
        </w:trPr>
        <w:tc>
          <w:tcPr>
            <w:tcW w:w="960" w:type="dxa"/>
            <w:tcBorders>
              <w:top w:val="nil"/>
              <w:left w:val="nil"/>
              <w:bottom w:val="single" w:sz="4" w:space="0" w:color="auto"/>
              <w:right w:val="nil"/>
            </w:tcBorders>
            <w:noWrap/>
            <w:vAlign w:val="bottom"/>
            <w:hideMark/>
          </w:tcPr>
          <w:p w14:paraId="12E6A38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 </w:t>
            </w:r>
          </w:p>
        </w:tc>
        <w:tc>
          <w:tcPr>
            <w:tcW w:w="580" w:type="dxa"/>
            <w:tcBorders>
              <w:top w:val="nil"/>
              <w:left w:val="nil"/>
              <w:bottom w:val="single" w:sz="4" w:space="0" w:color="auto"/>
              <w:right w:val="nil"/>
            </w:tcBorders>
            <w:noWrap/>
            <w:vAlign w:val="bottom"/>
            <w:hideMark/>
          </w:tcPr>
          <w:p w14:paraId="351B7B6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580" w:type="dxa"/>
            <w:tcBorders>
              <w:top w:val="nil"/>
              <w:left w:val="nil"/>
              <w:bottom w:val="single" w:sz="4" w:space="0" w:color="auto"/>
              <w:right w:val="nil"/>
            </w:tcBorders>
            <w:noWrap/>
            <w:vAlign w:val="bottom"/>
            <w:hideMark/>
          </w:tcPr>
          <w:p w14:paraId="7A5B168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580" w:type="dxa"/>
            <w:tcBorders>
              <w:top w:val="nil"/>
              <w:left w:val="nil"/>
              <w:bottom w:val="single" w:sz="4" w:space="0" w:color="auto"/>
              <w:right w:val="nil"/>
            </w:tcBorders>
            <w:noWrap/>
            <w:vAlign w:val="bottom"/>
            <w:hideMark/>
          </w:tcPr>
          <w:p w14:paraId="137D3F7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580" w:type="dxa"/>
            <w:tcBorders>
              <w:top w:val="nil"/>
              <w:left w:val="nil"/>
              <w:bottom w:val="single" w:sz="4" w:space="0" w:color="auto"/>
              <w:right w:val="nil"/>
            </w:tcBorders>
            <w:noWrap/>
            <w:vAlign w:val="bottom"/>
            <w:hideMark/>
          </w:tcPr>
          <w:p w14:paraId="46F9B2F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20" w:type="dxa"/>
            <w:tcBorders>
              <w:top w:val="nil"/>
              <w:left w:val="nil"/>
              <w:bottom w:val="single" w:sz="4" w:space="0" w:color="auto"/>
              <w:right w:val="nil"/>
            </w:tcBorders>
            <w:noWrap/>
            <w:vAlign w:val="bottom"/>
            <w:hideMark/>
          </w:tcPr>
          <w:p w14:paraId="74549B8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20" w:type="dxa"/>
            <w:tcBorders>
              <w:top w:val="nil"/>
              <w:left w:val="nil"/>
              <w:bottom w:val="single" w:sz="4" w:space="0" w:color="auto"/>
              <w:right w:val="nil"/>
            </w:tcBorders>
            <w:noWrap/>
            <w:vAlign w:val="bottom"/>
            <w:hideMark/>
          </w:tcPr>
          <w:p w14:paraId="6CDF816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10" w:type="dxa"/>
            <w:tcBorders>
              <w:top w:val="nil"/>
              <w:left w:val="nil"/>
              <w:bottom w:val="single" w:sz="4" w:space="0" w:color="auto"/>
              <w:right w:val="nil"/>
            </w:tcBorders>
            <w:noWrap/>
            <w:vAlign w:val="bottom"/>
            <w:hideMark/>
          </w:tcPr>
          <w:p w14:paraId="557433E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10" w:type="dxa"/>
            <w:tcBorders>
              <w:top w:val="nil"/>
              <w:left w:val="nil"/>
              <w:bottom w:val="single" w:sz="4" w:space="0" w:color="auto"/>
              <w:right w:val="nil"/>
            </w:tcBorders>
            <w:noWrap/>
            <w:vAlign w:val="bottom"/>
            <w:hideMark/>
          </w:tcPr>
          <w:p w14:paraId="65F7AC2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30" w:type="dxa"/>
            <w:tcBorders>
              <w:top w:val="nil"/>
              <w:left w:val="nil"/>
              <w:bottom w:val="single" w:sz="4" w:space="0" w:color="auto"/>
              <w:right w:val="nil"/>
            </w:tcBorders>
            <w:noWrap/>
            <w:vAlign w:val="bottom"/>
            <w:hideMark/>
          </w:tcPr>
          <w:p w14:paraId="699578A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30" w:type="dxa"/>
            <w:tcBorders>
              <w:top w:val="nil"/>
              <w:left w:val="nil"/>
              <w:bottom w:val="single" w:sz="4" w:space="0" w:color="auto"/>
              <w:right w:val="nil"/>
            </w:tcBorders>
            <w:noWrap/>
            <w:vAlign w:val="bottom"/>
            <w:hideMark/>
          </w:tcPr>
          <w:p w14:paraId="2642F9A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40" w:type="dxa"/>
            <w:tcBorders>
              <w:top w:val="nil"/>
              <w:left w:val="nil"/>
              <w:bottom w:val="single" w:sz="4" w:space="0" w:color="auto"/>
              <w:right w:val="nil"/>
            </w:tcBorders>
            <w:noWrap/>
            <w:vAlign w:val="bottom"/>
            <w:hideMark/>
          </w:tcPr>
          <w:p w14:paraId="727185F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40" w:type="dxa"/>
            <w:tcBorders>
              <w:top w:val="nil"/>
              <w:left w:val="nil"/>
              <w:bottom w:val="single" w:sz="4" w:space="0" w:color="auto"/>
              <w:right w:val="nil"/>
            </w:tcBorders>
            <w:noWrap/>
            <w:vAlign w:val="bottom"/>
            <w:hideMark/>
          </w:tcPr>
          <w:p w14:paraId="082C407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00" w:type="dxa"/>
            <w:tcBorders>
              <w:top w:val="nil"/>
              <w:left w:val="nil"/>
              <w:bottom w:val="single" w:sz="4" w:space="0" w:color="auto"/>
              <w:right w:val="nil"/>
            </w:tcBorders>
            <w:noWrap/>
            <w:vAlign w:val="bottom"/>
            <w:hideMark/>
          </w:tcPr>
          <w:p w14:paraId="24B143C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00" w:type="dxa"/>
            <w:tcBorders>
              <w:top w:val="nil"/>
              <w:left w:val="nil"/>
              <w:bottom w:val="single" w:sz="4" w:space="0" w:color="auto"/>
              <w:right w:val="nil"/>
            </w:tcBorders>
            <w:noWrap/>
            <w:vAlign w:val="bottom"/>
            <w:hideMark/>
          </w:tcPr>
          <w:p w14:paraId="3F823ED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r>
      <w:tr w:rsidR="000F59DA" w:rsidRPr="00202099" w14:paraId="252E1C04" w14:textId="77777777" w:rsidTr="002B4E55">
        <w:trPr>
          <w:trHeight w:val="300"/>
        </w:trPr>
        <w:tc>
          <w:tcPr>
            <w:tcW w:w="960" w:type="dxa"/>
            <w:tcBorders>
              <w:top w:val="nil"/>
              <w:left w:val="nil"/>
              <w:bottom w:val="nil"/>
              <w:right w:val="nil"/>
            </w:tcBorders>
            <w:noWrap/>
            <w:vAlign w:val="bottom"/>
            <w:hideMark/>
          </w:tcPr>
          <w:p w14:paraId="00CEC76F"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JAN.</w:t>
            </w:r>
          </w:p>
        </w:tc>
        <w:tc>
          <w:tcPr>
            <w:tcW w:w="580" w:type="dxa"/>
            <w:tcBorders>
              <w:top w:val="nil"/>
              <w:left w:val="nil"/>
              <w:bottom w:val="nil"/>
              <w:right w:val="nil"/>
            </w:tcBorders>
            <w:noWrap/>
            <w:vAlign w:val="bottom"/>
            <w:hideMark/>
          </w:tcPr>
          <w:p w14:paraId="17C58CE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928</w:t>
            </w:r>
          </w:p>
        </w:tc>
        <w:tc>
          <w:tcPr>
            <w:tcW w:w="580" w:type="dxa"/>
            <w:tcBorders>
              <w:top w:val="nil"/>
              <w:left w:val="nil"/>
              <w:bottom w:val="nil"/>
              <w:right w:val="nil"/>
            </w:tcBorders>
            <w:noWrap/>
            <w:vAlign w:val="bottom"/>
            <w:hideMark/>
          </w:tcPr>
          <w:p w14:paraId="10BA238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580" w:type="dxa"/>
            <w:tcBorders>
              <w:top w:val="nil"/>
              <w:left w:val="nil"/>
              <w:bottom w:val="nil"/>
              <w:right w:val="nil"/>
            </w:tcBorders>
            <w:noWrap/>
            <w:vAlign w:val="bottom"/>
            <w:hideMark/>
          </w:tcPr>
          <w:p w14:paraId="4FF25EB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580" w:type="dxa"/>
            <w:tcBorders>
              <w:top w:val="nil"/>
              <w:left w:val="nil"/>
              <w:bottom w:val="nil"/>
              <w:right w:val="nil"/>
            </w:tcBorders>
            <w:noWrap/>
            <w:vAlign w:val="bottom"/>
            <w:hideMark/>
          </w:tcPr>
          <w:p w14:paraId="2028B95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929</w:t>
            </w:r>
          </w:p>
        </w:tc>
        <w:tc>
          <w:tcPr>
            <w:tcW w:w="620" w:type="dxa"/>
            <w:tcBorders>
              <w:top w:val="nil"/>
              <w:left w:val="nil"/>
              <w:bottom w:val="nil"/>
              <w:right w:val="nil"/>
            </w:tcBorders>
            <w:noWrap/>
            <w:vAlign w:val="bottom"/>
            <w:hideMark/>
          </w:tcPr>
          <w:p w14:paraId="555A9A9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w:t>
            </w:r>
          </w:p>
        </w:tc>
        <w:tc>
          <w:tcPr>
            <w:tcW w:w="620" w:type="dxa"/>
            <w:tcBorders>
              <w:top w:val="nil"/>
              <w:left w:val="nil"/>
              <w:bottom w:val="nil"/>
              <w:right w:val="nil"/>
            </w:tcBorders>
            <w:noWrap/>
            <w:vAlign w:val="bottom"/>
            <w:hideMark/>
          </w:tcPr>
          <w:p w14:paraId="0FE8785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928</w:t>
            </w:r>
          </w:p>
        </w:tc>
        <w:tc>
          <w:tcPr>
            <w:tcW w:w="610" w:type="dxa"/>
            <w:tcBorders>
              <w:top w:val="nil"/>
              <w:left w:val="nil"/>
              <w:bottom w:val="nil"/>
              <w:right w:val="nil"/>
            </w:tcBorders>
            <w:noWrap/>
            <w:vAlign w:val="bottom"/>
            <w:hideMark/>
          </w:tcPr>
          <w:p w14:paraId="645E001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926</w:t>
            </w:r>
          </w:p>
        </w:tc>
        <w:tc>
          <w:tcPr>
            <w:tcW w:w="610" w:type="dxa"/>
            <w:tcBorders>
              <w:top w:val="nil"/>
              <w:left w:val="nil"/>
              <w:bottom w:val="nil"/>
              <w:right w:val="nil"/>
            </w:tcBorders>
            <w:noWrap/>
            <w:vAlign w:val="bottom"/>
            <w:hideMark/>
          </w:tcPr>
          <w:p w14:paraId="0535712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w:t>
            </w:r>
          </w:p>
        </w:tc>
        <w:tc>
          <w:tcPr>
            <w:tcW w:w="630" w:type="dxa"/>
            <w:tcBorders>
              <w:top w:val="nil"/>
              <w:left w:val="nil"/>
              <w:bottom w:val="nil"/>
              <w:right w:val="nil"/>
            </w:tcBorders>
            <w:noWrap/>
            <w:vAlign w:val="bottom"/>
            <w:hideMark/>
          </w:tcPr>
          <w:p w14:paraId="6E43C5D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630" w:type="dxa"/>
            <w:tcBorders>
              <w:top w:val="nil"/>
              <w:left w:val="nil"/>
              <w:bottom w:val="nil"/>
              <w:right w:val="nil"/>
            </w:tcBorders>
            <w:noWrap/>
            <w:vAlign w:val="bottom"/>
            <w:hideMark/>
          </w:tcPr>
          <w:p w14:paraId="390A3BB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40" w:type="dxa"/>
            <w:tcBorders>
              <w:top w:val="nil"/>
              <w:left w:val="nil"/>
              <w:bottom w:val="nil"/>
              <w:right w:val="nil"/>
            </w:tcBorders>
            <w:noWrap/>
            <w:vAlign w:val="bottom"/>
            <w:hideMark/>
          </w:tcPr>
          <w:p w14:paraId="58A2080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929</w:t>
            </w:r>
          </w:p>
        </w:tc>
        <w:tc>
          <w:tcPr>
            <w:tcW w:w="640" w:type="dxa"/>
            <w:tcBorders>
              <w:top w:val="nil"/>
              <w:left w:val="nil"/>
              <w:bottom w:val="nil"/>
              <w:right w:val="nil"/>
            </w:tcBorders>
            <w:noWrap/>
            <w:vAlign w:val="bottom"/>
            <w:hideMark/>
          </w:tcPr>
          <w:p w14:paraId="5B1B4DA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w:t>
            </w:r>
          </w:p>
        </w:tc>
        <w:tc>
          <w:tcPr>
            <w:tcW w:w="600" w:type="dxa"/>
            <w:tcBorders>
              <w:top w:val="nil"/>
              <w:left w:val="nil"/>
              <w:bottom w:val="nil"/>
              <w:right w:val="nil"/>
            </w:tcBorders>
            <w:noWrap/>
            <w:vAlign w:val="bottom"/>
            <w:hideMark/>
          </w:tcPr>
          <w:p w14:paraId="41801B8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00" w:type="dxa"/>
            <w:tcBorders>
              <w:top w:val="nil"/>
              <w:left w:val="nil"/>
              <w:bottom w:val="nil"/>
              <w:right w:val="nil"/>
            </w:tcBorders>
            <w:noWrap/>
            <w:vAlign w:val="bottom"/>
            <w:hideMark/>
          </w:tcPr>
          <w:p w14:paraId="6AADB60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r>
      <w:tr w:rsidR="000F59DA" w:rsidRPr="00202099" w14:paraId="1A0D3D54" w14:textId="77777777" w:rsidTr="002B4E55">
        <w:trPr>
          <w:trHeight w:val="300"/>
        </w:trPr>
        <w:tc>
          <w:tcPr>
            <w:tcW w:w="960" w:type="dxa"/>
            <w:tcBorders>
              <w:top w:val="nil"/>
              <w:left w:val="nil"/>
              <w:bottom w:val="nil"/>
              <w:right w:val="nil"/>
            </w:tcBorders>
            <w:noWrap/>
            <w:vAlign w:val="bottom"/>
            <w:hideMark/>
          </w:tcPr>
          <w:p w14:paraId="74F592A0"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FEB.</w:t>
            </w:r>
          </w:p>
        </w:tc>
        <w:tc>
          <w:tcPr>
            <w:tcW w:w="580" w:type="dxa"/>
            <w:tcBorders>
              <w:top w:val="nil"/>
              <w:left w:val="nil"/>
              <w:bottom w:val="nil"/>
              <w:right w:val="nil"/>
            </w:tcBorders>
            <w:noWrap/>
            <w:vAlign w:val="bottom"/>
            <w:hideMark/>
          </w:tcPr>
          <w:p w14:paraId="0C0707C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844</w:t>
            </w:r>
          </w:p>
        </w:tc>
        <w:tc>
          <w:tcPr>
            <w:tcW w:w="580" w:type="dxa"/>
            <w:tcBorders>
              <w:top w:val="nil"/>
              <w:left w:val="nil"/>
              <w:bottom w:val="nil"/>
              <w:right w:val="nil"/>
            </w:tcBorders>
            <w:noWrap/>
            <w:vAlign w:val="bottom"/>
            <w:hideMark/>
          </w:tcPr>
          <w:p w14:paraId="04C2165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w:t>
            </w:r>
          </w:p>
        </w:tc>
        <w:tc>
          <w:tcPr>
            <w:tcW w:w="580" w:type="dxa"/>
            <w:tcBorders>
              <w:top w:val="nil"/>
              <w:left w:val="nil"/>
              <w:bottom w:val="nil"/>
              <w:right w:val="nil"/>
            </w:tcBorders>
            <w:noWrap/>
            <w:vAlign w:val="bottom"/>
            <w:hideMark/>
          </w:tcPr>
          <w:p w14:paraId="24DEDDA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w:t>
            </w:r>
          </w:p>
        </w:tc>
        <w:tc>
          <w:tcPr>
            <w:tcW w:w="580" w:type="dxa"/>
            <w:tcBorders>
              <w:top w:val="nil"/>
              <w:left w:val="nil"/>
              <w:bottom w:val="nil"/>
              <w:right w:val="nil"/>
            </w:tcBorders>
            <w:noWrap/>
            <w:vAlign w:val="bottom"/>
            <w:hideMark/>
          </w:tcPr>
          <w:p w14:paraId="14EAC47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844</w:t>
            </w:r>
          </w:p>
        </w:tc>
        <w:tc>
          <w:tcPr>
            <w:tcW w:w="620" w:type="dxa"/>
            <w:tcBorders>
              <w:top w:val="nil"/>
              <w:left w:val="nil"/>
              <w:bottom w:val="nil"/>
              <w:right w:val="nil"/>
            </w:tcBorders>
            <w:noWrap/>
            <w:vAlign w:val="bottom"/>
            <w:hideMark/>
          </w:tcPr>
          <w:p w14:paraId="0D7FA67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12</w:t>
            </w:r>
          </w:p>
        </w:tc>
        <w:tc>
          <w:tcPr>
            <w:tcW w:w="620" w:type="dxa"/>
            <w:tcBorders>
              <w:top w:val="nil"/>
              <w:left w:val="nil"/>
              <w:bottom w:val="nil"/>
              <w:right w:val="nil"/>
            </w:tcBorders>
            <w:noWrap/>
            <w:vAlign w:val="bottom"/>
            <w:hideMark/>
          </w:tcPr>
          <w:p w14:paraId="752183D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836</w:t>
            </w:r>
          </w:p>
        </w:tc>
        <w:tc>
          <w:tcPr>
            <w:tcW w:w="610" w:type="dxa"/>
            <w:tcBorders>
              <w:top w:val="nil"/>
              <w:left w:val="nil"/>
              <w:bottom w:val="nil"/>
              <w:right w:val="nil"/>
            </w:tcBorders>
            <w:noWrap/>
            <w:vAlign w:val="bottom"/>
            <w:hideMark/>
          </w:tcPr>
          <w:p w14:paraId="21CB7E7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844</w:t>
            </w:r>
          </w:p>
        </w:tc>
        <w:tc>
          <w:tcPr>
            <w:tcW w:w="610" w:type="dxa"/>
            <w:tcBorders>
              <w:top w:val="nil"/>
              <w:left w:val="nil"/>
              <w:bottom w:val="nil"/>
              <w:right w:val="nil"/>
            </w:tcBorders>
            <w:noWrap/>
            <w:vAlign w:val="bottom"/>
            <w:hideMark/>
          </w:tcPr>
          <w:p w14:paraId="16BF46E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w:t>
            </w:r>
          </w:p>
        </w:tc>
        <w:tc>
          <w:tcPr>
            <w:tcW w:w="630" w:type="dxa"/>
            <w:tcBorders>
              <w:top w:val="nil"/>
              <w:left w:val="nil"/>
              <w:bottom w:val="nil"/>
              <w:right w:val="nil"/>
            </w:tcBorders>
            <w:noWrap/>
            <w:vAlign w:val="bottom"/>
            <w:hideMark/>
          </w:tcPr>
          <w:p w14:paraId="431054E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w:t>
            </w:r>
          </w:p>
        </w:tc>
        <w:tc>
          <w:tcPr>
            <w:tcW w:w="630" w:type="dxa"/>
            <w:tcBorders>
              <w:top w:val="nil"/>
              <w:left w:val="nil"/>
              <w:bottom w:val="nil"/>
              <w:right w:val="nil"/>
            </w:tcBorders>
            <w:noWrap/>
            <w:vAlign w:val="bottom"/>
            <w:hideMark/>
          </w:tcPr>
          <w:p w14:paraId="6494F55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845</w:t>
            </w:r>
          </w:p>
        </w:tc>
        <w:tc>
          <w:tcPr>
            <w:tcW w:w="640" w:type="dxa"/>
            <w:tcBorders>
              <w:top w:val="nil"/>
              <w:left w:val="nil"/>
              <w:bottom w:val="nil"/>
              <w:right w:val="nil"/>
            </w:tcBorders>
            <w:noWrap/>
            <w:vAlign w:val="bottom"/>
            <w:hideMark/>
          </w:tcPr>
          <w:p w14:paraId="4195980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844</w:t>
            </w:r>
          </w:p>
        </w:tc>
        <w:tc>
          <w:tcPr>
            <w:tcW w:w="640" w:type="dxa"/>
            <w:tcBorders>
              <w:top w:val="nil"/>
              <w:left w:val="nil"/>
              <w:bottom w:val="nil"/>
              <w:right w:val="nil"/>
            </w:tcBorders>
            <w:noWrap/>
            <w:vAlign w:val="bottom"/>
            <w:hideMark/>
          </w:tcPr>
          <w:p w14:paraId="22F6E51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w:t>
            </w:r>
          </w:p>
        </w:tc>
        <w:tc>
          <w:tcPr>
            <w:tcW w:w="600" w:type="dxa"/>
            <w:tcBorders>
              <w:top w:val="nil"/>
              <w:left w:val="nil"/>
              <w:bottom w:val="nil"/>
              <w:right w:val="nil"/>
            </w:tcBorders>
            <w:noWrap/>
            <w:vAlign w:val="bottom"/>
            <w:hideMark/>
          </w:tcPr>
          <w:p w14:paraId="74BF904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848</w:t>
            </w:r>
          </w:p>
        </w:tc>
        <w:tc>
          <w:tcPr>
            <w:tcW w:w="600" w:type="dxa"/>
            <w:tcBorders>
              <w:top w:val="nil"/>
              <w:left w:val="nil"/>
              <w:bottom w:val="nil"/>
              <w:right w:val="nil"/>
            </w:tcBorders>
            <w:noWrap/>
            <w:vAlign w:val="bottom"/>
            <w:hideMark/>
          </w:tcPr>
          <w:p w14:paraId="740FB7D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r>
      <w:tr w:rsidR="000F59DA" w:rsidRPr="00202099" w14:paraId="2AAE4AFA" w14:textId="77777777" w:rsidTr="002B4E55">
        <w:trPr>
          <w:trHeight w:val="300"/>
        </w:trPr>
        <w:tc>
          <w:tcPr>
            <w:tcW w:w="960" w:type="dxa"/>
            <w:tcBorders>
              <w:top w:val="nil"/>
              <w:left w:val="nil"/>
              <w:bottom w:val="nil"/>
              <w:right w:val="nil"/>
            </w:tcBorders>
            <w:noWrap/>
            <w:vAlign w:val="bottom"/>
            <w:hideMark/>
          </w:tcPr>
          <w:p w14:paraId="08F6813B"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MAR.</w:t>
            </w:r>
          </w:p>
        </w:tc>
        <w:tc>
          <w:tcPr>
            <w:tcW w:w="580" w:type="dxa"/>
            <w:tcBorders>
              <w:top w:val="nil"/>
              <w:left w:val="nil"/>
              <w:bottom w:val="nil"/>
              <w:right w:val="nil"/>
            </w:tcBorders>
            <w:noWrap/>
            <w:vAlign w:val="bottom"/>
            <w:hideMark/>
          </w:tcPr>
          <w:p w14:paraId="73C8735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901</w:t>
            </w:r>
          </w:p>
        </w:tc>
        <w:tc>
          <w:tcPr>
            <w:tcW w:w="580" w:type="dxa"/>
            <w:tcBorders>
              <w:top w:val="nil"/>
              <w:left w:val="nil"/>
              <w:bottom w:val="nil"/>
              <w:right w:val="nil"/>
            </w:tcBorders>
            <w:noWrap/>
            <w:vAlign w:val="bottom"/>
            <w:hideMark/>
          </w:tcPr>
          <w:p w14:paraId="6BFEF38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29</w:t>
            </w:r>
          </w:p>
        </w:tc>
        <w:tc>
          <w:tcPr>
            <w:tcW w:w="580" w:type="dxa"/>
            <w:tcBorders>
              <w:top w:val="nil"/>
              <w:left w:val="nil"/>
              <w:bottom w:val="nil"/>
              <w:right w:val="nil"/>
            </w:tcBorders>
            <w:noWrap/>
            <w:vAlign w:val="bottom"/>
            <w:hideMark/>
          </w:tcPr>
          <w:p w14:paraId="2ED1712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27</w:t>
            </w:r>
          </w:p>
        </w:tc>
        <w:tc>
          <w:tcPr>
            <w:tcW w:w="580" w:type="dxa"/>
            <w:tcBorders>
              <w:top w:val="nil"/>
              <w:left w:val="nil"/>
              <w:bottom w:val="nil"/>
              <w:right w:val="nil"/>
            </w:tcBorders>
            <w:noWrap/>
            <w:vAlign w:val="bottom"/>
            <w:hideMark/>
          </w:tcPr>
          <w:p w14:paraId="33EF1A1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903</w:t>
            </w:r>
          </w:p>
        </w:tc>
        <w:tc>
          <w:tcPr>
            <w:tcW w:w="620" w:type="dxa"/>
            <w:tcBorders>
              <w:top w:val="nil"/>
              <w:left w:val="nil"/>
              <w:bottom w:val="nil"/>
              <w:right w:val="nil"/>
            </w:tcBorders>
            <w:noWrap/>
            <w:vAlign w:val="bottom"/>
            <w:hideMark/>
          </w:tcPr>
          <w:p w14:paraId="76C9E42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48</w:t>
            </w:r>
          </w:p>
        </w:tc>
        <w:tc>
          <w:tcPr>
            <w:tcW w:w="620" w:type="dxa"/>
            <w:tcBorders>
              <w:top w:val="nil"/>
              <w:left w:val="nil"/>
              <w:bottom w:val="nil"/>
              <w:right w:val="nil"/>
            </w:tcBorders>
            <w:noWrap/>
            <w:vAlign w:val="bottom"/>
            <w:hideMark/>
          </w:tcPr>
          <w:p w14:paraId="3A41FA7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882</w:t>
            </w:r>
          </w:p>
        </w:tc>
        <w:tc>
          <w:tcPr>
            <w:tcW w:w="610" w:type="dxa"/>
            <w:tcBorders>
              <w:top w:val="nil"/>
              <w:left w:val="nil"/>
              <w:bottom w:val="nil"/>
              <w:right w:val="nil"/>
            </w:tcBorders>
            <w:noWrap/>
            <w:vAlign w:val="bottom"/>
            <w:hideMark/>
          </w:tcPr>
          <w:p w14:paraId="10337D4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884</w:t>
            </w:r>
          </w:p>
        </w:tc>
        <w:tc>
          <w:tcPr>
            <w:tcW w:w="610" w:type="dxa"/>
            <w:tcBorders>
              <w:top w:val="nil"/>
              <w:left w:val="nil"/>
              <w:bottom w:val="nil"/>
              <w:right w:val="nil"/>
            </w:tcBorders>
            <w:noWrap/>
            <w:vAlign w:val="bottom"/>
            <w:hideMark/>
          </w:tcPr>
          <w:p w14:paraId="2259EDE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46</w:t>
            </w:r>
          </w:p>
        </w:tc>
        <w:tc>
          <w:tcPr>
            <w:tcW w:w="630" w:type="dxa"/>
            <w:tcBorders>
              <w:top w:val="nil"/>
              <w:left w:val="nil"/>
              <w:bottom w:val="nil"/>
              <w:right w:val="nil"/>
            </w:tcBorders>
            <w:noWrap/>
            <w:vAlign w:val="bottom"/>
            <w:hideMark/>
          </w:tcPr>
          <w:p w14:paraId="6F0879F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19</w:t>
            </w:r>
          </w:p>
        </w:tc>
        <w:tc>
          <w:tcPr>
            <w:tcW w:w="630" w:type="dxa"/>
            <w:tcBorders>
              <w:top w:val="nil"/>
              <w:left w:val="nil"/>
              <w:bottom w:val="nil"/>
              <w:right w:val="nil"/>
            </w:tcBorders>
            <w:noWrap/>
            <w:vAlign w:val="bottom"/>
            <w:hideMark/>
          </w:tcPr>
          <w:p w14:paraId="333C5B7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911</w:t>
            </w:r>
          </w:p>
        </w:tc>
        <w:tc>
          <w:tcPr>
            <w:tcW w:w="640" w:type="dxa"/>
            <w:tcBorders>
              <w:top w:val="nil"/>
              <w:left w:val="nil"/>
              <w:bottom w:val="nil"/>
              <w:right w:val="nil"/>
            </w:tcBorders>
            <w:noWrap/>
            <w:vAlign w:val="bottom"/>
            <w:hideMark/>
          </w:tcPr>
          <w:p w14:paraId="2D8DB09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914</w:t>
            </w:r>
          </w:p>
        </w:tc>
        <w:tc>
          <w:tcPr>
            <w:tcW w:w="640" w:type="dxa"/>
            <w:tcBorders>
              <w:top w:val="nil"/>
              <w:left w:val="nil"/>
              <w:bottom w:val="nil"/>
              <w:right w:val="nil"/>
            </w:tcBorders>
            <w:noWrap/>
            <w:vAlign w:val="bottom"/>
            <w:hideMark/>
          </w:tcPr>
          <w:p w14:paraId="2FBC217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16</w:t>
            </w:r>
          </w:p>
        </w:tc>
        <w:tc>
          <w:tcPr>
            <w:tcW w:w="600" w:type="dxa"/>
            <w:tcBorders>
              <w:top w:val="nil"/>
              <w:left w:val="nil"/>
              <w:bottom w:val="nil"/>
              <w:right w:val="nil"/>
            </w:tcBorders>
            <w:noWrap/>
            <w:vAlign w:val="bottom"/>
            <w:hideMark/>
          </w:tcPr>
          <w:p w14:paraId="5F5D9EB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915</w:t>
            </w:r>
          </w:p>
        </w:tc>
        <w:tc>
          <w:tcPr>
            <w:tcW w:w="600" w:type="dxa"/>
            <w:tcBorders>
              <w:top w:val="nil"/>
              <w:left w:val="nil"/>
              <w:bottom w:val="nil"/>
              <w:right w:val="nil"/>
            </w:tcBorders>
            <w:noWrap/>
            <w:vAlign w:val="bottom"/>
            <w:hideMark/>
          </w:tcPr>
          <w:p w14:paraId="259D9D7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15</w:t>
            </w:r>
          </w:p>
        </w:tc>
      </w:tr>
      <w:tr w:rsidR="000F59DA" w:rsidRPr="00202099" w14:paraId="7F2C8620" w14:textId="77777777" w:rsidTr="002B4E55">
        <w:trPr>
          <w:trHeight w:val="300"/>
        </w:trPr>
        <w:tc>
          <w:tcPr>
            <w:tcW w:w="960" w:type="dxa"/>
            <w:tcBorders>
              <w:top w:val="nil"/>
              <w:left w:val="nil"/>
              <w:bottom w:val="nil"/>
              <w:right w:val="nil"/>
            </w:tcBorders>
            <w:noWrap/>
            <w:vAlign w:val="bottom"/>
            <w:hideMark/>
          </w:tcPr>
          <w:p w14:paraId="7B7F188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APR.</w:t>
            </w:r>
          </w:p>
        </w:tc>
        <w:tc>
          <w:tcPr>
            <w:tcW w:w="580" w:type="dxa"/>
            <w:tcBorders>
              <w:top w:val="nil"/>
              <w:left w:val="nil"/>
              <w:bottom w:val="nil"/>
              <w:right w:val="nil"/>
            </w:tcBorders>
            <w:noWrap/>
            <w:vAlign w:val="bottom"/>
            <w:hideMark/>
          </w:tcPr>
          <w:p w14:paraId="55DC1C3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600</w:t>
            </w:r>
          </w:p>
        </w:tc>
        <w:tc>
          <w:tcPr>
            <w:tcW w:w="580" w:type="dxa"/>
            <w:tcBorders>
              <w:top w:val="nil"/>
              <w:left w:val="nil"/>
              <w:bottom w:val="nil"/>
              <w:right w:val="nil"/>
            </w:tcBorders>
            <w:noWrap/>
            <w:vAlign w:val="bottom"/>
            <w:hideMark/>
          </w:tcPr>
          <w:p w14:paraId="7832BCC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300</w:t>
            </w:r>
          </w:p>
        </w:tc>
        <w:tc>
          <w:tcPr>
            <w:tcW w:w="580" w:type="dxa"/>
            <w:tcBorders>
              <w:top w:val="nil"/>
              <w:left w:val="nil"/>
              <w:bottom w:val="nil"/>
              <w:right w:val="nil"/>
            </w:tcBorders>
            <w:noWrap/>
            <w:vAlign w:val="bottom"/>
            <w:hideMark/>
          </w:tcPr>
          <w:p w14:paraId="4D81CA0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182</w:t>
            </w:r>
          </w:p>
        </w:tc>
        <w:tc>
          <w:tcPr>
            <w:tcW w:w="580" w:type="dxa"/>
            <w:tcBorders>
              <w:top w:val="nil"/>
              <w:left w:val="nil"/>
              <w:bottom w:val="nil"/>
              <w:right w:val="nil"/>
            </w:tcBorders>
            <w:noWrap/>
            <w:vAlign w:val="bottom"/>
            <w:hideMark/>
          </w:tcPr>
          <w:p w14:paraId="072F77C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718</w:t>
            </w:r>
          </w:p>
        </w:tc>
        <w:tc>
          <w:tcPr>
            <w:tcW w:w="620" w:type="dxa"/>
            <w:tcBorders>
              <w:top w:val="nil"/>
              <w:left w:val="nil"/>
              <w:bottom w:val="nil"/>
              <w:right w:val="nil"/>
            </w:tcBorders>
            <w:noWrap/>
            <w:vAlign w:val="bottom"/>
            <w:hideMark/>
          </w:tcPr>
          <w:p w14:paraId="4313115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199</w:t>
            </w:r>
          </w:p>
        </w:tc>
        <w:tc>
          <w:tcPr>
            <w:tcW w:w="620" w:type="dxa"/>
            <w:tcBorders>
              <w:top w:val="nil"/>
              <w:left w:val="nil"/>
              <w:bottom w:val="nil"/>
              <w:right w:val="nil"/>
            </w:tcBorders>
            <w:noWrap/>
            <w:vAlign w:val="bottom"/>
            <w:hideMark/>
          </w:tcPr>
          <w:p w14:paraId="4D8C2C3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701</w:t>
            </w:r>
          </w:p>
        </w:tc>
        <w:tc>
          <w:tcPr>
            <w:tcW w:w="610" w:type="dxa"/>
            <w:tcBorders>
              <w:top w:val="nil"/>
              <w:left w:val="nil"/>
              <w:bottom w:val="nil"/>
              <w:right w:val="nil"/>
            </w:tcBorders>
            <w:noWrap/>
            <w:vAlign w:val="bottom"/>
            <w:hideMark/>
          </w:tcPr>
          <w:p w14:paraId="1589010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768</w:t>
            </w:r>
          </w:p>
        </w:tc>
        <w:tc>
          <w:tcPr>
            <w:tcW w:w="610" w:type="dxa"/>
            <w:tcBorders>
              <w:top w:val="nil"/>
              <w:left w:val="nil"/>
              <w:bottom w:val="nil"/>
              <w:right w:val="nil"/>
            </w:tcBorders>
            <w:noWrap/>
            <w:vAlign w:val="bottom"/>
            <w:hideMark/>
          </w:tcPr>
          <w:p w14:paraId="43F8B16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132</w:t>
            </w:r>
          </w:p>
        </w:tc>
        <w:tc>
          <w:tcPr>
            <w:tcW w:w="630" w:type="dxa"/>
            <w:tcBorders>
              <w:top w:val="nil"/>
              <w:left w:val="nil"/>
              <w:bottom w:val="nil"/>
              <w:right w:val="nil"/>
            </w:tcBorders>
            <w:noWrap/>
            <w:vAlign w:val="bottom"/>
            <w:hideMark/>
          </w:tcPr>
          <w:p w14:paraId="36BB543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202</w:t>
            </w:r>
          </w:p>
        </w:tc>
        <w:tc>
          <w:tcPr>
            <w:tcW w:w="630" w:type="dxa"/>
            <w:tcBorders>
              <w:top w:val="nil"/>
              <w:left w:val="nil"/>
              <w:bottom w:val="nil"/>
              <w:right w:val="nil"/>
            </w:tcBorders>
            <w:noWrap/>
            <w:vAlign w:val="bottom"/>
            <w:hideMark/>
          </w:tcPr>
          <w:p w14:paraId="4B9A0BC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698</w:t>
            </w:r>
          </w:p>
        </w:tc>
        <w:tc>
          <w:tcPr>
            <w:tcW w:w="640" w:type="dxa"/>
            <w:tcBorders>
              <w:top w:val="nil"/>
              <w:left w:val="nil"/>
              <w:bottom w:val="nil"/>
              <w:right w:val="nil"/>
            </w:tcBorders>
            <w:noWrap/>
            <w:vAlign w:val="bottom"/>
            <w:hideMark/>
          </w:tcPr>
          <w:p w14:paraId="6FC3D18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744</w:t>
            </w:r>
          </w:p>
        </w:tc>
        <w:tc>
          <w:tcPr>
            <w:tcW w:w="640" w:type="dxa"/>
            <w:tcBorders>
              <w:top w:val="nil"/>
              <w:left w:val="nil"/>
              <w:bottom w:val="nil"/>
              <w:right w:val="nil"/>
            </w:tcBorders>
            <w:noWrap/>
            <w:vAlign w:val="bottom"/>
            <w:hideMark/>
          </w:tcPr>
          <w:p w14:paraId="4649ECE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156</w:t>
            </w:r>
          </w:p>
        </w:tc>
        <w:tc>
          <w:tcPr>
            <w:tcW w:w="600" w:type="dxa"/>
            <w:tcBorders>
              <w:top w:val="nil"/>
              <w:left w:val="nil"/>
              <w:bottom w:val="nil"/>
              <w:right w:val="nil"/>
            </w:tcBorders>
            <w:noWrap/>
            <w:vAlign w:val="bottom"/>
            <w:hideMark/>
          </w:tcPr>
          <w:p w14:paraId="1D12311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703</w:t>
            </w:r>
          </w:p>
        </w:tc>
        <w:tc>
          <w:tcPr>
            <w:tcW w:w="600" w:type="dxa"/>
            <w:tcBorders>
              <w:top w:val="nil"/>
              <w:left w:val="nil"/>
              <w:bottom w:val="nil"/>
              <w:right w:val="nil"/>
            </w:tcBorders>
            <w:noWrap/>
            <w:vAlign w:val="bottom"/>
            <w:hideMark/>
          </w:tcPr>
          <w:p w14:paraId="5DF0EFC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197</w:t>
            </w:r>
          </w:p>
        </w:tc>
      </w:tr>
      <w:tr w:rsidR="000F59DA" w:rsidRPr="00202099" w14:paraId="177E80FF" w14:textId="77777777" w:rsidTr="002B4E55">
        <w:trPr>
          <w:trHeight w:val="300"/>
        </w:trPr>
        <w:tc>
          <w:tcPr>
            <w:tcW w:w="960" w:type="dxa"/>
            <w:tcBorders>
              <w:top w:val="nil"/>
              <w:left w:val="nil"/>
              <w:bottom w:val="nil"/>
              <w:right w:val="nil"/>
            </w:tcBorders>
            <w:noWrap/>
            <w:vAlign w:val="bottom"/>
            <w:hideMark/>
          </w:tcPr>
          <w:p w14:paraId="6A228716"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MAY</w:t>
            </w:r>
          </w:p>
        </w:tc>
        <w:tc>
          <w:tcPr>
            <w:tcW w:w="580" w:type="dxa"/>
            <w:tcBorders>
              <w:top w:val="nil"/>
              <w:left w:val="nil"/>
              <w:bottom w:val="nil"/>
              <w:right w:val="nil"/>
            </w:tcBorders>
            <w:noWrap/>
            <w:vAlign w:val="bottom"/>
            <w:hideMark/>
          </w:tcPr>
          <w:p w14:paraId="49A554C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501</w:t>
            </w:r>
          </w:p>
        </w:tc>
        <w:tc>
          <w:tcPr>
            <w:tcW w:w="580" w:type="dxa"/>
            <w:tcBorders>
              <w:top w:val="nil"/>
              <w:left w:val="nil"/>
              <w:bottom w:val="nil"/>
              <w:right w:val="nil"/>
            </w:tcBorders>
            <w:noWrap/>
            <w:vAlign w:val="bottom"/>
            <w:hideMark/>
          </w:tcPr>
          <w:p w14:paraId="66B2EEF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429</w:t>
            </w:r>
          </w:p>
        </w:tc>
        <w:tc>
          <w:tcPr>
            <w:tcW w:w="580" w:type="dxa"/>
            <w:tcBorders>
              <w:top w:val="nil"/>
              <w:left w:val="nil"/>
              <w:bottom w:val="nil"/>
              <w:right w:val="nil"/>
            </w:tcBorders>
            <w:noWrap/>
            <w:vAlign w:val="bottom"/>
            <w:hideMark/>
          </w:tcPr>
          <w:p w14:paraId="7986B0A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347</w:t>
            </w:r>
          </w:p>
        </w:tc>
        <w:tc>
          <w:tcPr>
            <w:tcW w:w="580" w:type="dxa"/>
            <w:tcBorders>
              <w:top w:val="nil"/>
              <w:left w:val="nil"/>
              <w:bottom w:val="nil"/>
              <w:right w:val="nil"/>
            </w:tcBorders>
            <w:noWrap/>
            <w:vAlign w:val="bottom"/>
            <w:hideMark/>
          </w:tcPr>
          <w:p w14:paraId="3F32F91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583</w:t>
            </w:r>
          </w:p>
        </w:tc>
        <w:tc>
          <w:tcPr>
            <w:tcW w:w="620" w:type="dxa"/>
            <w:tcBorders>
              <w:top w:val="nil"/>
              <w:left w:val="nil"/>
              <w:bottom w:val="nil"/>
              <w:right w:val="nil"/>
            </w:tcBorders>
            <w:noWrap/>
            <w:vAlign w:val="bottom"/>
            <w:hideMark/>
          </w:tcPr>
          <w:p w14:paraId="218AB0B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379</w:t>
            </w:r>
          </w:p>
        </w:tc>
        <w:tc>
          <w:tcPr>
            <w:tcW w:w="620" w:type="dxa"/>
            <w:tcBorders>
              <w:top w:val="nil"/>
              <w:left w:val="nil"/>
              <w:bottom w:val="nil"/>
              <w:right w:val="nil"/>
            </w:tcBorders>
            <w:noWrap/>
            <w:vAlign w:val="bottom"/>
            <w:hideMark/>
          </w:tcPr>
          <w:p w14:paraId="60AA094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551</w:t>
            </w:r>
          </w:p>
        </w:tc>
        <w:tc>
          <w:tcPr>
            <w:tcW w:w="610" w:type="dxa"/>
            <w:tcBorders>
              <w:top w:val="nil"/>
              <w:left w:val="nil"/>
              <w:bottom w:val="nil"/>
              <w:right w:val="nil"/>
            </w:tcBorders>
            <w:noWrap/>
            <w:vAlign w:val="bottom"/>
            <w:hideMark/>
          </w:tcPr>
          <w:p w14:paraId="7633272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694</w:t>
            </w:r>
          </w:p>
        </w:tc>
        <w:tc>
          <w:tcPr>
            <w:tcW w:w="610" w:type="dxa"/>
            <w:tcBorders>
              <w:top w:val="nil"/>
              <w:left w:val="nil"/>
              <w:bottom w:val="nil"/>
              <w:right w:val="nil"/>
            </w:tcBorders>
            <w:noWrap/>
            <w:vAlign w:val="bottom"/>
            <w:hideMark/>
          </w:tcPr>
          <w:p w14:paraId="237324F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236</w:t>
            </w:r>
          </w:p>
        </w:tc>
        <w:tc>
          <w:tcPr>
            <w:tcW w:w="630" w:type="dxa"/>
            <w:tcBorders>
              <w:top w:val="nil"/>
              <w:left w:val="nil"/>
              <w:bottom w:val="nil"/>
              <w:right w:val="nil"/>
            </w:tcBorders>
            <w:noWrap/>
            <w:vAlign w:val="bottom"/>
            <w:hideMark/>
          </w:tcPr>
          <w:p w14:paraId="135E115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327</w:t>
            </w:r>
          </w:p>
        </w:tc>
        <w:tc>
          <w:tcPr>
            <w:tcW w:w="630" w:type="dxa"/>
            <w:tcBorders>
              <w:top w:val="nil"/>
              <w:left w:val="nil"/>
              <w:bottom w:val="nil"/>
              <w:right w:val="nil"/>
            </w:tcBorders>
            <w:noWrap/>
            <w:vAlign w:val="bottom"/>
            <w:hideMark/>
          </w:tcPr>
          <w:p w14:paraId="1ACC08E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603</w:t>
            </w:r>
          </w:p>
        </w:tc>
        <w:tc>
          <w:tcPr>
            <w:tcW w:w="640" w:type="dxa"/>
            <w:tcBorders>
              <w:top w:val="nil"/>
              <w:left w:val="nil"/>
              <w:bottom w:val="nil"/>
              <w:right w:val="nil"/>
            </w:tcBorders>
            <w:noWrap/>
            <w:vAlign w:val="bottom"/>
            <w:hideMark/>
          </w:tcPr>
          <w:p w14:paraId="207D642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599</w:t>
            </w:r>
          </w:p>
        </w:tc>
        <w:tc>
          <w:tcPr>
            <w:tcW w:w="640" w:type="dxa"/>
            <w:tcBorders>
              <w:top w:val="nil"/>
              <w:left w:val="nil"/>
              <w:bottom w:val="nil"/>
              <w:right w:val="nil"/>
            </w:tcBorders>
            <w:noWrap/>
            <w:vAlign w:val="bottom"/>
            <w:hideMark/>
          </w:tcPr>
          <w:p w14:paraId="0577D96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331</w:t>
            </w:r>
          </w:p>
        </w:tc>
        <w:tc>
          <w:tcPr>
            <w:tcW w:w="600" w:type="dxa"/>
            <w:tcBorders>
              <w:top w:val="nil"/>
              <w:left w:val="nil"/>
              <w:bottom w:val="nil"/>
              <w:right w:val="nil"/>
            </w:tcBorders>
            <w:noWrap/>
            <w:vAlign w:val="bottom"/>
            <w:hideMark/>
          </w:tcPr>
          <w:p w14:paraId="61DCF95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447</w:t>
            </w:r>
          </w:p>
        </w:tc>
        <w:tc>
          <w:tcPr>
            <w:tcW w:w="600" w:type="dxa"/>
            <w:tcBorders>
              <w:top w:val="nil"/>
              <w:left w:val="nil"/>
              <w:bottom w:val="nil"/>
              <w:right w:val="nil"/>
            </w:tcBorders>
            <w:noWrap/>
            <w:vAlign w:val="bottom"/>
            <w:hideMark/>
          </w:tcPr>
          <w:p w14:paraId="7556A17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483</w:t>
            </w:r>
          </w:p>
        </w:tc>
      </w:tr>
      <w:tr w:rsidR="000F59DA" w:rsidRPr="00202099" w14:paraId="3FD30CEB" w14:textId="77777777" w:rsidTr="002B4E55">
        <w:trPr>
          <w:trHeight w:val="300"/>
        </w:trPr>
        <w:tc>
          <w:tcPr>
            <w:tcW w:w="960" w:type="dxa"/>
            <w:tcBorders>
              <w:top w:val="nil"/>
              <w:left w:val="nil"/>
              <w:bottom w:val="nil"/>
              <w:right w:val="nil"/>
            </w:tcBorders>
            <w:noWrap/>
            <w:vAlign w:val="bottom"/>
            <w:hideMark/>
          </w:tcPr>
          <w:p w14:paraId="6B2773DA"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JUN.</w:t>
            </w:r>
          </w:p>
        </w:tc>
        <w:tc>
          <w:tcPr>
            <w:tcW w:w="580" w:type="dxa"/>
            <w:tcBorders>
              <w:top w:val="nil"/>
              <w:left w:val="nil"/>
              <w:bottom w:val="nil"/>
              <w:right w:val="nil"/>
            </w:tcBorders>
            <w:noWrap/>
            <w:vAlign w:val="bottom"/>
            <w:hideMark/>
          </w:tcPr>
          <w:p w14:paraId="63945B6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365</w:t>
            </w:r>
          </w:p>
        </w:tc>
        <w:tc>
          <w:tcPr>
            <w:tcW w:w="580" w:type="dxa"/>
            <w:tcBorders>
              <w:top w:val="nil"/>
              <w:left w:val="nil"/>
              <w:bottom w:val="nil"/>
              <w:right w:val="nil"/>
            </w:tcBorders>
            <w:noWrap/>
            <w:vAlign w:val="bottom"/>
            <w:hideMark/>
          </w:tcPr>
          <w:p w14:paraId="4D830C6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535</w:t>
            </w:r>
          </w:p>
        </w:tc>
        <w:tc>
          <w:tcPr>
            <w:tcW w:w="580" w:type="dxa"/>
            <w:tcBorders>
              <w:top w:val="nil"/>
              <w:left w:val="nil"/>
              <w:bottom w:val="nil"/>
              <w:right w:val="nil"/>
            </w:tcBorders>
            <w:noWrap/>
            <w:vAlign w:val="bottom"/>
            <w:hideMark/>
          </w:tcPr>
          <w:p w14:paraId="3780B08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412</w:t>
            </w:r>
          </w:p>
        </w:tc>
        <w:tc>
          <w:tcPr>
            <w:tcW w:w="580" w:type="dxa"/>
            <w:tcBorders>
              <w:top w:val="nil"/>
              <w:left w:val="nil"/>
              <w:bottom w:val="nil"/>
              <w:right w:val="nil"/>
            </w:tcBorders>
            <w:noWrap/>
            <w:vAlign w:val="bottom"/>
            <w:hideMark/>
          </w:tcPr>
          <w:p w14:paraId="5F00F95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488</w:t>
            </w:r>
          </w:p>
        </w:tc>
        <w:tc>
          <w:tcPr>
            <w:tcW w:w="620" w:type="dxa"/>
            <w:tcBorders>
              <w:top w:val="nil"/>
              <w:left w:val="nil"/>
              <w:bottom w:val="nil"/>
              <w:right w:val="nil"/>
            </w:tcBorders>
            <w:noWrap/>
            <w:vAlign w:val="bottom"/>
            <w:hideMark/>
          </w:tcPr>
          <w:p w14:paraId="436A77B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470</w:t>
            </w:r>
          </w:p>
        </w:tc>
        <w:tc>
          <w:tcPr>
            <w:tcW w:w="620" w:type="dxa"/>
            <w:tcBorders>
              <w:top w:val="nil"/>
              <w:left w:val="nil"/>
              <w:bottom w:val="nil"/>
              <w:right w:val="nil"/>
            </w:tcBorders>
            <w:noWrap/>
            <w:vAlign w:val="bottom"/>
            <w:hideMark/>
          </w:tcPr>
          <w:p w14:paraId="667E892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430</w:t>
            </w:r>
          </w:p>
        </w:tc>
        <w:tc>
          <w:tcPr>
            <w:tcW w:w="610" w:type="dxa"/>
            <w:tcBorders>
              <w:top w:val="nil"/>
              <w:left w:val="nil"/>
              <w:bottom w:val="nil"/>
              <w:right w:val="nil"/>
            </w:tcBorders>
            <w:noWrap/>
            <w:vAlign w:val="bottom"/>
            <w:hideMark/>
          </w:tcPr>
          <w:p w14:paraId="1F60A4C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588</w:t>
            </w:r>
          </w:p>
        </w:tc>
        <w:tc>
          <w:tcPr>
            <w:tcW w:w="610" w:type="dxa"/>
            <w:tcBorders>
              <w:top w:val="nil"/>
              <w:left w:val="nil"/>
              <w:bottom w:val="nil"/>
              <w:right w:val="nil"/>
            </w:tcBorders>
            <w:noWrap/>
            <w:vAlign w:val="bottom"/>
            <w:hideMark/>
          </w:tcPr>
          <w:p w14:paraId="599EAA6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312</w:t>
            </w:r>
          </w:p>
        </w:tc>
        <w:tc>
          <w:tcPr>
            <w:tcW w:w="630" w:type="dxa"/>
            <w:tcBorders>
              <w:top w:val="nil"/>
              <w:left w:val="nil"/>
              <w:bottom w:val="nil"/>
              <w:right w:val="nil"/>
            </w:tcBorders>
            <w:noWrap/>
            <w:vAlign w:val="bottom"/>
            <w:hideMark/>
          </w:tcPr>
          <w:p w14:paraId="36FB32A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355</w:t>
            </w:r>
          </w:p>
        </w:tc>
        <w:tc>
          <w:tcPr>
            <w:tcW w:w="630" w:type="dxa"/>
            <w:tcBorders>
              <w:top w:val="nil"/>
              <w:left w:val="nil"/>
              <w:bottom w:val="nil"/>
              <w:right w:val="nil"/>
            </w:tcBorders>
            <w:noWrap/>
            <w:vAlign w:val="bottom"/>
            <w:hideMark/>
          </w:tcPr>
          <w:p w14:paraId="5DD28A8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545</w:t>
            </w:r>
          </w:p>
        </w:tc>
        <w:tc>
          <w:tcPr>
            <w:tcW w:w="640" w:type="dxa"/>
            <w:tcBorders>
              <w:top w:val="nil"/>
              <w:left w:val="nil"/>
              <w:bottom w:val="nil"/>
              <w:right w:val="nil"/>
            </w:tcBorders>
            <w:noWrap/>
            <w:vAlign w:val="bottom"/>
            <w:hideMark/>
          </w:tcPr>
          <w:p w14:paraId="71194BC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476</w:t>
            </w:r>
          </w:p>
        </w:tc>
        <w:tc>
          <w:tcPr>
            <w:tcW w:w="640" w:type="dxa"/>
            <w:tcBorders>
              <w:top w:val="nil"/>
              <w:left w:val="nil"/>
              <w:bottom w:val="nil"/>
              <w:right w:val="nil"/>
            </w:tcBorders>
            <w:noWrap/>
            <w:vAlign w:val="bottom"/>
            <w:hideMark/>
          </w:tcPr>
          <w:p w14:paraId="727D49B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424</w:t>
            </w:r>
          </w:p>
        </w:tc>
        <w:tc>
          <w:tcPr>
            <w:tcW w:w="600" w:type="dxa"/>
            <w:tcBorders>
              <w:top w:val="nil"/>
              <w:left w:val="nil"/>
              <w:bottom w:val="nil"/>
              <w:right w:val="nil"/>
            </w:tcBorders>
            <w:noWrap/>
            <w:vAlign w:val="bottom"/>
            <w:hideMark/>
          </w:tcPr>
          <w:p w14:paraId="4B80E5E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378</w:t>
            </w:r>
          </w:p>
        </w:tc>
        <w:tc>
          <w:tcPr>
            <w:tcW w:w="600" w:type="dxa"/>
            <w:tcBorders>
              <w:top w:val="nil"/>
              <w:left w:val="nil"/>
              <w:bottom w:val="nil"/>
              <w:right w:val="nil"/>
            </w:tcBorders>
            <w:noWrap/>
            <w:vAlign w:val="bottom"/>
            <w:hideMark/>
          </w:tcPr>
          <w:p w14:paraId="2B00268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522</w:t>
            </w:r>
          </w:p>
        </w:tc>
      </w:tr>
      <w:tr w:rsidR="000F59DA" w:rsidRPr="00202099" w14:paraId="575B262F" w14:textId="77777777" w:rsidTr="002B4E55">
        <w:trPr>
          <w:trHeight w:val="300"/>
        </w:trPr>
        <w:tc>
          <w:tcPr>
            <w:tcW w:w="960" w:type="dxa"/>
            <w:tcBorders>
              <w:top w:val="nil"/>
              <w:left w:val="nil"/>
              <w:bottom w:val="nil"/>
              <w:right w:val="nil"/>
            </w:tcBorders>
            <w:noWrap/>
            <w:vAlign w:val="bottom"/>
            <w:hideMark/>
          </w:tcPr>
          <w:p w14:paraId="1EA36139"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JUL.</w:t>
            </w:r>
          </w:p>
        </w:tc>
        <w:tc>
          <w:tcPr>
            <w:tcW w:w="580" w:type="dxa"/>
            <w:tcBorders>
              <w:top w:val="nil"/>
              <w:left w:val="nil"/>
              <w:bottom w:val="nil"/>
              <w:right w:val="nil"/>
            </w:tcBorders>
            <w:noWrap/>
            <w:vAlign w:val="bottom"/>
            <w:hideMark/>
          </w:tcPr>
          <w:p w14:paraId="7CD596F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413</w:t>
            </w:r>
          </w:p>
        </w:tc>
        <w:tc>
          <w:tcPr>
            <w:tcW w:w="580" w:type="dxa"/>
            <w:tcBorders>
              <w:top w:val="nil"/>
              <w:left w:val="nil"/>
              <w:bottom w:val="nil"/>
              <w:right w:val="nil"/>
            </w:tcBorders>
            <w:noWrap/>
            <w:vAlign w:val="bottom"/>
            <w:hideMark/>
          </w:tcPr>
          <w:p w14:paraId="290DFBC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517</w:t>
            </w:r>
          </w:p>
        </w:tc>
        <w:tc>
          <w:tcPr>
            <w:tcW w:w="580" w:type="dxa"/>
            <w:tcBorders>
              <w:top w:val="nil"/>
              <w:left w:val="nil"/>
              <w:bottom w:val="nil"/>
              <w:right w:val="nil"/>
            </w:tcBorders>
            <w:noWrap/>
            <w:vAlign w:val="bottom"/>
            <w:hideMark/>
          </w:tcPr>
          <w:p w14:paraId="18806D4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510</w:t>
            </w:r>
          </w:p>
        </w:tc>
        <w:tc>
          <w:tcPr>
            <w:tcW w:w="580" w:type="dxa"/>
            <w:tcBorders>
              <w:top w:val="nil"/>
              <w:left w:val="nil"/>
              <w:bottom w:val="nil"/>
              <w:right w:val="nil"/>
            </w:tcBorders>
            <w:noWrap/>
            <w:vAlign w:val="bottom"/>
            <w:hideMark/>
          </w:tcPr>
          <w:p w14:paraId="11ED769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420</w:t>
            </w:r>
          </w:p>
        </w:tc>
        <w:tc>
          <w:tcPr>
            <w:tcW w:w="620" w:type="dxa"/>
            <w:tcBorders>
              <w:top w:val="nil"/>
              <w:left w:val="nil"/>
              <w:bottom w:val="nil"/>
              <w:right w:val="nil"/>
            </w:tcBorders>
            <w:noWrap/>
            <w:vAlign w:val="bottom"/>
            <w:hideMark/>
          </w:tcPr>
          <w:p w14:paraId="5DEC50D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587</w:t>
            </w:r>
          </w:p>
        </w:tc>
        <w:tc>
          <w:tcPr>
            <w:tcW w:w="620" w:type="dxa"/>
            <w:tcBorders>
              <w:top w:val="nil"/>
              <w:left w:val="nil"/>
              <w:bottom w:val="nil"/>
              <w:right w:val="nil"/>
            </w:tcBorders>
            <w:noWrap/>
            <w:vAlign w:val="bottom"/>
            <w:hideMark/>
          </w:tcPr>
          <w:p w14:paraId="4DE6CA0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343</w:t>
            </w:r>
          </w:p>
        </w:tc>
        <w:tc>
          <w:tcPr>
            <w:tcW w:w="610" w:type="dxa"/>
            <w:tcBorders>
              <w:top w:val="nil"/>
              <w:left w:val="nil"/>
              <w:bottom w:val="nil"/>
              <w:right w:val="nil"/>
            </w:tcBorders>
            <w:noWrap/>
            <w:vAlign w:val="bottom"/>
            <w:hideMark/>
          </w:tcPr>
          <w:p w14:paraId="29E0908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569</w:t>
            </w:r>
          </w:p>
        </w:tc>
        <w:tc>
          <w:tcPr>
            <w:tcW w:w="610" w:type="dxa"/>
            <w:tcBorders>
              <w:top w:val="nil"/>
              <w:left w:val="nil"/>
              <w:bottom w:val="nil"/>
              <w:right w:val="nil"/>
            </w:tcBorders>
            <w:noWrap/>
            <w:vAlign w:val="bottom"/>
            <w:hideMark/>
          </w:tcPr>
          <w:p w14:paraId="2714A6A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361</w:t>
            </w:r>
          </w:p>
        </w:tc>
        <w:tc>
          <w:tcPr>
            <w:tcW w:w="630" w:type="dxa"/>
            <w:tcBorders>
              <w:top w:val="nil"/>
              <w:left w:val="nil"/>
              <w:bottom w:val="nil"/>
              <w:right w:val="nil"/>
            </w:tcBorders>
            <w:noWrap/>
            <w:vAlign w:val="bottom"/>
            <w:hideMark/>
          </w:tcPr>
          <w:p w14:paraId="5E49AC2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426</w:t>
            </w:r>
          </w:p>
        </w:tc>
        <w:tc>
          <w:tcPr>
            <w:tcW w:w="630" w:type="dxa"/>
            <w:tcBorders>
              <w:top w:val="nil"/>
              <w:left w:val="nil"/>
              <w:bottom w:val="nil"/>
              <w:right w:val="nil"/>
            </w:tcBorders>
            <w:noWrap/>
            <w:vAlign w:val="bottom"/>
            <w:hideMark/>
          </w:tcPr>
          <w:p w14:paraId="4B5D63E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504</w:t>
            </w:r>
          </w:p>
        </w:tc>
        <w:tc>
          <w:tcPr>
            <w:tcW w:w="640" w:type="dxa"/>
            <w:tcBorders>
              <w:top w:val="nil"/>
              <w:left w:val="nil"/>
              <w:bottom w:val="nil"/>
              <w:right w:val="nil"/>
            </w:tcBorders>
            <w:noWrap/>
            <w:vAlign w:val="bottom"/>
            <w:hideMark/>
          </w:tcPr>
          <w:p w14:paraId="58CF513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400</w:t>
            </w:r>
          </w:p>
        </w:tc>
        <w:tc>
          <w:tcPr>
            <w:tcW w:w="640" w:type="dxa"/>
            <w:tcBorders>
              <w:top w:val="nil"/>
              <w:left w:val="nil"/>
              <w:bottom w:val="nil"/>
              <w:right w:val="nil"/>
            </w:tcBorders>
            <w:noWrap/>
            <w:vAlign w:val="bottom"/>
            <w:hideMark/>
          </w:tcPr>
          <w:p w14:paraId="246A935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530</w:t>
            </w:r>
          </w:p>
        </w:tc>
        <w:tc>
          <w:tcPr>
            <w:tcW w:w="600" w:type="dxa"/>
            <w:tcBorders>
              <w:top w:val="nil"/>
              <w:left w:val="nil"/>
              <w:bottom w:val="nil"/>
              <w:right w:val="nil"/>
            </w:tcBorders>
            <w:noWrap/>
            <w:vAlign w:val="bottom"/>
            <w:hideMark/>
          </w:tcPr>
          <w:p w14:paraId="27A2BEC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263</w:t>
            </w:r>
          </w:p>
        </w:tc>
        <w:tc>
          <w:tcPr>
            <w:tcW w:w="600" w:type="dxa"/>
            <w:tcBorders>
              <w:top w:val="nil"/>
              <w:left w:val="nil"/>
              <w:bottom w:val="nil"/>
              <w:right w:val="nil"/>
            </w:tcBorders>
            <w:noWrap/>
            <w:vAlign w:val="bottom"/>
            <w:hideMark/>
          </w:tcPr>
          <w:p w14:paraId="297DBA2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667</w:t>
            </w:r>
          </w:p>
        </w:tc>
      </w:tr>
      <w:tr w:rsidR="000F59DA" w:rsidRPr="00202099" w14:paraId="54858612" w14:textId="77777777" w:rsidTr="002B4E55">
        <w:trPr>
          <w:trHeight w:val="300"/>
        </w:trPr>
        <w:tc>
          <w:tcPr>
            <w:tcW w:w="960" w:type="dxa"/>
            <w:tcBorders>
              <w:top w:val="nil"/>
              <w:left w:val="nil"/>
              <w:bottom w:val="nil"/>
              <w:right w:val="nil"/>
            </w:tcBorders>
            <w:noWrap/>
            <w:vAlign w:val="bottom"/>
            <w:hideMark/>
          </w:tcPr>
          <w:p w14:paraId="5ED4C5DE"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AUG.</w:t>
            </w:r>
          </w:p>
        </w:tc>
        <w:tc>
          <w:tcPr>
            <w:tcW w:w="580" w:type="dxa"/>
            <w:tcBorders>
              <w:top w:val="nil"/>
              <w:left w:val="nil"/>
              <w:bottom w:val="nil"/>
              <w:right w:val="nil"/>
            </w:tcBorders>
            <w:noWrap/>
            <w:vAlign w:val="bottom"/>
            <w:hideMark/>
          </w:tcPr>
          <w:p w14:paraId="23B7CBF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323</w:t>
            </w:r>
          </w:p>
        </w:tc>
        <w:tc>
          <w:tcPr>
            <w:tcW w:w="580" w:type="dxa"/>
            <w:tcBorders>
              <w:top w:val="nil"/>
              <w:left w:val="nil"/>
              <w:bottom w:val="nil"/>
              <w:right w:val="nil"/>
            </w:tcBorders>
            <w:noWrap/>
            <w:vAlign w:val="bottom"/>
            <w:hideMark/>
          </w:tcPr>
          <w:p w14:paraId="5D186EF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607</w:t>
            </w:r>
          </w:p>
        </w:tc>
        <w:tc>
          <w:tcPr>
            <w:tcW w:w="580" w:type="dxa"/>
            <w:tcBorders>
              <w:top w:val="nil"/>
              <w:left w:val="nil"/>
              <w:bottom w:val="nil"/>
              <w:right w:val="nil"/>
            </w:tcBorders>
            <w:noWrap/>
            <w:vAlign w:val="bottom"/>
            <w:hideMark/>
          </w:tcPr>
          <w:p w14:paraId="0D64CD7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560</w:t>
            </w:r>
          </w:p>
        </w:tc>
        <w:tc>
          <w:tcPr>
            <w:tcW w:w="580" w:type="dxa"/>
            <w:tcBorders>
              <w:top w:val="nil"/>
              <w:left w:val="nil"/>
              <w:bottom w:val="nil"/>
              <w:right w:val="nil"/>
            </w:tcBorders>
            <w:noWrap/>
            <w:vAlign w:val="bottom"/>
            <w:hideMark/>
          </w:tcPr>
          <w:p w14:paraId="6F2B5E1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370</w:t>
            </w:r>
          </w:p>
        </w:tc>
        <w:tc>
          <w:tcPr>
            <w:tcW w:w="620" w:type="dxa"/>
            <w:tcBorders>
              <w:top w:val="nil"/>
              <w:left w:val="nil"/>
              <w:bottom w:val="nil"/>
              <w:right w:val="nil"/>
            </w:tcBorders>
            <w:noWrap/>
            <w:vAlign w:val="bottom"/>
            <w:hideMark/>
          </w:tcPr>
          <w:p w14:paraId="6DC58EF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587</w:t>
            </w:r>
          </w:p>
        </w:tc>
        <w:tc>
          <w:tcPr>
            <w:tcW w:w="620" w:type="dxa"/>
            <w:tcBorders>
              <w:top w:val="nil"/>
              <w:left w:val="nil"/>
              <w:bottom w:val="nil"/>
              <w:right w:val="nil"/>
            </w:tcBorders>
            <w:noWrap/>
            <w:vAlign w:val="bottom"/>
            <w:hideMark/>
          </w:tcPr>
          <w:p w14:paraId="4F0A884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343</w:t>
            </w:r>
          </w:p>
        </w:tc>
        <w:tc>
          <w:tcPr>
            <w:tcW w:w="610" w:type="dxa"/>
            <w:tcBorders>
              <w:top w:val="nil"/>
              <w:left w:val="nil"/>
              <w:bottom w:val="nil"/>
              <w:right w:val="nil"/>
            </w:tcBorders>
            <w:noWrap/>
            <w:vAlign w:val="bottom"/>
            <w:hideMark/>
          </w:tcPr>
          <w:p w14:paraId="6219D61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553</w:t>
            </w:r>
          </w:p>
        </w:tc>
        <w:tc>
          <w:tcPr>
            <w:tcW w:w="610" w:type="dxa"/>
            <w:tcBorders>
              <w:top w:val="nil"/>
              <w:left w:val="nil"/>
              <w:bottom w:val="nil"/>
              <w:right w:val="nil"/>
            </w:tcBorders>
            <w:noWrap/>
            <w:vAlign w:val="bottom"/>
            <w:hideMark/>
          </w:tcPr>
          <w:p w14:paraId="14371E3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377</w:t>
            </w:r>
          </w:p>
        </w:tc>
        <w:tc>
          <w:tcPr>
            <w:tcW w:w="630" w:type="dxa"/>
            <w:tcBorders>
              <w:top w:val="nil"/>
              <w:left w:val="nil"/>
              <w:bottom w:val="nil"/>
              <w:right w:val="nil"/>
            </w:tcBorders>
            <w:noWrap/>
            <w:vAlign w:val="bottom"/>
            <w:hideMark/>
          </w:tcPr>
          <w:p w14:paraId="218E6F4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496</w:t>
            </w:r>
          </w:p>
        </w:tc>
        <w:tc>
          <w:tcPr>
            <w:tcW w:w="630" w:type="dxa"/>
            <w:tcBorders>
              <w:top w:val="nil"/>
              <w:left w:val="nil"/>
              <w:bottom w:val="nil"/>
              <w:right w:val="nil"/>
            </w:tcBorders>
            <w:noWrap/>
            <w:vAlign w:val="bottom"/>
            <w:hideMark/>
          </w:tcPr>
          <w:p w14:paraId="7050E8F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434</w:t>
            </w:r>
          </w:p>
        </w:tc>
        <w:tc>
          <w:tcPr>
            <w:tcW w:w="640" w:type="dxa"/>
            <w:tcBorders>
              <w:top w:val="nil"/>
              <w:left w:val="nil"/>
              <w:bottom w:val="nil"/>
              <w:right w:val="nil"/>
            </w:tcBorders>
            <w:noWrap/>
            <w:vAlign w:val="bottom"/>
            <w:hideMark/>
          </w:tcPr>
          <w:p w14:paraId="6B0524B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343</w:t>
            </w:r>
          </w:p>
        </w:tc>
        <w:tc>
          <w:tcPr>
            <w:tcW w:w="640" w:type="dxa"/>
            <w:tcBorders>
              <w:top w:val="nil"/>
              <w:left w:val="nil"/>
              <w:bottom w:val="nil"/>
              <w:right w:val="nil"/>
            </w:tcBorders>
            <w:noWrap/>
            <w:vAlign w:val="bottom"/>
            <w:hideMark/>
          </w:tcPr>
          <w:p w14:paraId="3F5E5F1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587</w:t>
            </w:r>
          </w:p>
        </w:tc>
        <w:tc>
          <w:tcPr>
            <w:tcW w:w="600" w:type="dxa"/>
            <w:tcBorders>
              <w:top w:val="nil"/>
              <w:left w:val="nil"/>
              <w:bottom w:val="nil"/>
              <w:right w:val="nil"/>
            </w:tcBorders>
            <w:noWrap/>
            <w:vAlign w:val="bottom"/>
            <w:hideMark/>
          </w:tcPr>
          <w:p w14:paraId="2273C54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168</w:t>
            </w:r>
          </w:p>
        </w:tc>
        <w:tc>
          <w:tcPr>
            <w:tcW w:w="600" w:type="dxa"/>
            <w:tcBorders>
              <w:top w:val="nil"/>
              <w:left w:val="nil"/>
              <w:bottom w:val="nil"/>
              <w:right w:val="nil"/>
            </w:tcBorders>
            <w:noWrap/>
            <w:vAlign w:val="bottom"/>
            <w:hideMark/>
          </w:tcPr>
          <w:p w14:paraId="4E635A2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762</w:t>
            </w:r>
          </w:p>
        </w:tc>
      </w:tr>
      <w:tr w:rsidR="000F59DA" w:rsidRPr="00202099" w14:paraId="03EE0E0D" w14:textId="77777777" w:rsidTr="002B4E55">
        <w:trPr>
          <w:trHeight w:val="300"/>
        </w:trPr>
        <w:tc>
          <w:tcPr>
            <w:tcW w:w="960" w:type="dxa"/>
            <w:tcBorders>
              <w:top w:val="nil"/>
              <w:left w:val="nil"/>
              <w:bottom w:val="nil"/>
              <w:right w:val="nil"/>
            </w:tcBorders>
            <w:noWrap/>
            <w:vAlign w:val="bottom"/>
            <w:hideMark/>
          </w:tcPr>
          <w:p w14:paraId="21753177"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SEPT.</w:t>
            </w:r>
          </w:p>
        </w:tc>
        <w:tc>
          <w:tcPr>
            <w:tcW w:w="580" w:type="dxa"/>
            <w:tcBorders>
              <w:top w:val="nil"/>
              <w:left w:val="nil"/>
              <w:bottom w:val="nil"/>
              <w:right w:val="nil"/>
            </w:tcBorders>
            <w:noWrap/>
            <w:vAlign w:val="bottom"/>
            <w:hideMark/>
          </w:tcPr>
          <w:p w14:paraId="27F75C4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235</w:t>
            </w:r>
          </w:p>
        </w:tc>
        <w:tc>
          <w:tcPr>
            <w:tcW w:w="580" w:type="dxa"/>
            <w:tcBorders>
              <w:top w:val="nil"/>
              <w:left w:val="nil"/>
              <w:bottom w:val="nil"/>
              <w:right w:val="nil"/>
            </w:tcBorders>
            <w:noWrap/>
            <w:vAlign w:val="bottom"/>
            <w:hideMark/>
          </w:tcPr>
          <w:p w14:paraId="579CC70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665</w:t>
            </w:r>
          </w:p>
        </w:tc>
        <w:tc>
          <w:tcPr>
            <w:tcW w:w="580" w:type="dxa"/>
            <w:tcBorders>
              <w:top w:val="nil"/>
              <w:left w:val="nil"/>
              <w:bottom w:val="nil"/>
              <w:right w:val="nil"/>
            </w:tcBorders>
            <w:noWrap/>
            <w:vAlign w:val="bottom"/>
            <w:hideMark/>
          </w:tcPr>
          <w:p w14:paraId="348CDF5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541</w:t>
            </w:r>
          </w:p>
        </w:tc>
        <w:tc>
          <w:tcPr>
            <w:tcW w:w="580" w:type="dxa"/>
            <w:tcBorders>
              <w:top w:val="nil"/>
              <w:left w:val="nil"/>
              <w:bottom w:val="nil"/>
              <w:right w:val="nil"/>
            </w:tcBorders>
            <w:noWrap/>
            <w:vAlign w:val="bottom"/>
            <w:hideMark/>
          </w:tcPr>
          <w:p w14:paraId="1B61E1F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359</w:t>
            </w:r>
          </w:p>
        </w:tc>
        <w:tc>
          <w:tcPr>
            <w:tcW w:w="620" w:type="dxa"/>
            <w:tcBorders>
              <w:top w:val="nil"/>
              <w:left w:val="nil"/>
              <w:bottom w:val="nil"/>
              <w:right w:val="nil"/>
            </w:tcBorders>
            <w:noWrap/>
            <w:vAlign w:val="bottom"/>
            <w:hideMark/>
          </w:tcPr>
          <w:p w14:paraId="152722F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674</w:t>
            </w:r>
          </w:p>
        </w:tc>
        <w:tc>
          <w:tcPr>
            <w:tcW w:w="620" w:type="dxa"/>
            <w:tcBorders>
              <w:top w:val="nil"/>
              <w:left w:val="nil"/>
              <w:bottom w:val="nil"/>
              <w:right w:val="nil"/>
            </w:tcBorders>
            <w:noWrap/>
            <w:vAlign w:val="bottom"/>
            <w:hideMark/>
          </w:tcPr>
          <w:p w14:paraId="1974395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226</w:t>
            </w:r>
          </w:p>
        </w:tc>
        <w:tc>
          <w:tcPr>
            <w:tcW w:w="610" w:type="dxa"/>
            <w:tcBorders>
              <w:top w:val="nil"/>
              <w:left w:val="nil"/>
              <w:bottom w:val="nil"/>
              <w:right w:val="nil"/>
            </w:tcBorders>
            <w:noWrap/>
            <w:vAlign w:val="bottom"/>
            <w:hideMark/>
          </w:tcPr>
          <w:p w14:paraId="1AC8848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418</w:t>
            </w:r>
          </w:p>
        </w:tc>
        <w:tc>
          <w:tcPr>
            <w:tcW w:w="610" w:type="dxa"/>
            <w:tcBorders>
              <w:top w:val="nil"/>
              <w:left w:val="nil"/>
              <w:bottom w:val="nil"/>
              <w:right w:val="nil"/>
            </w:tcBorders>
            <w:noWrap/>
            <w:vAlign w:val="bottom"/>
            <w:hideMark/>
          </w:tcPr>
          <w:p w14:paraId="1990817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482</w:t>
            </w:r>
          </w:p>
        </w:tc>
        <w:tc>
          <w:tcPr>
            <w:tcW w:w="630" w:type="dxa"/>
            <w:tcBorders>
              <w:top w:val="nil"/>
              <w:left w:val="nil"/>
              <w:bottom w:val="nil"/>
              <w:right w:val="nil"/>
            </w:tcBorders>
            <w:noWrap/>
            <w:vAlign w:val="bottom"/>
            <w:hideMark/>
          </w:tcPr>
          <w:p w14:paraId="57C4617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443</w:t>
            </w:r>
          </w:p>
        </w:tc>
        <w:tc>
          <w:tcPr>
            <w:tcW w:w="630" w:type="dxa"/>
            <w:tcBorders>
              <w:top w:val="nil"/>
              <w:left w:val="nil"/>
              <w:bottom w:val="nil"/>
              <w:right w:val="nil"/>
            </w:tcBorders>
            <w:noWrap/>
            <w:vAlign w:val="bottom"/>
            <w:hideMark/>
          </w:tcPr>
          <w:p w14:paraId="23DBEFE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457</w:t>
            </w:r>
          </w:p>
        </w:tc>
        <w:tc>
          <w:tcPr>
            <w:tcW w:w="640" w:type="dxa"/>
            <w:tcBorders>
              <w:top w:val="nil"/>
              <w:left w:val="nil"/>
              <w:bottom w:val="nil"/>
              <w:right w:val="nil"/>
            </w:tcBorders>
            <w:noWrap/>
            <w:vAlign w:val="bottom"/>
            <w:hideMark/>
          </w:tcPr>
          <w:p w14:paraId="478ED99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304</w:t>
            </w:r>
          </w:p>
        </w:tc>
        <w:tc>
          <w:tcPr>
            <w:tcW w:w="640" w:type="dxa"/>
            <w:tcBorders>
              <w:top w:val="nil"/>
              <w:left w:val="nil"/>
              <w:bottom w:val="nil"/>
              <w:right w:val="nil"/>
            </w:tcBorders>
            <w:noWrap/>
            <w:vAlign w:val="bottom"/>
            <w:hideMark/>
          </w:tcPr>
          <w:p w14:paraId="4E3F496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596</w:t>
            </w:r>
          </w:p>
        </w:tc>
        <w:tc>
          <w:tcPr>
            <w:tcW w:w="600" w:type="dxa"/>
            <w:tcBorders>
              <w:top w:val="nil"/>
              <w:left w:val="nil"/>
              <w:bottom w:val="nil"/>
              <w:right w:val="nil"/>
            </w:tcBorders>
            <w:noWrap/>
            <w:vAlign w:val="bottom"/>
            <w:hideMark/>
          </w:tcPr>
          <w:p w14:paraId="6CF0E24A"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318</w:t>
            </w:r>
          </w:p>
        </w:tc>
        <w:tc>
          <w:tcPr>
            <w:tcW w:w="600" w:type="dxa"/>
            <w:tcBorders>
              <w:top w:val="nil"/>
              <w:left w:val="nil"/>
              <w:bottom w:val="nil"/>
              <w:right w:val="nil"/>
            </w:tcBorders>
            <w:noWrap/>
            <w:vAlign w:val="bottom"/>
            <w:hideMark/>
          </w:tcPr>
          <w:p w14:paraId="70262F3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582</w:t>
            </w:r>
          </w:p>
        </w:tc>
      </w:tr>
      <w:tr w:rsidR="000F59DA" w:rsidRPr="00202099" w14:paraId="3D12D5E8" w14:textId="77777777" w:rsidTr="002B4E55">
        <w:trPr>
          <w:trHeight w:val="300"/>
        </w:trPr>
        <w:tc>
          <w:tcPr>
            <w:tcW w:w="960" w:type="dxa"/>
            <w:tcBorders>
              <w:top w:val="nil"/>
              <w:left w:val="nil"/>
              <w:bottom w:val="nil"/>
              <w:right w:val="nil"/>
            </w:tcBorders>
            <w:noWrap/>
            <w:vAlign w:val="bottom"/>
            <w:hideMark/>
          </w:tcPr>
          <w:p w14:paraId="5E9DBDB2"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OCT.</w:t>
            </w:r>
          </w:p>
        </w:tc>
        <w:tc>
          <w:tcPr>
            <w:tcW w:w="580" w:type="dxa"/>
            <w:tcBorders>
              <w:top w:val="nil"/>
              <w:left w:val="nil"/>
              <w:bottom w:val="nil"/>
              <w:right w:val="nil"/>
            </w:tcBorders>
            <w:noWrap/>
            <w:vAlign w:val="bottom"/>
            <w:hideMark/>
          </w:tcPr>
          <w:p w14:paraId="64833F9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520</w:t>
            </w:r>
          </w:p>
        </w:tc>
        <w:tc>
          <w:tcPr>
            <w:tcW w:w="580" w:type="dxa"/>
            <w:tcBorders>
              <w:top w:val="nil"/>
              <w:left w:val="nil"/>
              <w:bottom w:val="nil"/>
              <w:right w:val="nil"/>
            </w:tcBorders>
            <w:noWrap/>
            <w:vAlign w:val="bottom"/>
            <w:hideMark/>
          </w:tcPr>
          <w:p w14:paraId="1A2C3DB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410</w:t>
            </w:r>
          </w:p>
        </w:tc>
        <w:tc>
          <w:tcPr>
            <w:tcW w:w="580" w:type="dxa"/>
            <w:tcBorders>
              <w:top w:val="nil"/>
              <w:left w:val="nil"/>
              <w:bottom w:val="nil"/>
              <w:right w:val="nil"/>
            </w:tcBorders>
            <w:noWrap/>
            <w:vAlign w:val="bottom"/>
            <w:hideMark/>
          </w:tcPr>
          <w:p w14:paraId="2E4904A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291</w:t>
            </w:r>
          </w:p>
        </w:tc>
        <w:tc>
          <w:tcPr>
            <w:tcW w:w="580" w:type="dxa"/>
            <w:tcBorders>
              <w:top w:val="nil"/>
              <w:left w:val="nil"/>
              <w:bottom w:val="nil"/>
              <w:right w:val="nil"/>
            </w:tcBorders>
            <w:noWrap/>
            <w:vAlign w:val="bottom"/>
            <w:hideMark/>
          </w:tcPr>
          <w:p w14:paraId="42444CB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639</w:t>
            </w:r>
          </w:p>
        </w:tc>
        <w:tc>
          <w:tcPr>
            <w:tcW w:w="620" w:type="dxa"/>
            <w:tcBorders>
              <w:top w:val="nil"/>
              <w:left w:val="nil"/>
              <w:bottom w:val="nil"/>
              <w:right w:val="nil"/>
            </w:tcBorders>
            <w:noWrap/>
            <w:vAlign w:val="bottom"/>
            <w:hideMark/>
          </w:tcPr>
          <w:p w14:paraId="513FDE5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393</w:t>
            </w:r>
          </w:p>
        </w:tc>
        <w:tc>
          <w:tcPr>
            <w:tcW w:w="620" w:type="dxa"/>
            <w:tcBorders>
              <w:top w:val="nil"/>
              <w:left w:val="nil"/>
              <w:bottom w:val="nil"/>
              <w:right w:val="nil"/>
            </w:tcBorders>
            <w:noWrap/>
            <w:vAlign w:val="bottom"/>
            <w:hideMark/>
          </w:tcPr>
          <w:p w14:paraId="1A41DC5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537</w:t>
            </w:r>
          </w:p>
        </w:tc>
        <w:tc>
          <w:tcPr>
            <w:tcW w:w="610" w:type="dxa"/>
            <w:tcBorders>
              <w:top w:val="nil"/>
              <w:left w:val="nil"/>
              <w:bottom w:val="nil"/>
              <w:right w:val="nil"/>
            </w:tcBorders>
            <w:noWrap/>
            <w:vAlign w:val="bottom"/>
            <w:hideMark/>
          </w:tcPr>
          <w:p w14:paraId="6BADDD0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691</w:t>
            </w:r>
          </w:p>
        </w:tc>
        <w:tc>
          <w:tcPr>
            <w:tcW w:w="610" w:type="dxa"/>
            <w:tcBorders>
              <w:top w:val="nil"/>
              <w:left w:val="nil"/>
              <w:bottom w:val="nil"/>
              <w:right w:val="nil"/>
            </w:tcBorders>
            <w:noWrap/>
            <w:vAlign w:val="bottom"/>
            <w:hideMark/>
          </w:tcPr>
          <w:p w14:paraId="08061C7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239</w:t>
            </w:r>
          </w:p>
        </w:tc>
        <w:tc>
          <w:tcPr>
            <w:tcW w:w="630" w:type="dxa"/>
            <w:tcBorders>
              <w:top w:val="nil"/>
              <w:left w:val="nil"/>
              <w:bottom w:val="nil"/>
              <w:right w:val="nil"/>
            </w:tcBorders>
            <w:noWrap/>
            <w:vAlign w:val="bottom"/>
            <w:hideMark/>
          </w:tcPr>
          <w:p w14:paraId="6D7E7B2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233</w:t>
            </w:r>
          </w:p>
        </w:tc>
        <w:tc>
          <w:tcPr>
            <w:tcW w:w="630" w:type="dxa"/>
            <w:tcBorders>
              <w:top w:val="nil"/>
              <w:left w:val="nil"/>
              <w:bottom w:val="nil"/>
              <w:right w:val="nil"/>
            </w:tcBorders>
            <w:noWrap/>
            <w:vAlign w:val="bottom"/>
            <w:hideMark/>
          </w:tcPr>
          <w:p w14:paraId="2847B8C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697</w:t>
            </w:r>
          </w:p>
        </w:tc>
        <w:tc>
          <w:tcPr>
            <w:tcW w:w="640" w:type="dxa"/>
            <w:tcBorders>
              <w:top w:val="nil"/>
              <w:left w:val="nil"/>
              <w:bottom w:val="nil"/>
              <w:right w:val="nil"/>
            </w:tcBorders>
            <w:noWrap/>
            <w:vAlign w:val="bottom"/>
            <w:hideMark/>
          </w:tcPr>
          <w:p w14:paraId="6287641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621</w:t>
            </w:r>
          </w:p>
        </w:tc>
        <w:tc>
          <w:tcPr>
            <w:tcW w:w="640" w:type="dxa"/>
            <w:tcBorders>
              <w:top w:val="nil"/>
              <w:left w:val="nil"/>
              <w:bottom w:val="nil"/>
              <w:right w:val="nil"/>
            </w:tcBorders>
            <w:noWrap/>
            <w:vAlign w:val="bottom"/>
            <w:hideMark/>
          </w:tcPr>
          <w:p w14:paraId="7F184F2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309</w:t>
            </w:r>
          </w:p>
        </w:tc>
        <w:tc>
          <w:tcPr>
            <w:tcW w:w="600" w:type="dxa"/>
            <w:tcBorders>
              <w:top w:val="nil"/>
              <w:left w:val="nil"/>
              <w:bottom w:val="nil"/>
              <w:right w:val="nil"/>
            </w:tcBorders>
            <w:noWrap/>
            <w:vAlign w:val="bottom"/>
            <w:hideMark/>
          </w:tcPr>
          <w:p w14:paraId="62A161D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727</w:t>
            </w:r>
          </w:p>
        </w:tc>
        <w:tc>
          <w:tcPr>
            <w:tcW w:w="600" w:type="dxa"/>
            <w:tcBorders>
              <w:top w:val="nil"/>
              <w:left w:val="nil"/>
              <w:bottom w:val="nil"/>
              <w:right w:val="nil"/>
            </w:tcBorders>
            <w:noWrap/>
            <w:vAlign w:val="bottom"/>
            <w:hideMark/>
          </w:tcPr>
          <w:p w14:paraId="643414E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203</w:t>
            </w:r>
          </w:p>
        </w:tc>
      </w:tr>
      <w:tr w:rsidR="000F59DA" w:rsidRPr="00202099" w14:paraId="221470B2" w14:textId="77777777" w:rsidTr="002B4E55">
        <w:trPr>
          <w:trHeight w:val="300"/>
        </w:trPr>
        <w:tc>
          <w:tcPr>
            <w:tcW w:w="960" w:type="dxa"/>
            <w:tcBorders>
              <w:top w:val="nil"/>
              <w:left w:val="nil"/>
              <w:bottom w:val="nil"/>
              <w:right w:val="nil"/>
            </w:tcBorders>
            <w:noWrap/>
            <w:vAlign w:val="bottom"/>
            <w:hideMark/>
          </w:tcPr>
          <w:p w14:paraId="16A50604"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NOV.</w:t>
            </w:r>
          </w:p>
        </w:tc>
        <w:tc>
          <w:tcPr>
            <w:tcW w:w="580" w:type="dxa"/>
            <w:tcBorders>
              <w:top w:val="nil"/>
              <w:left w:val="nil"/>
              <w:bottom w:val="nil"/>
              <w:right w:val="nil"/>
            </w:tcBorders>
            <w:noWrap/>
            <w:vAlign w:val="bottom"/>
            <w:hideMark/>
          </w:tcPr>
          <w:p w14:paraId="53E48E0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873</w:t>
            </w:r>
          </w:p>
        </w:tc>
        <w:tc>
          <w:tcPr>
            <w:tcW w:w="580" w:type="dxa"/>
            <w:tcBorders>
              <w:top w:val="nil"/>
              <w:left w:val="nil"/>
              <w:bottom w:val="nil"/>
              <w:right w:val="nil"/>
            </w:tcBorders>
            <w:noWrap/>
            <w:vAlign w:val="bottom"/>
            <w:hideMark/>
          </w:tcPr>
          <w:p w14:paraId="0229CD2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27</w:t>
            </w:r>
          </w:p>
        </w:tc>
        <w:tc>
          <w:tcPr>
            <w:tcW w:w="580" w:type="dxa"/>
            <w:tcBorders>
              <w:top w:val="nil"/>
              <w:left w:val="nil"/>
              <w:bottom w:val="nil"/>
              <w:right w:val="nil"/>
            </w:tcBorders>
            <w:noWrap/>
            <w:vAlign w:val="bottom"/>
            <w:hideMark/>
          </w:tcPr>
          <w:p w14:paraId="18B041D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10</w:t>
            </w:r>
          </w:p>
        </w:tc>
        <w:tc>
          <w:tcPr>
            <w:tcW w:w="580" w:type="dxa"/>
            <w:tcBorders>
              <w:top w:val="nil"/>
              <w:left w:val="nil"/>
              <w:bottom w:val="nil"/>
              <w:right w:val="nil"/>
            </w:tcBorders>
            <w:noWrap/>
            <w:vAlign w:val="bottom"/>
            <w:hideMark/>
          </w:tcPr>
          <w:p w14:paraId="3CDB75F5"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890</w:t>
            </w:r>
          </w:p>
        </w:tc>
        <w:tc>
          <w:tcPr>
            <w:tcW w:w="620" w:type="dxa"/>
            <w:tcBorders>
              <w:top w:val="nil"/>
              <w:left w:val="nil"/>
              <w:bottom w:val="nil"/>
              <w:right w:val="nil"/>
            </w:tcBorders>
            <w:noWrap/>
            <w:vAlign w:val="bottom"/>
            <w:hideMark/>
          </w:tcPr>
          <w:p w14:paraId="4A490B1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13</w:t>
            </w:r>
          </w:p>
        </w:tc>
        <w:tc>
          <w:tcPr>
            <w:tcW w:w="620" w:type="dxa"/>
            <w:tcBorders>
              <w:top w:val="nil"/>
              <w:left w:val="nil"/>
              <w:bottom w:val="nil"/>
              <w:right w:val="nil"/>
            </w:tcBorders>
            <w:noWrap/>
            <w:vAlign w:val="bottom"/>
            <w:hideMark/>
          </w:tcPr>
          <w:p w14:paraId="6F3BA8C7"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887</w:t>
            </w:r>
          </w:p>
        </w:tc>
        <w:tc>
          <w:tcPr>
            <w:tcW w:w="610" w:type="dxa"/>
            <w:tcBorders>
              <w:top w:val="nil"/>
              <w:left w:val="nil"/>
              <w:bottom w:val="nil"/>
              <w:right w:val="nil"/>
            </w:tcBorders>
            <w:noWrap/>
            <w:vAlign w:val="bottom"/>
            <w:hideMark/>
          </w:tcPr>
          <w:p w14:paraId="5EC6CD4E"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888</w:t>
            </w:r>
          </w:p>
        </w:tc>
        <w:tc>
          <w:tcPr>
            <w:tcW w:w="610" w:type="dxa"/>
            <w:tcBorders>
              <w:top w:val="nil"/>
              <w:left w:val="nil"/>
              <w:bottom w:val="nil"/>
              <w:right w:val="nil"/>
            </w:tcBorders>
            <w:noWrap/>
            <w:vAlign w:val="bottom"/>
            <w:hideMark/>
          </w:tcPr>
          <w:p w14:paraId="0BBF22A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12</w:t>
            </w:r>
          </w:p>
        </w:tc>
        <w:tc>
          <w:tcPr>
            <w:tcW w:w="630" w:type="dxa"/>
            <w:tcBorders>
              <w:top w:val="nil"/>
              <w:left w:val="nil"/>
              <w:bottom w:val="nil"/>
              <w:right w:val="nil"/>
            </w:tcBorders>
            <w:noWrap/>
            <w:vAlign w:val="bottom"/>
            <w:hideMark/>
          </w:tcPr>
          <w:p w14:paraId="3EA0F0B4"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10</w:t>
            </w:r>
          </w:p>
        </w:tc>
        <w:tc>
          <w:tcPr>
            <w:tcW w:w="630" w:type="dxa"/>
            <w:tcBorders>
              <w:top w:val="nil"/>
              <w:left w:val="nil"/>
              <w:bottom w:val="nil"/>
              <w:right w:val="nil"/>
            </w:tcBorders>
            <w:noWrap/>
            <w:vAlign w:val="bottom"/>
            <w:hideMark/>
          </w:tcPr>
          <w:p w14:paraId="3F3EFE49"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890</w:t>
            </w:r>
          </w:p>
        </w:tc>
        <w:tc>
          <w:tcPr>
            <w:tcW w:w="640" w:type="dxa"/>
            <w:tcBorders>
              <w:top w:val="nil"/>
              <w:left w:val="nil"/>
              <w:bottom w:val="nil"/>
              <w:right w:val="nil"/>
            </w:tcBorders>
            <w:noWrap/>
            <w:vAlign w:val="bottom"/>
            <w:hideMark/>
          </w:tcPr>
          <w:p w14:paraId="6EAE08A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892</w:t>
            </w:r>
          </w:p>
        </w:tc>
        <w:tc>
          <w:tcPr>
            <w:tcW w:w="640" w:type="dxa"/>
            <w:tcBorders>
              <w:top w:val="nil"/>
              <w:left w:val="nil"/>
              <w:bottom w:val="nil"/>
              <w:right w:val="nil"/>
            </w:tcBorders>
            <w:noWrap/>
            <w:vAlign w:val="bottom"/>
            <w:hideMark/>
          </w:tcPr>
          <w:p w14:paraId="258E586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w:t>
            </w:r>
          </w:p>
        </w:tc>
        <w:tc>
          <w:tcPr>
            <w:tcW w:w="600" w:type="dxa"/>
            <w:tcBorders>
              <w:top w:val="nil"/>
              <w:left w:val="nil"/>
              <w:bottom w:val="nil"/>
              <w:right w:val="nil"/>
            </w:tcBorders>
            <w:noWrap/>
            <w:vAlign w:val="bottom"/>
            <w:hideMark/>
          </w:tcPr>
          <w:p w14:paraId="60E2B67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895</w:t>
            </w:r>
          </w:p>
        </w:tc>
        <w:tc>
          <w:tcPr>
            <w:tcW w:w="600" w:type="dxa"/>
            <w:tcBorders>
              <w:top w:val="nil"/>
              <w:left w:val="nil"/>
              <w:bottom w:val="nil"/>
              <w:right w:val="nil"/>
            </w:tcBorders>
            <w:noWrap/>
            <w:vAlign w:val="bottom"/>
            <w:hideMark/>
          </w:tcPr>
          <w:p w14:paraId="747E086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5</w:t>
            </w:r>
          </w:p>
        </w:tc>
      </w:tr>
      <w:tr w:rsidR="000F59DA" w:rsidRPr="00202099" w14:paraId="699DDACB" w14:textId="77777777" w:rsidTr="002B4E55">
        <w:trPr>
          <w:trHeight w:val="300"/>
        </w:trPr>
        <w:tc>
          <w:tcPr>
            <w:tcW w:w="960" w:type="dxa"/>
            <w:tcBorders>
              <w:top w:val="nil"/>
              <w:left w:val="nil"/>
              <w:bottom w:val="single" w:sz="4" w:space="0" w:color="auto"/>
              <w:right w:val="nil"/>
            </w:tcBorders>
            <w:noWrap/>
            <w:vAlign w:val="bottom"/>
            <w:hideMark/>
          </w:tcPr>
          <w:p w14:paraId="05340F18" w14:textId="77777777" w:rsidR="000F59DA" w:rsidRPr="00202099" w:rsidRDefault="000F59DA" w:rsidP="00202099">
            <w:pPr>
              <w:spacing w:line="360" w:lineRule="auto"/>
              <w:rPr>
                <w:rFonts w:ascii="Arial" w:hAnsi="Arial" w:cs="Arial"/>
                <w:color w:val="000000"/>
              </w:rPr>
            </w:pPr>
            <w:r w:rsidRPr="00202099">
              <w:rPr>
                <w:rFonts w:ascii="Arial" w:hAnsi="Arial" w:cs="Arial"/>
                <w:color w:val="000000"/>
              </w:rPr>
              <w:t>DEC.</w:t>
            </w:r>
          </w:p>
        </w:tc>
        <w:tc>
          <w:tcPr>
            <w:tcW w:w="580" w:type="dxa"/>
            <w:tcBorders>
              <w:top w:val="nil"/>
              <w:left w:val="nil"/>
              <w:bottom w:val="single" w:sz="4" w:space="0" w:color="auto"/>
              <w:right w:val="nil"/>
            </w:tcBorders>
            <w:noWrap/>
            <w:vAlign w:val="bottom"/>
            <w:hideMark/>
          </w:tcPr>
          <w:p w14:paraId="3933C890"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580" w:type="dxa"/>
            <w:tcBorders>
              <w:top w:val="nil"/>
              <w:left w:val="nil"/>
              <w:bottom w:val="single" w:sz="4" w:space="0" w:color="auto"/>
              <w:right w:val="nil"/>
            </w:tcBorders>
            <w:noWrap/>
            <w:vAlign w:val="bottom"/>
            <w:hideMark/>
          </w:tcPr>
          <w:p w14:paraId="12A202A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580" w:type="dxa"/>
            <w:tcBorders>
              <w:top w:val="nil"/>
              <w:left w:val="nil"/>
              <w:bottom w:val="single" w:sz="4" w:space="0" w:color="auto"/>
              <w:right w:val="nil"/>
            </w:tcBorders>
            <w:noWrap/>
            <w:vAlign w:val="bottom"/>
            <w:hideMark/>
          </w:tcPr>
          <w:p w14:paraId="6C4D497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580" w:type="dxa"/>
            <w:tcBorders>
              <w:top w:val="nil"/>
              <w:left w:val="nil"/>
              <w:bottom w:val="single" w:sz="4" w:space="0" w:color="auto"/>
              <w:right w:val="nil"/>
            </w:tcBorders>
            <w:noWrap/>
            <w:vAlign w:val="bottom"/>
            <w:hideMark/>
          </w:tcPr>
          <w:p w14:paraId="6C0830EC"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20" w:type="dxa"/>
            <w:tcBorders>
              <w:top w:val="nil"/>
              <w:left w:val="nil"/>
              <w:bottom w:val="single" w:sz="4" w:space="0" w:color="auto"/>
              <w:right w:val="nil"/>
            </w:tcBorders>
            <w:noWrap/>
            <w:vAlign w:val="bottom"/>
            <w:hideMark/>
          </w:tcPr>
          <w:p w14:paraId="1149ADB8"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620" w:type="dxa"/>
            <w:tcBorders>
              <w:top w:val="nil"/>
              <w:left w:val="nil"/>
              <w:bottom w:val="single" w:sz="4" w:space="0" w:color="auto"/>
              <w:right w:val="nil"/>
            </w:tcBorders>
            <w:noWrap/>
            <w:vAlign w:val="bottom"/>
            <w:hideMark/>
          </w:tcPr>
          <w:p w14:paraId="529A398B"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10" w:type="dxa"/>
            <w:tcBorders>
              <w:top w:val="nil"/>
              <w:left w:val="nil"/>
              <w:bottom w:val="single" w:sz="4" w:space="0" w:color="auto"/>
              <w:right w:val="nil"/>
            </w:tcBorders>
            <w:noWrap/>
            <w:vAlign w:val="bottom"/>
            <w:hideMark/>
          </w:tcPr>
          <w:p w14:paraId="019E713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927</w:t>
            </w:r>
          </w:p>
        </w:tc>
        <w:tc>
          <w:tcPr>
            <w:tcW w:w="610" w:type="dxa"/>
            <w:tcBorders>
              <w:top w:val="nil"/>
              <w:left w:val="nil"/>
              <w:bottom w:val="single" w:sz="4" w:space="0" w:color="auto"/>
              <w:right w:val="nil"/>
            </w:tcBorders>
            <w:noWrap/>
            <w:vAlign w:val="bottom"/>
            <w:hideMark/>
          </w:tcPr>
          <w:p w14:paraId="366973F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3</w:t>
            </w:r>
          </w:p>
        </w:tc>
        <w:tc>
          <w:tcPr>
            <w:tcW w:w="630" w:type="dxa"/>
            <w:tcBorders>
              <w:top w:val="nil"/>
              <w:left w:val="nil"/>
              <w:bottom w:val="single" w:sz="4" w:space="0" w:color="auto"/>
              <w:right w:val="nil"/>
            </w:tcBorders>
            <w:noWrap/>
            <w:vAlign w:val="bottom"/>
            <w:hideMark/>
          </w:tcPr>
          <w:p w14:paraId="06938F2D"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630" w:type="dxa"/>
            <w:tcBorders>
              <w:top w:val="nil"/>
              <w:left w:val="nil"/>
              <w:bottom w:val="single" w:sz="4" w:space="0" w:color="auto"/>
              <w:right w:val="nil"/>
            </w:tcBorders>
            <w:noWrap/>
            <w:vAlign w:val="bottom"/>
            <w:hideMark/>
          </w:tcPr>
          <w:p w14:paraId="65E85D41"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40" w:type="dxa"/>
            <w:tcBorders>
              <w:top w:val="nil"/>
              <w:left w:val="nil"/>
              <w:bottom w:val="single" w:sz="4" w:space="0" w:color="auto"/>
              <w:right w:val="nil"/>
            </w:tcBorders>
            <w:noWrap/>
            <w:vAlign w:val="bottom"/>
            <w:hideMark/>
          </w:tcPr>
          <w:p w14:paraId="1E4E7163"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40" w:type="dxa"/>
            <w:tcBorders>
              <w:top w:val="nil"/>
              <w:left w:val="nil"/>
              <w:bottom w:val="single" w:sz="4" w:space="0" w:color="auto"/>
              <w:right w:val="nil"/>
            </w:tcBorders>
            <w:noWrap/>
            <w:vAlign w:val="bottom"/>
            <w:hideMark/>
          </w:tcPr>
          <w:p w14:paraId="4260B696"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c>
          <w:tcPr>
            <w:tcW w:w="600" w:type="dxa"/>
            <w:tcBorders>
              <w:top w:val="nil"/>
              <w:left w:val="nil"/>
              <w:bottom w:val="single" w:sz="4" w:space="0" w:color="auto"/>
              <w:right w:val="nil"/>
            </w:tcBorders>
            <w:noWrap/>
            <w:vAlign w:val="bottom"/>
            <w:hideMark/>
          </w:tcPr>
          <w:p w14:paraId="1349673F"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930</w:t>
            </w:r>
          </w:p>
        </w:tc>
        <w:tc>
          <w:tcPr>
            <w:tcW w:w="600" w:type="dxa"/>
            <w:tcBorders>
              <w:top w:val="nil"/>
              <w:left w:val="nil"/>
              <w:bottom w:val="single" w:sz="4" w:space="0" w:color="auto"/>
              <w:right w:val="nil"/>
            </w:tcBorders>
            <w:noWrap/>
            <w:vAlign w:val="bottom"/>
            <w:hideMark/>
          </w:tcPr>
          <w:p w14:paraId="020A8BB2" w14:textId="77777777" w:rsidR="000F59DA" w:rsidRPr="00202099" w:rsidRDefault="000F59DA" w:rsidP="00202099">
            <w:pPr>
              <w:spacing w:line="360" w:lineRule="auto"/>
              <w:jc w:val="center"/>
              <w:rPr>
                <w:rFonts w:ascii="Arial" w:hAnsi="Arial" w:cs="Arial"/>
                <w:color w:val="000000"/>
              </w:rPr>
            </w:pPr>
            <w:r w:rsidRPr="00202099">
              <w:rPr>
                <w:rFonts w:ascii="Arial" w:hAnsi="Arial" w:cs="Arial"/>
                <w:color w:val="000000"/>
              </w:rPr>
              <w:t>0</w:t>
            </w:r>
          </w:p>
        </w:tc>
      </w:tr>
    </w:tbl>
    <w:p w14:paraId="67DF8140" w14:textId="77777777" w:rsidR="000F59DA" w:rsidRPr="00202099" w:rsidRDefault="000F59DA" w:rsidP="00202099">
      <w:pPr>
        <w:spacing w:line="360" w:lineRule="auto"/>
        <w:rPr>
          <w:rFonts w:ascii="Arial" w:hAnsi="Arial" w:cs="Arial"/>
        </w:rPr>
      </w:pPr>
      <w:r w:rsidRPr="00202099">
        <w:rPr>
          <w:rFonts w:ascii="Arial" w:hAnsi="Arial" w:cs="Arial"/>
        </w:rPr>
        <w:t>Note: Dry Thermodynamic State (State 1); Wet Thermodynamic State (State 2)</w:t>
      </w:r>
    </w:p>
    <w:p w14:paraId="046E6D7D" w14:textId="7A54F2C9" w:rsidR="000F59DA" w:rsidRPr="00202099" w:rsidRDefault="000F59DA" w:rsidP="00202099">
      <w:pPr>
        <w:pStyle w:val="NormalWeb"/>
        <w:spacing w:line="360" w:lineRule="auto"/>
        <w:jc w:val="both"/>
        <w:rPr>
          <w:rFonts w:ascii="Arial" w:hAnsi="Arial" w:cs="Arial"/>
          <w:sz w:val="20"/>
          <w:szCs w:val="20"/>
        </w:rPr>
      </w:pPr>
      <w:r w:rsidRPr="00202099">
        <w:rPr>
          <w:rFonts w:ascii="Arial" w:hAnsi="Arial" w:cs="Arial"/>
          <w:sz w:val="20"/>
          <w:szCs w:val="20"/>
        </w:rPr>
        <w:t xml:space="preserve">The seasonal distribution of hidden thermodynamic states is shown in Figure </w:t>
      </w:r>
      <w:r w:rsidR="006A0E1B" w:rsidRPr="00202099">
        <w:rPr>
          <w:rFonts w:ascii="Arial" w:hAnsi="Arial" w:cs="Arial"/>
          <w:sz w:val="20"/>
          <w:szCs w:val="20"/>
        </w:rPr>
        <w:t>3</w:t>
      </w:r>
      <w:r w:rsidRPr="00202099">
        <w:rPr>
          <w:rFonts w:ascii="Arial" w:hAnsi="Arial" w:cs="Arial"/>
          <w:sz w:val="20"/>
          <w:szCs w:val="20"/>
        </w:rPr>
        <w:t xml:space="preserve">(a–g). Benue, Plateau, Niger, and Kwara show overwhelming dominance of the dry state throughout the dry season, with probability typically exceeding 0.98. </w:t>
      </w:r>
      <w:r w:rsidR="00BC5280">
        <w:rPr>
          <w:rFonts w:ascii="Arial" w:hAnsi="Arial" w:cs="Arial"/>
          <w:sz w:val="20"/>
          <w:szCs w:val="20"/>
        </w:rPr>
        <w:t xml:space="preserve">During the dry season, Nasarawa, </w:t>
      </w:r>
      <w:r w:rsidRPr="00202099">
        <w:rPr>
          <w:rFonts w:ascii="Arial" w:hAnsi="Arial" w:cs="Arial"/>
          <w:sz w:val="20"/>
          <w:szCs w:val="20"/>
        </w:rPr>
        <w:t xml:space="preserve">FCT, and </w:t>
      </w:r>
      <w:proofErr w:type="spellStart"/>
      <w:r w:rsidRPr="00202099">
        <w:rPr>
          <w:rFonts w:ascii="Arial" w:hAnsi="Arial" w:cs="Arial"/>
          <w:sz w:val="20"/>
          <w:szCs w:val="20"/>
        </w:rPr>
        <w:t>Kogi</w:t>
      </w:r>
      <w:proofErr w:type="spellEnd"/>
      <w:r w:rsidRPr="00202099">
        <w:rPr>
          <w:rFonts w:ascii="Arial" w:hAnsi="Arial" w:cs="Arial"/>
          <w:sz w:val="20"/>
          <w:szCs w:val="20"/>
        </w:rPr>
        <w:t xml:space="preserve"> exhibit significant wet-state dominance. This implies that geographic position, closeness to significant river systems, and deeper monsoon penetration all have an impact on the amount of persistent atmospheric moisture (</w:t>
      </w:r>
      <w:proofErr w:type="spellStart"/>
      <w:r w:rsidRPr="00202099">
        <w:rPr>
          <w:rFonts w:ascii="Arial" w:hAnsi="Arial" w:cs="Arial"/>
          <w:sz w:val="20"/>
          <w:szCs w:val="20"/>
        </w:rPr>
        <w:t>Ibebuchi</w:t>
      </w:r>
      <w:proofErr w:type="spellEnd"/>
      <w:r w:rsidRPr="00202099">
        <w:rPr>
          <w:rFonts w:ascii="Arial" w:hAnsi="Arial" w:cs="Arial"/>
          <w:sz w:val="20"/>
          <w:szCs w:val="20"/>
        </w:rPr>
        <w:t xml:space="preserve"> and Abu, 2023). While sporadic dry spells are still noticeable, especially in Benue and the Plateau, the wet state predominates in most places during the wet season. Mesoscale convective variability and gaps in monsoon flow are linked to this intra-seasonal variability, which has been extensively shown in rainfall studies conducted i</w:t>
      </w:r>
      <w:r w:rsidR="00185D03">
        <w:rPr>
          <w:rFonts w:ascii="Arial" w:hAnsi="Arial" w:cs="Arial"/>
          <w:sz w:val="20"/>
          <w:szCs w:val="20"/>
        </w:rPr>
        <w:t>n Nigeria</w:t>
      </w:r>
      <w:r w:rsidRPr="00202099">
        <w:rPr>
          <w:rFonts w:ascii="Arial" w:hAnsi="Arial" w:cs="Arial"/>
          <w:sz w:val="20"/>
          <w:szCs w:val="20"/>
        </w:rPr>
        <w:t xml:space="preserve">.  </w:t>
      </w:r>
    </w:p>
    <w:p w14:paraId="1B6B03D8" w14:textId="665B92E9" w:rsidR="000F59DA" w:rsidRPr="00202099" w:rsidRDefault="000F59DA" w:rsidP="00202099">
      <w:pPr>
        <w:spacing w:line="360" w:lineRule="auto"/>
        <w:jc w:val="both"/>
        <w:rPr>
          <w:rFonts w:ascii="Arial" w:hAnsi="Arial" w:cs="Arial"/>
        </w:rPr>
      </w:pPr>
      <w:r w:rsidRPr="00202099">
        <w:rPr>
          <w:rFonts w:ascii="Arial" w:hAnsi="Arial" w:cs="Arial"/>
        </w:rPr>
        <w:t xml:space="preserve">Strong dry-state dominance is seen from November to March in the monthly distribution of atmospheric states (Figure </w:t>
      </w:r>
      <w:r w:rsidR="006A0E1B" w:rsidRPr="00202099">
        <w:rPr>
          <w:rFonts w:ascii="Arial" w:hAnsi="Arial" w:cs="Arial"/>
        </w:rPr>
        <w:t>4</w:t>
      </w:r>
      <w:r w:rsidRPr="00202099">
        <w:rPr>
          <w:rFonts w:ascii="Arial" w:hAnsi="Arial" w:cs="Arial"/>
        </w:rPr>
        <w:t xml:space="preserve">[a–g]), particularly in Plateau, Niger, Kwara, and Benue, where dry occurrences surpass 90% in January and February. According to Nicholson (2013), this is in line with the peak Harmattan conditions, which are marked by dry northeasterly winds and lower atmospheric humidity. From April forward, wet-state occurrences rise quickly, with June to September seeing the highest levels of wet dominance. The largest wet-state events occur in August, which explains why Plateau and Benue see their highest rainfall during this month (Table 4). Starting in October, the monsoon retreat is reflected in a steady return to dry-state dominance, which validates the rainfall systems' gradual northward shift and subsequent departure over the Middle Belt. </w:t>
      </w:r>
    </w:p>
    <w:p w14:paraId="737F281E" w14:textId="2F851A99" w:rsidR="000F59DA" w:rsidRPr="00202099" w:rsidRDefault="000F59DA" w:rsidP="00202099">
      <w:pPr>
        <w:spacing w:line="360" w:lineRule="auto"/>
        <w:jc w:val="both"/>
        <w:rPr>
          <w:rFonts w:ascii="Arial" w:hAnsi="Arial" w:cs="Arial"/>
        </w:rPr>
      </w:pPr>
      <w:r w:rsidRPr="00202099">
        <w:rPr>
          <w:rFonts w:ascii="Arial" w:hAnsi="Arial" w:cs="Arial"/>
        </w:rPr>
        <w:lastRenderedPageBreak/>
        <w:br/>
        <w:t xml:space="preserve">The HMM categorization is further validated by the rainfall patterns linked to each hidden thermodynamic state (Figure </w:t>
      </w:r>
      <w:r w:rsidR="006A0E1B" w:rsidRPr="00202099">
        <w:rPr>
          <w:rFonts w:ascii="Arial" w:hAnsi="Arial" w:cs="Arial"/>
        </w:rPr>
        <w:t>5</w:t>
      </w:r>
      <w:r w:rsidRPr="00202099">
        <w:rPr>
          <w:rFonts w:ascii="Arial" w:hAnsi="Arial" w:cs="Arial"/>
        </w:rPr>
        <w:t xml:space="preserve">[a–g]). With cloud shadowing and latent heat release, the wet state shows much larger rainfall accumulation and lower temperature variability, whereas the dry state is linked too little to no rainfall and greater temperature variability. Greater and longer-lasting rainfall events associated with prolonged monsoon impact and moisture convergence are seen in places like Kogi, Nasarawa, and the FCT, which exhibit wider rainfall distributions within the </w:t>
      </w:r>
      <w:r w:rsidR="00185D03">
        <w:rPr>
          <w:rFonts w:ascii="Arial" w:hAnsi="Arial" w:cs="Arial"/>
        </w:rPr>
        <w:t>wet state</w:t>
      </w:r>
      <w:r w:rsidRPr="00202099">
        <w:rPr>
          <w:rFonts w:ascii="Arial" w:hAnsi="Arial" w:cs="Arial"/>
        </w:rPr>
        <w:t>. The two-state HMM effectively represents the primary atmospheric regimes driving the climate of the Middle Belt, as evidenced by the distinct difference between rainfall distributions.</w:t>
      </w:r>
    </w:p>
    <w:p w14:paraId="7032FF02" w14:textId="77777777" w:rsidR="00046962" w:rsidRPr="001D0319" w:rsidRDefault="00046962" w:rsidP="000F59DA">
      <w:pPr>
        <w:spacing w:line="360" w:lineRule="auto"/>
        <w:jc w:val="both"/>
        <w:rPr>
          <w:rFonts w:ascii="Arial" w:hAnsi="Arial" w:cs="Arial"/>
        </w:rPr>
      </w:pPr>
    </w:p>
    <w:p w14:paraId="6F6DD028" w14:textId="77777777" w:rsidR="00B01FCD" w:rsidRDefault="00000F8F" w:rsidP="00441B6F">
      <w:pPr>
        <w:pStyle w:val="ConcHead"/>
        <w:spacing w:after="0"/>
        <w:jc w:val="both"/>
        <w:rPr>
          <w:rFonts w:ascii="Arial" w:hAnsi="Arial" w:cs="Arial"/>
        </w:rPr>
      </w:pPr>
      <w:r>
        <w:rPr>
          <w:rFonts w:ascii="Arial" w:hAnsi="Arial" w:cs="Arial"/>
        </w:rPr>
        <w:t xml:space="preserve">4. </w:t>
      </w:r>
      <w:bookmarkStart w:id="0" w:name="_GoBack"/>
      <w:r w:rsidR="00B01FCD" w:rsidRPr="00FB3A86">
        <w:rPr>
          <w:rFonts w:ascii="Arial" w:hAnsi="Arial" w:cs="Arial"/>
        </w:rPr>
        <w:t>Conclu</w:t>
      </w:r>
      <w:bookmarkEnd w:id="0"/>
      <w:r w:rsidR="00B01FCD" w:rsidRPr="00FB3A86">
        <w:rPr>
          <w:rFonts w:ascii="Arial" w:hAnsi="Arial" w:cs="Arial"/>
        </w:rPr>
        <w:t>sion</w:t>
      </w:r>
    </w:p>
    <w:p w14:paraId="62D7860A" w14:textId="77777777" w:rsidR="00790ADA" w:rsidRPr="00FB3A86" w:rsidRDefault="00790ADA" w:rsidP="00441B6F">
      <w:pPr>
        <w:pStyle w:val="ConcHead"/>
        <w:spacing w:after="0"/>
        <w:jc w:val="both"/>
        <w:rPr>
          <w:rFonts w:ascii="Arial" w:hAnsi="Arial" w:cs="Arial"/>
        </w:rPr>
      </w:pPr>
    </w:p>
    <w:p w14:paraId="1714E1D0" w14:textId="5CC11686" w:rsidR="002B685A" w:rsidRDefault="000F59DA" w:rsidP="00772273">
      <w:pPr>
        <w:pStyle w:val="NormalWeb"/>
        <w:spacing w:before="0" w:beforeAutospacing="0" w:after="0" w:afterAutospacing="0" w:line="360" w:lineRule="auto"/>
        <w:jc w:val="both"/>
        <w:rPr>
          <w:rFonts w:ascii="Arial" w:hAnsi="Arial" w:cs="Arial"/>
          <w:sz w:val="20"/>
          <w:szCs w:val="20"/>
        </w:rPr>
      </w:pPr>
      <w:r w:rsidRPr="001D0319">
        <w:rPr>
          <w:rFonts w:ascii="Arial" w:hAnsi="Arial" w:cs="Arial"/>
          <w:sz w:val="20"/>
          <w:szCs w:val="20"/>
        </w:rPr>
        <w:t>In order to determine the underlying thermodynamic regimes controlling climatic variability in the Middle Belt region of Nigeria, the current study employed a two-state Hidden Markov Model to temperature and rainfall data. The findings show that there are two main equilibrium states that govern the regional climate: a wet thermodynamic state that is linked to increased rainfall and decreased air temperature variability, and a dry thermodynamic state that is characterized by low or zero rainfall amount and high air temperature. The findings show that whereas wet regimes predominate in Kogi, Nasarawa, and the Federal Capital Territory, dry atmospheric conditions are strongly persistent in Benue, Plateau, Niger, and Kwara. The observed persistence is a reflection of atmospheric stability linked to regional circulation patterns and seasonal moisture availability. The results validate that seasonal thermodynamic transitions associated with moisture influx and atmospheric energy balance are the main factors controlling rainfall and temperature variability in the Middle Belt. In addition to supporting climate monitoring, agricultural planning, and hydrological forecasting in the area, the study shows that the two-state HMM offers a computationally efficient and physically interpretable method for analyzing atmospheric regime action. Future studies incorporating multi-variable climatic data and non-stationary modelling approaches could further improve the understanding of rainfall and temperature regime dynamics in the Middle Belt of Nigeria.</w:t>
      </w:r>
    </w:p>
    <w:p w14:paraId="7689ED7D" w14:textId="2468DA4F" w:rsidR="00772273" w:rsidRDefault="00772273" w:rsidP="00772273">
      <w:pPr>
        <w:pStyle w:val="NormalWeb"/>
        <w:spacing w:before="0" w:beforeAutospacing="0" w:after="0" w:afterAutospacing="0" w:line="360" w:lineRule="auto"/>
        <w:jc w:val="both"/>
        <w:rPr>
          <w:rFonts w:ascii="Arial" w:hAnsi="Arial" w:cs="Arial"/>
          <w:b/>
          <w:caps/>
          <w:sz w:val="20"/>
        </w:rPr>
      </w:pPr>
    </w:p>
    <w:p w14:paraId="3003D58C" w14:textId="77777777" w:rsidR="00C65383" w:rsidRPr="00C65383" w:rsidRDefault="00C65383" w:rsidP="00772273">
      <w:pPr>
        <w:pStyle w:val="NoSpacing"/>
        <w:rPr>
          <w:rFonts w:ascii="Arial" w:hAnsi="Arial" w:cs="Arial"/>
          <w:sz w:val="20"/>
          <w:szCs w:val="20"/>
          <w:highlight w:val="yellow"/>
        </w:rPr>
      </w:pPr>
      <w:bookmarkStart w:id="1" w:name="_Hlk219284361"/>
      <w:bookmarkStart w:id="2" w:name="_Hlk198031404"/>
    </w:p>
    <w:p w14:paraId="4028B4B4" w14:textId="77777777" w:rsidR="00772273" w:rsidRPr="00B84B97" w:rsidRDefault="00772273" w:rsidP="00772273">
      <w:pPr>
        <w:pStyle w:val="NoSpacing"/>
        <w:rPr>
          <w:rFonts w:ascii="Arial" w:hAnsi="Arial" w:cs="Arial"/>
          <w:b/>
          <w:sz w:val="20"/>
          <w:szCs w:val="20"/>
        </w:rPr>
      </w:pPr>
      <w:r w:rsidRPr="00B84B97">
        <w:rPr>
          <w:rFonts w:ascii="Arial" w:hAnsi="Arial" w:cs="Arial"/>
          <w:b/>
          <w:sz w:val="20"/>
          <w:szCs w:val="20"/>
        </w:rPr>
        <w:t>Disclaimer (Artificial intelligence)</w:t>
      </w:r>
    </w:p>
    <w:p w14:paraId="74A943F7" w14:textId="77777777" w:rsidR="00772273" w:rsidRPr="00C65383" w:rsidRDefault="00772273" w:rsidP="00772273">
      <w:pPr>
        <w:pStyle w:val="NoSpacing"/>
        <w:rPr>
          <w:rFonts w:ascii="Arial" w:hAnsi="Arial" w:cs="Arial"/>
          <w:sz w:val="20"/>
          <w:szCs w:val="20"/>
        </w:rPr>
      </w:pPr>
    </w:p>
    <w:p w14:paraId="1CA14E1F" w14:textId="77777777" w:rsidR="00772273" w:rsidRPr="00C65383" w:rsidRDefault="00772273" w:rsidP="00772273">
      <w:pPr>
        <w:pStyle w:val="NoSpacing"/>
        <w:rPr>
          <w:rFonts w:ascii="Arial" w:hAnsi="Arial" w:cs="Arial"/>
          <w:sz w:val="20"/>
          <w:szCs w:val="20"/>
        </w:rPr>
      </w:pPr>
      <w:r w:rsidRPr="00C65383">
        <w:rPr>
          <w:rFonts w:ascii="Arial" w:hAnsi="Arial" w:cs="Arial"/>
          <w:sz w:val="20"/>
          <w:szCs w:val="20"/>
        </w:rPr>
        <w:t>Author(s) hereby declare that NO generative AI technologies such as Large Language Models (</w:t>
      </w:r>
      <w:proofErr w:type="spellStart"/>
      <w:r w:rsidRPr="00C65383">
        <w:rPr>
          <w:rFonts w:ascii="Arial" w:hAnsi="Arial" w:cs="Arial"/>
          <w:sz w:val="20"/>
          <w:szCs w:val="20"/>
        </w:rPr>
        <w:t>ChatGPT</w:t>
      </w:r>
      <w:proofErr w:type="spellEnd"/>
      <w:r w:rsidRPr="00C65383">
        <w:rPr>
          <w:rFonts w:ascii="Arial" w:hAnsi="Arial" w:cs="Arial"/>
          <w:sz w:val="20"/>
          <w:szCs w:val="20"/>
        </w:rPr>
        <w:t>, COPILOT, etc.) and text-to-image generators have been used during the writing or editing of this manuscript</w:t>
      </w:r>
      <w:bookmarkEnd w:id="1"/>
      <w:r w:rsidRPr="00C65383">
        <w:rPr>
          <w:rFonts w:ascii="Arial" w:hAnsi="Arial" w:cs="Arial"/>
          <w:sz w:val="20"/>
          <w:szCs w:val="20"/>
        </w:rPr>
        <w:t xml:space="preserve">. </w:t>
      </w:r>
    </w:p>
    <w:bookmarkEnd w:id="2"/>
    <w:p w14:paraId="658BD2F4" w14:textId="77777777" w:rsidR="00772273" w:rsidRDefault="00772273" w:rsidP="00772273">
      <w:pPr>
        <w:pStyle w:val="NormalWeb"/>
        <w:spacing w:before="0" w:beforeAutospacing="0" w:after="0" w:afterAutospacing="0" w:line="360" w:lineRule="auto"/>
        <w:jc w:val="both"/>
        <w:rPr>
          <w:rFonts w:ascii="Arial" w:hAnsi="Arial" w:cs="Arial"/>
          <w:b/>
          <w:caps/>
          <w:sz w:val="20"/>
        </w:rPr>
      </w:pPr>
    </w:p>
    <w:p w14:paraId="10E650D8" w14:textId="77777777" w:rsidR="003E0925" w:rsidRPr="000F59DA" w:rsidRDefault="003E0925" w:rsidP="00441B6F">
      <w:pPr>
        <w:pStyle w:val="ReferHead"/>
        <w:spacing w:after="0"/>
        <w:jc w:val="both"/>
        <w:rPr>
          <w:rFonts w:ascii="Arial" w:hAnsi="Arial" w:cs="Arial"/>
          <w:b w:val="0"/>
          <w:caps w:val="0"/>
          <w:sz w:val="20"/>
        </w:rPr>
      </w:pPr>
    </w:p>
    <w:p w14:paraId="172799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3281F5" w14:textId="77777777" w:rsidR="00790ADA" w:rsidRPr="00FB3A86" w:rsidRDefault="00790ADA" w:rsidP="00441B6F">
      <w:pPr>
        <w:pStyle w:val="ReferHead"/>
        <w:spacing w:after="0"/>
        <w:jc w:val="both"/>
        <w:rPr>
          <w:rFonts w:ascii="Arial" w:hAnsi="Arial" w:cs="Arial"/>
        </w:rPr>
      </w:pPr>
    </w:p>
    <w:p w14:paraId="4FBD6E5D" w14:textId="77777777" w:rsidR="00D675A1" w:rsidRDefault="00D675A1" w:rsidP="00B84B97">
      <w:pPr>
        <w:pStyle w:val="NormalWeb"/>
        <w:numPr>
          <w:ilvl w:val="0"/>
          <w:numId w:val="37"/>
        </w:numPr>
        <w:spacing w:before="0" w:beforeAutospacing="0" w:after="0" w:afterAutospacing="0"/>
        <w:rPr>
          <w:rFonts w:ascii="Arial" w:hAnsi="Arial" w:cs="Arial"/>
          <w:color w:val="0000FF"/>
          <w:sz w:val="20"/>
          <w:szCs w:val="20"/>
          <w:lang w:val="en-IN" w:eastAsia="en-IN"/>
        </w:rPr>
      </w:pPr>
      <w:proofErr w:type="spellStart"/>
      <w:r w:rsidRPr="000A7978">
        <w:rPr>
          <w:rFonts w:ascii="Arial" w:hAnsi="Arial" w:cs="Arial"/>
          <w:sz w:val="20"/>
          <w:szCs w:val="20"/>
        </w:rPr>
        <w:t>Adejuwon</w:t>
      </w:r>
      <w:proofErr w:type="spellEnd"/>
      <w:r w:rsidRPr="000A7978">
        <w:rPr>
          <w:rFonts w:ascii="Arial" w:hAnsi="Arial" w:cs="Arial"/>
          <w:sz w:val="20"/>
          <w:szCs w:val="20"/>
        </w:rPr>
        <w:t xml:space="preserve">, J. O. (2012). Rainfall seasonality in the Niger Delta Belt, Nigeria. </w:t>
      </w:r>
      <w:r w:rsidRPr="000A7978">
        <w:rPr>
          <w:rStyle w:val="Emphasis"/>
          <w:rFonts w:ascii="Arial" w:hAnsi="Arial" w:cs="Arial"/>
          <w:sz w:val="20"/>
          <w:szCs w:val="20"/>
        </w:rPr>
        <w:t>Journal of Geography and Regional Planning, 5</w:t>
      </w:r>
      <w:r w:rsidRPr="000A7978">
        <w:rPr>
          <w:rFonts w:ascii="Arial" w:hAnsi="Arial" w:cs="Arial"/>
          <w:sz w:val="20"/>
          <w:szCs w:val="20"/>
        </w:rPr>
        <w:t xml:space="preserve">(2), 51–60. </w:t>
      </w:r>
      <w:r w:rsidRPr="000A7978">
        <w:rPr>
          <w:rFonts w:ascii="Arial" w:hAnsi="Arial" w:cs="Arial"/>
          <w:b/>
          <w:bCs/>
          <w:sz w:val="20"/>
          <w:szCs w:val="20"/>
          <w:lang w:val="en-IN" w:eastAsia="en-IN"/>
        </w:rPr>
        <w:t>DOI:</w:t>
      </w:r>
      <w:r w:rsidRPr="000A7978">
        <w:rPr>
          <w:rFonts w:ascii="Arial" w:hAnsi="Arial" w:cs="Arial"/>
          <w:sz w:val="20"/>
          <w:szCs w:val="20"/>
          <w:lang w:val="en-IN" w:eastAsia="en-IN"/>
        </w:rPr>
        <w:t xml:space="preserve"> </w:t>
      </w:r>
      <w:hyperlink r:id="rId9" w:history="1">
        <w:r w:rsidRPr="000A7978">
          <w:rPr>
            <w:rFonts w:ascii="Arial" w:hAnsi="Arial" w:cs="Arial"/>
            <w:color w:val="0000FF"/>
            <w:sz w:val="20"/>
            <w:szCs w:val="20"/>
            <w:lang w:val="en-IN" w:eastAsia="en-IN"/>
          </w:rPr>
          <w:t>10.5897/JGRP11.096</w:t>
        </w:r>
      </w:hyperlink>
    </w:p>
    <w:p w14:paraId="6D553D26" w14:textId="77777777" w:rsidR="00D675A1" w:rsidRPr="000A7978" w:rsidRDefault="00D675A1" w:rsidP="00D675A1">
      <w:pPr>
        <w:pStyle w:val="NormalWeb"/>
        <w:spacing w:before="0" w:beforeAutospacing="0" w:after="0" w:afterAutospacing="0"/>
        <w:rPr>
          <w:rFonts w:ascii="Arial" w:hAnsi="Arial" w:cs="Arial"/>
          <w:i/>
          <w:iCs/>
          <w:sz w:val="20"/>
          <w:szCs w:val="20"/>
        </w:rPr>
      </w:pPr>
    </w:p>
    <w:p w14:paraId="313FB942" w14:textId="76918A83" w:rsidR="00D675A1" w:rsidRDefault="00D675A1" w:rsidP="00B84B97">
      <w:pPr>
        <w:pStyle w:val="Default"/>
        <w:numPr>
          <w:ilvl w:val="0"/>
          <w:numId w:val="37"/>
        </w:numPr>
        <w:rPr>
          <w:rFonts w:ascii="Arial" w:hAnsi="Arial" w:cs="Arial"/>
          <w:sz w:val="20"/>
          <w:szCs w:val="20"/>
        </w:rPr>
      </w:pPr>
      <w:r w:rsidRPr="000A7978">
        <w:rPr>
          <w:rFonts w:ascii="Arial" w:hAnsi="Arial" w:cs="Arial"/>
          <w:sz w:val="20"/>
          <w:szCs w:val="20"/>
        </w:rPr>
        <w:t xml:space="preserve">Agada, P.O., Agada, I.O., and </w:t>
      </w:r>
      <w:proofErr w:type="spellStart"/>
      <w:r w:rsidRPr="000A7978">
        <w:rPr>
          <w:rFonts w:ascii="Arial" w:hAnsi="Arial" w:cs="Arial"/>
          <w:sz w:val="20"/>
          <w:szCs w:val="20"/>
        </w:rPr>
        <w:t>Annongu</w:t>
      </w:r>
      <w:proofErr w:type="spellEnd"/>
      <w:r w:rsidRPr="000A7978">
        <w:rPr>
          <w:rFonts w:ascii="Arial" w:hAnsi="Arial" w:cs="Arial"/>
          <w:sz w:val="20"/>
          <w:szCs w:val="20"/>
        </w:rPr>
        <w:t xml:space="preserve"> W.D. (2016). A Model for the Sequence of Positive and Negative Maximum Air Temperature Anomaly in Port Harcourt, Nigeria. International Journal of Computational and Theoretical Statistics. 3(2): 101-110. </w:t>
      </w:r>
      <w:hyperlink r:id="rId10" w:history="1">
        <w:r w:rsidRPr="00AB02E7">
          <w:rPr>
            <w:rStyle w:val="Hyperlink"/>
            <w:rFonts w:ascii="Arial" w:hAnsi="Arial" w:cs="Arial"/>
            <w:sz w:val="20"/>
            <w:szCs w:val="20"/>
          </w:rPr>
          <w:t>http://journals.uob.edu.bh</w:t>
        </w:r>
      </w:hyperlink>
      <w:r w:rsidRPr="000A7978">
        <w:rPr>
          <w:rFonts w:ascii="Arial" w:hAnsi="Arial" w:cs="Arial"/>
          <w:sz w:val="20"/>
          <w:szCs w:val="20"/>
        </w:rPr>
        <w:t>.</w:t>
      </w:r>
    </w:p>
    <w:p w14:paraId="7A17D216" w14:textId="77777777" w:rsidR="00D675A1" w:rsidRPr="000A7978" w:rsidRDefault="00D675A1" w:rsidP="00D675A1">
      <w:pPr>
        <w:pStyle w:val="Default"/>
        <w:rPr>
          <w:rFonts w:ascii="Arial" w:hAnsi="Arial" w:cs="Arial"/>
          <w:sz w:val="20"/>
          <w:szCs w:val="20"/>
        </w:rPr>
      </w:pPr>
    </w:p>
    <w:p w14:paraId="74B2D9C9" w14:textId="77777777" w:rsidR="00D675A1" w:rsidRPr="00B84B97" w:rsidRDefault="00D675A1" w:rsidP="00B84B97">
      <w:pPr>
        <w:pStyle w:val="ListParagraph"/>
        <w:numPr>
          <w:ilvl w:val="0"/>
          <w:numId w:val="37"/>
        </w:numPr>
        <w:rPr>
          <w:rFonts w:ascii="Arial" w:hAnsi="Arial" w:cs="Arial"/>
        </w:rPr>
      </w:pPr>
      <w:r w:rsidRPr="00B84B97">
        <w:rPr>
          <w:rFonts w:ascii="Arial" w:hAnsi="Arial" w:cs="Arial"/>
        </w:rPr>
        <w:lastRenderedPageBreak/>
        <w:t xml:space="preserve">Agada, I.O., </w:t>
      </w:r>
      <w:proofErr w:type="spellStart"/>
      <w:r w:rsidRPr="00B84B97">
        <w:rPr>
          <w:rFonts w:ascii="Arial" w:hAnsi="Arial" w:cs="Arial"/>
        </w:rPr>
        <w:t>Audu</w:t>
      </w:r>
      <w:proofErr w:type="spellEnd"/>
      <w:r w:rsidRPr="00B84B97">
        <w:rPr>
          <w:rFonts w:ascii="Arial" w:hAnsi="Arial" w:cs="Arial"/>
        </w:rPr>
        <w:t>, M.O and Adah, V. (2025). Markov Chain Analysis of Yearly Precipitation Amount over the South-South region in Nigeria. Asia Journal of Physical and Chemical Sciences. Vol. 13(2): 30-40. DOI: 10.9734/</w:t>
      </w:r>
      <w:proofErr w:type="spellStart"/>
      <w:r w:rsidRPr="00B84B97">
        <w:rPr>
          <w:rFonts w:ascii="Arial" w:hAnsi="Arial" w:cs="Arial"/>
        </w:rPr>
        <w:t>ajopacs</w:t>
      </w:r>
      <w:proofErr w:type="spellEnd"/>
      <w:r w:rsidRPr="00B84B97">
        <w:rPr>
          <w:rFonts w:ascii="Arial" w:hAnsi="Arial" w:cs="Arial"/>
        </w:rPr>
        <w:t>/2025/v13i2245.</w:t>
      </w:r>
    </w:p>
    <w:p w14:paraId="487BC3B8" w14:textId="77777777" w:rsidR="00D675A1" w:rsidRPr="000A7978" w:rsidRDefault="00D675A1" w:rsidP="00D675A1">
      <w:pPr>
        <w:rPr>
          <w:rFonts w:ascii="Arial" w:hAnsi="Arial" w:cs="Arial"/>
        </w:rPr>
      </w:pPr>
    </w:p>
    <w:p w14:paraId="0C59F8CC" w14:textId="77777777" w:rsidR="00D675A1" w:rsidRPr="00B84B97" w:rsidRDefault="00D675A1" w:rsidP="00B84B97">
      <w:pPr>
        <w:pStyle w:val="ListParagraph"/>
        <w:numPr>
          <w:ilvl w:val="0"/>
          <w:numId w:val="37"/>
        </w:numPr>
        <w:rPr>
          <w:rFonts w:ascii="Arial" w:hAnsi="Arial" w:cs="Arial"/>
        </w:rPr>
      </w:pPr>
      <w:r w:rsidRPr="00B84B97">
        <w:rPr>
          <w:rFonts w:ascii="Arial" w:hAnsi="Arial" w:cs="Arial"/>
        </w:rPr>
        <w:t xml:space="preserve">Agada, P.O., Agada, O.I., </w:t>
      </w:r>
      <w:proofErr w:type="spellStart"/>
      <w:r w:rsidRPr="00B84B97">
        <w:rPr>
          <w:rFonts w:ascii="Arial" w:hAnsi="Arial" w:cs="Arial"/>
        </w:rPr>
        <w:t>Ogar</w:t>
      </w:r>
      <w:proofErr w:type="spellEnd"/>
      <w:r w:rsidRPr="00B84B97">
        <w:rPr>
          <w:rFonts w:ascii="Arial" w:hAnsi="Arial" w:cs="Arial"/>
        </w:rPr>
        <w:t xml:space="preserve">, S. (2017). Stochastic Simulation of Daily Precipitation and Amount in Makurdi.  </w:t>
      </w:r>
      <w:r w:rsidRPr="00B84B97">
        <w:rPr>
          <w:rFonts w:ascii="Arial" w:hAnsi="Arial" w:cs="Arial"/>
          <w:i/>
        </w:rPr>
        <w:t xml:space="preserve">Abacus, </w:t>
      </w:r>
      <w:r w:rsidRPr="00B84B97">
        <w:rPr>
          <w:rFonts w:ascii="Arial" w:hAnsi="Arial" w:cs="Arial"/>
        </w:rPr>
        <w:t xml:space="preserve">Journal of the Mathematical Association of Nigeria. </w:t>
      </w:r>
      <w:r w:rsidRPr="00B84B97">
        <w:rPr>
          <w:rFonts w:ascii="Arial" w:hAnsi="Arial" w:cs="Arial"/>
          <w:i/>
        </w:rPr>
        <w:t xml:space="preserve"> </w:t>
      </w:r>
      <w:r w:rsidRPr="00B84B97">
        <w:rPr>
          <w:rFonts w:ascii="Arial" w:hAnsi="Arial" w:cs="Arial"/>
        </w:rPr>
        <w:t xml:space="preserve">44(2): 215-232. ISSN: 0001-3099, </w:t>
      </w:r>
      <w:hyperlink r:id="rId11" w:history="1">
        <w:r w:rsidRPr="00B84B97">
          <w:rPr>
            <w:rStyle w:val="Hyperlink"/>
            <w:rFonts w:ascii="Arial" w:hAnsi="Arial" w:cs="Arial"/>
            <w:color w:val="000000"/>
          </w:rPr>
          <w:t>http://man-nigeria.org.ng</w:t>
        </w:r>
      </w:hyperlink>
      <w:r w:rsidRPr="00B84B97">
        <w:rPr>
          <w:rFonts w:ascii="Arial" w:hAnsi="Arial" w:cs="Arial"/>
        </w:rPr>
        <w:t>.</w:t>
      </w:r>
    </w:p>
    <w:p w14:paraId="72AA587D" w14:textId="77777777" w:rsidR="00D675A1" w:rsidRPr="000A7978" w:rsidRDefault="00D675A1" w:rsidP="00D675A1">
      <w:pPr>
        <w:pStyle w:val="NormalWeb"/>
        <w:spacing w:before="0" w:beforeAutospacing="0" w:after="0" w:afterAutospacing="0"/>
        <w:rPr>
          <w:rFonts w:ascii="Arial" w:hAnsi="Arial" w:cs="Arial"/>
          <w:sz w:val="20"/>
          <w:szCs w:val="20"/>
        </w:rPr>
      </w:pPr>
    </w:p>
    <w:p w14:paraId="0C119DF6" w14:textId="77777777" w:rsidR="00D675A1" w:rsidRDefault="00D675A1" w:rsidP="00B84B97">
      <w:pPr>
        <w:pStyle w:val="NormalWeb"/>
        <w:numPr>
          <w:ilvl w:val="0"/>
          <w:numId w:val="37"/>
        </w:numPr>
        <w:spacing w:before="0" w:beforeAutospacing="0" w:after="0" w:afterAutospacing="0"/>
        <w:rPr>
          <w:rStyle w:val="Hyperlink"/>
          <w:rFonts w:ascii="Arial" w:hAnsi="Arial" w:cs="Arial"/>
          <w:sz w:val="20"/>
          <w:szCs w:val="20"/>
        </w:rPr>
      </w:pPr>
      <w:proofErr w:type="spellStart"/>
      <w:r w:rsidRPr="000A7978">
        <w:rPr>
          <w:rFonts w:ascii="Arial" w:hAnsi="Arial" w:cs="Arial"/>
          <w:sz w:val="20"/>
          <w:szCs w:val="20"/>
        </w:rPr>
        <w:t>Ati</w:t>
      </w:r>
      <w:proofErr w:type="spellEnd"/>
      <w:r w:rsidRPr="000A7978">
        <w:rPr>
          <w:rFonts w:ascii="Arial" w:hAnsi="Arial" w:cs="Arial"/>
          <w:sz w:val="20"/>
          <w:szCs w:val="20"/>
        </w:rPr>
        <w:t xml:space="preserve">, O. F., </w:t>
      </w:r>
      <w:proofErr w:type="spellStart"/>
      <w:r w:rsidRPr="000A7978">
        <w:rPr>
          <w:rFonts w:ascii="Arial" w:hAnsi="Arial" w:cs="Arial"/>
          <w:sz w:val="20"/>
          <w:szCs w:val="20"/>
        </w:rPr>
        <w:t>Stigter</w:t>
      </w:r>
      <w:proofErr w:type="spellEnd"/>
      <w:r w:rsidRPr="000A7978">
        <w:rPr>
          <w:rFonts w:ascii="Arial" w:hAnsi="Arial" w:cs="Arial"/>
          <w:sz w:val="20"/>
          <w:szCs w:val="20"/>
        </w:rPr>
        <w:t xml:space="preserve">, C. J., &amp; Oladipo, E. O. (2002). A comparison of methods to determine the onset of the growing season in northern Nigeria. </w:t>
      </w:r>
      <w:r w:rsidRPr="000A7978">
        <w:rPr>
          <w:rStyle w:val="Emphasis"/>
          <w:rFonts w:ascii="Arial" w:hAnsi="Arial" w:cs="Arial"/>
          <w:sz w:val="20"/>
          <w:szCs w:val="20"/>
        </w:rPr>
        <w:t>International Journal of Climatology, 22</w:t>
      </w:r>
      <w:r w:rsidRPr="000A7978">
        <w:rPr>
          <w:rFonts w:ascii="Arial" w:hAnsi="Arial" w:cs="Arial"/>
          <w:sz w:val="20"/>
          <w:szCs w:val="20"/>
        </w:rPr>
        <w:t xml:space="preserve">, 731–742. </w:t>
      </w:r>
      <w:hyperlink r:id="rId12" w:tgtFrame="_new" w:history="1">
        <w:r w:rsidRPr="000A7978">
          <w:rPr>
            <w:rStyle w:val="Hyperlink"/>
            <w:rFonts w:ascii="Arial" w:hAnsi="Arial" w:cs="Arial"/>
            <w:sz w:val="20"/>
            <w:szCs w:val="20"/>
          </w:rPr>
          <w:t>https://doi.org/10.1002/joc.712</w:t>
        </w:r>
      </w:hyperlink>
    </w:p>
    <w:p w14:paraId="4F1034B2" w14:textId="77777777" w:rsidR="00D675A1" w:rsidRPr="000A7978" w:rsidRDefault="00D675A1" w:rsidP="00D675A1">
      <w:pPr>
        <w:pStyle w:val="NormalWeb"/>
        <w:spacing w:before="0" w:beforeAutospacing="0" w:after="0" w:afterAutospacing="0"/>
        <w:rPr>
          <w:rFonts w:ascii="Arial" w:hAnsi="Arial" w:cs="Arial"/>
          <w:sz w:val="20"/>
          <w:szCs w:val="20"/>
        </w:rPr>
      </w:pPr>
    </w:p>
    <w:p w14:paraId="1AE5A53C"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proofErr w:type="spellStart"/>
      <w:r w:rsidRPr="000A7978">
        <w:rPr>
          <w:rFonts w:ascii="Arial" w:hAnsi="Arial" w:cs="Arial"/>
          <w:sz w:val="20"/>
          <w:szCs w:val="20"/>
        </w:rPr>
        <w:t>Ayansina</w:t>
      </w:r>
      <w:proofErr w:type="spellEnd"/>
      <w:r w:rsidRPr="000A7978">
        <w:rPr>
          <w:rFonts w:ascii="Arial" w:hAnsi="Arial" w:cs="Arial"/>
          <w:sz w:val="20"/>
          <w:szCs w:val="20"/>
        </w:rPr>
        <w:t xml:space="preserve">, A. (2009). Seasonal rainfall variability in Guinea Savannah, Nigeria: A GIS approach. </w:t>
      </w:r>
      <w:r w:rsidRPr="000A7978">
        <w:rPr>
          <w:rStyle w:val="Emphasis"/>
          <w:rFonts w:ascii="Arial" w:hAnsi="Arial" w:cs="Arial"/>
          <w:sz w:val="20"/>
          <w:szCs w:val="20"/>
        </w:rPr>
        <w:t>International Journal of Climate Change Strategies and Management, 1</w:t>
      </w:r>
      <w:r w:rsidRPr="000A7978">
        <w:rPr>
          <w:rFonts w:ascii="Arial" w:hAnsi="Arial" w:cs="Arial"/>
          <w:sz w:val="20"/>
          <w:szCs w:val="20"/>
        </w:rPr>
        <w:t>(1), 3–15.</w:t>
      </w:r>
    </w:p>
    <w:p w14:paraId="3BC27C1D" w14:textId="77777777" w:rsidR="00D675A1" w:rsidRPr="000A7978" w:rsidRDefault="00D675A1" w:rsidP="00D675A1">
      <w:pPr>
        <w:pStyle w:val="NormalWeb"/>
        <w:spacing w:before="0" w:beforeAutospacing="0" w:after="0" w:afterAutospacing="0"/>
        <w:rPr>
          <w:rFonts w:ascii="Arial" w:hAnsi="Arial" w:cs="Arial"/>
          <w:sz w:val="20"/>
          <w:szCs w:val="20"/>
        </w:rPr>
      </w:pPr>
    </w:p>
    <w:p w14:paraId="7700B17B" w14:textId="77777777" w:rsidR="00D675A1" w:rsidRPr="000A7978" w:rsidRDefault="00D675A1" w:rsidP="00B84B97">
      <w:pPr>
        <w:pStyle w:val="NormalWeb"/>
        <w:numPr>
          <w:ilvl w:val="0"/>
          <w:numId w:val="37"/>
        </w:numPr>
        <w:spacing w:before="0" w:beforeAutospacing="0" w:after="0" w:afterAutospacing="0"/>
        <w:rPr>
          <w:rFonts w:ascii="Arial" w:hAnsi="Arial" w:cs="Arial"/>
          <w:sz w:val="20"/>
          <w:szCs w:val="20"/>
        </w:rPr>
      </w:pPr>
      <w:proofErr w:type="spellStart"/>
      <w:r w:rsidRPr="000A7978">
        <w:rPr>
          <w:rFonts w:ascii="Arial" w:hAnsi="Arial" w:cs="Arial"/>
          <w:sz w:val="20"/>
          <w:szCs w:val="20"/>
        </w:rPr>
        <w:t>Ewona</w:t>
      </w:r>
      <w:proofErr w:type="spellEnd"/>
      <w:r w:rsidRPr="000A7978">
        <w:rPr>
          <w:rFonts w:ascii="Arial" w:hAnsi="Arial" w:cs="Arial"/>
          <w:sz w:val="20"/>
          <w:szCs w:val="20"/>
        </w:rPr>
        <w:t xml:space="preserve">, I. O., &amp; Udo, S. O. (2008). Trend studies of some meteorological parameters in Calabar. </w:t>
      </w:r>
      <w:r w:rsidRPr="000A7978">
        <w:rPr>
          <w:rStyle w:val="Emphasis"/>
          <w:rFonts w:ascii="Arial" w:hAnsi="Arial" w:cs="Arial"/>
          <w:sz w:val="20"/>
          <w:szCs w:val="20"/>
        </w:rPr>
        <w:t>Nigerian Journal of Physics, 20</w:t>
      </w:r>
      <w:r w:rsidRPr="000A7978">
        <w:rPr>
          <w:rFonts w:ascii="Arial" w:hAnsi="Arial" w:cs="Arial"/>
          <w:sz w:val="20"/>
          <w:szCs w:val="20"/>
        </w:rPr>
        <w:t>(2), 283–289.</w:t>
      </w:r>
    </w:p>
    <w:p w14:paraId="70A5AED9" w14:textId="77777777" w:rsidR="00D675A1" w:rsidRPr="00B84B97" w:rsidRDefault="00D675A1" w:rsidP="00B84B97">
      <w:pPr>
        <w:pStyle w:val="ListParagraph"/>
        <w:numPr>
          <w:ilvl w:val="0"/>
          <w:numId w:val="37"/>
        </w:numPr>
        <w:spacing w:before="75"/>
        <w:rPr>
          <w:rStyle w:val="Hyperlink"/>
          <w:rFonts w:ascii="Arial" w:hAnsi="Arial" w:cs="Arial"/>
        </w:rPr>
      </w:pPr>
      <w:proofErr w:type="spellStart"/>
      <w:r w:rsidRPr="00B84B97">
        <w:rPr>
          <w:rFonts w:ascii="Arial" w:hAnsi="Arial" w:cs="Arial"/>
          <w:lang w:val="en-IN" w:eastAsia="en-IN"/>
        </w:rPr>
        <w:t>Froidurot</w:t>
      </w:r>
      <w:proofErr w:type="spellEnd"/>
      <w:r w:rsidRPr="00B84B97">
        <w:rPr>
          <w:rFonts w:ascii="Arial" w:hAnsi="Arial" w:cs="Arial"/>
          <w:lang w:val="en-IN" w:eastAsia="en-IN"/>
        </w:rPr>
        <w:t xml:space="preserve">, S., &amp; </w:t>
      </w:r>
      <w:proofErr w:type="spellStart"/>
      <w:r w:rsidRPr="00B84B97">
        <w:rPr>
          <w:rFonts w:ascii="Arial" w:hAnsi="Arial" w:cs="Arial"/>
          <w:lang w:val="en-IN" w:eastAsia="en-IN"/>
        </w:rPr>
        <w:t>Diedhiou</w:t>
      </w:r>
      <w:proofErr w:type="spellEnd"/>
      <w:r w:rsidRPr="00B84B97">
        <w:rPr>
          <w:rFonts w:ascii="Arial" w:hAnsi="Arial" w:cs="Arial"/>
          <w:lang w:val="en-IN" w:eastAsia="en-IN"/>
        </w:rPr>
        <w:t xml:space="preserve">, A. </w:t>
      </w:r>
      <w:r w:rsidRPr="00B84B97">
        <w:rPr>
          <w:rFonts w:ascii="Arial" w:hAnsi="Arial" w:cs="Arial"/>
        </w:rPr>
        <w:t xml:space="preserve">(2017). </w:t>
      </w:r>
      <w:r w:rsidRPr="00B84B97">
        <w:rPr>
          <w:rFonts w:ascii="Arial" w:hAnsi="Arial" w:cs="Arial"/>
          <w:lang w:val="en-IN" w:eastAsia="en-IN"/>
        </w:rPr>
        <w:t>Characteristics of Wet and Dry Spells in the West African Monsoon System</w:t>
      </w:r>
      <w:r w:rsidRPr="00B84B97">
        <w:rPr>
          <w:rFonts w:ascii="Arial" w:hAnsi="Arial" w:cs="Arial"/>
        </w:rPr>
        <w:t xml:space="preserve">. </w:t>
      </w:r>
      <w:r w:rsidRPr="00B84B97">
        <w:rPr>
          <w:rStyle w:val="Emphasis"/>
          <w:rFonts w:ascii="Arial" w:hAnsi="Arial" w:cs="Arial"/>
        </w:rPr>
        <w:t>Atmospheric Science Letters, 18</w:t>
      </w:r>
      <w:r w:rsidRPr="00B84B97">
        <w:rPr>
          <w:rFonts w:ascii="Arial" w:hAnsi="Arial" w:cs="Arial"/>
        </w:rPr>
        <w:t xml:space="preserve">(3), 125–131. </w:t>
      </w:r>
      <w:hyperlink r:id="rId13" w:tgtFrame="_new" w:history="1">
        <w:r w:rsidRPr="00B84B97">
          <w:rPr>
            <w:rStyle w:val="Hyperlink"/>
            <w:rFonts w:ascii="Arial" w:hAnsi="Arial" w:cs="Arial"/>
          </w:rPr>
          <w:t>https://doi.org/10.1002/asl.734</w:t>
        </w:r>
      </w:hyperlink>
    </w:p>
    <w:p w14:paraId="2F202A25" w14:textId="77777777" w:rsidR="00D675A1" w:rsidRPr="000A7978" w:rsidRDefault="00D675A1" w:rsidP="00D675A1">
      <w:pPr>
        <w:spacing w:before="75"/>
        <w:rPr>
          <w:rFonts w:ascii="Arial" w:hAnsi="Arial" w:cs="Arial"/>
          <w:lang w:val="en-IN" w:eastAsia="en-IN"/>
        </w:rPr>
      </w:pPr>
    </w:p>
    <w:p w14:paraId="1F319BB7" w14:textId="77777777" w:rsidR="00D675A1" w:rsidRPr="00B84B97" w:rsidRDefault="00D675A1" w:rsidP="00B84B97">
      <w:pPr>
        <w:pStyle w:val="ListParagraph"/>
        <w:numPr>
          <w:ilvl w:val="0"/>
          <w:numId w:val="37"/>
        </w:numPr>
        <w:rPr>
          <w:rFonts w:ascii="Arial" w:hAnsi="Arial" w:cs="Arial"/>
          <w:color w:val="0000FF"/>
          <w:lang w:val="en-IN" w:eastAsia="en-IN"/>
        </w:rPr>
      </w:pPr>
      <w:r w:rsidRPr="00B84B97">
        <w:rPr>
          <w:rFonts w:ascii="Arial" w:hAnsi="Arial" w:cs="Arial"/>
          <w:color w:val="000000"/>
        </w:rPr>
        <w:t xml:space="preserve">Gabriel, K. R., and Neumann, J. (1962). A Markov chain model for daily rainfall occurrence at Tel Aviv. Quarterly Journal of Royal Meteorology society, 88, 90-95. </w:t>
      </w:r>
      <w:r w:rsidRPr="00B84B97">
        <w:rPr>
          <w:rFonts w:ascii="Arial" w:hAnsi="Arial" w:cs="Arial"/>
          <w:b/>
          <w:bCs/>
          <w:lang w:val="en-IN" w:eastAsia="en-IN"/>
        </w:rPr>
        <w:t>DOI:</w:t>
      </w:r>
      <w:r w:rsidRPr="00B84B97">
        <w:rPr>
          <w:rFonts w:ascii="Arial" w:hAnsi="Arial" w:cs="Arial"/>
          <w:lang w:val="en-IN" w:eastAsia="en-IN"/>
        </w:rPr>
        <w:t xml:space="preserve"> </w:t>
      </w:r>
      <w:hyperlink r:id="rId14" w:history="1">
        <w:r w:rsidRPr="00B84B97">
          <w:rPr>
            <w:rFonts w:ascii="Arial" w:hAnsi="Arial" w:cs="Arial"/>
            <w:color w:val="0000FF"/>
            <w:lang w:val="en-IN" w:eastAsia="en-IN"/>
          </w:rPr>
          <w:t>10.1002/qj.49708837511</w:t>
        </w:r>
      </w:hyperlink>
    </w:p>
    <w:p w14:paraId="7FFD9D76" w14:textId="77777777" w:rsidR="00D675A1" w:rsidRPr="000A7978" w:rsidRDefault="00D675A1" w:rsidP="00D675A1">
      <w:pPr>
        <w:rPr>
          <w:rFonts w:ascii="Arial" w:hAnsi="Arial" w:cs="Arial"/>
          <w:color w:val="000000"/>
        </w:rPr>
      </w:pPr>
    </w:p>
    <w:p w14:paraId="4D2F9013"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Holton, J. R. (2004). </w:t>
      </w:r>
      <w:r w:rsidRPr="000A7978">
        <w:rPr>
          <w:rStyle w:val="Emphasis"/>
          <w:rFonts w:ascii="Arial" w:hAnsi="Arial" w:cs="Arial"/>
          <w:sz w:val="20"/>
          <w:szCs w:val="20"/>
        </w:rPr>
        <w:t>An introduction to dynamic meteorology</w:t>
      </w:r>
      <w:r w:rsidRPr="000A7978">
        <w:rPr>
          <w:rFonts w:ascii="Arial" w:hAnsi="Arial" w:cs="Arial"/>
          <w:sz w:val="20"/>
          <w:szCs w:val="20"/>
        </w:rPr>
        <w:t xml:space="preserve"> (4th ed.). Academic Press.</w:t>
      </w:r>
    </w:p>
    <w:p w14:paraId="3F8EB7C5" w14:textId="77777777" w:rsidR="00D675A1" w:rsidRPr="000A7978" w:rsidRDefault="00D675A1" w:rsidP="00D675A1">
      <w:pPr>
        <w:pStyle w:val="NormalWeb"/>
        <w:spacing w:before="0" w:beforeAutospacing="0" w:after="0" w:afterAutospacing="0"/>
        <w:rPr>
          <w:rFonts w:ascii="Arial" w:hAnsi="Arial" w:cs="Arial"/>
          <w:sz w:val="20"/>
          <w:szCs w:val="20"/>
        </w:rPr>
      </w:pPr>
    </w:p>
    <w:p w14:paraId="34B70584" w14:textId="77777777" w:rsidR="00D675A1" w:rsidRDefault="00D675A1" w:rsidP="00B84B97">
      <w:pPr>
        <w:pStyle w:val="NormalWeb"/>
        <w:numPr>
          <w:ilvl w:val="0"/>
          <w:numId w:val="37"/>
        </w:numPr>
        <w:spacing w:before="0" w:beforeAutospacing="0" w:after="0" w:afterAutospacing="0"/>
        <w:rPr>
          <w:rStyle w:val="Hyperlink"/>
          <w:rFonts w:ascii="Arial" w:hAnsi="Arial" w:cs="Arial"/>
          <w:sz w:val="20"/>
          <w:szCs w:val="20"/>
        </w:rPr>
      </w:pPr>
      <w:proofErr w:type="spellStart"/>
      <w:r w:rsidRPr="000A7978">
        <w:rPr>
          <w:rFonts w:ascii="Arial" w:hAnsi="Arial" w:cs="Arial"/>
          <w:sz w:val="20"/>
          <w:szCs w:val="20"/>
        </w:rPr>
        <w:t>Ibebuchi</w:t>
      </w:r>
      <w:proofErr w:type="spellEnd"/>
      <w:r w:rsidRPr="000A7978">
        <w:rPr>
          <w:rFonts w:ascii="Arial" w:hAnsi="Arial" w:cs="Arial"/>
          <w:sz w:val="20"/>
          <w:szCs w:val="20"/>
        </w:rPr>
        <w:t xml:space="preserve">, C. C., &amp; Abu, I.-O. (2023). Rainfall variability patterns in Nigeria during the rainy season. </w:t>
      </w:r>
      <w:r w:rsidRPr="000A7978">
        <w:rPr>
          <w:rStyle w:val="Emphasis"/>
          <w:rFonts w:ascii="Arial" w:hAnsi="Arial" w:cs="Arial"/>
          <w:sz w:val="20"/>
          <w:szCs w:val="20"/>
        </w:rPr>
        <w:t>Scientific Reports, 13</w:t>
      </w:r>
      <w:r w:rsidRPr="000A7978">
        <w:rPr>
          <w:rFonts w:ascii="Arial" w:hAnsi="Arial" w:cs="Arial"/>
          <w:sz w:val="20"/>
          <w:szCs w:val="20"/>
        </w:rPr>
        <w:t xml:space="preserve">, 7888. </w:t>
      </w:r>
      <w:hyperlink r:id="rId15" w:tgtFrame="_new" w:history="1">
        <w:r w:rsidRPr="000A7978">
          <w:rPr>
            <w:rStyle w:val="Hyperlink"/>
            <w:rFonts w:ascii="Arial" w:hAnsi="Arial" w:cs="Arial"/>
            <w:sz w:val="20"/>
            <w:szCs w:val="20"/>
          </w:rPr>
          <w:t>https://doi.org/10.1038/s41598-023-34970-7</w:t>
        </w:r>
      </w:hyperlink>
    </w:p>
    <w:p w14:paraId="612CDCCD" w14:textId="77777777" w:rsidR="00D675A1" w:rsidRPr="000A7978" w:rsidRDefault="00D675A1" w:rsidP="00D675A1">
      <w:pPr>
        <w:pStyle w:val="NormalWeb"/>
        <w:spacing w:before="0" w:beforeAutospacing="0" w:after="0" w:afterAutospacing="0"/>
        <w:rPr>
          <w:rFonts w:ascii="Arial" w:hAnsi="Arial" w:cs="Arial"/>
          <w:sz w:val="20"/>
          <w:szCs w:val="20"/>
        </w:rPr>
      </w:pPr>
    </w:p>
    <w:p w14:paraId="6C5B5FE8"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Katz, R. W. (1977). Precipitation as a chain-dependent process. </w:t>
      </w:r>
      <w:r w:rsidRPr="000A7978">
        <w:rPr>
          <w:rStyle w:val="Emphasis"/>
          <w:rFonts w:ascii="Arial" w:hAnsi="Arial" w:cs="Arial"/>
          <w:sz w:val="20"/>
          <w:szCs w:val="20"/>
        </w:rPr>
        <w:t>Journal of Applied Meteorology, 16</w:t>
      </w:r>
      <w:r w:rsidRPr="000A7978">
        <w:rPr>
          <w:rFonts w:ascii="Arial" w:hAnsi="Arial" w:cs="Arial"/>
          <w:sz w:val="20"/>
          <w:szCs w:val="20"/>
        </w:rPr>
        <w:t>(7), 671–676.</w:t>
      </w:r>
    </w:p>
    <w:p w14:paraId="111F9551" w14:textId="77777777" w:rsidR="00D675A1" w:rsidRPr="000A7978" w:rsidRDefault="00D675A1" w:rsidP="00D675A1">
      <w:pPr>
        <w:pStyle w:val="NormalWeb"/>
        <w:spacing w:before="0" w:beforeAutospacing="0" w:after="0" w:afterAutospacing="0"/>
        <w:rPr>
          <w:rFonts w:ascii="Arial" w:hAnsi="Arial" w:cs="Arial"/>
          <w:sz w:val="20"/>
          <w:szCs w:val="20"/>
        </w:rPr>
      </w:pPr>
    </w:p>
    <w:p w14:paraId="087B4803"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Mage, J. O. (2015). The effect of mean annual rain days on mean annual rain totals in the Middle Belt region of Nigeria. </w:t>
      </w:r>
      <w:r w:rsidRPr="000A7978">
        <w:rPr>
          <w:rStyle w:val="Emphasis"/>
          <w:rFonts w:ascii="Arial" w:hAnsi="Arial" w:cs="Arial"/>
          <w:sz w:val="20"/>
          <w:szCs w:val="20"/>
        </w:rPr>
        <w:t>International Journal of Health and Medical Information, 4</w:t>
      </w:r>
      <w:r w:rsidRPr="000A7978">
        <w:rPr>
          <w:rFonts w:ascii="Arial" w:hAnsi="Arial" w:cs="Arial"/>
          <w:sz w:val="20"/>
          <w:szCs w:val="20"/>
        </w:rPr>
        <w:t>(3).</w:t>
      </w:r>
    </w:p>
    <w:p w14:paraId="03B00D09" w14:textId="77777777" w:rsidR="00D675A1" w:rsidRPr="000A7978" w:rsidRDefault="00D675A1" w:rsidP="00D675A1">
      <w:pPr>
        <w:pStyle w:val="NormalWeb"/>
        <w:spacing w:before="0" w:beforeAutospacing="0" w:after="0" w:afterAutospacing="0"/>
        <w:rPr>
          <w:rFonts w:ascii="Arial" w:hAnsi="Arial" w:cs="Arial"/>
          <w:sz w:val="20"/>
          <w:szCs w:val="20"/>
        </w:rPr>
      </w:pPr>
    </w:p>
    <w:p w14:paraId="7C8650F6" w14:textId="77777777" w:rsidR="00D675A1" w:rsidRPr="000A7978"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Nicholson, S. E. (2013). The West African monsoon. </w:t>
      </w:r>
      <w:r w:rsidRPr="000A7978">
        <w:rPr>
          <w:rStyle w:val="Emphasis"/>
          <w:rFonts w:ascii="Arial" w:hAnsi="Arial" w:cs="Arial"/>
          <w:sz w:val="20"/>
          <w:szCs w:val="20"/>
        </w:rPr>
        <w:t>Annual Review of Earth and Planetary Sciences, 41</w:t>
      </w:r>
      <w:r w:rsidRPr="000A7978">
        <w:rPr>
          <w:rFonts w:ascii="Arial" w:hAnsi="Arial" w:cs="Arial"/>
          <w:sz w:val="20"/>
          <w:szCs w:val="20"/>
        </w:rPr>
        <w:t xml:space="preserve">, 469–488. </w:t>
      </w:r>
      <w:hyperlink r:id="rId16" w:tgtFrame="_new" w:history="1">
        <w:r w:rsidRPr="000A7978">
          <w:rPr>
            <w:rStyle w:val="Hyperlink"/>
            <w:rFonts w:ascii="Arial" w:hAnsi="Arial" w:cs="Arial"/>
            <w:sz w:val="20"/>
            <w:szCs w:val="20"/>
          </w:rPr>
          <w:t>https://doi.org/10.1146/annurev-earth-050212-124112</w:t>
        </w:r>
      </w:hyperlink>
    </w:p>
    <w:p w14:paraId="47DCDE36" w14:textId="77777777" w:rsidR="00D675A1" w:rsidRPr="00B84B97" w:rsidRDefault="00D675A1" w:rsidP="00B84B97">
      <w:pPr>
        <w:pStyle w:val="ListParagraph"/>
        <w:numPr>
          <w:ilvl w:val="0"/>
          <w:numId w:val="37"/>
        </w:numPr>
        <w:spacing w:before="75"/>
        <w:rPr>
          <w:rFonts w:ascii="Arial" w:hAnsi="Arial" w:cs="Arial"/>
        </w:rPr>
      </w:pPr>
      <w:proofErr w:type="spellStart"/>
      <w:r w:rsidRPr="00B84B97">
        <w:rPr>
          <w:rFonts w:ascii="Arial" w:hAnsi="Arial" w:cs="Arial"/>
        </w:rPr>
        <w:t>Odjugo</w:t>
      </w:r>
      <w:proofErr w:type="spellEnd"/>
      <w:r w:rsidRPr="00B84B97">
        <w:rPr>
          <w:rFonts w:ascii="Arial" w:hAnsi="Arial" w:cs="Arial"/>
        </w:rPr>
        <w:t xml:space="preserve">, P. A. O. (2011). </w:t>
      </w:r>
      <w:r w:rsidRPr="00B84B97">
        <w:rPr>
          <w:rFonts w:ascii="Arial" w:hAnsi="Arial" w:cs="Arial"/>
          <w:lang w:val="en-IN" w:eastAsia="en-IN"/>
        </w:rPr>
        <w:t>Climate change and global warming: The Nigerian perspective</w:t>
      </w:r>
      <w:r w:rsidRPr="00B84B97">
        <w:rPr>
          <w:rFonts w:ascii="Arial" w:hAnsi="Arial" w:cs="Arial"/>
        </w:rPr>
        <w:t xml:space="preserve">. </w:t>
      </w:r>
      <w:r w:rsidRPr="00B84B97">
        <w:rPr>
          <w:rStyle w:val="Emphasis"/>
          <w:rFonts w:ascii="Arial" w:hAnsi="Arial" w:cs="Arial"/>
        </w:rPr>
        <w:t>Journal of Sustainable and Environmental Protection, 1</w:t>
      </w:r>
      <w:r w:rsidRPr="00B84B97">
        <w:rPr>
          <w:rFonts w:ascii="Arial" w:hAnsi="Arial" w:cs="Arial"/>
        </w:rPr>
        <w:t>(1), 6–17.</w:t>
      </w:r>
    </w:p>
    <w:p w14:paraId="13F0C61F" w14:textId="77777777" w:rsidR="00D675A1" w:rsidRPr="000A7978" w:rsidRDefault="00D675A1" w:rsidP="00D675A1">
      <w:pPr>
        <w:spacing w:before="75"/>
        <w:rPr>
          <w:rFonts w:ascii="Arial" w:hAnsi="Arial" w:cs="Arial"/>
          <w:lang w:val="en-IN" w:eastAsia="en-IN"/>
        </w:rPr>
      </w:pPr>
    </w:p>
    <w:p w14:paraId="7F45865E"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proofErr w:type="spellStart"/>
      <w:r w:rsidRPr="000A7978">
        <w:rPr>
          <w:rFonts w:ascii="Arial" w:hAnsi="Arial" w:cs="Arial"/>
          <w:sz w:val="20"/>
          <w:szCs w:val="20"/>
        </w:rPr>
        <w:t>Ogolo</w:t>
      </w:r>
      <w:proofErr w:type="spellEnd"/>
      <w:r w:rsidRPr="000A7978">
        <w:rPr>
          <w:rFonts w:ascii="Arial" w:hAnsi="Arial" w:cs="Arial"/>
          <w:sz w:val="20"/>
          <w:szCs w:val="20"/>
        </w:rPr>
        <w:t xml:space="preserve">, E. O., &amp; Adeyemi, B. (2009). Variations and trends of some meteorological parameters at Ibadan, Nigeria. </w:t>
      </w:r>
      <w:r w:rsidRPr="000A7978">
        <w:rPr>
          <w:rStyle w:val="Emphasis"/>
          <w:rFonts w:ascii="Arial" w:hAnsi="Arial" w:cs="Arial"/>
          <w:sz w:val="20"/>
          <w:szCs w:val="20"/>
        </w:rPr>
        <w:t>The Pacific Journal of Science and Technology, 10</w:t>
      </w:r>
      <w:r w:rsidRPr="000A7978">
        <w:rPr>
          <w:rFonts w:ascii="Arial" w:hAnsi="Arial" w:cs="Arial"/>
          <w:sz w:val="20"/>
          <w:szCs w:val="20"/>
        </w:rPr>
        <w:t>(2), 981–987.</w:t>
      </w:r>
    </w:p>
    <w:p w14:paraId="16ED616A" w14:textId="77777777" w:rsidR="00D675A1" w:rsidRPr="000A7978" w:rsidRDefault="00D675A1" w:rsidP="00D675A1">
      <w:pPr>
        <w:pStyle w:val="NormalWeb"/>
        <w:spacing w:before="0" w:beforeAutospacing="0" w:after="0" w:afterAutospacing="0"/>
        <w:rPr>
          <w:rFonts w:ascii="Arial" w:hAnsi="Arial" w:cs="Arial"/>
          <w:sz w:val="20"/>
          <w:szCs w:val="20"/>
        </w:rPr>
      </w:pPr>
    </w:p>
    <w:p w14:paraId="2940D2AA" w14:textId="77777777" w:rsidR="00D675A1" w:rsidRDefault="00D675A1" w:rsidP="00B84B97">
      <w:pPr>
        <w:pStyle w:val="NormalWeb"/>
        <w:numPr>
          <w:ilvl w:val="0"/>
          <w:numId w:val="37"/>
        </w:numPr>
        <w:spacing w:before="0" w:beforeAutospacing="0" w:after="0" w:afterAutospacing="0"/>
        <w:rPr>
          <w:rFonts w:ascii="Arial" w:hAnsi="Arial" w:cs="Arial"/>
          <w:color w:val="0000FF"/>
          <w:sz w:val="20"/>
          <w:szCs w:val="20"/>
          <w:lang w:val="en-IN" w:eastAsia="en-IN"/>
        </w:rPr>
      </w:pPr>
      <w:proofErr w:type="spellStart"/>
      <w:r w:rsidRPr="000A7978">
        <w:rPr>
          <w:rFonts w:ascii="Arial" w:hAnsi="Arial" w:cs="Arial"/>
          <w:sz w:val="20"/>
          <w:szCs w:val="20"/>
        </w:rPr>
        <w:t>Oguntunde</w:t>
      </w:r>
      <w:proofErr w:type="spellEnd"/>
      <w:r w:rsidRPr="000A7978">
        <w:rPr>
          <w:rFonts w:ascii="Arial" w:hAnsi="Arial" w:cs="Arial"/>
          <w:sz w:val="20"/>
          <w:szCs w:val="20"/>
        </w:rPr>
        <w:t xml:space="preserve">, P. G., Abiodun, B. J., &amp; </w:t>
      </w:r>
      <w:proofErr w:type="spellStart"/>
      <w:r w:rsidRPr="000A7978">
        <w:rPr>
          <w:rFonts w:ascii="Arial" w:hAnsi="Arial" w:cs="Arial"/>
          <w:sz w:val="20"/>
          <w:szCs w:val="20"/>
        </w:rPr>
        <w:t>Lischeid</w:t>
      </w:r>
      <w:proofErr w:type="spellEnd"/>
      <w:r w:rsidRPr="000A7978">
        <w:rPr>
          <w:rFonts w:ascii="Arial" w:hAnsi="Arial" w:cs="Arial"/>
          <w:sz w:val="20"/>
          <w:szCs w:val="20"/>
        </w:rPr>
        <w:t xml:space="preserve">, G. (2017). Rainfall Trends in Nigeria, 1901–2000. </w:t>
      </w:r>
      <w:r w:rsidRPr="000A7978">
        <w:rPr>
          <w:rStyle w:val="Emphasis"/>
          <w:rFonts w:ascii="Arial" w:hAnsi="Arial" w:cs="Arial"/>
          <w:sz w:val="20"/>
          <w:szCs w:val="20"/>
        </w:rPr>
        <w:t>Journal of Hydrology, 534</w:t>
      </w:r>
      <w:r w:rsidRPr="000A7978">
        <w:rPr>
          <w:rFonts w:ascii="Arial" w:hAnsi="Arial" w:cs="Arial"/>
          <w:sz w:val="20"/>
          <w:szCs w:val="20"/>
        </w:rPr>
        <w:t xml:space="preserve">, 351–362. DOI: </w:t>
      </w:r>
      <w:hyperlink r:id="rId17" w:history="1">
        <w:r w:rsidRPr="000A7978">
          <w:rPr>
            <w:rFonts w:ascii="Arial" w:hAnsi="Arial" w:cs="Arial"/>
            <w:color w:val="0000FF"/>
            <w:sz w:val="20"/>
            <w:szCs w:val="20"/>
            <w:lang w:val="en-IN" w:eastAsia="en-IN"/>
          </w:rPr>
          <w:t>10.1016/j.jhydrol.2011.09.037</w:t>
        </w:r>
      </w:hyperlink>
    </w:p>
    <w:p w14:paraId="2BBEE44B" w14:textId="77777777" w:rsidR="00D675A1" w:rsidRPr="000A7978" w:rsidRDefault="00D675A1" w:rsidP="00D675A1">
      <w:pPr>
        <w:pStyle w:val="NormalWeb"/>
        <w:spacing w:before="0" w:beforeAutospacing="0" w:after="0" w:afterAutospacing="0"/>
        <w:rPr>
          <w:rFonts w:ascii="Arial" w:hAnsi="Arial" w:cs="Arial"/>
          <w:sz w:val="20"/>
          <w:szCs w:val="20"/>
        </w:rPr>
      </w:pPr>
    </w:p>
    <w:p w14:paraId="36DE89D1" w14:textId="77777777" w:rsidR="00D675A1" w:rsidRPr="000A7978" w:rsidRDefault="00D675A1" w:rsidP="00B84B97">
      <w:pPr>
        <w:pStyle w:val="NormalWeb"/>
        <w:numPr>
          <w:ilvl w:val="0"/>
          <w:numId w:val="37"/>
        </w:numPr>
        <w:spacing w:before="0" w:beforeAutospacing="0" w:after="0" w:afterAutospacing="0"/>
        <w:rPr>
          <w:rFonts w:ascii="Arial" w:hAnsi="Arial" w:cs="Arial"/>
          <w:sz w:val="20"/>
          <w:szCs w:val="20"/>
        </w:rPr>
      </w:pPr>
      <w:proofErr w:type="spellStart"/>
      <w:r w:rsidRPr="000A7978">
        <w:rPr>
          <w:rFonts w:ascii="Arial" w:hAnsi="Arial" w:cs="Arial"/>
          <w:sz w:val="20"/>
          <w:szCs w:val="20"/>
        </w:rPr>
        <w:t>Olofintoye</w:t>
      </w:r>
      <w:proofErr w:type="spellEnd"/>
      <w:r w:rsidRPr="000A7978">
        <w:rPr>
          <w:rFonts w:ascii="Arial" w:hAnsi="Arial" w:cs="Arial"/>
          <w:sz w:val="20"/>
          <w:szCs w:val="20"/>
        </w:rPr>
        <w:t xml:space="preserve">, O. O., &amp; </w:t>
      </w:r>
      <w:proofErr w:type="spellStart"/>
      <w:r w:rsidRPr="000A7978">
        <w:rPr>
          <w:rFonts w:ascii="Arial" w:hAnsi="Arial" w:cs="Arial"/>
          <w:sz w:val="20"/>
          <w:szCs w:val="20"/>
        </w:rPr>
        <w:t>Sule</w:t>
      </w:r>
      <w:proofErr w:type="spellEnd"/>
      <w:r w:rsidRPr="000A7978">
        <w:rPr>
          <w:rFonts w:ascii="Arial" w:hAnsi="Arial" w:cs="Arial"/>
          <w:sz w:val="20"/>
          <w:szCs w:val="20"/>
        </w:rPr>
        <w:t xml:space="preserve">, B. F. (2010). Impact of global warming on rainfall and temperature in the Niger Delta of Nigeria. </w:t>
      </w:r>
      <w:r w:rsidRPr="000A7978">
        <w:rPr>
          <w:rStyle w:val="Emphasis"/>
          <w:rFonts w:ascii="Arial" w:hAnsi="Arial" w:cs="Arial"/>
          <w:sz w:val="20"/>
          <w:szCs w:val="20"/>
        </w:rPr>
        <w:t>USEP Journal of Research Information and Civil Engineering, 7</w:t>
      </w:r>
      <w:r w:rsidRPr="000A7978">
        <w:rPr>
          <w:rFonts w:ascii="Arial" w:hAnsi="Arial" w:cs="Arial"/>
          <w:sz w:val="20"/>
          <w:szCs w:val="20"/>
        </w:rPr>
        <w:t>(2), 33–48.</w:t>
      </w:r>
    </w:p>
    <w:p w14:paraId="1259EA66" w14:textId="77777777" w:rsidR="00D675A1" w:rsidRPr="00B84B97" w:rsidRDefault="00D675A1" w:rsidP="00B84B97">
      <w:pPr>
        <w:pStyle w:val="ListParagraph"/>
        <w:numPr>
          <w:ilvl w:val="0"/>
          <w:numId w:val="37"/>
        </w:numPr>
        <w:spacing w:before="75"/>
        <w:rPr>
          <w:rFonts w:ascii="Arial" w:hAnsi="Arial" w:cs="Arial"/>
          <w:color w:val="0000FF"/>
          <w:lang w:val="en-IN" w:eastAsia="en-IN"/>
        </w:rPr>
      </w:pPr>
      <w:proofErr w:type="spellStart"/>
      <w:r w:rsidRPr="00B84B97">
        <w:rPr>
          <w:rFonts w:ascii="Arial" w:hAnsi="Arial" w:cs="Arial"/>
        </w:rPr>
        <w:lastRenderedPageBreak/>
        <w:t>Rabiner</w:t>
      </w:r>
      <w:proofErr w:type="spellEnd"/>
      <w:r w:rsidRPr="00B84B97">
        <w:rPr>
          <w:rFonts w:ascii="Arial" w:hAnsi="Arial" w:cs="Arial"/>
        </w:rPr>
        <w:t xml:space="preserve">, L. R. (1989). </w:t>
      </w:r>
      <w:r w:rsidRPr="00B84B97">
        <w:rPr>
          <w:rFonts w:ascii="Arial" w:hAnsi="Arial" w:cs="Arial"/>
          <w:lang w:val="en-IN" w:eastAsia="en-IN"/>
        </w:rPr>
        <w:t>A tutorial on hidden Markov models and selected applications in speech recognition</w:t>
      </w:r>
      <w:r w:rsidRPr="00B84B97">
        <w:rPr>
          <w:rFonts w:ascii="Arial" w:hAnsi="Arial" w:cs="Arial"/>
        </w:rPr>
        <w:t xml:space="preserve">. </w:t>
      </w:r>
      <w:r w:rsidRPr="00B84B97">
        <w:rPr>
          <w:rStyle w:val="Emphasis"/>
          <w:rFonts w:ascii="Arial" w:hAnsi="Arial" w:cs="Arial"/>
        </w:rPr>
        <w:t>Proceedings of the IEEE, 77</w:t>
      </w:r>
      <w:r w:rsidRPr="00B84B97">
        <w:rPr>
          <w:rFonts w:ascii="Arial" w:hAnsi="Arial" w:cs="Arial"/>
        </w:rPr>
        <w:t>(2), 257–286. DOI:</w:t>
      </w:r>
      <w:hyperlink r:id="rId18" w:history="1">
        <w:r w:rsidRPr="00B84B97">
          <w:rPr>
            <w:rFonts w:ascii="Arial" w:hAnsi="Arial" w:cs="Arial"/>
            <w:color w:val="0000FF"/>
            <w:lang w:val="en-IN" w:eastAsia="en-IN"/>
          </w:rPr>
          <w:t>10.1109/5.18626</w:t>
        </w:r>
      </w:hyperlink>
    </w:p>
    <w:p w14:paraId="5548E158" w14:textId="77777777" w:rsidR="00D675A1" w:rsidRPr="000A7978" w:rsidRDefault="00D675A1" w:rsidP="00D675A1">
      <w:pPr>
        <w:spacing w:before="75"/>
        <w:rPr>
          <w:rFonts w:ascii="Arial" w:hAnsi="Arial" w:cs="Arial"/>
          <w:lang w:val="en-IN" w:eastAsia="en-IN"/>
        </w:rPr>
      </w:pPr>
    </w:p>
    <w:p w14:paraId="1E820BDF" w14:textId="77777777" w:rsidR="00D675A1" w:rsidRPr="000A7978"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Rogers, R. R., &amp; </w:t>
      </w:r>
      <w:proofErr w:type="spellStart"/>
      <w:r w:rsidRPr="000A7978">
        <w:rPr>
          <w:rFonts w:ascii="Arial" w:hAnsi="Arial" w:cs="Arial"/>
          <w:sz w:val="20"/>
          <w:szCs w:val="20"/>
        </w:rPr>
        <w:t>Yau</w:t>
      </w:r>
      <w:proofErr w:type="spellEnd"/>
      <w:r w:rsidRPr="000A7978">
        <w:rPr>
          <w:rFonts w:ascii="Arial" w:hAnsi="Arial" w:cs="Arial"/>
          <w:sz w:val="20"/>
          <w:szCs w:val="20"/>
        </w:rPr>
        <w:t xml:space="preserve">, M. K. (1989). </w:t>
      </w:r>
      <w:r w:rsidRPr="000A7978">
        <w:rPr>
          <w:rStyle w:val="Emphasis"/>
          <w:rFonts w:ascii="Arial" w:hAnsi="Arial" w:cs="Arial"/>
          <w:sz w:val="20"/>
          <w:szCs w:val="20"/>
        </w:rPr>
        <w:t>A short course in cloud physics</w:t>
      </w:r>
      <w:r w:rsidRPr="000A7978">
        <w:rPr>
          <w:rFonts w:ascii="Arial" w:hAnsi="Arial" w:cs="Arial"/>
          <w:sz w:val="20"/>
          <w:szCs w:val="20"/>
        </w:rPr>
        <w:t xml:space="preserve"> (3rd ed.). Pergamon Press.</w:t>
      </w:r>
    </w:p>
    <w:p w14:paraId="7E0E220E" w14:textId="77777777" w:rsidR="00D675A1" w:rsidRPr="00B84B97" w:rsidRDefault="00D675A1" w:rsidP="00B84B97">
      <w:pPr>
        <w:pStyle w:val="ListParagraph"/>
        <w:numPr>
          <w:ilvl w:val="0"/>
          <w:numId w:val="37"/>
        </w:numPr>
        <w:spacing w:before="75"/>
        <w:rPr>
          <w:rFonts w:ascii="Arial" w:hAnsi="Arial" w:cs="Arial"/>
          <w:lang w:val="en-IN" w:eastAsia="en-IN"/>
        </w:rPr>
      </w:pPr>
      <w:r w:rsidRPr="00B84B97">
        <w:rPr>
          <w:rFonts w:ascii="Arial" w:hAnsi="Arial" w:cs="Arial"/>
          <w:lang w:val="en-IN" w:eastAsia="en-IN"/>
        </w:rPr>
        <w:t xml:space="preserve">Robertson, A. W., Kirshner, S., &amp; Smyth, P. </w:t>
      </w:r>
      <w:r w:rsidRPr="00B84B97">
        <w:rPr>
          <w:rFonts w:ascii="Arial" w:hAnsi="Arial" w:cs="Arial"/>
        </w:rPr>
        <w:t xml:space="preserve">(2004). </w:t>
      </w:r>
      <w:r w:rsidRPr="00B84B97">
        <w:rPr>
          <w:rFonts w:ascii="Arial" w:hAnsi="Arial" w:cs="Arial"/>
          <w:lang w:val="en-IN" w:eastAsia="en-IN"/>
        </w:rPr>
        <w:t>Downscaling of Daily Rainfall Occurrence over Northeast Brazil Using a Hidden Markov Model</w:t>
      </w:r>
      <w:r w:rsidRPr="00B84B97">
        <w:rPr>
          <w:rFonts w:ascii="Arial" w:hAnsi="Arial" w:cs="Arial"/>
        </w:rPr>
        <w:t xml:space="preserve">. </w:t>
      </w:r>
      <w:r w:rsidRPr="00B84B97">
        <w:rPr>
          <w:rStyle w:val="Emphasis"/>
          <w:rFonts w:ascii="Arial" w:hAnsi="Arial" w:cs="Arial"/>
        </w:rPr>
        <w:t>Journal of Climate, 17</w:t>
      </w:r>
      <w:r w:rsidRPr="00B84B97">
        <w:rPr>
          <w:rFonts w:ascii="Arial" w:hAnsi="Arial" w:cs="Arial"/>
        </w:rPr>
        <w:t xml:space="preserve">, 4443–4457. </w:t>
      </w:r>
      <w:hyperlink r:id="rId19" w:history="1">
        <w:r w:rsidRPr="00B84B97">
          <w:rPr>
            <w:rFonts w:ascii="Arial" w:hAnsi="Arial" w:cs="Arial"/>
            <w:color w:val="0000FF"/>
            <w:lang w:val="en-IN" w:eastAsia="en-IN"/>
          </w:rPr>
          <w:t>10.1175/JCLI3206.1</w:t>
        </w:r>
      </w:hyperlink>
    </w:p>
    <w:p w14:paraId="7F3D6E31" w14:textId="67F9CD79" w:rsidR="00D675A1" w:rsidRPr="00B84B97" w:rsidRDefault="00D675A1" w:rsidP="00B84B97">
      <w:pPr>
        <w:pStyle w:val="ListParagraph"/>
        <w:numPr>
          <w:ilvl w:val="0"/>
          <w:numId w:val="37"/>
        </w:numPr>
        <w:spacing w:before="75"/>
        <w:rPr>
          <w:rFonts w:ascii="Arial" w:hAnsi="Arial" w:cs="Arial"/>
          <w:lang w:val="en-IN" w:eastAsia="en-IN"/>
        </w:rPr>
      </w:pPr>
      <w:r w:rsidRPr="00B84B97">
        <w:rPr>
          <w:rFonts w:ascii="Arial" w:hAnsi="Arial" w:cs="Arial"/>
        </w:rPr>
        <w:t xml:space="preserve">Sultan, B., &amp; </w:t>
      </w:r>
      <w:proofErr w:type="spellStart"/>
      <w:r w:rsidRPr="00B84B97">
        <w:rPr>
          <w:rFonts w:ascii="Arial" w:hAnsi="Arial" w:cs="Arial"/>
        </w:rPr>
        <w:t>Janicot</w:t>
      </w:r>
      <w:proofErr w:type="spellEnd"/>
      <w:r w:rsidRPr="00B84B97">
        <w:rPr>
          <w:rFonts w:ascii="Arial" w:hAnsi="Arial" w:cs="Arial"/>
        </w:rPr>
        <w:t xml:space="preserve">, S. (2003). </w:t>
      </w:r>
      <w:r w:rsidRPr="00B84B97">
        <w:rPr>
          <w:rFonts w:ascii="Arial" w:hAnsi="Arial" w:cs="Arial"/>
          <w:lang w:val="en-IN" w:eastAsia="en-IN"/>
        </w:rPr>
        <w:t>The West African Monsoon Dynamics. Part II: The “</w:t>
      </w:r>
      <w:proofErr w:type="spellStart"/>
      <w:r w:rsidRPr="00B84B97">
        <w:rPr>
          <w:rFonts w:ascii="Arial" w:hAnsi="Arial" w:cs="Arial"/>
          <w:lang w:val="en-IN" w:eastAsia="en-IN"/>
        </w:rPr>
        <w:t>Preonset</w:t>
      </w:r>
      <w:proofErr w:type="spellEnd"/>
      <w:r w:rsidRPr="00B84B97">
        <w:rPr>
          <w:rFonts w:ascii="Arial" w:hAnsi="Arial" w:cs="Arial"/>
          <w:lang w:val="en-IN" w:eastAsia="en-IN"/>
        </w:rPr>
        <w:t>” and “Onset” of the Summer Monsoon</w:t>
      </w:r>
      <w:r w:rsidRPr="00B84B97">
        <w:rPr>
          <w:rFonts w:ascii="Arial" w:hAnsi="Arial" w:cs="Arial"/>
        </w:rPr>
        <w:t xml:space="preserve">. </w:t>
      </w:r>
      <w:r w:rsidRPr="00B84B97">
        <w:rPr>
          <w:rStyle w:val="Emphasis"/>
          <w:rFonts w:ascii="Arial" w:hAnsi="Arial" w:cs="Arial"/>
        </w:rPr>
        <w:t>Journal of Climate, 16</w:t>
      </w:r>
      <w:r w:rsidRPr="00B84B97">
        <w:rPr>
          <w:rFonts w:ascii="Arial" w:hAnsi="Arial" w:cs="Arial"/>
        </w:rPr>
        <w:t>(21), 3407–3427. ttps://doi.org/10.1175/1520-0442(2003)016&lt;</w:t>
      </w:r>
      <w:proofErr w:type="gramStart"/>
      <w:r w:rsidRPr="00B84B97">
        <w:rPr>
          <w:rFonts w:ascii="Arial" w:hAnsi="Arial" w:cs="Arial"/>
        </w:rPr>
        <w:t>3407:TWAMD</w:t>
      </w:r>
      <w:proofErr w:type="gramEnd"/>
      <w:r w:rsidRPr="00B84B97">
        <w:rPr>
          <w:rFonts w:ascii="Arial" w:hAnsi="Arial" w:cs="Arial"/>
        </w:rPr>
        <w:t>&gt;2.0.CO;2</w:t>
      </w:r>
    </w:p>
    <w:p w14:paraId="72B9386C" w14:textId="77777777" w:rsidR="00D675A1" w:rsidRPr="00B84B97" w:rsidRDefault="00D675A1" w:rsidP="00B84B97">
      <w:pPr>
        <w:pStyle w:val="ListParagraph"/>
        <w:numPr>
          <w:ilvl w:val="0"/>
          <w:numId w:val="37"/>
        </w:numPr>
        <w:spacing w:before="75"/>
        <w:rPr>
          <w:rFonts w:ascii="Arial" w:hAnsi="Arial" w:cs="Arial"/>
          <w:color w:val="0000FF"/>
          <w:lang w:val="en-IN" w:eastAsia="en-IN"/>
        </w:rPr>
      </w:pPr>
      <w:r w:rsidRPr="00B84B97">
        <w:rPr>
          <w:rFonts w:ascii="Arial" w:hAnsi="Arial" w:cs="Arial"/>
          <w:lang w:val="en-IN" w:eastAsia="en-IN"/>
        </w:rPr>
        <w:t xml:space="preserve">Trenberth, K. E., Dai, A., Rasmussen, R. M., &amp; Parsons, D. B. </w:t>
      </w:r>
      <w:r w:rsidRPr="00B84B97">
        <w:rPr>
          <w:rFonts w:ascii="Arial" w:hAnsi="Arial" w:cs="Arial"/>
        </w:rPr>
        <w:t xml:space="preserve">(2003). The changing character of precipitation. </w:t>
      </w:r>
      <w:r w:rsidRPr="00B84B97">
        <w:rPr>
          <w:rStyle w:val="Emphasis"/>
          <w:rFonts w:ascii="Arial" w:hAnsi="Arial" w:cs="Arial"/>
        </w:rPr>
        <w:t>Bulletin of the American Meteorological Society, 84</w:t>
      </w:r>
      <w:r w:rsidRPr="00B84B97">
        <w:rPr>
          <w:rFonts w:ascii="Arial" w:hAnsi="Arial" w:cs="Arial"/>
        </w:rPr>
        <w:t xml:space="preserve">, 1205–1217. </w:t>
      </w:r>
      <w:hyperlink r:id="rId20" w:history="1">
        <w:r w:rsidRPr="00B84B97">
          <w:rPr>
            <w:rFonts w:ascii="Arial" w:hAnsi="Arial" w:cs="Arial"/>
            <w:color w:val="0000FF"/>
            <w:lang w:val="en-IN" w:eastAsia="en-IN"/>
          </w:rPr>
          <w:t>10.1175/BAMS-84-9-1205</w:t>
        </w:r>
      </w:hyperlink>
    </w:p>
    <w:p w14:paraId="754C995C" w14:textId="77777777" w:rsidR="00D675A1" w:rsidRPr="000A7978" w:rsidRDefault="00D675A1" w:rsidP="00D675A1">
      <w:pPr>
        <w:spacing w:before="75"/>
        <w:rPr>
          <w:rFonts w:ascii="Arial" w:hAnsi="Arial" w:cs="Arial"/>
          <w:lang w:val="en-IN" w:eastAsia="en-IN"/>
        </w:rPr>
      </w:pPr>
    </w:p>
    <w:p w14:paraId="46B6735B"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Wallace, J. M., &amp; Hobbs, P. V. (2006). </w:t>
      </w:r>
      <w:r w:rsidRPr="000A7978">
        <w:rPr>
          <w:rStyle w:val="Emphasis"/>
          <w:rFonts w:ascii="Arial" w:hAnsi="Arial" w:cs="Arial"/>
          <w:sz w:val="20"/>
          <w:szCs w:val="20"/>
        </w:rPr>
        <w:t>Atmospheric science: An introductory survey</w:t>
      </w:r>
      <w:r w:rsidRPr="000A7978">
        <w:rPr>
          <w:rFonts w:ascii="Arial" w:hAnsi="Arial" w:cs="Arial"/>
          <w:sz w:val="20"/>
          <w:szCs w:val="20"/>
        </w:rPr>
        <w:t xml:space="preserve"> (2nd ed.). Academic Press.</w:t>
      </w:r>
    </w:p>
    <w:p w14:paraId="16A448AC" w14:textId="77777777" w:rsidR="00D675A1" w:rsidRPr="000A7978" w:rsidRDefault="00D675A1" w:rsidP="00D675A1">
      <w:pPr>
        <w:pStyle w:val="NormalWeb"/>
        <w:spacing w:before="0" w:beforeAutospacing="0" w:after="0" w:afterAutospacing="0"/>
        <w:rPr>
          <w:rFonts w:ascii="Arial" w:hAnsi="Arial" w:cs="Arial"/>
          <w:sz w:val="20"/>
          <w:szCs w:val="20"/>
        </w:rPr>
      </w:pPr>
    </w:p>
    <w:p w14:paraId="60744818"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World Meteorological Organization. (2019). </w:t>
      </w:r>
      <w:r w:rsidRPr="000A7978">
        <w:rPr>
          <w:rStyle w:val="Emphasis"/>
          <w:rFonts w:ascii="Arial" w:hAnsi="Arial" w:cs="Arial"/>
          <w:sz w:val="20"/>
          <w:szCs w:val="20"/>
        </w:rPr>
        <w:t>State of the climate in Africa</w:t>
      </w:r>
      <w:r w:rsidRPr="000A7978">
        <w:rPr>
          <w:rFonts w:ascii="Arial" w:hAnsi="Arial" w:cs="Arial"/>
          <w:sz w:val="20"/>
          <w:szCs w:val="20"/>
        </w:rPr>
        <w:t>. WMO.</w:t>
      </w:r>
    </w:p>
    <w:p w14:paraId="3784B7D7" w14:textId="77777777" w:rsidR="00D675A1" w:rsidRPr="000A7978" w:rsidRDefault="00D675A1" w:rsidP="00D675A1">
      <w:pPr>
        <w:pStyle w:val="NormalWeb"/>
        <w:spacing w:before="0" w:beforeAutospacing="0" w:after="0" w:afterAutospacing="0"/>
        <w:rPr>
          <w:rFonts w:ascii="Arial" w:hAnsi="Arial" w:cs="Arial"/>
          <w:sz w:val="20"/>
          <w:szCs w:val="20"/>
        </w:rPr>
      </w:pPr>
    </w:p>
    <w:p w14:paraId="67FE98FB"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Zucchini, W., &amp; </w:t>
      </w:r>
      <w:proofErr w:type="spellStart"/>
      <w:r w:rsidRPr="000A7978">
        <w:rPr>
          <w:rFonts w:ascii="Arial" w:hAnsi="Arial" w:cs="Arial"/>
          <w:sz w:val="20"/>
          <w:szCs w:val="20"/>
        </w:rPr>
        <w:t>Guttorp</w:t>
      </w:r>
      <w:proofErr w:type="spellEnd"/>
      <w:r w:rsidRPr="000A7978">
        <w:rPr>
          <w:rFonts w:ascii="Arial" w:hAnsi="Arial" w:cs="Arial"/>
          <w:sz w:val="20"/>
          <w:szCs w:val="20"/>
        </w:rPr>
        <w:t xml:space="preserve">, P. (1991). A hidden Markov model for space-time precipitation. </w:t>
      </w:r>
      <w:r w:rsidRPr="000A7978">
        <w:rPr>
          <w:rStyle w:val="Emphasis"/>
          <w:rFonts w:ascii="Arial" w:hAnsi="Arial" w:cs="Arial"/>
          <w:sz w:val="20"/>
          <w:szCs w:val="20"/>
        </w:rPr>
        <w:t>Water Resources Research, 27</w:t>
      </w:r>
      <w:r w:rsidRPr="000A7978">
        <w:rPr>
          <w:rFonts w:ascii="Arial" w:hAnsi="Arial" w:cs="Arial"/>
          <w:sz w:val="20"/>
          <w:szCs w:val="20"/>
        </w:rPr>
        <w:t>(8), 1917–1923.</w:t>
      </w:r>
    </w:p>
    <w:p w14:paraId="798D8646" w14:textId="77777777" w:rsidR="00D675A1" w:rsidRPr="000A7978" w:rsidRDefault="00D675A1" w:rsidP="00D675A1">
      <w:pPr>
        <w:pStyle w:val="NormalWeb"/>
        <w:spacing w:before="0" w:beforeAutospacing="0" w:after="0" w:afterAutospacing="0"/>
        <w:rPr>
          <w:rFonts w:ascii="Arial" w:hAnsi="Arial" w:cs="Arial"/>
          <w:sz w:val="20"/>
          <w:szCs w:val="20"/>
        </w:rPr>
      </w:pPr>
    </w:p>
    <w:p w14:paraId="2D3FD457" w14:textId="77777777" w:rsidR="00D675A1" w:rsidRDefault="00D675A1" w:rsidP="00B84B97">
      <w:pPr>
        <w:pStyle w:val="NormalWeb"/>
        <w:numPr>
          <w:ilvl w:val="0"/>
          <w:numId w:val="37"/>
        </w:numPr>
        <w:spacing w:before="0" w:beforeAutospacing="0" w:after="0" w:afterAutospacing="0"/>
        <w:rPr>
          <w:rFonts w:ascii="Arial" w:hAnsi="Arial" w:cs="Arial"/>
          <w:sz w:val="20"/>
          <w:szCs w:val="20"/>
        </w:rPr>
      </w:pPr>
      <w:r w:rsidRPr="000A7978">
        <w:rPr>
          <w:rFonts w:ascii="Arial" w:hAnsi="Arial" w:cs="Arial"/>
          <w:sz w:val="20"/>
          <w:szCs w:val="20"/>
        </w:rPr>
        <w:t xml:space="preserve">Zucchini, W., &amp; MacDonald, I. L. (2009). </w:t>
      </w:r>
      <w:r w:rsidRPr="000A7978">
        <w:rPr>
          <w:rStyle w:val="Emphasis"/>
          <w:rFonts w:ascii="Arial" w:hAnsi="Arial" w:cs="Arial"/>
          <w:sz w:val="20"/>
          <w:szCs w:val="20"/>
        </w:rPr>
        <w:t>Hidden Markov models for time series: An introduction using R</w:t>
      </w:r>
      <w:r w:rsidRPr="000A7978">
        <w:rPr>
          <w:rFonts w:ascii="Arial" w:hAnsi="Arial" w:cs="Arial"/>
          <w:sz w:val="20"/>
          <w:szCs w:val="20"/>
        </w:rPr>
        <w:t>. Chapman &amp; Hall/CRC.</w:t>
      </w:r>
    </w:p>
    <w:p w14:paraId="04C1CA74" w14:textId="77777777" w:rsidR="00D675A1" w:rsidRPr="000A7978" w:rsidRDefault="00D675A1" w:rsidP="00D675A1">
      <w:pPr>
        <w:rPr>
          <w:rFonts w:ascii="Arial" w:hAnsi="Arial" w:cs="Arial"/>
        </w:rPr>
        <w:sectPr w:rsidR="00D675A1" w:rsidRPr="000A7978" w:rsidSect="003E092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6DB35205" w14:textId="77777777" w:rsidR="00046962" w:rsidRPr="00A02E91" w:rsidRDefault="00046962" w:rsidP="00046962">
      <w:pPr>
        <w:ind w:left="360"/>
        <w:rPr>
          <w:rFonts w:asciiTheme="majorHAnsi" w:hAnsiTheme="majorHAnsi"/>
          <w:sz w:val="24"/>
          <w:szCs w:val="24"/>
        </w:rPr>
      </w:pPr>
      <w:r>
        <w:rPr>
          <w:noProof/>
        </w:rPr>
        <w:lastRenderedPageBreak/>
        <w:drawing>
          <wp:inline distT="0" distB="0" distL="0" distR="0" wp14:anchorId="5E76D5E8" wp14:editId="0FF91D78">
            <wp:extent cx="2640330" cy="2247900"/>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7"/>
                    <a:stretch>
                      <a:fillRect/>
                    </a:stretch>
                  </pic:blipFill>
                  <pic:spPr>
                    <a:xfrm>
                      <a:off x="0" y="0"/>
                      <a:ext cx="2640330" cy="2247900"/>
                    </a:xfrm>
                    <a:prstGeom prst="rect">
                      <a:avLst/>
                    </a:prstGeom>
                  </pic:spPr>
                </pic:pic>
              </a:graphicData>
            </a:graphic>
          </wp:inline>
        </w:drawing>
      </w:r>
    </w:p>
    <w:p w14:paraId="135E87D9"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Benue</w:t>
      </w:r>
    </w:p>
    <w:p w14:paraId="2C8E5764" w14:textId="77777777" w:rsidR="00046962" w:rsidRDefault="00046962" w:rsidP="00046962">
      <w:pPr>
        <w:pStyle w:val="ListParagraph"/>
        <w:rPr>
          <w:rFonts w:asciiTheme="majorHAnsi" w:hAnsiTheme="majorHAnsi"/>
          <w:sz w:val="24"/>
          <w:szCs w:val="24"/>
        </w:rPr>
      </w:pPr>
      <w:r>
        <w:rPr>
          <w:noProof/>
        </w:rPr>
        <w:drawing>
          <wp:inline distT="0" distB="0" distL="0" distR="0" wp14:anchorId="62EC458E" wp14:editId="1D3544EF">
            <wp:extent cx="2640330" cy="2286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8"/>
                    <a:stretch>
                      <a:fillRect/>
                    </a:stretch>
                  </pic:blipFill>
                  <pic:spPr>
                    <a:xfrm>
                      <a:off x="0" y="0"/>
                      <a:ext cx="2640330" cy="2286000"/>
                    </a:xfrm>
                    <a:prstGeom prst="rect">
                      <a:avLst/>
                    </a:prstGeom>
                  </pic:spPr>
                </pic:pic>
              </a:graphicData>
            </a:graphic>
          </wp:inline>
        </w:drawing>
      </w:r>
    </w:p>
    <w:p w14:paraId="6BBB5CB6"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Plateau</w:t>
      </w:r>
    </w:p>
    <w:p w14:paraId="0DE0939A"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1FA25154" wp14:editId="3116C873">
            <wp:extent cx="2640330" cy="22161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9"/>
                    <a:stretch>
                      <a:fillRect/>
                    </a:stretch>
                  </pic:blipFill>
                  <pic:spPr>
                    <a:xfrm>
                      <a:off x="0" y="0"/>
                      <a:ext cx="2640330" cy="2216150"/>
                    </a:xfrm>
                    <a:prstGeom prst="rect">
                      <a:avLst/>
                    </a:prstGeom>
                  </pic:spPr>
                </pic:pic>
              </a:graphicData>
            </a:graphic>
          </wp:inline>
        </w:drawing>
      </w:r>
    </w:p>
    <w:p w14:paraId="7B8B3A8E"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Niger</w:t>
      </w:r>
    </w:p>
    <w:p w14:paraId="275261F5" w14:textId="77777777" w:rsidR="00046962" w:rsidRDefault="00046962" w:rsidP="00046962">
      <w:pPr>
        <w:pStyle w:val="ListParagraph"/>
        <w:ind w:left="1080"/>
        <w:rPr>
          <w:rFonts w:asciiTheme="majorHAnsi" w:hAnsiTheme="majorHAnsi"/>
          <w:sz w:val="24"/>
          <w:szCs w:val="24"/>
        </w:rPr>
      </w:pPr>
      <w:r>
        <w:rPr>
          <w:rFonts w:asciiTheme="majorHAnsi" w:hAnsiTheme="majorHAnsi"/>
          <w:noProof/>
          <w:sz w:val="24"/>
          <w:szCs w:val="24"/>
        </w:rPr>
        <w:lastRenderedPageBreak/>
        <w:drawing>
          <wp:inline distT="0" distB="0" distL="0" distR="0" wp14:anchorId="5214C1D0" wp14:editId="4CDBCE22">
            <wp:extent cx="2697480"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97480" cy="1924050"/>
                    </a:xfrm>
                    <a:prstGeom prst="rect">
                      <a:avLst/>
                    </a:prstGeom>
                    <a:noFill/>
                  </pic:spPr>
                </pic:pic>
              </a:graphicData>
            </a:graphic>
          </wp:inline>
        </w:drawing>
      </w:r>
    </w:p>
    <w:p w14:paraId="1E84BDF6"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Kogi</w:t>
      </w:r>
    </w:p>
    <w:p w14:paraId="6578448E"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46643DCE" wp14:editId="0EA3EB0C">
            <wp:extent cx="2640330" cy="2082800"/>
            <wp:effectExtent l="0" t="0" r="0" b="0"/>
            <wp:docPr id="4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pic:cNvPicPr>
                      <a:picLocks noChangeAspect="1"/>
                    </pic:cNvPicPr>
                  </pic:nvPicPr>
                  <pic:blipFill>
                    <a:blip r:embed="rId31"/>
                    <a:stretch>
                      <a:fillRect/>
                    </a:stretch>
                  </pic:blipFill>
                  <pic:spPr>
                    <a:xfrm>
                      <a:off x="0" y="0"/>
                      <a:ext cx="2640330" cy="2082800"/>
                    </a:xfrm>
                    <a:prstGeom prst="rect">
                      <a:avLst/>
                    </a:prstGeom>
                  </pic:spPr>
                </pic:pic>
              </a:graphicData>
            </a:graphic>
          </wp:inline>
        </w:drawing>
      </w:r>
    </w:p>
    <w:p w14:paraId="51EAF2A5"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Kwara</w:t>
      </w:r>
    </w:p>
    <w:p w14:paraId="3D6B95D5" w14:textId="77777777" w:rsidR="00046962" w:rsidRDefault="00046962" w:rsidP="00046962">
      <w:pPr>
        <w:pStyle w:val="ListParagraph"/>
        <w:ind w:left="1080"/>
        <w:rPr>
          <w:rFonts w:asciiTheme="majorHAnsi" w:hAnsiTheme="majorHAnsi"/>
          <w:sz w:val="24"/>
          <w:szCs w:val="24"/>
        </w:rPr>
      </w:pPr>
      <w:r>
        <w:rPr>
          <w:noProof/>
        </w:rPr>
        <w:drawing>
          <wp:inline distT="0" distB="0" distL="0" distR="0" wp14:anchorId="417CD6D1" wp14:editId="6D49F740">
            <wp:extent cx="2640330" cy="2495550"/>
            <wp:effectExtent l="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32"/>
                    <a:stretch>
                      <a:fillRect/>
                    </a:stretch>
                  </pic:blipFill>
                  <pic:spPr>
                    <a:xfrm>
                      <a:off x="0" y="0"/>
                      <a:ext cx="2640330" cy="2495550"/>
                    </a:xfrm>
                    <a:prstGeom prst="rect">
                      <a:avLst/>
                    </a:prstGeom>
                  </pic:spPr>
                </pic:pic>
              </a:graphicData>
            </a:graphic>
          </wp:inline>
        </w:drawing>
      </w:r>
    </w:p>
    <w:p w14:paraId="635FE9D0" w14:textId="77777777" w:rsidR="00046962" w:rsidRPr="00474E16" w:rsidRDefault="00046962" w:rsidP="00046962">
      <w:pPr>
        <w:pStyle w:val="ListParagraph"/>
        <w:numPr>
          <w:ilvl w:val="0"/>
          <w:numId w:val="35"/>
        </w:numPr>
        <w:rPr>
          <w:rFonts w:asciiTheme="majorHAnsi" w:hAnsiTheme="majorHAnsi"/>
          <w:sz w:val="20"/>
          <w:szCs w:val="20"/>
        </w:rPr>
      </w:pPr>
      <w:r>
        <w:rPr>
          <w:rFonts w:asciiTheme="majorHAnsi" w:hAnsiTheme="majorHAnsi"/>
          <w:sz w:val="20"/>
          <w:szCs w:val="20"/>
        </w:rPr>
        <w:t>Nasarawa</w:t>
      </w:r>
    </w:p>
    <w:p w14:paraId="7199BDCE" w14:textId="77777777" w:rsidR="00046962" w:rsidRDefault="00046962" w:rsidP="00046962">
      <w:pPr>
        <w:pStyle w:val="ListParagraph"/>
        <w:ind w:left="0"/>
        <w:rPr>
          <w:rFonts w:asciiTheme="majorHAnsi" w:hAnsiTheme="majorHAnsi"/>
          <w:sz w:val="24"/>
          <w:szCs w:val="24"/>
        </w:rPr>
      </w:pPr>
      <w:r>
        <w:rPr>
          <w:noProof/>
        </w:rPr>
        <w:lastRenderedPageBreak/>
        <w:drawing>
          <wp:inline distT="0" distB="0" distL="0" distR="0" wp14:anchorId="499F3E99" wp14:editId="67DA1F89">
            <wp:extent cx="2938702" cy="2208362"/>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33"/>
                    <a:stretch>
                      <a:fillRect/>
                    </a:stretch>
                  </pic:blipFill>
                  <pic:spPr>
                    <a:xfrm>
                      <a:off x="0" y="0"/>
                      <a:ext cx="2952777" cy="2218939"/>
                    </a:xfrm>
                    <a:prstGeom prst="rect">
                      <a:avLst/>
                    </a:prstGeom>
                  </pic:spPr>
                </pic:pic>
              </a:graphicData>
            </a:graphic>
          </wp:inline>
        </w:drawing>
      </w:r>
    </w:p>
    <w:p w14:paraId="32138198" w14:textId="77777777" w:rsidR="00046962" w:rsidRDefault="00046962" w:rsidP="00046962">
      <w:pPr>
        <w:pStyle w:val="ListParagraph"/>
        <w:numPr>
          <w:ilvl w:val="0"/>
          <w:numId w:val="35"/>
        </w:numPr>
        <w:spacing w:after="0" w:line="240" w:lineRule="auto"/>
        <w:rPr>
          <w:rFonts w:asciiTheme="majorHAnsi" w:hAnsiTheme="majorHAnsi"/>
          <w:sz w:val="20"/>
          <w:szCs w:val="20"/>
        </w:rPr>
      </w:pPr>
      <w:r>
        <w:rPr>
          <w:rFonts w:asciiTheme="majorHAnsi" w:hAnsiTheme="majorHAnsi"/>
          <w:sz w:val="20"/>
          <w:szCs w:val="20"/>
        </w:rPr>
        <w:t>FCT</w:t>
      </w:r>
    </w:p>
    <w:p w14:paraId="444DBEB1" w14:textId="77777777" w:rsidR="006A0E1B" w:rsidRPr="004F4405" w:rsidRDefault="006A0E1B" w:rsidP="006A0E1B">
      <w:pPr>
        <w:pStyle w:val="ListParagraph"/>
        <w:spacing w:after="0" w:line="240" w:lineRule="auto"/>
        <w:ind w:left="1080"/>
        <w:rPr>
          <w:rFonts w:asciiTheme="majorHAnsi" w:hAnsiTheme="majorHAnsi"/>
          <w:sz w:val="20"/>
          <w:szCs w:val="20"/>
        </w:rPr>
      </w:pPr>
    </w:p>
    <w:p w14:paraId="6BF704E3" w14:textId="77777777" w:rsidR="006A0E1B" w:rsidRDefault="00046962" w:rsidP="00046962">
      <w:pPr>
        <w:ind w:left="360"/>
        <w:rPr>
          <w:rFonts w:ascii="Times New Roman" w:hAnsi="Times New Roman"/>
          <w:sz w:val="24"/>
          <w:szCs w:val="24"/>
        </w:rPr>
      </w:pPr>
      <w:r w:rsidRPr="00046962">
        <w:rPr>
          <w:rFonts w:ascii="Arial" w:hAnsi="Arial" w:cs="Arial"/>
        </w:rPr>
        <w:t xml:space="preserve">Figure </w:t>
      </w:r>
      <w:r w:rsidR="006A0E1B">
        <w:rPr>
          <w:rFonts w:ascii="Arial" w:hAnsi="Arial" w:cs="Arial"/>
        </w:rPr>
        <w:t>2</w:t>
      </w:r>
      <w:r w:rsidRPr="00046962">
        <w:rPr>
          <w:rFonts w:ascii="Arial" w:hAnsi="Arial" w:cs="Arial"/>
        </w:rPr>
        <w:t>(a–g): Temporal evolution of Hidden thermodynamic states</w:t>
      </w:r>
      <w:r w:rsidRPr="00E946FF">
        <w:rPr>
          <w:rFonts w:ascii="Times New Roman" w:hAnsi="Times New Roman"/>
          <w:sz w:val="24"/>
          <w:szCs w:val="24"/>
        </w:rPr>
        <w:t xml:space="preserve"> </w:t>
      </w:r>
    </w:p>
    <w:p w14:paraId="460FEF62" w14:textId="77777777" w:rsidR="006A0E1B" w:rsidRDefault="006A0E1B" w:rsidP="00046962">
      <w:pPr>
        <w:ind w:left="360"/>
        <w:rPr>
          <w:rFonts w:ascii="Times New Roman" w:hAnsi="Times New Roman"/>
          <w:sz w:val="24"/>
          <w:szCs w:val="24"/>
        </w:rPr>
      </w:pPr>
    </w:p>
    <w:p w14:paraId="563CD309" w14:textId="77777777" w:rsidR="006A0E1B" w:rsidRDefault="006A0E1B" w:rsidP="00046962">
      <w:pPr>
        <w:ind w:left="360"/>
        <w:rPr>
          <w:rFonts w:ascii="Times New Roman" w:hAnsi="Times New Roman"/>
          <w:sz w:val="24"/>
          <w:szCs w:val="24"/>
        </w:rPr>
      </w:pPr>
    </w:p>
    <w:p w14:paraId="315F8481" w14:textId="79206CB3" w:rsidR="00046962" w:rsidRPr="004F4405" w:rsidRDefault="00046962" w:rsidP="00046962">
      <w:pPr>
        <w:ind w:left="360"/>
        <w:rPr>
          <w:rFonts w:asciiTheme="majorHAnsi" w:hAnsiTheme="majorHAnsi"/>
        </w:rPr>
      </w:pPr>
      <w:r>
        <w:rPr>
          <w:noProof/>
        </w:rPr>
        <w:drawing>
          <wp:inline distT="0" distB="0" distL="0" distR="0" wp14:anchorId="657A10AA" wp14:editId="16DE4611">
            <wp:extent cx="2640330" cy="187642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34"/>
                    <a:stretch>
                      <a:fillRect/>
                    </a:stretch>
                  </pic:blipFill>
                  <pic:spPr>
                    <a:xfrm>
                      <a:off x="0" y="0"/>
                      <a:ext cx="2640330" cy="1876425"/>
                    </a:xfrm>
                    <a:prstGeom prst="rect">
                      <a:avLst/>
                    </a:prstGeom>
                  </pic:spPr>
                </pic:pic>
              </a:graphicData>
            </a:graphic>
          </wp:inline>
        </w:drawing>
      </w:r>
    </w:p>
    <w:p w14:paraId="386B0C00" w14:textId="77777777" w:rsidR="00046962" w:rsidRPr="004F4405"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Benue</w:t>
      </w:r>
    </w:p>
    <w:p w14:paraId="7DB82C3F" w14:textId="77777777" w:rsidR="00046962" w:rsidRPr="00750427" w:rsidRDefault="00046962" w:rsidP="00046962">
      <w:pPr>
        <w:pStyle w:val="ListParagraph"/>
        <w:rPr>
          <w:rFonts w:asciiTheme="majorHAnsi" w:hAnsiTheme="majorHAnsi"/>
          <w:sz w:val="24"/>
          <w:szCs w:val="24"/>
        </w:rPr>
      </w:pPr>
      <w:r>
        <w:rPr>
          <w:noProof/>
        </w:rPr>
        <w:drawing>
          <wp:inline distT="0" distB="0" distL="0" distR="0" wp14:anchorId="6832BAC3" wp14:editId="7D33BAB4">
            <wp:extent cx="2640330" cy="20383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5"/>
                    <a:stretch>
                      <a:fillRect/>
                    </a:stretch>
                  </pic:blipFill>
                  <pic:spPr>
                    <a:xfrm>
                      <a:off x="0" y="0"/>
                      <a:ext cx="2640330" cy="2038350"/>
                    </a:xfrm>
                    <a:prstGeom prst="rect">
                      <a:avLst/>
                    </a:prstGeom>
                  </pic:spPr>
                </pic:pic>
              </a:graphicData>
            </a:graphic>
          </wp:inline>
        </w:drawing>
      </w:r>
    </w:p>
    <w:p w14:paraId="1D865B55"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Plateau</w:t>
      </w:r>
    </w:p>
    <w:p w14:paraId="0D6187E1" w14:textId="77777777" w:rsidR="00702C61" w:rsidRDefault="00702C61" w:rsidP="00702C61">
      <w:pPr>
        <w:rPr>
          <w:rFonts w:asciiTheme="majorHAnsi" w:hAnsiTheme="majorHAnsi"/>
        </w:rPr>
      </w:pPr>
    </w:p>
    <w:p w14:paraId="41B30924" w14:textId="77777777" w:rsidR="00702C61" w:rsidRPr="00702C61" w:rsidRDefault="00702C61" w:rsidP="00702C61">
      <w:pPr>
        <w:rPr>
          <w:rFonts w:asciiTheme="majorHAnsi" w:hAnsiTheme="majorHAnsi"/>
        </w:rPr>
      </w:pPr>
    </w:p>
    <w:p w14:paraId="466A9BD4"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448E92DC" wp14:editId="2CA4EB59">
            <wp:extent cx="2640330" cy="227838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6"/>
                    <a:stretch>
                      <a:fillRect/>
                    </a:stretch>
                  </pic:blipFill>
                  <pic:spPr>
                    <a:xfrm>
                      <a:off x="0" y="0"/>
                      <a:ext cx="2640330" cy="2278380"/>
                    </a:xfrm>
                    <a:prstGeom prst="rect">
                      <a:avLst/>
                    </a:prstGeom>
                  </pic:spPr>
                </pic:pic>
              </a:graphicData>
            </a:graphic>
          </wp:inline>
        </w:drawing>
      </w:r>
    </w:p>
    <w:p w14:paraId="02E8E697"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Niger</w:t>
      </w:r>
    </w:p>
    <w:p w14:paraId="3BE2E8C7"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4DE57E9D" wp14:editId="7837193C">
            <wp:extent cx="2640330" cy="213868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37"/>
                    <a:stretch>
                      <a:fillRect/>
                    </a:stretch>
                  </pic:blipFill>
                  <pic:spPr>
                    <a:xfrm>
                      <a:off x="0" y="0"/>
                      <a:ext cx="2640330" cy="2138680"/>
                    </a:xfrm>
                    <a:prstGeom prst="rect">
                      <a:avLst/>
                    </a:prstGeom>
                  </pic:spPr>
                </pic:pic>
              </a:graphicData>
            </a:graphic>
          </wp:inline>
        </w:drawing>
      </w:r>
    </w:p>
    <w:p w14:paraId="0B08DD6F"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Kogi</w:t>
      </w:r>
    </w:p>
    <w:p w14:paraId="6E23AC36"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74D00895" wp14:editId="6BE62AA5">
            <wp:extent cx="2640330" cy="2146300"/>
            <wp:effectExtent l="0" t="0" r="0" b="0"/>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r:embed="rId38"/>
                    <a:stretch>
                      <a:fillRect/>
                    </a:stretch>
                  </pic:blipFill>
                  <pic:spPr>
                    <a:xfrm>
                      <a:off x="0" y="0"/>
                      <a:ext cx="2640330" cy="2146300"/>
                    </a:xfrm>
                    <a:prstGeom prst="rect">
                      <a:avLst/>
                    </a:prstGeom>
                  </pic:spPr>
                </pic:pic>
              </a:graphicData>
            </a:graphic>
          </wp:inline>
        </w:drawing>
      </w:r>
    </w:p>
    <w:p w14:paraId="699278FE"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Kwara</w:t>
      </w:r>
    </w:p>
    <w:p w14:paraId="33389F56"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77FEF925" wp14:editId="0BA8EE5D">
            <wp:extent cx="2640330" cy="1936750"/>
            <wp:effectExtent l="0" t="0" r="0"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39"/>
                    <a:stretch>
                      <a:fillRect/>
                    </a:stretch>
                  </pic:blipFill>
                  <pic:spPr>
                    <a:xfrm>
                      <a:off x="0" y="0"/>
                      <a:ext cx="2640330" cy="1936750"/>
                    </a:xfrm>
                    <a:prstGeom prst="rect">
                      <a:avLst/>
                    </a:prstGeom>
                  </pic:spPr>
                </pic:pic>
              </a:graphicData>
            </a:graphic>
          </wp:inline>
        </w:drawing>
      </w:r>
    </w:p>
    <w:p w14:paraId="1E4571C6" w14:textId="77777777" w:rsidR="00046962" w:rsidRDefault="00046962" w:rsidP="00046962">
      <w:pPr>
        <w:pStyle w:val="ListParagraph"/>
        <w:numPr>
          <w:ilvl w:val="0"/>
          <w:numId w:val="32"/>
        </w:numPr>
        <w:rPr>
          <w:rFonts w:asciiTheme="majorHAnsi" w:hAnsiTheme="majorHAnsi"/>
          <w:sz w:val="20"/>
          <w:szCs w:val="20"/>
        </w:rPr>
      </w:pPr>
      <w:r>
        <w:rPr>
          <w:rFonts w:asciiTheme="majorHAnsi" w:hAnsiTheme="majorHAnsi"/>
          <w:sz w:val="20"/>
          <w:szCs w:val="20"/>
        </w:rPr>
        <w:t>Nasarawa</w:t>
      </w:r>
    </w:p>
    <w:p w14:paraId="692A7000"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6ACD2B3E" wp14:editId="5C00D1F9">
            <wp:extent cx="2640330" cy="2303780"/>
            <wp:effectExtent l="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40"/>
                    <a:stretch>
                      <a:fillRect/>
                    </a:stretch>
                  </pic:blipFill>
                  <pic:spPr>
                    <a:xfrm>
                      <a:off x="0" y="0"/>
                      <a:ext cx="2640330" cy="2303780"/>
                    </a:xfrm>
                    <a:prstGeom prst="rect">
                      <a:avLst/>
                    </a:prstGeom>
                  </pic:spPr>
                </pic:pic>
              </a:graphicData>
            </a:graphic>
          </wp:inline>
        </w:drawing>
      </w:r>
    </w:p>
    <w:p w14:paraId="1C179D3F" w14:textId="77777777" w:rsidR="00046962" w:rsidRPr="004F4405" w:rsidRDefault="00046962" w:rsidP="00046962">
      <w:pPr>
        <w:pStyle w:val="ListParagraph"/>
        <w:numPr>
          <w:ilvl w:val="0"/>
          <w:numId w:val="32"/>
        </w:numPr>
        <w:spacing w:after="0" w:line="240" w:lineRule="auto"/>
        <w:rPr>
          <w:rFonts w:asciiTheme="majorHAnsi" w:hAnsiTheme="majorHAnsi"/>
          <w:sz w:val="20"/>
          <w:szCs w:val="20"/>
        </w:rPr>
      </w:pPr>
      <w:r>
        <w:rPr>
          <w:rFonts w:asciiTheme="majorHAnsi" w:hAnsiTheme="majorHAnsi"/>
          <w:sz w:val="20"/>
          <w:szCs w:val="20"/>
        </w:rPr>
        <w:t>FCT</w:t>
      </w:r>
    </w:p>
    <w:p w14:paraId="50F84D48" w14:textId="21DC3220" w:rsidR="00046962" w:rsidRPr="004F4405" w:rsidRDefault="00046962" w:rsidP="00046962">
      <w:pPr>
        <w:ind w:left="360"/>
        <w:rPr>
          <w:rFonts w:asciiTheme="majorHAnsi" w:hAnsiTheme="majorHAnsi"/>
        </w:rPr>
      </w:pPr>
      <w:r w:rsidRPr="00046962">
        <w:rPr>
          <w:rFonts w:ascii="Arial" w:hAnsi="Arial" w:cs="Arial"/>
        </w:rPr>
        <w:t xml:space="preserve">Figure </w:t>
      </w:r>
      <w:r w:rsidR="006A0E1B">
        <w:rPr>
          <w:rFonts w:ascii="Arial" w:hAnsi="Arial" w:cs="Arial"/>
        </w:rPr>
        <w:t>3</w:t>
      </w:r>
      <w:r w:rsidRPr="00046962">
        <w:rPr>
          <w:rFonts w:ascii="Arial" w:hAnsi="Arial" w:cs="Arial"/>
        </w:rPr>
        <w:t>(a–g): Seasonal distribution of Hidden thermodynamic states</w:t>
      </w:r>
      <w:r w:rsidRPr="00E946FF">
        <w:rPr>
          <w:rFonts w:ascii="Times New Roman" w:hAnsi="Times New Roman"/>
          <w:sz w:val="24"/>
          <w:szCs w:val="24"/>
        </w:rPr>
        <w:t xml:space="preserve"> </w:t>
      </w:r>
      <w:r>
        <w:rPr>
          <w:noProof/>
        </w:rPr>
        <w:drawing>
          <wp:inline distT="0" distB="0" distL="0" distR="0" wp14:anchorId="26841F64" wp14:editId="35B50251">
            <wp:extent cx="2640330" cy="2108200"/>
            <wp:effectExtent l="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41"/>
                    <a:stretch>
                      <a:fillRect/>
                    </a:stretch>
                  </pic:blipFill>
                  <pic:spPr>
                    <a:xfrm>
                      <a:off x="0" y="0"/>
                      <a:ext cx="2640330" cy="2108200"/>
                    </a:xfrm>
                    <a:prstGeom prst="rect">
                      <a:avLst/>
                    </a:prstGeom>
                  </pic:spPr>
                </pic:pic>
              </a:graphicData>
            </a:graphic>
          </wp:inline>
        </w:drawing>
      </w:r>
    </w:p>
    <w:p w14:paraId="60B9A35D" w14:textId="77777777" w:rsidR="00046962" w:rsidRPr="004F4405"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Benue</w:t>
      </w:r>
    </w:p>
    <w:p w14:paraId="4CBD0951" w14:textId="77777777" w:rsidR="00046962" w:rsidRPr="00750427" w:rsidRDefault="00046962" w:rsidP="00046962">
      <w:pPr>
        <w:pStyle w:val="ListParagraph"/>
        <w:rPr>
          <w:rFonts w:asciiTheme="majorHAnsi" w:hAnsiTheme="majorHAnsi"/>
          <w:sz w:val="24"/>
          <w:szCs w:val="24"/>
        </w:rPr>
      </w:pPr>
      <w:r>
        <w:rPr>
          <w:noProof/>
        </w:rPr>
        <w:lastRenderedPageBreak/>
        <w:drawing>
          <wp:inline distT="0" distB="0" distL="0" distR="0" wp14:anchorId="7C269FBC" wp14:editId="70CAE5FB">
            <wp:extent cx="2640330" cy="21653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2"/>
                    <a:stretch>
                      <a:fillRect/>
                    </a:stretch>
                  </pic:blipFill>
                  <pic:spPr>
                    <a:xfrm>
                      <a:off x="0" y="0"/>
                      <a:ext cx="2640330" cy="2165350"/>
                    </a:xfrm>
                    <a:prstGeom prst="rect">
                      <a:avLst/>
                    </a:prstGeom>
                  </pic:spPr>
                </pic:pic>
              </a:graphicData>
            </a:graphic>
          </wp:inline>
        </w:drawing>
      </w:r>
    </w:p>
    <w:p w14:paraId="0B1B3CCC"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Plateau</w:t>
      </w:r>
    </w:p>
    <w:p w14:paraId="2EF825D1"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32E5C399" wp14:editId="338D9056">
            <wp:extent cx="2640330" cy="20828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43"/>
                    <a:stretch>
                      <a:fillRect/>
                    </a:stretch>
                  </pic:blipFill>
                  <pic:spPr>
                    <a:xfrm>
                      <a:off x="0" y="0"/>
                      <a:ext cx="2640330" cy="2082800"/>
                    </a:xfrm>
                    <a:prstGeom prst="rect">
                      <a:avLst/>
                    </a:prstGeom>
                  </pic:spPr>
                </pic:pic>
              </a:graphicData>
            </a:graphic>
          </wp:inline>
        </w:drawing>
      </w:r>
    </w:p>
    <w:p w14:paraId="00CF9640"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Niger</w:t>
      </w:r>
    </w:p>
    <w:p w14:paraId="36C3C821"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58E6FF38" wp14:editId="30D9E83A">
            <wp:extent cx="2640330" cy="2235200"/>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44"/>
                    <a:stretch>
                      <a:fillRect/>
                    </a:stretch>
                  </pic:blipFill>
                  <pic:spPr>
                    <a:xfrm>
                      <a:off x="0" y="0"/>
                      <a:ext cx="2640330" cy="2235200"/>
                    </a:xfrm>
                    <a:prstGeom prst="rect">
                      <a:avLst/>
                    </a:prstGeom>
                  </pic:spPr>
                </pic:pic>
              </a:graphicData>
            </a:graphic>
          </wp:inline>
        </w:drawing>
      </w:r>
    </w:p>
    <w:p w14:paraId="0FE15A48"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Kogi</w:t>
      </w:r>
    </w:p>
    <w:p w14:paraId="53513540"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32AECD97" wp14:editId="7711EF7F">
            <wp:extent cx="2640330" cy="1828800"/>
            <wp:effectExtent l="0" t="0" r="0"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45"/>
                    <a:stretch>
                      <a:fillRect/>
                    </a:stretch>
                  </pic:blipFill>
                  <pic:spPr>
                    <a:xfrm>
                      <a:off x="0" y="0"/>
                      <a:ext cx="2640330" cy="1828800"/>
                    </a:xfrm>
                    <a:prstGeom prst="rect">
                      <a:avLst/>
                    </a:prstGeom>
                  </pic:spPr>
                </pic:pic>
              </a:graphicData>
            </a:graphic>
          </wp:inline>
        </w:drawing>
      </w:r>
    </w:p>
    <w:p w14:paraId="6D74C1D2"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Kwara</w:t>
      </w:r>
    </w:p>
    <w:p w14:paraId="333C92DF"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061DCC95" wp14:editId="403E23E8">
            <wp:extent cx="2640330" cy="1733550"/>
            <wp:effectExtent l="0" t="0" r="0" b="0"/>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46"/>
                    <a:stretch>
                      <a:fillRect/>
                    </a:stretch>
                  </pic:blipFill>
                  <pic:spPr>
                    <a:xfrm>
                      <a:off x="0" y="0"/>
                      <a:ext cx="2640330" cy="1733550"/>
                    </a:xfrm>
                    <a:prstGeom prst="rect">
                      <a:avLst/>
                    </a:prstGeom>
                  </pic:spPr>
                </pic:pic>
              </a:graphicData>
            </a:graphic>
          </wp:inline>
        </w:drawing>
      </w:r>
    </w:p>
    <w:p w14:paraId="35DB38F9" w14:textId="77777777" w:rsidR="00046962" w:rsidRDefault="00046962" w:rsidP="00046962">
      <w:pPr>
        <w:pStyle w:val="ListParagraph"/>
        <w:numPr>
          <w:ilvl w:val="0"/>
          <w:numId w:val="33"/>
        </w:numPr>
        <w:rPr>
          <w:rFonts w:asciiTheme="majorHAnsi" w:hAnsiTheme="majorHAnsi"/>
          <w:sz w:val="20"/>
          <w:szCs w:val="20"/>
        </w:rPr>
      </w:pPr>
      <w:r>
        <w:rPr>
          <w:rFonts w:asciiTheme="majorHAnsi" w:hAnsiTheme="majorHAnsi"/>
          <w:sz w:val="20"/>
          <w:szCs w:val="20"/>
        </w:rPr>
        <w:t>Nasarawa</w:t>
      </w:r>
    </w:p>
    <w:p w14:paraId="362578A2"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2AF44277" wp14:editId="77A69822">
            <wp:extent cx="2640330" cy="161925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47"/>
                    <a:stretch>
                      <a:fillRect/>
                    </a:stretch>
                  </pic:blipFill>
                  <pic:spPr>
                    <a:xfrm>
                      <a:off x="0" y="0"/>
                      <a:ext cx="2640330" cy="1619250"/>
                    </a:xfrm>
                    <a:prstGeom prst="rect">
                      <a:avLst/>
                    </a:prstGeom>
                  </pic:spPr>
                </pic:pic>
              </a:graphicData>
            </a:graphic>
          </wp:inline>
        </w:drawing>
      </w:r>
    </w:p>
    <w:p w14:paraId="56919FF7" w14:textId="77777777" w:rsidR="00046962" w:rsidRDefault="00046962" w:rsidP="00046962">
      <w:pPr>
        <w:pStyle w:val="ListParagraph"/>
        <w:numPr>
          <w:ilvl w:val="0"/>
          <w:numId w:val="33"/>
        </w:numPr>
        <w:spacing w:after="0"/>
        <w:rPr>
          <w:rFonts w:asciiTheme="majorHAnsi" w:hAnsiTheme="majorHAnsi"/>
          <w:sz w:val="20"/>
          <w:szCs w:val="20"/>
        </w:rPr>
      </w:pPr>
      <w:r>
        <w:rPr>
          <w:rFonts w:asciiTheme="majorHAnsi" w:hAnsiTheme="majorHAnsi"/>
          <w:sz w:val="20"/>
          <w:szCs w:val="20"/>
        </w:rPr>
        <w:t>FCT</w:t>
      </w:r>
    </w:p>
    <w:p w14:paraId="2BB29AA7" w14:textId="372D54E1" w:rsidR="00046962" w:rsidRPr="004F4405" w:rsidRDefault="00046962" w:rsidP="00046962">
      <w:pPr>
        <w:ind w:left="360"/>
        <w:rPr>
          <w:rFonts w:asciiTheme="majorHAnsi" w:hAnsiTheme="majorHAnsi"/>
        </w:rPr>
      </w:pPr>
      <w:r w:rsidRPr="00046962">
        <w:rPr>
          <w:rFonts w:ascii="Arial" w:hAnsi="Arial" w:cs="Arial"/>
        </w:rPr>
        <w:t xml:space="preserve">Figure </w:t>
      </w:r>
      <w:r w:rsidR="006A0E1B">
        <w:rPr>
          <w:rFonts w:ascii="Arial" w:hAnsi="Arial" w:cs="Arial"/>
        </w:rPr>
        <w:t>4</w:t>
      </w:r>
      <w:r w:rsidRPr="00046962">
        <w:rPr>
          <w:rFonts w:ascii="Arial" w:hAnsi="Arial" w:cs="Arial"/>
        </w:rPr>
        <w:t>(a–g): The monthly distribution of Atmospheric states.</w:t>
      </w:r>
      <w:r>
        <w:rPr>
          <w:noProof/>
        </w:rPr>
        <w:drawing>
          <wp:inline distT="0" distB="0" distL="0" distR="0" wp14:anchorId="4D274670" wp14:editId="76C61AB7">
            <wp:extent cx="2640330" cy="192913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48"/>
                    <a:stretch>
                      <a:fillRect/>
                    </a:stretch>
                  </pic:blipFill>
                  <pic:spPr>
                    <a:xfrm>
                      <a:off x="0" y="0"/>
                      <a:ext cx="2640330" cy="1929130"/>
                    </a:xfrm>
                    <a:prstGeom prst="rect">
                      <a:avLst/>
                    </a:prstGeom>
                  </pic:spPr>
                </pic:pic>
              </a:graphicData>
            </a:graphic>
          </wp:inline>
        </w:drawing>
      </w:r>
    </w:p>
    <w:p w14:paraId="7DE3BCED" w14:textId="77777777" w:rsidR="00046962" w:rsidRPr="00D87DB4" w:rsidRDefault="00046962" w:rsidP="00046962">
      <w:pPr>
        <w:pStyle w:val="ListParagraph"/>
        <w:numPr>
          <w:ilvl w:val="0"/>
          <w:numId w:val="36"/>
        </w:numPr>
        <w:rPr>
          <w:rFonts w:asciiTheme="majorHAnsi" w:hAnsiTheme="majorHAnsi"/>
          <w:sz w:val="20"/>
          <w:szCs w:val="20"/>
        </w:rPr>
      </w:pPr>
      <w:r>
        <w:rPr>
          <w:rFonts w:asciiTheme="majorHAnsi" w:hAnsiTheme="majorHAnsi"/>
          <w:sz w:val="20"/>
          <w:szCs w:val="20"/>
        </w:rPr>
        <w:lastRenderedPageBreak/>
        <w:t>Benue</w:t>
      </w:r>
    </w:p>
    <w:p w14:paraId="24D3BC25" w14:textId="77777777" w:rsidR="00046962" w:rsidRPr="00750427" w:rsidRDefault="00046962" w:rsidP="00046962">
      <w:pPr>
        <w:ind w:left="360"/>
        <w:rPr>
          <w:rFonts w:asciiTheme="majorHAnsi" w:hAnsiTheme="majorHAnsi"/>
          <w:sz w:val="24"/>
          <w:szCs w:val="24"/>
        </w:rPr>
      </w:pPr>
      <w:r>
        <w:rPr>
          <w:noProof/>
        </w:rPr>
        <w:drawing>
          <wp:inline distT="0" distB="0" distL="0" distR="0" wp14:anchorId="28FBCB21" wp14:editId="5EAC7326">
            <wp:extent cx="2952750" cy="17907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9"/>
                    <a:stretch>
                      <a:fillRect/>
                    </a:stretch>
                  </pic:blipFill>
                  <pic:spPr>
                    <a:xfrm>
                      <a:off x="0" y="0"/>
                      <a:ext cx="2952750" cy="1790700"/>
                    </a:xfrm>
                    <a:prstGeom prst="rect">
                      <a:avLst/>
                    </a:prstGeom>
                  </pic:spPr>
                </pic:pic>
              </a:graphicData>
            </a:graphic>
          </wp:inline>
        </w:drawing>
      </w:r>
    </w:p>
    <w:p w14:paraId="69E5AE95"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Plateau</w:t>
      </w:r>
    </w:p>
    <w:p w14:paraId="2B676D7C"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18CA618F" wp14:editId="270D5BE1">
            <wp:extent cx="2640330" cy="192405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50"/>
                    <a:stretch>
                      <a:fillRect/>
                    </a:stretch>
                  </pic:blipFill>
                  <pic:spPr>
                    <a:xfrm>
                      <a:off x="0" y="0"/>
                      <a:ext cx="2640330" cy="1924050"/>
                    </a:xfrm>
                    <a:prstGeom prst="rect">
                      <a:avLst/>
                    </a:prstGeom>
                  </pic:spPr>
                </pic:pic>
              </a:graphicData>
            </a:graphic>
          </wp:inline>
        </w:drawing>
      </w:r>
    </w:p>
    <w:p w14:paraId="39E00258"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Niger</w:t>
      </w:r>
    </w:p>
    <w:p w14:paraId="61C6AAB4"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468A91AB" wp14:editId="4D03192C">
            <wp:extent cx="2640330" cy="165735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51"/>
                    <a:stretch>
                      <a:fillRect/>
                    </a:stretch>
                  </pic:blipFill>
                  <pic:spPr>
                    <a:xfrm>
                      <a:off x="0" y="0"/>
                      <a:ext cx="2640330" cy="1657350"/>
                    </a:xfrm>
                    <a:prstGeom prst="rect">
                      <a:avLst/>
                    </a:prstGeom>
                  </pic:spPr>
                </pic:pic>
              </a:graphicData>
            </a:graphic>
          </wp:inline>
        </w:drawing>
      </w:r>
    </w:p>
    <w:p w14:paraId="1D8FB933"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Kogi</w:t>
      </w:r>
    </w:p>
    <w:p w14:paraId="2DC08C08" w14:textId="77777777" w:rsidR="00046962" w:rsidRPr="004F4405" w:rsidRDefault="00046962" w:rsidP="00046962">
      <w:pPr>
        <w:pStyle w:val="ListParagraph"/>
        <w:rPr>
          <w:rFonts w:asciiTheme="majorHAnsi" w:hAnsiTheme="majorHAnsi"/>
          <w:sz w:val="20"/>
          <w:szCs w:val="20"/>
        </w:rPr>
      </w:pPr>
      <w:r>
        <w:rPr>
          <w:noProof/>
        </w:rPr>
        <w:lastRenderedPageBreak/>
        <w:drawing>
          <wp:inline distT="0" distB="0" distL="0" distR="0" wp14:anchorId="0AE994D7" wp14:editId="3DFFA624">
            <wp:extent cx="2640330" cy="1816100"/>
            <wp:effectExtent l="0" t="0" r="0"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pic:cNvPicPr>
                      <a:picLocks noChangeAspect="1"/>
                    </pic:cNvPicPr>
                  </pic:nvPicPr>
                  <pic:blipFill>
                    <a:blip r:embed="rId52"/>
                    <a:stretch>
                      <a:fillRect/>
                    </a:stretch>
                  </pic:blipFill>
                  <pic:spPr>
                    <a:xfrm>
                      <a:off x="0" y="0"/>
                      <a:ext cx="2640330" cy="1816100"/>
                    </a:xfrm>
                    <a:prstGeom prst="rect">
                      <a:avLst/>
                    </a:prstGeom>
                  </pic:spPr>
                </pic:pic>
              </a:graphicData>
            </a:graphic>
          </wp:inline>
        </w:drawing>
      </w:r>
    </w:p>
    <w:p w14:paraId="4EC8D2B7"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Kwara</w:t>
      </w:r>
    </w:p>
    <w:p w14:paraId="09489F16" w14:textId="77777777" w:rsidR="00046962" w:rsidRPr="004F4405" w:rsidRDefault="00046962" w:rsidP="00046962">
      <w:pPr>
        <w:pStyle w:val="ListParagraph"/>
        <w:rPr>
          <w:rFonts w:asciiTheme="majorHAnsi" w:hAnsiTheme="majorHAnsi"/>
          <w:sz w:val="20"/>
          <w:szCs w:val="20"/>
        </w:rPr>
      </w:pPr>
      <w:r>
        <w:rPr>
          <w:noProof/>
        </w:rPr>
        <w:drawing>
          <wp:inline distT="0" distB="0" distL="0" distR="0" wp14:anchorId="13958919" wp14:editId="6AB94BA3">
            <wp:extent cx="2640330" cy="2087880"/>
            <wp:effectExtent l="0" t="0" r="0"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pic:cNvPicPr>
                      <a:picLocks noChangeAspect="1"/>
                    </pic:cNvPicPr>
                  </pic:nvPicPr>
                  <pic:blipFill>
                    <a:blip r:embed="rId53"/>
                    <a:stretch>
                      <a:fillRect/>
                    </a:stretch>
                  </pic:blipFill>
                  <pic:spPr>
                    <a:xfrm>
                      <a:off x="0" y="0"/>
                      <a:ext cx="2640330" cy="2087880"/>
                    </a:xfrm>
                    <a:prstGeom prst="rect">
                      <a:avLst/>
                    </a:prstGeom>
                  </pic:spPr>
                </pic:pic>
              </a:graphicData>
            </a:graphic>
          </wp:inline>
        </w:drawing>
      </w:r>
    </w:p>
    <w:p w14:paraId="420BB1FC" w14:textId="77777777" w:rsidR="00046962" w:rsidRDefault="00046962" w:rsidP="00046962">
      <w:pPr>
        <w:pStyle w:val="ListParagraph"/>
        <w:numPr>
          <w:ilvl w:val="0"/>
          <w:numId w:val="34"/>
        </w:numPr>
        <w:rPr>
          <w:rFonts w:asciiTheme="majorHAnsi" w:hAnsiTheme="majorHAnsi"/>
          <w:sz w:val="20"/>
          <w:szCs w:val="20"/>
        </w:rPr>
      </w:pPr>
      <w:r>
        <w:rPr>
          <w:rFonts w:asciiTheme="majorHAnsi" w:hAnsiTheme="majorHAnsi"/>
          <w:sz w:val="20"/>
          <w:szCs w:val="20"/>
        </w:rPr>
        <w:t>Nasarawa</w:t>
      </w:r>
    </w:p>
    <w:p w14:paraId="7C7C6386" w14:textId="77777777" w:rsidR="006A0E1B" w:rsidRDefault="006A0E1B" w:rsidP="00D05D68">
      <w:pPr>
        <w:pStyle w:val="ListParagraph"/>
        <w:rPr>
          <w:rFonts w:asciiTheme="majorHAnsi" w:hAnsiTheme="majorHAnsi"/>
          <w:sz w:val="20"/>
          <w:szCs w:val="20"/>
        </w:rPr>
        <w:sectPr w:rsidR="006A0E1B" w:rsidSect="003E0925">
          <w:headerReference w:type="even" r:id="rId54"/>
          <w:headerReference w:type="default" r:id="rId55"/>
          <w:footerReference w:type="even" r:id="rId56"/>
          <w:footerReference w:type="default" r:id="rId57"/>
          <w:headerReference w:type="first" r:id="rId58"/>
          <w:footerReference w:type="first" r:id="rId59"/>
          <w:pgSz w:w="12240" w:h="15840"/>
          <w:pgMar w:top="1440" w:right="2016" w:bottom="2016" w:left="2016" w:header="720" w:footer="1123" w:gutter="0"/>
          <w:cols w:space="709"/>
          <w:docGrid w:linePitch="272"/>
        </w:sectPr>
      </w:pPr>
    </w:p>
    <w:p w14:paraId="55B7E3B7" w14:textId="77777777" w:rsidR="00D05D68" w:rsidRDefault="00D05D68" w:rsidP="00D05D68">
      <w:pPr>
        <w:pStyle w:val="ListParagraph"/>
        <w:rPr>
          <w:rFonts w:asciiTheme="majorHAnsi" w:hAnsiTheme="majorHAnsi"/>
          <w:sz w:val="20"/>
          <w:szCs w:val="20"/>
        </w:rPr>
      </w:pPr>
    </w:p>
    <w:p w14:paraId="0AA7D526" w14:textId="77777777" w:rsidR="00D05D68" w:rsidRPr="004F4405" w:rsidRDefault="00D05D68" w:rsidP="00D05D68">
      <w:pPr>
        <w:pStyle w:val="ListParagraph"/>
        <w:rPr>
          <w:rFonts w:asciiTheme="majorHAnsi" w:hAnsiTheme="majorHAnsi"/>
          <w:sz w:val="20"/>
          <w:szCs w:val="20"/>
        </w:rPr>
      </w:pPr>
      <w:r>
        <w:rPr>
          <w:noProof/>
        </w:rPr>
        <w:drawing>
          <wp:inline distT="0" distB="0" distL="0" distR="0" wp14:anchorId="619797F6" wp14:editId="0FAD99DA">
            <wp:extent cx="2640330" cy="196850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60"/>
                    <a:stretch>
                      <a:fillRect/>
                    </a:stretch>
                  </pic:blipFill>
                  <pic:spPr>
                    <a:xfrm>
                      <a:off x="0" y="0"/>
                      <a:ext cx="2640330" cy="1968500"/>
                    </a:xfrm>
                    <a:prstGeom prst="rect">
                      <a:avLst/>
                    </a:prstGeom>
                  </pic:spPr>
                </pic:pic>
              </a:graphicData>
            </a:graphic>
          </wp:inline>
        </w:drawing>
      </w:r>
    </w:p>
    <w:p w14:paraId="63A8DB55" w14:textId="77777777" w:rsidR="00D05D68" w:rsidRPr="004F4405" w:rsidRDefault="00D05D68" w:rsidP="00D05D68">
      <w:pPr>
        <w:pStyle w:val="ListParagraph"/>
        <w:numPr>
          <w:ilvl w:val="0"/>
          <w:numId w:val="34"/>
        </w:numPr>
        <w:spacing w:after="0" w:line="240" w:lineRule="auto"/>
        <w:rPr>
          <w:rFonts w:asciiTheme="majorHAnsi" w:hAnsiTheme="majorHAnsi"/>
          <w:sz w:val="20"/>
          <w:szCs w:val="20"/>
        </w:rPr>
      </w:pPr>
      <w:r>
        <w:rPr>
          <w:rFonts w:asciiTheme="majorHAnsi" w:hAnsiTheme="majorHAnsi"/>
          <w:sz w:val="20"/>
          <w:szCs w:val="20"/>
        </w:rPr>
        <w:t>FCT</w:t>
      </w:r>
    </w:p>
    <w:p w14:paraId="5FF3457C" w14:textId="6223B5E5" w:rsidR="00D05D68" w:rsidRPr="00D05D68" w:rsidRDefault="00D05D68" w:rsidP="00D05D68">
      <w:pPr>
        <w:pStyle w:val="ListParagraph"/>
        <w:rPr>
          <w:rFonts w:ascii="Arial" w:hAnsi="Arial" w:cs="Arial"/>
          <w:sz w:val="20"/>
          <w:szCs w:val="20"/>
        </w:rPr>
      </w:pPr>
      <w:r w:rsidRPr="00D05D68">
        <w:rPr>
          <w:rFonts w:ascii="Arial" w:hAnsi="Arial" w:cs="Arial"/>
          <w:sz w:val="20"/>
          <w:szCs w:val="20"/>
        </w:rPr>
        <w:t xml:space="preserve">Figure </w:t>
      </w:r>
      <w:r w:rsidR="006A0E1B">
        <w:rPr>
          <w:rFonts w:ascii="Arial" w:hAnsi="Arial" w:cs="Arial"/>
          <w:sz w:val="20"/>
          <w:szCs w:val="20"/>
        </w:rPr>
        <w:t>5</w:t>
      </w:r>
      <w:r w:rsidRPr="00D05D68">
        <w:rPr>
          <w:rFonts w:ascii="Arial" w:hAnsi="Arial" w:cs="Arial"/>
          <w:sz w:val="20"/>
          <w:szCs w:val="20"/>
        </w:rPr>
        <w:t xml:space="preserve">(a–g): Rainfall distribution by Hidden state. </w:t>
      </w:r>
    </w:p>
    <w:p w14:paraId="12BD9EAF" w14:textId="77777777" w:rsidR="00D05D68" w:rsidRPr="00750427" w:rsidRDefault="00D05D68" w:rsidP="00D05D68">
      <w:pPr>
        <w:rPr>
          <w:rFonts w:asciiTheme="majorHAnsi" w:hAnsiTheme="majorHAnsi"/>
          <w:sz w:val="24"/>
          <w:szCs w:val="24"/>
        </w:rPr>
      </w:pPr>
    </w:p>
    <w:p w14:paraId="0F7D63FD" w14:textId="77777777" w:rsidR="00D05D68" w:rsidRDefault="00D05D68" w:rsidP="00D05D68">
      <w:pPr>
        <w:pStyle w:val="ListParagraph"/>
        <w:rPr>
          <w:rFonts w:asciiTheme="majorHAnsi" w:hAnsiTheme="majorHAnsi"/>
          <w:sz w:val="20"/>
          <w:szCs w:val="20"/>
        </w:rPr>
      </w:pPr>
    </w:p>
    <w:p w14:paraId="58718E2A" w14:textId="77777777" w:rsidR="00B01FCD" w:rsidRPr="00FB3A86" w:rsidRDefault="00B01FCD" w:rsidP="00046962">
      <w:pPr>
        <w:pStyle w:val="Body"/>
        <w:spacing w:after="0"/>
        <w:rPr>
          <w:rFonts w:ascii="Arial" w:hAnsi="Arial" w:cs="Arial"/>
          <w:b/>
        </w:rPr>
      </w:pPr>
    </w:p>
    <w:sectPr w:rsidR="00B01FCD" w:rsidRPr="00FB3A86" w:rsidSect="003E0925">
      <w:pgSz w:w="12240" w:h="15840"/>
      <w:pgMar w:top="1440" w:right="2016" w:bottom="2016" w:left="2016" w:header="720" w:footer="1123"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0405B" w14:textId="77777777" w:rsidR="00FD2625" w:rsidRDefault="00FD2625" w:rsidP="00C37E61">
      <w:r>
        <w:separator/>
      </w:r>
    </w:p>
  </w:endnote>
  <w:endnote w:type="continuationSeparator" w:id="0">
    <w:p w14:paraId="1C50E84C" w14:textId="77777777" w:rsidR="00FD2625" w:rsidRDefault="00FD26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F1A7" w14:textId="77777777" w:rsidR="00D675A1" w:rsidRDefault="00D6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585603"/>
      <w:docPartObj>
        <w:docPartGallery w:val="Page Numbers (Bottom of Page)"/>
        <w:docPartUnique/>
      </w:docPartObj>
    </w:sdtPr>
    <w:sdtEndPr>
      <w:rPr>
        <w:noProof/>
      </w:rPr>
    </w:sdtEndPr>
    <w:sdtContent>
      <w:p w14:paraId="4E50F34B" w14:textId="77777777" w:rsidR="00D675A1" w:rsidRDefault="00D675A1">
        <w:pPr>
          <w:pStyle w:val="Footer"/>
          <w:jc w:val="center"/>
        </w:pPr>
        <w:r>
          <w:fldChar w:fldCharType="begin"/>
        </w:r>
        <w:r>
          <w:instrText xml:space="preserve"> PAGE   \* MERGEFORMAT </w:instrText>
        </w:r>
        <w:r>
          <w:fldChar w:fldCharType="separate"/>
        </w:r>
        <w:r w:rsidR="00497A13">
          <w:rPr>
            <w:noProof/>
          </w:rPr>
          <w:t>12</w:t>
        </w:r>
        <w:r>
          <w:rPr>
            <w:noProof/>
          </w:rPr>
          <w:fldChar w:fldCharType="end"/>
        </w:r>
      </w:p>
    </w:sdtContent>
  </w:sdt>
  <w:p w14:paraId="12925253" w14:textId="77777777" w:rsidR="00D675A1" w:rsidRDefault="00D67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E3CC" w14:textId="77777777" w:rsidR="00D675A1" w:rsidRDefault="00D67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7C0C" w14:textId="77777777" w:rsidR="006847EC" w:rsidRDefault="006847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476389"/>
      <w:docPartObj>
        <w:docPartGallery w:val="Page Numbers (Bottom of Page)"/>
        <w:docPartUnique/>
      </w:docPartObj>
    </w:sdtPr>
    <w:sdtEndPr>
      <w:rPr>
        <w:noProof/>
      </w:rPr>
    </w:sdtEndPr>
    <w:sdtContent>
      <w:p w14:paraId="5DCD01E6" w14:textId="77777777" w:rsidR="006847EC" w:rsidRDefault="006847EC">
        <w:pPr>
          <w:pStyle w:val="Footer"/>
          <w:jc w:val="center"/>
        </w:pPr>
        <w:r>
          <w:fldChar w:fldCharType="begin"/>
        </w:r>
        <w:r>
          <w:instrText xml:space="preserve"> PAGE   \* MERGEFORMAT </w:instrText>
        </w:r>
        <w:r>
          <w:fldChar w:fldCharType="separate"/>
        </w:r>
        <w:r w:rsidR="00497A13">
          <w:rPr>
            <w:noProof/>
          </w:rPr>
          <w:t>20</w:t>
        </w:r>
        <w:r>
          <w:rPr>
            <w:noProof/>
          </w:rPr>
          <w:fldChar w:fldCharType="end"/>
        </w:r>
      </w:p>
    </w:sdtContent>
  </w:sdt>
  <w:p w14:paraId="1CCEB331" w14:textId="77777777" w:rsidR="006847EC" w:rsidRDefault="006847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822C" w14:textId="77777777" w:rsidR="006847EC" w:rsidRDefault="0068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DB86" w14:textId="77777777" w:rsidR="00FD2625" w:rsidRDefault="00FD2625" w:rsidP="00C37E61">
      <w:r>
        <w:separator/>
      </w:r>
    </w:p>
  </w:footnote>
  <w:footnote w:type="continuationSeparator" w:id="0">
    <w:p w14:paraId="2D929EFE" w14:textId="77777777" w:rsidR="00FD2625" w:rsidRDefault="00FD26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307F" w14:textId="77777777" w:rsidR="00D675A1" w:rsidRDefault="00FD2625">
    <w:pPr>
      <w:pStyle w:val="Header"/>
    </w:pPr>
    <w:r>
      <w:rPr>
        <w:noProof/>
      </w:rPr>
      <w:pict w14:anchorId="19806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1.65pt;height:64.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D699" w14:textId="77777777" w:rsidR="00D675A1" w:rsidRDefault="00FD2625">
    <w:pPr>
      <w:pStyle w:val="Header"/>
    </w:pPr>
    <w:r>
      <w:rPr>
        <w:noProof/>
      </w:rPr>
      <w:pict w14:anchorId="6D8E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B94F" w14:textId="77777777" w:rsidR="00D675A1" w:rsidRDefault="00FD2625">
    <w:pPr>
      <w:pStyle w:val="Header"/>
    </w:pPr>
    <w:r>
      <w:rPr>
        <w:noProof/>
      </w:rPr>
      <w:pict w14:anchorId="09609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265C" w14:textId="0EEE9AAB" w:rsidR="006847EC" w:rsidRDefault="00FD2625">
    <w:pPr>
      <w:pStyle w:val="Header"/>
    </w:pPr>
    <w:r>
      <w:rPr>
        <w:noProof/>
      </w:rPr>
      <w:pict w14:anchorId="4D0D3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1AAD" w14:textId="236F0E7D" w:rsidR="006847EC" w:rsidRDefault="00FD2625">
    <w:pPr>
      <w:pStyle w:val="Header"/>
    </w:pPr>
    <w:r>
      <w:rPr>
        <w:noProof/>
      </w:rPr>
      <w:pict w14:anchorId="39DB0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A7F5" w14:textId="37B3CEA4" w:rsidR="006847EC" w:rsidRDefault="00FD2625">
    <w:pPr>
      <w:pStyle w:val="Header"/>
    </w:pPr>
    <w:r>
      <w:rPr>
        <w:noProof/>
      </w:rPr>
      <w:pict w14:anchorId="6768B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7673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E2AF2"/>
    <w:multiLevelType w:val="hybridMultilevel"/>
    <w:tmpl w:val="914CBA78"/>
    <w:lvl w:ilvl="0" w:tplc="B95A21B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4E93C7E"/>
    <w:multiLevelType w:val="hybridMultilevel"/>
    <w:tmpl w:val="C094623A"/>
    <w:lvl w:ilvl="0" w:tplc="9794B03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B555180"/>
    <w:multiLevelType w:val="hybridMultilevel"/>
    <w:tmpl w:val="C1AEB4B6"/>
    <w:lvl w:ilvl="0" w:tplc="12EE936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54366"/>
    <w:multiLevelType w:val="hybridMultilevel"/>
    <w:tmpl w:val="BBD6B730"/>
    <w:lvl w:ilvl="0" w:tplc="26084D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53620F"/>
    <w:multiLevelType w:val="hybridMultilevel"/>
    <w:tmpl w:val="61C05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DE0BAE"/>
    <w:multiLevelType w:val="hybridMultilevel"/>
    <w:tmpl w:val="7842E08E"/>
    <w:lvl w:ilvl="0" w:tplc="AD008136">
      <w:start w:val="1"/>
      <w:numFmt w:val="lowerLetter"/>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93836EA"/>
    <w:multiLevelType w:val="hybridMultilevel"/>
    <w:tmpl w:val="5172FCC0"/>
    <w:lvl w:ilvl="0" w:tplc="2306139A">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9"/>
  </w:num>
  <w:num w:numId="22">
    <w:abstractNumId w:val="15"/>
  </w:num>
  <w:num w:numId="23">
    <w:abstractNumId w:val="24"/>
  </w:num>
  <w:num w:numId="24">
    <w:abstractNumId w:val="33"/>
  </w:num>
  <w:num w:numId="25">
    <w:abstractNumId w:val="4"/>
  </w:num>
  <w:num w:numId="26">
    <w:abstractNumId w:val="19"/>
  </w:num>
  <w:num w:numId="27">
    <w:abstractNumId w:val="25"/>
  </w:num>
  <w:num w:numId="28">
    <w:abstractNumId w:val="34"/>
  </w:num>
  <w:num w:numId="29">
    <w:abstractNumId w:val="30"/>
  </w:num>
  <w:num w:numId="30">
    <w:abstractNumId w:val="10"/>
  </w:num>
  <w:num w:numId="31">
    <w:abstractNumId w:val="20"/>
  </w:num>
  <w:num w:numId="32">
    <w:abstractNumId w:val="11"/>
  </w:num>
  <w:num w:numId="33">
    <w:abstractNumId w:val="18"/>
  </w:num>
  <w:num w:numId="34">
    <w:abstractNumId w:val="32"/>
  </w:num>
  <w:num w:numId="35">
    <w:abstractNumId w:val="12"/>
  </w:num>
  <w:num w:numId="36">
    <w:abstractNumId w:val="2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926"/>
    <w:rsid w:val="0004579C"/>
    <w:rsid w:val="00046962"/>
    <w:rsid w:val="00093ABA"/>
    <w:rsid w:val="000A3523"/>
    <w:rsid w:val="000A47FA"/>
    <w:rsid w:val="000A65D3"/>
    <w:rsid w:val="000B1138"/>
    <w:rsid w:val="000B1E33"/>
    <w:rsid w:val="000D689F"/>
    <w:rsid w:val="000E09EB"/>
    <w:rsid w:val="000E7B7B"/>
    <w:rsid w:val="000E7D62"/>
    <w:rsid w:val="000F59DA"/>
    <w:rsid w:val="00103357"/>
    <w:rsid w:val="00123C9F"/>
    <w:rsid w:val="00126190"/>
    <w:rsid w:val="00130F17"/>
    <w:rsid w:val="001320BF"/>
    <w:rsid w:val="001413E5"/>
    <w:rsid w:val="0014455E"/>
    <w:rsid w:val="00163BC4"/>
    <w:rsid w:val="00185D03"/>
    <w:rsid w:val="00191062"/>
    <w:rsid w:val="00192B72"/>
    <w:rsid w:val="001A29D8"/>
    <w:rsid w:val="001A5CAA"/>
    <w:rsid w:val="001B0427"/>
    <w:rsid w:val="001B0FE8"/>
    <w:rsid w:val="001C633F"/>
    <w:rsid w:val="001D3A51"/>
    <w:rsid w:val="001E10D2"/>
    <w:rsid w:val="001E25B4"/>
    <w:rsid w:val="001E44FE"/>
    <w:rsid w:val="00200595"/>
    <w:rsid w:val="00202099"/>
    <w:rsid w:val="00204835"/>
    <w:rsid w:val="00207573"/>
    <w:rsid w:val="00231920"/>
    <w:rsid w:val="0023195C"/>
    <w:rsid w:val="0024282C"/>
    <w:rsid w:val="002460DC"/>
    <w:rsid w:val="00250985"/>
    <w:rsid w:val="002556F6"/>
    <w:rsid w:val="00283105"/>
    <w:rsid w:val="00284C4C"/>
    <w:rsid w:val="00287E68"/>
    <w:rsid w:val="00296529"/>
    <w:rsid w:val="002B27FB"/>
    <w:rsid w:val="002B4E55"/>
    <w:rsid w:val="002B685A"/>
    <w:rsid w:val="002C57D2"/>
    <w:rsid w:val="002D47BE"/>
    <w:rsid w:val="002E0D56"/>
    <w:rsid w:val="00315186"/>
    <w:rsid w:val="00332D60"/>
    <w:rsid w:val="0033343E"/>
    <w:rsid w:val="0034135E"/>
    <w:rsid w:val="003512C2"/>
    <w:rsid w:val="00357B8D"/>
    <w:rsid w:val="00371FB6"/>
    <w:rsid w:val="003763C1"/>
    <w:rsid w:val="00376BBE"/>
    <w:rsid w:val="0039224F"/>
    <w:rsid w:val="003A43A4"/>
    <w:rsid w:val="003A7E18"/>
    <w:rsid w:val="003C2673"/>
    <w:rsid w:val="003C4C86"/>
    <w:rsid w:val="003C6258"/>
    <w:rsid w:val="003C70D9"/>
    <w:rsid w:val="003E0925"/>
    <w:rsid w:val="003E2904"/>
    <w:rsid w:val="003F7710"/>
    <w:rsid w:val="00401927"/>
    <w:rsid w:val="00402EEB"/>
    <w:rsid w:val="0041027F"/>
    <w:rsid w:val="00412475"/>
    <w:rsid w:val="00423789"/>
    <w:rsid w:val="00437269"/>
    <w:rsid w:val="00440F43"/>
    <w:rsid w:val="00441B6F"/>
    <w:rsid w:val="00446221"/>
    <w:rsid w:val="00450E62"/>
    <w:rsid w:val="004539DB"/>
    <w:rsid w:val="00471A80"/>
    <w:rsid w:val="00497A13"/>
    <w:rsid w:val="004C150B"/>
    <w:rsid w:val="004D305E"/>
    <w:rsid w:val="004D4277"/>
    <w:rsid w:val="00502516"/>
    <w:rsid w:val="00505F06"/>
    <w:rsid w:val="00506828"/>
    <w:rsid w:val="005109DA"/>
    <w:rsid w:val="0053056E"/>
    <w:rsid w:val="00554FDA"/>
    <w:rsid w:val="0056773B"/>
    <w:rsid w:val="005C51F1"/>
    <w:rsid w:val="005C784C"/>
    <w:rsid w:val="005D17F6"/>
    <w:rsid w:val="005D3A6F"/>
    <w:rsid w:val="005E5539"/>
    <w:rsid w:val="00602BF5"/>
    <w:rsid w:val="00617FDD"/>
    <w:rsid w:val="00631DDE"/>
    <w:rsid w:val="00633614"/>
    <w:rsid w:val="00633F68"/>
    <w:rsid w:val="00636EB2"/>
    <w:rsid w:val="006375B8"/>
    <w:rsid w:val="0066510A"/>
    <w:rsid w:val="00673F9F"/>
    <w:rsid w:val="006847EC"/>
    <w:rsid w:val="00686953"/>
    <w:rsid w:val="00687DEA"/>
    <w:rsid w:val="00687E67"/>
    <w:rsid w:val="006967F7"/>
    <w:rsid w:val="006A0E1B"/>
    <w:rsid w:val="006A250C"/>
    <w:rsid w:val="006B21D3"/>
    <w:rsid w:val="006B57D0"/>
    <w:rsid w:val="006D30FF"/>
    <w:rsid w:val="006D6940"/>
    <w:rsid w:val="006E528F"/>
    <w:rsid w:val="006F11EC"/>
    <w:rsid w:val="0070082C"/>
    <w:rsid w:val="00702C61"/>
    <w:rsid w:val="007369E6"/>
    <w:rsid w:val="00746E59"/>
    <w:rsid w:val="00754C9A"/>
    <w:rsid w:val="0075599A"/>
    <w:rsid w:val="00761D52"/>
    <w:rsid w:val="00772273"/>
    <w:rsid w:val="007756FE"/>
    <w:rsid w:val="0077749E"/>
    <w:rsid w:val="00790ADA"/>
    <w:rsid w:val="007D2288"/>
    <w:rsid w:val="007E088F"/>
    <w:rsid w:val="007E50A7"/>
    <w:rsid w:val="007F7B32"/>
    <w:rsid w:val="00804BC2"/>
    <w:rsid w:val="008138A4"/>
    <w:rsid w:val="0081431A"/>
    <w:rsid w:val="008314DC"/>
    <w:rsid w:val="0083216F"/>
    <w:rsid w:val="00860000"/>
    <w:rsid w:val="00863BD3"/>
    <w:rsid w:val="008641ED"/>
    <w:rsid w:val="00866D66"/>
    <w:rsid w:val="008671C6"/>
    <w:rsid w:val="00875803"/>
    <w:rsid w:val="00880E49"/>
    <w:rsid w:val="008B459E"/>
    <w:rsid w:val="008E13AE"/>
    <w:rsid w:val="008E1506"/>
    <w:rsid w:val="008E710C"/>
    <w:rsid w:val="008F69D6"/>
    <w:rsid w:val="00902823"/>
    <w:rsid w:val="00915CA6"/>
    <w:rsid w:val="009224E4"/>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1585"/>
    <w:rsid w:val="00A24E7E"/>
    <w:rsid w:val="00A258C3"/>
    <w:rsid w:val="00A347C0"/>
    <w:rsid w:val="00A35A46"/>
    <w:rsid w:val="00A51431"/>
    <w:rsid w:val="00A539AD"/>
    <w:rsid w:val="00A94063"/>
    <w:rsid w:val="00AA6219"/>
    <w:rsid w:val="00AA74E0"/>
    <w:rsid w:val="00AB703F"/>
    <w:rsid w:val="00AC3D68"/>
    <w:rsid w:val="00AC6BB8"/>
    <w:rsid w:val="00AD4DD5"/>
    <w:rsid w:val="00AE008F"/>
    <w:rsid w:val="00B01FCD"/>
    <w:rsid w:val="00B1776C"/>
    <w:rsid w:val="00B52583"/>
    <w:rsid w:val="00B52896"/>
    <w:rsid w:val="00B70D26"/>
    <w:rsid w:val="00B84B97"/>
    <w:rsid w:val="00B95236"/>
    <w:rsid w:val="00B96BD9"/>
    <w:rsid w:val="00BA1B01"/>
    <w:rsid w:val="00BA2641"/>
    <w:rsid w:val="00BA44A7"/>
    <w:rsid w:val="00BB37AA"/>
    <w:rsid w:val="00BC5280"/>
    <w:rsid w:val="00BC53A0"/>
    <w:rsid w:val="00BE0D39"/>
    <w:rsid w:val="00BE62AD"/>
    <w:rsid w:val="00BF121F"/>
    <w:rsid w:val="00BF1F80"/>
    <w:rsid w:val="00C05FA0"/>
    <w:rsid w:val="00C166EF"/>
    <w:rsid w:val="00C17EB0"/>
    <w:rsid w:val="00C27F5F"/>
    <w:rsid w:val="00C30A0F"/>
    <w:rsid w:val="00C37E61"/>
    <w:rsid w:val="00C65383"/>
    <w:rsid w:val="00C70F1B"/>
    <w:rsid w:val="00C71A47"/>
    <w:rsid w:val="00C7464C"/>
    <w:rsid w:val="00C85588"/>
    <w:rsid w:val="00CD6755"/>
    <w:rsid w:val="00CD6856"/>
    <w:rsid w:val="00CE0089"/>
    <w:rsid w:val="00CE793C"/>
    <w:rsid w:val="00CF193C"/>
    <w:rsid w:val="00D05D68"/>
    <w:rsid w:val="00D173F1"/>
    <w:rsid w:val="00D675A1"/>
    <w:rsid w:val="00D74CB0"/>
    <w:rsid w:val="00D8295D"/>
    <w:rsid w:val="00DC2A65"/>
    <w:rsid w:val="00DC7C74"/>
    <w:rsid w:val="00DD11B1"/>
    <w:rsid w:val="00DD5F1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372"/>
    <w:rsid w:val="00EC6A55"/>
    <w:rsid w:val="00ED0288"/>
    <w:rsid w:val="00ED02C0"/>
    <w:rsid w:val="00EE52CB"/>
    <w:rsid w:val="00EF581D"/>
    <w:rsid w:val="00EF7FD8"/>
    <w:rsid w:val="00F06F59"/>
    <w:rsid w:val="00F16113"/>
    <w:rsid w:val="00F17988"/>
    <w:rsid w:val="00F261AE"/>
    <w:rsid w:val="00F469F0"/>
    <w:rsid w:val="00F46E68"/>
    <w:rsid w:val="00F53273"/>
    <w:rsid w:val="00F755E4"/>
    <w:rsid w:val="00F77D02"/>
    <w:rsid w:val="00FA4A63"/>
    <w:rsid w:val="00FB3A86"/>
    <w:rsid w:val="00FD26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55D2A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35A4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D02C0"/>
    <w:pPr>
      <w:spacing w:after="200" w:line="276" w:lineRule="auto"/>
      <w:ind w:left="720"/>
      <w:contextualSpacing/>
    </w:pPr>
    <w:rPr>
      <w:rFonts w:ascii="Calibri" w:eastAsia="SimSun" w:hAnsi="Calibri"/>
      <w:sz w:val="22"/>
      <w:szCs w:val="22"/>
      <w:lang w:eastAsia="zh-CN"/>
    </w:rPr>
  </w:style>
  <w:style w:type="paragraph" w:customStyle="1" w:styleId="Default">
    <w:name w:val="Default"/>
    <w:rsid w:val="00046962"/>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046962"/>
    <w:rPr>
      <w:rFonts w:ascii="Helvetica" w:hAnsi="Helvetica"/>
    </w:rPr>
  </w:style>
  <w:style w:type="character" w:customStyle="1" w:styleId="UnresolvedMention2">
    <w:name w:val="Unresolved Mention2"/>
    <w:basedOn w:val="DefaultParagraphFont"/>
    <w:uiPriority w:val="99"/>
    <w:semiHidden/>
    <w:unhideWhenUsed/>
    <w:rsid w:val="00093ABA"/>
    <w:rPr>
      <w:color w:val="605E5C"/>
      <w:shd w:val="clear" w:color="auto" w:fill="E1DFDD"/>
    </w:rPr>
  </w:style>
  <w:style w:type="paragraph" w:styleId="NoSpacing">
    <w:name w:val="No Spacing"/>
    <w:uiPriority w:val="1"/>
    <w:qFormat/>
    <w:rsid w:val="00772273"/>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14455E"/>
    <w:rPr>
      <w:color w:val="808080"/>
    </w:rPr>
  </w:style>
  <w:style w:type="character" w:customStyle="1" w:styleId="HeaderChar">
    <w:name w:val="Header Char"/>
    <w:basedOn w:val="DefaultParagraphFont"/>
    <w:link w:val="Header"/>
    <w:rsid w:val="00D675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asl.734" TargetMode="External"/><Relationship Id="rId18" Type="http://schemas.openxmlformats.org/officeDocument/2006/relationships/hyperlink" Target="https://doi.org/10.1109/5.18626" TargetMode="External"/><Relationship Id="rId26" Type="http://schemas.openxmlformats.org/officeDocument/2006/relationships/footer" Target="footer3.xml"/><Relationship Id="rId39" Type="http://schemas.openxmlformats.org/officeDocument/2006/relationships/image" Target="media/image14.png"/><Relationship Id="rId21" Type="http://schemas.openxmlformats.org/officeDocument/2006/relationships/header" Target="header1.xm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6/annurev-earth-050212-124112" TargetMode="External"/><Relationship Id="rId29" Type="http://schemas.openxmlformats.org/officeDocument/2006/relationships/image" Target="media/image4.png"/><Relationship Id="rId11" Type="http://schemas.openxmlformats.org/officeDocument/2006/relationships/hyperlink" Target="http://man-nigeria.org.ng" TargetMode="Externa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3" Type="http://schemas.openxmlformats.org/officeDocument/2006/relationships/image" Target="media/image28.png"/><Relationship Id="rId58"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75/JCLI3206.1" TargetMode="External"/><Relationship Id="rId14" Type="http://schemas.openxmlformats.org/officeDocument/2006/relationships/hyperlink" Target="https://doi.org/10.1002/qj.49708837511" TargetMode="Externa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hyperlink" Target="https://doi.org/10.1002/joc.712" TargetMode="External"/><Relationship Id="rId17" Type="http://schemas.openxmlformats.org/officeDocument/2006/relationships/hyperlink" Target="https://doi.org/10.1016/j.jhydrol.2011.09.037" TargetMode="External"/><Relationship Id="rId25" Type="http://schemas.openxmlformats.org/officeDocument/2006/relationships/header" Target="header3.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21.png"/><Relationship Id="rId59" Type="http://schemas.openxmlformats.org/officeDocument/2006/relationships/footer" Target="footer6.xml"/><Relationship Id="rId20" Type="http://schemas.openxmlformats.org/officeDocument/2006/relationships/hyperlink" Target="https://doi.org/10.1175/BAMS-84-9-1205" TargetMode="External"/><Relationship Id="rId41" Type="http://schemas.openxmlformats.org/officeDocument/2006/relationships/image" Target="media/image16.png"/><Relationship Id="rId54" Type="http://schemas.openxmlformats.org/officeDocument/2006/relationships/header" Target="head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3-34970-7" TargetMode="Externa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image" Target="media/image11.png"/><Relationship Id="rId49" Type="http://schemas.openxmlformats.org/officeDocument/2006/relationships/image" Target="media/image24.png"/><Relationship Id="rId57" Type="http://schemas.openxmlformats.org/officeDocument/2006/relationships/footer" Target="footer5.xml"/><Relationship Id="rId10" Type="http://schemas.openxmlformats.org/officeDocument/2006/relationships/hyperlink" Target="http://journals.uob.edu.bh" TargetMode="External"/><Relationship Id="rId31" Type="http://schemas.openxmlformats.org/officeDocument/2006/relationships/image" Target="media/image6.png"/><Relationship Id="rId44" Type="http://schemas.openxmlformats.org/officeDocument/2006/relationships/image" Target="media/image19.png"/><Relationship Id="rId52" Type="http://schemas.openxmlformats.org/officeDocument/2006/relationships/image" Target="media/image27.png"/><Relationship Id="rId60"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s://doi.org/10.5897/JGRP11.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2E92F-C30E-4E95-8BD1-25EF18FD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3465</TotalTime>
  <Pages>23</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cp:revision>
  <cp:lastPrinted>1999-07-06T11:00:00Z</cp:lastPrinted>
  <dcterms:created xsi:type="dcterms:W3CDTF">2014-10-25T14:34:00Z</dcterms:created>
  <dcterms:modified xsi:type="dcterms:W3CDTF">2026-03-16T11:12:00Z</dcterms:modified>
</cp:coreProperties>
</file>