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4774E" w14:textId="77777777" w:rsidR="00FC4F7B" w:rsidRPr="00E473B9" w:rsidRDefault="00FC4F7B" w:rsidP="002C5523">
      <w:pPr>
        <w:pStyle w:val="Author"/>
        <w:tabs>
          <w:tab w:val="left" w:pos="142"/>
        </w:tabs>
        <w:spacing w:line="240" w:lineRule="auto"/>
        <w:rPr>
          <w:rFonts w:ascii="Arial" w:eastAsiaTheme="minorHAnsi" w:hAnsi="Arial" w:cs="Arial"/>
          <w:color w:val="000000" w:themeColor="text1"/>
          <w:sz w:val="36"/>
          <w:szCs w:val="36"/>
          <w:lang w:val="en-IN"/>
        </w:rPr>
      </w:pPr>
      <w:bookmarkStart w:id="0" w:name="_GoBack"/>
    </w:p>
    <w:p w14:paraId="0519DFB3" w14:textId="68EFF344" w:rsidR="005B3F39" w:rsidRPr="00E473B9" w:rsidRDefault="00D15559" w:rsidP="002C5523">
      <w:pPr>
        <w:pStyle w:val="Author"/>
        <w:tabs>
          <w:tab w:val="left" w:pos="142"/>
        </w:tabs>
        <w:spacing w:line="240" w:lineRule="auto"/>
        <w:rPr>
          <w:rFonts w:ascii="Arial" w:eastAsiaTheme="minorHAnsi" w:hAnsi="Arial" w:cs="Arial"/>
          <w:color w:val="000000" w:themeColor="text1"/>
          <w:sz w:val="36"/>
          <w:szCs w:val="36"/>
          <w:lang w:val="en-IN"/>
        </w:rPr>
      </w:pPr>
      <w:bookmarkStart w:id="1" w:name="_Hlk221980126"/>
      <w:r w:rsidRPr="00E473B9">
        <w:rPr>
          <w:rFonts w:ascii="Arial" w:eastAsiaTheme="minorHAnsi" w:hAnsi="Arial" w:cs="Arial"/>
          <w:color w:val="000000" w:themeColor="text1"/>
          <w:sz w:val="36"/>
          <w:szCs w:val="36"/>
          <w:lang w:val="en-IN"/>
        </w:rPr>
        <w:t>Sustained-Release Ophthalmic Drug Delivery</w:t>
      </w:r>
      <w:r w:rsidR="002C5523" w:rsidRPr="00E473B9">
        <w:rPr>
          <w:rFonts w:ascii="Arial" w:eastAsiaTheme="minorHAnsi" w:hAnsi="Arial" w:cs="Arial"/>
          <w:color w:val="000000" w:themeColor="text1"/>
          <w:sz w:val="36"/>
          <w:szCs w:val="36"/>
          <w:lang w:val="en-IN"/>
        </w:rPr>
        <w:t xml:space="preserve"> </w:t>
      </w:r>
      <w:r w:rsidRPr="00E473B9">
        <w:rPr>
          <w:rFonts w:ascii="Arial" w:eastAsiaTheme="minorHAnsi" w:hAnsi="Arial" w:cs="Arial"/>
          <w:color w:val="000000" w:themeColor="text1"/>
          <w:sz w:val="36"/>
          <w:szCs w:val="36"/>
          <w:lang w:val="en-IN"/>
        </w:rPr>
        <w:t>Systems: An Updated Review of Innovations,</w:t>
      </w:r>
      <w:r w:rsidR="002C5523" w:rsidRPr="00E473B9">
        <w:rPr>
          <w:rFonts w:ascii="Arial" w:eastAsiaTheme="minorHAnsi" w:hAnsi="Arial" w:cs="Arial"/>
          <w:color w:val="000000" w:themeColor="text1"/>
          <w:sz w:val="36"/>
          <w:szCs w:val="36"/>
          <w:lang w:val="en-IN"/>
        </w:rPr>
        <w:t xml:space="preserve"> Current </w:t>
      </w:r>
      <w:r w:rsidRPr="00E473B9">
        <w:rPr>
          <w:rFonts w:ascii="Arial" w:eastAsiaTheme="minorHAnsi" w:hAnsi="Arial" w:cs="Arial"/>
          <w:color w:val="000000" w:themeColor="text1"/>
          <w:sz w:val="36"/>
          <w:szCs w:val="36"/>
          <w:lang w:val="en-IN"/>
        </w:rPr>
        <w:t>Trends and Future Prospects</w:t>
      </w:r>
    </w:p>
    <w:bookmarkEnd w:id="1"/>
    <w:p w14:paraId="064EDEBA" w14:textId="77777777" w:rsidR="002C5523" w:rsidRPr="00E473B9" w:rsidRDefault="002C5523" w:rsidP="002C5523">
      <w:pPr>
        <w:pStyle w:val="Author"/>
        <w:tabs>
          <w:tab w:val="left" w:pos="142"/>
        </w:tabs>
        <w:spacing w:line="240" w:lineRule="auto"/>
        <w:rPr>
          <w:rFonts w:ascii="Arial" w:eastAsiaTheme="minorHAnsi" w:hAnsi="Arial" w:cs="Arial"/>
          <w:color w:val="000000" w:themeColor="text1"/>
          <w:sz w:val="36"/>
          <w:szCs w:val="36"/>
          <w:lang w:val="en-IN"/>
        </w:rPr>
      </w:pPr>
    </w:p>
    <w:p w14:paraId="1AA18B24" w14:textId="4654E43B" w:rsidR="005B3F39" w:rsidRPr="00E473B9" w:rsidRDefault="00943CBB" w:rsidP="00FC4F7B">
      <w:pPr>
        <w:pStyle w:val="NoSpacing"/>
        <w:jc w:val="right"/>
        <w:rPr>
          <w:rFonts w:ascii="Arial" w:hAnsi="Arial" w:cs="Arial"/>
          <w:iCs/>
          <w:color w:val="000000" w:themeColor="text1"/>
        </w:rPr>
      </w:pPr>
      <w:r w:rsidRPr="00E473B9">
        <w:rPr>
          <w:rFonts w:ascii="Arial" w:hAnsi="Arial" w:cs="Arial"/>
          <w:i/>
          <w:color w:val="000000" w:themeColor="text1"/>
        </w:rPr>
        <w:t xml:space="preserve"> </w:t>
      </w:r>
    </w:p>
    <w:p w14:paraId="4263B4ED" w14:textId="41AC94CC" w:rsidR="005B3F39" w:rsidRPr="00E473B9" w:rsidRDefault="005B3F39" w:rsidP="002C5523">
      <w:pPr>
        <w:spacing w:after="0" w:line="240" w:lineRule="auto"/>
        <w:jc w:val="both"/>
        <w:rPr>
          <w:rFonts w:ascii="Arial" w:hAnsi="Arial" w:cs="Arial"/>
          <w:b/>
          <w:color w:val="000000" w:themeColor="text1"/>
          <w:sz w:val="20"/>
          <w:szCs w:val="20"/>
        </w:rPr>
      </w:pPr>
      <w:r w:rsidRPr="00E473B9">
        <w:rPr>
          <w:rFonts w:ascii="Arial" w:hAnsi="Arial" w:cs="Arial"/>
          <w:noProof/>
          <w:color w:val="000000" w:themeColor="text1"/>
          <w:sz w:val="20"/>
          <w:szCs w:val="20"/>
          <w:lang w:eastAsia="en-IN"/>
        </w:rPr>
        <mc:AlternateContent>
          <mc:Choice Requires="wps">
            <w:drawing>
              <wp:inline distT="0" distB="0" distL="0" distR="0" wp14:anchorId="03B40533" wp14:editId="676FA8D3">
                <wp:extent cx="5759450" cy="45720"/>
                <wp:effectExtent l="9525" t="9525" r="12700" b="1143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0" cy="457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20588" id="_x0000_t32" coordsize="21600,21600" o:spt="32" o:oned="t" path="m,l21600,21600e" filled="f">
                <v:path arrowok="t" fillok="f" o:connecttype="none"/>
                <o:lock v:ext="edit" shapetype="t"/>
              </v:shapetype>
              <v:shape id="Straight Arrow Connector 1" o:spid="_x0000_s1026" type="#_x0000_t32" style="width:45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" strokeweight="1.5pt">
                <w10:anchorlock/>
              </v:shape>
            </w:pict>
          </mc:Fallback>
        </mc:AlternateContent>
      </w:r>
    </w:p>
    <w:p w14:paraId="0620C191" w14:textId="77777777" w:rsidR="005B3F39" w:rsidRPr="00E473B9" w:rsidRDefault="005B3F39" w:rsidP="002C5523">
      <w:pPr>
        <w:suppressLineNumbers/>
        <w:spacing w:line="240" w:lineRule="auto"/>
        <w:jc w:val="both"/>
        <w:rPr>
          <w:rFonts w:ascii="Arial" w:hAnsi="Arial" w:cs="Arial"/>
          <w:b/>
          <w:color w:val="000000" w:themeColor="text1"/>
          <w:sz w:val="20"/>
          <w:szCs w:val="20"/>
        </w:rPr>
      </w:pPr>
    </w:p>
    <w:p w14:paraId="31AE8682" w14:textId="77777777" w:rsidR="005B3F39" w:rsidRPr="00E473B9" w:rsidRDefault="005B3F39" w:rsidP="002C5523">
      <w:pPr>
        <w:spacing w:line="240" w:lineRule="auto"/>
        <w:jc w:val="both"/>
        <w:rPr>
          <w:rFonts w:ascii="Arial" w:hAnsi="Arial" w:cs="Arial"/>
          <w:b/>
          <w:color w:val="000000" w:themeColor="text1"/>
          <w:sz w:val="20"/>
          <w:szCs w:val="20"/>
        </w:rPr>
      </w:pPr>
      <w:r w:rsidRPr="00E473B9">
        <w:rPr>
          <w:rFonts w:ascii="Arial" w:hAnsi="Arial" w:cs="Arial"/>
          <w:b/>
          <w:color w:val="000000" w:themeColor="text1"/>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E473B9" w:rsidRPr="00E473B9" w14:paraId="254B685C" w14:textId="77777777" w:rsidTr="005B3F39">
        <w:tc>
          <w:tcPr>
            <w:tcW w:w="9016" w:type="dxa"/>
            <w:tcBorders>
              <w:top w:val="single" w:sz="4" w:space="0" w:color="000000"/>
              <w:left w:val="single" w:sz="4" w:space="0" w:color="000000"/>
              <w:bottom w:val="single" w:sz="4" w:space="0" w:color="000000"/>
              <w:right w:val="single" w:sz="4" w:space="0" w:color="000000"/>
            </w:tcBorders>
            <w:shd w:val="clear" w:color="auto" w:fill="F2F2F2"/>
          </w:tcPr>
          <w:p w14:paraId="0F6AF0DC" w14:textId="074BECE5" w:rsidR="005B3F39" w:rsidRPr="00E473B9" w:rsidRDefault="005B3F39" w:rsidP="002C5523">
            <w:pPr>
              <w:pStyle w:val="Body"/>
              <w:spacing w:after="0"/>
              <w:rPr>
                <w:rStyle w:val="Strong"/>
                <w:rFonts w:ascii="Arial" w:hAnsi="Arial" w:cs="Arial"/>
                <w:color w:val="000000" w:themeColor="text1"/>
              </w:rPr>
            </w:pPr>
            <w:r w:rsidRPr="00E473B9">
              <w:rPr>
                <w:rStyle w:val="Strong"/>
                <w:rFonts w:ascii="Arial" w:hAnsi="Arial" w:cs="Arial"/>
                <w:color w:val="000000" w:themeColor="text1"/>
              </w:rPr>
              <w:t xml:space="preserve">Background &amp; Scope: </w:t>
            </w:r>
            <w:r w:rsidR="00E175C0" w:rsidRPr="00E473B9">
              <w:rPr>
                <w:rFonts w:ascii="Arial" w:hAnsi="Arial" w:cs="Arial"/>
                <w:color w:val="000000" w:themeColor="text1"/>
              </w:rPr>
              <w:t>Ocular drug delivery is inherently limited by anatomical and physiological barriers such as rapid tear turnover, blinking, nasolacrimal drainage, and restricted corneal permeability.</w:t>
            </w:r>
            <w:r w:rsidR="0002703C" w:rsidRPr="00E473B9">
              <w:rPr>
                <w:rFonts w:ascii="Arial" w:hAnsi="Arial" w:cs="Arial"/>
                <w:color w:val="000000" w:themeColor="text1"/>
              </w:rPr>
              <w:t xml:space="preserve"> </w:t>
            </w:r>
            <w:r w:rsidR="00E175C0" w:rsidRPr="00E473B9">
              <w:rPr>
                <w:rFonts w:ascii="Arial" w:hAnsi="Arial" w:cs="Arial"/>
                <w:color w:val="000000" w:themeColor="text1"/>
              </w:rPr>
              <w:t>These protective mechanisms substantially reduce drug residence time and bioavailability following topical administration, particularly with conventional eye drops, necessitating frequent dosing and compromising patient adherence. Sustained-release (SR) ophthalmic systems have emerged as a strategic approach to overcome these limitations by enabling prolonged drug retention and controlled therapeutic exposure.</w:t>
            </w:r>
          </w:p>
          <w:p w14:paraId="6F3C71A8" w14:textId="41082F76" w:rsidR="005B3F39" w:rsidRPr="00E473B9" w:rsidRDefault="005B3F39" w:rsidP="002C5523">
            <w:pPr>
              <w:pStyle w:val="Body"/>
              <w:spacing w:after="0"/>
              <w:rPr>
                <w:rStyle w:val="Strong"/>
                <w:rFonts w:ascii="Arial" w:hAnsi="Arial" w:cs="Arial"/>
                <w:color w:val="000000" w:themeColor="text1"/>
              </w:rPr>
            </w:pPr>
            <w:r w:rsidRPr="00E473B9">
              <w:rPr>
                <w:rStyle w:val="Strong"/>
                <w:rFonts w:ascii="Arial" w:hAnsi="Arial" w:cs="Arial"/>
                <w:color w:val="000000" w:themeColor="text1"/>
              </w:rPr>
              <w:t xml:space="preserve">Methodology: </w:t>
            </w:r>
            <w:r w:rsidR="00E175C0" w:rsidRPr="00E473B9">
              <w:rPr>
                <w:rFonts w:ascii="Arial" w:hAnsi="Arial" w:cs="Arial"/>
                <w:color w:val="000000" w:themeColor="text1"/>
              </w:rPr>
              <w:t>This review systematically evaluates recent advancements in SR ocular drug delivery technologies. Both formulation-driven and device-based platforms are examined, including in situ gelling systems, polymeric and lipid nanoparticles, liposomes</w:t>
            </w:r>
            <w:r w:rsidR="005333DF" w:rsidRPr="00E473B9">
              <w:rPr>
                <w:rFonts w:ascii="Arial" w:hAnsi="Arial" w:cs="Arial"/>
                <w:color w:val="000000" w:themeColor="text1"/>
              </w:rPr>
              <w:t xml:space="preserve"> / Niosomes</w:t>
            </w:r>
            <w:r w:rsidR="00E175C0" w:rsidRPr="00E473B9">
              <w:rPr>
                <w:rFonts w:ascii="Arial" w:hAnsi="Arial" w:cs="Arial"/>
                <w:color w:val="000000" w:themeColor="text1"/>
              </w:rPr>
              <w:t>, ocular inserts</w:t>
            </w:r>
            <w:r w:rsidR="005F4A65" w:rsidRPr="00E473B9">
              <w:rPr>
                <w:rFonts w:ascii="Arial" w:hAnsi="Arial" w:cs="Arial"/>
                <w:color w:val="000000" w:themeColor="text1"/>
              </w:rPr>
              <w:t xml:space="preserve"> and films</w:t>
            </w:r>
            <w:r w:rsidR="00E175C0" w:rsidRPr="00E473B9">
              <w:rPr>
                <w:rFonts w:ascii="Arial" w:hAnsi="Arial" w:cs="Arial"/>
                <w:color w:val="000000" w:themeColor="text1"/>
              </w:rPr>
              <w:t>, implants, and microneedle-assisted delivery systems.</w:t>
            </w:r>
            <w:r w:rsidR="00FE7184" w:rsidRPr="00E473B9">
              <w:rPr>
                <w:rFonts w:ascii="Arial" w:hAnsi="Arial" w:cs="Arial"/>
                <w:color w:val="000000" w:themeColor="text1"/>
              </w:rPr>
              <w:t xml:space="preserve"> Emerging technologies and innovations, including 3D printing, smart contact lenses, gene therapy and biologics, as well as bioadhesive and mucoadhesive systems, were discussed. </w:t>
            </w:r>
            <w:r w:rsidR="00E175C0" w:rsidRPr="00E473B9">
              <w:rPr>
                <w:rFonts w:ascii="Arial" w:hAnsi="Arial" w:cs="Arial"/>
                <w:color w:val="000000" w:themeColor="text1"/>
              </w:rPr>
              <w:t>Key aspects such as formulation design principles, drug release kinetics, translational considerations, and progression from preclinical studies to clinical application are critically analyzed.</w:t>
            </w:r>
          </w:p>
          <w:p w14:paraId="7CE137E8" w14:textId="75576CCC" w:rsidR="005B3F39" w:rsidRPr="00E473B9" w:rsidRDefault="005B3F39" w:rsidP="002C5523">
            <w:pPr>
              <w:pStyle w:val="Body"/>
              <w:spacing w:after="0"/>
              <w:rPr>
                <w:rStyle w:val="Strong"/>
                <w:rFonts w:ascii="Arial" w:hAnsi="Arial" w:cs="Arial"/>
                <w:b w:val="0"/>
                <w:color w:val="000000" w:themeColor="text1"/>
              </w:rPr>
            </w:pPr>
            <w:r w:rsidRPr="00E473B9">
              <w:rPr>
                <w:rStyle w:val="Strong"/>
                <w:rFonts w:ascii="Arial" w:hAnsi="Arial" w:cs="Arial"/>
                <w:color w:val="000000" w:themeColor="text1"/>
              </w:rPr>
              <w:t>Results &amp; Discussion:</w:t>
            </w:r>
            <w:r w:rsidR="00E175C0" w:rsidRPr="00E473B9">
              <w:rPr>
                <w:rStyle w:val="Strong"/>
                <w:rFonts w:ascii="Arial" w:hAnsi="Arial" w:cs="Arial"/>
                <w:color w:val="000000" w:themeColor="text1"/>
              </w:rPr>
              <w:t xml:space="preserve"> </w:t>
            </w:r>
            <w:r w:rsidR="00E175C0" w:rsidRPr="00E473B9">
              <w:rPr>
                <w:rFonts w:ascii="Arial" w:hAnsi="Arial" w:cs="Arial"/>
                <w:color w:val="000000" w:themeColor="text1"/>
              </w:rPr>
              <w:t>Emerging SR platforms demonstrate improved precorneal retention, sustained therapeutic concentrations, and enhanced patient compliance compared with conventional formulations. Advances in material science and microfabrication have enabled precise control over drug release profiles and targeting efficiency. However, challenges persist, including sterility assurance, long-term safety, scalability, regulatory complexity, and manufacturing feasibility, which influence successful clinical translation.</w:t>
            </w:r>
            <w:r w:rsidRPr="00E473B9">
              <w:rPr>
                <w:rStyle w:val="Strong"/>
                <w:rFonts w:ascii="Arial" w:hAnsi="Arial" w:cs="Arial"/>
                <w:color w:val="000000" w:themeColor="text1"/>
              </w:rPr>
              <w:t xml:space="preserve"> </w:t>
            </w:r>
          </w:p>
          <w:p w14:paraId="6EE6BF72" w14:textId="6FB155D7" w:rsidR="005B3F39" w:rsidRPr="00E473B9" w:rsidRDefault="005B3F39" w:rsidP="002C5523">
            <w:pPr>
              <w:pStyle w:val="Body"/>
              <w:spacing w:after="0"/>
              <w:rPr>
                <w:rFonts w:ascii="Arial" w:hAnsi="Arial" w:cs="Arial"/>
                <w:color w:val="000000" w:themeColor="text1"/>
              </w:rPr>
            </w:pPr>
            <w:r w:rsidRPr="00E473B9">
              <w:rPr>
                <w:rStyle w:val="Strong"/>
                <w:rFonts w:ascii="Arial" w:hAnsi="Arial" w:cs="Arial"/>
                <w:color w:val="000000" w:themeColor="text1"/>
              </w:rPr>
              <w:t>Conclusion:</w:t>
            </w:r>
            <w:r w:rsidR="0001370C" w:rsidRPr="00E473B9">
              <w:rPr>
                <w:rStyle w:val="Strong"/>
                <w:rFonts w:ascii="Arial" w:hAnsi="Arial" w:cs="Arial"/>
                <w:color w:val="000000" w:themeColor="text1"/>
              </w:rPr>
              <w:t xml:space="preserve"> </w:t>
            </w:r>
            <w:r w:rsidR="0001370C" w:rsidRPr="00E473B9">
              <w:rPr>
                <w:rFonts w:ascii="Arial" w:hAnsi="Arial" w:cs="Arial"/>
                <w:color w:val="000000" w:themeColor="text1"/>
              </w:rPr>
              <w:t>Sustained-release ophthalmic delivery systems represent a transformative advancement in ocular therapeutics, offering the potential to address longstanding bioavailability constraints and unmet clinical needs. Continued integration of innovative materials, device engineering, and regulatory alignment will be essential to accelerate commercialization and optimize patient outcomes in ocular disease management.</w:t>
            </w:r>
            <w:r w:rsidRPr="00E473B9">
              <w:rPr>
                <w:rStyle w:val="Strong"/>
                <w:rFonts w:ascii="Arial" w:hAnsi="Arial" w:cs="Arial"/>
                <w:color w:val="000000" w:themeColor="text1"/>
              </w:rPr>
              <w:t xml:space="preserve"> </w:t>
            </w:r>
          </w:p>
        </w:tc>
      </w:tr>
    </w:tbl>
    <w:p w14:paraId="58EF5348" w14:textId="77777777" w:rsidR="005B3F39" w:rsidRPr="00E473B9" w:rsidRDefault="005B3F39" w:rsidP="002C5523">
      <w:pPr>
        <w:suppressLineNumbers/>
        <w:spacing w:after="0" w:line="240" w:lineRule="auto"/>
        <w:jc w:val="both"/>
        <w:rPr>
          <w:rFonts w:ascii="Arial" w:hAnsi="Arial" w:cs="Arial"/>
          <w:i/>
          <w:color w:val="000000" w:themeColor="text1"/>
          <w:sz w:val="20"/>
          <w:szCs w:val="20"/>
        </w:rPr>
      </w:pPr>
    </w:p>
    <w:p w14:paraId="705AE465" w14:textId="1F8F98E9" w:rsidR="005B3F39" w:rsidRPr="00E473B9" w:rsidRDefault="005B3F39" w:rsidP="002C5523">
      <w:pPr>
        <w:spacing w:after="0" w:line="240" w:lineRule="auto"/>
        <w:rPr>
          <w:rFonts w:ascii="Arial" w:hAnsi="Arial" w:cs="Arial"/>
          <w:i/>
          <w:color w:val="000000" w:themeColor="text1"/>
          <w:sz w:val="20"/>
          <w:szCs w:val="20"/>
        </w:rPr>
      </w:pPr>
      <w:r w:rsidRPr="00E473B9">
        <w:rPr>
          <w:rFonts w:ascii="Arial" w:hAnsi="Arial" w:cs="Arial"/>
          <w:i/>
          <w:color w:val="000000" w:themeColor="text1"/>
          <w:sz w:val="20"/>
          <w:szCs w:val="20"/>
        </w:rPr>
        <w:t xml:space="preserve">Key Words: </w:t>
      </w:r>
      <w:r w:rsidR="00D15559" w:rsidRPr="00E473B9">
        <w:rPr>
          <w:rFonts w:ascii="Arial" w:hAnsi="Arial" w:cs="Arial"/>
          <w:i/>
          <w:color w:val="000000" w:themeColor="text1"/>
          <w:sz w:val="20"/>
          <w:szCs w:val="20"/>
        </w:rPr>
        <w:t>Ophthalmic Drug Delivery; Sustained-Release; residence time; bioavailability.</w:t>
      </w:r>
    </w:p>
    <w:p w14:paraId="69F8DE77" w14:textId="77777777" w:rsidR="005B3F39" w:rsidRPr="00E473B9" w:rsidRDefault="005B3F39" w:rsidP="002C5523">
      <w:pPr>
        <w:spacing w:after="0" w:line="240" w:lineRule="auto"/>
        <w:jc w:val="both"/>
        <w:rPr>
          <w:rFonts w:ascii="Arial" w:hAnsi="Arial" w:cs="Arial"/>
          <w:i/>
          <w:color w:val="000000" w:themeColor="text1"/>
          <w:sz w:val="20"/>
          <w:szCs w:val="20"/>
        </w:rPr>
      </w:pPr>
    </w:p>
    <w:p w14:paraId="078114FC" w14:textId="00406D4A" w:rsidR="0005013E" w:rsidRPr="00E473B9" w:rsidRDefault="00D15559" w:rsidP="002C5523">
      <w:pPr>
        <w:pStyle w:val="Heading2"/>
        <w:numPr>
          <w:ilvl w:val="0"/>
          <w:numId w:val="1"/>
        </w:numPr>
        <w:spacing w:before="0" w:line="240" w:lineRule="auto"/>
        <w:ind w:left="284" w:hanging="284"/>
        <w:jc w:val="both"/>
        <w:rPr>
          <w:rStyle w:val="Strong"/>
          <w:rFonts w:ascii="Arial" w:hAnsi="Arial" w:cs="Arial"/>
          <w:bCs w:val="0"/>
          <w:color w:val="000000" w:themeColor="text1"/>
          <w:sz w:val="20"/>
          <w:szCs w:val="20"/>
        </w:rPr>
      </w:pPr>
      <w:r w:rsidRPr="00E473B9">
        <w:rPr>
          <w:rStyle w:val="Strong"/>
          <w:rFonts w:ascii="Arial" w:hAnsi="Arial" w:cs="Arial"/>
          <w:bCs w:val="0"/>
          <w:color w:val="000000" w:themeColor="text1"/>
          <w:sz w:val="22"/>
          <w:szCs w:val="22"/>
        </w:rPr>
        <w:t>INTRODUCTION</w:t>
      </w:r>
    </w:p>
    <w:p w14:paraId="349161BF" w14:textId="77777777" w:rsidR="003B3B95" w:rsidRPr="00E473B9" w:rsidRDefault="003B3B95" w:rsidP="002C5523">
      <w:pPr>
        <w:pStyle w:val="NormalWeb"/>
        <w:spacing w:before="0" w:beforeAutospacing="0" w:after="0" w:afterAutospacing="0"/>
        <w:jc w:val="both"/>
        <w:rPr>
          <w:rFonts w:ascii="Arial" w:hAnsi="Arial" w:cs="Arial"/>
          <w:color w:val="000000" w:themeColor="text1"/>
          <w:sz w:val="20"/>
          <w:szCs w:val="20"/>
        </w:rPr>
      </w:pPr>
    </w:p>
    <w:p w14:paraId="6374BB7C" w14:textId="6F2AFDA6" w:rsidR="00815D97" w:rsidRPr="00E473B9" w:rsidRDefault="00D93C31" w:rsidP="00AF2F0B">
      <w:pPr>
        <w:pStyle w:val="NormalWeb"/>
        <w:spacing w:before="0" w:before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The eye is a highly specialized and sensitive organ equipped with intricate anatomical, physiological, and immunological </w:t>
      </w:r>
      <w:proofErr w:type="spellStart"/>
      <w:r w:rsidRPr="00E473B9">
        <w:rPr>
          <w:rFonts w:ascii="Arial" w:hAnsi="Arial" w:cs="Arial"/>
          <w:color w:val="000000" w:themeColor="text1"/>
          <w:sz w:val="20"/>
          <w:szCs w:val="20"/>
        </w:rPr>
        <w:t>defense</w:t>
      </w:r>
      <w:proofErr w:type="spellEnd"/>
      <w:r w:rsidRPr="00E473B9">
        <w:rPr>
          <w:rFonts w:ascii="Arial" w:hAnsi="Arial" w:cs="Arial"/>
          <w:color w:val="000000" w:themeColor="text1"/>
          <w:sz w:val="20"/>
          <w:szCs w:val="20"/>
        </w:rPr>
        <w:t xml:space="preserve"> mechanisms that preserve visual function and protect ocular tissues from external insults</w:t>
      </w:r>
      <w:r w:rsidR="005C4095" w:rsidRPr="00E473B9">
        <w:rPr>
          <w:rFonts w:ascii="Arial" w:hAnsi="Arial" w:cs="Arial"/>
          <w:color w:val="000000" w:themeColor="text1"/>
          <w:sz w:val="20"/>
          <w:szCs w:val="20"/>
        </w:rPr>
        <w:t xml:space="preserve"> (</w:t>
      </w:r>
      <w:r w:rsidR="00815D97" w:rsidRPr="00E473B9">
        <w:rPr>
          <w:rFonts w:ascii="Arial" w:hAnsi="Arial" w:cs="Arial"/>
          <w:color w:val="000000" w:themeColor="text1"/>
          <w:sz w:val="20"/>
          <w:szCs w:val="20"/>
        </w:rPr>
        <w:t>Del Amo et al., 2017; Gaudana et al., 2010</w:t>
      </w:r>
      <w:r w:rsidR="005C4095" w:rsidRPr="00E473B9">
        <w:rPr>
          <w:rFonts w:ascii="Arial" w:hAnsi="Arial" w:cs="Arial"/>
          <w:color w:val="000000" w:themeColor="text1"/>
          <w:sz w:val="20"/>
          <w:szCs w:val="20"/>
        </w:rPr>
        <w:t>)</w:t>
      </w:r>
      <w:r w:rsidRPr="00E473B9">
        <w:rPr>
          <w:rFonts w:ascii="Arial" w:hAnsi="Arial" w:cs="Arial"/>
          <w:color w:val="000000" w:themeColor="text1"/>
          <w:sz w:val="20"/>
          <w:szCs w:val="20"/>
        </w:rPr>
        <w:t>. Owing to these protective features, the eye is often regarded as an immune-privileged organ, characterized by tightly regulated access from systemic circulation</w:t>
      </w:r>
      <w:r w:rsidR="005C4095" w:rsidRPr="00E473B9">
        <w:rPr>
          <w:rFonts w:ascii="Arial" w:hAnsi="Arial" w:cs="Arial"/>
          <w:color w:val="000000" w:themeColor="text1"/>
          <w:sz w:val="20"/>
          <w:szCs w:val="20"/>
        </w:rPr>
        <w:t xml:space="preserve"> (</w:t>
      </w:r>
      <w:r w:rsidR="003B1A46" w:rsidRPr="00E473B9">
        <w:rPr>
          <w:rFonts w:ascii="Arial" w:hAnsi="Arial" w:cs="Arial"/>
          <w:color w:val="000000" w:themeColor="text1"/>
          <w:sz w:val="20"/>
          <w:szCs w:val="20"/>
        </w:rPr>
        <w:t>Streilein, 2003</w:t>
      </w:r>
      <w:r w:rsidR="005C4095" w:rsidRPr="00E473B9">
        <w:rPr>
          <w:rFonts w:ascii="Arial" w:hAnsi="Arial" w:cs="Arial"/>
          <w:color w:val="000000" w:themeColor="text1"/>
          <w:sz w:val="20"/>
          <w:szCs w:val="20"/>
        </w:rPr>
        <w:t>)</w:t>
      </w:r>
      <w:r w:rsidRPr="00E473B9">
        <w:rPr>
          <w:rFonts w:ascii="Arial" w:hAnsi="Arial" w:cs="Arial"/>
          <w:color w:val="000000" w:themeColor="text1"/>
          <w:sz w:val="20"/>
          <w:szCs w:val="20"/>
        </w:rPr>
        <w:t>. Structurally, the eye is broadly divided into the anterior segment</w:t>
      </w:r>
      <w:r w:rsidR="0023092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comprising the cornea, conjunctiva, aqueous humor, iris, ciliary body, and lens</w:t>
      </w:r>
      <w:r w:rsidR="0023092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and the posterior segment, which includes the vitreous humor, retina, choroid, sclera, and optic nerve </w:t>
      </w:r>
      <w:r w:rsidR="005B60F6" w:rsidRPr="00E473B9">
        <w:rPr>
          <w:rFonts w:ascii="Arial" w:hAnsi="Arial" w:cs="Arial"/>
          <w:color w:val="000000" w:themeColor="text1"/>
          <w:sz w:val="20"/>
          <w:szCs w:val="20"/>
        </w:rPr>
        <w:t>(</w:t>
      </w:r>
      <w:r w:rsidR="003B1A46" w:rsidRPr="00E473B9">
        <w:rPr>
          <w:rFonts w:ascii="Arial" w:hAnsi="Arial" w:cs="Arial"/>
          <w:color w:val="000000" w:themeColor="text1"/>
          <w:sz w:val="20"/>
          <w:szCs w:val="20"/>
        </w:rPr>
        <w:t>Lee et al., 2009</w:t>
      </w:r>
      <w:r w:rsidR="005B60F6" w:rsidRPr="00E473B9">
        <w:rPr>
          <w:rFonts w:ascii="Arial" w:hAnsi="Arial" w:cs="Arial"/>
          <w:color w:val="000000" w:themeColor="text1"/>
          <w:sz w:val="20"/>
          <w:szCs w:val="20"/>
        </w:rPr>
        <w:t>)</w:t>
      </w:r>
      <w:r w:rsidRPr="00E473B9">
        <w:rPr>
          <w:rFonts w:ascii="Arial" w:hAnsi="Arial" w:cs="Arial"/>
          <w:color w:val="000000" w:themeColor="text1"/>
          <w:sz w:val="20"/>
          <w:szCs w:val="20"/>
        </w:rPr>
        <w:t>. While these barriers are essential for maintaining ocular homeostasis, they simultaneously pose formidable challenges to effective drug delivery by restricting drug penetration, retention, and distribution within ocular tissues</w:t>
      </w:r>
      <w:r w:rsidR="005B60F6" w:rsidRPr="00E473B9">
        <w:rPr>
          <w:rFonts w:ascii="Arial" w:hAnsi="Arial" w:cs="Arial"/>
          <w:color w:val="000000" w:themeColor="text1"/>
          <w:sz w:val="20"/>
          <w:szCs w:val="20"/>
        </w:rPr>
        <w:t xml:space="preserve"> (</w:t>
      </w:r>
      <w:proofErr w:type="spellStart"/>
      <w:r w:rsidR="003B1A46" w:rsidRPr="00E473B9">
        <w:rPr>
          <w:rFonts w:ascii="Arial" w:hAnsi="Arial" w:cs="Arial"/>
          <w:color w:val="000000" w:themeColor="text1"/>
          <w:sz w:val="20"/>
          <w:szCs w:val="20"/>
        </w:rPr>
        <w:t>Urtti</w:t>
      </w:r>
      <w:proofErr w:type="spellEnd"/>
      <w:r w:rsidR="003B1A46" w:rsidRPr="00E473B9">
        <w:rPr>
          <w:rFonts w:ascii="Arial" w:hAnsi="Arial" w:cs="Arial"/>
          <w:color w:val="000000" w:themeColor="text1"/>
          <w:sz w:val="20"/>
          <w:szCs w:val="20"/>
        </w:rPr>
        <w:t xml:space="preserve"> et al., 2006</w:t>
      </w:r>
      <w:r w:rsidR="005B60F6" w:rsidRPr="00E473B9">
        <w:rPr>
          <w:rFonts w:ascii="Arial" w:hAnsi="Arial" w:cs="Arial"/>
          <w:color w:val="000000" w:themeColor="text1"/>
          <w:sz w:val="20"/>
          <w:szCs w:val="20"/>
        </w:rPr>
        <w:t>)</w:t>
      </w:r>
      <w:r w:rsidRPr="00E473B9">
        <w:rPr>
          <w:rFonts w:ascii="Arial" w:hAnsi="Arial" w:cs="Arial"/>
          <w:color w:val="000000" w:themeColor="text1"/>
          <w:sz w:val="20"/>
          <w:szCs w:val="20"/>
        </w:rPr>
        <w:t>.</w:t>
      </w:r>
    </w:p>
    <w:p w14:paraId="6E08962D" w14:textId="7CFDEDCF" w:rsidR="00D93C31" w:rsidRPr="00E473B9" w:rsidRDefault="00D93C31" w:rsidP="002C5523">
      <w:pPr>
        <w:pStyle w:val="NormalWeb"/>
        <w:spacing w:before="240" w:beforeAutospacing="0" w:after="0"/>
        <w:jc w:val="both"/>
        <w:rPr>
          <w:rFonts w:ascii="Arial" w:hAnsi="Arial" w:cs="Arial"/>
          <w:color w:val="000000" w:themeColor="text1"/>
          <w:sz w:val="20"/>
          <w:szCs w:val="20"/>
        </w:rPr>
      </w:pPr>
      <w:r w:rsidRPr="00E473B9">
        <w:rPr>
          <w:rFonts w:ascii="Arial" w:hAnsi="Arial" w:cs="Arial"/>
          <w:color w:val="000000" w:themeColor="text1"/>
          <w:sz w:val="20"/>
          <w:szCs w:val="20"/>
        </w:rPr>
        <w:t>Ocular drug administration can be achieved through multiple routes, including topical, systemic, periocular, and intravitreal delivery. Among these, topical and systemic routes remain the most commonly employed owing to their non-invasive nature and high patient acceptability</w:t>
      </w:r>
      <w:r w:rsidR="002874D6" w:rsidRPr="00E473B9">
        <w:rPr>
          <w:rFonts w:ascii="Arial" w:hAnsi="Arial" w:cs="Arial"/>
          <w:color w:val="000000" w:themeColor="text1"/>
          <w:sz w:val="20"/>
          <w:szCs w:val="20"/>
        </w:rPr>
        <w:t xml:space="preserve"> (</w:t>
      </w:r>
      <w:r w:rsidR="003B1A46" w:rsidRPr="00E473B9">
        <w:rPr>
          <w:rFonts w:ascii="Arial" w:hAnsi="Arial" w:cs="Arial"/>
          <w:color w:val="000000" w:themeColor="text1"/>
          <w:sz w:val="20"/>
          <w:szCs w:val="20"/>
        </w:rPr>
        <w:t xml:space="preserve">Gaudana et al., </w:t>
      </w:r>
      <w:r w:rsidR="003B1A46" w:rsidRPr="00E473B9">
        <w:rPr>
          <w:rFonts w:ascii="Arial" w:hAnsi="Arial" w:cs="Arial"/>
          <w:color w:val="000000" w:themeColor="text1"/>
          <w:sz w:val="20"/>
          <w:szCs w:val="20"/>
        </w:rPr>
        <w:lastRenderedPageBreak/>
        <w:t>2010</w:t>
      </w:r>
      <w:r w:rsidR="002874D6" w:rsidRPr="00E473B9">
        <w:rPr>
          <w:rFonts w:ascii="Arial" w:hAnsi="Arial" w:cs="Arial"/>
          <w:color w:val="000000" w:themeColor="text1"/>
          <w:sz w:val="20"/>
          <w:szCs w:val="20"/>
        </w:rPr>
        <w:t>)</w:t>
      </w:r>
      <w:r w:rsidRPr="00E473B9">
        <w:rPr>
          <w:rFonts w:ascii="Arial" w:hAnsi="Arial" w:cs="Arial"/>
          <w:color w:val="000000" w:themeColor="text1"/>
          <w:sz w:val="20"/>
          <w:szCs w:val="20"/>
        </w:rPr>
        <w:t>. However, these approaches are associated with inherently low ocular bioavailability. Rapid tear turnover, blinking, nasolacrimal drainage, limited corneal permeability, and the presence of the blood</w:t>
      </w:r>
      <w:r w:rsidR="00230922" w:rsidRPr="00E473B9">
        <w:rPr>
          <w:rFonts w:ascii="Arial" w:hAnsi="Arial" w:cs="Arial"/>
          <w:color w:val="000000" w:themeColor="text1"/>
          <w:sz w:val="20"/>
          <w:szCs w:val="20"/>
        </w:rPr>
        <w:t>-</w:t>
      </w:r>
      <w:r w:rsidRPr="00E473B9">
        <w:rPr>
          <w:rFonts w:ascii="Arial" w:hAnsi="Arial" w:cs="Arial"/>
          <w:color w:val="000000" w:themeColor="text1"/>
          <w:sz w:val="20"/>
          <w:szCs w:val="20"/>
        </w:rPr>
        <w:t>aqueous and blood</w:t>
      </w:r>
      <w:r w:rsidR="00230922" w:rsidRPr="00E473B9">
        <w:rPr>
          <w:rFonts w:ascii="Arial" w:hAnsi="Arial" w:cs="Arial"/>
          <w:color w:val="000000" w:themeColor="text1"/>
          <w:sz w:val="20"/>
          <w:szCs w:val="20"/>
        </w:rPr>
        <w:t>-</w:t>
      </w:r>
      <w:r w:rsidRPr="00E473B9">
        <w:rPr>
          <w:rFonts w:ascii="Arial" w:hAnsi="Arial" w:cs="Arial"/>
          <w:color w:val="000000" w:themeColor="text1"/>
          <w:sz w:val="20"/>
          <w:szCs w:val="20"/>
        </w:rPr>
        <w:t>retinal barriers collectively result in substantial drug loss and inadequate therapeutic concentrations at the target site</w:t>
      </w:r>
      <w:r w:rsidR="00A97F48" w:rsidRPr="00E473B9">
        <w:rPr>
          <w:rFonts w:ascii="Arial" w:hAnsi="Arial" w:cs="Arial"/>
          <w:color w:val="000000" w:themeColor="text1"/>
          <w:sz w:val="20"/>
          <w:szCs w:val="20"/>
        </w:rPr>
        <w:t xml:space="preserve"> (</w:t>
      </w:r>
      <w:r w:rsidR="003B1A46" w:rsidRPr="00E473B9">
        <w:rPr>
          <w:rFonts w:ascii="Arial" w:hAnsi="Arial" w:cs="Arial"/>
          <w:color w:val="000000" w:themeColor="text1"/>
          <w:sz w:val="20"/>
          <w:szCs w:val="20"/>
        </w:rPr>
        <w:t>Del Amo et al., 2017</w:t>
      </w:r>
      <w:r w:rsidR="0002703C" w:rsidRPr="00E473B9">
        <w:rPr>
          <w:rFonts w:ascii="Arial" w:hAnsi="Arial" w:cs="Arial"/>
          <w:color w:val="000000" w:themeColor="text1"/>
          <w:sz w:val="20"/>
          <w:szCs w:val="20"/>
        </w:rPr>
        <w:t xml:space="preserve">; </w:t>
      </w:r>
      <w:r w:rsidR="00CE781F" w:rsidRPr="00E473B9">
        <w:rPr>
          <w:rFonts w:ascii="Arial" w:hAnsi="Arial" w:cs="Arial"/>
          <w:color w:val="000000" w:themeColor="text1"/>
          <w:sz w:val="20"/>
          <w:szCs w:val="20"/>
        </w:rPr>
        <w:t>Palem</w:t>
      </w:r>
      <w:r w:rsidR="0002703C" w:rsidRPr="00E473B9">
        <w:rPr>
          <w:rFonts w:ascii="Arial" w:hAnsi="Arial" w:cs="Arial"/>
          <w:color w:val="000000" w:themeColor="text1"/>
          <w:sz w:val="20"/>
          <w:szCs w:val="20"/>
        </w:rPr>
        <w:t xml:space="preserve"> et al., 2025</w:t>
      </w:r>
      <w:r w:rsidR="00A97F48" w:rsidRPr="00E473B9">
        <w:rPr>
          <w:rFonts w:ascii="Arial" w:hAnsi="Arial" w:cs="Arial"/>
          <w:color w:val="000000" w:themeColor="text1"/>
          <w:sz w:val="20"/>
          <w:szCs w:val="20"/>
        </w:rPr>
        <w:t>)</w:t>
      </w:r>
      <w:r w:rsidRPr="00E473B9">
        <w:rPr>
          <w:rFonts w:ascii="Arial" w:hAnsi="Arial" w:cs="Arial"/>
          <w:color w:val="000000" w:themeColor="text1"/>
          <w:sz w:val="20"/>
          <w:szCs w:val="20"/>
        </w:rPr>
        <w:t>. Consequently, conventional ophthalmic dosage forms</w:t>
      </w:r>
      <w:r w:rsidR="0023092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particularly eye drops</w:t>
      </w:r>
      <w:r w:rsidR="0023092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often require frequent administration, which can lead to suboptimal therapeutic outcomes and poor patient adherence </w:t>
      </w:r>
      <w:r w:rsidR="00A97F48" w:rsidRPr="00E473B9">
        <w:rPr>
          <w:rFonts w:ascii="Arial" w:hAnsi="Arial" w:cs="Arial"/>
          <w:color w:val="000000" w:themeColor="text1"/>
          <w:sz w:val="20"/>
          <w:szCs w:val="20"/>
        </w:rPr>
        <w:t>(</w:t>
      </w:r>
      <w:r w:rsidR="003B1A46" w:rsidRPr="00E473B9">
        <w:rPr>
          <w:rFonts w:ascii="Arial" w:hAnsi="Arial" w:cs="Arial"/>
          <w:color w:val="000000" w:themeColor="text1"/>
          <w:sz w:val="20"/>
          <w:szCs w:val="20"/>
        </w:rPr>
        <w:t>Ludwig et al.,2005</w:t>
      </w:r>
      <w:r w:rsidR="00A97F48" w:rsidRPr="00E473B9">
        <w:rPr>
          <w:rFonts w:ascii="Arial" w:hAnsi="Arial" w:cs="Arial"/>
          <w:color w:val="000000" w:themeColor="text1"/>
          <w:sz w:val="20"/>
          <w:szCs w:val="20"/>
        </w:rPr>
        <w:t>)</w:t>
      </w:r>
      <w:r w:rsidRPr="00E473B9">
        <w:rPr>
          <w:rFonts w:ascii="Arial" w:hAnsi="Arial" w:cs="Arial"/>
          <w:color w:val="000000" w:themeColor="text1"/>
          <w:sz w:val="20"/>
          <w:szCs w:val="20"/>
        </w:rPr>
        <w:t>.</w:t>
      </w:r>
    </w:p>
    <w:p w14:paraId="5A7624CC" w14:textId="6CD80323" w:rsidR="00D93C31" w:rsidRPr="00E473B9" w:rsidRDefault="00D93C31"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The limitations of conventional ocular drug delivery have driven extensive research into advanced delivery systems capable of overcoming ocular barriers while providing sustained and controlled drug release. In this context, sustained-release (SR) ophthalmic drug delivery systems have emerged as promising alternatives designed to prolong drug residence time, enhance ocular bioavailability, and reduce dosing frequency</w:t>
      </w:r>
      <w:r w:rsidR="002E2F8A" w:rsidRPr="00E473B9">
        <w:rPr>
          <w:rFonts w:ascii="Arial" w:hAnsi="Arial" w:cs="Arial"/>
          <w:color w:val="000000" w:themeColor="text1"/>
          <w:sz w:val="20"/>
          <w:szCs w:val="20"/>
        </w:rPr>
        <w:t xml:space="preserve"> (</w:t>
      </w:r>
      <w:r w:rsidR="003B1A46" w:rsidRPr="00E473B9">
        <w:rPr>
          <w:rFonts w:ascii="Arial" w:hAnsi="Arial" w:cs="Arial"/>
          <w:color w:val="000000" w:themeColor="text1"/>
          <w:sz w:val="20"/>
          <w:szCs w:val="20"/>
        </w:rPr>
        <w:t>Park et al.,2014</w:t>
      </w:r>
      <w:r w:rsidR="0002703C" w:rsidRPr="00E473B9">
        <w:rPr>
          <w:rFonts w:ascii="Arial" w:hAnsi="Arial" w:cs="Arial"/>
          <w:color w:val="000000" w:themeColor="text1"/>
          <w:sz w:val="20"/>
          <w:szCs w:val="20"/>
        </w:rPr>
        <w:t>; Palem et al.,</w:t>
      </w:r>
      <w:r w:rsidR="00D6634C" w:rsidRPr="00E473B9">
        <w:rPr>
          <w:rFonts w:ascii="Arial" w:hAnsi="Arial" w:cs="Arial"/>
          <w:color w:val="000000" w:themeColor="text1"/>
          <w:sz w:val="20"/>
          <w:szCs w:val="20"/>
        </w:rPr>
        <w:t xml:space="preserve"> 2016</w:t>
      </w:r>
      <w:r w:rsidR="002E2F8A" w:rsidRPr="00E473B9">
        <w:rPr>
          <w:rFonts w:ascii="Arial" w:hAnsi="Arial" w:cs="Arial"/>
          <w:color w:val="000000" w:themeColor="text1"/>
          <w:sz w:val="20"/>
          <w:szCs w:val="20"/>
        </w:rPr>
        <w:t>)</w:t>
      </w:r>
      <w:r w:rsidRPr="00E473B9">
        <w:rPr>
          <w:rFonts w:ascii="Arial" w:hAnsi="Arial" w:cs="Arial"/>
          <w:color w:val="000000" w:themeColor="text1"/>
          <w:sz w:val="20"/>
          <w:szCs w:val="20"/>
        </w:rPr>
        <w:t>. By maintaining therapeutic drug concentrations at the target site over extended periods, these systems aim to improve treatment efficacy while minimizing dosing burden and variability in patient compliance.</w:t>
      </w:r>
    </w:p>
    <w:p w14:paraId="1D67E1B8" w14:textId="77777777" w:rsidR="00D15559" w:rsidRPr="00E473B9" w:rsidRDefault="00D15559" w:rsidP="002C5523">
      <w:pPr>
        <w:pStyle w:val="NormalWeb"/>
        <w:spacing w:before="0" w:beforeAutospacing="0" w:after="0" w:afterAutospacing="0"/>
        <w:jc w:val="both"/>
        <w:rPr>
          <w:rFonts w:ascii="Arial" w:hAnsi="Arial" w:cs="Arial"/>
          <w:color w:val="000000" w:themeColor="text1"/>
          <w:sz w:val="20"/>
          <w:szCs w:val="20"/>
        </w:rPr>
      </w:pPr>
    </w:p>
    <w:p w14:paraId="016E880B" w14:textId="0ACBBEED" w:rsidR="00D93C31" w:rsidRPr="00E473B9" w:rsidRDefault="00D93C31"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A wide array of formulation</w:t>
      </w:r>
      <w:r w:rsidR="0002703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based and device</w:t>
      </w:r>
      <w:r w:rsidR="0002703C" w:rsidRPr="00E473B9">
        <w:rPr>
          <w:rFonts w:ascii="Arial" w:hAnsi="Arial" w:cs="Arial"/>
          <w:color w:val="000000" w:themeColor="text1"/>
          <w:sz w:val="20"/>
          <w:szCs w:val="20"/>
        </w:rPr>
        <w:t>-</w:t>
      </w:r>
      <w:r w:rsidRPr="00E473B9">
        <w:rPr>
          <w:rFonts w:ascii="Arial" w:hAnsi="Arial" w:cs="Arial"/>
          <w:color w:val="000000" w:themeColor="text1"/>
          <w:sz w:val="20"/>
          <w:szCs w:val="20"/>
        </w:rPr>
        <w:t>assisted SR platforms has been explored for ocular applications, including in situ gelling systems, polymeric and lipid-based nanoparticles, liposomes, ocular inserts, biodegradable and non-biodegradable implants, microneedles, and hydrogel-based systems</w:t>
      </w:r>
      <w:r w:rsidR="002E2F8A" w:rsidRPr="00E473B9">
        <w:rPr>
          <w:rFonts w:ascii="Arial" w:hAnsi="Arial" w:cs="Arial"/>
          <w:color w:val="000000" w:themeColor="text1"/>
          <w:sz w:val="20"/>
          <w:szCs w:val="20"/>
        </w:rPr>
        <w:t xml:space="preserve"> (</w:t>
      </w:r>
      <w:r w:rsidR="003B1A46" w:rsidRPr="00E473B9">
        <w:rPr>
          <w:rFonts w:ascii="Arial" w:hAnsi="Arial" w:cs="Arial"/>
          <w:color w:val="000000" w:themeColor="text1"/>
          <w:sz w:val="20"/>
          <w:szCs w:val="20"/>
        </w:rPr>
        <w:t>Gaudana et al., 2010</w:t>
      </w:r>
      <w:r w:rsidR="00477C5B" w:rsidRPr="00E473B9">
        <w:rPr>
          <w:rFonts w:ascii="Arial" w:hAnsi="Arial" w:cs="Arial"/>
          <w:color w:val="000000" w:themeColor="text1"/>
          <w:sz w:val="20"/>
          <w:szCs w:val="20"/>
        </w:rPr>
        <w:t xml:space="preserve">; </w:t>
      </w:r>
      <w:proofErr w:type="spellStart"/>
      <w:r w:rsidR="00477C5B" w:rsidRPr="00E473B9">
        <w:rPr>
          <w:rFonts w:ascii="Arial" w:hAnsi="Arial" w:cs="Arial"/>
          <w:color w:val="000000" w:themeColor="text1"/>
          <w:sz w:val="20"/>
          <w:szCs w:val="20"/>
        </w:rPr>
        <w:t>Thatipamula</w:t>
      </w:r>
      <w:proofErr w:type="spellEnd"/>
      <w:r w:rsidR="00477C5B" w:rsidRPr="00E473B9">
        <w:rPr>
          <w:rFonts w:ascii="Arial" w:hAnsi="Arial" w:cs="Arial"/>
          <w:color w:val="000000" w:themeColor="text1"/>
          <w:sz w:val="20"/>
          <w:szCs w:val="20"/>
        </w:rPr>
        <w:t xml:space="preserve"> et al., 2011</w:t>
      </w:r>
      <w:r w:rsidR="002E2F8A" w:rsidRPr="00E473B9">
        <w:rPr>
          <w:rFonts w:ascii="Arial" w:hAnsi="Arial" w:cs="Arial"/>
          <w:color w:val="000000" w:themeColor="text1"/>
          <w:sz w:val="20"/>
          <w:szCs w:val="20"/>
        </w:rPr>
        <w:t>)</w:t>
      </w:r>
      <w:r w:rsidRPr="00E473B9">
        <w:rPr>
          <w:rFonts w:ascii="Arial" w:hAnsi="Arial" w:cs="Arial"/>
          <w:color w:val="000000" w:themeColor="text1"/>
          <w:sz w:val="20"/>
          <w:szCs w:val="20"/>
        </w:rPr>
        <w:t>. Many of these approaches utilize biodegradable materials that offer advantages such as biocompatibility, controlled degradation, targeted drug release, and reduced need for surgical removal. In parallel, nanotechnology-based carriers have demonstrated the ability to improve drug solubility, stability, and permeability across ocular barriers, facilitating enhanced drug delivery to both anterior and posterior segments of the eye</w:t>
      </w:r>
      <w:r w:rsidR="002E2F8A" w:rsidRPr="00E473B9">
        <w:rPr>
          <w:rFonts w:ascii="Arial" w:hAnsi="Arial" w:cs="Arial"/>
          <w:color w:val="000000" w:themeColor="text1"/>
          <w:sz w:val="20"/>
          <w:szCs w:val="20"/>
        </w:rPr>
        <w:t xml:space="preserve"> (</w:t>
      </w:r>
      <w:proofErr w:type="spellStart"/>
      <w:r w:rsidR="003B1A46" w:rsidRPr="00E473B9">
        <w:rPr>
          <w:rFonts w:ascii="Arial" w:hAnsi="Arial" w:cs="Arial"/>
          <w:color w:val="000000" w:themeColor="text1"/>
          <w:sz w:val="20"/>
          <w:szCs w:val="20"/>
        </w:rPr>
        <w:t>Danhier</w:t>
      </w:r>
      <w:proofErr w:type="spellEnd"/>
      <w:r w:rsidR="003B1A46" w:rsidRPr="00E473B9">
        <w:rPr>
          <w:rFonts w:ascii="Arial" w:hAnsi="Arial" w:cs="Arial"/>
          <w:color w:val="000000" w:themeColor="text1"/>
          <w:sz w:val="20"/>
          <w:szCs w:val="20"/>
        </w:rPr>
        <w:t xml:space="preserve"> et al., 2012</w:t>
      </w:r>
      <w:r w:rsidR="002E2F8A" w:rsidRPr="00E473B9">
        <w:rPr>
          <w:rFonts w:ascii="Arial" w:hAnsi="Arial" w:cs="Arial"/>
          <w:color w:val="000000" w:themeColor="text1"/>
          <w:sz w:val="20"/>
          <w:szCs w:val="20"/>
        </w:rPr>
        <w:t>)</w:t>
      </w:r>
      <w:r w:rsidRPr="00E473B9">
        <w:rPr>
          <w:rFonts w:ascii="Arial" w:hAnsi="Arial" w:cs="Arial"/>
          <w:color w:val="000000" w:themeColor="text1"/>
          <w:sz w:val="20"/>
          <w:szCs w:val="20"/>
        </w:rPr>
        <w:t>.</w:t>
      </w:r>
    </w:p>
    <w:p w14:paraId="19161A9C" w14:textId="77777777" w:rsidR="00D15559" w:rsidRPr="00E473B9" w:rsidRDefault="00D15559" w:rsidP="002C5523">
      <w:pPr>
        <w:pStyle w:val="NormalWeb"/>
        <w:spacing w:before="0" w:beforeAutospacing="0" w:after="0" w:afterAutospacing="0"/>
        <w:jc w:val="both"/>
        <w:rPr>
          <w:rFonts w:ascii="Arial" w:hAnsi="Arial" w:cs="Arial"/>
          <w:color w:val="000000" w:themeColor="text1"/>
          <w:sz w:val="20"/>
          <w:szCs w:val="20"/>
        </w:rPr>
      </w:pPr>
    </w:p>
    <w:p w14:paraId="0865D0FC" w14:textId="1CFA6620" w:rsidR="00D93C31" w:rsidRPr="00E473B9" w:rsidRDefault="00D93C31"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Despite substantial progress, the clinical translation of sustained-release ophthalmic drug delivery systems remains limited by several challenges, including formulation instability, sterilization constraints, limited drug-loading capacity, excipient-induced ocular irritation, manufacturing complexity, high development costs, and stringent regulatory requirements. Moreover, achieving efficient and minimally invasive drug delivery to posterior ocular tissues continues to represent a major unmet clinical need </w:t>
      </w:r>
      <w:r w:rsidR="00684AD0" w:rsidRPr="00E473B9">
        <w:rPr>
          <w:rFonts w:ascii="Arial" w:hAnsi="Arial" w:cs="Arial"/>
          <w:color w:val="000000" w:themeColor="text1"/>
          <w:sz w:val="20"/>
          <w:szCs w:val="20"/>
        </w:rPr>
        <w:t>(</w:t>
      </w:r>
      <w:r w:rsidR="003B1A46" w:rsidRPr="00E473B9">
        <w:rPr>
          <w:rFonts w:ascii="Arial" w:hAnsi="Arial" w:cs="Arial"/>
          <w:color w:val="000000" w:themeColor="text1"/>
          <w:sz w:val="20"/>
          <w:szCs w:val="20"/>
        </w:rPr>
        <w:t>Lee et al., 2009</w:t>
      </w:r>
      <w:r w:rsidR="00684AD0" w:rsidRPr="00E473B9">
        <w:rPr>
          <w:rFonts w:ascii="Arial" w:hAnsi="Arial" w:cs="Arial"/>
          <w:color w:val="000000" w:themeColor="text1"/>
          <w:sz w:val="20"/>
          <w:szCs w:val="20"/>
        </w:rPr>
        <w:t>)</w:t>
      </w:r>
      <w:r w:rsidRPr="00E473B9">
        <w:rPr>
          <w:rFonts w:ascii="Arial" w:hAnsi="Arial" w:cs="Arial"/>
          <w:color w:val="000000" w:themeColor="text1"/>
          <w:sz w:val="20"/>
          <w:szCs w:val="20"/>
        </w:rPr>
        <w:t>. Addressing these challenges requires an integrated understanding of ocular physiology, materials science, formulation engineering, and regulatory expectations</w:t>
      </w:r>
      <w:r w:rsidR="00684AD0" w:rsidRPr="00E473B9">
        <w:rPr>
          <w:rFonts w:ascii="Arial" w:hAnsi="Arial" w:cs="Arial"/>
          <w:color w:val="000000" w:themeColor="text1"/>
          <w:sz w:val="20"/>
          <w:szCs w:val="20"/>
        </w:rPr>
        <w:t xml:space="preserve"> (</w:t>
      </w:r>
      <w:r w:rsidR="003B1A46" w:rsidRPr="00E473B9">
        <w:rPr>
          <w:rFonts w:ascii="Arial" w:hAnsi="Arial" w:cs="Arial"/>
          <w:color w:val="000000" w:themeColor="text1"/>
          <w:sz w:val="20"/>
          <w:szCs w:val="20"/>
        </w:rPr>
        <w:t>Park et al., 2014; Sampat et al., 2010</w:t>
      </w:r>
      <w:r w:rsidR="00684AD0" w:rsidRPr="00E473B9">
        <w:rPr>
          <w:rFonts w:ascii="Arial" w:hAnsi="Arial" w:cs="Arial"/>
          <w:color w:val="000000" w:themeColor="text1"/>
          <w:sz w:val="20"/>
          <w:szCs w:val="20"/>
        </w:rPr>
        <w:t>)</w:t>
      </w:r>
      <w:r w:rsidR="00183BED" w:rsidRPr="00E473B9">
        <w:rPr>
          <w:rFonts w:ascii="Arial" w:hAnsi="Arial" w:cs="Arial"/>
          <w:color w:val="000000" w:themeColor="text1"/>
          <w:sz w:val="20"/>
          <w:szCs w:val="20"/>
        </w:rPr>
        <w:t>.</w:t>
      </w:r>
    </w:p>
    <w:p w14:paraId="400A9F6E" w14:textId="77777777" w:rsidR="00D15559" w:rsidRPr="00E473B9" w:rsidRDefault="00D15559" w:rsidP="002C5523">
      <w:pPr>
        <w:pStyle w:val="NormalWeb"/>
        <w:spacing w:before="0" w:beforeAutospacing="0" w:after="0" w:afterAutospacing="0"/>
        <w:jc w:val="both"/>
        <w:rPr>
          <w:rFonts w:ascii="Arial" w:hAnsi="Arial" w:cs="Arial"/>
          <w:color w:val="000000" w:themeColor="text1"/>
          <w:sz w:val="20"/>
          <w:szCs w:val="20"/>
        </w:rPr>
      </w:pPr>
    </w:p>
    <w:p w14:paraId="450F15DC" w14:textId="72930265" w:rsidR="00D93C31" w:rsidRPr="00E473B9" w:rsidRDefault="00D93C31"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In this context, the present review provides an updated and critical overview of sustained-release ophthalmic drug delivery systems, highlighting recent innovations, current trends, and future prospects. Key formulation strategies, underlying release mechanisms, translational progress from preclinical research to clinical applications, and associated regulatory considerations are discussed. By consolidating recent advances and identifying existing challenges, this article aims to provide comprehensive insight into the evolving landscape of sustained ocular drug delivery and its potential to transform the management of ocular diseases.</w:t>
      </w:r>
    </w:p>
    <w:p w14:paraId="0CCFD674" w14:textId="09332D7C" w:rsidR="00D15559" w:rsidRPr="00E473B9" w:rsidRDefault="00D15559" w:rsidP="002C5523">
      <w:pPr>
        <w:pStyle w:val="NormalWeb"/>
        <w:spacing w:before="0" w:beforeAutospacing="0" w:after="0" w:afterAutospacing="0"/>
        <w:jc w:val="both"/>
        <w:rPr>
          <w:rFonts w:ascii="Arial" w:hAnsi="Arial" w:cs="Arial"/>
          <w:color w:val="000000" w:themeColor="text1"/>
          <w:sz w:val="20"/>
          <w:szCs w:val="20"/>
        </w:rPr>
      </w:pPr>
    </w:p>
    <w:p w14:paraId="0B649C48" w14:textId="77777777" w:rsidR="00930B6A" w:rsidRPr="00E473B9" w:rsidRDefault="00930B6A" w:rsidP="002C5523">
      <w:pPr>
        <w:pStyle w:val="NormalWeb"/>
        <w:spacing w:before="0" w:beforeAutospacing="0" w:after="0" w:afterAutospacing="0"/>
        <w:jc w:val="both"/>
        <w:rPr>
          <w:rFonts w:ascii="Arial" w:hAnsi="Arial" w:cs="Arial"/>
          <w:color w:val="000000" w:themeColor="text1"/>
          <w:sz w:val="20"/>
          <w:szCs w:val="20"/>
        </w:rPr>
      </w:pPr>
    </w:p>
    <w:p w14:paraId="5382F63E" w14:textId="1A31EC87" w:rsidR="00381ED9" w:rsidRPr="00E473B9" w:rsidRDefault="00D15559" w:rsidP="002C5523">
      <w:pPr>
        <w:pStyle w:val="Heading2"/>
        <w:numPr>
          <w:ilvl w:val="0"/>
          <w:numId w:val="1"/>
        </w:numPr>
        <w:spacing w:before="0" w:line="240" w:lineRule="auto"/>
        <w:ind w:left="284" w:hanging="284"/>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PHARMACOKINETIC LIMITATIONS IMPOSED BY OCULAR BARRIERS</w:t>
      </w:r>
    </w:p>
    <w:p w14:paraId="1A4EE736" w14:textId="77777777" w:rsidR="003B3B95" w:rsidRPr="00E473B9" w:rsidRDefault="003B3B95" w:rsidP="002C5523">
      <w:pPr>
        <w:pStyle w:val="NormalWeb"/>
        <w:spacing w:before="0" w:beforeAutospacing="0" w:after="0" w:afterAutospacing="0"/>
        <w:jc w:val="both"/>
        <w:rPr>
          <w:rFonts w:ascii="Arial" w:hAnsi="Arial" w:cs="Arial"/>
          <w:color w:val="000000" w:themeColor="text1"/>
          <w:sz w:val="20"/>
          <w:szCs w:val="20"/>
        </w:rPr>
      </w:pPr>
    </w:p>
    <w:p w14:paraId="622D8B5A" w14:textId="7C659E89" w:rsidR="00381ED9" w:rsidRPr="00E473B9" w:rsidRDefault="00381ED9"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Effective ophthalmic drug delivery is fundamentally constrained by a series of complex anatomical, physiological, and biochemical barriers intrinsic to the eye</w:t>
      </w:r>
      <w:r w:rsidR="00E72FB2" w:rsidRPr="00E473B9">
        <w:rPr>
          <w:rFonts w:ascii="Arial" w:hAnsi="Arial" w:cs="Arial"/>
          <w:color w:val="000000" w:themeColor="text1"/>
          <w:sz w:val="20"/>
          <w:szCs w:val="20"/>
        </w:rPr>
        <w:t xml:space="preserve"> Figure 1.</w:t>
      </w:r>
      <w:r w:rsidRPr="00E473B9">
        <w:rPr>
          <w:rFonts w:ascii="Arial" w:hAnsi="Arial" w:cs="Arial"/>
          <w:color w:val="000000" w:themeColor="text1"/>
          <w:sz w:val="20"/>
          <w:szCs w:val="20"/>
        </w:rPr>
        <w:t xml:space="preserve"> While these barriers play a crucial role in protecting delicate ocular tissues, they simultaneously restrict drug penetration and retention, particularly following topical administration. A detailed understanding of these pharmacokinetic limitations is essential for the rational design of sustained-release ophthalmic drug delivery systems capable of improving therapeutic efficacy </w:t>
      </w:r>
      <w:r w:rsidR="00543AF2" w:rsidRPr="00E473B9">
        <w:rPr>
          <w:rFonts w:ascii="Arial" w:hAnsi="Arial" w:cs="Arial"/>
          <w:color w:val="000000" w:themeColor="text1"/>
          <w:sz w:val="20"/>
          <w:szCs w:val="20"/>
        </w:rPr>
        <w:t>(</w:t>
      </w:r>
      <w:r w:rsidR="003B1A46" w:rsidRPr="00E473B9">
        <w:rPr>
          <w:rFonts w:ascii="Arial" w:hAnsi="Arial" w:cs="Arial"/>
          <w:color w:val="000000" w:themeColor="text1"/>
          <w:sz w:val="20"/>
          <w:szCs w:val="20"/>
        </w:rPr>
        <w:t>Gaudana et al., 2010; Lee et al., 2009</w:t>
      </w:r>
      <w:r w:rsidR="00543AF2" w:rsidRPr="00E473B9">
        <w:rPr>
          <w:rFonts w:ascii="Arial" w:hAnsi="Arial" w:cs="Arial"/>
          <w:color w:val="000000" w:themeColor="text1"/>
          <w:sz w:val="20"/>
          <w:szCs w:val="20"/>
        </w:rPr>
        <w:t>)</w:t>
      </w:r>
      <w:r w:rsidRPr="00E473B9">
        <w:rPr>
          <w:rFonts w:ascii="Arial" w:hAnsi="Arial" w:cs="Arial"/>
          <w:color w:val="000000" w:themeColor="text1"/>
          <w:sz w:val="20"/>
          <w:szCs w:val="20"/>
        </w:rPr>
        <w:t>.</w:t>
      </w:r>
    </w:p>
    <w:p w14:paraId="60B727F7" w14:textId="77777777" w:rsidR="00D15559" w:rsidRPr="00E473B9" w:rsidRDefault="00D15559" w:rsidP="002C5523">
      <w:pPr>
        <w:pStyle w:val="NormalWeb"/>
        <w:spacing w:before="0" w:beforeAutospacing="0" w:after="0" w:afterAutospacing="0"/>
        <w:jc w:val="both"/>
        <w:rPr>
          <w:rFonts w:ascii="Arial" w:hAnsi="Arial" w:cs="Arial"/>
          <w:color w:val="000000" w:themeColor="text1"/>
          <w:sz w:val="20"/>
          <w:szCs w:val="20"/>
        </w:rPr>
      </w:pPr>
    </w:p>
    <w:p w14:paraId="4A3333C6" w14:textId="6D852198" w:rsidR="00381ED9" w:rsidRPr="00E473B9" w:rsidRDefault="00381ED9"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2.1 Anatomical, Physiological, and Biochemical Barriers</w:t>
      </w:r>
    </w:p>
    <w:p w14:paraId="5C1F96AE" w14:textId="77777777" w:rsidR="009A446F" w:rsidRPr="00E473B9" w:rsidRDefault="009A446F" w:rsidP="002C5523">
      <w:pPr>
        <w:pStyle w:val="Heading3"/>
        <w:spacing w:before="0" w:beforeAutospacing="0" w:after="0" w:afterAutospacing="0"/>
        <w:jc w:val="both"/>
        <w:rPr>
          <w:rStyle w:val="Strong"/>
          <w:rFonts w:ascii="Arial" w:hAnsi="Arial" w:cs="Arial"/>
          <w:b/>
          <w:bCs/>
          <w:color w:val="000000" w:themeColor="text1"/>
          <w:sz w:val="20"/>
          <w:szCs w:val="20"/>
          <w:u w:val="single"/>
        </w:rPr>
      </w:pPr>
    </w:p>
    <w:p w14:paraId="55B43217" w14:textId="5B3A06B1" w:rsidR="00D15559" w:rsidRPr="00E473B9" w:rsidRDefault="00D15559" w:rsidP="002C5523">
      <w:pPr>
        <w:pStyle w:val="Heading3"/>
        <w:spacing w:before="0" w:beforeAutospacing="0" w:after="0" w:afterAutospacing="0"/>
        <w:jc w:val="both"/>
        <w:rPr>
          <w:rStyle w:val="Strong"/>
          <w:rFonts w:ascii="Arial" w:hAnsi="Arial" w:cs="Arial"/>
          <w:b/>
          <w:bCs/>
          <w:color w:val="000000" w:themeColor="text1"/>
          <w:sz w:val="20"/>
          <w:szCs w:val="20"/>
          <w:u w:val="single"/>
        </w:rPr>
      </w:pPr>
      <w:r w:rsidRPr="00E473B9">
        <w:rPr>
          <w:rStyle w:val="Strong"/>
          <w:rFonts w:ascii="Arial" w:hAnsi="Arial" w:cs="Arial"/>
          <w:b/>
          <w:bCs/>
          <w:color w:val="000000" w:themeColor="text1"/>
          <w:sz w:val="20"/>
          <w:szCs w:val="20"/>
          <w:u w:val="single"/>
        </w:rPr>
        <w:t xml:space="preserve">2.1.1 </w:t>
      </w:r>
      <w:r w:rsidR="00381ED9" w:rsidRPr="00E473B9">
        <w:rPr>
          <w:rStyle w:val="Strong"/>
          <w:rFonts w:ascii="Arial" w:hAnsi="Arial" w:cs="Arial"/>
          <w:b/>
          <w:bCs/>
          <w:color w:val="000000" w:themeColor="text1"/>
          <w:sz w:val="20"/>
          <w:szCs w:val="20"/>
          <w:u w:val="single"/>
        </w:rPr>
        <w:t>Tear Film Dynamics</w:t>
      </w:r>
    </w:p>
    <w:p w14:paraId="7FE628B7" w14:textId="77777777" w:rsidR="00D15559" w:rsidRPr="00E473B9" w:rsidRDefault="00D15559" w:rsidP="002C5523">
      <w:pPr>
        <w:pStyle w:val="Heading3"/>
        <w:spacing w:before="0" w:beforeAutospacing="0" w:after="0" w:afterAutospacing="0"/>
        <w:jc w:val="both"/>
        <w:rPr>
          <w:rStyle w:val="Strong"/>
          <w:rFonts w:ascii="Arial" w:hAnsi="Arial" w:cs="Arial"/>
          <w:b/>
          <w:bCs/>
          <w:color w:val="000000" w:themeColor="text1"/>
          <w:sz w:val="20"/>
          <w:szCs w:val="20"/>
          <w:u w:val="single"/>
        </w:rPr>
      </w:pPr>
    </w:p>
    <w:p w14:paraId="64741BE7" w14:textId="11783615" w:rsidR="00381ED9" w:rsidRPr="00E473B9" w:rsidRDefault="00381ED9" w:rsidP="002C5523">
      <w:pPr>
        <w:pStyle w:val="Heading3"/>
        <w:spacing w:before="0" w:beforeAutospacing="0" w:after="0" w:afterAutospacing="0"/>
        <w:jc w:val="both"/>
        <w:rPr>
          <w:rFonts w:ascii="Arial" w:hAnsi="Arial" w:cs="Arial"/>
          <w:b w:val="0"/>
          <w:color w:val="000000" w:themeColor="text1"/>
          <w:sz w:val="20"/>
          <w:szCs w:val="20"/>
        </w:rPr>
      </w:pPr>
      <w:r w:rsidRPr="00E473B9">
        <w:rPr>
          <w:rFonts w:ascii="Arial" w:hAnsi="Arial" w:cs="Arial"/>
          <w:b w:val="0"/>
          <w:color w:val="000000" w:themeColor="text1"/>
          <w:sz w:val="20"/>
          <w:szCs w:val="20"/>
        </w:rPr>
        <w:t xml:space="preserve">The tear film represents the first barrier encountered by topically administered ophthalmic drugs. It is a dynamic, trilaminar structure composed of an outer lipid layer, a central aqueous layer, and an inner mucin layer, collectively responsible for maintaining ocular surface hydration and integrity </w:t>
      </w:r>
      <w:r w:rsidR="00543AF2" w:rsidRPr="00E473B9">
        <w:rPr>
          <w:rFonts w:ascii="Arial" w:hAnsi="Arial" w:cs="Arial"/>
          <w:b w:val="0"/>
          <w:color w:val="000000" w:themeColor="text1"/>
          <w:sz w:val="20"/>
          <w:szCs w:val="20"/>
        </w:rPr>
        <w:t>(</w:t>
      </w:r>
      <w:r w:rsidR="00216384" w:rsidRPr="00E473B9">
        <w:rPr>
          <w:rFonts w:ascii="Arial" w:hAnsi="Arial" w:cs="Arial"/>
          <w:b w:val="0"/>
          <w:color w:val="000000" w:themeColor="text1"/>
          <w:sz w:val="20"/>
          <w:szCs w:val="20"/>
        </w:rPr>
        <w:t xml:space="preserve">Ludwig et al., </w:t>
      </w:r>
      <w:r w:rsidR="003B1A46" w:rsidRPr="00E473B9">
        <w:rPr>
          <w:rFonts w:ascii="Arial" w:hAnsi="Arial" w:cs="Arial"/>
          <w:b w:val="0"/>
          <w:color w:val="000000" w:themeColor="text1"/>
          <w:sz w:val="20"/>
          <w:szCs w:val="20"/>
        </w:rPr>
        <w:t>2005</w:t>
      </w:r>
      <w:r w:rsidR="00543AF2" w:rsidRPr="00E473B9">
        <w:rPr>
          <w:rFonts w:ascii="Arial" w:hAnsi="Arial" w:cs="Arial"/>
          <w:b w:val="0"/>
          <w:color w:val="000000" w:themeColor="text1"/>
          <w:sz w:val="20"/>
          <w:szCs w:val="20"/>
        </w:rPr>
        <w:t>)</w:t>
      </w:r>
      <w:r w:rsidRPr="00E473B9">
        <w:rPr>
          <w:rFonts w:ascii="Arial" w:hAnsi="Arial" w:cs="Arial"/>
          <w:b w:val="0"/>
          <w:color w:val="000000" w:themeColor="text1"/>
          <w:sz w:val="20"/>
          <w:szCs w:val="20"/>
        </w:rPr>
        <w:t xml:space="preserve">. Continuous tear turnover, with a basal secretion rate of approximately 1 µL/min that increases </w:t>
      </w:r>
      <w:r w:rsidRPr="00E473B9">
        <w:rPr>
          <w:rFonts w:ascii="Arial" w:hAnsi="Arial" w:cs="Arial"/>
          <w:b w:val="0"/>
          <w:color w:val="000000" w:themeColor="text1"/>
          <w:sz w:val="20"/>
          <w:szCs w:val="20"/>
        </w:rPr>
        <w:lastRenderedPageBreak/>
        <w:t>markedly under reflex conditions, rapidly dilutes and removes instilled formulations</w:t>
      </w:r>
      <w:r w:rsidR="00543AF2" w:rsidRPr="00E473B9">
        <w:rPr>
          <w:rFonts w:ascii="Arial" w:hAnsi="Arial" w:cs="Arial"/>
          <w:b w:val="0"/>
          <w:color w:val="000000" w:themeColor="text1"/>
          <w:sz w:val="20"/>
          <w:szCs w:val="20"/>
        </w:rPr>
        <w:t xml:space="preserve"> (</w:t>
      </w:r>
      <w:r w:rsidR="003B1A46" w:rsidRPr="00E473B9">
        <w:rPr>
          <w:rFonts w:ascii="Arial" w:hAnsi="Arial" w:cs="Arial"/>
          <w:b w:val="0"/>
          <w:color w:val="000000" w:themeColor="text1"/>
          <w:sz w:val="20"/>
          <w:szCs w:val="20"/>
        </w:rPr>
        <w:t>Maurice et al., 1984</w:t>
      </w:r>
      <w:r w:rsidR="00543AF2" w:rsidRPr="00E473B9">
        <w:rPr>
          <w:rFonts w:ascii="Arial" w:hAnsi="Arial" w:cs="Arial"/>
          <w:b w:val="0"/>
          <w:color w:val="000000" w:themeColor="text1"/>
          <w:sz w:val="20"/>
          <w:szCs w:val="20"/>
        </w:rPr>
        <w:t>)</w:t>
      </w:r>
      <w:r w:rsidRPr="00E473B9">
        <w:rPr>
          <w:rFonts w:ascii="Arial" w:hAnsi="Arial" w:cs="Arial"/>
          <w:b w:val="0"/>
          <w:color w:val="000000" w:themeColor="text1"/>
          <w:sz w:val="20"/>
          <w:szCs w:val="20"/>
        </w:rPr>
        <w:t>. As a result, the residence time of conventional eye drops is typically limited to a few minutes, severely restricting drug absorption. Blinking and lacrimal secretion further exacerbate drug loss, contributing to high inter</w:t>
      </w:r>
      <w:r w:rsidR="003B1A46" w:rsidRPr="00E473B9">
        <w:rPr>
          <w:rFonts w:ascii="Arial" w:hAnsi="Arial" w:cs="Arial"/>
          <w:b w:val="0"/>
          <w:color w:val="000000" w:themeColor="text1"/>
          <w:sz w:val="20"/>
          <w:szCs w:val="20"/>
        </w:rPr>
        <w:t xml:space="preserve"> </w:t>
      </w:r>
      <w:r w:rsidRPr="00E473B9">
        <w:rPr>
          <w:rFonts w:ascii="Arial" w:hAnsi="Arial" w:cs="Arial"/>
          <w:b w:val="0"/>
          <w:color w:val="000000" w:themeColor="text1"/>
          <w:sz w:val="20"/>
          <w:szCs w:val="20"/>
        </w:rPr>
        <w:t>individual variability in ocular drug exposure.</w:t>
      </w:r>
    </w:p>
    <w:p w14:paraId="1BAFA82F" w14:textId="77777777" w:rsidR="00D15559" w:rsidRPr="00E473B9" w:rsidRDefault="00D15559" w:rsidP="002C5523">
      <w:pPr>
        <w:pStyle w:val="Heading3"/>
        <w:spacing w:before="0" w:beforeAutospacing="0" w:after="0" w:afterAutospacing="0"/>
        <w:jc w:val="both"/>
        <w:rPr>
          <w:rFonts w:ascii="Arial" w:hAnsi="Arial" w:cs="Arial"/>
          <w:b w:val="0"/>
          <w:color w:val="000000" w:themeColor="text1"/>
          <w:sz w:val="20"/>
          <w:szCs w:val="20"/>
        </w:rPr>
      </w:pPr>
    </w:p>
    <w:p w14:paraId="3ED76ED4" w14:textId="49326C73" w:rsidR="00D72EAF" w:rsidRPr="00E473B9" w:rsidRDefault="00D72EAF" w:rsidP="002C5523">
      <w:pPr>
        <w:pStyle w:val="Heading3"/>
        <w:spacing w:before="0" w:beforeAutospacing="0" w:after="0" w:afterAutospacing="0"/>
        <w:jc w:val="both"/>
        <w:rPr>
          <w:rStyle w:val="Strong"/>
          <w:rFonts w:ascii="Arial" w:hAnsi="Arial" w:cs="Arial"/>
          <w:b/>
          <w:bCs/>
          <w:color w:val="000000" w:themeColor="text1"/>
          <w:sz w:val="20"/>
          <w:szCs w:val="20"/>
          <w:u w:val="single"/>
        </w:rPr>
      </w:pPr>
      <w:r w:rsidRPr="00E473B9">
        <w:rPr>
          <w:rStyle w:val="Strong"/>
          <w:rFonts w:ascii="Arial" w:hAnsi="Arial" w:cs="Arial"/>
          <w:b/>
          <w:bCs/>
          <w:color w:val="000000" w:themeColor="text1"/>
          <w:sz w:val="20"/>
          <w:szCs w:val="20"/>
          <w:u w:val="single"/>
        </w:rPr>
        <w:t xml:space="preserve">2.1.2 </w:t>
      </w:r>
      <w:r w:rsidR="00381ED9" w:rsidRPr="00E473B9">
        <w:rPr>
          <w:rStyle w:val="Strong"/>
          <w:rFonts w:ascii="Arial" w:hAnsi="Arial" w:cs="Arial"/>
          <w:b/>
          <w:bCs/>
          <w:color w:val="000000" w:themeColor="text1"/>
          <w:sz w:val="20"/>
          <w:szCs w:val="20"/>
          <w:u w:val="single"/>
        </w:rPr>
        <w:t xml:space="preserve">Corneal Epithelium </w:t>
      </w:r>
    </w:p>
    <w:p w14:paraId="10719EF0" w14:textId="77777777" w:rsidR="00D72EAF" w:rsidRPr="00E473B9" w:rsidRDefault="00D72EAF" w:rsidP="002C5523">
      <w:pPr>
        <w:pStyle w:val="Heading3"/>
        <w:spacing w:before="0" w:beforeAutospacing="0" w:after="0" w:afterAutospacing="0"/>
        <w:jc w:val="both"/>
        <w:rPr>
          <w:rFonts w:ascii="Arial" w:hAnsi="Arial" w:cs="Arial"/>
          <w:b w:val="0"/>
          <w:color w:val="000000" w:themeColor="text1"/>
          <w:sz w:val="20"/>
          <w:szCs w:val="20"/>
        </w:rPr>
      </w:pPr>
    </w:p>
    <w:p w14:paraId="443B65DD" w14:textId="3500FAB7" w:rsidR="00381ED9" w:rsidRPr="00E473B9" w:rsidRDefault="00381ED9" w:rsidP="002C5523">
      <w:pPr>
        <w:pStyle w:val="Heading3"/>
        <w:spacing w:before="0" w:beforeAutospacing="0" w:after="0" w:afterAutospacing="0"/>
        <w:jc w:val="both"/>
        <w:rPr>
          <w:rFonts w:ascii="Arial" w:hAnsi="Arial" w:cs="Arial"/>
          <w:b w:val="0"/>
          <w:color w:val="000000" w:themeColor="text1"/>
          <w:sz w:val="20"/>
          <w:szCs w:val="20"/>
        </w:rPr>
      </w:pPr>
      <w:r w:rsidRPr="00E473B9">
        <w:rPr>
          <w:rFonts w:ascii="Arial" w:hAnsi="Arial" w:cs="Arial"/>
          <w:b w:val="0"/>
          <w:color w:val="000000" w:themeColor="text1"/>
          <w:sz w:val="20"/>
          <w:szCs w:val="20"/>
        </w:rPr>
        <w:t>The corneal epithelium is a highly organized, multi-layered structure composed of non-keratinized squamous epithelial cells interconnected by tight junctions that severely limit paracellular transport</w:t>
      </w:r>
      <w:r w:rsidR="00543AF2" w:rsidRPr="00E473B9">
        <w:rPr>
          <w:rFonts w:ascii="Arial" w:hAnsi="Arial" w:cs="Arial"/>
          <w:b w:val="0"/>
          <w:color w:val="000000" w:themeColor="text1"/>
          <w:sz w:val="20"/>
          <w:szCs w:val="20"/>
        </w:rPr>
        <w:t xml:space="preserve"> (</w:t>
      </w:r>
      <w:r w:rsidR="003B1A46" w:rsidRPr="00E473B9">
        <w:rPr>
          <w:rFonts w:ascii="Arial" w:hAnsi="Arial" w:cs="Arial"/>
          <w:b w:val="0"/>
          <w:color w:val="000000" w:themeColor="text1"/>
          <w:sz w:val="20"/>
          <w:szCs w:val="20"/>
        </w:rPr>
        <w:t>Del Amo et al., 2017</w:t>
      </w:r>
      <w:r w:rsidR="00543AF2" w:rsidRPr="00E473B9">
        <w:rPr>
          <w:rFonts w:ascii="Arial" w:hAnsi="Arial" w:cs="Arial"/>
          <w:b w:val="0"/>
          <w:color w:val="000000" w:themeColor="text1"/>
          <w:sz w:val="20"/>
          <w:szCs w:val="20"/>
        </w:rPr>
        <w:t>)</w:t>
      </w:r>
      <w:r w:rsidRPr="00E473B9">
        <w:rPr>
          <w:rFonts w:ascii="Arial" w:hAnsi="Arial" w:cs="Arial"/>
          <w:b w:val="0"/>
          <w:color w:val="000000" w:themeColor="text1"/>
          <w:sz w:val="20"/>
          <w:szCs w:val="20"/>
        </w:rPr>
        <w:t>. While the lipophilic nature of epithelial cell membranes favours the transcellular diffusion of moderately lipophilic drugs, hydrophilic and high-molecular-weight compounds encounter substantial resistance. Consequently, only a small fraction of topically applied drugs penetrates the intact corneal epithelium and reaches deeper ocular tissues, making corneal permeability a major determinant of ocular bioavailability</w:t>
      </w:r>
      <w:r w:rsidR="00543AF2" w:rsidRPr="00E473B9">
        <w:rPr>
          <w:rFonts w:ascii="Arial" w:hAnsi="Arial" w:cs="Arial"/>
          <w:b w:val="0"/>
          <w:color w:val="000000" w:themeColor="text1"/>
          <w:sz w:val="20"/>
          <w:szCs w:val="20"/>
        </w:rPr>
        <w:t xml:space="preserve"> (</w:t>
      </w:r>
      <w:r w:rsidR="003B1A46" w:rsidRPr="00E473B9">
        <w:rPr>
          <w:rFonts w:ascii="Arial" w:hAnsi="Arial" w:cs="Arial"/>
          <w:b w:val="0"/>
          <w:color w:val="000000" w:themeColor="text1"/>
          <w:sz w:val="20"/>
          <w:szCs w:val="20"/>
        </w:rPr>
        <w:t>Lee et al., 2009</w:t>
      </w:r>
      <w:r w:rsidR="00543AF2" w:rsidRPr="00E473B9">
        <w:rPr>
          <w:rFonts w:ascii="Arial" w:hAnsi="Arial" w:cs="Arial"/>
          <w:b w:val="0"/>
          <w:color w:val="000000" w:themeColor="text1"/>
          <w:sz w:val="20"/>
          <w:szCs w:val="20"/>
        </w:rPr>
        <w:t>)</w:t>
      </w:r>
      <w:r w:rsidRPr="00E473B9">
        <w:rPr>
          <w:rFonts w:ascii="Arial" w:hAnsi="Arial" w:cs="Arial"/>
          <w:b w:val="0"/>
          <w:color w:val="000000" w:themeColor="text1"/>
          <w:sz w:val="20"/>
          <w:szCs w:val="20"/>
        </w:rPr>
        <w:t>.</w:t>
      </w:r>
    </w:p>
    <w:p w14:paraId="25B3C708" w14:textId="77777777" w:rsidR="00D15559" w:rsidRPr="00E473B9" w:rsidRDefault="00D15559" w:rsidP="002C5523">
      <w:pPr>
        <w:pStyle w:val="Heading3"/>
        <w:spacing w:before="0" w:beforeAutospacing="0" w:after="0" w:afterAutospacing="0"/>
        <w:jc w:val="both"/>
        <w:rPr>
          <w:rFonts w:ascii="Arial" w:hAnsi="Arial" w:cs="Arial"/>
          <w:b w:val="0"/>
          <w:color w:val="000000" w:themeColor="text1"/>
          <w:sz w:val="20"/>
          <w:szCs w:val="20"/>
        </w:rPr>
      </w:pPr>
    </w:p>
    <w:p w14:paraId="5DECE910" w14:textId="64B5F9A1" w:rsidR="00D72EAF" w:rsidRPr="00E473B9" w:rsidRDefault="00D72EAF" w:rsidP="002C5523">
      <w:pPr>
        <w:pStyle w:val="Heading3"/>
        <w:spacing w:before="0" w:beforeAutospacing="0" w:after="0" w:afterAutospacing="0"/>
        <w:jc w:val="both"/>
        <w:rPr>
          <w:rStyle w:val="Strong"/>
          <w:rFonts w:ascii="Arial" w:hAnsi="Arial" w:cs="Arial"/>
          <w:b/>
          <w:bCs/>
          <w:color w:val="000000" w:themeColor="text1"/>
          <w:sz w:val="20"/>
          <w:szCs w:val="20"/>
          <w:u w:val="single"/>
        </w:rPr>
      </w:pPr>
      <w:r w:rsidRPr="00E473B9">
        <w:rPr>
          <w:rStyle w:val="Strong"/>
          <w:rFonts w:ascii="Arial" w:hAnsi="Arial" w:cs="Arial"/>
          <w:b/>
          <w:bCs/>
          <w:color w:val="000000" w:themeColor="text1"/>
          <w:sz w:val="20"/>
          <w:szCs w:val="20"/>
          <w:u w:val="single"/>
        </w:rPr>
        <w:t xml:space="preserve">2.1.3 </w:t>
      </w:r>
      <w:r w:rsidR="00381ED9" w:rsidRPr="00E473B9">
        <w:rPr>
          <w:rStyle w:val="Strong"/>
          <w:rFonts w:ascii="Arial" w:hAnsi="Arial" w:cs="Arial"/>
          <w:b/>
          <w:bCs/>
          <w:color w:val="000000" w:themeColor="text1"/>
          <w:sz w:val="20"/>
          <w:szCs w:val="20"/>
          <w:u w:val="single"/>
        </w:rPr>
        <w:t>Conjunctival and Scleral Barriers</w:t>
      </w:r>
      <w:r w:rsidRPr="00E473B9">
        <w:rPr>
          <w:rStyle w:val="Strong"/>
          <w:rFonts w:ascii="Arial" w:hAnsi="Arial" w:cs="Arial"/>
          <w:b/>
          <w:bCs/>
          <w:color w:val="000000" w:themeColor="text1"/>
          <w:sz w:val="20"/>
          <w:szCs w:val="20"/>
          <w:u w:val="single"/>
        </w:rPr>
        <w:t xml:space="preserve"> </w:t>
      </w:r>
    </w:p>
    <w:p w14:paraId="34368821" w14:textId="77777777" w:rsidR="00D72EAF" w:rsidRPr="00E473B9" w:rsidRDefault="00D72EAF" w:rsidP="002C5523">
      <w:pPr>
        <w:pStyle w:val="Heading3"/>
        <w:spacing w:before="0" w:beforeAutospacing="0" w:after="0" w:afterAutospacing="0"/>
        <w:jc w:val="both"/>
        <w:rPr>
          <w:rStyle w:val="Strong"/>
          <w:rFonts w:ascii="Arial" w:hAnsi="Arial" w:cs="Arial"/>
          <w:b/>
          <w:bCs/>
          <w:color w:val="000000" w:themeColor="text1"/>
          <w:sz w:val="20"/>
          <w:szCs w:val="20"/>
          <w:u w:val="single"/>
        </w:rPr>
      </w:pPr>
    </w:p>
    <w:p w14:paraId="1388F0A8" w14:textId="51DDD7AF" w:rsidR="00381ED9" w:rsidRPr="00E473B9" w:rsidRDefault="00381ED9" w:rsidP="002C5523">
      <w:pPr>
        <w:pStyle w:val="Heading3"/>
        <w:spacing w:before="0" w:beforeAutospacing="0" w:after="0" w:afterAutospacing="0"/>
        <w:jc w:val="both"/>
        <w:rPr>
          <w:rFonts w:ascii="Arial" w:hAnsi="Arial" w:cs="Arial"/>
          <w:b w:val="0"/>
          <w:color w:val="000000" w:themeColor="text1"/>
          <w:sz w:val="20"/>
          <w:szCs w:val="20"/>
        </w:rPr>
      </w:pPr>
      <w:r w:rsidRPr="00E473B9">
        <w:rPr>
          <w:rFonts w:ascii="Arial" w:hAnsi="Arial" w:cs="Arial"/>
          <w:b w:val="0"/>
          <w:color w:val="000000" w:themeColor="text1"/>
          <w:sz w:val="20"/>
          <w:szCs w:val="20"/>
        </w:rPr>
        <w:t xml:space="preserve">Compared with the cornea, the conjunctiva exhibits higher permeability; however, its extensive vascular and lymphatic networks facilitate rapid systemic absorption, thereby reducing drug availability at ocular target sites. Tight junctions within the conjunctival epithelium further restrict the paracellular transport of macromolecules. Beyond the conjunctiva, the sclera acts as a dense collagenous matrix whose permeability is influenced by molecular size, charge, and hydrophilicity. Although hydrophilic molecules diffuse through the sclera more readily than lipophilic compounds, overall permeability remains limited </w:t>
      </w:r>
      <w:r w:rsidR="00543AF2" w:rsidRPr="00E473B9">
        <w:rPr>
          <w:rFonts w:ascii="Arial" w:hAnsi="Arial" w:cs="Arial"/>
          <w:b w:val="0"/>
          <w:color w:val="000000" w:themeColor="text1"/>
          <w:sz w:val="20"/>
          <w:szCs w:val="20"/>
        </w:rPr>
        <w:t>(</w:t>
      </w:r>
      <w:r w:rsidR="00604AE7" w:rsidRPr="00E473B9">
        <w:rPr>
          <w:rFonts w:ascii="Arial" w:hAnsi="Arial" w:cs="Arial"/>
          <w:b w:val="0"/>
          <w:color w:val="000000" w:themeColor="text1"/>
          <w:sz w:val="20"/>
          <w:szCs w:val="20"/>
        </w:rPr>
        <w:t>Ambati et al., 2000</w:t>
      </w:r>
      <w:r w:rsidR="00543AF2" w:rsidRPr="00E473B9">
        <w:rPr>
          <w:rFonts w:ascii="Arial" w:hAnsi="Arial" w:cs="Arial"/>
          <w:b w:val="0"/>
          <w:color w:val="000000" w:themeColor="text1"/>
          <w:sz w:val="20"/>
          <w:szCs w:val="20"/>
        </w:rPr>
        <w:t>)</w:t>
      </w:r>
      <w:r w:rsidRPr="00E473B9">
        <w:rPr>
          <w:rFonts w:ascii="Arial" w:hAnsi="Arial" w:cs="Arial"/>
          <w:b w:val="0"/>
          <w:color w:val="000000" w:themeColor="text1"/>
          <w:sz w:val="20"/>
          <w:szCs w:val="20"/>
        </w:rPr>
        <w:t>. Together, conjunctival and scleral barriers significantly shape ocular drug distribution and clearance.</w:t>
      </w:r>
    </w:p>
    <w:p w14:paraId="4F43ECE8" w14:textId="77777777" w:rsidR="00D15559" w:rsidRPr="00E473B9" w:rsidRDefault="00D15559" w:rsidP="002C5523">
      <w:pPr>
        <w:pStyle w:val="Heading3"/>
        <w:spacing w:before="0" w:beforeAutospacing="0" w:after="0" w:afterAutospacing="0"/>
        <w:jc w:val="both"/>
        <w:rPr>
          <w:rStyle w:val="Strong"/>
          <w:rFonts w:ascii="Arial" w:hAnsi="Arial" w:cs="Arial"/>
          <w:b/>
          <w:bCs/>
          <w:color w:val="000000" w:themeColor="text1"/>
          <w:sz w:val="20"/>
          <w:szCs w:val="20"/>
        </w:rPr>
      </w:pPr>
    </w:p>
    <w:p w14:paraId="07850D24" w14:textId="1A06D0D9" w:rsidR="00381ED9" w:rsidRPr="00E473B9" w:rsidRDefault="00D72EAF" w:rsidP="002C5523">
      <w:pPr>
        <w:pStyle w:val="Heading3"/>
        <w:spacing w:before="0" w:beforeAutospacing="0" w:after="0" w:afterAutospacing="0"/>
        <w:jc w:val="both"/>
        <w:rPr>
          <w:rStyle w:val="Strong"/>
          <w:rFonts w:ascii="Arial" w:hAnsi="Arial" w:cs="Arial"/>
          <w:b/>
          <w:bCs/>
          <w:color w:val="000000" w:themeColor="text1"/>
          <w:sz w:val="20"/>
          <w:szCs w:val="20"/>
          <w:u w:val="single"/>
        </w:rPr>
      </w:pPr>
      <w:r w:rsidRPr="00E473B9">
        <w:rPr>
          <w:rStyle w:val="Strong"/>
          <w:rFonts w:ascii="Arial" w:hAnsi="Arial" w:cs="Arial"/>
          <w:b/>
          <w:bCs/>
          <w:color w:val="000000" w:themeColor="text1"/>
          <w:sz w:val="20"/>
          <w:szCs w:val="20"/>
          <w:u w:val="single"/>
        </w:rPr>
        <w:t xml:space="preserve">2.1.4 </w:t>
      </w:r>
      <w:r w:rsidR="00381ED9" w:rsidRPr="00E473B9">
        <w:rPr>
          <w:rStyle w:val="Strong"/>
          <w:rFonts w:ascii="Arial" w:hAnsi="Arial" w:cs="Arial"/>
          <w:b/>
          <w:bCs/>
          <w:color w:val="000000" w:themeColor="text1"/>
          <w:sz w:val="20"/>
          <w:szCs w:val="20"/>
          <w:u w:val="single"/>
        </w:rPr>
        <w:t>Blood Aqueous and Blood-Retinal Barriers</w:t>
      </w:r>
    </w:p>
    <w:p w14:paraId="37D798B5" w14:textId="5B146BDF" w:rsidR="00216384" w:rsidRPr="00E473B9" w:rsidRDefault="00381ED9" w:rsidP="002C5523">
      <w:pPr>
        <w:pStyle w:val="NormalWeb"/>
        <w:spacing w:after="0"/>
        <w:jc w:val="both"/>
        <w:rPr>
          <w:rFonts w:ascii="Arial" w:hAnsi="Arial" w:cs="Arial"/>
          <w:color w:val="000000" w:themeColor="text1"/>
          <w:sz w:val="20"/>
          <w:szCs w:val="20"/>
        </w:rPr>
      </w:pPr>
      <w:r w:rsidRPr="00E473B9">
        <w:rPr>
          <w:rFonts w:ascii="Arial" w:hAnsi="Arial" w:cs="Arial"/>
          <w:color w:val="000000" w:themeColor="text1"/>
          <w:sz w:val="20"/>
          <w:szCs w:val="20"/>
        </w:rPr>
        <w:t>At the intraocular level, drug distribution is further restricted by the blood-aqueous barrier (BAB) and the blood-retinal barrier (BRB). The BAB, formed by tight junctions within the ciliary epithelium and iris vasculature, limits the entry of plasma-derived substances into the aqueous humor</w:t>
      </w:r>
      <w:r w:rsidR="00543AF2"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The BRB, comprising the retinal pigment epithelium and retinal vascular endothelium, tightly regulates molecular transport to the neural retina. These barriers markedly impede the penetration of systemically administered drugs into the posterior segment, posing a significant challenge for non-invasive treatment of retinal diseases</w:t>
      </w:r>
      <w:r w:rsidR="00543AF2" w:rsidRPr="00E473B9">
        <w:rPr>
          <w:rFonts w:ascii="Arial" w:hAnsi="Arial" w:cs="Arial"/>
          <w:color w:val="000000" w:themeColor="text1"/>
          <w:sz w:val="20"/>
          <w:szCs w:val="20"/>
        </w:rPr>
        <w:t xml:space="preserve"> (</w:t>
      </w:r>
      <w:r w:rsidR="00604AE7" w:rsidRPr="00E473B9">
        <w:rPr>
          <w:rFonts w:ascii="Arial" w:hAnsi="Arial" w:cs="Arial"/>
          <w:color w:val="000000" w:themeColor="text1"/>
          <w:sz w:val="20"/>
          <w:szCs w:val="20"/>
        </w:rPr>
        <w:t>Del Amo et al., 2017; Gaudana et al., 2010</w:t>
      </w:r>
      <w:r w:rsidR="00543AF2" w:rsidRPr="00E473B9">
        <w:rPr>
          <w:rFonts w:ascii="Arial" w:hAnsi="Arial" w:cs="Arial"/>
          <w:color w:val="000000" w:themeColor="text1"/>
          <w:sz w:val="20"/>
          <w:szCs w:val="20"/>
        </w:rPr>
        <w:t>)</w:t>
      </w:r>
      <w:r w:rsidR="00183BED" w:rsidRPr="00E473B9">
        <w:rPr>
          <w:rFonts w:ascii="Arial" w:hAnsi="Arial" w:cs="Arial"/>
          <w:color w:val="000000" w:themeColor="text1"/>
          <w:sz w:val="20"/>
          <w:szCs w:val="20"/>
        </w:rPr>
        <w:t>.</w:t>
      </w:r>
    </w:p>
    <w:p w14:paraId="397B31B7" w14:textId="733B0304" w:rsidR="00E72FB2" w:rsidRPr="00E473B9" w:rsidRDefault="00E72FB2" w:rsidP="002C5523">
      <w:pPr>
        <w:pStyle w:val="NormalWeb"/>
        <w:spacing w:after="0"/>
        <w:jc w:val="both"/>
        <w:rPr>
          <w:rFonts w:ascii="Arial" w:hAnsi="Arial" w:cs="Arial"/>
          <w:color w:val="000000" w:themeColor="text1"/>
          <w:sz w:val="20"/>
          <w:szCs w:val="20"/>
        </w:rPr>
      </w:pPr>
      <w:r w:rsidRPr="00E473B9">
        <w:rPr>
          <w:rFonts w:ascii="Arial" w:hAnsi="Arial" w:cs="Arial"/>
          <w:noProof/>
          <w:color w:val="000000" w:themeColor="text1"/>
          <w:sz w:val="20"/>
          <w:szCs w:val="20"/>
        </w:rPr>
        <w:drawing>
          <wp:inline distT="0" distB="0" distL="0" distR="0" wp14:anchorId="72A8511F" wp14:editId="77B85CE5">
            <wp:extent cx="5729605" cy="240792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273" cy="2414084"/>
                    </a:xfrm>
                    <a:prstGeom prst="rect">
                      <a:avLst/>
                    </a:prstGeom>
                    <a:noFill/>
                    <a:ln>
                      <a:noFill/>
                    </a:ln>
                  </pic:spPr>
                </pic:pic>
              </a:graphicData>
            </a:graphic>
          </wp:inline>
        </w:drawing>
      </w:r>
    </w:p>
    <w:p w14:paraId="13842AD0" w14:textId="7C729935" w:rsidR="00E72FB2" w:rsidRPr="00E473B9" w:rsidRDefault="007D65E5" w:rsidP="00060D9F">
      <w:pPr>
        <w:pStyle w:val="NormalWeb"/>
        <w:spacing w:after="0"/>
        <w:rPr>
          <w:rFonts w:ascii="Arial" w:hAnsi="Arial" w:cs="Arial"/>
          <w:b/>
          <w:color w:val="000000" w:themeColor="text1"/>
          <w:sz w:val="20"/>
          <w:szCs w:val="20"/>
        </w:rPr>
      </w:pPr>
      <w:r w:rsidRPr="00E473B9">
        <w:rPr>
          <w:rFonts w:ascii="Arial" w:hAnsi="Arial" w:cs="Arial"/>
          <w:b/>
          <w:color w:val="000000" w:themeColor="text1"/>
          <w:sz w:val="20"/>
          <w:szCs w:val="20"/>
        </w:rPr>
        <w:t>Fig</w:t>
      </w:r>
      <w:r w:rsidR="00060D9F" w:rsidRPr="00E473B9">
        <w:rPr>
          <w:rFonts w:ascii="Arial" w:hAnsi="Arial" w:cs="Arial"/>
          <w:b/>
          <w:color w:val="000000" w:themeColor="text1"/>
          <w:sz w:val="20"/>
          <w:szCs w:val="20"/>
        </w:rPr>
        <w:t>.</w:t>
      </w:r>
      <w:r w:rsidRPr="00E473B9">
        <w:rPr>
          <w:rFonts w:ascii="Arial" w:hAnsi="Arial" w:cs="Arial"/>
          <w:b/>
          <w:color w:val="000000" w:themeColor="text1"/>
          <w:sz w:val="20"/>
          <w:szCs w:val="20"/>
        </w:rPr>
        <w:t xml:space="preserve"> 1</w:t>
      </w:r>
      <w:r w:rsidR="00060D9F"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w:t>
      </w:r>
      <w:r w:rsidRPr="00E473B9">
        <w:rPr>
          <w:rFonts w:ascii="Arial" w:hAnsi="Arial" w:cs="Arial"/>
          <w:b/>
          <w:color w:val="000000" w:themeColor="text1"/>
          <w:sz w:val="20"/>
          <w:szCs w:val="20"/>
        </w:rPr>
        <w:t>Anatomy of the eye representing cross-sectional view presenting various parts of the eye involving anatomical, physiological, and biochemical barriers</w:t>
      </w:r>
    </w:p>
    <w:p w14:paraId="57CA478F" w14:textId="18912D78" w:rsidR="0009215C" w:rsidRPr="00E473B9" w:rsidRDefault="0009215C" w:rsidP="0009215C">
      <w:pPr>
        <w:pStyle w:val="Heading2"/>
        <w:spacing w:before="0" w:line="240" w:lineRule="auto"/>
        <w:jc w:val="both"/>
        <w:rPr>
          <w:rFonts w:ascii="Arial" w:hAnsi="Arial" w:cs="Arial"/>
          <w:b/>
          <w:color w:val="000000" w:themeColor="text1"/>
          <w:sz w:val="20"/>
          <w:szCs w:val="20"/>
        </w:rPr>
      </w:pPr>
      <w:r w:rsidRPr="00E473B9">
        <w:rPr>
          <w:rFonts w:ascii="Arial" w:hAnsi="Arial" w:cs="Arial"/>
          <w:b/>
          <w:color w:val="000000" w:themeColor="text1"/>
          <w:sz w:val="20"/>
          <w:szCs w:val="20"/>
        </w:rPr>
        <w:t>2.2 Mechanistic Determinants of Ocular Drug Clearance and Barrier-Regulated Transport</w:t>
      </w:r>
    </w:p>
    <w:p w14:paraId="148A018E" w14:textId="77777777" w:rsidR="0009215C" w:rsidRPr="00E473B9" w:rsidRDefault="0009215C" w:rsidP="0009215C">
      <w:pPr>
        <w:spacing w:after="0" w:line="240" w:lineRule="auto"/>
        <w:rPr>
          <w:rFonts w:ascii="Arial" w:hAnsi="Arial" w:cs="Arial"/>
          <w:color w:val="000000" w:themeColor="text1"/>
          <w:sz w:val="20"/>
          <w:szCs w:val="20"/>
        </w:rPr>
      </w:pPr>
    </w:p>
    <w:p w14:paraId="062819FC" w14:textId="328DE8CF" w:rsidR="0009215C" w:rsidRPr="00E473B9" w:rsidRDefault="0009215C" w:rsidP="0009215C">
      <w:pPr>
        <w:pStyle w:val="Heading3"/>
        <w:spacing w:before="0" w:beforeAutospacing="0" w:after="0" w:afterAutospacing="0"/>
        <w:jc w:val="both"/>
        <w:rPr>
          <w:rFonts w:ascii="Arial" w:hAnsi="Arial" w:cs="Arial"/>
          <w:color w:val="000000" w:themeColor="text1"/>
          <w:sz w:val="20"/>
          <w:szCs w:val="20"/>
          <w:u w:val="single"/>
        </w:rPr>
      </w:pPr>
      <w:r w:rsidRPr="00E473B9">
        <w:rPr>
          <w:rFonts w:ascii="Arial" w:hAnsi="Arial" w:cs="Arial"/>
          <w:color w:val="000000" w:themeColor="text1"/>
          <w:sz w:val="20"/>
          <w:szCs w:val="20"/>
          <w:u w:val="single"/>
        </w:rPr>
        <w:t>2.2.1 Anterior Segment Barriers and Precorneal Elimination</w:t>
      </w:r>
    </w:p>
    <w:p w14:paraId="09292492" w14:textId="77777777" w:rsidR="0009215C" w:rsidRPr="00E473B9" w:rsidRDefault="0009215C" w:rsidP="0009215C">
      <w:pPr>
        <w:pStyle w:val="Heading3"/>
        <w:spacing w:before="0" w:beforeAutospacing="0" w:after="0" w:afterAutospacing="0"/>
        <w:jc w:val="both"/>
        <w:rPr>
          <w:rFonts w:ascii="Arial" w:hAnsi="Arial" w:cs="Arial"/>
          <w:color w:val="000000" w:themeColor="text1"/>
          <w:sz w:val="20"/>
          <w:szCs w:val="20"/>
          <w:u w:val="single"/>
        </w:rPr>
      </w:pPr>
    </w:p>
    <w:p w14:paraId="124824FB" w14:textId="7BDE8438" w:rsidR="0009215C" w:rsidRPr="00E473B9" w:rsidRDefault="0009215C" w:rsidP="0009215C">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Efficient drug delivery to the anterior segment is constrained by both dynamic precorneal processes and intrinsic corneal permeability barriers. Following topical administration, the delivered drop volume typically exceeds the physiological tear film capacity, triggering reflex blinking and accelerated tear turnover. As a consequence, a substantial proportion of the administered dose is rapidly removed through tear dilution, nasolacrimal outflow, and mechanical clearance within minutes of instillation. This rapid elimination markedly reduces the effective concentration gradient necessary to drive passive diffusion across the corneal epithelium.</w:t>
      </w:r>
      <w:r w:rsidR="00AB235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Beyond precorneal loss, the cornea itself functions as a structurally and </w:t>
      </w:r>
      <w:r w:rsidR="00AB2352" w:rsidRPr="00E473B9">
        <w:rPr>
          <w:rFonts w:ascii="Arial" w:hAnsi="Arial" w:cs="Arial"/>
          <w:color w:val="000000" w:themeColor="text1"/>
          <w:sz w:val="20"/>
          <w:szCs w:val="20"/>
        </w:rPr>
        <w:t>physiochemically</w:t>
      </w:r>
      <w:r w:rsidRPr="00E473B9">
        <w:rPr>
          <w:rFonts w:ascii="Arial" w:hAnsi="Arial" w:cs="Arial"/>
          <w:color w:val="000000" w:themeColor="text1"/>
          <w:sz w:val="20"/>
          <w:szCs w:val="20"/>
        </w:rPr>
        <w:t xml:space="preserve"> heterogeneous diffusion barrier</w:t>
      </w:r>
      <w:r w:rsidR="00540CB0" w:rsidRPr="00E473B9">
        <w:rPr>
          <w:rFonts w:ascii="Arial" w:hAnsi="Arial" w:cs="Arial"/>
          <w:color w:val="000000" w:themeColor="text1"/>
          <w:sz w:val="20"/>
          <w:szCs w:val="20"/>
        </w:rPr>
        <w:t xml:space="preserve"> (Ludwig et al.,2005)</w:t>
      </w:r>
      <w:r w:rsidRPr="00E473B9">
        <w:rPr>
          <w:rFonts w:ascii="Arial" w:hAnsi="Arial" w:cs="Arial"/>
          <w:color w:val="000000" w:themeColor="text1"/>
          <w:sz w:val="20"/>
          <w:szCs w:val="20"/>
        </w:rPr>
        <w:t>. The outer epithelial layer, composed of tightly joined stratified cells with lipophilic membranes, restricts paracellular transport and primarily limits hydrophilic drug permeation. In contrast, the stromal layer</w:t>
      </w:r>
      <w:r w:rsidR="00AB235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rich in hydrated collagen</w:t>
      </w:r>
      <w:r w:rsidR="00AB235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presents resistance to lipophilic compounds due to its hydrophilic nature. The endothelial layer is comparatively more permissive but contributes minimally to overall resistance. This biphasic architecture necessitates a delicate balance of lipophilicity and aqueous solubility for optimal corneal permeation. Therefore, anterior segment drug delivery is governed by the interplay between rapid precorneal clearance kinetics and epithelial diffusion constraints.</w:t>
      </w:r>
    </w:p>
    <w:p w14:paraId="6A546933" w14:textId="77777777" w:rsidR="00AB2352" w:rsidRPr="00E473B9" w:rsidRDefault="00AB2352" w:rsidP="0009215C">
      <w:pPr>
        <w:pStyle w:val="NormalWeb"/>
        <w:spacing w:before="0" w:beforeAutospacing="0" w:after="0" w:afterAutospacing="0"/>
        <w:jc w:val="both"/>
        <w:rPr>
          <w:rFonts w:ascii="Arial" w:hAnsi="Arial" w:cs="Arial"/>
          <w:color w:val="000000" w:themeColor="text1"/>
          <w:sz w:val="20"/>
          <w:szCs w:val="20"/>
        </w:rPr>
      </w:pPr>
    </w:p>
    <w:p w14:paraId="74BF7D02" w14:textId="4354CBE7" w:rsidR="0009215C" w:rsidRPr="00E473B9" w:rsidRDefault="0009215C" w:rsidP="0009215C">
      <w:pPr>
        <w:pStyle w:val="Heading3"/>
        <w:spacing w:before="0" w:beforeAutospacing="0" w:after="0" w:afterAutospacing="0"/>
        <w:jc w:val="both"/>
        <w:rPr>
          <w:rFonts w:ascii="Arial" w:hAnsi="Arial" w:cs="Arial"/>
          <w:color w:val="000000" w:themeColor="text1"/>
          <w:sz w:val="20"/>
          <w:szCs w:val="20"/>
          <w:u w:val="single"/>
        </w:rPr>
      </w:pPr>
      <w:r w:rsidRPr="00E473B9">
        <w:rPr>
          <w:rFonts w:ascii="Arial" w:hAnsi="Arial" w:cs="Arial"/>
          <w:color w:val="000000" w:themeColor="text1"/>
          <w:sz w:val="20"/>
          <w:szCs w:val="20"/>
          <w:u w:val="single"/>
        </w:rPr>
        <w:t>2.2.2 Lacrimal Drainage and Systemic Redistribution</w:t>
      </w:r>
    </w:p>
    <w:p w14:paraId="271F38DB" w14:textId="77777777" w:rsidR="00AB2352" w:rsidRPr="00E473B9" w:rsidRDefault="00AB2352" w:rsidP="0009215C">
      <w:pPr>
        <w:pStyle w:val="Heading3"/>
        <w:spacing w:before="0" w:beforeAutospacing="0" w:after="0" w:afterAutospacing="0"/>
        <w:jc w:val="both"/>
        <w:rPr>
          <w:rFonts w:ascii="Arial" w:hAnsi="Arial" w:cs="Arial"/>
          <w:color w:val="000000" w:themeColor="text1"/>
          <w:sz w:val="20"/>
          <w:szCs w:val="20"/>
        </w:rPr>
      </w:pPr>
    </w:p>
    <w:p w14:paraId="33E6C91B" w14:textId="3568550C" w:rsidR="0009215C" w:rsidRPr="00E473B9" w:rsidRDefault="0009215C" w:rsidP="0009215C">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The lacrimal drainage system provides an efficient conduit for drug removal from the ocular surface. Instilled formulations are transported via the puncta and canaliculi into the nasolacrimal duct, facilitating entry into the nasal cavity. Given the high vascularization of the nasal mucosa, a portion of the drained drug may be absorbed systemically. Additionally, conjunctival capillaries and lymphatic vessels contribute to systemic redistribution.</w:t>
      </w:r>
      <w:r w:rsidR="00AB235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From a pharmacokinetic standpoint, this diversion decreases ocular residence time and lowers localized drug exposure. Once in systemic circulation, drug molecules are subjected to hepatic metabolism and renal excretion, effectively eliminating them from the ocular compartment. Such systemic absorption is clinically relevant for highly potent ophthalmic agents, where even low systemic levels may elicit adverse effects</w:t>
      </w:r>
      <w:r w:rsidR="00540CB0" w:rsidRPr="00E473B9">
        <w:rPr>
          <w:rFonts w:ascii="Arial" w:hAnsi="Arial" w:cs="Arial"/>
          <w:color w:val="000000" w:themeColor="text1"/>
          <w:sz w:val="20"/>
          <w:szCs w:val="20"/>
        </w:rPr>
        <w:t xml:space="preserve"> (Lee et al., 2009)</w:t>
      </w:r>
      <w:r w:rsidRPr="00E473B9">
        <w:rPr>
          <w:rFonts w:ascii="Arial" w:hAnsi="Arial" w:cs="Arial"/>
          <w:color w:val="000000" w:themeColor="text1"/>
          <w:sz w:val="20"/>
          <w:szCs w:val="20"/>
        </w:rPr>
        <w:t>. Thus, precorneal clearance and systemic redistribution collectively contribute to the inherently low bioavailability associated with conventional topical formulations.</w:t>
      </w:r>
    </w:p>
    <w:p w14:paraId="42B27F49" w14:textId="77777777" w:rsidR="00AB2352" w:rsidRPr="00E473B9" w:rsidRDefault="00AB2352" w:rsidP="0009215C">
      <w:pPr>
        <w:pStyle w:val="NormalWeb"/>
        <w:spacing w:before="0" w:beforeAutospacing="0" w:after="0" w:afterAutospacing="0"/>
        <w:jc w:val="both"/>
        <w:rPr>
          <w:rFonts w:ascii="Arial" w:hAnsi="Arial" w:cs="Arial"/>
          <w:color w:val="000000" w:themeColor="text1"/>
          <w:sz w:val="20"/>
          <w:szCs w:val="20"/>
        </w:rPr>
      </w:pPr>
    </w:p>
    <w:p w14:paraId="37BDECBF" w14:textId="54C9D9E0" w:rsidR="0009215C" w:rsidRPr="00E473B9" w:rsidRDefault="0009215C" w:rsidP="0009215C">
      <w:pPr>
        <w:pStyle w:val="Heading3"/>
        <w:spacing w:before="0" w:beforeAutospacing="0" w:after="0" w:afterAutospacing="0"/>
        <w:jc w:val="both"/>
        <w:rPr>
          <w:rFonts w:ascii="Arial" w:hAnsi="Arial" w:cs="Arial"/>
          <w:color w:val="000000" w:themeColor="text1"/>
          <w:sz w:val="20"/>
          <w:szCs w:val="20"/>
          <w:u w:val="single"/>
        </w:rPr>
      </w:pPr>
      <w:r w:rsidRPr="00E473B9">
        <w:rPr>
          <w:rFonts w:ascii="Arial" w:hAnsi="Arial" w:cs="Arial"/>
          <w:color w:val="000000" w:themeColor="text1"/>
          <w:sz w:val="20"/>
          <w:szCs w:val="20"/>
          <w:u w:val="single"/>
        </w:rPr>
        <w:t>2.2.3 Posterior Segment Barriers and Intravitreal Transport Constraints</w:t>
      </w:r>
    </w:p>
    <w:p w14:paraId="5EB855B8" w14:textId="77777777" w:rsidR="00AB2352" w:rsidRPr="00E473B9" w:rsidRDefault="00AB2352" w:rsidP="0009215C">
      <w:pPr>
        <w:pStyle w:val="Heading3"/>
        <w:spacing w:before="0" w:beforeAutospacing="0" w:after="0" w:afterAutospacing="0"/>
        <w:jc w:val="both"/>
        <w:rPr>
          <w:rFonts w:ascii="Arial" w:hAnsi="Arial" w:cs="Arial"/>
          <w:color w:val="000000" w:themeColor="text1"/>
          <w:sz w:val="20"/>
          <w:szCs w:val="20"/>
        </w:rPr>
      </w:pPr>
    </w:p>
    <w:p w14:paraId="575F4685" w14:textId="0DF79267" w:rsidR="0009215C" w:rsidRPr="00E473B9" w:rsidRDefault="0009215C" w:rsidP="0009215C">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Drug delivery to the posterior segment presents additional anatomical and physiological challenges. Following intravitreal administration, drug molecules must diffuse through the vitreous humor</w:t>
      </w:r>
      <w:r w:rsidR="00AB235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a viscoelastic hydrogel composed of collagen fibrils and glycosaminoglycans. Diffusional mobility within this matrix is influenced by molecular size, hydrodynamic radius, and electrostatic interactions with negatively charged vitreous components.</w:t>
      </w:r>
      <w:r w:rsidR="00AB235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Beyond the vitreous, the inner limiting membrane (ILM) and neural retina impose further diffusional resistance. The blood</w:t>
      </w:r>
      <w:r w:rsidR="00AB235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retinal barrier, formed by tight junctions within retinal capillary endothelial cells (inner BRB) and retinal pigment epithelial cells (outer BRB), restricts paracellular transport and limits systemic drug entry into retinal tissue. Consequently, posterior segment pharmacokinetics are determined by a balance between intravitreal diffusion, retinal permeation, and clearance through anterior outflow or choroidal circulation</w:t>
      </w:r>
      <w:r w:rsidR="00540CB0" w:rsidRPr="00E473B9">
        <w:rPr>
          <w:rFonts w:ascii="Arial" w:hAnsi="Arial" w:cs="Arial"/>
          <w:color w:val="000000" w:themeColor="text1"/>
          <w:sz w:val="20"/>
          <w:szCs w:val="20"/>
        </w:rPr>
        <w:t xml:space="preserve"> (</w:t>
      </w:r>
      <w:proofErr w:type="spellStart"/>
      <w:r w:rsidR="00540CB0" w:rsidRPr="00E473B9">
        <w:rPr>
          <w:rFonts w:ascii="Arial" w:hAnsi="Arial" w:cs="Arial"/>
          <w:color w:val="000000" w:themeColor="text1"/>
          <w:sz w:val="20"/>
          <w:szCs w:val="20"/>
        </w:rPr>
        <w:t>Hämäläinen</w:t>
      </w:r>
      <w:proofErr w:type="spellEnd"/>
      <w:r w:rsidR="00540CB0" w:rsidRPr="00E473B9">
        <w:rPr>
          <w:rFonts w:ascii="Arial" w:hAnsi="Arial" w:cs="Arial"/>
          <w:color w:val="000000" w:themeColor="text1"/>
          <w:sz w:val="20"/>
          <w:szCs w:val="20"/>
        </w:rPr>
        <w:t xml:space="preserve"> et al., 1997)</w:t>
      </w:r>
      <w:r w:rsidRPr="00E473B9">
        <w:rPr>
          <w:rFonts w:ascii="Arial" w:hAnsi="Arial" w:cs="Arial"/>
          <w:color w:val="000000" w:themeColor="text1"/>
          <w:sz w:val="20"/>
          <w:szCs w:val="20"/>
        </w:rPr>
        <w:t>.</w:t>
      </w:r>
      <w:r w:rsidR="00AB235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The mechanistic distinction between anterior and posterior compartments is therefore evident: anterior delivery is dominated by dynamic surface clearance and epithelial diffusion barriers, whereas posterior delivery is primarily limited by vitreous diffusivity and tight junction</w:t>
      </w:r>
      <w:r w:rsidR="00AB2352" w:rsidRPr="00E473B9">
        <w:rPr>
          <w:rFonts w:ascii="Arial" w:hAnsi="Arial" w:cs="Arial"/>
          <w:color w:val="000000" w:themeColor="text1"/>
          <w:sz w:val="20"/>
          <w:szCs w:val="20"/>
        </w:rPr>
        <w:t>-</w:t>
      </w:r>
      <w:r w:rsidRPr="00E473B9">
        <w:rPr>
          <w:rFonts w:ascii="Arial" w:hAnsi="Arial" w:cs="Arial"/>
          <w:color w:val="000000" w:themeColor="text1"/>
          <w:sz w:val="20"/>
          <w:szCs w:val="20"/>
        </w:rPr>
        <w:t>mediated retinal impermeability.</w:t>
      </w:r>
    </w:p>
    <w:p w14:paraId="31943EF2" w14:textId="77777777" w:rsidR="00AB2352" w:rsidRPr="00E473B9" w:rsidRDefault="00AB2352" w:rsidP="0009215C">
      <w:pPr>
        <w:pStyle w:val="NormalWeb"/>
        <w:spacing w:before="0" w:beforeAutospacing="0" w:after="0" w:afterAutospacing="0"/>
        <w:jc w:val="both"/>
        <w:rPr>
          <w:rFonts w:ascii="Arial" w:hAnsi="Arial" w:cs="Arial"/>
          <w:color w:val="000000" w:themeColor="text1"/>
          <w:sz w:val="20"/>
          <w:szCs w:val="20"/>
        </w:rPr>
      </w:pPr>
    </w:p>
    <w:p w14:paraId="7E836A10" w14:textId="1F3F9E83" w:rsidR="0009215C" w:rsidRPr="00E473B9" w:rsidRDefault="0009215C" w:rsidP="0009215C">
      <w:pPr>
        <w:pStyle w:val="Heading2"/>
        <w:spacing w:before="0" w:line="240" w:lineRule="auto"/>
        <w:jc w:val="both"/>
        <w:rPr>
          <w:rFonts w:ascii="Arial" w:hAnsi="Arial" w:cs="Arial"/>
          <w:b/>
          <w:color w:val="000000" w:themeColor="text1"/>
          <w:sz w:val="20"/>
          <w:szCs w:val="20"/>
        </w:rPr>
      </w:pPr>
      <w:r w:rsidRPr="00E473B9">
        <w:rPr>
          <w:rFonts w:ascii="Arial" w:hAnsi="Arial" w:cs="Arial"/>
          <w:b/>
          <w:color w:val="000000" w:themeColor="text1"/>
          <w:sz w:val="20"/>
          <w:szCs w:val="20"/>
        </w:rPr>
        <w:t>2.3 Mechanistic Implications for Controlled Drug Release</w:t>
      </w:r>
    </w:p>
    <w:p w14:paraId="50E7E29F" w14:textId="77777777" w:rsidR="00AB2352" w:rsidRPr="00E473B9" w:rsidRDefault="00AB2352" w:rsidP="0009215C">
      <w:pPr>
        <w:pStyle w:val="Heading3"/>
        <w:spacing w:before="0" w:beforeAutospacing="0" w:after="0" w:afterAutospacing="0"/>
        <w:jc w:val="both"/>
        <w:rPr>
          <w:rFonts w:ascii="Arial" w:hAnsi="Arial" w:cs="Arial"/>
          <w:color w:val="000000" w:themeColor="text1"/>
          <w:sz w:val="20"/>
          <w:szCs w:val="20"/>
        </w:rPr>
      </w:pPr>
    </w:p>
    <w:p w14:paraId="1288D6EF" w14:textId="6AEDC2F4" w:rsidR="0009215C" w:rsidRPr="00E473B9" w:rsidRDefault="0009215C" w:rsidP="0009215C">
      <w:pPr>
        <w:pStyle w:val="Heading3"/>
        <w:spacing w:before="0" w:beforeAutospacing="0" w:after="0" w:afterAutospacing="0"/>
        <w:jc w:val="both"/>
        <w:rPr>
          <w:rFonts w:ascii="Arial" w:hAnsi="Arial" w:cs="Arial"/>
          <w:color w:val="000000" w:themeColor="text1"/>
          <w:sz w:val="20"/>
          <w:szCs w:val="20"/>
          <w:u w:val="single"/>
        </w:rPr>
      </w:pPr>
      <w:r w:rsidRPr="00E473B9">
        <w:rPr>
          <w:rFonts w:ascii="Arial" w:hAnsi="Arial" w:cs="Arial"/>
          <w:color w:val="000000" w:themeColor="text1"/>
          <w:sz w:val="20"/>
          <w:szCs w:val="20"/>
          <w:u w:val="single"/>
        </w:rPr>
        <w:t>2.3.1 Drug Release Kinetics in Ocular Delivery Systems</w:t>
      </w:r>
    </w:p>
    <w:p w14:paraId="3E5CF8A3" w14:textId="77777777" w:rsidR="00AB2352" w:rsidRPr="00E473B9" w:rsidRDefault="00AB2352" w:rsidP="0009215C">
      <w:pPr>
        <w:pStyle w:val="Heading3"/>
        <w:spacing w:before="0" w:beforeAutospacing="0" w:after="0" w:afterAutospacing="0"/>
        <w:jc w:val="both"/>
        <w:rPr>
          <w:rFonts w:ascii="Arial" w:hAnsi="Arial" w:cs="Arial"/>
          <w:color w:val="000000" w:themeColor="text1"/>
          <w:sz w:val="20"/>
          <w:szCs w:val="20"/>
        </w:rPr>
      </w:pPr>
    </w:p>
    <w:p w14:paraId="26AA50B0" w14:textId="77777777" w:rsidR="0009215C" w:rsidRPr="00E473B9" w:rsidRDefault="0009215C" w:rsidP="0009215C">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Given the rapid elimination in the anterior segment and diffusional constraints in the posterior segment, controlled release technologies are designed to modulate drug availability in accordance with ocular transport dynamics. Mechanistically, ocular drug release can be classified into three principal categories:</w:t>
      </w:r>
    </w:p>
    <w:p w14:paraId="6EE63CD0" w14:textId="3746AE05" w:rsidR="0009215C" w:rsidRPr="00E473B9" w:rsidRDefault="0009215C" w:rsidP="0009215C">
      <w:pPr>
        <w:pStyle w:val="NormalWeb"/>
        <w:numPr>
          <w:ilvl w:val="0"/>
          <w:numId w:val="10"/>
        </w:numPr>
        <w:spacing w:before="0" w:beforeAutospacing="0" w:after="0" w:afterAutospacing="0"/>
        <w:ind w:left="0"/>
        <w:jc w:val="both"/>
        <w:rPr>
          <w:rFonts w:ascii="Arial" w:hAnsi="Arial" w:cs="Arial"/>
          <w:color w:val="000000" w:themeColor="text1"/>
          <w:sz w:val="20"/>
          <w:szCs w:val="20"/>
        </w:rPr>
      </w:pPr>
      <w:r w:rsidRPr="00E473B9">
        <w:rPr>
          <w:rStyle w:val="Strong"/>
          <w:rFonts w:ascii="Arial" w:hAnsi="Arial" w:cs="Arial"/>
          <w:color w:val="000000" w:themeColor="text1"/>
          <w:sz w:val="20"/>
          <w:szCs w:val="20"/>
          <w:u w:val="single"/>
        </w:rPr>
        <w:t>Diffusion-controlled release</w:t>
      </w:r>
      <w:r w:rsidRPr="00E473B9">
        <w:rPr>
          <w:rFonts w:ascii="Arial" w:hAnsi="Arial" w:cs="Arial"/>
          <w:color w:val="000000" w:themeColor="text1"/>
          <w:sz w:val="20"/>
          <w:szCs w:val="20"/>
        </w:rPr>
        <w:t>, wherein drug molecules migrate through a polymeric matrix driven by concentration gradients. This process typically follows Fickian diffusion principles and is mathematically described by square</w:t>
      </w:r>
      <w:r w:rsidR="00540CB0" w:rsidRPr="00E473B9">
        <w:rPr>
          <w:rFonts w:ascii="Arial" w:hAnsi="Arial" w:cs="Arial"/>
          <w:color w:val="000000" w:themeColor="text1"/>
          <w:sz w:val="20"/>
          <w:szCs w:val="20"/>
        </w:rPr>
        <w:t>-</w:t>
      </w:r>
      <w:r w:rsidRPr="00E473B9">
        <w:rPr>
          <w:rFonts w:ascii="Arial" w:hAnsi="Arial" w:cs="Arial"/>
          <w:color w:val="000000" w:themeColor="text1"/>
          <w:sz w:val="20"/>
          <w:szCs w:val="20"/>
        </w:rPr>
        <w:t>root-of-time</w:t>
      </w:r>
      <w:r w:rsidR="00540CB0"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dependent models. Such systems aim to sustain therapeutic concentrations despite rapid tear turnover.</w:t>
      </w:r>
    </w:p>
    <w:p w14:paraId="11B7DF57" w14:textId="77777777" w:rsidR="0009215C" w:rsidRPr="00E473B9" w:rsidRDefault="0009215C" w:rsidP="0009215C">
      <w:pPr>
        <w:pStyle w:val="NormalWeb"/>
        <w:numPr>
          <w:ilvl w:val="0"/>
          <w:numId w:val="10"/>
        </w:numPr>
        <w:spacing w:before="0" w:beforeAutospacing="0" w:after="0" w:afterAutospacing="0"/>
        <w:ind w:left="0"/>
        <w:jc w:val="both"/>
        <w:rPr>
          <w:rFonts w:ascii="Arial" w:hAnsi="Arial" w:cs="Arial"/>
          <w:color w:val="000000" w:themeColor="text1"/>
          <w:sz w:val="20"/>
          <w:szCs w:val="20"/>
        </w:rPr>
      </w:pPr>
      <w:r w:rsidRPr="00E473B9">
        <w:rPr>
          <w:rStyle w:val="Strong"/>
          <w:rFonts w:ascii="Arial" w:hAnsi="Arial" w:cs="Arial"/>
          <w:color w:val="000000" w:themeColor="text1"/>
          <w:sz w:val="20"/>
          <w:szCs w:val="20"/>
          <w:u w:val="single"/>
        </w:rPr>
        <w:lastRenderedPageBreak/>
        <w:t>Swelling-controlled release</w:t>
      </w:r>
      <w:r w:rsidRPr="00E473B9">
        <w:rPr>
          <w:rFonts w:ascii="Arial" w:hAnsi="Arial" w:cs="Arial"/>
          <w:color w:val="000000" w:themeColor="text1"/>
          <w:sz w:val="20"/>
          <w:szCs w:val="20"/>
        </w:rPr>
        <w:t>, where polymer hydration induces structural relaxation and expansion, facilitating drug diffusion. Drug transport in these systems often reflects a combination of diffusion and polymer chain relaxation mechanisms.</w:t>
      </w:r>
    </w:p>
    <w:p w14:paraId="52C5D147" w14:textId="53BF9582" w:rsidR="0009215C" w:rsidRPr="00E473B9" w:rsidRDefault="0009215C" w:rsidP="00C94375">
      <w:pPr>
        <w:pStyle w:val="NormalWeb"/>
        <w:numPr>
          <w:ilvl w:val="0"/>
          <w:numId w:val="10"/>
        </w:numPr>
        <w:spacing w:before="0" w:beforeAutospacing="0" w:after="0" w:afterAutospacing="0"/>
        <w:ind w:left="0"/>
        <w:jc w:val="both"/>
        <w:rPr>
          <w:rFonts w:ascii="Arial" w:hAnsi="Arial" w:cs="Arial"/>
          <w:color w:val="000000" w:themeColor="text1"/>
          <w:sz w:val="20"/>
          <w:szCs w:val="20"/>
        </w:rPr>
      </w:pPr>
      <w:r w:rsidRPr="00E473B9">
        <w:rPr>
          <w:rStyle w:val="Strong"/>
          <w:rFonts w:ascii="Arial" w:hAnsi="Arial" w:cs="Arial"/>
          <w:color w:val="000000" w:themeColor="text1"/>
          <w:sz w:val="20"/>
          <w:szCs w:val="20"/>
          <w:u w:val="single"/>
        </w:rPr>
        <w:t>Erosion- or degradation-controlled release</w:t>
      </w:r>
      <w:r w:rsidRPr="00E473B9">
        <w:rPr>
          <w:rFonts w:ascii="Arial" w:hAnsi="Arial" w:cs="Arial"/>
          <w:color w:val="000000" w:themeColor="text1"/>
          <w:sz w:val="20"/>
          <w:szCs w:val="20"/>
        </w:rPr>
        <w:t>, in which drug liberation is governed by polymer matrix dissolution or biodegradation. Surface erosion can approximate zero-order kinetics, whereas bulk degradation results in more complex release profiles. These mechanisms are particularly relevant to biodegradable implants and long-acting intravitreal systems.</w:t>
      </w:r>
      <w:r w:rsidR="00F2386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Optimization of polymer composition, crosslink density, porosity, and hydrophilicity directly </w:t>
      </w:r>
      <w:r w:rsidR="00F2386C" w:rsidRPr="00E473B9">
        <w:rPr>
          <w:rFonts w:ascii="Arial" w:hAnsi="Arial" w:cs="Arial"/>
          <w:color w:val="000000" w:themeColor="text1"/>
          <w:sz w:val="20"/>
          <w:szCs w:val="20"/>
        </w:rPr>
        <w:t>influence</w:t>
      </w:r>
      <w:r w:rsidRPr="00E473B9">
        <w:rPr>
          <w:rFonts w:ascii="Arial" w:hAnsi="Arial" w:cs="Arial"/>
          <w:color w:val="000000" w:themeColor="text1"/>
          <w:sz w:val="20"/>
          <w:szCs w:val="20"/>
        </w:rPr>
        <w:t xml:space="preserve"> diffusion coefficients and degradation rates. For anterior applications, minimizing burst release is critical to prevent rapid washout, whereas posterior implants benefit from sustained, near-constant drug release to maintain stable intravitreal concentrations.</w:t>
      </w:r>
    </w:p>
    <w:p w14:paraId="377F9F46" w14:textId="77777777" w:rsidR="00F2386C" w:rsidRPr="00E473B9" w:rsidRDefault="00F2386C" w:rsidP="00F2386C">
      <w:pPr>
        <w:pStyle w:val="NormalWeb"/>
        <w:spacing w:before="0" w:beforeAutospacing="0" w:after="0" w:afterAutospacing="0"/>
        <w:jc w:val="both"/>
        <w:rPr>
          <w:rFonts w:ascii="Arial" w:hAnsi="Arial" w:cs="Arial"/>
          <w:color w:val="000000" w:themeColor="text1"/>
          <w:sz w:val="20"/>
          <w:szCs w:val="20"/>
        </w:rPr>
      </w:pPr>
    </w:p>
    <w:p w14:paraId="692F7F9F" w14:textId="77D77EAE" w:rsidR="0009215C" w:rsidRPr="00E473B9" w:rsidRDefault="0009215C" w:rsidP="0009215C">
      <w:pPr>
        <w:pStyle w:val="Heading3"/>
        <w:spacing w:before="0" w:beforeAutospacing="0" w:after="0" w:afterAutospacing="0"/>
        <w:jc w:val="both"/>
        <w:rPr>
          <w:rFonts w:ascii="Arial" w:hAnsi="Arial" w:cs="Arial"/>
          <w:color w:val="000000" w:themeColor="text1"/>
          <w:sz w:val="20"/>
          <w:szCs w:val="20"/>
          <w:u w:val="single"/>
        </w:rPr>
      </w:pPr>
      <w:r w:rsidRPr="00E473B9">
        <w:rPr>
          <w:rFonts w:ascii="Arial" w:hAnsi="Arial" w:cs="Arial"/>
          <w:color w:val="000000" w:themeColor="text1"/>
          <w:sz w:val="20"/>
          <w:szCs w:val="20"/>
          <w:u w:val="single"/>
        </w:rPr>
        <w:t>2.3.2 Stimuli-Responsive Systems for Microenvironment-Adaptive Delivery</w:t>
      </w:r>
    </w:p>
    <w:p w14:paraId="2123CCFA" w14:textId="77777777" w:rsidR="00F2386C" w:rsidRPr="00E473B9" w:rsidRDefault="00F2386C" w:rsidP="0009215C">
      <w:pPr>
        <w:pStyle w:val="Heading3"/>
        <w:spacing w:before="0" w:beforeAutospacing="0" w:after="0" w:afterAutospacing="0"/>
        <w:jc w:val="both"/>
        <w:rPr>
          <w:rFonts w:ascii="Arial" w:hAnsi="Arial" w:cs="Arial"/>
          <w:color w:val="000000" w:themeColor="text1"/>
          <w:sz w:val="20"/>
          <w:szCs w:val="20"/>
          <w:u w:val="single"/>
        </w:rPr>
      </w:pPr>
    </w:p>
    <w:p w14:paraId="3E9B87B5" w14:textId="43F71E08" w:rsidR="0009215C" w:rsidRPr="00E473B9" w:rsidRDefault="0009215C" w:rsidP="0009215C">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To overcome physiological clearance mechanisms, stimuli-responsive platforms have been developed to dynamically adapt to ocular microenvironments. These systems undergo physicochemical transitions in response to local triggers, thereby modulating drug release and residence time.</w:t>
      </w:r>
      <w:r w:rsidR="00F2386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pH or ion-sensitive in situ gelling systems undergo sol</w:t>
      </w:r>
      <w:r w:rsidR="00F2386C" w:rsidRPr="00E473B9">
        <w:rPr>
          <w:rFonts w:ascii="Arial" w:hAnsi="Arial" w:cs="Arial"/>
          <w:color w:val="000000" w:themeColor="text1"/>
          <w:sz w:val="20"/>
          <w:szCs w:val="20"/>
        </w:rPr>
        <w:t>-</w:t>
      </w:r>
      <w:r w:rsidRPr="00E473B9">
        <w:rPr>
          <w:rFonts w:ascii="Arial" w:hAnsi="Arial" w:cs="Arial"/>
          <w:color w:val="000000" w:themeColor="text1"/>
          <w:sz w:val="20"/>
          <w:szCs w:val="20"/>
        </w:rPr>
        <w:t>gel transformation upon exposure to tear fluid, increasing viscosity and reducing drainage</w:t>
      </w:r>
      <w:r w:rsidR="00540CB0" w:rsidRPr="00E473B9">
        <w:rPr>
          <w:rFonts w:ascii="Arial" w:hAnsi="Arial" w:cs="Arial"/>
          <w:color w:val="000000" w:themeColor="text1"/>
          <w:sz w:val="20"/>
          <w:szCs w:val="20"/>
        </w:rPr>
        <w:t xml:space="preserve"> (Gaudana et al., 2010)</w:t>
      </w:r>
      <w:r w:rsidRPr="00E473B9">
        <w:rPr>
          <w:rFonts w:ascii="Arial" w:hAnsi="Arial" w:cs="Arial"/>
          <w:color w:val="000000" w:themeColor="text1"/>
          <w:sz w:val="20"/>
          <w:szCs w:val="20"/>
        </w:rPr>
        <w:t>. Thermoresponsive polymers exploit ocular surface temperature to form depot-like structures that enhance retention. Enzyme</w:t>
      </w:r>
      <w:r w:rsidR="00F2386C" w:rsidRPr="00E473B9">
        <w:rPr>
          <w:rFonts w:ascii="Arial" w:hAnsi="Arial" w:cs="Arial"/>
          <w:color w:val="000000" w:themeColor="text1"/>
          <w:sz w:val="20"/>
          <w:szCs w:val="20"/>
        </w:rPr>
        <w:t>-</w:t>
      </w:r>
      <w:r w:rsidRPr="00E473B9">
        <w:rPr>
          <w:rFonts w:ascii="Arial" w:hAnsi="Arial" w:cs="Arial"/>
          <w:color w:val="000000" w:themeColor="text1"/>
          <w:sz w:val="20"/>
          <w:szCs w:val="20"/>
        </w:rPr>
        <w:t>responsive and redox</w:t>
      </w:r>
      <w:r w:rsidR="00F2386C" w:rsidRPr="00E473B9">
        <w:rPr>
          <w:rFonts w:ascii="Arial" w:hAnsi="Arial" w:cs="Arial"/>
          <w:color w:val="000000" w:themeColor="text1"/>
          <w:sz w:val="20"/>
          <w:szCs w:val="20"/>
        </w:rPr>
        <w:t>-</w:t>
      </w:r>
      <w:r w:rsidRPr="00E473B9">
        <w:rPr>
          <w:rFonts w:ascii="Arial" w:hAnsi="Arial" w:cs="Arial"/>
          <w:color w:val="000000" w:themeColor="text1"/>
          <w:sz w:val="20"/>
          <w:szCs w:val="20"/>
        </w:rPr>
        <w:t>sensitive materials enable site</w:t>
      </w:r>
      <w:r w:rsidR="00F2386C" w:rsidRPr="00E473B9">
        <w:rPr>
          <w:rFonts w:ascii="Arial" w:hAnsi="Arial" w:cs="Arial"/>
          <w:color w:val="000000" w:themeColor="text1"/>
          <w:sz w:val="20"/>
          <w:szCs w:val="20"/>
        </w:rPr>
        <w:t>-</w:t>
      </w:r>
      <w:r w:rsidRPr="00E473B9">
        <w:rPr>
          <w:rFonts w:ascii="Arial" w:hAnsi="Arial" w:cs="Arial"/>
          <w:color w:val="000000" w:themeColor="text1"/>
          <w:sz w:val="20"/>
          <w:szCs w:val="20"/>
        </w:rPr>
        <w:t>specific degradation in inflamed or diseased retinal tissues, while light</w:t>
      </w:r>
      <w:r w:rsidR="00F2386C" w:rsidRPr="00E473B9">
        <w:rPr>
          <w:rFonts w:ascii="Arial" w:hAnsi="Arial" w:cs="Arial"/>
          <w:color w:val="000000" w:themeColor="text1"/>
          <w:sz w:val="20"/>
          <w:szCs w:val="20"/>
        </w:rPr>
        <w:t>-</w:t>
      </w:r>
      <w:r w:rsidRPr="00E473B9">
        <w:rPr>
          <w:rFonts w:ascii="Arial" w:hAnsi="Arial" w:cs="Arial"/>
          <w:color w:val="000000" w:themeColor="text1"/>
          <w:sz w:val="20"/>
          <w:szCs w:val="20"/>
        </w:rPr>
        <w:t>activated systems permit spatial and temporal control of drug release in posterior therapies.</w:t>
      </w:r>
      <w:r w:rsidR="00F2386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At a mechanistic level, these stimuli induce alterations in polymer conformation,</w:t>
      </w:r>
      <w:r w:rsidR="00F2386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crosslinking architecture, or matrix permeability, leading to controlled modulation of drug diffusion pathways. Such adaptive systems are particularly advantageous in mitigating rapid precorneal elimination and enhancing tissue penetration without increasing dosing frequency</w:t>
      </w:r>
      <w:r w:rsidR="00540CB0" w:rsidRPr="00E473B9">
        <w:rPr>
          <w:rFonts w:ascii="Arial" w:hAnsi="Arial" w:cs="Arial"/>
          <w:color w:val="000000" w:themeColor="text1"/>
          <w:sz w:val="20"/>
          <w:szCs w:val="20"/>
        </w:rPr>
        <w:t xml:space="preserve"> (Del Amo et al., 2017)</w:t>
      </w:r>
      <w:r w:rsidRPr="00E473B9">
        <w:rPr>
          <w:rFonts w:ascii="Arial" w:hAnsi="Arial" w:cs="Arial"/>
          <w:color w:val="000000" w:themeColor="text1"/>
          <w:sz w:val="20"/>
          <w:szCs w:val="20"/>
        </w:rPr>
        <w:t>.</w:t>
      </w:r>
    </w:p>
    <w:p w14:paraId="188174AB" w14:textId="77777777" w:rsidR="00F2386C" w:rsidRPr="00E473B9" w:rsidRDefault="00F2386C" w:rsidP="0009215C">
      <w:pPr>
        <w:pStyle w:val="NormalWeb"/>
        <w:spacing w:before="0" w:beforeAutospacing="0" w:after="0" w:afterAutospacing="0"/>
        <w:jc w:val="both"/>
        <w:rPr>
          <w:rFonts w:ascii="Arial" w:hAnsi="Arial" w:cs="Arial"/>
          <w:color w:val="000000" w:themeColor="text1"/>
          <w:sz w:val="20"/>
          <w:szCs w:val="20"/>
        </w:rPr>
      </w:pPr>
    </w:p>
    <w:p w14:paraId="1AF13232" w14:textId="39657E57" w:rsidR="0009215C" w:rsidRPr="00E473B9" w:rsidRDefault="0009215C" w:rsidP="0009215C">
      <w:pPr>
        <w:pStyle w:val="Heading2"/>
        <w:spacing w:before="0" w:line="240" w:lineRule="auto"/>
        <w:jc w:val="both"/>
        <w:rPr>
          <w:rFonts w:ascii="Arial" w:hAnsi="Arial" w:cs="Arial"/>
          <w:b/>
          <w:color w:val="000000" w:themeColor="text1"/>
          <w:sz w:val="20"/>
          <w:szCs w:val="20"/>
        </w:rPr>
      </w:pPr>
      <w:r w:rsidRPr="00E473B9">
        <w:rPr>
          <w:rFonts w:ascii="Arial" w:hAnsi="Arial" w:cs="Arial"/>
          <w:b/>
          <w:color w:val="000000" w:themeColor="text1"/>
          <w:sz w:val="20"/>
          <w:szCs w:val="20"/>
        </w:rPr>
        <w:t>2.4 Integrated Mechanistic Perspective</w:t>
      </w:r>
    </w:p>
    <w:p w14:paraId="102DFF0A" w14:textId="77777777" w:rsidR="00F2386C" w:rsidRPr="00E473B9" w:rsidRDefault="00F2386C" w:rsidP="0009215C">
      <w:pPr>
        <w:pStyle w:val="NormalWeb"/>
        <w:spacing w:before="0" w:beforeAutospacing="0" w:after="0" w:afterAutospacing="0"/>
        <w:jc w:val="both"/>
        <w:rPr>
          <w:rFonts w:ascii="Arial" w:hAnsi="Arial" w:cs="Arial"/>
          <w:color w:val="000000" w:themeColor="text1"/>
          <w:sz w:val="20"/>
          <w:szCs w:val="20"/>
        </w:rPr>
      </w:pPr>
    </w:p>
    <w:p w14:paraId="7A501A1F" w14:textId="0AFAB81F" w:rsidR="0009215C" w:rsidRPr="00E473B9" w:rsidRDefault="0009215C" w:rsidP="0009215C">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The inherently low bioavailability of conventional ophthalmic formulations</w:t>
      </w:r>
      <w:r w:rsidR="00F2386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often limited to a small fraction of the administered dose</w:t>
      </w:r>
      <w:r w:rsidR="00F2386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arises from the combined effects of tear</w:t>
      </w:r>
      <w:r w:rsidR="00540CB0" w:rsidRPr="00E473B9">
        <w:rPr>
          <w:rFonts w:ascii="Arial" w:hAnsi="Arial" w:cs="Arial"/>
          <w:color w:val="000000" w:themeColor="text1"/>
          <w:sz w:val="20"/>
          <w:szCs w:val="20"/>
        </w:rPr>
        <w:t>-</w:t>
      </w:r>
      <w:r w:rsidRPr="00E473B9">
        <w:rPr>
          <w:rFonts w:ascii="Arial" w:hAnsi="Arial" w:cs="Arial"/>
          <w:color w:val="000000" w:themeColor="text1"/>
          <w:sz w:val="20"/>
          <w:szCs w:val="20"/>
        </w:rPr>
        <w:t>mediated clearance, corneal polarity</w:t>
      </w:r>
      <w:r w:rsidR="00540CB0"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dependent permeability restrictions, vitreous diffusion limitations, and tight junction</w:t>
      </w:r>
      <w:r w:rsidR="00540CB0"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regulated retinal barriers. A comprehensive mechanistic understanding of these processes enables rational design of delivery systems that align drug release kinetics with ocular transport behavior</w:t>
      </w:r>
      <w:r w:rsidR="00540CB0" w:rsidRPr="00E473B9">
        <w:rPr>
          <w:rFonts w:ascii="Arial" w:hAnsi="Arial" w:cs="Arial"/>
          <w:color w:val="000000" w:themeColor="text1"/>
          <w:sz w:val="20"/>
          <w:szCs w:val="20"/>
        </w:rPr>
        <w:t xml:space="preserve"> (Del Amo et al., 2017, Lee et al., 2009)</w:t>
      </w:r>
      <w:r w:rsidRPr="00E473B9">
        <w:rPr>
          <w:rFonts w:ascii="Arial" w:hAnsi="Arial" w:cs="Arial"/>
          <w:color w:val="000000" w:themeColor="text1"/>
          <w:sz w:val="20"/>
          <w:szCs w:val="20"/>
        </w:rPr>
        <w:t>.</w:t>
      </w:r>
      <w:r w:rsidR="00540CB0"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By integrating barrier physiology with controlled release engineering, advanced ocular drug delivery platforms can prolong residence time, optimize tissue distribution, reduce systemic exposure, and ultimately improve therapeutic performance and patient adherence.</w:t>
      </w:r>
    </w:p>
    <w:p w14:paraId="2202302D" w14:textId="77777777" w:rsidR="00D72EAF" w:rsidRPr="00E473B9" w:rsidRDefault="00D72EAF" w:rsidP="002C5523">
      <w:pPr>
        <w:pStyle w:val="Heading3"/>
        <w:spacing w:before="0" w:beforeAutospacing="0" w:after="0" w:afterAutospacing="0"/>
        <w:jc w:val="both"/>
        <w:rPr>
          <w:rFonts w:ascii="Arial" w:hAnsi="Arial" w:cs="Arial"/>
          <w:b w:val="0"/>
          <w:color w:val="000000" w:themeColor="text1"/>
          <w:sz w:val="20"/>
          <w:szCs w:val="20"/>
        </w:rPr>
      </w:pPr>
    </w:p>
    <w:p w14:paraId="40470D66" w14:textId="12730967" w:rsidR="00084CF6" w:rsidRPr="00E473B9" w:rsidRDefault="002C5523" w:rsidP="002C5523">
      <w:pPr>
        <w:pStyle w:val="Heading2"/>
        <w:numPr>
          <w:ilvl w:val="0"/>
          <w:numId w:val="1"/>
        </w:numPr>
        <w:spacing w:before="0" w:line="240" w:lineRule="auto"/>
        <w:ind w:left="284" w:hanging="284"/>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 xml:space="preserve">SUSTAINED </w:t>
      </w:r>
      <w:r w:rsidR="00D72EAF" w:rsidRPr="00E473B9">
        <w:rPr>
          <w:rStyle w:val="Strong"/>
          <w:rFonts w:ascii="Arial" w:hAnsi="Arial" w:cs="Arial"/>
          <w:bCs w:val="0"/>
          <w:color w:val="000000" w:themeColor="text1"/>
          <w:sz w:val="22"/>
          <w:szCs w:val="22"/>
        </w:rPr>
        <w:t>RELEASE OPHTHALMIC FORMULATIONS</w:t>
      </w:r>
    </w:p>
    <w:p w14:paraId="55DF4D03"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00D9DC33" w14:textId="151EA3F9" w:rsidR="00084CF6" w:rsidRPr="00E473B9" w:rsidRDefault="00084CF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Sustained-release ophthalmic formulations have emerged as a strategic response to the inherent limitations of conventional eye drops, including rapid precorneal drug loss, poor ocular bioavailability, and frequent dosing requirements. These advanced systems are designed to prolong drug residence time, provide controlled and predictable release, and enhance therapeutic efficacy while improving patient adherence. Recent advances in material science, nanotechnology, and minimally invasive delivery approaches have significantly expanded the range of sustained-release platforms for both anterior and posterior segment diseases</w:t>
      </w:r>
      <w:r w:rsidR="00174F4F" w:rsidRPr="00E473B9">
        <w:rPr>
          <w:rFonts w:ascii="Arial" w:hAnsi="Arial" w:cs="Arial"/>
          <w:color w:val="000000" w:themeColor="text1"/>
          <w:sz w:val="20"/>
          <w:szCs w:val="20"/>
        </w:rPr>
        <w:t xml:space="preserve"> (</w:t>
      </w:r>
      <w:r w:rsidR="00604AE7" w:rsidRPr="00E473B9">
        <w:rPr>
          <w:rFonts w:ascii="Arial" w:hAnsi="Arial" w:cs="Arial"/>
          <w:color w:val="000000" w:themeColor="text1"/>
          <w:sz w:val="20"/>
          <w:szCs w:val="20"/>
        </w:rPr>
        <w:t>Lee et al., 2009</w:t>
      </w:r>
      <w:r w:rsidR="00BD6910" w:rsidRPr="00E473B9">
        <w:rPr>
          <w:rFonts w:ascii="Arial" w:hAnsi="Arial" w:cs="Arial"/>
          <w:color w:val="000000" w:themeColor="text1"/>
          <w:sz w:val="20"/>
          <w:szCs w:val="20"/>
        </w:rPr>
        <w:t xml:space="preserve">; </w:t>
      </w:r>
      <w:r w:rsidR="007C01A9" w:rsidRPr="00E473B9">
        <w:rPr>
          <w:rFonts w:ascii="Arial" w:hAnsi="Arial" w:cs="Arial"/>
          <w:color w:val="000000" w:themeColor="text1"/>
          <w:sz w:val="20"/>
          <w:szCs w:val="20"/>
        </w:rPr>
        <w:t>Palem et al., 2012</w:t>
      </w:r>
      <w:r w:rsidR="00174F4F" w:rsidRPr="00E473B9">
        <w:rPr>
          <w:rFonts w:ascii="Arial" w:hAnsi="Arial" w:cs="Arial"/>
          <w:color w:val="000000" w:themeColor="text1"/>
          <w:sz w:val="20"/>
          <w:szCs w:val="20"/>
        </w:rPr>
        <w:t>)</w:t>
      </w:r>
      <w:r w:rsidRPr="00E473B9">
        <w:rPr>
          <w:rFonts w:ascii="Arial" w:hAnsi="Arial" w:cs="Arial"/>
          <w:color w:val="000000" w:themeColor="text1"/>
          <w:sz w:val="20"/>
          <w:szCs w:val="20"/>
        </w:rPr>
        <w:t>.</w:t>
      </w:r>
      <w:r w:rsidR="00AE3D05" w:rsidRPr="00E473B9">
        <w:rPr>
          <w:rFonts w:ascii="Arial" w:hAnsi="Arial" w:cs="Arial"/>
          <w:color w:val="000000" w:themeColor="text1"/>
          <w:sz w:val="20"/>
          <w:szCs w:val="20"/>
        </w:rPr>
        <w:t xml:space="preserve"> Various novel sustained release ophthalmic drug delivery dosage forms including </w:t>
      </w:r>
      <w:r w:rsidR="00125DFD" w:rsidRPr="00E473B9">
        <w:rPr>
          <w:rFonts w:ascii="Arial" w:hAnsi="Arial" w:cs="Arial"/>
          <w:color w:val="000000" w:themeColor="text1"/>
          <w:sz w:val="20"/>
          <w:szCs w:val="20"/>
        </w:rPr>
        <w:t>i</w:t>
      </w:r>
      <w:r w:rsidR="00AE3D05" w:rsidRPr="00E473B9">
        <w:rPr>
          <w:rFonts w:ascii="Arial" w:hAnsi="Arial" w:cs="Arial"/>
          <w:color w:val="000000" w:themeColor="text1"/>
          <w:sz w:val="20"/>
          <w:szCs w:val="20"/>
        </w:rPr>
        <w:t>n</w:t>
      </w:r>
      <w:r w:rsidR="00125DFD" w:rsidRPr="00E473B9">
        <w:rPr>
          <w:rFonts w:ascii="Arial" w:hAnsi="Arial" w:cs="Arial"/>
          <w:color w:val="000000" w:themeColor="text1"/>
          <w:sz w:val="20"/>
          <w:szCs w:val="20"/>
        </w:rPr>
        <w:t>-</w:t>
      </w:r>
      <w:r w:rsidR="00AE3D05" w:rsidRPr="00E473B9">
        <w:rPr>
          <w:rFonts w:ascii="Arial" w:hAnsi="Arial" w:cs="Arial"/>
          <w:color w:val="000000" w:themeColor="text1"/>
          <w:sz w:val="20"/>
          <w:szCs w:val="20"/>
        </w:rPr>
        <w:t>situ gelling</w:t>
      </w:r>
      <w:r w:rsidR="00125DFD" w:rsidRPr="00E473B9">
        <w:rPr>
          <w:rFonts w:ascii="Arial" w:hAnsi="Arial" w:cs="Arial"/>
          <w:color w:val="000000" w:themeColor="text1"/>
          <w:sz w:val="20"/>
          <w:szCs w:val="20"/>
        </w:rPr>
        <w:t xml:space="preserve"> systems</w:t>
      </w:r>
      <w:r w:rsidR="00AE3D05" w:rsidRPr="00E473B9">
        <w:rPr>
          <w:rFonts w:ascii="Arial" w:hAnsi="Arial" w:cs="Arial"/>
          <w:color w:val="000000" w:themeColor="text1"/>
          <w:sz w:val="20"/>
          <w:szCs w:val="20"/>
        </w:rPr>
        <w:t xml:space="preserve">, Nanoparticles and Micro particles, Liposomes and </w:t>
      </w:r>
      <w:proofErr w:type="spellStart"/>
      <w:r w:rsidR="00AE3D05" w:rsidRPr="00E473B9">
        <w:rPr>
          <w:rFonts w:ascii="Arial" w:hAnsi="Arial" w:cs="Arial"/>
          <w:color w:val="000000" w:themeColor="text1"/>
          <w:sz w:val="20"/>
          <w:szCs w:val="20"/>
        </w:rPr>
        <w:t>Niosomes</w:t>
      </w:r>
      <w:proofErr w:type="spellEnd"/>
      <w:r w:rsidR="00AE3D05" w:rsidRPr="00E473B9">
        <w:rPr>
          <w:rFonts w:ascii="Arial" w:hAnsi="Arial" w:cs="Arial"/>
          <w:color w:val="000000" w:themeColor="text1"/>
          <w:sz w:val="20"/>
          <w:szCs w:val="20"/>
        </w:rPr>
        <w:t>, Ocular Inserts and Films, Implants and Injectable Systems</w:t>
      </w:r>
      <w:r w:rsidR="00125DFD" w:rsidRPr="00E473B9">
        <w:rPr>
          <w:rFonts w:ascii="Arial" w:hAnsi="Arial" w:cs="Arial"/>
          <w:color w:val="000000" w:themeColor="text1"/>
          <w:sz w:val="20"/>
          <w:szCs w:val="20"/>
        </w:rPr>
        <w:t xml:space="preserve">, and Microneedle Systems are presented in Figure 2. </w:t>
      </w:r>
      <w:r w:rsidR="00AE3D05" w:rsidRPr="00E473B9">
        <w:rPr>
          <w:rFonts w:ascii="Arial" w:hAnsi="Arial" w:cs="Arial"/>
          <w:color w:val="000000" w:themeColor="text1"/>
          <w:sz w:val="20"/>
          <w:szCs w:val="20"/>
        </w:rPr>
        <w:t xml:space="preserve">   </w:t>
      </w:r>
    </w:p>
    <w:p w14:paraId="38CEDF59" w14:textId="6A14704E" w:rsidR="00D72EAF" w:rsidRPr="00E473B9" w:rsidRDefault="00125DFD"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noProof/>
          <w:color w:val="000000" w:themeColor="text1"/>
          <w:sz w:val="20"/>
          <w:szCs w:val="20"/>
        </w:rPr>
        <w:lastRenderedPageBreak/>
        <w:drawing>
          <wp:inline distT="0" distB="0" distL="0" distR="0" wp14:anchorId="53A21595" wp14:editId="54C0FAC3">
            <wp:extent cx="5730875" cy="3372592"/>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3372592"/>
                    </a:xfrm>
                    <a:prstGeom prst="rect">
                      <a:avLst/>
                    </a:prstGeom>
                    <a:noFill/>
                    <a:ln>
                      <a:noFill/>
                    </a:ln>
                  </pic:spPr>
                </pic:pic>
              </a:graphicData>
            </a:graphic>
          </wp:inline>
        </w:drawing>
      </w:r>
    </w:p>
    <w:p w14:paraId="555C9BD1" w14:textId="77777777" w:rsidR="00125DFD" w:rsidRPr="00E473B9" w:rsidRDefault="00125DFD" w:rsidP="002C5523">
      <w:pPr>
        <w:pStyle w:val="NormalWeb"/>
        <w:spacing w:before="0" w:beforeAutospacing="0" w:after="0" w:afterAutospacing="0"/>
        <w:jc w:val="both"/>
        <w:rPr>
          <w:rFonts w:ascii="Arial" w:hAnsi="Arial" w:cs="Arial"/>
          <w:b/>
          <w:color w:val="000000" w:themeColor="text1"/>
          <w:sz w:val="20"/>
          <w:szCs w:val="20"/>
        </w:rPr>
      </w:pPr>
    </w:p>
    <w:p w14:paraId="66B30651" w14:textId="5205FE3C" w:rsidR="00125DFD" w:rsidRPr="00E473B9" w:rsidRDefault="00125DFD" w:rsidP="002C5523">
      <w:pPr>
        <w:pStyle w:val="NormalWeb"/>
        <w:spacing w:before="0" w:beforeAutospacing="0" w:after="0" w:afterAutospacing="0"/>
        <w:jc w:val="both"/>
        <w:rPr>
          <w:rFonts w:ascii="Arial" w:hAnsi="Arial" w:cs="Arial"/>
          <w:b/>
          <w:color w:val="000000" w:themeColor="text1"/>
          <w:sz w:val="20"/>
          <w:szCs w:val="20"/>
        </w:rPr>
      </w:pPr>
      <w:r w:rsidRPr="00E473B9">
        <w:rPr>
          <w:rFonts w:ascii="Arial" w:hAnsi="Arial" w:cs="Arial"/>
          <w:b/>
          <w:color w:val="000000" w:themeColor="text1"/>
          <w:sz w:val="20"/>
          <w:szCs w:val="20"/>
        </w:rPr>
        <w:t>Fig</w:t>
      </w:r>
      <w:r w:rsidR="00060D9F" w:rsidRPr="00E473B9">
        <w:rPr>
          <w:rFonts w:ascii="Arial" w:hAnsi="Arial" w:cs="Arial"/>
          <w:b/>
          <w:color w:val="000000" w:themeColor="text1"/>
          <w:sz w:val="20"/>
          <w:szCs w:val="20"/>
        </w:rPr>
        <w:t>.</w:t>
      </w:r>
      <w:r w:rsidRPr="00E473B9">
        <w:rPr>
          <w:rFonts w:ascii="Arial" w:hAnsi="Arial" w:cs="Arial"/>
          <w:b/>
          <w:color w:val="000000" w:themeColor="text1"/>
          <w:sz w:val="20"/>
          <w:szCs w:val="20"/>
        </w:rPr>
        <w:t>2</w:t>
      </w:r>
      <w:r w:rsidR="00060D9F" w:rsidRPr="00E473B9">
        <w:rPr>
          <w:rFonts w:ascii="Arial" w:hAnsi="Arial" w:cs="Arial"/>
          <w:b/>
          <w:color w:val="000000" w:themeColor="text1"/>
          <w:sz w:val="20"/>
          <w:szCs w:val="20"/>
        </w:rPr>
        <w:t>.</w:t>
      </w:r>
      <w:r w:rsidRPr="00E473B9">
        <w:rPr>
          <w:rFonts w:ascii="Arial" w:hAnsi="Arial" w:cs="Arial"/>
          <w:b/>
          <w:color w:val="000000" w:themeColor="text1"/>
          <w:sz w:val="20"/>
          <w:szCs w:val="20"/>
        </w:rPr>
        <w:t xml:space="preserve"> Schematic Representation of Emerging Sustained-Release Ocular Drug Delivery Systems </w:t>
      </w:r>
    </w:p>
    <w:p w14:paraId="70FE7E24" w14:textId="77777777" w:rsidR="00125DFD" w:rsidRPr="00E473B9" w:rsidRDefault="00125DFD" w:rsidP="002C5523">
      <w:pPr>
        <w:pStyle w:val="NormalWeb"/>
        <w:spacing w:before="0" w:beforeAutospacing="0" w:after="0" w:afterAutospacing="0"/>
        <w:jc w:val="both"/>
        <w:rPr>
          <w:rFonts w:ascii="Arial" w:hAnsi="Arial" w:cs="Arial"/>
          <w:color w:val="000000" w:themeColor="text1"/>
          <w:sz w:val="20"/>
          <w:szCs w:val="20"/>
        </w:rPr>
      </w:pPr>
    </w:p>
    <w:p w14:paraId="1A2EEC3E" w14:textId="47FC1DCC" w:rsidR="00084CF6" w:rsidRPr="00E473B9" w:rsidRDefault="00084CF6" w:rsidP="002C5523">
      <w:pPr>
        <w:pStyle w:val="Heading3"/>
        <w:spacing w:before="0" w:beforeAutospacing="0" w:after="0" w:afterAutospacing="0"/>
        <w:jc w:val="both"/>
        <w:rPr>
          <w:rStyle w:val="Strong"/>
          <w:rFonts w:ascii="Arial" w:hAnsi="Arial" w:cs="Arial"/>
          <w:b/>
          <w:bCs/>
          <w:color w:val="000000" w:themeColor="text1"/>
          <w:sz w:val="22"/>
          <w:szCs w:val="22"/>
        </w:rPr>
      </w:pPr>
      <w:r w:rsidRPr="00E473B9">
        <w:rPr>
          <w:rStyle w:val="Strong"/>
          <w:rFonts w:ascii="Arial" w:hAnsi="Arial" w:cs="Arial"/>
          <w:b/>
          <w:bCs/>
          <w:color w:val="000000" w:themeColor="text1"/>
          <w:sz w:val="22"/>
          <w:szCs w:val="22"/>
        </w:rPr>
        <w:t>3.1. In Situ Gelling Systems</w:t>
      </w:r>
    </w:p>
    <w:p w14:paraId="2E0FFFBD" w14:textId="77777777" w:rsidR="00216384" w:rsidRPr="00E473B9" w:rsidRDefault="00216384" w:rsidP="002C5523">
      <w:pPr>
        <w:pStyle w:val="Heading3"/>
        <w:spacing w:before="0" w:beforeAutospacing="0" w:after="0" w:afterAutospacing="0"/>
        <w:jc w:val="both"/>
        <w:rPr>
          <w:rStyle w:val="Strong"/>
          <w:rFonts w:ascii="Arial" w:hAnsi="Arial" w:cs="Arial"/>
          <w:b/>
          <w:bCs/>
          <w:color w:val="000000" w:themeColor="text1"/>
          <w:sz w:val="20"/>
          <w:szCs w:val="20"/>
        </w:rPr>
      </w:pPr>
    </w:p>
    <w:p w14:paraId="71CDB675" w14:textId="1824C7C7" w:rsidR="009F421B" w:rsidRPr="00E473B9" w:rsidRDefault="009F421B" w:rsidP="002C5523">
      <w:pPr>
        <w:pStyle w:val="NormalWeb"/>
        <w:spacing w:before="0" w:beforeAutospacing="0" w:after="0"/>
        <w:jc w:val="both"/>
        <w:rPr>
          <w:rFonts w:ascii="Arial" w:hAnsi="Arial" w:cs="Arial"/>
          <w:color w:val="000000" w:themeColor="text1"/>
          <w:sz w:val="20"/>
          <w:szCs w:val="20"/>
        </w:rPr>
      </w:pPr>
      <w:r w:rsidRPr="00E473B9">
        <w:rPr>
          <w:rFonts w:ascii="Arial" w:hAnsi="Arial" w:cs="Arial"/>
          <w:color w:val="000000" w:themeColor="text1"/>
          <w:sz w:val="20"/>
          <w:szCs w:val="20"/>
        </w:rPr>
        <w:t>In situ gelling systems constitute an advanced class of sustained-release ophthalmic formulations designed to undergo a reversible sol</w:t>
      </w:r>
      <w:r w:rsidR="00463955"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gel transition upon exposure to ocular physiological conditions, thereby prolonging precorneal residence time and enabling controlled drug release. These formulations are administered as low-viscosity liquids, ensuring ease of </w:t>
      </w:r>
      <w:r w:rsidR="00216384" w:rsidRPr="00E473B9">
        <w:rPr>
          <w:rFonts w:ascii="Arial" w:hAnsi="Arial" w:cs="Arial"/>
          <w:color w:val="000000" w:themeColor="text1"/>
          <w:sz w:val="20"/>
          <w:szCs w:val="20"/>
        </w:rPr>
        <w:t>installation</w:t>
      </w:r>
      <w:r w:rsidRPr="00E473B9">
        <w:rPr>
          <w:rFonts w:ascii="Arial" w:hAnsi="Arial" w:cs="Arial"/>
          <w:color w:val="000000" w:themeColor="text1"/>
          <w:sz w:val="20"/>
          <w:szCs w:val="20"/>
        </w:rPr>
        <w:t>, and subsequently transform into gels within the conjunctival sac in response to specific stimuli. Thermo-sensitive systems gel at ocular surface temperature, pH-responsive formulations exploit the pH shift from formulation to tear fluid, while ion-activated gels form cross-linked networks in the presence of divalent cations naturally present in tears</w:t>
      </w:r>
      <w:r w:rsidR="002E7204" w:rsidRPr="00E473B9">
        <w:rPr>
          <w:rFonts w:ascii="Arial" w:hAnsi="Arial" w:cs="Arial"/>
          <w:color w:val="000000" w:themeColor="text1"/>
          <w:sz w:val="20"/>
          <w:szCs w:val="20"/>
        </w:rPr>
        <w:t xml:space="preserve"> </w:t>
      </w:r>
      <w:r w:rsidR="00604AE7" w:rsidRPr="00E473B9">
        <w:rPr>
          <w:rFonts w:ascii="Arial" w:hAnsi="Arial" w:cs="Arial"/>
          <w:color w:val="000000" w:themeColor="text1"/>
          <w:sz w:val="20"/>
          <w:szCs w:val="20"/>
        </w:rPr>
        <w:t>(Qiu et al., 2001</w:t>
      </w:r>
      <w:r w:rsidR="002E7204"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Polymers such as poloxamers, </w:t>
      </w:r>
      <w:proofErr w:type="spellStart"/>
      <w:r w:rsidRPr="00E473B9">
        <w:rPr>
          <w:rFonts w:ascii="Arial" w:hAnsi="Arial" w:cs="Arial"/>
          <w:color w:val="000000" w:themeColor="text1"/>
          <w:sz w:val="20"/>
          <w:szCs w:val="20"/>
        </w:rPr>
        <w:t>gellan</w:t>
      </w:r>
      <w:proofErr w:type="spellEnd"/>
      <w:r w:rsidRPr="00E473B9">
        <w:rPr>
          <w:rFonts w:ascii="Arial" w:hAnsi="Arial" w:cs="Arial"/>
          <w:color w:val="000000" w:themeColor="text1"/>
          <w:sz w:val="20"/>
          <w:szCs w:val="20"/>
        </w:rPr>
        <w:t xml:space="preserve"> gum, and chitosan are widely employed due to their predictable gelation behavior, biocompatibility, and ability to modulate drug release, with chitosan and hydroxypropyl methylcellulose additionally imparting mucoadhesive properties that enhance ocular surface retention and may improve corneal permeation</w:t>
      </w:r>
      <w:r w:rsidR="00174F4F" w:rsidRPr="00E473B9">
        <w:rPr>
          <w:rFonts w:ascii="Arial" w:hAnsi="Arial" w:cs="Arial"/>
          <w:color w:val="000000" w:themeColor="text1"/>
          <w:sz w:val="20"/>
          <w:szCs w:val="20"/>
        </w:rPr>
        <w:t xml:space="preserve"> (</w:t>
      </w:r>
      <w:r w:rsidR="00604AE7" w:rsidRPr="00E473B9">
        <w:rPr>
          <w:rFonts w:ascii="Arial" w:hAnsi="Arial" w:cs="Arial"/>
          <w:color w:val="000000" w:themeColor="text1"/>
          <w:sz w:val="20"/>
          <w:szCs w:val="20"/>
        </w:rPr>
        <w:t xml:space="preserve">de la Fuente et al., 2010; </w:t>
      </w:r>
      <w:proofErr w:type="spellStart"/>
      <w:r w:rsidR="00604AE7" w:rsidRPr="00E473B9">
        <w:rPr>
          <w:rFonts w:ascii="Arial" w:hAnsi="Arial" w:cs="Arial"/>
          <w:color w:val="000000" w:themeColor="text1"/>
          <w:sz w:val="20"/>
          <w:szCs w:val="20"/>
        </w:rPr>
        <w:t>Bernkop-Schnürch</w:t>
      </w:r>
      <w:proofErr w:type="spellEnd"/>
      <w:r w:rsidR="00604AE7" w:rsidRPr="00E473B9">
        <w:rPr>
          <w:rFonts w:ascii="Arial" w:hAnsi="Arial" w:cs="Arial"/>
          <w:color w:val="000000" w:themeColor="text1"/>
          <w:sz w:val="20"/>
          <w:szCs w:val="20"/>
        </w:rPr>
        <w:t xml:space="preserve"> et al., 2005</w:t>
      </w:r>
      <w:r w:rsidR="00174F4F" w:rsidRPr="00E473B9">
        <w:rPr>
          <w:rFonts w:ascii="Arial" w:hAnsi="Arial" w:cs="Arial"/>
          <w:color w:val="000000" w:themeColor="text1"/>
          <w:sz w:val="20"/>
          <w:szCs w:val="20"/>
        </w:rPr>
        <w:t>)</w:t>
      </w:r>
      <w:r w:rsidRPr="00E473B9">
        <w:rPr>
          <w:rFonts w:ascii="Arial" w:hAnsi="Arial" w:cs="Arial"/>
          <w:color w:val="000000" w:themeColor="text1"/>
          <w:sz w:val="20"/>
          <w:szCs w:val="20"/>
        </w:rPr>
        <w:t>. From a manufacturing perspective, formulation development requires careful polymer selection based on stimulus sensitivity and drug compatibility, alongside optimization of sol</w:t>
      </w:r>
      <w:r w:rsidR="00463955" w:rsidRPr="00E473B9">
        <w:rPr>
          <w:rFonts w:ascii="Arial" w:hAnsi="Arial" w:cs="Arial"/>
          <w:color w:val="000000" w:themeColor="text1"/>
          <w:sz w:val="20"/>
          <w:szCs w:val="20"/>
        </w:rPr>
        <w:t>-</w:t>
      </w:r>
      <w:r w:rsidRPr="00E473B9">
        <w:rPr>
          <w:rFonts w:ascii="Arial" w:hAnsi="Arial" w:cs="Arial"/>
          <w:color w:val="000000" w:themeColor="text1"/>
          <w:sz w:val="20"/>
          <w:szCs w:val="20"/>
        </w:rPr>
        <w:t>gel transition parameters</w:t>
      </w:r>
      <w:r w:rsidR="00463955"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such as gelation temperature, ionic strength, and pH</w:t>
      </w:r>
      <w:r w:rsidR="00463955"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using rheological and in vitro assessments to achieve rapid gelation without compromising instillation comfort. Effective drug incorporation often necessitates solubilization strategies, including cyclodextrin complexation for poorly water-soluble compounds, and systematic evaluation of drug</w:t>
      </w:r>
      <w:r w:rsidR="00463955" w:rsidRPr="00E473B9">
        <w:rPr>
          <w:rFonts w:ascii="Arial" w:hAnsi="Arial" w:cs="Arial"/>
          <w:color w:val="000000" w:themeColor="text1"/>
          <w:sz w:val="20"/>
          <w:szCs w:val="20"/>
        </w:rPr>
        <w:t>-</w:t>
      </w:r>
      <w:r w:rsidRPr="00E473B9">
        <w:rPr>
          <w:rFonts w:ascii="Arial" w:hAnsi="Arial" w:cs="Arial"/>
          <w:color w:val="000000" w:themeColor="text1"/>
          <w:sz w:val="20"/>
          <w:szCs w:val="20"/>
        </w:rPr>
        <w:t>polymer interactions to prevent instability phenomena such as precipitation or phase separation</w:t>
      </w:r>
      <w:r w:rsidR="001A74F4" w:rsidRPr="00E473B9">
        <w:rPr>
          <w:rFonts w:ascii="Arial" w:hAnsi="Arial" w:cs="Arial"/>
          <w:color w:val="000000" w:themeColor="text1"/>
          <w:sz w:val="20"/>
          <w:szCs w:val="20"/>
        </w:rPr>
        <w:t xml:space="preserve"> (</w:t>
      </w:r>
      <w:r w:rsidR="00E64AE7" w:rsidRPr="00E473B9">
        <w:rPr>
          <w:rFonts w:ascii="Arial" w:hAnsi="Arial" w:cs="Arial"/>
          <w:color w:val="000000" w:themeColor="text1"/>
          <w:sz w:val="20"/>
          <w:szCs w:val="20"/>
        </w:rPr>
        <w:t>Palem et al., 2012</w:t>
      </w:r>
      <w:r w:rsidR="001A74F4"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Given the stringent safety requirements for ophthalmic products, aseptic processing and sterile packaging are essential, with routine monitoring of critical quality attributes including clarity, viscosity, pH, and particle size to ensure compliance with </w:t>
      </w:r>
      <w:r w:rsidR="0001421C" w:rsidRPr="00E473B9">
        <w:rPr>
          <w:rFonts w:ascii="Arial" w:hAnsi="Arial" w:cs="Arial"/>
          <w:color w:val="000000" w:themeColor="text1"/>
          <w:sz w:val="20"/>
          <w:szCs w:val="20"/>
        </w:rPr>
        <w:t>Pharmacopeial</w:t>
      </w:r>
      <w:r w:rsidRPr="00E473B9">
        <w:rPr>
          <w:rFonts w:ascii="Arial" w:hAnsi="Arial" w:cs="Arial"/>
          <w:color w:val="000000" w:themeColor="text1"/>
          <w:sz w:val="20"/>
          <w:szCs w:val="20"/>
        </w:rPr>
        <w:t xml:space="preserve"> standards. Comprehensive formulation evaluation further encompasses rheological characterization, in vitro release profiling to confirm sustained delivery, and ocular tolerability testing to establish safety. Collectively, these attributes have enabled in situ gelling systems to demonstrate improved bioavailability and prolonged therapeutic efficacy for a range of ophthalmic agents, including antibiotics, anti-inflammatory drugs, and anti-glaucoma medications, with several marketed and late-stage products underscoring their clinical relevance despite ongoing challenges related to formulation stability and reproducibility.</w:t>
      </w:r>
      <w:r w:rsidR="00BD527E" w:rsidRPr="00E473B9">
        <w:rPr>
          <w:rFonts w:ascii="Arial" w:hAnsi="Arial" w:cs="Arial"/>
          <w:color w:val="000000" w:themeColor="text1"/>
          <w:sz w:val="20"/>
          <w:szCs w:val="20"/>
        </w:rPr>
        <w:t xml:space="preserve"> </w:t>
      </w:r>
      <w:r w:rsidR="00EE5CF5" w:rsidRPr="00E473B9">
        <w:rPr>
          <w:rFonts w:ascii="Arial" w:hAnsi="Arial" w:cs="Arial"/>
          <w:color w:val="000000" w:themeColor="text1"/>
          <w:sz w:val="20"/>
          <w:szCs w:val="20"/>
        </w:rPr>
        <w:t xml:space="preserve">Current marketed and extensively studied in situ gelling sustained release Ophthalmic formulations are </w:t>
      </w:r>
      <w:r w:rsidR="00AD40B1" w:rsidRPr="00E473B9">
        <w:rPr>
          <w:rFonts w:ascii="Arial" w:hAnsi="Arial" w:cs="Arial"/>
          <w:color w:val="000000" w:themeColor="text1"/>
          <w:sz w:val="20"/>
          <w:szCs w:val="20"/>
        </w:rPr>
        <w:t xml:space="preserve">summarised </w:t>
      </w:r>
      <w:r w:rsidR="00EE5CF5" w:rsidRPr="00E473B9">
        <w:rPr>
          <w:rFonts w:ascii="Arial" w:hAnsi="Arial" w:cs="Arial"/>
          <w:color w:val="000000" w:themeColor="text1"/>
          <w:sz w:val="20"/>
          <w:szCs w:val="20"/>
        </w:rPr>
        <w:t xml:space="preserve">in </w:t>
      </w:r>
      <w:r w:rsidR="00EE5CF5" w:rsidRPr="00E473B9">
        <w:rPr>
          <w:rFonts w:ascii="Arial" w:hAnsi="Arial" w:cs="Arial"/>
          <w:b/>
          <w:color w:val="000000" w:themeColor="text1"/>
          <w:sz w:val="20"/>
          <w:szCs w:val="20"/>
        </w:rPr>
        <w:t>Table 1.</w:t>
      </w:r>
    </w:p>
    <w:p w14:paraId="425FB6D0" w14:textId="77777777" w:rsidR="002C5523" w:rsidRPr="00E473B9" w:rsidRDefault="002C5523" w:rsidP="002C5523">
      <w:pPr>
        <w:pStyle w:val="NormalWeb"/>
        <w:spacing w:before="0" w:beforeAutospacing="0" w:after="0" w:afterAutospacing="0"/>
        <w:jc w:val="center"/>
        <w:rPr>
          <w:rFonts w:ascii="Arial" w:hAnsi="Arial" w:cs="Arial"/>
          <w:b/>
          <w:color w:val="000000" w:themeColor="text1"/>
          <w:sz w:val="20"/>
          <w:szCs w:val="20"/>
        </w:rPr>
      </w:pPr>
    </w:p>
    <w:p w14:paraId="14E8A63F" w14:textId="77777777" w:rsidR="002C5523" w:rsidRPr="00E473B9" w:rsidRDefault="002C5523" w:rsidP="002C5523">
      <w:pPr>
        <w:pStyle w:val="NormalWeb"/>
        <w:spacing w:before="0" w:beforeAutospacing="0" w:after="0" w:afterAutospacing="0"/>
        <w:jc w:val="center"/>
        <w:rPr>
          <w:rFonts w:ascii="Arial" w:hAnsi="Arial" w:cs="Arial"/>
          <w:b/>
          <w:color w:val="000000" w:themeColor="text1"/>
          <w:sz w:val="20"/>
          <w:szCs w:val="20"/>
        </w:rPr>
      </w:pPr>
    </w:p>
    <w:p w14:paraId="004646CC" w14:textId="6CF52DBD" w:rsidR="00CB0354" w:rsidRPr="00E473B9" w:rsidRDefault="00463955" w:rsidP="002C5523">
      <w:pPr>
        <w:pStyle w:val="NormalWeb"/>
        <w:spacing w:before="0" w:beforeAutospacing="0" w:after="0" w:afterAutospacing="0"/>
        <w:jc w:val="center"/>
        <w:rPr>
          <w:rFonts w:ascii="Arial" w:hAnsi="Arial" w:cs="Arial"/>
          <w:b/>
          <w:color w:val="000000" w:themeColor="text1"/>
          <w:sz w:val="20"/>
          <w:szCs w:val="20"/>
        </w:rPr>
      </w:pPr>
      <w:r w:rsidRPr="00E473B9">
        <w:rPr>
          <w:rFonts w:ascii="Arial" w:hAnsi="Arial" w:cs="Arial"/>
          <w:b/>
          <w:color w:val="000000" w:themeColor="text1"/>
          <w:sz w:val="20"/>
          <w:szCs w:val="20"/>
        </w:rPr>
        <w:lastRenderedPageBreak/>
        <w:t>Table</w:t>
      </w:r>
      <w:r w:rsidR="00D72EAF" w:rsidRPr="00E473B9">
        <w:rPr>
          <w:rFonts w:ascii="Arial" w:hAnsi="Arial" w:cs="Arial"/>
          <w:b/>
          <w:color w:val="000000" w:themeColor="text1"/>
          <w:sz w:val="20"/>
          <w:szCs w:val="20"/>
        </w:rPr>
        <w:t xml:space="preserve"> 1.</w:t>
      </w:r>
      <w:r w:rsidRPr="00E473B9">
        <w:rPr>
          <w:rFonts w:ascii="Arial" w:hAnsi="Arial" w:cs="Arial"/>
          <w:b/>
          <w:color w:val="000000" w:themeColor="text1"/>
          <w:sz w:val="20"/>
          <w:szCs w:val="20"/>
        </w:rPr>
        <w:t xml:space="preserve"> </w:t>
      </w:r>
      <w:r w:rsidR="00EE5CF5" w:rsidRPr="00E473B9">
        <w:rPr>
          <w:rFonts w:ascii="Arial" w:hAnsi="Arial" w:cs="Arial"/>
          <w:b/>
          <w:color w:val="000000" w:themeColor="text1"/>
          <w:sz w:val="20"/>
          <w:szCs w:val="20"/>
        </w:rPr>
        <w:t>Marketed and Widely Investigated In-Situ Gelling Sustained-Release Ophthalmic Delivery Systems</w:t>
      </w:r>
    </w:p>
    <w:p w14:paraId="1772EFD7" w14:textId="77777777" w:rsidR="00D72EAF" w:rsidRPr="00E473B9" w:rsidRDefault="00D72EAF" w:rsidP="002C5523">
      <w:pPr>
        <w:pStyle w:val="NormalWeb"/>
        <w:spacing w:before="0" w:beforeAutospacing="0" w:after="0" w:afterAutospacing="0"/>
        <w:rPr>
          <w:rFonts w:ascii="Arial" w:hAnsi="Arial" w:cs="Arial"/>
          <w:b/>
          <w:color w:val="000000" w:themeColor="text1"/>
          <w:sz w:val="20"/>
          <w:szCs w:val="20"/>
        </w:rPr>
      </w:pPr>
    </w:p>
    <w:tbl>
      <w:tblPr>
        <w:tblStyle w:val="TableGrid"/>
        <w:tblW w:w="9209" w:type="dxa"/>
        <w:tblLook w:val="04A0" w:firstRow="1" w:lastRow="0" w:firstColumn="1" w:lastColumn="0" w:noHBand="0" w:noVBand="1"/>
      </w:tblPr>
      <w:tblGrid>
        <w:gridCol w:w="1538"/>
        <w:gridCol w:w="1886"/>
        <w:gridCol w:w="1350"/>
        <w:gridCol w:w="4435"/>
      </w:tblGrid>
      <w:tr w:rsidR="00E473B9" w:rsidRPr="00E473B9" w14:paraId="556E890D" w14:textId="77777777" w:rsidTr="00930B6A">
        <w:trPr>
          <w:trHeight w:val="540"/>
        </w:trPr>
        <w:tc>
          <w:tcPr>
            <w:tcW w:w="1538" w:type="dxa"/>
            <w:shd w:val="clear" w:color="auto" w:fill="D9D9D9" w:themeFill="background1" w:themeFillShade="D9"/>
            <w:vAlign w:val="center"/>
          </w:tcPr>
          <w:p w14:paraId="0E1695EF" w14:textId="753E02F4" w:rsidR="00CB0354" w:rsidRPr="00E473B9" w:rsidRDefault="00CB0354" w:rsidP="002C5523">
            <w:pPr>
              <w:pStyle w:val="NormalWeb"/>
              <w:spacing w:before="0" w:beforeAutospacing="0" w:after="0" w:afterAutospacing="0"/>
              <w:jc w:val="center"/>
              <w:rPr>
                <w:rFonts w:ascii="Arial" w:hAnsi="Arial" w:cs="Arial"/>
                <w:b/>
                <w:color w:val="000000" w:themeColor="text1"/>
                <w:sz w:val="20"/>
                <w:szCs w:val="20"/>
              </w:rPr>
            </w:pPr>
            <w:r w:rsidRPr="00E473B9">
              <w:rPr>
                <w:rFonts w:ascii="Arial" w:hAnsi="Arial" w:cs="Arial"/>
                <w:b/>
                <w:color w:val="000000" w:themeColor="text1"/>
                <w:sz w:val="20"/>
                <w:szCs w:val="20"/>
              </w:rPr>
              <w:t>Marketed drug product</w:t>
            </w:r>
          </w:p>
        </w:tc>
        <w:tc>
          <w:tcPr>
            <w:tcW w:w="1886" w:type="dxa"/>
            <w:shd w:val="clear" w:color="auto" w:fill="D9D9D9" w:themeFill="background1" w:themeFillShade="D9"/>
            <w:vAlign w:val="center"/>
          </w:tcPr>
          <w:p w14:paraId="1382A959" w14:textId="3D4BAF18" w:rsidR="00CB0354" w:rsidRPr="00E473B9" w:rsidRDefault="00CB0354" w:rsidP="002C5523">
            <w:pPr>
              <w:pStyle w:val="NormalWeb"/>
              <w:spacing w:before="0" w:beforeAutospacing="0" w:after="0" w:afterAutospacing="0"/>
              <w:jc w:val="center"/>
              <w:rPr>
                <w:rFonts w:ascii="Arial" w:hAnsi="Arial" w:cs="Arial"/>
                <w:b/>
                <w:color w:val="000000" w:themeColor="text1"/>
                <w:sz w:val="20"/>
                <w:szCs w:val="20"/>
              </w:rPr>
            </w:pPr>
            <w:r w:rsidRPr="00E473B9">
              <w:rPr>
                <w:rFonts w:ascii="Arial" w:hAnsi="Arial" w:cs="Arial"/>
                <w:b/>
                <w:color w:val="000000" w:themeColor="text1"/>
                <w:sz w:val="20"/>
                <w:szCs w:val="20"/>
              </w:rPr>
              <w:t>Polymers used / Mechanism</w:t>
            </w:r>
          </w:p>
        </w:tc>
        <w:tc>
          <w:tcPr>
            <w:tcW w:w="1350" w:type="dxa"/>
            <w:shd w:val="clear" w:color="auto" w:fill="D9D9D9" w:themeFill="background1" w:themeFillShade="D9"/>
            <w:vAlign w:val="center"/>
          </w:tcPr>
          <w:p w14:paraId="16A785AA" w14:textId="7510EAC6" w:rsidR="00CB0354" w:rsidRPr="00E473B9" w:rsidRDefault="00CB0354" w:rsidP="002C5523">
            <w:pPr>
              <w:pStyle w:val="NormalWeb"/>
              <w:spacing w:before="0" w:beforeAutospacing="0" w:after="0" w:afterAutospacing="0"/>
              <w:jc w:val="center"/>
              <w:rPr>
                <w:rFonts w:ascii="Arial" w:hAnsi="Arial" w:cs="Arial"/>
                <w:b/>
                <w:color w:val="000000" w:themeColor="text1"/>
                <w:sz w:val="20"/>
                <w:szCs w:val="20"/>
              </w:rPr>
            </w:pPr>
            <w:r w:rsidRPr="00E473B9">
              <w:rPr>
                <w:rFonts w:ascii="Arial" w:hAnsi="Arial" w:cs="Arial"/>
                <w:b/>
                <w:color w:val="000000" w:themeColor="text1"/>
                <w:sz w:val="20"/>
                <w:szCs w:val="20"/>
              </w:rPr>
              <w:t>Therapeutic category</w:t>
            </w:r>
          </w:p>
        </w:tc>
        <w:tc>
          <w:tcPr>
            <w:tcW w:w="4435" w:type="dxa"/>
            <w:shd w:val="clear" w:color="auto" w:fill="D9D9D9" w:themeFill="background1" w:themeFillShade="D9"/>
            <w:vAlign w:val="center"/>
          </w:tcPr>
          <w:p w14:paraId="33BF856E" w14:textId="32D62FF6" w:rsidR="00CB0354" w:rsidRPr="00E473B9" w:rsidRDefault="00CB0354" w:rsidP="002C5523">
            <w:pPr>
              <w:pStyle w:val="NormalWeb"/>
              <w:spacing w:before="0" w:beforeAutospacing="0" w:after="0" w:afterAutospacing="0"/>
              <w:jc w:val="center"/>
              <w:rPr>
                <w:rFonts w:ascii="Arial" w:hAnsi="Arial" w:cs="Arial"/>
                <w:b/>
                <w:color w:val="000000" w:themeColor="text1"/>
                <w:sz w:val="20"/>
                <w:szCs w:val="20"/>
              </w:rPr>
            </w:pPr>
            <w:r w:rsidRPr="00E473B9">
              <w:rPr>
                <w:rFonts w:ascii="Arial" w:hAnsi="Arial" w:cs="Arial"/>
                <w:b/>
                <w:color w:val="000000" w:themeColor="text1"/>
                <w:sz w:val="20"/>
                <w:szCs w:val="20"/>
              </w:rPr>
              <w:t>Remarks / Key notes</w:t>
            </w:r>
          </w:p>
        </w:tc>
      </w:tr>
      <w:tr w:rsidR="00E473B9" w:rsidRPr="00E473B9" w14:paraId="5D0B2B15" w14:textId="77777777" w:rsidTr="00930B6A">
        <w:trPr>
          <w:trHeight w:val="1082"/>
        </w:trPr>
        <w:tc>
          <w:tcPr>
            <w:tcW w:w="1538" w:type="dxa"/>
            <w:vAlign w:val="center"/>
          </w:tcPr>
          <w:p w14:paraId="0C8CAB7E" w14:textId="1C8AA3C3"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proofErr w:type="spellStart"/>
            <w:r w:rsidRPr="00E473B9">
              <w:rPr>
                <w:rFonts w:ascii="Arial" w:hAnsi="Arial" w:cs="Arial"/>
                <w:bCs/>
                <w:color w:val="000000" w:themeColor="text1"/>
                <w:sz w:val="20"/>
                <w:szCs w:val="20"/>
              </w:rPr>
              <w:t>Timoptic</w:t>
            </w:r>
            <w:proofErr w:type="spellEnd"/>
            <w:r w:rsidRPr="00E473B9">
              <w:rPr>
                <w:rFonts w:ascii="Arial" w:hAnsi="Arial" w:cs="Arial"/>
                <w:bCs/>
                <w:color w:val="000000" w:themeColor="text1"/>
                <w:sz w:val="20"/>
                <w:szCs w:val="20"/>
              </w:rPr>
              <w:t>-XE</w:t>
            </w:r>
            <w:r w:rsidRPr="00E473B9">
              <w:rPr>
                <w:rFonts w:ascii="Arial" w:hAnsi="Arial" w:cs="Arial"/>
                <w:bCs/>
                <w:color w:val="000000" w:themeColor="text1"/>
                <w:sz w:val="20"/>
                <w:szCs w:val="20"/>
                <w:vertAlign w:val="superscript"/>
              </w:rPr>
              <w:t>®</w:t>
            </w:r>
            <w:r w:rsidRPr="00E473B9">
              <w:rPr>
                <w:rFonts w:ascii="Arial" w:hAnsi="Arial" w:cs="Arial"/>
                <w:bCs/>
                <w:color w:val="000000" w:themeColor="text1"/>
                <w:sz w:val="20"/>
                <w:szCs w:val="20"/>
              </w:rPr>
              <w:t xml:space="preserve"> (Timolol maleate)</w:t>
            </w:r>
          </w:p>
        </w:tc>
        <w:tc>
          <w:tcPr>
            <w:tcW w:w="1886" w:type="dxa"/>
            <w:vAlign w:val="center"/>
          </w:tcPr>
          <w:p w14:paraId="4054FEB7" w14:textId="77777777"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 xml:space="preserve">Gellan gum </w:t>
            </w:r>
          </w:p>
          <w:p w14:paraId="0B9BA63E" w14:textId="466F8BDA"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(ion-activated)</w:t>
            </w:r>
          </w:p>
        </w:tc>
        <w:tc>
          <w:tcPr>
            <w:tcW w:w="1350" w:type="dxa"/>
            <w:vAlign w:val="center"/>
          </w:tcPr>
          <w:p w14:paraId="6D45451A" w14:textId="131985C4"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Glaucoma</w:t>
            </w:r>
          </w:p>
        </w:tc>
        <w:tc>
          <w:tcPr>
            <w:tcW w:w="4435" w:type="dxa"/>
            <w:vAlign w:val="center"/>
          </w:tcPr>
          <w:p w14:paraId="7AFC4C42" w14:textId="77777777" w:rsidR="0001421C" w:rsidRPr="00E473B9" w:rsidRDefault="009C74B2"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Gel-forming eye d</w:t>
            </w:r>
            <w:r w:rsidR="0001421C" w:rsidRPr="00E473B9">
              <w:rPr>
                <w:rFonts w:ascii="Arial" w:hAnsi="Arial" w:cs="Arial"/>
                <w:color w:val="000000" w:themeColor="text1"/>
                <w:sz w:val="20"/>
                <w:szCs w:val="20"/>
              </w:rPr>
              <w:t xml:space="preserve">rop used to lower high pressure </w:t>
            </w:r>
            <w:r w:rsidRPr="00E473B9">
              <w:rPr>
                <w:rFonts w:ascii="Arial" w:hAnsi="Arial" w:cs="Arial"/>
                <w:color w:val="000000" w:themeColor="text1"/>
                <w:sz w:val="20"/>
                <w:szCs w:val="20"/>
              </w:rPr>
              <w:t>inside the eye (ocular hypertension or glaucoma)</w:t>
            </w:r>
            <w:r w:rsidR="0001421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by reducing fluid production, helping prevent blindness.</w:t>
            </w:r>
          </w:p>
          <w:p w14:paraId="1578F993" w14:textId="5D9D6A1A" w:rsidR="00CB0354" w:rsidRPr="00E473B9" w:rsidRDefault="00CB0354"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Rapid gelation in presence of tear cations; prolonged </w:t>
            </w:r>
            <w:r w:rsidR="009C74B2" w:rsidRPr="00E473B9">
              <w:rPr>
                <w:rFonts w:ascii="Arial" w:hAnsi="Arial" w:cs="Arial"/>
                <w:color w:val="000000" w:themeColor="text1"/>
                <w:sz w:val="20"/>
                <w:szCs w:val="20"/>
              </w:rPr>
              <w:t>Intraocular pressure (IOP)</w:t>
            </w:r>
            <w:r w:rsidRPr="00E473B9">
              <w:rPr>
                <w:rFonts w:ascii="Arial" w:hAnsi="Arial" w:cs="Arial"/>
                <w:color w:val="000000" w:themeColor="text1"/>
                <w:sz w:val="20"/>
                <w:szCs w:val="20"/>
              </w:rPr>
              <w:t xml:space="preserve"> reduction with once-daily dosing</w:t>
            </w:r>
          </w:p>
        </w:tc>
      </w:tr>
      <w:tr w:rsidR="00E473B9" w:rsidRPr="00E473B9" w14:paraId="4A3DCA4B" w14:textId="77777777" w:rsidTr="00930B6A">
        <w:trPr>
          <w:trHeight w:val="1070"/>
        </w:trPr>
        <w:tc>
          <w:tcPr>
            <w:tcW w:w="1538" w:type="dxa"/>
            <w:vAlign w:val="center"/>
          </w:tcPr>
          <w:p w14:paraId="1080A4B1" w14:textId="1199B14E"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proofErr w:type="spellStart"/>
            <w:r w:rsidRPr="00E473B9">
              <w:rPr>
                <w:rFonts w:ascii="Arial" w:hAnsi="Arial" w:cs="Arial"/>
                <w:bCs/>
                <w:color w:val="000000" w:themeColor="text1"/>
                <w:sz w:val="20"/>
                <w:szCs w:val="20"/>
              </w:rPr>
              <w:t>Azasite</w:t>
            </w:r>
            <w:proofErr w:type="spellEnd"/>
            <w:r w:rsidRPr="00E473B9">
              <w:rPr>
                <w:rFonts w:ascii="Arial" w:hAnsi="Arial" w:cs="Arial"/>
                <w:bCs/>
                <w:color w:val="000000" w:themeColor="text1"/>
                <w:sz w:val="20"/>
                <w:szCs w:val="20"/>
                <w:vertAlign w:val="superscript"/>
              </w:rPr>
              <w:t>®</w:t>
            </w:r>
            <w:r w:rsidRPr="00E473B9">
              <w:rPr>
                <w:rFonts w:ascii="Arial" w:hAnsi="Arial" w:cs="Arial"/>
                <w:bCs/>
                <w:color w:val="000000" w:themeColor="text1"/>
                <w:sz w:val="20"/>
                <w:szCs w:val="20"/>
              </w:rPr>
              <w:t xml:space="preserve"> (Azithromycin)</w:t>
            </w:r>
          </w:p>
        </w:tc>
        <w:tc>
          <w:tcPr>
            <w:tcW w:w="1886" w:type="dxa"/>
            <w:vAlign w:val="center"/>
          </w:tcPr>
          <w:p w14:paraId="323AC888" w14:textId="5033A5A6"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Polycarbophil (</w:t>
            </w:r>
            <w:proofErr w:type="spellStart"/>
            <w:r w:rsidRPr="00E473B9">
              <w:rPr>
                <w:rFonts w:ascii="Arial" w:hAnsi="Arial" w:cs="Arial"/>
                <w:color w:val="000000" w:themeColor="text1"/>
                <w:sz w:val="20"/>
                <w:szCs w:val="20"/>
              </w:rPr>
              <w:t>DuraSite</w:t>
            </w:r>
            <w:proofErr w:type="spellEnd"/>
            <w:r w:rsidRPr="00E473B9">
              <w:rPr>
                <w:rFonts w:ascii="Arial" w:hAnsi="Arial" w:cs="Arial"/>
                <w:color w:val="000000" w:themeColor="text1"/>
                <w:sz w:val="20"/>
                <w:szCs w:val="20"/>
                <w:vertAlign w:val="superscript"/>
              </w:rPr>
              <w:t>®</w:t>
            </w:r>
            <w:r w:rsidRPr="00E473B9">
              <w:rPr>
                <w:rFonts w:ascii="Arial" w:hAnsi="Arial" w:cs="Arial"/>
                <w:color w:val="000000" w:themeColor="text1"/>
                <w:sz w:val="20"/>
                <w:szCs w:val="20"/>
              </w:rPr>
              <w:t xml:space="preserve"> technology, mucoadhesive)</w:t>
            </w:r>
          </w:p>
        </w:tc>
        <w:tc>
          <w:tcPr>
            <w:tcW w:w="1350" w:type="dxa"/>
            <w:vAlign w:val="center"/>
          </w:tcPr>
          <w:p w14:paraId="142BE605" w14:textId="6866A080"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Bacterial conjunctivitis</w:t>
            </w:r>
          </w:p>
        </w:tc>
        <w:tc>
          <w:tcPr>
            <w:tcW w:w="4435" w:type="dxa"/>
            <w:vAlign w:val="center"/>
          </w:tcPr>
          <w:p w14:paraId="732414C5" w14:textId="63440772" w:rsidR="00A44BC7" w:rsidRPr="00E473B9" w:rsidRDefault="006F2EE5"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A</w:t>
            </w:r>
            <w:r w:rsidR="00A44BC7" w:rsidRPr="00E473B9">
              <w:rPr>
                <w:rFonts w:ascii="Arial" w:hAnsi="Arial" w:cs="Arial"/>
                <w:color w:val="000000" w:themeColor="text1"/>
                <w:sz w:val="20"/>
                <w:szCs w:val="20"/>
              </w:rPr>
              <w:t xml:space="preserve"> prescription antibiotic eye drop used to treat bacterial conjunctivitis (pink eye) and blepharitis by inhibiting bacterial protein synthesis</w:t>
            </w:r>
            <w:r w:rsidRPr="00E473B9">
              <w:rPr>
                <w:rFonts w:ascii="Arial" w:hAnsi="Arial" w:cs="Arial"/>
                <w:color w:val="000000" w:themeColor="text1"/>
                <w:sz w:val="20"/>
                <w:szCs w:val="20"/>
              </w:rPr>
              <w:t>. Increased ocular surface retention; reduced dosing frequency</w:t>
            </w:r>
          </w:p>
        </w:tc>
      </w:tr>
      <w:tr w:rsidR="00E473B9" w:rsidRPr="00E473B9" w14:paraId="79024D15" w14:textId="77777777" w:rsidTr="00930B6A">
        <w:trPr>
          <w:trHeight w:val="416"/>
        </w:trPr>
        <w:tc>
          <w:tcPr>
            <w:tcW w:w="1538" w:type="dxa"/>
            <w:vAlign w:val="center"/>
          </w:tcPr>
          <w:p w14:paraId="699E38EC" w14:textId="09FB985E" w:rsidR="00CB0354" w:rsidRPr="00E473B9" w:rsidRDefault="00CB0354" w:rsidP="002C5523">
            <w:pPr>
              <w:pStyle w:val="NormalWeb"/>
              <w:spacing w:before="0" w:beforeAutospacing="0" w:after="0" w:afterAutospacing="0"/>
              <w:jc w:val="center"/>
              <w:rPr>
                <w:rFonts w:ascii="Arial" w:hAnsi="Arial" w:cs="Arial"/>
                <w:bCs/>
                <w:color w:val="000000" w:themeColor="text1"/>
                <w:sz w:val="20"/>
                <w:szCs w:val="20"/>
              </w:rPr>
            </w:pPr>
            <w:proofErr w:type="spellStart"/>
            <w:r w:rsidRPr="00E473B9">
              <w:rPr>
                <w:rFonts w:ascii="Arial" w:hAnsi="Arial" w:cs="Arial"/>
                <w:bCs/>
                <w:color w:val="000000" w:themeColor="text1"/>
                <w:sz w:val="20"/>
                <w:szCs w:val="20"/>
              </w:rPr>
              <w:t>Pilopine</w:t>
            </w:r>
            <w:proofErr w:type="spellEnd"/>
            <w:r w:rsidRPr="00E473B9">
              <w:rPr>
                <w:rFonts w:ascii="Arial" w:hAnsi="Arial" w:cs="Arial"/>
                <w:bCs/>
                <w:color w:val="000000" w:themeColor="text1"/>
                <w:sz w:val="20"/>
                <w:szCs w:val="20"/>
              </w:rPr>
              <w:t xml:space="preserve"> HS</w:t>
            </w:r>
            <w:r w:rsidRPr="00E473B9">
              <w:rPr>
                <w:rFonts w:ascii="Arial" w:hAnsi="Arial" w:cs="Arial"/>
                <w:bCs/>
                <w:color w:val="000000" w:themeColor="text1"/>
                <w:sz w:val="20"/>
                <w:szCs w:val="20"/>
                <w:vertAlign w:val="superscript"/>
              </w:rPr>
              <w:t xml:space="preserve">® </w:t>
            </w:r>
            <w:r w:rsidRPr="00E473B9">
              <w:rPr>
                <w:rFonts w:ascii="Arial" w:hAnsi="Arial" w:cs="Arial"/>
                <w:bCs/>
                <w:color w:val="000000" w:themeColor="text1"/>
                <w:sz w:val="20"/>
                <w:szCs w:val="20"/>
              </w:rPr>
              <w:t>(Pilocarpine)</w:t>
            </w:r>
          </w:p>
        </w:tc>
        <w:tc>
          <w:tcPr>
            <w:tcW w:w="1886" w:type="dxa"/>
            <w:vAlign w:val="center"/>
          </w:tcPr>
          <w:p w14:paraId="75FAB76F" w14:textId="1410F138"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Carbopol-based gel (pH-responsive)</w:t>
            </w:r>
          </w:p>
        </w:tc>
        <w:tc>
          <w:tcPr>
            <w:tcW w:w="1350" w:type="dxa"/>
            <w:vAlign w:val="center"/>
          </w:tcPr>
          <w:p w14:paraId="2E5C0746" w14:textId="6902A51E"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Glaucoma</w:t>
            </w:r>
          </w:p>
        </w:tc>
        <w:tc>
          <w:tcPr>
            <w:tcW w:w="4435" w:type="dxa"/>
            <w:vAlign w:val="center"/>
          </w:tcPr>
          <w:p w14:paraId="42FA6D31" w14:textId="77777777" w:rsidR="00DF1AAD" w:rsidRPr="00E473B9" w:rsidRDefault="00861A4D" w:rsidP="002C5523">
            <w:pPr>
              <w:pStyle w:val="NormalWeb"/>
              <w:spacing w:before="0" w:beforeAutospacing="0" w:after="0" w:afterAutospacing="0"/>
              <w:jc w:val="both"/>
              <w:rPr>
                <w:rFonts w:ascii="Arial" w:hAnsi="Arial" w:cs="Arial"/>
                <w:color w:val="000000" w:themeColor="text1"/>
                <w:sz w:val="20"/>
                <w:szCs w:val="20"/>
              </w:rPr>
            </w:pPr>
            <w:hyperlink r:id="rId10" w:history="1">
              <w:r w:rsidR="00844254" w:rsidRPr="00E473B9">
                <w:rPr>
                  <w:rFonts w:ascii="Arial" w:hAnsi="Arial" w:cs="Arial"/>
                  <w:color w:val="000000" w:themeColor="text1"/>
                  <w:sz w:val="20"/>
                  <w:szCs w:val="20"/>
                </w:rPr>
                <w:t>Ophthalmic</w:t>
              </w:r>
            </w:hyperlink>
            <w:r w:rsidR="00844254" w:rsidRPr="00E473B9">
              <w:rPr>
                <w:rFonts w:ascii="Arial" w:hAnsi="Arial" w:cs="Arial"/>
                <w:color w:val="000000" w:themeColor="text1"/>
                <w:sz w:val="20"/>
                <w:szCs w:val="20"/>
              </w:rPr>
              <w:t> Gel is a cholinergic agent that works by decreasing the amount of fluid within the eye used to treat </w:t>
            </w:r>
            <w:hyperlink r:id="rId11" w:history="1">
              <w:r w:rsidR="00844254" w:rsidRPr="00E473B9">
                <w:rPr>
                  <w:rFonts w:ascii="Arial" w:hAnsi="Arial" w:cs="Arial"/>
                  <w:color w:val="000000" w:themeColor="text1"/>
                  <w:sz w:val="20"/>
                  <w:szCs w:val="20"/>
                </w:rPr>
                <w:t>glaucoma</w:t>
              </w:r>
            </w:hyperlink>
            <w:r w:rsidR="00844254" w:rsidRPr="00E473B9">
              <w:rPr>
                <w:rFonts w:ascii="Arial" w:hAnsi="Arial" w:cs="Arial"/>
                <w:color w:val="000000" w:themeColor="text1"/>
                <w:sz w:val="20"/>
                <w:szCs w:val="20"/>
              </w:rPr>
              <w:t> or </w:t>
            </w:r>
            <w:hyperlink r:id="rId12" w:history="1">
              <w:r w:rsidR="00844254" w:rsidRPr="00E473B9">
                <w:rPr>
                  <w:rFonts w:ascii="Arial" w:hAnsi="Arial" w:cs="Arial"/>
                  <w:color w:val="000000" w:themeColor="text1"/>
                  <w:sz w:val="20"/>
                  <w:szCs w:val="20"/>
                </w:rPr>
                <w:t>ocular</w:t>
              </w:r>
            </w:hyperlink>
            <w:r w:rsidR="00844254" w:rsidRPr="00E473B9">
              <w:rPr>
                <w:rFonts w:ascii="Arial" w:hAnsi="Arial" w:cs="Arial"/>
                <w:color w:val="000000" w:themeColor="text1"/>
                <w:sz w:val="20"/>
                <w:szCs w:val="20"/>
              </w:rPr>
              <w:t> </w:t>
            </w:r>
            <w:hyperlink r:id="rId13" w:history="1">
              <w:r w:rsidR="00844254" w:rsidRPr="00E473B9">
                <w:rPr>
                  <w:rFonts w:ascii="Arial" w:hAnsi="Arial" w:cs="Arial"/>
                  <w:color w:val="000000" w:themeColor="text1"/>
                  <w:sz w:val="20"/>
                  <w:szCs w:val="20"/>
                </w:rPr>
                <w:t>hypertension</w:t>
              </w:r>
            </w:hyperlink>
            <w:r w:rsidR="00DF1AAD" w:rsidRPr="00E473B9">
              <w:rPr>
                <w:rFonts w:ascii="Arial" w:hAnsi="Arial" w:cs="Arial"/>
                <w:color w:val="000000" w:themeColor="text1"/>
                <w:sz w:val="20"/>
                <w:szCs w:val="20"/>
              </w:rPr>
              <w:t>.</w:t>
            </w:r>
          </w:p>
          <w:p w14:paraId="1B8FDC47" w14:textId="468A4EB6" w:rsidR="00CB0354" w:rsidRPr="00E473B9" w:rsidRDefault="00CB0354"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Extended drug release during night time; reduced dosing frequency</w:t>
            </w:r>
          </w:p>
        </w:tc>
      </w:tr>
      <w:tr w:rsidR="00E473B9" w:rsidRPr="00E473B9" w14:paraId="35F09EE2" w14:textId="77777777" w:rsidTr="00930B6A">
        <w:trPr>
          <w:trHeight w:val="1082"/>
        </w:trPr>
        <w:tc>
          <w:tcPr>
            <w:tcW w:w="1538" w:type="dxa"/>
            <w:vAlign w:val="center"/>
          </w:tcPr>
          <w:p w14:paraId="349B7449" w14:textId="085EA753" w:rsidR="00CB0354" w:rsidRPr="00E473B9" w:rsidRDefault="00CB0354" w:rsidP="002C5523">
            <w:pPr>
              <w:pStyle w:val="NormalWeb"/>
              <w:spacing w:before="0" w:beforeAutospacing="0" w:after="0" w:afterAutospacing="0"/>
              <w:jc w:val="center"/>
              <w:rPr>
                <w:rFonts w:ascii="Arial" w:hAnsi="Arial" w:cs="Arial"/>
                <w:bCs/>
                <w:color w:val="000000" w:themeColor="text1"/>
                <w:sz w:val="20"/>
                <w:szCs w:val="20"/>
              </w:rPr>
            </w:pPr>
            <w:proofErr w:type="spellStart"/>
            <w:r w:rsidRPr="00E473B9">
              <w:rPr>
                <w:rFonts w:ascii="Arial" w:hAnsi="Arial" w:cs="Arial"/>
                <w:bCs/>
                <w:color w:val="000000" w:themeColor="text1"/>
                <w:sz w:val="20"/>
                <w:szCs w:val="20"/>
              </w:rPr>
              <w:t>Lotemax</w:t>
            </w:r>
            <w:proofErr w:type="spellEnd"/>
            <w:r w:rsidRPr="00E473B9">
              <w:rPr>
                <w:rFonts w:ascii="Arial" w:hAnsi="Arial" w:cs="Arial"/>
                <w:bCs/>
                <w:color w:val="000000" w:themeColor="text1"/>
                <w:sz w:val="20"/>
                <w:szCs w:val="20"/>
                <w:vertAlign w:val="superscript"/>
              </w:rPr>
              <w:t>®</w:t>
            </w:r>
            <w:r w:rsidRPr="00E473B9">
              <w:rPr>
                <w:rFonts w:ascii="Arial" w:hAnsi="Arial" w:cs="Arial"/>
                <w:bCs/>
                <w:color w:val="000000" w:themeColor="text1"/>
                <w:sz w:val="20"/>
                <w:szCs w:val="20"/>
              </w:rPr>
              <w:t xml:space="preserve"> Gel (Loteprednol etabonate)</w:t>
            </w:r>
          </w:p>
        </w:tc>
        <w:tc>
          <w:tcPr>
            <w:tcW w:w="1886" w:type="dxa"/>
            <w:vAlign w:val="center"/>
          </w:tcPr>
          <w:p w14:paraId="1C4D28F0" w14:textId="77777777" w:rsidR="00930B6A"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 xml:space="preserve">Polymeric gel system </w:t>
            </w:r>
          </w:p>
          <w:p w14:paraId="4AC8DAF4" w14:textId="0104480F"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(shear-thinning, mucoadhesive)</w:t>
            </w:r>
          </w:p>
        </w:tc>
        <w:tc>
          <w:tcPr>
            <w:tcW w:w="1350" w:type="dxa"/>
            <w:vAlign w:val="center"/>
          </w:tcPr>
          <w:p w14:paraId="16849298" w14:textId="3990B99F"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Ocular inflammation</w:t>
            </w:r>
          </w:p>
        </w:tc>
        <w:tc>
          <w:tcPr>
            <w:tcW w:w="4435" w:type="dxa"/>
            <w:vAlign w:val="center"/>
          </w:tcPr>
          <w:p w14:paraId="077CE658" w14:textId="77777777" w:rsidR="0001421C" w:rsidRPr="00E473B9" w:rsidRDefault="00DF1AAD"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A prescription corticosteroid eye gel used to reduce pain and inflammation after eye surgery, and for certain inflammatory eye conditions in adults.</w:t>
            </w:r>
          </w:p>
          <w:p w14:paraId="76F87D6C" w14:textId="0153D0C6" w:rsidR="00CB0354" w:rsidRPr="00E473B9" w:rsidRDefault="00CB0354"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Improved residence time and patient comfort compared to suspensions</w:t>
            </w:r>
          </w:p>
        </w:tc>
      </w:tr>
      <w:tr w:rsidR="00CB0354" w:rsidRPr="00E473B9" w14:paraId="576B2A40" w14:textId="77777777" w:rsidTr="00930B6A">
        <w:trPr>
          <w:trHeight w:val="799"/>
        </w:trPr>
        <w:tc>
          <w:tcPr>
            <w:tcW w:w="1538" w:type="dxa"/>
            <w:vAlign w:val="center"/>
          </w:tcPr>
          <w:p w14:paraId="6226A603" w14:textId="786CC15E" w:rsidR="00CB0354" w:rsidRPr="00E473B9" w:rsidRDefault="00CB0354" w:rsidP="002C5523">
            <w:pPr>
              <w:pStyle w:val="NormalWeb"/>
              <w:spacing w:before="0" w:beforeAutospacing="0" w:after="0" w:afterAutospacing="0"/>
              <w:jc w:val="center"/>
              <w:rPr>
                <w:rFonts w:ascii="Arial" w:hAnsi="Arial" w:cs="Arial"/>
                <w:bCs/>
                <w:color w:val="000000" w:themeColor="text1"/>
                <w:sz w:val="20"/>
                <w:szCs w:val="20"/>
              </w:rPr>
            </w:pPr>
            <w:proofErr w:type="spellStart"/>
            <w:r w:rsidRPr="00E473B9">
              <w:rPr>
                <w:rFonts w:ascii="Arial" w:hAnsi="Arial" w:cs="Arial"/>
                <w:bCs/>
                <w:color w:val="000000" w:themeColor="text1"/>
                <w:sz w:val="20"/>
                <w:szCs w:val="20"/>
              </w:rPr>
              <w:t>Azopt</w:t>
            </w:r>
            <w:proofErr w:type="spellEnd"/>
            <w:r w:rsidRPr="00E473B9">
              <w:rPr>
                <w:rFonts w:ascii="Arial" w:hAnsi="Arial" w:cs="Arial"/>
                <w:bCs/>
                <w:color w:val="000000" w:themeColor="text1"/>
                <w:sz w:val="20"/>
                <w:szCs w:val="20"/>
                <w:vertAlign w:val="superscript"/>
              </w:rPr>
              <w:t>®</w:t>
            </w:r>
            <w:r w:rsidRPr="00E473B9">
              <w:rPr>
                <w:rFonts w:ascii="Arial" w:hAnsi="Arial" w:cs="Arial"/>
                <w:bCs/>
                <w:color w:val="000000" w:themeColor="text1"/>
                <w:sz w:val="20"/>
                <w:szCs w:val="20"/>
              </w:rPr>
              <w:t xml:space="preserve"> Gel formulations (regional)</w:t>
            </w:r>
          </w:p>
        </w:tc>
        <w:tc>
          <w:tcPr>
            <w:tcW w:w="1886" w:type="dxa"/>
            <w:vAlign w:val="center"/>
          </w:tcPr>
          <w:p w14:paraId="7FBBBB72" w14:textId="12DF1C29" w:rsidR="00CB0354" w:rsidRPr="00E473B9" w:rsidRDefault="00CB0354" w:rsidP="002C5523">
            <w:pPr>
              <w:pStyle w:val="NormalWeb"/>
              <w:spacing w:before="0" w:beforeAutospacing="0" w:after="0" w:afterAutospacing="0"/>
              <w:ind w:right="-120" w:hanging="96"/>
              <w:jc w:val="center"/>
              <w:rPr>
                <w:rFonts w:ascii="Arial" w:hAnsi="Arial" w:cs="Arial"/>
                <w:color w:val="000000" w:themeColor="text1"/>
                <w:sz w:val="20"/>
                <w:szCs w:val="20"/>
              </w:rPr>
            </w:pPr>
            <w:r w:rsidRPr="00E473B9">
              <w:rPr>
                <w:rFonts w:ascii="Arial" w:hAnsi="Arial" w:cs="Arial"/>
                <w:color w:val="000000" w:themeColor="text1"/>
                <w:sz w:val="20"/>
                <w:szCs w:val="20"/>
              </w:rPr>
              <w:t>Viscosity</w:t>
            </w:r>
            <w:r w:rsidR="0001421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enhanced polymer systems</w:t>
            </w:r>
          </w:p>
        </w:tc>
        <w:tc>
          <w:tcPr>
            <w:tcW w:w="1350" w:type="dxa"/>
            <w:vAlign w:val="center"/>
          </w:tcPr>
          <w:p w14:paraId="6012F601" w14:textId="503B4212" w:rsidR="00CB0354" w:rsidRPr="00E473B9" w:rsidRDefault="00CB0354"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Glaucoma</w:t>
            </w:r>
          </w:p>
        </w:tc>
        <w:tc>
          <w:tcPr>
            <w:tcW w:w="4435" w:type="dxa"/>
            <w:vAlign w:val="center"/>
          </w:tcPr>
          <w:p w14:paraId="3F370068" w14:textId="22297D8D" w:rsidR="00DF1AAD" w:rsidRPr="00E473B9" w:rsidRDefault="00DF1AAD"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Used to reduce increased pressure in the eye, in people with glaucoma or ocular hypertension.</w:t>
            </w:r>
          </w:p>
          <w:p w14:paraId="52746C4A" w14:textId="7A558E0A" w:rsidR="00CB0354" w:rsidRPr="00E473B9" w:rsidRDefault="00CB0354"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Enhanced ocular retention and sustained therapeutic levels</w:t>
            </w:r>
          </w:p>
        </w:tc>
      </w:tr>
    </w:tbl>
    <w:p w14:paraId="6732ADCB" w14:textId="77777777" w:rsidR="00463955" w:rsidRPr="00E473B9" w:rsidRDefault="00463955" w:rsidP="002C5523">
      <w:pPr>
        <w:pStyle w:val="NormalWeb"/>
        <w:spacing w:before="0" w:beforeAutospacing="0" w:after="0" w:afterAutospacing="0"/>
        <w:jc w:val="both"/>
        <w:rPr>
          <w:rFonts w:ascii="Arial" w:hAnsi="Arial" w:cs="Arial"/>
          <w:color w:val="000000" w:themeColor="text1"/>
          <w:sz w:val="20"/>
          <w:szCs w:val="20"/>
        </w:rPr>
      </w:pPr>
    </w:p>
    <w:p w14:paraId="688D2D35" w14:textId="6EB5D03A" w:rsidR="00084CF6" w:rsidRPr="00E473B9" w:rsidRDefault="00084CF6" w:rsidP="002C5523">
      <w:pPr>
        <w:pStyle w:val="Heading3"/>
        <w:spacing w:before="0" w:beforeAutospacing="0" w:after="0" w:afterAutospacing="0"/>
        <w:jc w:val="both"/>
        <w:rPr>
          <w:rStyle w:val="Strong"/>
          <w:rFonts w:ascii="Arial" w:hAnsi="Arial" w:cs="Arial"/>
          <w:b/>
          <w:bCs/>
          <w:color w:val="000000" w:themeColor="text1"/>
          <w:sz w:val="22"/>
          <w:szCs w:val="22"/>
        </w:rPr>
      </w:pPr>
      <w:r w:rsidRPr="00E473B9">
        <w:rPr>
          <w:rStyle w:val="Strong"/>
          <w:rFonts w:ascii="Arial" w:hAnsi="Arial" w:cs="Arial"/>
          <w:b/>
          <w:bCs/>
          <w:color w:val="000000" w:themeColor="text1"/>
          <w:sz w:val="22"/>
          <w:szCs w:val="22"/>
        </w:rPr>
        <w:t xml:space="preserve">3.2. Nanoparticles and </w:t>
      </w:r>
      <w:r w:rsidR="0001421C" w:rsidRPr="00E473B9">
        <w:rPr>
          <w:rStyle w:val="Strong"/>
          <w:rFonts w:ascii="Arial" w:hAnsi="Arial" w:cs="Arial"/>
          <w:b/>
          <w:bCs/>
          <w:color w:val="000000" w:themeColor="text1"/>
          <w:sz w:val="22"/>
          <w:szCs w:val="22"/>
        </w:rPr>
        <w:t>Micro particles</w:t>
      </w:r>
    </w:p>
    <w:p w14:paraId="3BFB554C" w14:textId="77777777" w:rsidR="00D72EAF" w:rsidRPr="00E473B9" w:rsidRDefault="00D72EAF" w:rsidP="002C5523">
      <w:pPr>
        <w:pStyle w:val="Heading3"/>
        <w:spacing w:before="0" w:beforeAutospacing="0" w:after="0" w:afterAutospacing="0"/>
        <w:jc w:val="both"/>
        <w:rPr>
          <w:rFonts w:ascii="Arial" w:hAnsi="Arial" w:cs="Arial"/>
          <w:color w:val="000000" w:themeColor="text1"/>
          <w:sz w:val="20"/>
          <w:szCs w:val="20"/>
        </w:rPr>
      </w:pPr>
    </w:p>
    <w:p w14:paraId="26586DAB" w14:textId="6DBF370E" w:rsidR="00463955" w:rsidRPr="00E473B9" w:rsidRDefault="00463955"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Polymeric and lipid-based nanoparticles and microparticles have emerged as versatile platforms for sustained ophthalmic drug delivery owing to their capacity to encapsulate therapeutic agents, protect them from enzymatic and chemical degradation, and provide controlled and prolonged drug release. These particulate systems enable modulation of drug pharmacokinetics through careful control of particle size, surface characteristics, and matrix composition, thereby improving ocular bioavailability and therapeutic efficacy</w:t>
      </w:r>
      <w:r w:rsidR="000E3510" w:rsidRPr="00E473B9">
        <w:rPr>
          <w:rFonts w:ascii="Arial" w:eastAsia="Times New Roman" w:hAnsi="Arial" w:cs="Arial"/>
          <w:color w:val="000000" w:themeColor="text1"/>
          <w:sz w:val="20"/>
          <w:szCs w:val="20"/>
          <w:lang w:eastAsia="en-IN"/>
        </w:rPr>
        <w:t xml:space="preserve"> (</w:t>
      </w:r>
      <w:proofErr w:type="spellStart"/>
      <w:r w:rsidR="006236FD" w:rsidRPr="00E473B9">
        <w:rPr>
          <w:rFonts w:ascii="Arial" w:hAnsi="Arial" w:cs="Arial"/>
          <w:color w:val="000000" w:themeColor="text1"/>
          <w:sz w:val="20"/>
          <w:szCs w:val="20"/>
        </w:rPr>
        <w:t>Bernkop-Schnürch</w:t>
      </w:r>
      <w:proofErr w:type="spellEnd"/>
      <w:r w:rsidR="006236FD" w:rsidRPr="00E473B9">
        <w:rPr>
          <w:rFonts w:ascii="Arial" w:hAnsi="Arial" w:cs="Arial"/>
          <w:color w:val="000000" w:themeColor="text1"/>
          <w:sz w:val="20"/>
          <w:szCs w:val="20"/>
        </w:rPr>
        <w:t xml:space="preserve"> et al., 2005</w:t>
      </w:r>
      <w:r w:rsidR="000E3510" w:rsidRPr="00E473B9">
        <w:rPr>
          <w:rFonts w:ascii="Arial" w:eastAsia="Times New Roman" w:hAnsi="Arial" w:cs="Arial"/>
          <w:color w:val="000000" w:themeColor="text1"/>
          <w:sz w:val="20"/>
          <w:szCs w:val="20"/>
          <w:lang w:eastAsia="en-IN"/>
        </w:rPr>
        <w:t>)</w:t>
      </w:r>
      <w:r w:rsidRPr="00E473B9">
        <w:rPr>
          <w:rFonts w:ascii="Arial" w:eastAsia="Times New Roman" w:hAnsi="Arial" w:cs="Arial"/>
          <w:color w:val="000000" w:themeColor="text1"/>
          <w:sz w:val="20"/>
          <w:szCs w:val="20"/>
          <w:lang w:eastAsia="en-IN"/>
        </w:rPr>
        <w:t>.</w:t>
      </w:r>
      <w:r w:rsidR="00423129"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Polymeric nanoparticles, particularly those fabricated from biodegradable and biocompatible polymers such as poly</w:t>
      </w:r>
      <w:r w:rsidR="00423129"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 xml:space="preserve">(lactic-co-glycolic acid) (PLGA) and chitosan, have been extensively investigated for ophthalmic applications. PLGA-based systems offer predictable degradation profiles and </w:t>
      </w:r>
      <w:proofErr w:type="spellStart"/>
      <w:r w:rsidRPr="00E473B9">
        <w:rPr>
          <w:rFonts w:ascii="Arial" w:eastAsia="Times New Roman" w:hAnsi="Arial" w:cs="Arial"/>
          <w:color w:val="000000" w:themeColor="text1"/>
          <w:sz w:val="20"/>
          <w:szCs w:val="20"/>
          <w:lang w:eastAsia="en-IN"/>
        </w:rPr>
        <w:t>tunable</w:t>
      </w:r>
      <w:proofErr w:type="spellEnd"/>
      <w:r w:rsidRPr="00E473B9">
        <w:rPr>
          <w:rFonts w:ascii="Arial" w:eastAsia="Times New Roman" w:hAnsi="Arial" w:cs="Arial"/>
          <w:color w:val="000000" w:themeColor="text1"/>
          <w:sz w:val="20"/>
          <w:szCs w:val="20"/>
          <w:lang w:eastAsia="en-IN"/>
        </w:rPr>
        <w:t xml:space="preserve"> drug release kinetics governed by polymer molecular weight, copolymer ratio, and particle architecture. Chitosan nanoparticles, in contrast, provide additional advantages of </w:t>
      </w:r>
      <w:proofErr w:type="spellStart"/>
      <w:r w:rsidRPr="00E473B9">
        <w:rPr>
          <w:rFonts w:ascii="Arial" w:eastAsia="Times New Roman" w:hAnsi="Arial" w:cs="Arial"/>
          <w:color w:val="000000" w:themeColor="text1"/>
          <w:sz w:val="20"/>
          <w:szCs w:val="20"/>
          <w:lang w:eastAsia="en-IN"/>
        </w:rPr>
        <w:t>mucoadhesiveness</w:t>
      </w:r>
      <w:proofErr w:type="spellEnd"/>
      <w:r w:rsidRPr="00E473B9">
        <w:rPr>
          <w:rFonts w:ascii="Arial" w:eastAsia="Times New Roman" w:hAnsi="Arial" w:cs="Arial"/>
          <w:color w:val="000000" w:themeColor="text1"/>
          <w:sz w:val="20"/>
          <w:szCs w:val="20"/>
          <w:lang w:eastAsia="en-IN"/>
        </w:rPr>
        <w:t xml:space="preserve"> and transient opening of tight junctions, which may enhance corneal and conjunctival permeation. These properties make polymeric nanoparticles particularly suitable for delivering anti-glaucoma agents, antibiotics, and anti-inflammatory drugs to the anterior segment of the eye.</w:t>
      </w:r>
    </w:p>
    <w:p w14:paraId="1EC5DFCB" w14:textId="77777777"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61596375" w14:textId="22BEB37F" w:rsidR="00463955" w:rsidRPr="00E473B9" w:rsidRDefault="00463955"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 xml:space="preserve">Lipid-based carriers, including </w:t>
      </w:r>
      <w:proofErr w:type="spellStart"/>
      <w:r w:rsidRPr="00E473B9">
        <w:rPr>
          <w:rFonts w:ascii="Arial" w:eastAsia="Times New Roman" w:hAnsi="Arial" w:cs="Arial"/>
          <w:color w:val="000000" w:themeColor="text1"/>
          <w:sz w:val="20"/>
          <w:szCs w:val="20"/>
          <w:lang w:eastAsia="en-IN"/>
        </w:rPr>
        <w:t>nanoemulsions</w:t>
      </w:r>
      <w:proofErr w:type="spellEnd"/>
      <w:r w:rsidRPr="00E473B9">
        <w:rPr>
          <w:rFonts w:ascii="Arial" w:eastAsia="Times New Roman" w:hAnsi="Arial" w:cs="Arial"/>
          <w:color w:val="000000" w:themeColor="text1"/>
          <w:sz w:val="20"/>
          <w:szCs w:val="20"/>
          <w:lang w:eastAsia="en-IN"/>
        </w:rPr>
        <w:t xml:space="preserve"> and solid lipid nanoparticles, further expand the scope of sustained ophthalmic delivery by improving the solubilization of poorly water-soluble drugs and facilitating interactions with ocular surface lipids. Solid lipid nanoparticles combine the benefits of lipid compatibility with controlled drug release, while </w:t>
      </w:r>
      <w:proofErr w:type="spellStart"/>
      <w:r w:rsidRPr="00E473B9">
        <w:rPr>
          <w:rFonts w:ascii="Arial" w:eastAsia="Times New Roman" w:hAnsi="Arial" w:cs="Arial"/>
          <w:color w:val="000000" w:themeColor="text1"/>
          <w:sz w:val="20"/>
          <w:szCs w:val="20"/>
          <w:lang w:eastAsia="en-IN"/>
        </w:rPr>
        <w:t>nanoemulsions</w:t>
      </w:r>
      <w:proofErr w:type="spellEnd"/>
      <w:r w:rsidRPr="00E473B9">
        <w:rPr>
          <w:rFonts w:ascii="Arial" w:eastAsia="Times New Roman" w:hAnsi="Arial" w:cs="Arial"/>
          <w:color w:val="000000" w:themeColor="text1"/>
          <w:sz w:val="20"/>
          <w:szCs w:val="20"/>
          <w:lang w:eastAsia="en-IN"/>
        </w:rPr>
        <w:t xml:space="preserve"> offer high drug loading and physical stability when appropriately formulated</w:t>
      </w:r>
      <w:r w:rsidR="00CA1993" w:rsidRPr="00E473B9">
        <w:rPr>
          <w:rFonts w:ascii="Arial" w:eastAsia="Times New Roman" w:hAnsi="Arial" w:cs="Arial"/>
          <w:color w:val="000000" w:themeColor="text1"/>
          <w:sz w:val="20"/>
          <w:szCs w:val="20"/>
          <w:lang w:eastAsia="en-IN"/>
        </w:rPr>
        <w:t xml:space="preserve"> (</w:t>
      </w:r>
      <w:r w:rsidR="006236FD" w:rsidRPr="00E473B9">
        <w:rPr>
          <w:rFonts w:ascii="Arial" w:hAnsi="Arial" w:cs="Arial"/>
          <w:color w:val="000000" w:themeColor="text1"/>
          <w:sz w:val="20"/>
          <w:szCs w:val="20"/>
        </w:rPr>
        <w:t>Müller et al., 2002</w:t>
      </w:r>
      <w:r w:rsidR="00F71EE1" w:rsidRPr="00E473B9">
        <w:rPr>
          <w:rFonts w:ascii="Arial" w:hAnsi="Arial" w:cs="Arial"/>
          <w:color w:val="000000" w:themeColor="text1"/>
          <w:sz w:val="20"/>
          <w:szCs w:val="20"/>
        </w:rPr>
        <w:t>; Palem et al.,</w:t>
      </w:r>
      <w:r w:rsidR="00A9287E" w:rsidRPr="00E473B9">
        <w:rPr>
          <w:rFonts w:ascii="Arial" w:hAnsi="Arial" w:cs="Arial"/>
          <w:color w:val="000000" w:themeColor="text1"/>
          <w:sz w:val="20"/>
          <w:szCs w:val="20"/>
        </w:rPr>
        <w:t xml:space="preserve"> 2026</w:t>
      </w:r>
      <w:r w:rsidR="00CA1993" w:rsidRPr="00E473B9">
        <w:rPr>
          <w:rFonts w:ascii="Arial" w:eastAsia="Times New Roman" w:hAnsi="Arial" w:cs="Arial"/>
          <w:color w:val="000000" w:themeColor="text1"/>
          <w:sz w:val="20"/>
          <w:szCs w:val="20"/>
          <w:lang w:eastAsia="en-IN"/>
        </w:rPr>
        <w:t>)</w:t>
      </w:r>
      <w:r w:rsidRPr="00E473B9">
        <w:rPr>
          <w:rFonts w:ascii="Arial" w:eastAsia="Times New Roman" w:hAnsi="Arial" w:cs="Arial"/>
          <w:color w:val="000000" w:themeColor="text1"/>
          <w:sz w:val="20"/>
          <w:szCs w:val="20"/>
          <w:lang w:eastAsia="en-IN"/>
        </w:rPr>
        <w:t>. The lipid composition, degree of crystallinity, and surfactant selection critically influence drug release behavior, ocular tolerance, and retention time.</w:t>
      </w:r>
      <w:r w:rsidR="00423129"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 xml:space="preserve">From a formulation and manufacturing perspective, the development of nanoparticle and microparticle systems requires precise control over particle size distribution, surface charge, and encapsulation efficiency, as these parameters directly impact corneal penetration, </w:t>
      </w:r>
      <w:r w:rsidRPr="00E473B9">
        <w:rPr>
          <w:rFonts w:ascii="Arial" w:eastAsia="Times New Roman" w:hAnsi="Arial" w:cs="Arial"/>
          <w:color w:val="000000" w:themeColor="text1"/>
          <w:sz w:val="20"/>
          <w:szCs w:val="20"/>
          <w:lang w:eastAsia="en-IN"/>
        </w:rPr>
        <w:lastRenderedPageBreak/>
        <w:t>residence time, and cellular uptake. Common preparation techniques include solvent evaporation, nanoprecipitation, emulsification</w:t>
      </w:r>
      <w:r w:rsidR="00423129" w:rsidRPr="00E473B9">
        <w:rPr>
          <w:rFonts w:ascii="Arial" w:eastAsia="Times New Roman" w:hAnsi="Arial" w:cs="Arial"/>
          <w:color w:val="000000" w:themeColor="text1"/>
          <w:sz w:val="20"/>
          <w:szCs w:val="20"/>
          <w:lang w:eastAsia="en-IN"/>
        </w:rPr>
        <w:t>-</w:t>
      </w:r>
      <w:r w:rsidRPr="00E473B9">
        <w:rPr>
          <w:rFonts w:ascii="Arial" w:eastAsia="Times New Roman" w:hAnsi="Arial" w:cs="Arial"/>
          <w:color w:val="000000" w:themeColor="text1"/>
          <w:sz w:val="20"/>
          <w:szCs w:val="20"/>
          <w:lang w:eastAsia="en-IN"/>
        </w:rPr>
        <w:t>diffusion, and high-pressure homogenization, each offering distinct advantages depending on drug properties and desired release profiles. Surface modification strategies, such as polymer coating or ligand conjugation, are often employed to improve stability, muco</w:t>
      </w:r>
      <w:r w:rsidR="00423129" w:rsidRPr="00E473B9">
        <w:rPr>
          <w:rFonts w:ascii="Arial" w:eastAsia="Times New Roman" w:hAnsi="Arial" w:cs="Arial"/>
          <w:color w:val="000000" w:themeColor="text1"/>
          <w:sz w:val="20"/>
          <w:szCs w:val="20"/>
          <w:lang w:eastAsia="en-IN"/>
        </w:rPr>
        <w:t>-</w:t>
      </w:r>
      <w:r w:rsidRPr="00E473B9">
        <w:rPr>
          <w:rFonts w:ascii="Arial" w:eastAsia="Times New Roman" w:hAnsi="Arial" w:cs="Arial"/>
          <w:color w:val="000000" w:themeColor="text1"/>
          <w:sz w:val="20"/>
          <w:szCs w:val="20"/>
          <w:lang w:eastAsia="en-IN"/>
        </w:rPr>
        <w:t>adhesion, and targeting capability</w:t>
      </w:r>
      <w:r w:rsidR="00CA1993" w:rsidRPr="00E473B9">
        <w:rPr>
          <w:rFonts w:ascii="Arial" w:eastAsia="Times New Roman" w:hAnsi="Arial" w:cs="Arial"/>
          <w:color w:val="000000" w:themeColor="text1"/>
          <w:sz w:val="20"/>
          <w:szCs w:val="20"/>
          <w:lang w:eastAsia="en-IN"/>
        </w:rPr>
        <w:t xml:space="preserve"> (</w:t>
      </w:r>
      <w:r w:rsidR="006236FD" w:rsidRPr="00E473B9">
        <w:rPr>
          <w:rFonts w:ascii="Arial" w:eastAsia="Times New Roman" w:hAnsi="Arial" w:cs="Arial"/>
          <w:color w:val="000000" w:themeColor="text1"/>
          <w:sz w:val="20"/>
          <w:szCs w:val="20"/>
          <w:lang w:eastAsia="en-IN"/>
        </w:rPr>
        <w:t>Lai et al., 2019</w:t>
      </w:r>
      <w:r w:rsidR="00CA1993" w:rsidRPr="00E473B9">
        <w:rPr>
          <w:rFonts w:ascii="Arial" w:eastAsia="Times New Roman" w:hAnsi="Arial" w:cs="Arial"/>
          <w:color w:val="000000" w:themeColor="text1"/>
          <w:sz w:val="20"/>
          <w:szCs w:val="20"/>
          <w:lang w:eastAsia="en-IN"/>
        </w:rPr>
        <w:t>)</w:t>
      </w:r>
      <w:r w:rsidR="00B513FF" w:rsidRPr="00E473B9">
        <w:rPr>
          <w:rFonts w:ascii="Arial" w:eastAsia="Times New Roman" w:hAnsi="Arial" w:cs="Arial"/>
          <w:color w:val="000000" w:themeColor="text1"/>
          <w:sz w:val="20"/>
          <w:szCs w:val="20"/>
          <w:lang w:eastAsia="en-IN"/>
        </w:rPr>
        <w:t xml:space="preserve">. </w:t>
      </w:r>
    </w:p>
    <w:p w14:paraId="04244AAC" w14:textId="77777777"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3D4961E3" w14:textId="11C96761" w:rsidR="00463955" w:rsidRPr="00E473B9" w:rsidRDefault="00463955"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Extensive preclinical investigations have demonstrated that nanoparticles and microparticles can sustain drug release over periods ranging from several hours to days, resulting in improved therapeutic outcomes in experimental models of glaucoma, dry eye disease, ocular inflammation, and infection. A number of formulations have advanced into clinical evaluation, underscoring their translational promise. However, challenges related to long-term ocular safety, sterilization, batch-to-batch reproducibility, and large-scale manufacturing remain critical considerations for regulatory approval and commercial translation.</w:t>
      </w:r>
      <w:r w:rsidR="001554C8" w:rsidRPr="00E473B9">
        <w:rPr>
          <w:rFonts w:ascii="Arial" w:eastAsia="Times New Roman" w:hAnsi="Arial" w:cs="Arial"/>
          <w:color w:val="000000" w:themeColor="text1"/>
          <w:sz w:val="20"/>
          <w:szCs w:val="20"/>
          <w:lang w:eastAsia="en-IN"/>
        </w:rPr>
        <w:t xml:space="preserve"> A comparative overview of polymeric and lipid-based nanoparticles employed for sustained ophthalmic drug delivery is presented in </w:t>
      </w:r>
      <w:r w:rsidR="001554C8" w:rsidRPr="00E473B9">
        <w:rPr>
          <w:rFonts w:ascii="Arial" w:eastAsia="Times New Roman" w:hAnsi="Arial" w:cs="Arial"/>
          <w:b/>
          <w:color w:val="000000" w:themeColor="text1"/>
          <w:sz w:val="20"/>
          <w:szCs w:val="20"/>
          <w:lang w:eastAsia="en-IN"/>
        </w:rPr>
        <w:t>Table 2.</w:t>
      </w:r>
    </w:p>
    <w:p w14:paraId="6D6A533F" w14:textId="77777777"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25EBC96D" w14:textId="78588C1E" w:rsidR="00C72B9E" w:rsidRPr="00E473B9" w:rsidRDefault="008C6E3E" w:rsidP="002C5523">
      <w:pPr>
        <w:spacing w:after="0" w:line="240" w:lineRule="auto"/>
        <w:jc w:val="center"/>
        <w:rPr>
          <w:rFonts w:ascii="Arial" w:hAnsi="Arial" w:cs="Arial"/>
          <w:b/>
          <w:color w:val="000000" w:themeColor="text1"/>
          <w:sz w:val="20"/>
          <w:szCs w:val="20"/>
        </w:rPr>
      </w:pPr>
      <w:r w:rsidRPr="00E473B9">
        <w:rPr>
          <w:rFonts w:ascii="Arial" w:hAnsi="Arial" w:cs="Arial"/>
          <w:b/>
          <w:color w:val="000000" w:themeColor="text1"/>
          <w:sz w:val="20"/>
          <w:szCs w:val="20"/>
        </w:rPr>
        <w:t>Table</w:t>
      </w:r>
      <w:r w:rsidR="00D72EAF" w:rsidRPr="00E473B9">
        <w:rPr>
          <w:rFonts w:ascii="Arial" w:hAnsi="Arial" w:cs="Arial"/>
          <w:b/>
          <w:color w:val="000000" w:themeColor="text1"/>
          <w:sz w:val="20"/>
          <w:szCs w:val="20"/>
        </w:rPr>
        <w:t xml:space="preserve"> 2. </w:t>
      </w:r>
      <w:r w:rsidR="001554C8" w:rsidRPr="00E473B9">
        <w:rPr>
          <w:rFonts w:ascii="Arial" w:hAnsi="Arial" w:cs="Arial"/>
          <w:b/>
          <w:color w:val="000000" w:themeColor="text1"/>
          <w:sz w:val="20"/>
          <w:szCs w:val="20"/>
        </w:rPr>
        <w:t>Comparative Evaluation of Polymeric and Lipid-Based Nanocarriers for Sustained Ophthalmic Drug Delivery</w:t>
      </w:r>
    </w:p>
    <w:tbl>
      <w:tblPr>
        <w:tblStyle w:val="TableGrid"/>
        <w:tblW w:w="9255" w:type="dxa"/>
        <w:tblLook w:val="04A0" w:firstRow="1" w:lastRow="0" w:firstColumn="1" w:lastColumn="0" w:noHBand="0" w:noVBand="1"/>
      </w:tblPr>
      <w:tblGrid>
        <w:gridCol w:w="1741"/>
        <w:gridCol w:w="3357"/>
        <w:gridCol w:w="4157"/>
      </w:tblGrid>
      <w:tr w:rsidR="00E473B9" w:rsidRPr="00E473B9" w14:paraId="5935AC02" w14:textId="77777777" w:rsidTr="00C7323C">
        <w:trPr>
          <w:trHeight w:val="510"/>
          <w:tblHeader/>
        </w:trPr>
        <w:tc>
          <w:tcPr>
            <w:tcW w:w="1741" w:type="dxa"/>
            <w:shd w:val="clear" w:color="auto" w:fill="D9D9D9" w:themeFill="background1" w:themeFillShade="D9"/>
            <w:vAlign w:val="center"/>
          </w:tcPr>
          <w:p w14:paraId="1B909D01" w14:textId="3F9AD755" w:rsidR="00C72B9E" w:rsidRPr="00E473B9" w:rsidRDefault="00C72B9E" w:rsidP="002C5523">
            <w:pPr>
              <w:jc w:val="center"/>
              <w:rPr>
                <w:rFonts w:ascii="Arial" w:eastAsia="Times New Roman" w:hAnsi="Arial" w:cs="Arial"/>
                <w:b/>
                <w:color w:val="000000" w:themeColor="text1"/>
                <w:sz w:val="20"/>
                <w:szCs w:val="20"/>
                <w:lang w:eastAsia="en-IN"/>
              </w:rPr>
            </w:pPr>
            <w:r w:rsidRPr="00E473B9">
              <w:rPr>
                <w:rFonts w:ascii="Arial" w:eastAsia="Times New Roman" w:hAnsi="Arial" w:cs="Arial"/>
                <w:b/>
                <w:bCs/>
                <w:color w:val="000000" w:themeColor="text1"/>
                <w:sz w:val="20"/>
                <w:szCs w:val="20"/>
                <w:lang w:eastAsia="en-IN"/>
              </w:rPr>
              <w:t>Parameter</w:t>
            </w:r>
          </w:p>
        </w:tc>
        <w:tc>
          <w:tcPr>
            <w:tcW w:w="3357" w:type="dxa"/>
            <w:shd w:val="clear" w:color="auto" w:fill="D9D9D9" w:themeFill="background1" w:themeFillShade="D9"/>
            <w:vAlign w:val="center"/>
          </w:tcPr>
          <w:p w14:paraId="15E3DDD2" w14:textId="3243ABA6" w:rsidR="00C72B9E" w:rsidRPr="00E473B9" w:rsidRDefault="00C72B9E" w:rsidP="002C5523">
            <w:pPr>
              <w:jc w:val="center"/>
              <w:rPr>
                <w:rFonts w:ascii="Arial" w:eastAsia="Times New Roman" w:hAnsi="Arial" w:cs="Arial"/>
                <w:b/>
                <w:color w:val="000000" w:themeColor="text1"/>
                <w:sz w:val="20"/>
                <w:szCs w:val="20"/>
                <w:lang w:eastAsia="en-IN"/>
              </w:rPr>
            </w:pPr>
            <w:r w:rsidRPr="00E473B9">
              <w:rPr>
                <w:rFonts w:ascii="Arial" w:eastAsia="Times New Roman" w:hAnsi="Arial" w:cs="Arial"/>
                <w:b/>
                <w:bCs/>
                <w:color w:val="000000" w:themeColor="text1"/>
                <w:sz w:val="20"/>
                <w:szCs w:val="20"/>
                <w:lang w:eastAsia="en-IN"/>
              </w:rPr>
              <w:t>Polymeric Nanoparticles</w:t>
            </w:r>
          </w:p>
        </w:tc>
        <w:tc>
          <w:tcPr>
            <w:tcW w:w="4157" w:type="dxa"/>
            <w:shd w:val="clear" w:color="auto" w:fill="D9D9D9" w:themeFill="background1" w:themeFillShade="D9"/>
            <w:vAlign w:val="center"/>
          </w:tcPr>
          <w:p w14:paraId="61C18C71" w14:textId="691CDBFD" w:rsidR="00C72B9E" w:rsidRPr="00E473B9" w:rsidRDefault="00C72B9E" w:rsidP="002C5523">
            <w:pPr>
              <w:jc w:val="center"/>
              <w:rPr>
                <w:rFonts w:ascii="Arial" w:eastAsia="Times New Roman" w:hAnsi="Arial" w:cs="Arial"/>
                <w:b/>
                <w:color w:val="000000" w:themeColor="text1"/>
                <w:sz w:val="20"/>
                <w:szCs w:val="20"/>
                <w:lang w:eastAsia="en-IN"/>
              </w:rPr>
            </w:pPr>
            <w:r w:rsidRPr="00E473B9">
              <w:rPr>
                <w:rFonts w:ascii="Arial" w:eastAsia="Times New Roman" w:hAnsi="Arial" w:cs="Arial"/>
                <w:b/>
                <w:bCs/>
                <w:color w:val="000000" w:themeColor="text1"/>
                <w:sz w:val="20"/>
                <w:szCs w:val="20"/>
                <w:lang w:eastAsia="en-IN"/>
              </w:rPr>
              <w:t>Lipid-Based Nanoparticles</w:t>
            </w:r>
          </w:p>
        </w:tc>
      </w:tr>
      <w:tr w:rsidR="00E473B9" w:rsidRPr="00E473B9" w14:paraId="6EA794E4" w14:textId="77777777" w:rsidTr="00C7323C">
        <w:trPr>
          <w:trHeight w:val="510"/>
        </w:trPr>
        <w:tc>
          <w:tcPr>
            <w:tcW w:w="1741" w:type="dxa"/>
            <w:vAlign w:val="center"/>
          </w:tcPr>
          <w:p w14:paraId="7B14A436" w14:textId="3614BAB8"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Common Materials</w:t>
            </w:r>
          </w:p>
        </w:tc>
        <w:tc>
          <w:tcPr>
            <w:tcW w:w="3357" w:type="dxa"/>
            <w:vAlign w:val="center"/>
          </w:tcPr>
          <w:p w14:paraId="61ECA380" w14:textId="326175EE"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PLGA, chitosan, alginate, polycaprolactone etc.,</w:t>
            </w:r>
          </w:p>
        </w:tc>
        <w:tc>
          <w:tcPr>
            <w:tcW w:w="4157" w:type="dxa"/>
            <w:vAlign w:val="center"/>
          </w:tcPr>
          <w:p w14:paraId="4E495751" w14:textId="32DD0C92"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Solid lipids (glyceryl monostearate, stearic acid), phospholipids, triglycerides etc.,</w:t>
            </w:r>
          </w:p>
        </w:tc>
      </w:tr>
      <w:tr w:rsidR="00E473B9" w:rsidRPr="00E473B9" w14:paraId="33EB8880" w14:textId="77777777" w:rsidTr="00C7323C">
        <w:trPr>
          <w:trHeight w:val="510"/>
        </w:trPr>
        <w:tc>
          <w:tcPr>
            <w:tcW w:w="1741" w:type="dxa"/>
            <w:vAlign w:val="center"/>
          </w:tcPr>
          <w:p w14:paraId="2E07E032" w14:textId="37F43D28"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Typical Systems</w:t>
            </w:r>
          </w:p>
        </w:tc>
        <w:tc>
          <w:tcPr>
            <w:tcW w:w="3357" w:type="dxa"/>
            <w:vAlign w:val="center"/>
          </w:tcPr>
          <w:p w14:paraId="7F30B142" w14:textId="2FDB0977"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Polymeric nanoparticles, polymeric microparticles</w:t>
            </w:r>
          </w:p>
        </w:tc>
        <w:tc>
          <w:tcPr>
            <w:tcW w:w="4157" w:type="dxa"/>
            <w:vAlign w:val="center"/>
          </w:tcPr>
          <w:p w14:paraId="0A0D1BAE" w14:textId="65380E1C"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Nano-emulsions, solid lipid nanoparticles (SLNs), nanostructured lipid carriers (NLCs)</w:t>
            </w:r>
          </w:p>
        </w:tc>
      </w:tr>
      <w:tr w:rsidR="00E473B9" w:rsidRPr="00E473B9" w14:paraId="4C522250" w14:textId="77777777" w:rsidTr="00C7323C">
        <w:trPr>
          <w:trHeight w:val="510"/>
        </w:trPr>
        <w:tc>
          <w:tcPr>
            <w:tcW w:w="1741" w:type="dxa"/>
            <w:vAlign w:val="center"/>
          </w:tcPr>
          <w:p w14:paraId="6DE0695E" w14:textId="7F616FA7"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Drug Encapsulation</w:t>
            </w:r>
          </w:p>
        </w:tc>
        <w:tc>
          <w:tcPr>
            <w:tcW w:w="3357" w:type="dxa"/>
            <w:vAlign w:val="center"/>
          </w:tcPr>
          <w:p w14:paraId="5537374E" w14:textId="5805505B"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Suitable for hydrophilic and hydrophobic drugs depending on polymer matrix</w:t>
            </w:r>
          </w:p>
        </w:tc>
        <w:tc>
          <w:tcPr>
            <w:tcW w:w="4157" w:type="dxa"/>
            <w:vAlign w:val="center"/>
          </w:tcPr>
          <w:p w14:paraId="4251846D" w14:textId="5EE88DA5"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Particularly effective for lipophilic and poorly water-soluble drugs</w:t>
            </w:r>
          </w:p>
        </w:tc>
      </w:tr>
      <w:tr w:rsidR="00E473B9" w:rsidRPr="00E473B9" w14:paraId="3E38AE9A" w14:textId="77777777" w:rsidTr="00C7323C">
        <w:trPr>
          <w:trHeight w:val="510"/>
        </w:trPr>
        <w:tc>
          <w:tcPr>
            <w:tcW w:w="1741" w:type="dxa"/>
            <w:vAlign w:val="center"/>
          </w:tcPr>
          <w:p w14:paraId="05FB334E" w14:textId="1A8EE3F0"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Release Mechanism</w:t>
            </w:r>
          </w:p>
        </w:tc>
        <w:tc>
          <w:tcPr>
            <w:tcW w:w="3357" w:type="dxa"/>
            <w:vAlign w:val="center"/>
          </w:tcPr>
          <w:p w14:paraId="10EBDB74" w14:textId="442380AB"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Diffusion and polymer degradation</w:t>
            </w:r>
            <w:r w:rsidR="003D46F0"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controlled release</w:t>
            </w:r>
          </w:p>
        </w:tc>
        <w:tc>
          <w:tcPr>
            <w:tcW w:w="4157" w:type="dxa"/>
            <w:vAlign w:val="center"/>
          </w:tcPr>
          <w:p w14:paraId="434EB9BF" w14:textId="6958CE1E"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Diffusion and lipid matrix erosion or reorganization</w:t>
            </w:r>
          </w:p>
        </w:tc>
      </w:tr>
      <w:tr w:rsidR="00E473B9" w:rsidRPr="00E473B9" w14:paraId="301816E5" w14:textId="77777777" w:rsidTr="00C7323C">
        <w:trPr>
          <w:trHeight w:val="510"/>
        </w:trPr>
        <w:tc>
          <w:tcPr>
            <w:tcW w:w="1741" w:type="dxa"/>
            <w:vAlign w:val="center"/>
          </w:tcPr>
          <w:p w14:paraId="1F8F1819" w14:textId="0EE84A50"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Drug Release Duration</w:t>
            </w:r>
          </w:p>
        </w:tc>
        <w:tc>
          <w:tcPr>
            <w:tcW w:w="3357" w:type="dxa"/>
            <w:vAlign w:val="center"/>
          </w:tcPr>
          <w:p w14:paraId="4F9C3BDE" w14:textId="0077AABF"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Hours to days (</w:t>
            </w:r>
            <w:proofErr w:type="spellStart"/>
            <w:r w:rsidRPr="00E473B9">
              <w:rPr>
                <w:rFonts w:ascii="Arial" w:eastAsia="Times New Roman" w:hAnsi="Arial" w:cs="Arial"/>
                <w:color w:val="000000" w:themeColor="text1"/>
                <w:sz w:val="20"/>
                <w:szCs w:val="20"/>
                <w:lang w:eastAsia="en-IN"/>
              </w:rPr>
              <w:t>tunable</w:t>
            </w:r>
            <w:proofErr w:type="spellEnd"/>
            <w:r w:rsidRPr="00E473B9">
              <w:rPr>
                <w:rFonts w:ascii="Arial" w:eastAsia="Times New Roman" w:hAnsi="Arial" w:cs="Arial"/>
                <w:color w:val="000000" w:themeColor="text1"/>
                <w:sz w:val="20"/>
                <w:szCs w:val="20"/>
                <w:lang w:eastAsia="en-IN"/>
              </w:rPr>
              <w:t xml:space="preserve"> via polymer composition and molecular weight)</w:t>
            </w:r>
          </w:p>
        </w:tc>
        <w:tc>
          <w:tcPr>
            <w:tcW w:w="4157" w:type="dxa"/>
            <w:vAlign w:val="center"/>
          </w:tcPr>
          <w:p w14:paraId="37B183BF" w14:textId="09DE0009"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Hours to days (dependent on lipid crystallinity and surfactant system)</w:t>
            </w:r>
          </w:p>
        </w:tc>
      </w:tr>
      <w:tr w:rsidR="00E473B9" w:rsidRPr="00E473B9" w14:paraId="74ABC3F6" w14:textId="77777777" w:rsidTr="00C7323C">
        <w:trPr>
          <w:trHeight w:val="510"/>
        </w:trPr>
        <w:tc>
          <w:tcPr>
            <w:tcW w:w="1741" w:type="dxa"/>
            <w:vAlign w:val="center"/>
          </w:tcPr>
          <w:p w14:paraId="2733273C" w14:textId="24B417EA" w:rsidR="00C72B9E" w:rsidRPr="00E473B9" w:rsidRDefault="00C72B9E" w:rsidP="002C5523">
            <w:pPr>
              <w:jc w:val="center"/>
              <w:rPr>
                <w:rFonts w:ascii="Arial" w:eastAsia="Times New Roman" w:hAnsi="Arial" w:cs="Arial"/>
                <w:color w:val="000000" w:themeColor="text1"/>
                <w:sz w:val="20"/>
                <w:szCs w:val="20"/>
                <w:lang w:eastAsia="en-IN"/>
              </w:rPr>
            </w:pPr>
            <w:proofErr w:type="spellStart"/>
            <w:r w:rsidRPr="00E473B9">
              <w:rPr>
                <w:rFonts w:ascii="Arial" w:eastAsia="Times New Roman" w:hAnsi="Arial" w:cs="Arial"/>
                <w:bCs/>
                <w:color w:val="000000" w:themeColor="text1"/>
                <w:sz w:val="20"/>
                <w:szCs w:val="20"/>
                <w:lang w:eastAsia="en-IN"/>
              </w:rPr>
              <w:t>Mucoadhesion</w:t>
            </w:r>
            <w:proofErr w:type="spellEnd"/>
            <w:r w:rsidRPr="00E473B9">
              <w:rPr>
                <w:rFonts w:ascii="Arial" w:eastAsia="Times New Roman" w:hAnsi="Arial" w:cs="Arial"/>
                <w:bCs/>
                <w:color w:val="000000" w:themeColor="text1"/>
                <w:sz w:val="20"/>
                <w:szCs w:val="20"/>
                <w:lang w:eastAsia="en-IN"/>
              </w:rPr>
              <w:t xml:space="preserve"> Potential</w:t>
            </w:r>
          </w:p>
        </w:tc>
        <w:tc>
          <w:tcPr>
            <w:tcW w:w="3357" w:type="dxa"/>
            <w:vAlign w:val="center"/>
          </w:tcPr>
          <w:p w14:paraId="7074ECAE" w14:textId="2C06254B"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High, especially with chitosan-based systems</w:t>
            </w:r>
          </w:p>
        </w:tc>
        <w:tc>
          <w:tcPr>
            <w:tcW w:w="4157" w:type="dxa"/>
            <w:vAlign w:val="center"/>
          </w:tcPr>
          <w:p w14:paraId="50A8BEC7" w14:textId="02D16FB3"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Moderate; can be enhanced by surface modification</w:t>
            </w:r>
          </w:p>
        </w:tc>
      </w:tr>
      <w:tr w:rsidR="00E473B9" w:rsidRPr="00E473B9" w14:paraId="23F78426" w14:textId="77777777" w:rsidTr="00C7323C">
        <w:trPr>
          <w:trHeight w:val="510"/>
        </w:trPr>
        <w:tc>
          <w:tcPr>
            <w:tcW w:w="1741" w:type="dxa"/>
            <w:vAlign w:val="center"/>
          </w:tcPr>
          <w:p w14:paraId="7C89B53E" w14:textId="37B6DFC3"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Corneal Penetration</w:t>
            </w:r>
          </w:p>
        </w:tc>
        <w:tc>
          <w:tcPr>
            <w:tcW w:w="3357" w:type="dxa"/>
            <w:vAlign w:val="center"/>
          </w:tcPr>
          <w:p w14:paraId="49FAF58C" w14:textId="7DB300BC"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Enhanced via small particle size and surface charge modulation</w:t>
            </w:r>
          </w:p>
        </w:tc>
        <w:tc>
          <w:tcPr>
            <w:tcW w:w="4157" w:type="dxa"/>
            <w:vAlign w:val="center"/>
          </w:tcPr>
          <w:p w14:paraId="3BAAD699" w14:textId="573030FE"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Enhanced through lipid–membrane interaction and improved solubilization</w:t>
            </w:r>
          </w:p>
        </w:tc>
      </w:tr>
      <w:tr w:rsidR="00E473B9" w:rsidRPr="00E473B9" w14:paraId="04241386" w14:textId="77777777" w:rsidTr="00C7323C">
        <w:trPr>
          <w:trHeight w:val="510"/>
        </w:trPr>
        <w:tc>
          <w:tcPr>
            <w:tcW w:w="1741" w:type="dxa"/>
            <w:vAlign w:val="center"/>
          </w:tcPr>
          <w:p w14:paraId="373F70ED" w14:textId="6ED4747C"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Stability Considerations</w:t>
            </w:r>
          </w:p>
        </w:tc>
        <w:tc>
          <w:tcPr>
            <w:tcW w:w="3357" w:type="dxa"/>
            <w:vAlign w:val="center"/>
          </w:tcPr>
          <w:p w14:paraId="17DC16B5" w14:textId="6785AEAF"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High physical stability; risk of polymer degradation products</w:t>
            </w:r>
          </w:p>
        </w:tc>
        <w:tc>
          <w:tcPr>
            <w:tcW w:w="4157" w:type="dxa"/>
            <w:vAlign w:val="center"/>
          </w:tcPr>
          <w:p w14:paraId="715FD2BA" w14:textId="0E8B504F"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Risk of lipid polymorphic transitions and drug expulsion</w:t>
            </w:r>
          </w:p>
        </w:tc>
      </w:tr>
      <w:tr w:rsidR="00E473B9" w:rsidRPr="00E473B9" w14:paraId="61074588" w14:textId="77777777" w:rsidTr="00C7323C">
        <w:trPr>
          <w:trHeight w:val="510"/>
        </w:trPr>
        <w:tc>
          <w:tcPr>
            <w:tcW w:w="1741" w:type="dxa"/>
            <w:vAlign w:val="center"/>
          </w:tcPr>
          <w:p w14:paraId="106D96E8" w14:textId="1194AD49"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Manufacturing Techniques</w:t>
            </w:r>
          </w:p>
        </w:tc>
        <w:tc>
          <w:tcPr>
            <w:tcW w:w="3357" w:type="dxa"/>
            <w:vAlign w:val="center"/>
          </w:tcPr>
          <w:p w14:paraId="5742EC9D" w14:textId="0FC8810B"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Solvent evaporation, nanoprecipitation, emulsification–diffusion</w:t>
            </w:r>
          </w:p>
        </w:tc>
        <w:tc>
          <w:tcPr>
            <w:tcW w:w="4157" w:type="dxa"/>
            <w:vAlign w:val="center"/>
          </w:tcPr>
          <w:p w14:paraId="3D7C34ED" w14:textId="1A0B4D54"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High-pressure homogenization, microemulsion technique</w:t>
            </w:r>
          </w:p>
        </w:tc>
      </w:tr>
      <w:tr w:rsidR="00E473B9" w:rsidRPr="00E473B9" w14:paraId="11BF39FA" w14:textId="77777777" w:rsidTr="00C7323C">
        <w:trPr>
          <w:trHeight w:val="510"/>
        </w:trPr>
        <w:tc>
          <w:tcPr>
            <w:tcW w:w="1741" w:type="dxa"/>
            <w:vAlign w:val="center"/>
          </w:tcPr>
          <w:p w14:paraId="36F3F54B" w14:textId="3EA24A2F"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Sterilization Challenges</w:t>
            </w:r>
          </w:p>
        </w:tc>
        <w:tc>
          <w:tcPr>
            <w:tcW w:w="3357" w:type="dxa"/>
            <w:vAlign w:val="center"/>
          </w:tcPr>
          <w:p w14:paraId="48161576" w14:textId="7304CF87"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Polymer integrity must be preserved</w:t>
            </w:r>
          </w:p>
        </w:tc>
        <w:tc>
          <w:tcPr>
            <w:tcW w:w="4157" w:type="dxa"/>
            <w:vAlign w:val="center"/>
          </w:tcPr>
          <w:p w14:paraId="12423A32" w14:textId="1A9A61CF"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Lipid structure sensitive to heat and radiation</w:t>
            </w:r>
          </w:p>
        </w:tc>
      </w:tr>
      <w:tr w:rsidR="00E473B9" w:rsidRPr="00E473B9" w14:paraId="179A32C8" w14:textId="77777777" w:rsidTr="00C7323C">
        <w:trPr>
          <w:trHeight w:val="510"/>
        </w:trPr>
        <w:tc>
          <w:tcPr>
            <w:tcW w:w="1741" w:type="dxa"/>
            <w:vAlign w:val="center"/>
          </w:tcPr>
          <w:p w14:paraId="6124FCFC" w14:textId="2FA70E1A"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Safety Profile</w:t>
            </w:r>
          </w:p>
        </w:tc>
        <w:tc>
          <w:tcPr>
            <w:tcW w:w="3357" w:type="dxa"/>
            <w:vAlign w:val="center"/>
          </w:tcPr>
          <w:p w14:paraId="630A4CE6" w14:textId="36D4D55C"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Excellent biocompatibility; degradation products must be evaluated</w:t>
            </w:r>
          </w:p>
        </w:tc>
        <w:tc>
          <w:tcPr>
            <w:tcW w:w="4157" w:type="dxa"/>
            <w:vAlign w:val="center"/>
          </w:tcPr>
          <w:p w14:paraId="1D350F57" w14:textId="1E0A0310" w:rsidR="00C72B9E" w:rsidRPr="00E473B9" w:rsidRDefault="00C72B9E"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Generally safe; surfactant-related irritation possible</w:t>
            </w:r>
          </w:p>
        </w:tc>
      </w:tr>
      <w:tr w:rsidR="003D46F0" w:rsidRPr="00E473B9" w14:paraId="068E5316" w14:textId="77777777" w:rsidTr="00C7323C">
        <w:trPr>
          <w:trHeight w:val="510"/>
        </w:trPr>
        <w:tc>
          <w:tcPr>
            <w:tcW w:w="1741" w:type="dxa"/>
            <w:vAlign w:val="center"/>
          </w:tcPr>
          <w:p w14:paraId="578D2953" w14:textId="53FC6709" w:rsidR="003D46F0" w:rsidRPr="00E473B9" w:rsidRDefault="003D46F0" w:rsidP="002C5523">
            <w:pPr>
              <w:jc w:val="center"/>
              <w:rPr>
                <w:rFonts w:ascii="Arial" w:eastAsia="Times New Roman" w:hAnsi="Arial" w:cs="Arial"/>
                <w:bCs/>
                <w:color w:val="000000" w:themeColor="text1"/>
                <w:sz w:val="20"/>
                <w:szCs w:val="20"/>
                <w:lang w:eastAsia="en-IN"/>
              </w:rPr>
            </w:pPr>
            <w:r w:rsidRPr="00E473B9">
              <w:rPr>
                <w:rFonts w:ascii="Arial" w:eastAsia="Times New Roman" w:hAnsi="Arial" w:cs="Arial"/>
                <w:bCs/>
                <w:color w:val="000000" w:themeColor="text1"/>
                <w:sz w:val="20"/>
                <w:szCs w:val="20"/>
                <w:lang w:eastAsia="en-IN"/>
              </w:rPr>
              <w:t>Commercially available products</w:t>
            </w:r>
          </w:p>
        </w:tc>
        <w:tc>
          <w:tcPr>
            <w:tcW w:w="3357" w:type="dxa"/>
            <w:vAlign w:val="center"/>
          </w:tcPr>
          <w:p w14:paraId="420566E3" w14:textId="77777777" w:rsidR="003D46F0" w:rsidRPr="00E473B9" w:rsidRDefault="003D46F0" w:rsidP="002C5523">
            <w:pPr>
              <w:jc w:val="center"/>
              <w:rPr>
                <w:rFonts w:ascii="Arial" w:eastAsia="Times New Roman" w:hAnsi="Arial" w:cs="Arial"/>
                <w:bCs/>
                <w:color w:val="000000" w:themeColor="text1"/>
                <w:sz w:val="20"/>
                <w:szCs w:val="20"/>
                <w:lang w:eastAsia="en-IN"/>
              </w:rPr>
            </w:pPr>
            <w:proofErr w:type="spellStart"/>
            <w:r w:rsidRPr="00E473B9">
              <w:rPr>
                <w:rFonts w:ascii="Arial" w:eastAsia="Times New Roman" w:hAnsi="Arial" w:cs="Arial"/>
                <w:bCs/>
                <w:color w:val="000000" w:themeColor="text1"/>
                <w:sz w:val="20"/>
                <w:szCs w:val="20"/>
                <w:lang w:eastAsia="en-IN"/>
              </w:rPr>
              <w:t>Ozurdex</w:t>
            </w:r>
            <w:proofErr w:type="spellEnd"/>
            <w:r w:rsidRPr="00E473B9">
              <w:rPr>
                <w:rFonts w:ascii="Arial" w:eastAsia="Times New Roman" w:hAnsi="Arial" w:cs="Arial"/>
                <w:bCs/>
                <w:color w:val="000000" w:themeColor="text1"/>
                <w:sz w:val="20"/>
                <w:szCs w:val="20"/>
                <w:vertAlign w:val="superscript"/>
                <w:lang w:eastAsia="en-IN"/>
              </w:rPr>
              <w:t>®</w:t>
            </w:r>
            <w:r w:rsidRPr="00E473B9">
              <w:rPr>
                <w:rFonts w:ascii="Arial" w:eastAsia="Times New Roman" w:hAnsi="Arial" w:cs="Arial"/>
                <w:bCs/>
                <w:color w:val="000000" w:themeColor="text1"/>
                <w:sz w:val="20"/>
                <w:szCs w:val="20"/>
                <w:lang w:eastAsia="en-IN"/>
              </w:rPr>
              <w:t xml:space="preserve"> (Dexamethasone)</w:t>
            </w:r>
          </w:p>
          <w:p w14:paraId="6BDFF8DD" w14:textId="77777777" w:rsidR="003D46F0" w:rsidRPr="00E473B9" w:rsidRDefault="003D46F0" w:rsidP="002C5523">
            <w:pPr>
              <w:jc w:val="center"/>
              <w:rPr>
                <w:rFonts w:ascii="Arial" w:eastAsia="Times New Roman" w:hAnsi="Arial" w:cs="Arial"/>
                <w:bCs/>
                <w:color w:val="000000" w:themeColor="text1"/>
                <w:sz w:val="20"/>
                <w:szCs w:val="20"/>
                <w:lang w:eastAsia="en-IN"/>
              </w:rPr>
            </w:pPr>
            <w:proofErr w:type="spellStart"/>
            <w:r w:rsidRPr="00E473B9">
              <w:rPr>
                <w:rFonts w:ascii="Arial" w:eastAsia="Times New Roman" w:hAnsi="Arial" w:cs="Arial"/>
                <w:bCs/>
                <w:color w:val="000000" w:themeColor="text1"/>
                <w:sz w:val="20"/>
                <w:szCs w:val="20"/>
                <w:lang w:eastAsia="en-IN"/>
              </w:rPr>
              <w:t>Durysta</w:t>
            </w:r>
            <w:proofErr w:type="spellEnd"/>
            <w:r w:rsidRPr="00E473B9">
              <w:rPr>
                <w:rFonts w:ascii="Arial" w:eastAsia="Times New Roman" w:hAnsi="Arial" w:cs="Arial"/>
                <w:bCs/>
                <w:color w:val="000000" w:themeColor="text1"/>
                <w:sz w:val="20"/>
                <w:szCs w:val="20"/>
                <w:lang w:eastAsia="en-IN"/>
              </w:rPr>
              <w:t>® (</w:t>
            </w:r>
            <w:proofErr w:type="spellStart"/>
            <w:r w:rsidRPr="00E473B9">
              <w:rPr>
                <w:rFonts w:ascii="Arial" w:eastAsia="Times New Roman" w:hAnsi="Arial" w:cs="Arial"/>
                <w:bCs/>
                <w:color w:val="000000" w:themeColor="text1"/>
                <w:sz w:val="20"/>
                <w:szCs w:val="20"/>
                <w:lang w:eastAsia="en-IN"/>
              </w:rPr>
              <w:t>Bimatoprost</w:t>
            </w:r>
            <w:proofErr w:type="spellEnd"/>
            <w:r w:rsidRPr="00E473B9">
              <w:rPr>
                <w:rFonts w:ascii="Arial" w:eastAsia="Times New Roman" w:hAnsi="Arial" w:cs="Arial"/>
                <w:bCs/>
                <w:color w:val="000000" w:themeColor="text1"/>
                <w:sz w:val="20"/>
                <w:szCs w:val="20"/>
                <w:lang w:eastAsia="en-IN"/>
              </w:rPr>
              <w:t>)</w:t>
            </w:r>
          </w:p>
          <w:p w14:paraId="7EE11881" w14:textId="77777777" w:rsidR="003D46F0" w:rsidRPr="00E473B9" w:rsidRDefault="003D46F0"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Timolol-loaded PLGA nanoparticles</w:t>
            </w:r>
          </w:p>
          <w:p w14:paraId="5D772A58" w14:textId="148088EF" w:rsidR="003D46F0" w:rsidRPr="00E473B9" w:rsidRDefault="003D46F0"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Cyclosporine polymeric nanoparticles</w:t>
            </w:r>
          </w:p>
        </w:tc>
        <w:tc>
          <w:tcPr>
            <w:tcW w:w="4157" w:type="dxa"/>
            <w:vAlign w:val="center"/>
          </w:tcPr>
          <w:p w14:paraId="32CE38CC" w14:textId="7DCC753A" w:rsidR="003D46F0" w:rsidRPr="00E473B9" w:rsidRDefault="003D46F0"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Restasis® (Cyclosporine A)</w:t>
            </w:r>
          </w:p>
          <w:p w14:paraId="27BA2829" w14:textId="54477C4E" w:rsidR="003D46F0" w:rsidRPr="00E473B9" w:rsidRDefault="003D46F0" w:rsidP="002C5523">
            <w:pPr>
              <w:jc w:val="center"/>
              <w:rPr>
                <w:rFonts w:ascii="Arial" w:eastAsia="Times New Roman" w:hAnsi="Arial" w:cs="Arial"/>
                <w:color w:val="000000" w:themeColor="text1"/>
                <w:sz w:val="20"/>
                <w:szCs w:val="20"/>
                <w:lang w:eastAsia="en-IN"/>
              </w:rPr>
            </w:pPr>
            <w:proofErr w:type="spellStart"/>
            <w:r w:rsidRPr="00E473B9">
              <w:rPr>
                <w:rFonts w:ascii="Arial" w:eastAsia="Times New Roman" w:hAnsi="Arial" w:cs="Arial"/>
                <w:color w:val="000000" w:themeColor="text1"/>
                <w:sz w:val="20"/>
                <w:szCs w:val="20"/>
                <w:lang w:eastAsia="en-IN"/>
              </w:rPr>
              <w:t>Cequa</w:t>
            </w:r>
            <w:proofErr w:type="spellEnd"/>
            <w:r w:rsidRPr="00E473B9">
              <w:rPr>
                <w:rFonts w:ascii="Arial" w:eastAsia="Times New Roman" w:hAnsi="Arial" w:cs="Arial"/>
                <w:color w:val="000000" w:themeColor="text1"/>
                <w:sz w:val="20"/>
                <w:szCs w:val="20"/>
                <w:lang w:eastAsia="en-IN"/>
              </w:rPr>
              <w:t>® (Cyclosporine A)</w:t>
            </w:r>
          </w:p>
          <w:p w14:paraId="55789666" w14:textId="2FC7ECE1" w:rsidR="003D46F0" w:rsidRPr="00E473B9" w:rsidRDefault="003D46F0" w:rsidP="002C5523">
            <w:pPr>
              <w:jc w:val="center"/>
              <w:rPr>
                <w:rFonts w:ascii="Arial" w:eastAsia="Times New Roman" w:hAnsi="Arial" w:cs="Arial"/>
                <w:color w:val="000000" w:themeColor="text1"/>
                <w:sz w:val="20"/>
                <w:szCs w:val="20"/>
                <w:lang w:eastAsia="en-IN"/>
              </w:rPr>
            </w:pPr>
            <w:proofErr w:type="spellStart"/>
            <w:r w:rsidRPr="00E473B9">
              <w:rPr>
                <w:rFonts w:ascii="Arial" w:eastAsia="Times New Roman" w:hAnsi="Arial" w:cs="Arial"/>
                <w:color w:val="000000" w:themeColor="text1"/>
                <w:sz w:val="20"/>
                <w:szCs w:val="20"/>
                <w:lang w:eastAsia="en-IN"/>
              </w:rPr>
              <w:t>Ikervis</w:t>
            </w:r>
            <w:proofErr w:type="spellEnd"/>
            <w:r w:rsidRPr="00E473B9">
              <w:rPr>
                <w:rFonts w:ascii="Arial" w:eastAsia="Times New Roman" w:hAnsi="Arial" w:cs="Arial"/>
                <w:color w:val="000000" w:themeColor="text1"/>
                <w:sz w:val="20"/>
                <w:szCs w:val="20"/>
                <w:lang w:eastAsia="en-IN"/>
              </w:rPr>
              <w:t>® (Cyclosporine A)</w:t>
            </w:r>
          </w:p>
          <w:p w14:paraId="0E8A9B99" w14:textId="513D831A" w:rsidR="003D46F0" w:rsidRPr="00E473B9" w:rsidRDefault="003D46F0"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Dexamethasone SLNs</w:t>
            </w:r>
          </w:p>
          <w:p w14:paraId="3FA05FF7" w14:textId="096CC614" w:rsidR="003D46F0" w:rsidRPr="00E473B9" w:rsidRDefault="003D46F0"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 xml:space="preserve">Tobramycin </w:t>
            </w:r>
            <w:proofErr w:type="spellStart"/>
            <w:r w:rsidRPr="00E473B9">
              <w:rPr>
                <w:rFonts w:ascii="Arial" w:eastAsia="Times New Roman" w:hAnsi="Arial" w:cs="Arial"/>
                <w:color w:val="000000" w:themeColor="text1"/>
                <w:sz w:val="20"/>
                <w:szCs w:val="20"/>
                <w:lang w:eastAsia="en-IN"/>
              </w:rPr>
              <w:t>nanoemulsion</w:t>
            </w:r>
            <w:proofErr w:type="spellEnd"/>
          </w:p>
        </w:tc>
      </w:tr>
    </w:tbl>
    <w:p w14:paraId="60ACC4A1" w14:textId="77777777" w:rsidR="003D46F0" w:rsidRPr="00E473B9" w:rsidRDefault="003D46F0" w:rsidP="002C5523">
      <w:pPr>
        <w:pStyle w:val="NormalWeb"/>
        <w:spacing w:before="0" w:beforeAutospacing="0" w:after="0" w:afterAutospacing="0"/>
        <w:jc w:val="both"/>
        <w:rPr>
          <w:rFonts w:ascii="Arial" w:hAnsi="Arial" w:cs="Arial"/>
          <w:color w:val="000000" w:themeColor="text1"/>
          <w:sz w:val="20"/>
          <w:szCs w:val="20"/>
        </w:rPr>
      </w:pPr>
    </w:p>
    <w:p w14:paraId="487A2742" w14:textId="79A62065" w:rsidR="00084CF6" w:rsidRPr="00E473B9" w:rsidRDefault="00084CF6" w:rsidP="002C5523">
      <w:pPr>
        <w:pStyle w:val="Heading3"/>
        <w:spacing w:before="0" w:beforeAutospacing="0" w:after="0" w:afterAutospacing="0"/>
        <w:jc w:val="both"/>
        <w:rPr>
          <w:rStyle w:val="Strong"/>
          <w:rFonts w:ascii="Arial" w:hAnsi="Arial" w:cs="Arial"/>
          <w:b/>
          <w:bCs/>
          <w:color w:val="000000" w:themeColor="text1"/>
          <w:sz w:val="22"/>
          <w:szCs w:val="22"/>
        </w:rPr>
      </w:pPr>
      <w:r w:rsidRPr="00E473B9">
        <w:rPr>
          <w:rStyle w:val="Strong"/>
          <w:rFonts w:ascii="Arial" w:hAnsi="Arial" w:cs="Arial"/>
          <w:b/>
          <w:bCs/>
          <w:color w:val="000000" w:themeColor="text1"/>
          <w:sz w:val="22"/>
          <w:szCs w:val="22"/>
        </w:rPr>
        <w:t xml:space="preserve">3.3. Liposomes and </w:t>
      </w:r>
      <w:proofErr w:type="spellStart"/>
      <w:r w:rsidRPr="00E473B9">
        <w:rPr>
          <w:rStyle w:val="Strong"/>
          <w:rFonts w:ascii="Arial" w:hAnsi="Arial" w:cs="Arial"/>
          <w:b/>
          <w:bCs/>
          <w:color w:val="000000" w:themeColor="text1"/>
          <w:sz w:val="22"/>
          <w:szCs w:val="22"/>
        </w:rPr>
        <w:t>Niosomes</w:t>
      </w:r>
      <w:proofErr w:type="spellEnd"/>
    </w:p>
    <w:p w14:paraId="7535B807" w14:textId="77777777" w:rsidR="00D72EAF" w:rsidRPr="00E473B9" w:rsidRDefault="00D72EAF" w:rsidP="002C5523">
      <w:pPr>
        <w:pStyle w:val="Heading3"/>
        <w:spacing w:before="0" w:beforeAutospacing="0" w:after="0" w:afterAutospacing="0"/>
        <w:jc w:val="both"/>
        <w:rPr>
          <w:rFonts w:ascii="Arial" w:hAnsi="Arial" w:cs="Arial"/>
          <w:color w:val="000000" w:themeColor="text1"/>
          <w:sz w:val="20"/>
          <w:szCs w:val="20"/>
        </w:rPr>
      </w:pPr>
    </w:p>
    <w:p w14:paraId="24BC01B9" w14:textId="3E1E0528" w:rsidR="00915FDE" w:rsidRPr="00E473B9" w:rsidRDefault="00915FDE"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Vesicular delivery systems such as liposomes and </w:t>
      </w:r>
      <w:proofErr w:type="spellStart"/>
      <w:r w:rsidRPr="00E473B9">
        <w:rPr>
          <w:rFonts w:ascii="Arial" w:hAnsi="Arial" w:cs="Arial"/>
          <w:color w:val="000000" w:themeColor="text1"/>
          <w:sz w:val="20"/>
          <w:szCs w:val="20"/>
        </w:rPr>
        <w:t>niosomes</w:t>
      </w:r>
      <w:proofErr w:type="spellEnd"/>
      <w:r w:rsidRPr="00E473B9">
        <w:rPr>
          <w:rFonts w:ascii="Arial" w:hAnsi="Arial" w:cs="Arial"/>
          <w:color w:val="000000" w:themeColor="text1"/>
          <w:sz w:val="20"/>
          <w:szCs w:val="20"/>
        </w:rPr>
        <w:t xml:space="preserve"> have attracted significant interest in sustained ophthalmic drug delivery due to their structural versatility and ability to encapsulate both hydrophilic and hydrophobic therapeutic agents within </w:t>
      </w:r>
      <w:proofErr w:type="spellStart"/>
      <w:r w:rsidRPr="00E473B9">
        <w:rPr>
          <w:rFonts w:ascii="Arial" w:hAnsi="Arial" w:cs="Arial"/>
          <w:color w:val="000000" w:themeColor="text1"/>
          <w:sz w:val="20"/>
          <w:szCs w:val="20"/>
        </w:rPr>
        <w:t>bilayered</w:t>
      </w:r>
      <w:proofErr w:type="spellEnd"/>
      <w:r w:rsidRPr="00E473B9">
        <w:rPr>
          <w:rFonts w:ascii="Arial" w:hAnsi="Arial" w:cs="Arial"/>
          <w:color w:val="000000" w:themeColor="text1"/>
          <w:sz w:val="20"/>
          <w:szCs w:val="20"/>
        </w:rPr>
        <w:t xml:space="preserve"> assemblies</w:t>
      </w:r>
      <w:r w:rsidR="00FD7673" w:rsidRPr="00E473B9">
        <w:rPr>
          <w:rFonts w:ascii="Arial" w:hAnsi="Arial" w:cs="Arial"/>
          <w:color w:val="000000" w:themeColor="text1"/>
          <w:sz w:val="20"/>
          <w:szCs w:val="20"/>
        </w:rPr>
        <w:t xml:space="preserve"> (</w:t>
      </w:r>
      <w:proofErr w:type="spellStart"/>
      <w:r w:rsidR="006236FD" w:rsidRPr="00E473B9">
        <w:rPr>
          <w:rFonts w:ascii="Arial" w:hAnsi="Arial" w:cs="Arial"/>
          <w:color w:val="000000" w:themeColor="text1"/>
          <w:sz w:val="20"/>
          <w:szCs w:val="20"/>
        </w:rPr>
        <w:t>Akbarzadeh</w:t>
      </w:r>
      <w:proofErr w:type="spellEnd"/>
      <w:r w:rsidR="006236FD" w:rsidRPr="00E473B9">
        <w:rPr>
          <w:rFonts w:ascii="Arial" w:hAnsi="Arial" w:cs="Arial"/>
          <w:color w:val="000000" w:themeColor="text1"/>
          <w:sz w:val="20"/>
          <w:szCs w:val="20"/>
        </w:rPr>
        <w:t xml:space="preserve"> et al., 2013</w:t>
      </w:r>
      <w:r w:rsidR="00FD7673"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Liposomes, composed primarily of natural or synthetic phospholipids, closely resemble biological membranes, conferring excellent biocompatibility and low ocular toxicity. In contrast, </w:t>
      </w:r>
      <w:proofErr w:type="spellStart"/>
      <w:r w:rsidRPr="00E473B9">
        <w:rPr>
          <w:rFonts w:ascii="Arial" w:hAnsi="Arial" w:cs="Arial"/>
          <w:color w:val="000000" w:themeColor="text1"/>
          <w:sz w:val="20"/>
          <w:szCs w:val="20"/>
        </w:rPr>
        <w:t>niosomes</w:t>
      </w:r>
      <w:proofErr w:type="spellEnd"/>
      <w:r w:rsidRPr="00E473B9">
        <w:rPr>
          <w:rFonts w:ascii="Arial" w:hAnsi="Arial" w:cs="Arial"/>
          <w:color w:val="000000" w:themeColor="text1"/>
          <w:sz w:val="20"/>
          <w:szCs w:val="20"/>
        </w:rPr>
        <w:t xml:space="preserve">, which </w:t>
      </w:r>
      <w:r w:rsidRPr="00E473B9">
        <w:rPr>
          <w:rFonts w:ascii="Arial" w:hAnsi="Arial" w:cs="Arial"/>
          <w:color w:val="000000" w:themeColor="text1"/>
          <w:sz w:val="20"/>
          <w:szCs w:val="20"/>
        </w:rPr>
        <w:lastRenderedPageBreak/>
        <w:t xml:space="preserve">are formed from non-ionic surfactants often stabilized with cholesterol, offer enhanced chemical stability, lower production costs, and reduced susceptibility to oxidative degradation, making them attractive alternatives for large-scale formulation. The performance of liposomal and </w:t>
      </w:r>
      <w:proofErr w:type="spellStart"/>
      <w:r w:rsidRPr="00E473B9">
        <w:rPr>
          <w:rFonts w:ascii="Arial" w:hAnsi="Arial" w:cs="Arial"/>
          <w:color w:val="000000" w:themeColor="text1"/>
          <w:sz w:val="20"/>
          <w:szCs w:val="20"/>
        </w:rPr>
        <w:t>niosomal</w:t>
      </w:r>
      <w:proofErr w:type="spellEnd"/>
      <w:r w:rsidRPr="00E473B9">
        <w:rPr>
          <w:rFonts w:ascii="Arial" w:hAnsi="Arial" w:cs="Arial"/>
          <w:color w:val="000000" w:themeColor="text1"/>
          <w:sz w:val="20"/>
          <w:szCs w:val="20"/>
        </w:rPr>
        <w:t xml:space="preserve"> systems is strongly influenced by formulation parameters such as vesicle size, lamellarity, surface charge, and membrane composition, all of which govern drug encapsulation efficiency, release kinetics, and ocular permeability. Smaller vesicles with controlled surface charge have been shown to enhance precorneal retention and facilitate penetration across the corneal and conjunctival epithelia. Modulation of lipid or surfactant composition, as well as cholesterol content, enables fine-tuning of membrane rigidity and drug diffusion rates, thereby supporting sustained drug release profiles</w:t>
      </w:r>
      <w:r w:rsidR="00FD7673"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Ludwig et al., 2005</w:t>
      </w:r>
      <w:r w:rsidR="00E075C5" w:rsidRPr="00E473B9">
        <w:rPr>
          <w:rFonts w:ascii="Arial" w:hAnsi="Arial" w:cs="Arial"/>
          <w:color w:val="000000" w:themeColor="text1"/>
          <w:sz w:val="20"/>
          <w:szCs w:val="20"/>
        </w:rPr>
        <w:t>; Palem et</w:t>
      </w:r>
      <w:r w:rsidR="00163F83" w:rsidRPr="00E473B9">
        <w:rPr>
          <w:rFonts w:ascii="Arial" w:hAnsi="Arial" w:cs="Arial"/>
          <w:color w:val="000000" w:themeColor="text1"/>
          <w:sz w:val="20"/>
          <w:szCs w:val="20"/>
        </w:rPr>
        <w:t xml:space="preserve"> </w:t>
      </w:r>
      <w:r w:rsidR="00E075C5" w:rsidRPr="00E473B9">
        <w:rPr>
          <w:rFonts w:ascii="Arial" w:hAnsi="Arial" w:cs="Arial"/>
          <w:color w:val="000000" w:themeColor="text1"/>
          <w:sz w:val="20"/>
          <w:szCs w:val="20"/>
        </w:rPr>
        <w:t>al., 2010</w:t>
      </w:r>
      <w:r w:rsidR="00FD7673" w:rsidRPr="00E473B9">
        <w:rPr>
          <w:rFonts w:ascii="Arial" w:hAnsi="Arial" w:cs="Arial"/>
          <w:color w:val="000000" w:themeColor="text1"/>
          <w:sz w:val="20"/>
          <w:szCs w:val="20"/>
        </w:rPr>
        <w:t>)</w:t>
      </w:r>
      <w:r w:rsidRPr="00E473B9">
        <w:rPr>
          <w:rFonts w:ascii="Arial" w:hAnsi="Arial" w:cs="Arial"/>
          <w:color w:val="000000" w:themeColor="text1"/>
          <w:sz w:val="20"/>
          <w:szCs w:val="20"/>
        </w:rPr>
        <w:t>.</w:t>
      </w:r>
    </w:p>
    <w:p w14:paraId="79EC6957" w14:textId="77777777" w:rsidR="00D72EAF" w:rsidRPr="00E473B9" w:rsidRDefault="00D72EAF" w:rsidP="002C5523">
      <w:pPr>
        <w:pStyle w:val="NormalWeb"/>
        <w:spacing w:before="0" w:beforeAutospacing="0" w:after="0" w:afterAutospacing="0"/>
        <w:jc w:val="both"/>
        <w:rPr>
          <w:rFonts w:ascii="Arial" w:hAnsi="Arial" w:cs="Arial"/>
          <w:color w:val="000000" w:themeColor="text1"/>
          <w:sz w:val="20"/>
          <w:szCs w:val="20"/>
        </w:rPr>
      </w:pPr>
    </w:p>
    <w:p w14:paraId="5D68D98A" w14:textId="4A3976F1" w:rsidR="00915FDE" w:rsidRPr="00E473B9" w:rsidRDefault="00915FDE"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From a manufacturing perspective, vesicular systems are typically prepared using techniques such as thin-film hydration, reverse-phase evaporation, ethanol injection, or micro</w:t>
      </w:r>
      <w:r w:rsidR="008A5EBC"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fluidization, followed by size-reduction processes including extrusion or sonication to achieve uniform particle size distribution. Critical formulation considerations include optimization of drug-to-lipid or drug-to-surfactant ratios, maintenance of vesicle integrity during sterilization, and prevention of drug leakage during storage. Surface modification strategies, including polymer coating or ligand attachment, are increasingly employed to enhance </w:t>
      </w:r>
      <w:proofErr w:type="spellStart"/>
      <w:r w:rsidRPr="00E473B9">
        <w:rPr>
          <w:rFonts w:ascii="Arial" w:hAnsi="Arial" w:cs="Arial"/>
          <w:color w:val="000000" w:themeColor="text1"/>
          <w:sz w:val="20"/>
          <w:szCs w:val="20"/>
        </w:rPr>
        <w:t>mucoadhesion</w:t>
      </w:r>
      <w:proofErr w:type="spellEnd"/>
      <w:r w:rsidRPr="00E473B9">
        <w:rPr>
          <w:rFonts w:ascii="Arial" w:hAnsi="Arial" w:cs="Arial"/>
          <w:color w:val="000000" w:themeColor="text1"/>
          <w:sz w:val="20"/>
          <w:szCs w:val="20"/>
        </w:rPr>
        <w:t xml:space="preserve">, prolong ocular residence time, and improve targeting efficiency. Preclinical and clinical studies have demonstrated that liposomal formulations are particularly effective for delivering anti-infective and anti-inflammatory agents, resulting in prolonged ocular exposure and improved therapeutic outcomes compared with conventional eye drops. However, challenges related to physical and chemical stability, scalability of manufacturing processes, and batch-to-batch reproducibility remain important considerations for clinical translation. Despite these limitations, continued advances in formulation optimization and manufacturing technologies have reinforced the clinical relevance of liposomes and </w:t>
      </w:r>
      <w:proofErr w:type="spellStart"/>
      <w:r w:rsidRPr="00E473B9">
        <w:rPr>
          <w:rFonts w:ascii="Arial" w:hAnsi="Arial" w:cs="Arial"/>
          <w:color w:val="000000" w:themeColor="text1"/>
          <w:sz w:val="20"/>
          <w:szCs w:val="20"/>
        </w:rPr>
        <w:t>niosomes</w:t>
      </w:r>
      <w:proofErr w:type="spellEnd"/>
      <w:r w:rsidR="002F249F" w:rsidRPr="00E473B9">
        <w:rPr>
          <w:rFonts w:ascii="Arial" w:hAnsi="Arial" w:cs="Arial"/>
          <w:color w:val="000000" w:themeColor="text1"/>
          <w:sz w:val="20"/>
          <w:szCs w:val="20"/>
        </w:rPr>
        <w:t xml:space="preserve"> </w:t>
      </w:r>
      <w:r w:rsidR="002F249F" w:rsidRPr="00E473B9">
        <w:rPr>
          <w:rFonts w:ascii="Arial" w:hAnsi="Arial" w:cs="Arial"/>
          <w:b/>
          <w:color w:val="000000" w:themeColor="text1"/>
          <w:sz w:val="20"/>
          <w:szCs w:val="20"/>
        </w:rPr>
        <w:t>(Table 3)</w:t>
      </w:r>
      <w:r w:rsidRPr="00E473B9">
        <w:rPr>
          <w:rFonts w:ascii="Arial" w:hAnsi="Arial" w:cs="Arial"/>
          <w:color w:val="000000" w:themeColor="text1"/>
          <w:sz w:val="20"/>
          <w:szCs w:val="20"/>
        </w:rPr>
        <w:t>, positioning them as integral components of next-generation sustained-release ophthalmic drug delivery systems.</w:t>
      </w:r>
    </w:p>
    <w:p w14:paraId="6D879C98" w14:textId="77777777" w:rsidR="00D72EAF" w:rsidRPr="00E473B9" w:rsidRDefault="00D72EAF" w:rsidP="002C5523">
      <w:pPr>
        <w:pStyle w:val="NormalWeb"/>
        <w:spacing w:before="0" w:beforeAutospacing="0" w:after="0" w:afterAutospacing="0"/>
        <w:jc w:val="both"/>
        <w:rPr>
          <w:rFonts w:ascii="Arial" w:hAnsi="Arial" w:cs="Arial"/>
          <w:color w:val="000000" w:themeColor="text1"/>
          <w:sz w:val="20"/>
          <w:szCs w:val="20"/>
        </w:rPr>
      </w:pPr>
    </w:p>
    <w:p w14:paraId="4CAD0DE5" w14:textId="6378C202" w:rsidR="0001421C" w:rsidRPr="00E473B9" w:rsidRDefault="00DE0D16" w:rsidP="002C5523">
      <w:pPr>
        <w:pStyle w:val="Heading3"/>
        <w:spacing w:before="0" w:beforeAutospacing="0" w:after="0" w:afterAutospacing="0"/>
        <w:jc w:val="center"/>
        <w:rPr>
          <w:rFonts w:ascii="Arial" w:hAnsi="Arial" w:cs="Arial"/>
          <w:color w:val="000000" w:themeColor="text1"/>
          <w:sz w:val="20"/>
          <w:szCs w:val="20"/>
        </w:rPr>
      </w:pPr>
      <w:r w:rsidRPr="00E473B9">
        <w:rPr>
          <w:rStyle w:val="Strong"/>
          <w:rFonts w:ascii="Arial" w:hAnsi="Arial" w:cs="Arial"/>
          <w:b/>
          <w:bCs/>
          <w:color w:val="000000" w:themeColor="text1"/>
          <w:sz w:val="20"/>
          <w:szCs w:val="20"/>
        </w:rPr>
        <w:t>Table</w:t>
      </w:r>
      <w:r w:rsidR="00D72EAF" w:rsidRPr="00E473B9">
        <w:rPr>
          <w:rStyle w:val="Strong"/>
          <w:rFonts w:ascii="Arial" w:hAnsi="Arial" w:cs="Arial"/>
          <w:b/>
          <w:bCs/>
          <w:color w:val="000000" w:themeColor="text1"/>
          <w:sz w:val="20"/>
          <w:szCs w:val="20"/>
        </w:rPr>
        <w:t xml:space="preserve"> 3.</w:t>
      </w:r>
      <w:r w:rsidRPr="00E473B9">
        <w:rPr>
          <w:rStyle w:val="Strong"/>
          <w:rFonts w:ascii="Arial" w:hAnsi="Arial" w:cs="Arial"/>
          <w:b/>
          <w:bCs/>
          <w:color w:val="000000" w:themeColor="text1"/>
          <w:sz w:val="20"/>
          <w:szCs w:val="20"/>
        </w:rPr>
        <w:t xml:space="preserve"> </w:t>
      </w:r>
      <w:r w:rsidR="002F249F" w:rsidRPr="00E473B9">
        <w:rPr>
          <w:rFonts w:ascii="Arial" w:hAnsi="Arial" w:cs="Arial"/>
          <w:color w:val="000000" w:themeColor="text1"/>
          <w:sz w:val="20"/>
          <w:szCs w:val="20"/>
        </w:rPr>
        <w:t xml:space="preserve">Comparative Analysis of Liposomes and </w:t>
      </w:r>
      <w:proofErr w:type="spellStart"/>
      <w:r w:rsidR="002F249F" w:rsidRPr="00E473B9">
        <w:rPr>
          <w:rFonts w:ascii="Arial" w:hAnsi="Arial" w:cs="Arial"/>
          <w:color w:val="000000" w:themeColor="text1"/>
          <w:sz w:val="20"/>
          <w:szCs w:val="20"/>
        </w:rPr>
        <w:t>Niosomes</w:t>
      </w:r>
      <w:proofErr w:type="spellEnd"/>
      <w:r w:rsidR="002F249F" w:rsidRPr="00E473B9">
        <w:rPr>
          <w:rFonts w:ascii="Arial" w:hAnsi="Arial" w:cs="Arial"/>
          <w:color w:val="000000" w:themeColor="text1"/>
          <w:sz w:val="20"/>
          <w:szCs w:val="20"/>
        </w:rPr>
        <w:t xml:space="preserve"> in Sustained Ophthalmic Drug Delivery Applications</w:t>
      </w:r>
    </w:p>
    <w:tbl>
      <w:tblPr>
        <w:tblStyle w:val="TableGrid"/>
        <w:tblW w:w="0" w:type="auto"/>
        <w:tblLook w:val="04A0" w:firstRow="1" w:lastRow="0" w:firstColumn="1" w:lastColumn="0" w:noHBand="0" w:noVBand="1"/>
      </w:tblPr>
      <w:tblGrid>
        <w:gridCol w:w="1980"/>
        <w:gridCol w:w="3402"/>
        <w:gridCol w:w="3634"/>
      </w:tblGrid>
      <w:tr w:rsidR="00E473B9" w:rsidRPr="00E473B9" w14:paraId="7C4BFF2F" w14:textId="77777777" w:rsidTr="00C7323C">
        <w:trPr>
          <w:trHeight w:val="20"/>
          <w:tblHeader/>
        </w:trPr>
        <w:tc>
          <w:tcPr>
            <w:tcW w:w="1980" w:type="dxa"/>
            <w:shd w:val="clear" w:color="auto" w:fill="BFBFBF" w:themeFill="background1" w:themeFillShade="BF"/>
            <w:vAlign w:val="center"/>
          </w:tcPr>
          <w:p w14:paraId="572461E4" w14:textId="41ADF784" w:rsidR="00DE0D16" w:rsidRPr="00E473B9" w:rsidRDefault="00DE0D16"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b/>
                <w:bCs/>
                <w:color w:val="000000" w:themeColor="text1"/>
                <w:sz w:val="20"/>
                <w:szCs w:val="20"/>
              </w:rPr>
              <w:t>Parameter</w:t>
            </w:r>
          </w:p>
        </w:tc>
        <w:tc>
          <w:tcPr>
            <w:tcW w:w="3402" w:type="dxa"/>
            <w:shd w:val="clear" w:color="auto" w:fill="BFBFBF" w:themeFill="background1" w:themeFillShade="BF"/>
            <w:vAlign w:val="center"/>
          </w:tcPr>
          <w:p w14:paraId="29CC487D" w14:textId="49FD6782" w:rsidR="00DE0D16" w:rsidRPr="00E473B9" w:rsidRDefault="00DE0D16"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b/>
                <w:bCs/>
                <w:color w:val="000000" w:themeColor="text1"/>
                <w:sz w:val="20"/>
                <w:szCs w:val="20"/>
              </w:rPr>
              <w:t>Liposomes</w:t>
            </w:r>
          </w:p>
        </w:tc>
        <w:tc>
          <w:tcPr>
            <w:tcW w:w="3634" w:type="dxa"/>
            <w:shd w:val="clear" w:color="auto" w:fill="BFBFBF" w:themeFill="background1" w:themeFillShade="BF"/>
            <w:vAlign w:val="center"/>
          </w:tcPr>
          <w:p w14:paraId="1D05A307" w14:textId="1978B6ED" w:rsidR="00DE0D16" w:rsidRPr="00E473B9" w:rsidRDefault="00DE0D16" w:rsidP="002C5523">
            <w:pPr>
              <w:pStyle w:val="NormalWeb"/>
              <w:spacing w:before="0" w:beforeAutospacing="0" w:after="0" w:afterAutospacing="0"/>
              <w:jc w:val="center"/>
              <w:rPr>
                <w:rFonts w:ascii="Arial" w:hAnsi="Arial" w:cs="Arial"/>
                <w:color w:val="000000" w:themeColor="text1"/>
                <w:sz w:val="20"/>
                <w:szCs w:val="20"/>
              </w:rPr>
            </w:pPr>
            <w:proofErr w:type="spellStart"/>
            <w:r w:rsidRPr="00E473B9">
              <w:rPr>
                <w:rFonts w:ascii="Arial" w:hAnsi="Arial" w:cs="Arial"/>
                <w:b/>
                <w:bCs/>
                <w:color w:val="000000" w:themeColor="text1"/>
                <w:sz w:val="20"/>
                <w:szCs w:val="20"/>
              </w:rPr>
              <w:t>Niosomes</w:t>
            </w:r>
            <w:proofErr w:type="spellEnd"/>
          </w:p>
        </w:tc>
      </w:tr>
      <w:tr w:rsidR="00E473B9" w:rsidRPr="00E473B9" w14:paraId="469E19E4" w14:textId="77777777" w:rsidTr="00C7323C">
        <w:trPr>
          <w:trHeight w:val="20"/>
        </w:trPr>
        <w:tc>
          <w:tcPr>
            <w:tcW w:w="1980" w:type="dxa"/>
            <w:vAlign w:val="center"/>
          </w:tcPr>
          <w:p w14:paraId="0A899E65" w14:textId="4677D710"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Basic Composition</w:t>
            </w:r>
          </w:p>
        </w:tc>
        <w:tc>
          <w:tcPr>
            <w:tcW w:w="3402" w:type="dxa"/>
            <w:vAlign w:val="center"/>
          </w:tcPr>
          <w:p w14:paraId="5C8E46F5" w14:textId="7E825B06"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Phospholipid bilayers (natural or synthetic) with cholesterol</w:t>
            </w:r>
          </w:p>
        </w:tc>
        <w:tc>
          <w:tcPr>
            <w:tcW w:w="3634" w:type="dxa"/>
            <w:vAlign w:val="center"/>
          </w:tcPr>
          <w:p w14:paraId="5944FCAB" w14:textId="69EAE9B1"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Non-ionic surfactants (e.g., Span, Tween) with cholesterol</w:t>
            </w:r>
          </w:p>
        </w:tc>
      </w:tr>
      <w:tr w:rsidR="00E473B9" w:rsidRPr="00E473B9" w14:paraId="089CEEB1" w14:textId="77777777" w:rsidTr="00C7323C">
        <w:trPr>
          <w:trHeight w:val="20"/>
        </w:trPr>
        <w:tc>
          <w:tcPr>
            <w:tcW w:w="1980" w:type="dxa"/>
            <w:vAlign w:val="center"/>
          </w:tcPr>
          <w:p w14:paraId="3A541DA4" w14:textId="74141685"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Structural Similarity</w:t>
            </w:r>
          </w:p>
        </w:tc>
        <w:tc>
          <w:tcPr>
            <w:tcW w:w="3402" w:type="dxa"/>
            <w:vAlign w:val="center"/>
          </w:tcPr>
          <w:p w14:paraId="4801DFF0" w14:textId="41B0E9BF"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Closely mimic biological cell membranes</w:t>
            </w:r>
          </w:p>
        </w:tc>
        <w:tc>
          <w:tcPr>
            <w:tcW w:w="3634" w:type="dxa"/>
            <w:vAlign w:val="center"/>
          </w:tcPr>
          <w:p w14:paraId="0AF8DF58" w14:textId="3B0420EC"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Synthetic vesicles, not biomimetic</w:t>
            </w:r>
          </w:p>
        </w:tc>
      </w:tr>
      <w:tr w:rsidR="00E473B9" w:rsidRPr="00E473B9" w14:paraId="5980DA82" w14:textId="77777777" w:rsidTr="00C7323C">
        <w:trPr>
          <w:trHeight w:val="20"/>
        </w:trPr>
        <w:tc>
          <w:tcPr>
            <w:tcW w:w="1980" w:type="dxa"/>
            <w:vAlign w:val="center"/>
          </w:tcPr>
          <w:p w14:paraId="077DA6DD" w14:textId="286FE417"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Drug Encapsulation</w:t>
            </w:r>
          </w:p>
        </w:tc>
        <w:tc>
          <w:tcPr>
            <w:tcW w:w="3402" w:type="dxa"/>
            <w:vAlign w:val="center"/>
          </w:tcPr>
          <w:p w14:paraId="7A77265A" w14:textId="678DFE7A"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Suitable for both hydrophilic (aqueous core) and lipophilic (bilayer) drugs</w:t>
            </w:r>
          </w:p>
        </w:tc>
        <w:tc>
          <w:tcPr>
            <w:tcW w:w="3634" w:type="dxa"/>
            <w:vAlign w:val="center"/>
          </w:tcPr>
          <w:p w14:paraId="48074221" w14:textId="4D686A08"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Suitable for both hydrophilic and lipophilic drugs</w:t>
            </w:r>
          </w:p>
        </w:tc>
      </w:tr>
      <w:tr w:rsidR="00E473B9" w:rsidRPr="00E473B9" w14:paraId="2BF64E9F" w14:textId="77777777" w:rsidTr="00C7323C">
        <w:trPr>
          <w:trHeight w:val="20"/>
        </w:trPr>
        <w:tc>
          <w:tcPr>
            <w:tcW w:w="1980" w:type="dxa"/>
            <w:vAlign w:val="center"/>
          </w:tcPr>
          <w:p w14:paraId="3F4B83FE" w14:textId="39B89B55"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Biocompatibility</w:t>
            </w:r>
          </w:p>
        </w:tc>
        <w:tc>
          <w:tcPr>
            <w:tcW w:w="3402" w:type="dxa"/>
            <w:vAlign w:val="center"/>
          </w:tcPr>
          <w:p w14:paraId="4F138E26" w14:textId="7A2BF154"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Excellent; low ocular toxicity</w:t>
            </w:r>
          </w:p>
        </w:tc>
        <w:tc>
          <w:tcPr>
            <w:tcW w:w="3634" w:type="dxa"/>
            <w:vAlign w:val="center"/>
          </w:tcPr>
          <w:p w14:paraId="3C4130B4" w14:textId="02D62179"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Good; generally non-toxic and non-immunogenic</w:t>
            </w:r>
          </w:p>
        </w:tc>
      </w:tr>
      <w:tr w:rsidR="00E473B9" w:rsidRPr="00E473B9" w14:paraId="15CDCEF5" w14:textId="77777777" w:rsidTr="00C7323C">
        <w:trPr>
          <w:trHeight w:val="20"/>
        </w:trPr>
        <w:tc>
          <w:tcPr>
            <w:tcW w:w="1980" w:type="dxa"/>
            <w:vAlign w:val="center"/>
          </w:tcPr>
          <w:p w14:paraId="2332EC73" w14:textId="544A20B3"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Chemical Stability</w:t>
            </w:r>
          </w:p>
        </w:tc>
        <w:tc>
          <w:tcPr>
            <w:tcW w:w="3402" w:type="dxa"/>
            <w:vAlign w:val="center"/>
          </w:tcPr>
          <w:p w14:paraId="73A5C493" w14:textId="3AD55A81"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Prone to oxidation and hydrolysis of phospholipids</w:t>
            </w:r>
          </w:p>
        </w:tc>
        <w:tc>
          <w:tcPr>
            <w:tcW w:w="3634" w:type="dxa"/>
            <w:vAlign w:val="center"/>
          </w:tcPr>
          <w:p w14:paraId="39734293" w14:textId="25FDDAC9"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Higher chemical stability; less susceptible to oxidative degradation</w:t>
            </w:r>
          </w:p>
        </w:tc>
      </w:tr>
      <w:tr w:rsidR="00E473B9" w:rsidRPr="00E473B9" w14:paraId="585045CC" w14:textId="77777777" w:rsidTr="00C7323C">
        <w:trPr>
          <w:trHeight w:val="20"/>
        </w:trPr>
        <w:tc>
          <w:tcPr>
            <w:tcW w:w="1980" w:type="dxa"/>
            <w:vAlign w:val="center"/>
          </w:tcPr>
          <w:p w14:paraId="13894068" w14:textId="16BF1548"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Cost of Raw Materials</w:t>
            </w:r>
          </w:p>
        </w:tc>
        <w:tc>
          <w:tcPr>
            <w:tcW w:w="3402" w:type="dxa"/>
            <w:vAlign w:val="center"/>
          </w:tcPr>
          <w:p w14:paraId="1378A07D" w14:textId="3BA030D7"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Relatively high</w:t>
            </w:r>
          </w:p>
        </w:tc>
        <w:tc>
          <w:tcPr>
            <w:tcW w:w="3634" w:type="dxa"/>
            <w:vAlign w:val="center"/>
          </w:tcPr>
          <w:p w14:paraId="15B1928F" w14:textId="0B7E7F1A"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Lower than liposomes</w:t>
            </w:r>
          </w:p>
        </w:tc>
      </w:tr>
      <w:tr w:rsidR="00E473B9" w:rsidRPr="00E473B9" w14:paraId="7488BF92" w14:textId="77777777" w:rsidTr="00C7323C">
        <w:trPr>
          <w:trHeight w:val="20"/>
        </w:trPr>
        <w:tc>
          <w:tcPr>
            <w:tcW w:w="1980" w:type="dxa"/>
            <w:vAlign w:val="center"/>
          </w:tcPr>
          <w:p w14:paraId="1A9298C0" w14:textId="0EDEB781"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Encapsulation Efficiency</w:t>
            </w:r>
          </w:p>
        </w:tc>
        <w:tc>
          <w:tcPr>
            <w:tcW w:w="3402" w:type="dxa"/>
            <w:vAlign w:val="center"/>
          </w:tcPr>
          <w:p w14:paraId="04FAB7F9" w14:textId="1132860A"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Moderate to high, depending on lipid composition</w:t>
            </w:r>
          </w:p>
        </w:tc>
        <w:tc>
          <w:tcPr>
            <w:tcW w:w="3634" w:type="dxa"/>
            <w:vAlign w:val="center"/>
          </w:tcPr>
          <w:p w14:paraId="2170841B" w14:textId="5A4CED9F"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Comparable or higher for certain drugs</w:t>
            </w:r>
          </w:p>
        </w:tc>
      </w:tr>
      <w:tr w:rsidR="00E473B9" w:rsidRPr="00E473B9" w14:paraId="2A9A8DA2" w14:textId="77777777" w:rsidTr="00C7323C">
        <w:trPr>
          <w:trHeight w:val="20"/>
        </w:trPr>
        <w:tc>
          <w:tcPr>
            <w:tcW w:w="1980" w:type="dxa"/>
            <w:vAlign w:val="center"/>
          </w:tcPr>
          <w:p w14:paraId="6C6EEB4A" w14:textId="5444CB3F"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 xml:space="preserve">Drug Release </w:t>
            </w:r>
            <w:proofErr w:type="spellStart"/>
            <w:r w:rsidRPr="00E473B9">
              <w:rPr>
                <w:rFonts w:ascii="Arial" w:hAnsi="Arial" w:cs="Arial"/>
                <w:bCs/>
                <w:color w:val="000000" w:themeColor="text1"/>
                <w:sz w:val="20"/>
                <w:szCs w:val="20"/>
              </w:rPr>
              <w:t>Behavior</w:t>
            </w:r>
            <w:proofErr w:type="spellEnd"/>
          </w:p>
        </w:tc>
        <w:tc>
          <w:tcPr>
            <w:tcW w:w="3402" w:type="dxa"/>
            <w:vAlign w:val="center"/>
          </w:tcPr>
          <w:p w14:paraId="76456CB7" w14:textId="6E360B99"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Controlled by lipid composition, bilayer rigidity, and vesicle size</w:t>
            </w:r>
          </w:p>
        </w:tc>
        <w:tc>
          <w:tcPr>
            <w:tcW w:w="3634" w:type="dxa"/>
            <w:vAlign w:val="center"/>
          </w:tcPr>
          <w:p w14:paraId="6068ABFA" w14:textId="2A67D303"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Controlled by surfactant type, cholesterol content, and vesicle structure</w:t>
            </w:r>
          </w:p>
        </w:tc>
      </w:tr>
      <w:tr w:rsidR="00E473B9" w:rsidRPr="00E473B9" w14:paraId="1D551867" w14:textId="77777777" w:rsidTr="00C7323C">
        <w:trPr>
          <w:trHeight w:val="20"/>
        </w:trPr>
        <w:tc>
          <w:tcPr>
            <w:tcW w:w="1980" w:type="dxa"/>
            <w:vAlign w:val="center"/>
          </w:tcPr>
          <w:p w14:paraId="0846FA46" w14:textId="6C16D941"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Ocular Residence Time</w:t>
            </w:r>
          </w:p>
        </w:tc>
        <w:tc>
          <w:tcPr>
            <w:tcW w:w="3402" w:type="dxa"/>
            <w:vAlign w:val="center"/>
          </w:tcPr>
          <w:p w14:paraId="25FBFB1D" w14:textId="4399712C"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Improved compared to solutions; further enhanced by surface modification</w:t>
            </w:r>
          </w:p>
        </w:tc>
        <w:tc>
          <w:tcPr>
            <w:tcW w:w="3634" w:type="dxa"/>
            <w:vAlign w:val="center"/>
          </w:tcPr>
          <w:p w14:paraId="4EDD5D67" w14:textId="709787D0"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Comparable to liposomes; </w:t>
            </w:r>
            <w:proofErr w:type="spellStart"/>
            <w:r w:rsidRPr="00E473B9">
              <w:rPr>
                <w:rFonts w:ascii="Arial" w:hAnsi="Arial" w:cs="Arial"/>
                <w:color w:val="000000" w:themeColor="text1"/>
                <w:sz w:val="20"/>
                <w:szCs w:val="20"/>
              </w:rPr>
              <w:t>mucoadhesion</w:t>
            </w:r>
            <w:proofErr w:type="spellEnd"/>
            <w:r w:rsidRPr="00E473B9">
              <w:rPr>
                <w:rFonts w:ascii="Arial" w:hAnsi="Arial" w:cs="Arial"/>
                <w:color w:val="000000" w:themeColor="text1"/>
                <w:sz w:val="20"/>
                <w:szCs w:val="20"/>
              </w:rPr>
              <w:t xml:space="preserve"> can be enhanced</w:t>
            </w:r>
          </w:p>
        </w:tc>
      </w:tr>
      <w:tr w:rsidR="00E473B9" w:rsidRPr="00E473B9" w14:paraId="40926E84" w14:textId="77777777" w:rsidTr="00C7323C">
        <w:trPr>
          <w:trHeight w:val="20"/>
        </w:trPr>
        <w:tc>
          <w:tcPr>
            <w:tcW w:w="1980" w:type="dxa"/>
            <w:vAlign w:val="center"/>
          </w:tcPr>
          <w:p w14:paraId="05E5C0D8" w14:textId="004226CF" w:rsidR="00DE0D16" w:rsidRPr="00E473B9" w:rsidRDefault="00DE0D16" w:rsidP="002C5523">
            <w:pPr>
              <w:pStyle w:val="NormalWeb"/>
              <w:spacing w:before="0" w:beforeAutospacing="0" w:after="0" w:afterAutospacing="0"/>
              <w:rPr>
                <w:rFonts w:ascii="Arial" w:hAnsi="Arial" w:cs="Arial"/>
                <w:color w:val="000000" w:themeColor="text1"/>
                <w:sz w:val="20"/>
                <w:szCs w:val="20"/>
              </w:rPr>
            </w:pPr>
            <w:r w:rsidRPr="00E473B9">
              <w:rPr>
                <w:rFonts w:ascii="Arial" w:hAnsi="Arial" w:cs="Arial"/>
                <w:bCs/>
                <w:color w:val="000000" w:themeColor="text1"/>
                <w:sz w:val="20"/>
                <w:szCs w:val="20"/>
              </w:rPr>
              <w:t>Manufacturing Complexity</w:t>
            </w:r>
          </w:p>
        </w:tc>
        <w:tc>
          <w:tcPr>
            <w:tcW w:w="3402" w:type="dxa"/>
            <w:vAlign w:val="center"/>
          </w:tcPr>
          <w:p w14:paraId="5A23C26F" w14:textId="04D78A93"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Moderate to high</w:t>
            </w:r>
          </w:p>
        </w:tc>
        <w:tc>
          <w:tcPr>
            <w:tcW w:w="3634" w:type="dxa"/>
            <w:vAlign w:val="center"/>
          </w:tcPr>
          <w:p w14:paraId="28E6FD5C" w14:textId="5BEBE5CB"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Relatively simpler and more scalable</w:t>
            </w:r>
          </w:p>
        </w:tc>
      </w:tr>
      <w:tr w:rsidR="00E473B9" w:rsidRPr="00E473B9" w14:paraId="5472114D" w14:textId="77777777" w:rsidTr="00C7323C">
        <w:trPr>
          <w:trHeight w:val="20"/>
        </w:trPr>
        <w:tc>
          <w:tcPr>
            <w:tcW w:w="1980" w:type="dxa"/>
            <w:vAlign w:val="center"/>
          </w:tcPr>
          <w:p w14:paraId="78D9C8E7" w14:textId="03DB9466"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bCs/>
                <w:color w:val="000000" w:themeColor="text1"/>
                <w:sz w:val="20"/>
                <w:szCs w:val="20"/>
              </w:rPr>
              <w:t>Sterilization Challenges</w:t>
            </w:r>
          </w:p>
        </w:tc>
        <w:tc>
          <w:tcPr>
            <w:tcW w:w="3402" w:type="dxa"/>
            <w:vAlign w:val="center"/>
          </w:tcPr>
          <w:p w14:paraId="55FD412D" w14:textId="19D8ACC1"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Sensitive to heat and radiation</w:t>
            </w:r>
          </w:p>
        </w:tc>
        <w:tc>
          <w:tcPr>
            <w:tcW w:w="3634" w:type="dxa"/>
            <w:vAlign w:val="center"/>
          </w:tcPr>
          <w:p w14:paraId="6FBA2D8B" w14:textId="28681539" w:rsidR="00DE0D16" w:rsidRPr="00E473B9" w:rsidRDefault="00DE0D16"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More tolerant, depending on formulation</w:t>
            </w:r>
          </w:p>
        </w:tc>
      </w:tr>
      <w:tr w:rsidR="00E473B9" w:rsidRPr="00E473B9" w14:paraId="67B3283B" w14:textId="77777777" w:rsidTr="00C7323C">
        <w:trPr>
          <w:trHeight w:val="20"/>
        </w:trPr>
        <w:tc>
          <w:tcPr>
            <w:tcW w:w="1980" w:type="dxa"/>
          </w:tcPr>
          <w:p w14:paraId="09AFC9FD" w14:textId="60D16852" w:rsidR="00DE0D16" w:rsidRPr="00E473B9" w:rsidRDefault="00300EE7"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Com</w:t>
            </w:r>
            <w:r w:rsidR="00930B6A" w:rsidRPr="00E473B9">
              <w:rPr>
                <w:rFonts w:ascii="Arial" w:hAnsi="Arial" w:cs="Arial"/>
                <w:color w:val="000000" w:themeColor="text1"/>
                <w:sz w:val="20"/>
                <w:szCs w:val="20"/>
              </w:rPr>
              <w:t>mercially available Liposomal &amp;</w:t>
            </w:r>
            <w:proofErr w:type="spellStart"/>
            <w:r w:rsidRPr="00E473B9">
              <w:rPr>
                <w:rFonts w:ascii="Arial" w:hAnsi="Arial" w:cs="Arial"/>
                <w:color w:val="000000" w:themeColor="text1"/>
                <w:sz w:val="20"/>
                <w:szCs w:val="20"/>
              </w:rPr>
              <w:t>Niosomal</w:t>
            </w:r>
            <w:proofErr w:type="spellEnd"/>
            <w:r w:rsidRPr="00E473B9">
              <w:rPr>
                <w:rFonts w:ascii="Arial" w:hAnsi="Arial" w:cs="Arial"/>
                <w:color w:val="000000" w:themeColor="text1"/>
                <w:sz w:val="20"/>
                <w:szCs w:val="20"/>
              </w:rPr>
              <w:t xml:space="preserve"> Ophthalmic Products</w:t>
            </w:r>
          </w:p>
        </w:tc>
        <w:tc>
          <w:tcPr>
            <w:tcW w:w="3402" w:type="dxa"/>
          </w:tcPr>
          <w:p w14:paraId="40E5061C" w14:textId="77777777" w:rsidR="00DE0D16" w:rsidRPr="00E473B9" w:rsidRDefault="00300EE7" w:rsidP="002C5523">
            <w:pPr>
              <w:pStyle w:val="NormalWeb"/>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Visudyne</w:t>
            </w:r>
            <w:proofErr w:type="spellEnd"/>
            <w:r w:rsidRPr="00E473B9">
              <w:rPr>
                <w:rFonts w:ascii="Arial" w:hAnsi="Arial" w:cs="Arial"/>
                <w:color w:val="000000" w:themeColor="text1"/>
                <w:sz w:val="20"/>
                <w:szCs w:val="20"/>
                <w:vertAlign w:val="superscript"/>
              </w:rPr>
              <w:t>®</w:t>
            </w:r>
            <w:r w:rsidRPr="00E473B9">
              <w:rPr>
                <w:rFonts w:ascii="Arial" w:hAnsi="Arial" w:cs="Arial"/>
                <w:color w:val="000000" w:themeColor="text1"/>
                <w:sz w:val="20"/>
                <w:szCs w:val="20"/>
              </w:rPr>
              <w:t xml:space="preserve"> (Verteporfin)</w:t>
            </w:r>
          </w:p>
          <w:p w14:paraId="2653BF8E" w14:textId="77777777" w:rsidR="00300EE7" w:rsidRPr="00E473B9" w:rsidRDefault="00300EE7"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Liposomal Amphotericin B</w:t>
            </w:r>
          </w:p>
          <w:p w14:paraId="2129162F" w14:textId="77777777" w:rsidR="00300EE7" w:rsidRPr="00E473B9" w:rsidRDefault="00300EE7"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Liposomal Ciprofloxacin</w:t>
            </w:r>
          </w:p>
          <w:p w14:paraId="5943C930" w14:textId="77777777" w:rsidR="00300EE7" w:rsidRPr="00E473B9" w:rsidRDefault="00300EE7"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Liposomal Dexamethasone</w:t>
            </w:r>
          </w:p>
          <w:p w14:paraId="37E4AA2E" w14:textId="0414B899" w:rsidR="00300EE7" w:rsidRPr="00E473B9" w:rsidRDefault="00300EE7"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Liposomal Cyclosporine A</w:t>
            </w:r>
          </w:p>
        </w:tc>
        <w:tc>
          <w:tcPr>
            <w:tcW w:w="3634" w:type="dxa"/>
          </w:tcPr>
          <w:p w14:paraId="5875D21D" w14:textId="77777777" w:rsidR="00DE0D16" w:rsidRPr="00E473B9" w:rsidRDefault="00300EE7" w:rsidP="002C5523">
            <w:pPr>
              <w:pStyle w:val="NormalWeb"/>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Niosomal</w:t>
            </w:r>
            <w:proofErr w:type="spellEnd"/>
            <w:r w:rsidRPr="00E473B9">
              <w:rPr>
                <w:rFonts w:ascii="Arial" w:hAnsi="Arial" w:cs="Arial"/>
                <w:color w:val="000000" w:themeColor="text1"/>
                <w:sz w:val="20"/>
                <w:szCs w:val="20"/>
              </w:rPr>
              <w:t xml:space="preserve"> Timolol Maleate</w:t>
            </w:r>
          </w:p>
          <w:p w14:paraId="4E8F5071" w14:textId="77777777" w:rsidR="00300EE7" w:rsidRPr="00E473B9" w:rsidRDefault="00300EE7" w:rsidP="002C5523">
            <w:pPr>
              <w:pStyle w:val="NormalWeb"/>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Niosomal</w:t>
            </w:r>
            <w:proofErr w:type="spellEnd"/>
            <w:r w:rsidRPr="00E473B9">
              <w:rPr>
                <w:rFonts w:ascii="Arial" w:hAnsi="Arial" w:cs="Arial"/>
                <w:color w:val="000000" w:themeColor="text1"/>
                <w:sz w:val="20"/>
                <w:szCs w:val="20"/>
              </w:rPr>
              <w:t xml:space="preserve"> Acetazolamide</w:t>
            </w:r>
          </w:p>
          <w:p w14:paraId="3C9EAFCF" w14:textId="77777777" w:rsidR="00300EE7" w:rsidRPr="00E473B9" w:rsidRDefault="00300EE7" w:rsidP="002C5523">
            <w:pPr>
              <w:pStyle w:val="NormalWeb"/>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Niosomal</w:t>
            </w:r>
            <w:proofErr w:type="spellEnd"/>
            <w:r w:rsidRPr="00E473B9">
              <w:rPr>
                <w:rFonts w:ascii="Arial" w:hAnsi="Arial" w:cs="Arial"/>
                <w:color w:val="000000" w:themeColor="text1"/>
                <w:sz w:val="20"/>
                <w:szCs w:val="20"/>
              </w:rPr>
              <w:t xml:space="preserve"> Ofloxacin</w:t>
            </w:r>
          </w:p>
          <w:p w14:paraId="4C397E92" w14:textId="77777777" w:rsidR="00300EE7" w:rsidRPr="00E473B9" w:rsidRDefault="00300EE7" w:rsidP="002C5523">
            <w:pPr>
              <w:pStyle w:val="NormalWeb"/>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Niosomal</w:t>
            </w:r>
            <w:proofErr w:type="spellEnd"/>
            <w:r w:rsidRPr="00E473B9">
              <w:rPr>
                <w:rFonts w:ascii="Arial" w:hAnsi="Arial" w:cs="Arial"/>
                <w:color w:val="000000" w:themeColor="text1"/>
                <w:sz w:val="20"/>
                <w:szCs w:val="20"/>
              </w:rPr>
              <w:t xml:space="preserve"> Diclofenac</w:t>
            </w:r>
          </w:p>
          <w:p w14:paraId="5A61742F" w14:textId="564EB9EA" w:rsidR="00300EE7" w:rsidRPr="00E473B9" w:rsidRDefault="00300EE7" w:rsidP="002C5523">
            <w:pPr>
              <w:pStyle w:val="NormalWeb"/>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Niosomal</w:t>
            </w:r>
            <w:proofErr w:type="spellEnd"/>
            <w:r w:rsidRPr="00E473B9">
              <w:rPr>
                <w:rFonts w:ascii="Arial" w:hAnsi="Arial" w:cs="Arial"/>
                <w:color w:val="000000" w:themeColor="text1"/>
                <w:sz w:val="20"/>
                <w:szCs w:val="20"/>
              </w:rPr>
              <w:t xml:space="preserve"> Fluconazole</w:t>
            </w:r>
          </w:p>
        </w:tc>
      </w:tr>
    </w:tbl>
    <w:p w14:paraId="241615AD" w14:textId="24B1CB77" w:rsidR="00084CF6" w:rsidRPr="00E473B9" w:rsidRDefault="00084CF6" w:rsidP="002C5523">
      <w:pPr>
        <w:pStyle w:val="Heading3"/>
        <w:spacing w:before="0" w:beforeAutospacing="0" w:after="0" w:afterAutospacing="0"/>
        <w:jc w:val="both"/>
        <w:rPr>
          <w:rStyle w:val="Strong"/>
          <w:rFonts w:ascii="Arial" w:hAnsi="Arial" w:cs="Arial"/>
          <w:b/>
          <w:bCs/>
          <w:color w:val="000000" w:themeColor="text1"/>
          <w:sz w:val="22"/>
          <w:szCs w:val="22"/>
        </w:rPr>
      </w:pPr>
      <w:r w:rsidRPr="00E473B9">
        <w:rPr>
          <w:rStyle w:val="Strong"/>
          <w:rFonts w:ascii="Arial" w:hAnsi="Arial" w:cs="Arial"/>
          <w:b/>
          <w:bCs/>
          <w:color w:val="000000" w:themeColor="text1"/>
          <w:sz w:val="22"/>
          <w:szCs w:val="22"/>
        </w:rPr>
        <w:lastRenderedPageBreak/>
        <w:t>3.4. Ocular Inserts and Films</w:t>
      </w:r>
    </w:p>
    <w:p w14:paraId="53D74934" w14:textId="77777777" w:rsidR="00D72EAF" w:rsidRPr="00E473B9" w:rsidRDefault="00D72EAF" w:rsidP="002C5523">
      <w:pPr>
        <w:pStyle w:val="Heading3"/>
        <w:spacing w:before="0" w:beforeAutospacing="0" w:after="0" w:afterAutospacing="0"/>
        <w:jc w:val="both"/>
        <w:rPr>
          <w:rFonts w:ascii="Arial" w:hAnsi="Arial" w:cs="Arial"/>
          <w:color w:val="000000" w:themeColor="text1"/>
          <w:sz w:val="20"/>
          <w:szCs w:val="20"/>
        </w:rPr>
      </w:pPr>
    </w:p>
    <w:p w14:paraId="4DB4A325" w14:textId="20B89CDC" w:rsidR="00915FDE" w:rsidRPr="00E473B9" w:rsidRDefault="00915FDE"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Ocular inserts and films are solid ophthalmic dosage forms designed for placement in the conjunctival sac, where they provide controlled and sustained drug release over periods ranging from several hours to days</w:t>
      </w:r>
      <w:r w:rsidR="00FD7673" w:rsidRPr="00E473B9">
        <w:rPr>
          <w:rFonts w:ascii="Arial" w:eastAsia="Times New Roman" w:hAnsi="Arial" w:cs="Arial"/>
          <w:color w:val="000000" w:themeColor="text1"/>
          <w:sz w:val="20"/>
          <w:szCs w:val="20"/>
          <w:lang w:eastAsia="en-IN"/>
        </w:rPr>
        <w:t xml:space="preserve"> (</w:t>
      </w:r>
      <w:proofErr w:type="spellStart"/>
      <w:r w:rsidR="006236FD" w:rsidRPr="00E473B9">
        <w:rPr>
          <w:rFonts w:ascii="Arial" w:eastAsia="Times New Roman" w:hAnsi="Arial" w:cs="Arial"/>
          <w:color w:val="000000" w:themeColor="text1"/>
          <w:sz w:val="20"/>
          <w:szCs w:val="20"/>
          <w:lang w:eastAsia="en-IN"/>
        </w:rPr>
        <w:t>Saettone</w:t>
      </w:r>
      <w:proofErr w:type="spellEnd"/>
      <w:r w:rsidR="006236FD" w:rsidRPr="00E473B9">
        <w:rPr>
          <w:rFonts w:ascii="Arial" w:eastAsia="Times New Roman" w:hAnsi="Arial" w:cs="Arial"/>
          <w:color w:val="000000" w:themeColor="text1"/>
          <w:sz w:val="20"/>
          <w:szCs w:val="20"/>
          <w:lang w:eastAsia="en-IN"/>
        </w:rPr>
        <w:t xml:space="preserve"> et al.,1995</w:t>
      </w:r>
      <w:r w:rsidR="00FD7673" w:rsidRPr="00E473B9">
        <w:rPr>
          <w:rFonts w:ascii="Arial" w:eastAsia="Times New Roman" w:hAnsi="Arial" w:cs="Arial"/>
          <w:color w:val="000000" w:themeColor="text1"/>
          <w:sz w:val="20"/>
          <w:szCs w:val="20"/>
          <w:lang w:eastAsia="en-IN"/>
        </w:rPr>
        <w:t>)</w:t>
      </w:r>
      <w:r w:rsidRPr="00E473B9">
        <w:rPr>
          <w:rFonts w:ascii="Arial" w:eastAsia="Times New Roman" w:hAnsi="Arial" w:cs="Arial"/>
          <w:color w:val="000000" w:themeColor="text1"/>
          <w:sz w:val="20"/>
          <w:szCs w:val="20"/>
          <w:lang w:eastAsia="en-IN"/>
        </w:rPr>
        <w:t xml:space="preserve">. These systems are broadly classified as insoluble, soluble, or </w:t>
      </w:r>
      <w:proofErr w:type="spellStart"/>
      <w:r w:rsidRPr="00E473B9">
        <w:rPr>
          <w:rFonts w:ascii="Arial" w:eastAsia="Times New Roman" w:hAnsi="Arial" w:cs="Arial"/>
          <w:color w:val="000000" w:themeColor="text1"/>
          <w:sz w:val="20"/>
          <w:szCs w:val="20"/>
          <w:lang w:eastAsia="en-IN"/>
        </w:rPr>
        <w:t>bioerodible</w:t>
      </w:r>
      <w:proofErr w:type="spellEnd"/>
      <w:r w:rsidRPr="00E473B9">
        <w:rPr>
          <w:rFonts w:ascii="Arial" w:eastAsia="Times New Roman" w:hAnsi="Arial" w:cs="Arial"/>
          <w:color w:val="000000" w:themeColor="text1"/>
          <w:sz w:val="20"/>
          <w:szCs w:val="20"/>
          <w:lang w:eastAsia="en-IN"/>
        </w:rPr>
        <w:t xml:space="preserve"> based on their polymeric composition and dissolution or degradation behavior. Insoluble inserts, exemplified by the classical </w:t>
      </w:r>
      <w:proofErr w:type="spellStart"/>
      <w:r w:rsidRPr="00E473B9">
        <w:rPr>
          <w:rFonts w:ascii="Arial" w:eastAsia="Times New Roman" w:hAnsi="Arial" w:cs="Arial"/>
          <w:color w:val="000000" w:themeColor="text1"/>
          <w:sz w:val="20"/>
          <w:szCs w:val="20"/>
          <w:lang w:eastAsia="en-IN"/>
        </w:rPr>
        <w:t>Ocusert</w:t>
      </w:r>
      <w:proofErr w:type="spellEnd"/>
      <w:r w:rsidRPr="00E473B9">
        <w:rPr>
          <w:rFonts w:ascii="Arial" w:eastAsia="Times New Roman" w:hAnsi="Arial" w:cs="Arial"/>
          <w:color w:val="000000" w:themeColor="text1"/>
          <w:sz w:val="20"/>
          <w:szCs w:val="20"/>
          <w:lang w:eastAsia="en-IN"/>
        </w:rPr>
        <w:t xml:space="preserve">® system, deliver drugs at a near-constant rate through diffusion-controlled mechanisms but require manual removal upon completion of therapy. In contrast, soluble and </w:t>
      </w:r>
      <w:proofErr w:type="spellStart"/>
      <w:r w:rsidRPr="00E473B9">
        <w:rPr>
          <w:rFonts w:ascii="Arial" w:eastAsia="Times New Roman" w:hAnsi="Arial" w:cs="Arial"/>
          <w:color w:val="000000" w:themeColor="text1"/>
          <w:sz w:val="20"/>
          <w:szCs w:val="20"/>
          <w:lang w:eastAsia="en-IN"/>
        </w:rPr>
        <w:t>bioerodible</w:t>
      </w:r>
      <w:proofErr w:type="spellEnd"/>
      <w:r w:rsidRPr="00E473B9">
        <w:rPr>
          <w:rFonts w:ascii="Arial" w:eastAsia="Times New Roman" w:hAnsi="Arial" w:cs="Arial"/>
          <w:color w:val="000000" w:themeColor="text1"/>
          <w:sz w:val="20"/>
          <w:szCs w:val="20"/>
          <w:lang w:eastAsia="en-IN"/>
        </w:rPr>
        <w:t xml:space="preserve"> inserts are formulated from polymers that dissolve or gradually erode in tear fluid, thereby eliminating the need for removal and improving patient convenience and adherence. The drug release kinetics from ocular inserts and films are governed by a combination of diffusion, polymer dissolution, and matrix erosion, which can be precisely modulated through polymer selection, insert thickness, and drug loading. Commonly employed polymers include hydroxypropyl methylcellulose, ethyl cellulose, polyvinyl alcohol, chitosan, and biodegradable polyesters, chosen for their biocompatibility, mechanical strength, and predictable degradation profiles. The incorporation of plasticizers and mucoadhesive agents further enhances flexibility, comfort, and ocular retention, enabling prolonged therapeutic action with reduced dosing frequency</w:t>
      </w:r>
      <w:r w:rsidR="00D92232" w:rsidRPr="00E473B9">
        <w:rPr>
          <w:rFonts w:ascii="Arial" w:eastAsia="Times New Roman" w:hAnsi="Arial" w:cs="Arial"/>
          <w:color w:val="000000" w:themeColor="text1"/>
          <w:sz w:val="20"/>
          <w:szCs w:val="20"/>
          <w:lang w:eastAsia="en-IN"/>
        </w:rPr>
        <w:t xml:space="preserve"> (</w:t>
      </w:r>
      <w:r w:rsidR="006236FD" w:rsidRPr="00E473B9">
        <w:rPr>
          <w:rFonts w:ascii="Arial" w:hAnsi="Arial" w:cs="Arial"/>
          <w:color w:val="000000" w:themeColor="text1"/>
          <w:sz w:val="20"/>
          <w:szCs w:val="20"/>
        </w:rPr>
        <w:t>Kumari et al., 2010</w:t>
      </w:r>
      <w:r w:rsidR="007200FC" w:rsidRPr="00E473B9">
        <w:rPr>
          <w:rFonts w:ascii="Arial" w:eastAsia="Times New Roman" w:hAnsi="Arial" w:cs="Arial"/>
          <w:color w:val="000000" w:themeColor="text1"/>
          <w:sz w:val="20"/>
          <w:szCs w:val="20"/>
          <w:lang w:eastAsia="en-IN"/>
        </w:rPr>
        <w:t>; Chinna et al., 2011</w:t>
      </w:r>
      <w:r w:rsidR="00D92232" w:rsidRPr="00E473B9">
        <w:rPr>
          <w:rFonts w:ascii="Arial" w:eastAsia="Times New Roman" w:hAnsi="Arial" w:cs="Arial"/>
          <w:color w:val="000000" w:themeColor="text1"/>
          <w:sz w:val="20"/>
          <w:szCs w:val="20"/>
          <w:lang w:eastAsia="en-IN"/>
        </w:rPr>
        <w:t>)</w:t>
      </w:r>
      <w:r w:rsidR="00183BED" w:rsidRPr="00E473B9">
        <w:rPr>
          <w:rFonts w:ascii="Arial" w:eastAsia="Times New Roman" w:hAnsi="Arial" w:cs="Arial"/>
          <w:color w:val="000000" w:themeColor="text1"/>
          <w:sz w:val="20"/>
          <w:szCs w:val="20"/>
          <w:lang w:eastAsia="en-IN"/>
        </w:rPr>
        <w:t>.</w:t>
      </w:r>
    </w:p>
    <w:p w14:paraId="4057C0CD" w14:textId="77777777"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2A6A8B40" w14:textId="4EC5519B" w:rsidR="00915FDE" w:rsidRPr="00E473B9" w:rsidRDefault="00915FDE" w:rsidP="002C5523">
      <w:pPr>
        <w:spacing w:after="0" w:line="240" w:lineRule="auto"/>
        <w:jc w:val="both"/>
        <w:rPr>
          <w:rFonts w:ascii="Arial" w:eastAsia="Times New Roman" w:hAnsi="Arial" w:cs="Arial"/>
          <w:b/>
          <w:color w:val="000000" w:themeColor="text1"/>
          <w:sz w:val="20"/>
          <w:szCs w:val="20"/>
          <w:lang w:eastAsia="en-IN"/>
        </w:rPr>
      </w:pPr>
      <w:r w:rsidRPr="00E473B9">
        <w:rPr>
          <w:rFonts w:ascii="Arial" w:eastAsia="Times New Roman" w:hAnsi="Arial" w:cs="Arial"/>
          <w:color w:val="000000" w:themeColor="text1"/>
          <w:sz w:val="20"/>
          <w:szCs w:val="20"/>
          <w:lang w:eastAsia="en-IN"/>
        </w:rPr>
        <w:t xml:space="preserve">From a manufacturing perspective, ocular inserts and films are typically prepared using techniques such as solvent casting, hot-melt extrusion, or compression </w:t>
      </w:r>
      <w:r w:rsidR="00C21AC3" w:rsidRPr="00E473B9">
        <w:rPr>
          <w:rFonts w:ascii="Arial" w:eastAsia="Times New Roman" w:hAnsi="Arial" w:cs="Arial"/>
          <w:color w:val="000000" w:themeColor="text1"/>
          <w:sz w:val="20"/>
          <w:szCs w:val="20"/>
          <w:lang w:eastAsia="en-IN"/>
        </w:rPr>
        <w:t>moulding</w:t>
      </w:r>
      <w:r w:rsidRPr="00E473B9">
        <w:rPr>
          <w:rFonts w:ascii="Arial" w:eastAsia="Times New Roman" w:hAnsi="Arial" w:cs="Arial"/>
          <w:color w:val="000000" w:themeColor="text1"/>
          <w:sz w:val="20"/>
          <w:szCs w:val="20"/>
          <w:lang w:eastAsia="en-IN"/>
        </w:rPr>
        <w:t>, followed by cutting and packaging under aseptic conditions. Critical formulation considerations include achieving uniform drug distribution, maintaining optimal mechanical properties to prevent brittleness or discomfort, and ensuring consistent release characteristics</w:t>
      </w:r>
      <w:r w:rsidR="00C21AC3" w:rsidRPr="00E473B9">
        <w:rPr>
          <w:rFonts w:ascii="Arial" w:eastAsia="Times New Roman" w:hAnsi="Arial" w:cs="Arial"/>
          <w:color w:val="000000" w:themeColor="text1"/>
          <w:sz w:val="20"/>
          <w:szCs w:val="20"/>
          <w:lang w:eastAsia="en-IN"/>
        </w:rPr>
        <w:t xml:space="preserve"> (</w:t>
      </w:r>
      <w:r w:rsidR="008D2043" w:rsidRPr="00E473B9">
        <w:rPr>
          <w:rFonts w:ascii="Arial" w:eastAsia="Times New Roman" w:hAnsi="Arial" w:cs="Arial"/>
          <w:color w:val="000000" w:themeColor="text1"/>
          <w:sz w:val="20"/>
          <w:szCs w:val="20"/>
          <w:lang w:eastAsia="en-IN"/>
        </w:rPr>
        <w:t xml:space="preserve">Chinna Reddy </w:t>
      </w:r>
      <w:r w:rsidR="00163F83" w:rsidRPr="00E473B9">
        <w:rPr>
          <w:rFonts w:ascii="Arial" w:eastAsia="Times New Roman" w:hAnsi="Arial" w:cs="Arial"/>
          <w:color w:val="000000" w:themeColor="text1"/>
          <w:sz w:val="20"/>
          <w:szCs w:val="20"/>
          <w:lang w:eastAsia="en-IN"/>
        </w:rPr>
        <w:t>et al.,</w:t>
      </w:r>
      <w:r w:rsidR="00C21AC3" w:rsidRPr="00E473B9">
        <w:rPr>
          <w:rFonts w:ascii="Arial" w:eastAsia="Times New Roman" w:hAnsi="Arial" w:cs="Arial"/>
          <w:color w:val="000000" w:themeColor="text1"/>
          <w:sz w:val="20"/>
          <w:szCs w:val="20"/>
          <w:lang w:eastAsia="en-IN"/>
        </w:rPr>
        <w:t xml:space="preserve"> 2025)</w:t>
      </w:r>
      <w:r w:rsidRPr="00E473B9">
        <w:rPr>
          <w:rFonts w:ascii="Arial" w:eastAsia="Times New Roman" w:hAnsi="Arial" w:cs="Arial"/>
          <w:color w:val="000000" w:themeColor="text1"/>
          <w:sz w:val="20"/>
          <w:szCs w:val="20"/>
          <w:lang w:eastAsia="en-IN"/>
        </w:rPr>
        <w:t>. Sterilization methods must be carefully selected to preserve polymer integrity and drug stability, while routine quality control assessments such as thickness uniformity, tensile strength, drug content uniformity, and in vitro release profiling are essential to meet regulatory standards. Despite their advantages, including precise dosing, minimized systemic exposure, and sustained therapeutic levels, ocular inserts and films face challenges related to patient acceptance, foreign body sensation, and correct placement within the conjunctival sac. Ongoing advancements in polymer science, miniaturization, and ergonomic design have significantly improved their safety and tolerability, reinforcing the potential of ocular inserts and films as effective sustained-release platforms in ophthalmic drug delivery.</w:t>
      </w:r>
      <w:r w:rsidR="00032E3F" w:rsidRPr="00E473B9">
        <w:rPr>
          <w:rFonts w:ascii="Arial" w:eastAsia="Times New Roman" w:hAnsi="Arial" w:cs="Arial"/>
          <w:color w:val="000000" w:themeColor="text1"/>
          <w:sz w:val="20"/>
          <w:szCs w:val="20"/>
          <w:lang w:eastAsia="en-IN"/>
        </w:rPr>
        <w:t xml:space="preserve"> A comparative summary of ocular inserts and ocular films utilized for sustained ophthalmic drug delivery is presented in </w:t>
      </w:r>
      <w:r w:rsidR="00032E3F" w:rsidRPr="00E473B9">
        <w:rPr>
          <w:rFonts w:ascii="Arial" w:eastAsia="Times New Roman" w:hAnsi="Arial" w:cs="Arial"/>
          <w:b/>
          <w:color w:val="000000" w:themeColor="text1"/>
          <w:sz w:val="20"/>
          <w:szCs w:val="20"/>
          <w:lang w:eastAsia="en-IN"/>
        </w:rPr>
        <w:t>Table 4.</w:t>
      </w:r>
    </w:p>
    <w:p w14:paraId="7EA07FD8" w14:textId="6E557DB3"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7AF34DF5" w14:textId="2B18180F" w:rsidR="00915FDE" w:rsidRPr="00E473B9" w:rsidRDefault="00F27A76" w:rsidP="002C5523">
      <w:pPr>
        <w:spacing w:after="0" w:line="240" w:lineRule="auto"/>
        <w:jc w:val="center"/>
        <w:rPr>
          <w:rFonts w:ascii="Arial" w:hAnsi="Arial" w:cs="Arial"/>
          <w:b/>
          <w:color w:val="000000" w:themeColor="text1"/>
          <w:sz w:val="20"/>
          <w:szCs w:val="20"/>
        </w:rPr>
      </w:pPr>
      <w:r w:rsidRPr="00E473B9">
        <w:rPr>
          <w:rFonts w:ascii="Arial" w:hAnsi="Arial" w:cs="Arial"/>
          <w:b/>
          <w:color w:val="000000" w:themeColor="text1"/>
          <w:sz w:val="20"/>
          <w:szCs w:val="20"/>
        </w:rPr>
        <w:t>Table</w:t>
      </w:r>
      <w:r w:rsidR="00D72EAF" w:rsidRPr="00E473B9">
        <w:rPr>
          <w:rFonts w:ascii="Arial" w:hAnsi="Arial" w:cs="Arial"/>
          <w:b/>
          <w:color w:val="000000" w:themeColor="text1"/>
          <w:sz w:val="20"/>
          <w:szCs w:val="20"/>
        </w:rPr>
        <w:t xml:space="preserve"> 4.</w:t>
      </w:r>
      <w:r w:rsidRPr="00E473B9">
        <w:rPr>
          <w:rFonts w:ascii="Arial" w:hAnsi="Arial" w:cs="Arial"/>
          <w:b/>
          <w:color w:val="000000" w:themeColor="text1"/>
          <w:sz w:val="20"/>
          <w:szCs w:val="20"/>
        </w:rPr>
        <w:t xml:space="preserve"> </w:t>
      </w:r>
      <w:r w:rsidR="00032E3F" w:rsidRPr="00E473B9">
        <w:rPr>
          <w:rFonts w:ascii="Arial" w:hAnsi="Arial" w:cs="Arial"/>
          <w:b/>
          <w:color w:val="000000" w:themeColor="text1"/>
          <w:sz w:val="20"/>
          <w:szCs w:val="20"/>
        </w:rPr>
        <w:t>Comparative Evaluation of Ocular Inserts and Ocular Films for Sustained Ophthalmic Drug Delivery</w:t>
      </w:r>
    </w:p>
    <w:tbl>
      <w:tblPr>
        <w:tblStyle w:val="TableGrid"/>
        <w:tblW w:w="9517" w:type="dxa"/>
        <w:tblLook w:val="04A0" w:firstRow="1" w:lastRow="0" w:firstColumn="1" w:lastColumn="0" w:noHBand="0" w:noVBand="1"/>
      </w:tblPr>
      <w:tblGrid>
        <w:gridCol w:w="1790"/>
        <w:gridCol w:w="3891"/>
        <w:gridCol w:w="3836"/>
      </w:tblGrid>
      <w:tr w:rsidR="00E473B9" w:rsidRPr="00E473B9" w14:paraId="234F4018" w14:textId="77777777" w:rsidTr="00930B6A">
        <w:trPr>
          <w:trHeight w:val="275"/>
          <w:tblHeader/>
        </w:trPr>
        <w:tc>
          <w:tcPr>
            <w:tcW w:w="1790" w:type="dxa"/>
            <w:shd w:val="clear" w:color="auto" w:fill="BFBFBF" w:themeFill="background1" w:themeFillShade="BF"/>
            <w:vAlign w:val="center"/>
          </w:tcPr>
          <w:p w14:paraId="31719414" w14:textId="4E76DC2E" w:rsidR="008A5EBC" w:rsidRPr="00E473B9" w:rsidRDefault="008A5EBC"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Parameter</w:t>
            </w:r>
          </w:p>
        </w:tc>
        <w:tc>
          <w:tcPr>
            <w:tcW w:w="3891" w:type="dxa"/>
            <w:shd w:val="clear" w:color="auto" w:fill="BFBFBF" w:themeFill="background1" w:themeFillShade="BF"/>
            <w:vAlign w:val="center"/>
          </w:tcPr>
          <w:p w14:paraId="6D4A8CB1" w14:textId="40E9AA2D" w:rsidR="008A5EBC" w:rsidRPr="00E473B9" w:rsidRDefault="008A5EBC"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Ocular Inserts</w:t>
            </w:r>
          </w:p>
        </w:tc>
        <w:tc>
          <w:tcPr>
            <w:tcW w:w="3836" w:type="dxa"/>
            <w:shd w:val="clear" w:color="auto" w:fill="BFBFBF" w:themeFill="background1" w:themeFillShade="BF"/>
            <w:vAlign w:val="center"/>
          </w:tcPr>
          <w:p w14:paraId="600462CD" w14:textId="5F32558A" w:rsidR="008A5EBC" w:rsidRPr="00E473B9" w:rsidRDefault="008A5EBC"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Ocular Films</w:t>
            </w:r>
          </w:p>
        </w:tc>
      </w:tr>
      <w:tr w:rsidR="00E473B9" w:rsidRPr="00E473B9" w14:paraId="56A9C56D" w14:textId="77777777" w:rsidTr="008A5EBC">
        <w:trPr>
          <w:trHeight w:val="551"/>
        </w:trPr>
        <w:tc>
          <w:tcPr>
            <w:tcW w:w="1790" w:type="dxa"/>
            <w:vAlign w:val="center"/>
          </w:tcPr>
          <w:p w14:paraId="325AA898" w14:textId="4ADC1073"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Dosage Form Nature</w:t>
            </w:r>
          </w:p>
        </w:tc>
        <w:tc>
          <w:tcPr>
            <w:tcW w:w="3891" w:type="dxa"/>
            <w:vAlign w:val="center"/>
          </w:tcPr>
          <w:p w14:paraId="5B029AD2" w14:textId="776FEAA2"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Solid, discrete devices placed in the conjunctival sac</w:t>
            </w:r>
          </w:p>
        </w:tc>
        <w:tc>
          <w:tcPr>
            <w:tcW w:w="3836" w:type="dxa"/>
            <w:vAlign w:val="center"/>
          </w:tcPr>
          <w:p w14:paraId="0DFA4EB2" w14:textId="1B894768"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Thin, flexible polymeric sheets applied to ocular surface</w:t>
            </w:r>
          </w:p>
        </w:tc>
      </w:tr>
      <w:tr w:rsidR="00E473B9" w:rsidRPr="00E473B9" w14:paraId="27D61D5E" w14:textId="77777777" w:rsidTr="00B6494B">
        <w:trPr>
          <w:trHeight w:val="367"/>
        </w:trPr>
        <w:tc>
          <w:tcPr>
            <w:tcW w:w="1790" w:type="dxa"/>
            <w:vAlign w:val="center"/>
          </w:tcPr>
          <w:p w14:paraId="4A07BA5E" w14:textId="7C8532AD"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Typical Size &amp; Thickness</w:t>
            </w:r>
          </w:p>
        </w:tc>
        <w:tc>
          <w:tcPr>
            <w:tcW w:w="3891" w:type="dxa"/>
            <w:vAlign w:val="center"/>
          </w:tcPr>
          <w:p w14:paraId="258584D6" w14:textId="1CF60525"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Relatively thicker and rigid</w:t>
            </w:r>
          </w:p>
        </w:tc>
        <w:tc>
          <w:tcPr>
            <w:tcW w:w="3836" w:type="dxa"/>
            <w:vAlign w:val="center"/>
          </w:tcPr>
          <w:p w14:paraId="0E45D3AC" w14:textId="25301E4E"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Ultra-thin, flexible, and lightweight</w:t>
            </w:r>
          </w:p>
        </w:tc>
      </w:tr>
      <w:tr w:rsidR="00E473B9" w:rsidRPr="00E473B9" w14:paraId="38FFCFD3" w14:textId="77777777" w:rsidTr="00B6494B">
        <w:trPr>
          <w:trHeight w:val="473"/>
        </w:trPr>
        <w:tc>
          <w:tcPr>
            <w:tcW w:w="1790" w:type="dxa"/>
            <w:vAlign w:val="center"/>
          </w:tcPr>
          <w:p w14:paraId="5C31553F" w14:textId="42076336"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Polymer Composition</w:t>
            </w:r>
          </w:p>
        </w:tc>
        <w:tc>
          <w:tcPr>
            <w:tcW w:w="3891" w:type="dxa"/>
            <w:vAlign w:val="center"/>
          </w:tcPr>
          <w:p w14:paraId="6BA03145" w14:textId="3075F665"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 xml:space="preserve">Insoluble (e.g., ethyl cellulose), soluble (HPMC, PVA), or </w:t>
            </w:r>
            <w:proofErr w:type="spellStart"/>
            <w:r w:rsidRPr="00E473B9">
              <w:rPr>
                <w:rFonts w:ascii="Arial" w:eastAsia="Times New Roman" w:hAnsi="Arial" w:cs="Arial"/>
                <w:color w:val="000000" w:themeColor="text1"/>
                <w:sz w:val="20"/>
                <w:szCs w:val="20"/>
                <w:lang w:eastAsia="en-IN"/>
              </w:rPr>
              <w:t>bioerodible</w:t>
            </w:r>
            <w:proofErr w:type="spellEnd"/>
            <w:r w:rsidRPr="00E473B9">
              <w:rPr>
                <w:rFonts w:ascii="Arial" w:eastAsia="Times New Roman" w:hAnsi="Arial" w:cs="Arial"/>
                <w:color w:val="000000" w:themeColor="text1"/>
                <w:sz w:val="20"/>
                <w:szCs w:val="20"/>
                <w:lang w:eastAsia="en-IN"/>
              </w:rPr>
              <w:t xml:space="preserve"> polymers</w:t>
            </w:r>
          </w:p>
        </w:tc>
        <w:tc>
          <w:tcPr>
            <w:tcW w:w="3836" w:type="dxa"/>
            <w:vAlign w:val="center"/>
          </w:tcPr>
          <w:p w14:paraId="7B8F06AB" w14:textId="387A4A1F"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 xml:space="preserve">Primarily soluble or </w:t>
            </w:r>
            <w:proofErr w:type="spellStart"/>
            <w:r w:rsidRPr="00E473B9">
              <w:rPr>
                <w:rFonts w:ascii="Arial" w:eastAsia="Times New Roman" w:hAnsi="Arial" w:cs="Arial"/>
                <w:color w:val="000000" w:themeColor="text1"/>
                <w:sz w:val="20"/>
                <w:szCs w:val="20"/>
                <w:lang w:eastAsia="en-IN"/>
              </w:rPr>
              <w:t>bioerodible</w:t>
            </w:r>
            <w:proofErr w:type="spellEnd"/>
            <w:r w:rsidRPr="00E473B9">
              <w:rPr>
                <w:rFonts w:ascii="Arial" w:eastAsia="Times New Roman" w:hAnsi="Arial" w:cs="Arial"/>
                <w:color w:val="000000" w:themeColor="text1"/>
                <w:sz w:val="20"/>
                <w:szCs w:val="20"/>
                <w:lang w:eastAsia="en-IN"/>
              </w:rPr>
              <w:t xml:space="preserve"> polymers (HPMC, chitosan, PVA, alginate)</w:t>
            </w:r>
          </w:p>
        </w:tc>
      </w:tr>
      <w:tr w:rsidR="00E473B9" w:rsidRPr="00E473B9" w14:paraId="58EC490B" w14:textId="77777777" w:rsidTr="008A5EBC">
        <w:trPr>
          <w:trHeight w:val="551"/>
        </w:trPr>
        <w:tc>
          <w:tcPr>
            <w:tcW w:w="1790" w:type="dxa"/>
            <w:vAlign w:val="center"/>
          </w:tcPr>
          <w:p w14:paraId="48D49550" w14:textId="467A6166"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Drug Release Mechanism</w:t>
            </w:r>
          </w:p>
        </w:tc>
        <w:tc>
          <w:tcPr>
            <w:tcW w:w="3891" w:type="dxa"/>
            <w:vAlign w:val="center"/>
          </w:tcPr>
          <w:p w14:paraId="1E70F8BA" w14:textId="5FF77399"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Diffusion-controlled, dissolution-controlled, or erosion-controlled</w:t>
            </w:r>
          </w:p>
        </w:tc>
        <w:tc>
          <w:tcPr>
            <w:tcW w:w="3836" w:type="dxa"/>
            <w:vAlign w:val="center"/>
          </w:tcPr>
          <w:p w14:paraId="6F02C92A" w14:textId="331AA3DA"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Diffusion and rapid polymer hydration/erosion</w:t>
            </w:r>
          </w:p>
        </w:tc>
      </w:tr>
      <w:tr w:rsidR="00E473B9" w:rsidRPr="00E473B9" w14:paraId="1733EF3F" w14:textId="77777777" w:rsidTr="00B6494B">
        <w:trPr>
          <w:trHeight w:val="416"/>
        </w:trPr>
        <w:tc>
          <w:tcPr>
            <w:tcW w:w="1790" w:type="dxa"/>
            <w:vAlign w:val="center"/>
          </w:tcPr>
          <w:p w14:paraId="7BBAFD57" w14:textId="200CB1EC"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Release Duration</w:t>
            </w:r>
          </w:p>
        </w:tc>
        <w:tc>
          <w:tcPr>
            <w:tcW w:w="3891" w:type="dxa"/>
            <w:vAlign w:val="center"/>
          </w:tcPr>
          <w:p w14:paraId="4F95E459" w14:textId="22126867"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Hours to days (can extend to a week)</w:t>
            </w:r>
          </w:p>
        </w:tc>
        <w:tc>
          <w:tcPr>
            <w:tcW w:w="3836" w:type="dxa"/>
            <w:vAlign w:val="center"/>
          </w:tcPr>
          <w:p w14:paraId="4465F9FB" w14:textId="373BFDB4"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Hours to days</w:t>
            </w:r>
          </w:p>
        </w:tc>
      </w:tr>
      <w:tr w:rsidR="00E473B9" w:rsidRPr="00E473B9" w14:paraId="26729677" w14:textId="77777777" w:rsidTr="00B6494B">
        <w:trPr>
          <w:trHeight w:val="296"/>
        </w:trPr>
        <w:tc>
          <w:tcPr>
            <w:tcW w:w="1790" w:type="dxa"/>
            <w:vAlign w:val="center"/>
          </w:tcPr>
          <w:p w14:paraId="3E6E0E4A" w14:textId="1380A468"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Need for Removal</w:t>
            </w:r>
          </w:p>
        </w:tc>
        <w:tc>
          <w:tcPr>
            <w:tcW w:w="3891" w:type="dxa"/>
            <w:vAlign w:val="center"/>
          </w:tcPr>
          <w:p w14:paraId="1F2714E3" w14:textId="492FDE3B"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Required for insoluble inserts</w:t>
            </w:r>
          </w:p>
        </w:tc>
        <w:tc>
          <w:tcPr>
            <w:tcW w:w="3836" w:type="dxa"/>
            <w:vAlign w:val="center"/>
          </w:tcPr>
          <w:p w14:paraId="39590070" w14:textId="4C6D5CF7"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No removal required</w:t>
            </w:r>
          </w:p>
        </w:tc>
      </w:tr>
      <w:tr w:rsidR="00E473B9" w:rsidRPr="00E473B9" w14:paraId="3487DD81" w14:textId="77777777" w:rsidTr="00B6494B">
        <w:trPr>
          <w:trHeight w:val="257"/>
        </w:trPr>
        <w:tc>
          <w:tcPr>
            <w:tcW w:w="1790" w:type="dxa"/>
            <w:vAlign w:val="center"/>
          </w:tcPr>
          <w:p w14:paraId="15031B8A" w14:textId="1A946046"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Patient Comfort</w:t>
            </w:r>
          </w:p>
        </w:tc>
        <w:tc>
          <w:tcPr>
            <w:tcW w:w="3891" w:type="dxa"/>
            <w:vAlign w:val="center"/>
          </w:tcPr>
          <w:p w14:paraId="33443B79" w14:textId="493E3086"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May cause foreign body sensation</w:t>
            </w:r>
          </w:p>
        </w:tc>
        <w:tc>
          <w:tcPr>
            <w:tcW w:w="3836" w:type="dxa"/>
            <w:vAlign w:val="center"/>
          </w:tcPr>
          <w:p w14:paraId="5BAA6F97" w14:textId="71D86F60"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Generally better comfort due to flexibility</w:t>
            </w:r>
          </w:p>
        </w:tc>
      </w:tr>
      <w:tr w:rsidR="00E473B9" w:rsidRPr="00E473B9" w14:paraId="4D1A822F" w14:textId="77777777" w:rsidTr="00B6494B">
        <w:trPr>
          <w:trHeight w:val="133"/>
        </w:trPr>
        <w:tc>
          <w:tcPr>
            <w:tcW w:w="1790" w:type="dxa"/>
            <w:vAlign w:val="center"/>
          </w:tcPr>
          <w:p w14:paraId="5DC51702" w14:textId="1735A8E5"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Dose Accuracy</w:t>
            </w:r>
          </w:p>
        </w:tc>
        <w:tc>
          <w:tcPr>
            <w:tcW w:w="3891" w:type="dxa"/>
            <w:vAlign w:val="center"/>
          </w:tcPr>
          <w:p w14:paraId="6D107F3E" w14:textId="009D05C7"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High precision and reproducibility</w:t>
            </w:r>
          </w:p>
        </w:tc>
        <w:tc>
          <w:tcPr>
            <w:tcW w:w="3836" w:type="dxa"/>
            <w:vAlign w:val="center"/>
          </w:tcPr>
          <w:p w14:paraId="2CEE4D5C" w14:textId="22F359B1"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High, but dependent on film uniformity</w:t>
            </w:r>
          </w:p>
        </w:tc>
      </w:tr>
      <w:tr w:rsidR="00E473B9" w:rsidRPr="00E473B9" w14:paraId="74F99718" w14:textId="77777777" w:rsidTr="008A5EBC">
        <w:trPr>
          <w:trHeight w:val="551"/>
        </w:trPr>
        <w:tc>
          <w:tcPr>
            <w:tcW w:w="1790" w:type="dxa"/>
            <w:vAlign w:val="center"/>
          </w:tcPr>
          <w:p w14:paraId="372811FD" w14:textId="6CC4B031"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Manufacturing Complexity</w:t>
            </w:r>
          </w:p>
        </w:tc>
        <w:tc>
          <w:tcPr>
            <w:tcW w:w="3891" w:type="dxa"/>
            <w:vAlign w:val="center"/>
          </w:tcPr>
          <w:p w14:paraId="1746F699" w14:textId="50A84BC9"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Moderate; requires precise shaping and sterilization</w:t>
            </w:r>
          </w:p>
        </w:tc>
        <w:tc>
          <w:tcPr>
            <w:tcW w:w="3836" w:type="dxa"/>
            <w:vAlign w:val="center"/>
          </w:tcPr>
          <w:p w14:paraId="186EFD56" w14:textId="6370498A"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Relatively simpler; scalable solvent casting</w:t>
            </w:r>
          </w:p>
        </w:tc>
      </w:tr>
      <w:tr w:rsidR="00E473B9" w:rsidRPr="00E473B9" w14:paraId="3EFF1F36" w14:textId="77777777" w:rsidTr="008A5EBC">
        <w:trPr>
          <w:trHeight w:val="551"/>
        </w:trPr>
        <w:tc>
          <w:tcPr>
            <w:tcW w:w="1790" w:type="dxa"/>
            <w:vAlign w:val="center"/>
          </w:tcPr>
          <w:p w14:paraId="05FBEAD4" w14:textId="65C22612"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Clinical Acceptance</w:t>
            </w:r>
          </w:p>
        </w:tc>
        <w:tc>
          <w:tcPr>
            <w:tcW w:w="3891" w:type="dxa"/>
            <w:vAlign w:val="center"/>
          </w:tcPr>
          <w:p w14:paraId="2C6C7DA4" w14:textId="643B72CE"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Limited by discomfort and placement challenges</w:t>
            </w:r>
          </w:p>
        </w:tc>
        <w:tc>
          <w:tcPr>
            <w:tcW w:w="3836" w:type="dxa"/>
            <w:vAlign w:val="center"/>
          </w:tcPr>
          <w:p w14:paraId="591CC003" w14:textId="57B022C0"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Higher acceptance due to improved ergonomics</w:t>
            </w:r>
          </w:p>
        </w:tc>
      </w:tr>
      <w:tr w:rsidR="008A5EBC" w:rsidRPr="00E473B9" w14:paraId="3CA8F564" w14:textId="77777777" w:rsidTr="00B6494B">
        <w:trPr>
          <w:trHeight w:val="1268"/>
        </w:trPr>
        <w:tc>
          <w:tcPr>
            <w:tcW w:w="1790" w:type="dxa"/>
            <w:vAlign w:val="center"/>
          </w:tcPr>
          <w:p w14:paraId="7FD5104D" w14:textId="22B8E963" w:rsidR="008A5EBC" w:rsidRPr="00E473B9" w:rsidRDefault="008A5EBC" w:rsidP="002C5523">
            <w:pPr>
              <w:rPr>
                <w:rFonts w:ascii="Arial" w:eastAsia="Times New Roman" w:hAnsi="Arial" w:cs="Arial"/>
                <w:bCs/>
                <w:color w:val="000000" w:themeColor="text1"/>
                <w:sz w:val="20"/>
                <w:szCs w:val="20"/>
                <w:lang w:eastAsia="en-IN"/>
              </w:rPr>
            </w:pPr>
            <w:r w:rsidRPr="00E473B9">
              <w:rPr>
                <w:rFonts w:ascii="Arial" w:hAnsi="Arial" w:cs="Arial"/>
                <w:color w:val="000000" w:themeColor="text1"/>
                <w:sz w:val="20"/>
                <w:szCs w:val="20"/>
              </w:rPr>
              <w:lastRenderedPageBreak/>
              <w:t>Marketed and Investigational Ocular Insert and Film Products</w:t>
            </w:r>
          </w:p>
        </w:tc>
        <w:tc>
          <w:tcPr>
            <w:tcW w:w="3891" w:type="dxa"/>
            <w:vAlign w:val="center"/>
          </w:tcPr>
          <w:p w14:paraId="7D05D157" w14:textId="77777777" w:rsidR="008A5EBC" w:rsidRPr="00E473B9" w:rsidRDefault="008A5EBC" w:rsidP="002C5523">
            <w:pPr>
              <w:rPr>
                <w:rFonts w:ascii="Arial" w:eastAsia="Times New Roman" w:hAnsi="Arial" w:cs="Arial"/>
                <w:bCs/>
                <w:color w:val="000000" w:themeColor="text1"/>
                <w:sz w:val="20"/>
                <w:szCs w:val="20"/>
                <w:lang w:eastAsia="en-IN"/>
              </w:rPr>
            </w:pPr>
            <w:proofErr w:type="spellStart"/>
            <w:r w:rsidRPr="00E473B9">
              <w:rPr>
                <w:rFonts w:ascii="Arial" w:eastAsia="Times New Roman" w:hAnsi="Arial" w:cs="Arial"/>
                <w:bCs/>
                <w:color w:val="000000" w:themeColor="text1"/>
                <w:sz w:val="20"/>
                <w:szCs w:val="20"/>
                <w:lang w:eastAsia="en-IN"/>
              </w:rPr>
              <w:t>Ocusert</w:t>
            </w:r>
            <w:proofErr w:type="spellEnd"/>
            <w:r w:rsidRPr="00E473B9">
              <w:rPr>
                <w:rFonts w:ascii="Arial" w:eastAsia="Times New Roman" w:hAnsi="Arial" w:cs="Arial"/>
                <w:bCs/>
                <w:color w:val="000000" w:themeColor="text1"/>
                <w:sz w:val="20"/>
                <w:szCs w:val="20"/>
                <w:vertAlign w:val="superscript"/>
                <w:lang w:eastAsia="en-IN"/>
              </w:rPr>
              <w:t>®</w:t>
            </w:r>
            <w:r w:rsidRPr="00E473B9">
              <w:rPr>
                <w:rFonts w:ascii="Arial" w:eastAsia="Times New Roman" w:hAnsi="Arial" w:cs="Arial"/>
                <w:bCs/>
                <w:color w:val="000000" w:themeColor="text1"/>
                <w:sz w:val="20"/>
                <w:szCs w:val="20"/>
                <w:lang w:eastAsia="en-IN"/>
              </w:rPr>
              <w:t xml:space="preserve"> (Pilocarpine)</w:t>
            </w:r>
          </w:p>
          <w:p w14:paraId="2CD39D4C" w14:textId="77777777" w:rsidR="008A5EBC" w:rsidRPr="00E473B9" w:rsidRDefault="008A5EBC" w:rsidP="002C5523">
            <w:pPr>
              <w:rPr>
                <w:rFonts w:ascii="Arial" w:eastAsia="Times New Roman" w:hAnsi="Arial" w:cs="Arial"/>
                <w:bCs/>
                <w:color w:val="000000" w:themeColor="text1"/>
                <w:sz w:val="20"/>
                <w:szCs w:val="20"/>
                <w:lang w:eastAsia="en-IN"/>
              </w:rPr>
            </w:pPr>
            <w:proofErr w:type="spellStart"/>
            <w:r w:rsidRPr="00E473B9">
              <w:rPr>
                <w:rFonts w:ascii="Arial" w:eastAsia="Times New Roman" w:hAnsi="Arial" w:cs="Arial"/>
                <w:bCs/>
                <w:color w:val="000000" w:themeColor="text1"/>
                <w:sz w:val="20"/>
                <w:szCs w:val="20"/>
                <w:lang w:eastAsia="en-IN"/>
              </w:rPr>
              <w:t>Lacrisert</w:t>
            </w:r>
            <w:proofErr w:type="spellEnd"/>
            <w:r w:rsidRPr="00E473B9">
              <w:rPr>
                <w:rFonts w:ascii="Arial" w:eastAsia="Times New Roman" w:hAnsi="Arial" w:cs="Arial"/>
                <w:bCs/>
                <w:color w:val="000000" w:themeColor="text1"/>
                <w:sz w:val="20"/>
                <w:szCs w:val="20"/>
                <w:vertAlign w:val="superscript"/>
                <w:lang w:eastAsia="en-IN"/>
              </w:rPr>
              <w:t>®</w:t>
            </w:r>
            <w:r w:rsidRPr="00E473B9">
              <w:rPr>
                <w:rFonts w:ascii="Arial" w:eastAsia="Times New Roman" w:hAnsi="Arial" w:cs="Arial"/>
                <w:bCs/>
                <w:color w:val="000000" w:themeColor="text1"/>
                <w:sz w:val="20"/>
                <w:szCs w:val="20"/>
                <w:lang w:eastAsia="en-IN"/>
              </w:rPr>
              <w:t xml:space="preserve"> (Hydroxypropyl cellulose)</w:t>
            </w:r>
          </w:p>
          <w:p w14:paraId="3454C914" w14:textId="77777777" w:rsidR="008A5EBC" w:rsidRPr="00E473B9" w:rsidRDefault="008A5EBC" w:rsidP="002C5523">
            <w:pPr>
              <w:rPr>
                <w:rFonts w:ascii="Arial" w:eastAsia="Times New Roman" w:hAnsi="Arial" w:cs="Arial"/>
                <w:bCs/>
                <w:color w:val="000000" w:themeColor="text1"/>
                <w:sz w:val="20"/>
                <w:szCs w:val="20"/>
                <w:lang w:eastAsia="en-IN"/>
              </w:rPr>
            </w:pPr>
            <w:proofErr w:type="spellStart"/>
            <w:r w:rsidRPr="00E473B9">
              <w:rPr>
                <w:rFonts w:ascii="Arial" w:eastAsia="Times New Roman" w:hAnsi="Arial" w:cs="Arial"/>
                <w:bCs/>
                <w:color w:val="000000" w:themeColor="text1"/>
                <w:sz w:val="20"/>
                <w:szCs w:val="20"/>
                <w:lang w:eastAsia="en-IN"/>
              </w:rPr>
              <w:t>Myodisc</w:t>
            </w:r>
            <w:proofErr w:type="spellEnd"/>
            <w:r w:rsidRPr="00E473B9">
              <w:rPr>
                <w:rFonts w:ascii="Arial" w:eastAsia="Times New Roman" w:hAnsi="Arial" w:cs="Arial"/>
                <w:bCs/>
                <w:color w:val="000000" w:themeColor="text1"/>
                <w:sz w:val="20"/>
                <w:szCs w:val="20"/>
                <w:vertAlign w:val="superscript"/>
                <w:lang w:eastAsia="en-IN"/>
              </w:rPr>
              <w:t>®</w:t>
            </w:r>
          </w:p>
          <w:p w14:paraId="210A8C3C" w14:textId="77777777"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Timolol maleate insert</w:t>
            </w:r>
          </w:p>
          <w:p w14:paraId="2BDF5E13" w14:textId="540E0F87"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Ofloxacin ocular insert</w:t>
            </w:r>
          </w:p>
        </w:tc>
        <w:tc>
          <w:tcPr>
            <w:tcW w:w="3836" w:type="dxa"/>
            <w:vAlign w:val="center"/>
          </w:tcPr>
          <w:p w14:paraId="37E74B02" w14:textId="5F46F4A1"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Cyclosporine ocular film</w:t>
            </w:r>
          </w:p>
          <w:p w14:paraId="4023AE83" w14:textId="4DC53936"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Dexamethasone ocular film</w:t>
            </w:r>
          </w:p>
          <w:p w14:paraId="22309F0A" w14:textId="0DF1FDC4"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Fluconazole ocular film</w:t>
            </w:r>
          </w:p>
          <w:p w14:paraId="17A0FB88" w14:textId="22C37598" w:rsidR="008A5EBC" w:rsidRPr="00E473B9" w:rsidRDefault="008A5EBC"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Ketorolac ocular film</w:t>
            </w:r>
          </w:p>
          <w:p w14:paraId="3328BB5F" w14:textId="3B86A7FC" w:rsidR="008A5EBC" w:rsidRPr="00E473B9" w:rsidRDefault="008A5EBC" w:rsidP="002C5523">
            <w:pPr>
              <w:rPr>
                <w:rFonts w:ascii="Arial" w:eastAsia="Times New Roman" w:hAnsi="Arial" w:cs="Arial"/>
                <w:color w:val="000000" w:themeColor="text1"/>
                <w:sz w:val="20"/>
                <w:szCs w:val="20"/>
                <w:lang w:eastAsia="en-IN"/>
              </w:rPr>
            </w:pPr>
          </w:p>
        </w:tc>
      </w:tr>
    </w:tbl>
    <w:p w14:paraId="750DEEBE" w14:textId="328CDAC5" w:rsidR="008A5EBC" w:rsidRPr="00E473B9" w:rsidRDefault="008A5EBC" w:rsidP="002C5523">
      <w:pPr>
        <w:spacing w:after="0" w:line="240" w:lineRule="auto"/>
        <w:jc w:val="center"/>
        <w:rPr>
          <w:rFonts w:ascii="Arial" w:eastAsia="Times New Roman" w:hAnsi="Arial" w:cs="Arial"/>
          <w:color w:val="000000" w:themeColor="text1"/>
          <w:sz w:val="20"/>
          <w:szCs w:val="20"/>
          <w:lang w:eastAsia="en-IN"/>
        </w:rPr>
      </w:pPr>
    </w:p>
    <w:p w14:paraId="1ECCA3FF" w14:textId="2630F1F0" w:rsidR="00084CF6" w:rsidRPr="00E473B9" w:rsidRDefault="00084CF6" w:rsidP="002C5523">
      <w:pPr>
        <w:pStyle w:val="Heading3"/>
        <w:spacing w:before="0" w:beforeAutospacing="0" w:after="0" w:afterAutospacing="0"/>
        <w:jc w:val="both"/>
        <w:rPr>
          <w:rStyle w:val="Strong"/>
          <w:rFonts w:ascii="Arial" w:hAnsi="Arial" w:cs="Arial"/>
          <w:b/>
          <w:bCs/>
          <w:color w:val="000000" w:themeColor="text1"/>
          <w:sz w:val="22"/>
          <w:szCs w:val="22"/>
        </w:rPr>
      </w:pPr>
      <w:r w:rsidRPr="00E473B9">
        <w:rPr>
          <w:rStyle w:val="Strong"/>
          <w:rFonts w:ascii="Arial" w:hAnsi="Arial" w:cs="Arial"/>
          <w:b/>
          <w:bCs/>
          <w:color w:val="000000" w:themeColor="text1"/>
          <w:sz w:val="22"/>
          <w:szCs w:val="22"/>
        </w:rPr>
        <w:t>3.5. Implants and Injectable Systems</w:t>
      </w:r>
    </w:p>
    <w:p w14:paraId="3EBE4693" w14:textId="77777777" w:rsidR="00D72EAF" w:rsidRPr="00E473B9" w:rsidRDefault="00D72EAF" w:rsidP="002C5523">
      <w:pPr>
        <w:pStyle w:val="Heading3"/>
        <w:spacing w:before="0" w:beforeAutospacing="0" w:after="0" w:afterAutospacing="0"/>
        <w:jc w:val="both"/>
        <w:rPr>
          <w:rFonts w:ascii="Arial" w:hAnsi="Arial" w:cs="Arial"/>
          <w:color w:val="000000" w:themeColor="text1"/>
          <w:sz w:val="20"/>
          <w:szCs w:val="20"/>
        </w:rPr>
      </w:pPr>
    </w:p>
    <w:p w14:paraId="6A2216E1" w14:textId="1E265D88" w:rsidR="00F27A76" w:rsidRPr="00E473B9" w:rsidRDefault="00F27A76"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Implants and injectable delivery systems represent advanced sustained-release platforms capable of providing long-term and site-specific drug delivery, particularly for chronic disorders affecting the posterior segment of the eye. These systems are designed to maintain therapeutic drug concentrations for extended durations ranging from several weeks to months, thereby significantly reducing the frequency of invasive interventions. Based on material composition and degradation behavior, ophthalmic implants are broadly categorized as biodegradable or non-biodegradable, each offering distinct advantages in terms of release kinetics and clinical management. Biodegradable implants, typically fabricated from polymers such as poly</w:t>
      </w:r>
      <w:r w:rsidR="00183BED"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(lactic-co-glycolic acid) (PLGA), undergo gradual degradation within ocular tissues, eliminating the need for surgical removal. Drug release from these systems is governed by a combination of diffusion and polymer erosion, enabling predictable and sustained pharmacokinetic profiles. In contrast, non-biodegradable implants, composed of materials such as silicone or ethylene-vinyl acetate, provide highly controlled drug release over prolonged periods but often require surgical implantation and removal. Injectable systems, including microsphere suspensions and in situ forming depots, offer minimally invasive alternatives that can be administered via fine-gauge needles and subsequently form drug-releasing matrices in situ</w:t>
      </w:r>
      <w:r w:rsidR="00FD5E24" w:rsidRPr="00E473B9">
        <w:rPr>
          <w:rFonts w:ascii="Arial" w:eastAsia="Times New Roman" w:hAnsi="Arial" w:cs="Arial"/>
          <w:color w:val="000000" w:themeColor="text1"/>
          <w:sz w:val="20"/>
          <w:szCs w:val="20"/>
          <w:lang w:eastAsia="en-IN"/>
        </w:rPr>
        <w:t xml:space="preserve"> (</w:t>
      </w:r>
      <w:r w:rsidR="006236FD" w:rsidRPr="00E473B9">
        <w:rPr>
          <w:rFonts w:ascii="Arial" w:eastAsia="Times New Roman" w:hAnsi="Arial" w:cs="Arial"/>
          <w:color w:val="000000" w:themeColor="text1"/>
          <w:sz w:val="20"/>
          <w:szCs w:val="20"/>
          <w:lang w:eastAsia="en-IN"/>
        </w:rPr>
        <w:t>Del Amo et al., 2017</w:t>
      </w:r>
      <w:r w:rsidR="00FD5E24" w:rsidRPr="00E473B9">
        <w:rPr>
          <w:rFonts w:ascii="Arial" w:eastAsia="Times New Roman" w:hAnsi="Arial" w:cs="Arial"/>
          <w:color w:val="000000" w:themeColor="text1"/>
          <w:sz w:val="20"/>
          <w:szCs w:val="20"/>
          <w:lang w:eastAsia="en-IN"/>
        </w:rPr>
        <w:t>)</w:t>
      </w:r>
      <w:r w:rsidRPr="00E473B9">
        <w:rPr>
          <w:rFonts w:ascii="Arial" w:eastAsia="Times New Roman" w:hAnsi="Arial" w:cs="Arial"/>
          <w:color w:val="000000" w:themeColor="text1"/>
          <w:sz w:val="20"/>
          <w:szCs w:val="20"/>
          <w:lang w:eastAsia="en-IN"/>
        </w:rPr>
        <w:t>.</w:t>
      </w:r>
    </w:p>
    <w:p w14:paraId="1AD91398" w14:textId="77777777"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527FF9CB" w14:textId="40DEE766" w:rsidR="00F27A76" w:rsidRPr="00E473B9" w:rsidRDefault="00F27A76"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Multiple delivery routes including intravitreal, sub</w:t>
      </w:r>
      <w:r w:rsidR="006236FD"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 xml:space="preserve">conjunctival, and periocular administration are employed depending on the target tissue, disease severity, and pharmacological requirements. From a formulation and manufacturing perspective, implant and injectable system development necessitates precise control of polymer molecular weight, drug loading, and matrix architecture, as these parameters critically influence release duration and consistency. Manufacturing processes such as hot-melt extrusion, solvent casting, and microsphere fabrication must ensure uniform drug distribution, structural integrity, and long-term stability. Given the stringent sterility requirements for intraocular products, aseptic manufacturing and validated sterilization strategies are essential, alongside rigorous quality control evaluations including in vitro release testing, mechanical strength assessment, and biocompatibility studies. The clinical viability of implant-based ophthalmic therapy is exemplified by several FDA-approved products, including </w:t>
      </w:r>
      <w:proofErr w:type="spellStart"/>
      <w:r w:rsidRPr="00E473B9">
        <w:rPr>
          <w:rFonts w:ascii="Arial" w:eastAsia="Times New Roman" w:hAnsi="Arial" w:cs="Arial"/>
          <w:color w:val="000000" w:themeColor="text1"/>
          <w:sz w:val="20"/>
          <w:szCs w:val="20"/>
          <w:lang w:eastAsia="en-IN"/>
        </w:rPr>
        <w:t>Ozurdex</w:t>
      </w:r>
      <w:proofErr w:type="spellEnd"/>
      <w:r w:rsidRPr="00E473B9">
        <w:rPr>
          <w:rFonts w:ascii="Arial" w:eastAsia="Times New Roman" w:hAnsi="Arial" w:cs="Arial"/>
          <w:color w:val="000000" w:themeColor="text1"/>
          <w:sz w:val="20"/>
          <w:szCs w:val="20"/>
          <w:lang w:eastAsia="en-IN"/>
        </w:rPr>
        <w:t xml:space="preserve">®, </w:t>
      </w:r>
      <w:proofErr w:type="spellStart"/>
      <w:r w:rsidRPr="00E473B9">
        <w:rPr>
          <w:rFonts w:ascii="Arial" w:eastAsia="Times New Roman" w:hAnsi="Arial" w:cs="Arial"/>
          <w:color w:val="000000" w:themeColor="text1"/>
          <w:sz w:val="20"/>
          <w:szCs w:val="20"/>
          <w:lang w:eastAsia="en-IN"/>
        </w:rPr>
        <w:t>Retisert</w:t>
      </w:r>
      <w:proofErr w:type="spellEnd"/>
      <w:r w:rsidRPr="00E473B9">
        <w:rPr>
          <w:rFonts w:ascii="Arial" w:eastAsia="Times New Roman" w:hAnsi="Arial" w:cs="Arial"/>
          <w:color w:val="000000" w:themeColor="text1"/>
          <w:sz w:val="20"/>
          <w:szCs w:val="20"/>
          <w:lang w:eastAsia="en-IN"/>
        </w:rPr>
        <w:t xml:space="preserve">®, and </w:t>
      </w:r>
      <w:proofErr w:type="spellStart"/>
      <w:r w:rsidRPr="00E473B9">
        <w:rPr>
          <w:rFonts w:ascii="Arial" w:eastAsia="Times New Roman" w:hAnsi="Arial" w:cs="Arial"/>
          <w:color w:val="000000" w:themeColor="text1"/>
          <w:sz w:val="20"/>
          <w:szCs w:val="20"/>
          <w:lang w:eastAsia="en-IN"/>
        </w:rPr>
        <w:t>Durysta</w:t>
      </w:r>
      <w:proofErr w:type="spellEnd"/>
      <w:r w:rsidRPr="00E473B9">
        <w:rPr>
          <w:rFonts w:ascii="Arial" w:eastAsia="Times New Roman" w:hAnsi="Arial" w:cs="Arial"/>
          <w:color w:val="000000" w:themeColor="text1"/>
          <w:sz w:val="20"/>
          <w:szCs w:val="20"/>
          <w:lang w:eastAsia="en-IN"/>
        </w:rPr>
        <w:t>®, which deliver corticosteroids or intraocular pressure–lowering agents with high precision and sustained therapeutic efficacy. Despite their substantial advantages in reducing treatment burden and improving disease management, these systems are inherently invasive and may be associated with adverse events such as infection, inflammation, implant migration, or elevated intraocular pressure. Consequently, careful patient selection, individualized risk–benefit assessment, and ongoing post-implantation monitoring remain essential to optimize clinical outcomes.</w:t>
      </w:r>
    </w:p>
    <w:p w14:paraId="434C90EB" w14:textId="77777777"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468EB1FD" w14:textId="6B6057C4" w:rsidR="00084CF6" w:rsidRPr="00E473B9" w:rsidRDefault="00084CF6" w:rsidP="002C5523">
      <w:pPr>
        <w:pStyle w:val="Heading3"/>
        <w:spacing w:before="0" w:beforeAutospacing="0" w:after="0" w:afterAutospacing="0"/>
        <w:jc w:val="both"/>
        <w:rPr>
          <w:rStyle w:val="Strong"/>
          <w:rFonts w:ascii="Arial" w:hAnsi="Arial" w:cs="Arial"/>
          <w:b/>
          <w:bCs/>
          <w:color w:val="000000" w:themeColor="text1"/>
          <w:sz w:val="22"/>
          <w:szCs w:val="22"/>
        </w:rPr>
      </w:pPr>
      <w:r w:rsidRPr="00E473B9">
        <w:rPr>
          <w:rStyle w:val="Strong"/>
          <w:rFonts w:ascii="Arial" w:hAnsi="Arial" w:cs="Arial"/>
          <w:b/>
          <w:bCs/>
          <w:color w:val="000000" w:themeColor="text1"/>
          <w:sz w:val="22"/>
          <w:szCs w:val="22"/>
        </w:rPr>
        <w:t>3.6. Microneedle Systems</w:t>
      </w:r>
    </w:p>
    <w:p w14:paraId="6A13F695" w14:textId="77777777" w:rsidR="00D72EAF" w:rsidRPr="00E473B9" w:rsidRDefault="00D72EAF" w:rsidP="002C5523">
      <w:pPr>
        <w:pStyle w:val="Heading3"/>
        <w:spacing w:before="0" w:beforeAutospacing="0" w:after="0" w:afterAutospacing="0"/>
        <w:jc w:val="both"/>
        <w:rPr>
          <w:rFonts w:ascii="Arial" w:hAnsi="Arial" w:cs="Arial"/>
          <w:color w:val="000000" w:themeColor="text1"/>
          <w:sz w:val="20"/>
          <w:szCs w:val="20"/>
        </w:rPr>
      </w:pPr>
    </w:p>
    <w:p w14:paraId="3023A9CD" w14:textId="68F2FCE5" w:rsidR="00F27A76" w:rsidRPr="00E473B9" w:rsidRDefault="00F27A76"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Microneedle-based delivery systems have emerged as a promising minimally invasive strategy for targeted ophthalmic drug administration, offering the potential to overcome the limitations associated with conventional topical and intravitreal delivery methods</w:t>
      </w:r>
      <w:r w:rsidR="00FD5E24" w:rsidRPr="00E473B9">
        <w:rPr>
          <w:rFonts w:ascii="Arial" w:eastAsia="Times New Roman" w:hAnsi="Arial" w:cs="Arial"/>
          <w:color w:val="000000" w:themeColor="text1"/>
          <w:sz w:val="20"/>
          <w:szCs w:val="20"/>
          <w:lang w:eastAsia="en-IN"/>
        </w:rPr>
        <w:t xml:space="preserve"> (</w:t>
      </w:r>
      <w:proofErr w:type="spellStart"/>
      <w:r w:rsidR="006236FD" w:rsidRPr="00E473B9">
        <w:rPr>
          <w:rFonts w:ascii="Arial" w:eastAsia="Times New Roman" w:hAnsi="Arial" w:cs="Arial"/>
          <w:color w:val="000000" w:themeColor="text1"/>
          <w:sz w:val="20"/>
          <w:szCs w:val="20"/>
          <w:lang w:eastAsia="en-IN"/>
        </w:rPr>
        <w:t>Prausnitz</w:t>
      </w:r>
      <w:proofErr w:type="spellEnd"/>
      <w:r w:rsidR="006236FD" w:rsidRPr="00E473B9">
        <w:rPr>
          <w:rFonts w:ascii="Arial" w:eastAsia="Times New Roman" w:hAnsi="Arial" w:cs="Arial"/>
          <w:color w:val="000000" w:themeColor="text1"/>
          <w:sz w:val="20"/>
          <w:szCs w:val="20"/>
          <w:lang w:eastAsia="en-IN"/>
        </w:rPr>
        <w:t>, 2017</w:t>
      </w:r>
      <w:r w:rsidR="00FD5E24" w:rsidRPr="00E473B9">
        <w:rPr>
          <w:rFonts w:ascii="Arial" w:eastAsia="Times New Roman" w:hAnsi="Arial" w:cs="Arial"/>
          <w:color w:val="000000" w:themeColor="text1"/>
          <w:sz w:val="20"/>
          <w:szCs w:val="20"/>
          <w:lang w:eastAsia="en-IN"/>
        </w:rPr>
        <w:t>)</w:t>
      </w:r>
      <w:r w:rsidRPr="00E473B9">
        <w:rPr>
          <w:rFonts w:ascii="Arial" w:eastAsia="Times New Roman" w:hAnsi="Arial" w:cs="Arial"/>
          <w:color w:val="000000" w:themeColor="text1"/>
          <w:sz w:val="20"/>
          <w:szCs w:val="20"/>
          <w:lang w:eastAsia="en-IN"/>
        </w:rPr>
        <w:t>. These systems are engineered to penetrate superficial ocular tissues</w:t>
      </w:r>
      <w:r w:rsidR="006A76ED"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such as the cornea, sclera, or conjunctiva</w:t>
      </w:r>
      <w:r w:rsidR="006A76ED"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without reaching pain receptors or causing significant tissue damage, thereby enabling precise and localized drug delivery to either the anterior or posterior segments of the eye.</w:t>
      </w:r>
      <w:r w:rsidR="006A76ED"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Microneedles are broadly classified as solid, hollow, or coated, each exhibiting distinct mechanisms of drug delivery. Solid microneedles primarily function by creating transient microchannels that enhance drug permeation from subsequently applied formulations, while hollow microneedles enable direct infusion of liquid drug formulations into targeted ocular tissues. Coated microneedles, in contrast, deliver drugs through the dissolution of a drug-loaded coating upon insertion, allowing rapid and localized release. More recently, dissolvable microneedles fabricated from biodegradable polymers have been explored to provide controlled drug release while eliminating the need for device removal</w:t>
      </w:r>
      <w:r w:rsidR="00CB570F" w:rsidRPr="00E473B9">
        <w:rPr>
          <w:rFonts w:ascii="Arial" w:eastAsia="Times New Roman" w:hAnsi="Arial" w:cs="Arial"/>
          <w:color w:val="000000" w:themeColor="text1"/>
          <w:sz w:val="20"/>
          <w:szCs w:val="20"/>
          <w:lang w:eastAsia="en-IN"/>
        </w:rPr>
        <w:t xml:space="preserve"> (</w:t>
      </w:r>
      <w:r w:rsidR="006236FD" w:rsidRPr="00E473B9">
        <w:rPr>
          <w:rFonts w:ascii="Arial" w:eastAsia="Times New Roman" w:hAnsi="Arial" w:cs="Arial"/>
          <w:color w:val="000000" w:themeColor="text1"/>
          <w:sz w:val="20"/>
          <w:szCs w:val="20"/>
          <w:lang w:eastAsia="en-IN"/>
        </w:rPr>
        <w:t>Patel et al., 2011</w:t>
      </w:r>
      <w:r w:rsidR="00CB570F" w:rsidRPr="00E473B9">
        <w:rPr>
          <w:rFonts w:ascii="Arial" w:eastAsia="Times New Roman" w:hAnsi="Arial" w:cs="Arial"/>
          <w:color w:val="000000" w:themeColor="text1"/>
          <w:sz w:val="20"/>
          <w:szCs w:val="20"/>
          <w:lang w:eastAsia="en-IN"/>
        </w:rPr>
        <w:t>)</w:t>
      </w:r>
      <w:r w:rsidRPr="00E473B9">
        <w:rPr>
          <w:rFonts w:ascii="Arial" w:eastAsia="Times New Roman" w:hAnsi="Arial" w:cs="Arial"/>
          <w:color w:val="000000" w:themeColor="text1"/>
          <w:sz w:val="20"/>
          <w:szCs w:val="20"/>
          <w:lang w:eastAsia="en-IN"/>
        </w:rPr>
        <w:t>.</w:t>
      </w:r>
    </w:p>
    <w:p w14:paraId="42F3D81B" w14:textId="77777777"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6335F450" w14:textId="1FB6654B" w:rsidR="00F27A76" w:rsidRPr="00E473B9" w:rsidRDefault="00F27A76"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lastRenderedPageBreak/>
        <w:t>From a formulation and manufacturing standpoint, microneedle development requires careful consideration of material selection, mechanical strength, and geometric precision to ensure effective tissue penetration without fracture or discomfort. Materials such as silicon, metals, and biodegradable polymers are commonly employed, with polymeric microneedles offering advantages in terms of biocompatibility and controlled drug release. Fabrication techniques including micro</w:t>
      </w:r>
      <w:r w:rsidR="006A76ED" w:rsidRPr="00E473B9">
        <w:rPr>
          <w:rFonts w:ascii="Arial" w:eastAsia="Times New Roman" w:hAnsi="Arial" w:cs="Arial"/>
          <w:color w:val="000000" w:themeColor="text1"/>
          <w:sz w:val="20"/>
          <w:szCs w:val="20"/>
          <w:lang w:eastAsia="en-IN"/>
        </w:rPr>
        <w:t>-</w:t>
      </w:r>
      <w:proofErr w:type="spellStart"/>
      <w:r w:rsidRPr="00E473B9">
        <w:rPr>
          <w:rFonts w:ascii="Arial" w:eastAsia="Times New Roman" w:hAnsi="Arial" w:cs="Arial"/>
          <w:color w:val="000000" w:themeColor="text1"/>
          <w:sz w:val="20"/>
          <w:szCs w:val="20"/>
          <w:lang w:eastAsia="en-IN"/>
        </w:rPr>
        <w:t>molding</w:t>
      </w:r>
      <w:proofErr w:type="spellEnd"/>
      <w:r w:rsidRPr="00E473B9">
        <w:rPr>
          <w:rFonts w:ascii="Arial" w:eastAsia="Times New Roman" w:hAnsi="Arial" w:cs="Arial"/>
          <w:color w:val="000000" w:themeColor="text1"/>
          <w:sz w:val="20"/>
          <w:szCs w:val="20"/>
          <w:lang w:eastAsia="en-IN"/>
        </w:rPr>
        <w:t>, lithography, and additive manufacturing must ensure reproducible needle dimensions, uniform drug loading, and consistent release behavior. Additionally, formulation challenges related to drug stability, loading capacity, and release kinetics must be addressed, particularly for sensitive biologics and macromolecules.</w:t>
      </w:r>
    </w:p>
    <w:p w14:paraId="3358ADC9" w14:textId="77777777" w:rsidR="00D72EAF" w:rsidRPr="00E473B9" w:rsidRDefault="00D72EAF" w:rsidP="002C5523">
      <w:pPr>
        <w:spacing w:after="0" w:line="240" w:lineRule="auto"/>
        <w:jc w:val="both"/>
        <w:rPr>
          <w:rFonts w:ascii="Arial" w:eastAsia="Times New Roman" w:hAnsi="Arial" w:cs="Arial"/>
          <w:color w:val="000000" w:themeColor="text1"/>
          <w:sz w:val="20"/>
          <w:szCs w:val="20"/>
          <w:lang w:eastAsia="en-IN"/>
        </w:rPr>
      </w:pPr>
    </w:p>
    <w:p w14:paraId="27EA8EE9" w14:textId="6D06574C" w:rsidR="00F27A76" w:rsidRPr="00E473B9" w:rsidRDefault="00F27A76"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Preclinical studies have demonstrated that microneedle systems can significantly enhance ocular bioavailability while reducing systemic exposure and injection-related complications, highlighting their potential as alternatives to conventional intravitreal injections. However, despite encouraging outcomes, their clinical translation remains limited by challenges related to long-term safety, patient tolerability, sterilization, and scalable manufacturing. Continued optimization of device design, formulation strategies, and manufacturing processes is expected to facilitate regulatory approval and expand the future clinical applicability of microneedle-based ophthalmic drug delivery systems.</w:t>
      </w:r>
      <w:r w:rsidR="00A117C9" w:rsidRPr="00E473B9">
        <w:rPr>
          <w:rFonts w:ascii="Arial" w:eastAsia="Times New Roman" w:hAnsi="Arial" w:cs="Arial"/>
          <w:color w:val="000000" w:themeColor="text1"/>
          <w:sz w:val="20"/>
          <w:szCs w:val="20"/>
          <w:lang w:eastAsia="en-IN"/>
        </w:rPr>
        <w:t xml:space="preserve"> The classification of microneedle systems for ophthalmic drug delivery and representative recent preclinical investigations of microneedle-based ocular platforms are summarized in </w:t>
      </w:r>
      <w:r w:rsidR="00A117C9" w:rsidRPr="00E473B9">
        <w:rPr>
          <w:rFonts w:ascii="Arial" w:eastAsia="Times New Roman" w:hAnsi="Arial" w:cs="Arial"/>
          <w:b/>
          <w:color w:val="000000" w:themeColor="text1"/>
          <w:sz w:val="20"/>
          <w:szCs w:val="20"/>
          <w:lang w:eastAsia="en-IN"/>
        </w:rPr>
        <w:t>Tables 5</w:t>
      </w:r>
      <w:r w:rsidR="0096345F" w:rsidRPr="00E473B9">
        <w:rPr>
          <w:rFonts w:ascii="Arial" w:eastAsia="Times New Roman" w:hAnsi="Arial" w:cs="Arial"/>
          <w:b/>
          <w:color w:val="000000" w:themeColor="text1"/>
          <w:sz w:val="20"/>
          <w:szCs w:val="20"/>
          <w:lang w:eastAsia="en-IN"/>
        </w:rPr>
        <w:t>a</w:t>
      </w:r>
      <w:r w:rsidR="00A117C9" w:rsidRPr="00E473B9">
        <w:rPr>
          <w:rFonts w:ascii="Arial" w:eastAsia="Times New Roman" w:hAnsi="Arial" w:cs="Arial"/>
          <w:b/>
          <w:color w:val="000000" w:themeColor="text1"/>
          <w:sz w:val="20"/>
          <w:szCs w:val="20"/>
          <w:lang w:eastAsia="en-IN"/>
        </w:rPr>
        <w:t xml:space="preserve"> and 5</w:t>
      </w:r>
      <w:r w:rsidR="0096345F" w:rsidRPr="00E473B9">
        <w:rPr>
          <w:rFonts w:ascii="Arial" w:eastAsia="Times New Roman" w:hAnsi="Arial" w:cs="Arial"/>
          <w:b/>
          <w:color w:val="000000" w:themeColor="text1"/>
          <w:sz w:val="20"/>
          <w:szCs w:val="20"/>
          <w:lang w:eastAsia="en-IN"/>
        </w:rPr>
        <w:t xml:space="preserve">b </w:t>
      </w:r>
      <w:r w:rsidR="0096345F" w:rsidRPr="00E473B9">
        <w:rPr>
          <w:rFonts w:ascii="Arial" w:eastAsia="Times New Roman" w:hAnsi="Arial" w:cs="Arial"/>
          <w:color w:val="000000" w:themeColor="text1"/>
          <w:sz w:val="20"/>
          <w:szCs w:val="20"/>
          <w:lang w:eastAsia="en-IN"/>
        </w:rPr>
        <w:t>respectively.</w:t>
      </w:r>
    </w:p>
    <w:p w14:paraId="3620B487" w14:textId="77777777" w:rsidR="00D72EAF" w:rsidRPr="00E473B9" w:rsidRDefault="00D72EAF" w:rsidP="002C5523">
      <w:pPr>
        <w:spacing w:after="0" w:line="240" w:lineRule="auto"/>
        <w:jc w:val="center"/>
        <w:rPr>
          <w:rFonts w:ascii="Arial" w:eastAsia="Times New Roman" w:hAnsi="Arial" w:cs="Arial"/>
          <w:b/>
          <w:color w:val="000000" w:themeColor="text1"/>
          <w:sz w:val="20"/>
          <w:szCs w:val="20"/>
          <w:lang w:eastAsia="en-IN"/>
        </w:rPr>
      </w:pPr>
    </w:p>
    <w:p w14:paraId="164CFF78" w14:textId="7818E058" w:rsidR="00FC5DDC" w:rsidRPr="00E473B9" w:rsidRDefault="006A76ED" w:rsidP="002C5523">
      <w:pPr>
        <w:spacing w:after="0" w:line="240" w:lineRule="auto"/>
        <w:jc w:val="center"/>
        <w:rPr>
          <w:rFonts w:ascii="Arial" w:hAnsi="Arial" w:cs="Arial"/>
          <w:b/>
          <w:color w:val="000000" w:themeColor="text1"/>
          <w:sz w:val="20"/>
          <w:szCs w:val="20"/>
        </w:rPr>
      </w:pPr>
      <w:r w:rsidRPr="00E473B9">
        <w:rPr>
          <w:rFonts w:ascii="Arial" w:hAnsi="Arial" w:cs="Arial"/>
          <w:b/>
          <w:color w:val="000000" w:themeColor="text1"/>
          <w:sz w:val="20"/>
          <w:szCs w:val="20"/>
        </w:rPr>
        <w:t>Table.</w:t>
      </w:r>
      <w:r w:rsidR="00C94C37" w:rsidRPr="00E473B9">
        <w:rPr>
          <w:rFonts w:ascii="Arial" w:hAnsi="Arial" w:cs="Arial"/>
          <w:b/>
          <w:color w:val="000000" w:themeColor="text1"/>
          <w:sz w:val="20"/>
          <w:szCs w:val="20"/>
        </w:rPr>
        <w:t>5a.</w:t>
      </w:r>
      <w:r w:rsidRPr="00E473B9">
        <w:rPr>
          <w:rFonts w:ascii="Arial" w:hAnsi="Arial" w:cs="Arial"/>
          <w:b/>
          <w:color w:val="000000" w:themeColor="text1"/>
          <w:sz w:val="20"/>
          <w:szCs w:val="20"/>
        </w:rPr>
        <w:t xml:space="preserve"> </w:t>
      </w:r>
      <w:r w:rsidR="0096345F" w:rsidRPr="00E473B9">
        <w:rPr>
          <w:rFonts w:ascii="Arial" w:hAnsi="Arial" w:cs="Arial"/>
          <w:b/>
          <w:color w:val="000000" w:themeColor="text1"/>
          <w:sz w:val="20"/>
          <w:szCs w:val="20"/>
        </w:rPr>
        <w:t>Classification and Design Characteristics of Microneedle Systems for Ophthalmic Drug Delivery</w:t>
      </w:r>
    </w:p>
    <w:tbl>
      <w:tblPr>
        <w:tblStyle w:val="TableGrid"/>
        <w:tblW w:w="0" w:type="auto"/>
        <w:tblLook w:val="04A0" w:firstRow="1" w:lastRow="0" w:firstColumn="1" w:lastColumn="0" w:noHBand="0" w:noVBand="1"/>
      </w:tblPr>
      <w:tblGrid>
        <w:gridCol w:w="1412"/>
        <w:gridCol w:w="1662"/>
        <w:gridCol w:w="2166"/>
        <w:gridCol w:w="1843"/>
        <w:gridCol w:w="1933"/>
      </w:tblGrid>
      <w:tr w:rsidR="00E473B9" w:rsidRPr="00E473B9" w14:paraId="56CD208A" w14:textId="77777777" w:rsidTr="00AE1C05">
        <w:trPr>
          <w:tblHeader/>
        </w:trPr>
        <w:tc>
          <w:tcPr>
            <w:tcW w:w="1412" w:type="dxa"/>
            <w:shd w:val="clear" w:color="auto" w:fill="BFBFBF" w:themeFill="background1" w:themeFillShade="BF"/>
            <w:vAlign w:val="center"/>
          </w:tcPr>
          <w:p w14:paraId="0D6D8A70" w14:textId="2415F53D"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Microneedle Type</w:t>
            </w:r>
          </w:p>
        </w:tc>
        <w:tc>
          <w:tcPr>
            <w:tcW w:w="1662" w:type="dxa"/>
            <w:shd w:val="clear" w:color="auto" w:fill="BFBFBF" w:themeFill="background1" w:themeFillShade="BF"/>
            <w:vAlign w:val="center"/>
          </w:tcPr>
          <w:p w14:paraId="3E64A282" w14:textId="796DE6CB"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Structural Characteristics</w:t>
            </w:r>
          </w:p>
        </w:tc>
        <w:tc>
          <w:tcPr>
            <w:tcW w:w="2166" w:type="dxa"/>
            <w:shd w:val="clear" w:color="auto" w:fill="BFBFBF" w:themeFill="background1" w:themeFillShade="BF"/>
            <w:vAlign w:val="center"/>
          </w:tcPr>
          <w:p w14:paraId="35BB3B6E" w14:textId="083BFE73"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Drug Delivery Mechanism</w:t>
            </w:r>
          </w:p>
        </w:tc>
        <w:tc>
          <w:tcPr>
            <w:tcW w:w="1843" w:type="dxa"/>
            <w:shd w:val="clear" w:color="auto" w:fill="BFBFBF" w:themeFill="background1" w:themeFillShade="BF"/>
            <w:vAlign w:val="center"/>
          </w:tcPr>
          <w:p w14:paraId="6AE3BB82" w14:textId="009D2945"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Key Advantages</w:t>
            </w:r>
          </w:p>
        </w:tc>
        <w:tc>
          <w:tcPr>
            <w:tcW w:w="1933" w:type="dxa"/>
            <w:shd w:val="clear" w:color="auto" w:fill="BFBFBF" w:themeFill="background1" w:themeFillShade="BF"/>
            <w:vAlign w:val="center"/>
          </w:tcPr>
          <w:p w14:paraId="3D9D4E2E" w14:textId="7343062F"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Limitations/ Challenges</w:t>
            </w:r>
          </w:p>
        </w:tc>
      </w:tr>
      <w:tr w:rsidR="00E473B9" w:rsidRPr="00E473B9" w14:paraId="3CC5B2BB" w14:textId="77777777" w:rsidTr="0001421C">
        <w:tc>
          <w:tcPr>
            <w:tcW w:w="1412" w:type="dxa"/>
            <w:vAlign w:val="center"/>
          </w:tcPr>
          <w:p w14:paraId="16662235" w14:textId="5D4F5BA2" w:rsidR="00B6494B" w:rsidRPr="00E473B9" w:rsidRDefault="00B6494B" w:rsidP="002C5523">
            <w:pPr>
              <w:jc w:val="both"/>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Solid Microneedles</w:t>
            </w:r>
          </w:p>
        </w:tc>
        <w:tc>
          <w:tcPr>
            <w:tcW w:w="1662" w:type="dxa"/>
            <w:vAlign w:val="center"/>
          </w:tcPr>
          <w:p w14:paraId="673AF716" w14:textId="487B4E56" w:rsidR="00B6494B" w:rsidRPr="00E473B9" w:rsidRDefault="00B6494B"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Solid needles fabricated from silicon, metal, or polymers</w:t>
            </w:r>
          </w:p>
        </w:tc>
        <w:tc>
          <w:tcPr>
            <w:tcW w:w="2166" w:type="dxa"/>
            <w:vAlign w:val="center"/>
          </w:tcPr>
          <w:p w14:paraId="5C25EACC" w14:textId="080AD6AF"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Create transient microchannels</w:t>
            </w:r>
            <w:r w:rsidR="00AE1C05"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to enhance permeation of</w:t>
            </w:r>
            <w:r w:rsidR="00AE1C05"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subsequently applied formulations</w:t>
            </w:r>
          </w:p>
        </w:tc>
        <w:tc>
          <w:tcPr>
            <w:tcW w:w="1843" w:type="dxa"/>
            <w:vAlign w:val="center"/>
          </w:tcPr>
          <w:p w14:paraId="35AD6BDA" w14:textId="6950D920"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Simple design; robust mechanical strength; minimal formulation constraints</w:t>
            </w:r>
          </w:p>
        </w:tc>
        <w:tc>
          <w:tcPr>
            <w:tcW w:w="1933" w:type="dxa"/>
            <w:vAlign w:val="center"/>
          </w:tcPr>
          <w:p w14:paraId="590F5892" w14:textId="5DA694FD"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Requires a secondary drug application step; limited dose control</w:t>
            </w:r>
          </w:p>
        </w:tc>
      </w:tr>
      <w:tr w:rsidR="00E473B9" w:rsidRPr="00E473B9" w14:paraId="02F15BDE" w14:textId="77777777" w:rsidTr="0001421C">
        <w:tc>
          <w:tcPr>
            <w:tcW w:w="1412" w:type="dxa"/>
            <w:vAlign w:val="center"/>
          </w:tcPr>
          <w:p w14:paraId="076673AC" w14:textId="5AAE8B1F" w:rsidR="00B6494B" w:rsidRPr="00E473B9" w:rsidRDefault="00B6494B" w:rsidP="002C5523">
            <w:pPr>
              <w:jc w:val="both"/>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Hollow Microneedles</w:t>
            </w:r>
          </w:p>
        </w:tc>
        <w:tc>
          <w:tcPr>
            <w:tcW w:w="1662" w:type="dxa"/>
            <w:vAlign w:val="center"/>
          </w:tcPr>
          <w:p w14:paraId="007048C2" w14:textId="751BFC99" w:rsidR="00B6494B" w:rsidRPr="00E473B9" w:rsidRDefault="00B6494B"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Needles with internal lumen connected to drug reservoir</w:t>
            </w:r>
          </w:p>
        </w:tc>
        <w:tc>
          <w:tcPr>
            <w:tcW w:w="2166" w:type="dxa"/>
            <w:vAlign w:val="center"/>
          </w:tcPr>
          <w:p w14:paraId="6EA3E196" w14:textId="4DB67FB4"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Direct infusion of liquid formulations into ocular tissues</w:t>
            </w:r>
          </w:p>
        </w:tc>
        <w:tc>
          <w:tcPr>
            <w:tcW w:w="1843" w:type="dxa"/>
            <w:vAlign w:val="center"/>
          </w:tcPr>
          <w:p w14:paraId="201230A8" w14:textId="6D4DFB9F"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Precise dosing; suitable for solutions and suspensions; rapid onset</w:t>
            </w:r>
          </w:p>
        </w:tc>
        <w:tc>
          <w:tcPr>
            <w:tcW w:w="1933" w:type="dxa"/>
            <w:vAlign w:val="center"/>
          </w:tcPr>
          <w:p w14:paraId="74E1511A" w14:textId="63BAFDCB"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Risk of clogging; complex fabrication; sterility requirements</w:t>
            </w:r>
          </w:p>
        </w:tc>
      </w:tr>
      <w:tr w:rsidR="00E473B9" w:rsidRPr="00E473B9" w14:paraId="628E7739" w14:textId="77777777" w:rsidTr="0001421C">
        <w:tc>
          <w:tcPr>
            <w:tcW w:w="1412" w:type="dxa"/>
            <w:vAlign w:val="center"/>
          </w:tcPr>
          <w:p w14:paraId="005E0C39" w14:textId="17A7387A" w:rsidR="00B6494B" w:rsidRPr="00E473B9" w:rsidRDefault="00B6494B" w:rsidP="002C5523">
            <w:pPr>
              <w:jc w:val="both"/>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Coated Microneedles</w:t>
            </w:r>
          </w:p>
        </w:tc>
        <w:tc>
          <w:tcPr>
            <w:tcW w:w="1662" w:type="dxa"/>
            <w:vAlign w:val="center"/>
          </w:tcPr>
          <w:p w14:paraId="33079F82" w14:textId="052E7119" w:rsidR="00B6494B" w:rsidRPr="00E473B9" w:rsidRDefault="00B6494B"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Solid needles coated with drug-containing layer</w:t>
            </w:r>
          </w:p>
        </w:tc>
        <w:tc>
          <w:tcPr>
            <w:tcW w:w="2166" w:type="dxa"/>
            <w:vAlign w:val="center"/>
          </w:tcPr>
          <w:p w14:paraId="467EFC90" w14:textId="61B57837"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Drug released upon dissolution of coating after insertion</w:t>
            </w:r>
          </w:p>
        </w:tc>
        <w:tc>
          <w:tcPr>
            <w:tcW w:w="1843" w:type="dxa"/>
            <w:vAlign w:val="center"/>
          </w:tcPr>
          <w:p w14:paraId="10ABEEB1" w14:textId="09D1AF4C"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Localized delivery; minimal systemic exposure; accurate dosing</w:t>
            </w:r>
          </w:p>
        </w:tc>
        <w:tc>
          <w:tcPr>
            <w:tcW w:w="1933" w:type="dxa"/>
            <w:vAlign w:val="center"/>
          </w:tcPr>
          <w:p w14:paraId="2EF0AFA1" w14:textId="4C3EBDDE"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Limited drug loading capacity; coating uniformity challenges</w:t>
            </w:r>
          </w:p>
        </w:tc>
      </w:tr>
      <w:tr w:rsidR="00B6494B" w:rsidRPr="00E473B9" w14:paraId="149411C8" w14:textId="77777777" w:rsidTr="0001421C">
        <w:tc>
          <w:tcPr>
            <w:tcW w:w="1412" w:type="dxa"/>
            <w:vAlign w:val="center"/>
          </w:tcPr>
          <w:p w14:paraId="0E80A758" w14:textId="1E06BD86" w:rsidR="00B6494B" w:rsidRPr="00E473B9" w:rsidRDefault="00B6494B" w:rsidP="002C5523">
            <w:pPr>
              <w:jc w:val="both"/>
              <w:rPr>
                <w:rFonts w:ascii="Arial" w:eastAsia="Times New Roman" w:hAnsi="Arial" w:cs="Arial"/>
                <w:color w:val="000000" w:themeColor="text1"/>
                <w:sz w:val="20"/>
                <w:szCs w:val="20"/>
                <w:lang w:eastAsia="en-IN"/>
              </w:rPr>
            </w:pPr>
            <w:r w:rsidRPr="00E473B9">
              <w:rPr>
                <w:rFonts w:ascii="Arial" w:eastAsia="Times New Roman" w:hAnsi="Arial" w:cs="Arial"/>
                <w:bCs/>
                <w:color w:val="000000" w:themeColor="text1"/>
                <w:sz w:val="20"/>
                <w:szCs w:val="20"/>
                <w:lang w:eastAsia="en-IN"/>
              </w:rPr>
              <w:t>Dissolving Polymeric Microneedles</w:t>
            </w:r>
          </w:p>
        </w:tc>
        <w:tc>
          <w:tcPr>
            <w:tcW w:w="1662" w:type="dxa"/>
            <w:vAlign w:val="center"/>
          </w:tcPr>
          <w:p w14:paraId="78A08214" w14:textId="03A18949" w:rsidR="00B6494B" w:rsidRPr="00E473B9" w:rsidRDefault="00B6494B" w:rsidP="002C5523">
            <w:pP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Fabricated from biodegradable polymers</w:t>
            </w:r>
          </w:p>
        </w:tc>
        <w:tc>
          <w:tcPr>
            <w:tcW w:w="2166" w:type="dxa"/>
            <w:vAlign w:val="center"/>
          </w:tcPr>
          <w:p w14:paraId="40AB326D" w14:textId="671C738F"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Microneedles dissolve after insertion, releasing drug</w:t>
            </w:r>
          </w:p>
        </w:tc>
        <w:tc>
          <w:tcPr>
            <w:tcW w:w="1843" w:type="dxa"/>
            <w:vAlign w:val="center"/>
          </w:tcPr>
          <w:p w14:paraId="02BA4E80" w14:textId="498A1E13"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No need for removal; enhanced safety; sustained release possible</w:t>
            </w:r>
          </w:p>
        </w:tc>
        <w:tc>
          <w:tcPr>
            <w:tcW w:w="1933" w:type="dxa"/>
            <w:vAlign w:val="center"/>
          </w:tcPr>
          <w:p w14:paraId="4062423E" w14:textId="52B092AC"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Mechanical strength optimization required; moisture sensitivity</w:t>
            </w:r>
          </w:p>
        </w:tc>
      </w:tr>
    </w:tbl>
    <w:p w14:paraId="52920148" w14:textId="4647FE00" w:rsidR="00B6494B" w:rsidRPr="00E473B9" w:rsidRDefault="00B6494B" w:rsidP="002C5523">
      <w:pPr>
        <w:spacing w:after="0" w:line="240" w:lineRule="auto"/>
        <w:jc w:val="both"/>
        <w:rPr>
          <w:rFonts w:ascii="Arial" w:eastAsia="Times New Roman" w:hAnsi="Arial" w:cs="Arial"/>
          <w:color w:val="000000" w:themeColor="text1"/>
          <w:sz w:val="20"/>
          <w:szCs w:val="20"/>
          <w:lang w:eastAsia="en-IN"/>
        </w:rPr>
      </w:pPr>
    </w:p>
    <w:p w14:paraId="2289A450" w14:textId="7B28B01E" w:rsidR="00FC5DDC" w:rsidRPr="00E473B9" w:rsidRDefault="006A76ED" w:rsidP="002C5523">
      <w:pPr>
        <w:spacing w:after="0" w:line="240" w:lineRule="auto"/>
        <w:jc w:val="center"/>
        <w:rPr>
          <w:rFonts w:ascii="Arial" w:hAnsi="Arial" w:cs="Arial"/>
          <w:b/>
          <w:color w:val="000000" w:themeColor="text1"/>
          <w:sz w:val="20"/>
          <w:szCs w:val="20"/>
        </w:rPr>
      </w:pPr>
      <w:r w:rsidRPr="00E473B9">
        <w:rPr>
          <w:rFonts w:ascii="Arial" w:hAnsi="Arial" w:cs="Arial"/>
          <w:b/>
          <w:color w:val="000000" w:themeColor="text1"/>
          <w:sz w:val="20"/>
          <w:szCs w:val="20"/>
        </w:rPr>
        <w:t>Table.</w:t>
      </w:r>
      <w:r w:rsidR="00C94C37" w:rsidRPr="00E473B9">
        <w:rPr>
          <w:rFonts w:ascii="Arial" w:hAnsi="Arial" w:cs="Arial"/>
          <w:b/>
          <w:color w:val="000000" w:themeColor="text1"/>
          <w:sz w:val="20"/>
          <w:szCs w:val="20"/>
        </w:rPr>
        <w:t xml:space="preserve"> 5b. </w:t>
      </w:r>
      <w:r w:rsidR="0096345F" w:rsidRPr="00E473B9">
        <w:rPr>
          <w:rFonts w:ascii="Arial" w:hAnsi="Arial" w:cs="Arial"/>
          <w:b/>
          <w:color w:val="000000" w:themeColor="text1"/>
          <w:sz w:val="20"/>
          <w:szCs w:val="20"/>
        </w:rPr>
        <w:t>Representative Recent Preclinical Advances in Microneedle-Based Ophthalmic Drug Delivery Systems</w:t>
      </w:r>
    </w:p>
    <w:tbl>
      <w:tblPr>
        <w:tblStyle w:val="TableGrid"/>
        <w:tblW w:w="0" w:type="auto"/>
        <w:tblLook w:val="04A0" w:firstRow="1" w:lastRow="0" w:firstColumn="1" w:lastColumn="0" w:noHBand="0" w:noVBand="1"/>
      </w:tblPr>
      <w:tblGrid>
        <w:gridCol w:w="1980"/>
        <w:gridCol w:w="1591"/>
        <w:gridCol w:w="1660"/>
        <w:gridCol w:w="1606"/>
        <w:gridCol w:w="2179"/>
      </w:tblGrid>
      <w:tr w:rsidR="00E473B9" w:rsidRPr="00E473B9" w14:paraId="48137A16" w14:textId="77777777" w:rsidTr="00AE1C05">
        <w:trPr>
          <w:tblHeader/>
        </w:trPr>
        <w:tc>
          <w:tcPr>
            <w:tcW w:w="1980" w:type="dxa"/>
            <w:shd w:val="clear" w:color="auto" w:fill="BFBFBF" w:themeFill="background1" w:themeFillShade="BF"/>
            <w:vAlign w:val="center"/>
          </w:tcPr>
          <w:p w14:paraId="6FA9A34E" w14:textId="62876293"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Drug / Therapeutic Agent</w:t>
            </w:r>
          </w:p>
        </w:tc>
        <w:tc>
          <w:tcPr>
            <w:tcW w:w="1591" w:type="dxa"/>
            <w:shd w:val="clear" w:color="auto" w:fill="BFBFBF" w:themeFill="background1" w:themeFillShade="BF"/>
            <w:vAlign w:val="center"/>
          </w:tcPr>
          <w:p w14:paraId="59EAED88" w14:textId="7EDD7B03"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Microneedle Type</w:t>
            </w:r>
          </w:p>
        </w:tc>
        <w:tc>
          <w:tcPr>
            <w:tcW w:w="1660" w:type="dxa"/>
            <w:shd w:val="clear" w:color="auto" w:fill="BFBFBF" w:themeFill="background1" w:themeFillShade="BF"/>
            <w:vAlign w:val="center"/>
          </w:tcPr>
          <w:p w14:paraId="24A76089" w14:textId="11C52B96"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Target Ocular Segment</w:t>
            </w:r>
          </w:p>
        </w:tc>
        <w:tc>
          <w:tcPr>
            <w:tcW w:w="1606" w:type="dxa"/>
            <w:shd w:val="clear" w:color="auto" w:fill="BFBFBF" w:themeFill="background1" w:themeFillShade="BF"/>
            <w:vAlign w:val="center"/>
          </w:tcPr>
          <w:p w14:paraId="442F3159" w14:textId="5425D8F5"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Therapeutic Indication</w:t>
            </w:r>
          </w:p>
        </w:tc>
        <w:tc>
          <w:tcPr>
            <w:tcW w:w="2179" w:type="dxa"/>
            <w:shd w:val="clear" w:color="auto" w:fill="BFBFBF" w:themeFill="background1" w:themeFillShade="BF"/>
            <w:vAlign w:val="center"/>
          </w:tcPr>
          <w:p w14:paraId="61850B68" w14:textId="4B010313"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b/>
                <w:bCs/>
                <w:color w:val="000000" w:themeColor="text1"/>
                <w:sz w:val="20"/>
                <w:szCs w:val="20"/>
                <w:lang w:eastAsia="en-IN"/>
              </w:rPr>
              <w:t>Key Outcomes (Preclinical)</w:t>
            </w:r>
          </w:p>
        </w:tc>
      </w:tr>
      <w:tr w:rsidR="00E473B9" w:rsidRPr="00E473B9" w14:paraId="3B9BDD68" w14:textId="77777777" w:rsidTr="00AE1C05">
        <w:tc>
          <w:tcPr>
            <w:tcW w:w="1980" w:type="dxa"/>
            <w:vAlign w:val="center"/>
          </w:tcPr>
          <w:p w14:paraId="2E3F67A6" w14:textId="2DBF8240"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Dexamethasone</w:t>
            </w:r>
          </w:p>
        </w:tc>
        <w:tc>
          <w:tcPr>
            <w:tcW w:w="1591" w:type="dxa"/>
            <w:vAlign w:val="center"/>
          </w:tcPr>
          <w:p w14:paraId="517813FC" w14:textId="26F49CA1"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Dissolving polymeric microneedles</w:t>
            </w:r>
          </w:p>
        </w:tc>
        <w:tc>
          <w:tcPr>
            <w:tcW w:w="1660" w:type="dxa"/>
            <w:vAlign w:val="center"/>
          </w:tcPr>
          <w:p w14:paraId="06A38BBC" w14:textId="11299BFE"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Posterior segment</w:t>
            </w:r>
          </w:p>
        </w:tc>
        <w:tc>
          <w:tcPr>
            <w:tcW w:w="1606" w:type="dxa"/>
            <w:vAlign w:val="center"/>
          </w:tcPr>
          <w:p w14:paraId="4B344EF6" w14:textId="0452080A"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Ocular inflammation</w:t>
            </w:r>
          </w:p>
        </w:tc>
        <w:tc>
          <w:tcPr>
            <w:tcW w:w="2179" w:type="dxa"/>
            <w:vAlign w:val="center"/>
          </w:tcPr>
          <w:p w14:paraId="30C61EE4" w14:textId="5A0B13EA"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Enhanced retinal drug levels; reduced injection frequency</w:t>
            </w:r>
          </w:p>
        </w:tc>
      </w:tr>
      <w:tr w:rsidR="00E473B9" w:rsidRPr="00E473B9" w14:paraId="307F515E" w14:textId="77777777" w:rsidTr="00AE1C05">
        <w:tc>
          <w:tcPr>
            <w:tcW w:w="1980" w:type="dxa"/>
            <w:vAlign w:val="center"/>
          </w:tcPr>
          <w:p w14:paraId="6589AAAF" w14:textId="7607DF42"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Bevacizumab</w:t>
            </w:r>
          </w:p>
        </w:tc>
        <w:tc>
          <w:tcPr>
            <w:tcW w:w="1591" w:type="dxa"/>
            <w:vAlign w:val="center"/>
          </w:tcPr>
          <w:p w14:paraId="6D65D57C" w14:textId="270CCC5B"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Hollow microneedles</w:t>
            </w:r>
          </w:p>
        </w:tc>
        <w:tc>
          <w:tcPr>
            <w:tcW w:w="1660" w:type="dxa"/>
            <w:vAlign w:val="center"/>
          </w:tcPr>
          <w:p w14:paraId="76BBF50C" w14:textId="31088FC2"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Posterior segment</w:t>
            </w:r>
          </w:p>
        </w:tc>
        <w:tc>
          <w:tcPr>
            <w:tcW w:w="1606" w:type="dxa"/>
            <w:vAlign w:val="center"/>
          </w:tcPr>
          <w:p w14:paraId="23B4C911" w14:textId="307FD101"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Neovascular diseases</w:t>
            </w:r>
          </w:p>
        </w:tc>
        <w:tc>
          <w:tcPr>
            <w:tcW w:w="2179" w:type="dxa"/>
            <w:vAlign w:val="center"/>
          </w:tcPr>
          <w:p w14:paraId="699266D1" w14:textId="3281F0CD"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Improved localization; reduced systemic exposure</w:t>
            </w:r>
          </w:p>
        </w:tc>
      </w:tr>
      <w:tr w:rsidR="00E473B9" w:rsidRPr="00E473B9" w14:paraId="5AD1C6EE" w14:textId="77777777" w:rsidTr="00AE1C05">
        <w:tc>
          <w:tcPr>
            <w:tcW w:w="1980" w:type="dxa"/>
            <w:vAlign w:val="center"/>
          </w:tcPr>
          <w:p w14:paraId="1F615D24" w14:textId="3DFFAF5B"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Fluorescein sodium</w:t>
            </w:r>
          </w:p>
        </w:tc>
        <w:tc>
          <w:tcPr>
            <w:tcW w:w="1591" w:type="dxa"/>
            <w:vAlign w:val="center"/>
          </w:tcPr>
          <w:p w14:paraId="753EE752" w14:textId="14F70975"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Solid microneedles</w:t>
            </w:r>
          </w:p>
        </w:tc>
        <w:tc>
          <w:tcPr>
            <w:tcW w:w="1660" w:type="dxa"/>
            <w:vAlign w:val="center"/>
          </w:tcPr>
          <w:p w14:paraId="093D2C4E" w14:textId="64328759"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Anterior segment</w:t>
            </w:r>
          </w:p>
        </w:tc>
        <w:tc>
          <w:tcPr>
            <w:tcW w:w="1606" w:type="dxa"/>
            <w:vAlign w:val="center"/>
          </w:tcPr>
          <w:p w14:paraId="0AD95507" w14:textId="017F43DE"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Permeation studies</w:t>
            </w:r>
          </w:p>
        </w:tc>
        <w:tc>
          <w:tcPr>
            <w:tcW w:w="2179" w:type="dxa"/>
            <w:vAlign w:val="center"/>
          </w:tcPr>
          <w:p w14:paraId="4E9F92DB" w14:textId="0A5B49A8"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Significantly increased corneal permeability</w:t>
            </w:r>
          </w:p>
        </w:tc>
      </w:tr>
      <w:tr w:rsidR="00E473B9" w:rsidRPr="00E473B9" w14:paraId="74A64359" w14:textId="77777777" w:rsidTr="00AE1C05">
        <w:tc>
          <w:tcPr>
            <w:tcW w:w="1980" w:type="dxa"/>
            <w:vAlign w:val="center"/>
          </w:tcPr>
          <w:p w14:paraId="3CC97D77" w14:textId="6B2579BD"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lastRenderedPageBreak/>
              <w:t>Brimonidine tartrate</w:t>
            </w:r>
          </w:p>
        </w:tc>
        <w:tc>
          <w:tcPr>
            <w:tcW w:w="1591" w:type="dxa"/>
            <w:vAlign w:val="center"/>
          </w:tcPr>
          <w:p w14:paraId="18DF1261" w14:textId="17BC267C"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Coated microneedles</w:t>
            </w:r>
          </w:p>
        </w:tc>
        <w:tc>
          <w:tcPr>
            <w:tcW w:w="1660" w:type="dxa"/>
            <w:vAlign w:val="center"/>
          </w:tcPr>
          <w:p w14:paraId="40D0C60A" w14:textId="281D249C"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Anterior segment</w:t>
            </w:r>
          </w:p>
        </w:tc>
        <w:tc>
          <w:tcPr>
            <w:tcW w:w="1606" w:type="dxa"/>
            <w:vAlign w:val="center"/>
          </w:tcPr>
          <w:p w14:paraId="244A4D51" w14:textId="01124C0B"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Glaucoma</w:t>
            </w:r>
          </w:p>
        </w:tc>
        <w:tc>
          <w:tcPr>
            <w:tcW w:w="2179" w:type="dxa"/>
            <w:vAlign w:val="center"/>
          </w:tcPr>
          <w:p w14:paraId="5184F48A" w14:textId="35FBED88"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Sustained IOP reduction; improved bioavailability</w:t>
            </w:r>
          </w:p>
        </w:tc>
      </w:tr>
      <w:tr w:rsidR="00E473B9" w:rsidRPr="00E473B9" w14:paraId="66B0827D" w14:textId="77777777" w:rsidTr="00AE1C05">
        <w:tc>
          <w:tcPr>
            <w:tcW w:w="1980" w:type="dxa"/>
            <w:vAlign w:val="center"/>
          </w:tcPr>
          <w:p w14:paraId="297298C8" w14:textId="1CD44257"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Insulin-like growth factor</w:t>
            </w:r>
          </w:p>
        </w:tc>
        <w:tc>
          <w:tcPr>
            <w:tcW w:w="1591" w:type="dxa"/>
            <w:vAlign w:val="center"/>
          </w:tcPr>
          <w:p w14:paraId="2C5BF66B" w14:textId="1601D0EF"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Dissolving microneedles</w:t>
            </w:r>
          </w:p>
        </w:tc>
        <w:tc>
          <w:tcPr>
            <w:tcW w:w="1660" w:type="dxa"/>
            <w:vAlign w:val="center"/>
          </w:tcPr>
          <w:p w14:paraId="5F091E77" w14:textId="5EB925AF"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Posterior segment</w:t>
            </w:r>
          </w:p>
        </w:tc>
        <w:tc>
          <w:tcPr>
            <w:tcW w:w="1606" w:type="dxa"/>
            <w:vAlign w:val="center"/>
          </w:tcPr>
          <w:p w14:paraId="7BE2B2E3" w14:textId="7FE781A3"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Retinal neuroprotection</w:t>
            </w:r>
          </w:p>
        </w:tc>
        <w:tc>
          <w:tcPr>
            <w:tcW w:w="2179" w:type="dxa"/>
            <w:vAlign w:val="center"/>
          </w:tcPr>
          <w:p w14:paraId="42F5B1BD" w14:textId="6F654CF6"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Controlled release; minimal tissue irritation</w:t>
            </w:r>
          </w:p>
        </w:tc>
      </w:tr>
      <w:tr w:rsidR="00B6494B" w:rsidRPr="00E473B9" w14:paraId="6700F848" w14:textId="77777777" w:rsidTr="00AE1C05">
        <w:tc>
          <w:tcPr>
            <w:tcW w:w="1980" w:type="dxa"/>
            <w:vAlign w:val="center"/>
          </w:tcPr>
          <w:p w14:paraId="1C8AE5A8" w14:textId="1C467839"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Antibiotic agents (e.g., Ciprofloxacin)</w:t>
            </w:r>
          </w:p>
        </w:tc>
        <w:tc>
          <w:tcPr>
            <w:tcW w:w="1591" w:type="dxa"/>
            <w:vAlign w:val="center"/>
          </w:tcPr>
          <w:p w14:paraId="17991542" w14:textId="567EEA1D"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Hollow microneedles</w:t>
            </w:r>
          </w:p>
        </w:tc>
        <w:tc>
          <w:tcPr>
            <w:tcW w:w="1660" w:type="dxa"/>
            <w:vAlign w:val="center"/>
          </w:tcPr>
          <w:p w14:paraId="66D1336E" w14:textId="5DE83858"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Anterior segment</w:t>
            </w:r>
          </w:p>
        </w:tc>
        <w:tc>
          <w:tcPr>
            <w:tcW w:w="1606" w:type="dxa"/>
            <w:vAlign w:val="center"/>
          </w:tcPr>
          <w:p w14:paraId="02AEF47B" w14:textId="30C671B2"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Ocular infections</w:t>
            </w:r>
          </w:p>
        </w:tc>
        <w:tc>
          <w:tcPr>
            <w:tcW w:w="2179" w:type="dxa"/>
            <w:vAlign w:val="center"/>
          </w:tcPr>
          <w:p w14:paraId="0CE5CD48" w14:textId="48047874" w:rsidR="00B6494B" w:rsidRPr="00E473B9" w:rsidRDefault="00B6494B" w:rsidP="002C5523">
            <w:pPr>
              <w:jc w:val="center"/>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Rapid drug delivery; reduced dosing frequency</w:t>
            </w:r>
          </w:p>
        </w:tc>
      </w:tr>
    </w:tbl>
    <w:p w14:paraId="3CEACBCD" w14:textId="169943E7" w:rsidR="00B6494B" w:rsidRPr="00E473B9" w:rsidRDefault="00B6494B" w:rsidP="002C5523">
      <w:pPr>
        <w:spacing w:after="0" w:line="240" w:lineRule="auto"/>
        <w:jc w:val="center"/>
        <w:rPr>
          <w:rFonts w:ascii="Arial" w:eastAsia="Times New Roman" w:hAnsi="Arial" w:cs="Arial"/>
          <w:color w:val="000000" w:themeColor="text1"/>
          <w:sz w:val="20"/>
          <w:szCs w:val="20"/>
          <w:lang w:eastAsia="en-IN"/>
        </w:rPr>
      </w:pPr>
    </w:p>
    <w:p w14:paraId="4C70A058" w14:textId="77777777" w:rsidR="005651CE" w:rsidRPr="00E473B9" w:rsidRDefault="005651CE" w:rsidP="002C5523">
      <w:pPr>
        <w:pStyle w:val="Heading2"/>
        <w:spacing w:before="0" w:line="240" w:lineRule="auto"/>
        <w:jc w:val="both"/>
        <w:rPr>
          <w:rStyle w:val="Strong"/>
          <w:rFonts w:ascii="Arial" w:hAnsi="Arial" w:cs="Arial"/>
          <w:bCs w:val="0"/>
          <w:color w:val="000000" w:themeColor="text1"/>
          <w:sz w:val="20"/>
          <w:szCs w:val="20"/>
        </w:rPr>
      </w:pPr>
    </w:p>
    <w:p w14:paraId="119CAE23" w14:textId="1438424A" w:rsidR="00C13E5C" w:rsidRPr="00E473B9" w:rsidRDefault="00234DF3" w:rsidP="002C5523">
      <w:pPr>
        <w:pStyle w:val="Heading2"/>
        <w:numPr>
          <w:ilvl w:val="0"/>
          <w:numId w:val="1"/>
        </w:numPr>
        <w:spacing w:before="0" w:line="240" w:lineRule="auto"/>
        <w:ind w:left="284" w:hanging="284"/>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EMERGING TECHNOLOGIES AND INNOVATIONS</w:t>
      </w:r>
    </w:p>
    <w:p w14:paraId="1D4CAA0D"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42D12C50" w14:textId="31337EF4" w:rsidR="00C13E5C" w:rsidRPr="00E473B9" w:rsidRDefault="00C13E5C"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Emerging technologies in ophthalmic drug delivery are rapidly redefining the potential for personalized, sustained, and responsive therapies that overcome the inherent limitations of conventional approaches such as eye drops, repeated injections, and permanent implants </w:t>
      </w:r>
      <w:r w:rsidR="00D26300" w:rsidRPr="00E473B9">
        <w:rPr>
          <w:rFonts w:ascii="Arial" w:hAnsi="Arial" w:cs="Arial"/>
          <w:color w:val="000000" w:themeColor="text1"/>
          <w:sz w:val="20"/>
          <w:szCs w:val="20"/>
        </w:rPr>
        <w:t>(</w:t>
      </w:r>
      <w:r w:rsidR="006236FD" w:rsidRPr="00E473B9">
        <w:rPr>
          <w:rFonts w:ascii="Arial" w:hAnsi="Arial" w:cs="Arial"/>
          <w:color w:val="000000" w:themeColor="text1"/>
          <w:sz w:val="20"/>
          <w:szCs w:val="20"/>
        </w:rPr>
        <w:t>Del Amo et al., 2017</w:t>
      </w:r>
      <w:r w:rsidR="00D26300"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These innovations integrate advances in materials science, digital health technologies, gene modulation, and biomechanical engineering to enhance therapeutic precision, patient adherence, and long-term clinical outcomes. Recent studies underscore the transformative potential of three-dimensional (3D) printing, smart contact lenses, gene therapy and biologics, and advanced </w:t>
      </w:r>
      <w:proofErr w:type="spellStart"/>
      <w:r w:rsidRPr="00E473B9">
        <w:rPr>
          <w:rFonts w:ascii="Arial" w:hAnsi="Arial" w:cs="Arial"/>
          <w:color w:val="000000" w:themeColor="text1"/>
          <w:sz w:val="20"/>
          <w:szCs w:val="20"/>
        </w:rPr>
        <w:t>bioadhesive</w:t>
      </w:r>
      <w:proofErr w:type="spellEnd"/>
      <w:r w:rsidRPr="00E473B9">
        <w:rPr>
          <w:rFonts w:ascii="Arial" w:hAnsi="Arial" w:cs="Arial"/>
          <w:color w:val="000000" w:themeColor="text1"/>
          <w:sz w:val="20"/>
          <w:szCs w:val="20"/>
        </w:rPr>
        <w:t xml:space="preserve"> systems as next-generation strategies in ocular pharmacotherapy</w:t>
      </w:r>
      <w:r w:rsidR="00C94C37" w:rsidRPr="00E473B9">
        <w:rPr>
          <w:rFonts w:ascii="Arial" w:hAnsi="Arial" w:cs="Arial"/>
          <w:color w:val="000000" w:themeColor="text1"/>
          <w:sz w:val="20"/>
          <w:szCs w:val="20"/>
        </w:rPr>
        <w:t xml:space="preserve"> Figure 3</w:t>
      </w:r>
      <w:r w:rsidR="00D26300" w:rsidRPr="00E473B9">
        <w:rPr>
          <w:rFonts w:ascii="Arial" w:hAnsi="Arial" w:cs="Arial"/>
          <w:color w:val="000000" w:themeColor="text1"/>
          <w:sz w:val="20"/>
          <w:szCs w:val="20"/>
        </w:rPr>
        <w:t xml:space="preserve"> (</w:t>
      </w:r>
      <w:proofErr w:type="spellStart"/>
      <w:r w:rsidR="006236FD" w:rsidRPr="00E473B9">
        <w:rPr>
          <w:rFonts w:ascii="Arial" w:hAnsi="Arial" w:cs="Arial"/>
          <w:color w:val="000000" w:themeColor="text1"/>
          <w:sz w:val="20"/>
          <w:szCs w:val="20"/>
        </w:rPr>
        <w:t>Trenfield</w:t>
      </w:r>
      <w:proofErr w:type="spellEnd"/>
      <w:r w:rsidR="006236FD" w:rsidRPr="00E473B9">
        <w:rPr>
          <w:rFonts w:ascii="Arial" w:hAnsi="Arial" w:cs="Arial"/>
          <w:color w:val="000000" w:themeColor="text1"/>
          <w:sz w:val="20"/>
          <w:szCs w:val="20"/>
        </w:rPr>
        <w:t xml:space="preserve"> et al., 2018</w:t>
      </w:r>
      <w:r w:rsidR="00D26300" w:rsidRPr="00E473B9">
        <w:rPr>
          <w:rFonts w:ascii="Arial" w:hAnsi="Arial" w:cs="Arial"/>
          <w:color w:val="000000" w:themeColor="text1"/>
          <w:sz w:val="20"/>
          <w:szCs w:val="20"/>
        </w:rPr>
        <w:t>)</w:t>
      </w:r>
      <w:r w:rsidRPr="00E473B9">
        <w:rPr>
          <w:rFonts w:ascii="Arial" w:hAnsi="Arial" w:cs="Arial"/>
          <w:color w:val="000000" w:themeColor="text1"/>
          <w:sz w:val="20"/>
          <w:szCs w:val="20"/>
        </w:rPr>
        <w:t>.</w:t>
      </w:r>
      <w:r w:rsidR="00DF6692" w:rsidRPr="00E473B9">
        <w:rPr>
          <w:rFonts w:ascii="Arial" w:hAnsi="Arial" w:cs="Arial"/>
          <w:color w:val="000000" w:themeColor="text1"/>
          <w:sz w:val="20"/>
          <w:szCs w:val="20"/>
        </w:rPr>
        <w:t xml:space="preserve"> The clinical maturity, translational progress, and specific technological focus of these emerging approaches are comprehensively summarized in </w:t>
      </w:r>
      <w:r w:rsidR="00DF6692" w:rsidRPr="00E473B9">
        <w:rPr>
          <w:rFonts w:ascii="Arial" w:hAnsi="Arial" w:cs="Arial"/>
          <w:b/>
          <w:color w:val="000000" w:themeColor="text1"/>
          <w:sz w:val="20"/>
          <w:szCs w:val="20"/>
        </w:rPr>
        <w:t>Table 6.</w:t>
      </w:r>
    </w:p>
    <w:p w14:paraId="04A4D269" w14:textId="4228C8FB" w:rsidR="00C94C37" w:rsidRPr="00E473B9" w:rsidRDefault="00C94C37" w:rsidP="002C5523">
      <w:pPr>
        <w:pStyle w:val="NormalWeb"/>
        <w:spacing w:before="0" w:beforeAutospacing="0" w:after="0" w:afterAutospacing="0"/>
        <w:jc w:val="both"/>
        <w:rPr>
          <w:rFonts w:ascii="Arial" w:hAnsi="Arial" w:cs="Arial"/>
          <w:color w:val="000000" w:themeColor="text1"/>
          <w:sz w:val="20"/>
          <w:szCs w:val="20"/>
        </w:rPr>
      </w:pPr>
    </w:p>
    <w:p w14:paraId="31B31FEC" w14:textId="54D232A6" w:rsidR="00C94C37" w:rsidRPr="00E473B9" w:rsidRDefault="00C94C37"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noProof/>
          <w:color w:val="000000" w:themeColor="text1"/>
          <w:sz w:val="20"/>
          <w:szCs w:val="20"/>
        </w:rPr>
        <w:drawing>
          <wp:inline distT="0" distB="0" distL="0" distR="0" wp14:anchorId="08562507" wp14:editId="46F3D37A">
            <wp:extent cx="5731510" cy="360557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605579"/>
                    </a:xfrm>
                    <a:prstGeom prst="rect">
                      <a:avLst/>
                    </a:prstGeom>
                    <a:noFill/>
                    <a:ln>
                      <a:noFill/>
                    </a:ln>
                  </pic:spPr>
                </pic:pic>
              </a:graphicData>
            </a:graphic>
          </wp:inline>
        </w:drawing>
      </w:r>
    </w:p>
    <w:p w14:paraId="3741B71D" w14:textId="4689236C" w:rsidR="00C94C37" w:rsidRPr="00E473B9" w:rsidRDefault="00C94C37"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b/>
          <w:color w:val="000000" w:themeColor="text1"/>
          <w:sz w:val="20"/>
          <w:szCs w:val="20"/>
        </w:rPr>
        <w:t>Fig</w:t>
      </w:r>
      <w:r w:rsidR="00257E7C" w:rsidRPr="00E473B9">
        <w:rPr>
          <w:rFonts w:ascii="Arial" w:hAnsi="Arial" w:cs="Arial"/>
          <w:b/>
          <w:color w:val="000000" w:themeColor="text1"/>
          <w:sz w:val="20"/>
          <w:szCs w:val="20"/>
        </w:rPr>
        <w:t xml:space="preserve">. </w:t>
      </w:r>
      <w:r w:rsidRPr="00E473B9">
        <w:rPr>
          <w:rFonts w:ascii="Arial" w:hAnsi="Arial" w:cs="Arial"/>
          <w:b/>
          <w:color w:val="000000" w:themeColor="text1"/>
          <w:sz w:val="20"/>
          <w:szCs w:val="20"/>
        </w:rPr>
        <w:t>3</w:t>
      </w:r>
      <w:r w:rsidR="00257E7C" w:rsidRPr="00E473B9">
        <w:rPr>
          <w:rFonts w:ascii="Arial" w:hAnsi="Arial" w:cs="Arial"/>
          <w:b/>
          <w:color w:val="000000" w:themeColor="text1"/>
          <w:sz w:val="20"/>
          <w:szCs w:val="20"/>
        </w:rPr>
        <w:t>.</w:t>
      </w:r>
      <w:r w:rsidRPr="00E473B9">
        <w:rPr>
          <w:rFonts w:ascii="Arial" w:hAnsi="Arial" w:cs="Arial"/>
          <w:b/>
          <w:color w:val="000000" w:themeColor="text1"/>
          <w:sz w:val="20"/>
          <w:szCs w:val="20"/>
        </w:rPr>
        <w:t xml:space="preserve"> </w:t>
      </w:r>
      <w:r w:rsidR="00A678FC" w:rsidRPr="00E473B9">
        <w:rPr>
          <w:rFonts w:ascii="Arial" w:hAnsi="Arial" w:cs="Arial"/>
          <w:b/>
          <w:color w:val="000000" w:themeColor="text1"/>
          <w:sz w:val="20"/>
          <w:szCs w:val="20"/>
        </w:rPr>
        <w:t>Schematic Overview of Recent Advances, Emerging Technologies, and Innovative Strategies in Ocular Drug Delivery Systems</w:t>
      </w:r>
    </w:p>
    <w:p w14:paraId="6CB97636" w14:textId="77777777" w:rsidR="00C94C37" w:rsidRPr="00E473B9" w:rsidRDefault="00C94C37" w:rsidP="002C5523">
      <w:pPr>
        <w:pStyle w:val="NormalWeb"/>
        <w:spacing w:before="0" w:beforeAutospacing="0" w:after="0" w:afterAutospacing="0"/>
        <w:jc w:val="both"/>
        <w:rPr>
          <w:rFonts w:ascii="Arial" w:hAnsi="Arial" w:cs="Arial"/>
          <w:color w:val="000000" w:themeColor="text1"/>
          <w:sz w:val="20"/>
          <w:szCs w:val="20"/>
        </w:rPr>
      </w:pPr>
    </w:p>
    <w:p w14:paraId="59690855" w14:textId="6A398D87" w:rsidR="00C13E5C" w:rsidRPr="00E473B9" w:rsidRDefault="00C13E5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4.1 Three-Dimensional (3D)-Printed Ocular Devices</w:t>
      </w:r>
    </w:p>
    <w:p w14:paraId="4DBDFF09"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77701AFE" w14:textId="116BFE92" w:rsidR="00C13E5C" w:rsidRPr="00E473B9" w:rsidRDefault="00C13E5C" w:rsidP="002C5523">
      <w:pPr>
        <w:pStyle w:val="NormalWeb"/>
        <w:spacing w:before="0" w:beforeAutospacing="0" w:after="0"/>
        <w:jc w:val="both"/>
        <w:rPr>
          <w:rFonts w:ascii="Arial" w:hAnsi="Arial" w:cs="Arial"/>
          <w:color w:val="000000" w:themeColor="text1"/>
          <w:sz w:val="20"/>
          <w:szCs w:val="20"/>
        </w:rPr>
      </w:pPr>
      <w:r w:rsidRPr="00E473B9">
        <w:rPr>
          <w:rFonts w:ascii="Arial" w:hAnsi="Arial" w:cs="Arial"/>
          <w:color w:val="000000" w:themeColor="text1"/>
          <w:sz w:val="20"/>
          <w:szCs w:val="20"/>
        </w:rPr>
        <w:t>Three-dimensional printing has emerged as a versatile and highly customizable manufacturing platform for fabricating patient-specific ocular drug delivery devices with precisely controlled geometries and release profiles</w:t>
      </w:r>
      <w:r w:rsidR="00134E0E" w:rsidRPr="00E473B9">
        <w:rPr>
          <w:rFonts w:ascii="Arial" w:hAnsi="Arial" w:cs="Arial"/>
          <w:color w:val="000000" w:themeColor="text1"/>
          <w:sz w:val="20"/>
          <w:szCs w:val="20"/>
        </w:rPr>
        <w:t xml:space="preserve"> (</w:t>
      </w:r>
      <w:proofErr w:type="spellStart"/>
      <w:r w:rsidR="006236FD" w:rsidRPr="00E473B9">
        <w:rPr>
          <w:rFonts w:ascii="Arial" w:hAnsi="Arial" w:cs="Arial"/>
          <w:color w:val="000000" w:themeColor="text1"/>
          <w:sz w:val="20"/>
          <w:szCs w:val="20"/>
        </w:rPr>
        <w:t>Trenfield</w:t>
      </w:r>
      <w:proofErr w:type="spellEnd"/>
      <w:r w:rsidR="006236FD" w:rsidRPr="00E473B9">
        <w:rPr>
          <w:rFonts w:ascii="Arial" w:hAnsi="Arial" w:cs="Arial"/>
          <w:color w:val="000000" w:themeColor="text1"/>
          <w:sz w:val="20"/>
          <w:szCs w:val="20"/>
        </w:rPr>
        <w:t xml:space="preserve"> et al., 2018; Gao et al., 2021</w:t>
      </w:r>
      <w:r w:rsidR="00134E0E"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By enabling fine control over internal architecture, porosity, and spatial drug distribution, 3D printing facilitates sustained and programmable </w:t>
      </w:r>
      <w:r w:rsidRPr="00E473B9">
        <w:rPr>
          <w:rFonts w:ascii="Arial" w:hAnsi="Arial" w:cs="Arial"/>
          <w:color w:val="000000" w:themeColor="text1"/>
          <w:sz w:val="20"/>
          <w:szCs w:val="20"/>
        </w:rPr>
        <w:lastRenderedPageBreak/>
        <w:t xml:space="preserve">drug release kinetics that are difficult to achieve using conventional fabrication techniques such as </w:t>
      </w:r>
      <w:proofErr w:type="spellStart"/>
      <w:r w:rsidRPr="00E473B9">
        <w:rPr>
          <w:rFonts w:ascii="Arial" w:hAnsi="Arial" w:cs="Arial"/>
          <w:color w:val="000000" w:themeColor="text1"/>
          <w:sz w:val="20"/>
          <w:szCs w:val="20"/>
        </w:rPr>
        <w:t>molding</w:t>
      </w:r>
      <w:proofErr w:type="spellEnd"/>
      <w:r w:rsidRPr="00E473B9">
        <w:rPr>
          <w:rFonts w:ascii="Arial" w:hAnsi="Arial" w:cs="Arial"/>
          <w:color w:val="000000" w:themeColor="text1"/>
          <w:sz w:val="20"/>
          <w:szCs w:val="20"/>
        </w:rPr>
        <w:t xml:space="preserve"> or extrusion.</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Recent studies have demonstrated the feasibility of 3D-printed ocular inserts, implants, and contact lenses designed to accommodate anatomical variability and individualized therapeutic requirements, thereby supporting personalized ophthalmic medicine. A notable example is the development of UV-curable hydrogel-based 3D-printed drug-eluting contact lenses capable of controlled antibiotic release while maintaining mechanical integrity and optical transparency suitable for extended wear</w:t>
      </w:r>
      <w:r w:rsidR="009D72DD" w:rsidRPr="00E473B9">
        <w:rPr>
          <w:rFonts w:ascii="Arial" w:hAnsi="Arial" w:cs="Arial"/>
          <w:color w:val="000000" w:themeColor="text1"/>
          <w:sz w:val="20"/>
          <w:szCs w:val="20"/>
        </w:rPr>
        <w:t xml:space="preserve"> (</w:t>
      </w:r>
      <w:proofErr w:type="spellStart"/>
      <w:r w:rsidR="006236FD" w:rsidRPr="00E473B9">
        <w:rPr>
          <w:rFonts w:ascii="Arial" w:hAnsi="Arial" w:cs="Arial"/>
          <w:color w:val="000000" w:themeColor="text1"/>
          <w:sz w:val="20"/>
          <w:szCs w:val="20"/>
        </w:rPr>
        <w:t>Mohamdeen</w:t>
      </w:r>
      <w:proofErr w:type="spellEnd"/>
      <w:r w:rsidR="006236FD" w:rsidRPr="00E473B9">
        <w:rPr>
          <w:rFonts w:ascii="Arial" w:hAnsi="Arial" w:cs="Arial"/>
          <w:color w:val="000000" w:themeColor="text1"/>
          <w:sz w:val="20"/>
          <w:szCs w:val="20"/>
        </w:rPr>
        <w:t xml:space="preserve"> et al., 2022</w:t>
      </w:r>
      <w:r w:rsidR="009D72DD" w:rsidRPr="00E473B9">
        <w:rPr>
          <w:rFonts w:ascii="Arial" w:hAnsi="Arial" w:cs="Arial"/>
          <w:color w:val="000000" w:themeColor="text1"/>
          <w:sz w:val="20"/>
          <w:szCs w:val="20"/>
        </w:rPr>
        <w:t>)</w:t>
      </w:r>
      <w:r w:rsidRPr="00E473B9">
        <w:rPr>
          <w:rFonts w:ascii="Arial" w:hAnsi="Arial" w:cs="Arial"/>
          <w:color w:val="000000" w:themeColor="text1"/>
          <w:sz w:val="20"/>
          <w:szCs w:val="20"/>
        </w:rPr>
        <w:t>. These approaches highlight the synergistic advantages of precision manufacturing and controlled drug delivery and suggest future expansion toward multi-drug, multifunctional, and tissue-integrated platforms. Emerging directions also include bioprinting strategies that combine drug delivery with cellular or regenerative components for ocular surface repair</w:t>
      </w:r>
      <w:r w:rsidR="001A7497"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Murphy et al.,2014</w:t>
      </w:r>
      <w:r w:rsidR="001A7497" w:rsidRPr="00E473B9">
        <w:rPr>
          <w:rFonts w:ascii="Arial" w:hAnsi="Arial" w:cs="Arial"/>
          <w:color w:val="000000" w:themeColor="text1"/>
          <w:sz w:val="20"/>
          <w:szCs w:val="20"/>
        </w:rPr>
        <w:t>)</w:t>
      </w:r>
      <w:r w:rsidRPr="00E473B9">
        <w:rPr>
          <w:rFonts w:ascii="Arial" w:hAnsi="Arial" w:cs="Arial"/>
          <w:color w:val="000000" w:themeColor="text1"/>
          <w:sz w:val="20"/>
          <w:szCs w:val="20"/>
        </w:rPr>
        <w:t>.</w:t>
      </w:r>
    </w:p>
    <w:p w14:paraId="01D20D9B" w14:textId="3E22620C" w:rsidR="00C13E5C" w:rsidRPr="00E473B9" w:rsidRDefault="00C13E5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4.2 Smart Contact Lenses</w:t>
      </w:r>
    </w:p>
    <w:p w14:paraId="0E05EF76"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7D7C61F4" w14:textId="151DDFCE" w:rsidR="00C13E5C" w:rsidRPr="00E473B9" w:rsidRDefault="00C13E5C" w:rsidP="002C5523">
      <w:pPr>
        <w:pStyle w:val="NormalWeb"/>
        <w:spacing w:before="0" w:beforeAutospacing="0" w:after="0"/>
        <w:jc w:val="both"/>
        <w:rPr>
          <w:rFonts w:ascii="Arial" w:hAnsi="Arial" w:cs="Arial"/>
          <w:color w:val="000000" w:themeColor="text1"/>
          <w:sz w:val="20"/>
          <w:szCs w:val="20"/>
        </w:rPr>
      </w:pPr>
      <w:r w:rsidRPr="00E473B9">
        <w:rPr>
          <w:rFonts w:ascii="Arial" w:hAnsi="Arial" w:cs="Arial"/>
          <w:color w:val="000000" w:themeColor="text1"/>
          <w:sz w:val="20"/>
          <w:szCs w:val="20"/>
        </w:rPr>
        <w:t>Smart contact lenses represent a paradigm shift from passive ocular devices to active, multifunctional platforms capable of integrating drug reservoirs, biosensors, and microelectronic components within a wearable format</w:t>
      </w:r>
      <w:r w:rsidR="00D72C63"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Kim et al., 2022; Ma et al., 2021</w:t>
      </w:r>
      <w:r w:rsidR="00D72C63" w:rsidRPr="00E473B9">
        <w:rPr>
          <w:rFonts w:ascii="Arial" w:hAnsi="Arial" w:cs="Arial"/>
          <w:color w:val="000000" w:themeColor="text1"/>
          <w:sz w:val="20"/>
          <w:szCs w:val="20"/>
        </w:rPr>
        <w:t>)</w:t>
      </w:r>
      <w:r w:rsidRPr="00E473B9">
        <w:rPr>
          <w:rFonts w:ascii="Arial" w:hAnsi="Arial" w:cs="Arial"/>
          <w:color w:val="000000" w:themeColor="text1"/>
          <w:sz w:val="20"/>
          <w:szCs w:val="20"/>
        </w:rPr>
        <w:t>. Leveraging their intimate contact with the tear film and ocular surface, these lenses can enhance drug bioavailability while enabling real-time physiological monitoring and on-demand drug release.</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Recent advances include contact lenses incorporating nanocomposite drug reservoirs and micro</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or nano</w:t>
      </w:r>
      <w:r w:rsidR="00C7323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structured delivery matrices that significantly prolong ocular residence time and reduce dosing frequency compared with conventional eye drops. In parallel, smart lenses equipped with biosensors for continuous intraocular pressure (IOP) monitoring are under active investigation for glaucoma management, offering opportunities for closed-loop systems that integrate disease monitoring with responsive drug delivery.</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Additionally, emerging smart lens technologies capable of detecting tear-based biomarkers</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such as glucose, inflammatory mediators, and electrolytes</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provide a non-invasive window into ocular and systemic health</w:t>
      </w:r>
      <w:r w:rsidR="002A13CF"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Ma et al., 2021</w:t>
      </w:r>
      <w:r w:rsidR="002A13CF" w:rsidRPr="00E473B9">
        <w:rPr>
          <w:rFonts w:ascii="Arial" w:hAnsi="Arial" w:cs="Arial"/>
          <w:color w:val="000000" w:themeColor="text1"/>
          <w:sz w:val="20"/>
          <w:szCs w:val="20"/>
        </w:rPr>
        <w:t>)</w:t>
      </w:r>
      <w:r w:rsidRPr="00E473B9">
        <w:rPr>
          <w:rFonts w:ascii="Arial" w:hAnsi="Arial" w:cs="Arial"/>
          <w:color w:val="000000" w:themeColor="text1"/>
          <w:sz w:val="20"/>
          <w:szCs w:val="20"/>
        </w:rPr>
        <w:t>.</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When coupled with therapeutic modules, these platforms could enable personalized, feedback-controlled treatment strategies for chronic ocular diseases.</w:t>
      </w:r>
    </w:p>
    <w:p w14:paraId="2C9C402F" w14:textId="77777777" w:rsidR="00151455" w:rsidRPr="00E473B9" w:rsidRDefault="00C13E5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4.3 Gene Therapy and Biologics</w:t>
      </w:r>
    </w:p>
    <w:p w14:paraId="04197A40" w14:textId="77777777" w:rsidR="00151455" w:rsidRPr="00E473B9" w:rsidRDefault="00151455" w:rsidP="002C5523">
      <w:pPr>
        <w:pStyle w:val="Heading2"/>
        <w:spacing w:before="0" w:line="240" w:lineRule="auto"/>
        <w:jc w:val="both"/>
        <w:rPr>
          <w:rStyle w:val="Strong"/>
          <w:rFonts w:ascii="Arial" w:hAnsi="Arial" w:cs="Arial"/>
          <w:bCs w:val="0"/>
          <w:color w:val="000000" w:themeColor="text1"/>
          <w:sz w:val="20"/>
          <w:szCs w:val="20"/>
        </w:rPr>
      </w:pPr>
    </w:p>
    <w:p w14:paraId="104F5258" w14:textId="01571050" w:rsidR="00C13E5C" w:rsidRPr="00E473B9" w:rsidRDefault="00C13E5C"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Gene therapy and biologics are driving a paradigm shift in ophthalmic therapeutics by targeting disease pathophysiology at the molecular and genetic levels rather than providing symptomatic relief alone</w:t>
      </w:r>
      <w:r w:rsidR="002A13CF"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Bainbridge et al., 2015; McClements et al., 2013</w:t>
      </w:r>
      <w:r w:rsidR="002A13CF" w:rsidRPr="00E473B9">
        <w:rPr>
          <w:rFonts w:ascii="Arial" w:hAnsi="Arial" w:cs="Arial"/>
          <w:color w:val="000000" w:themeColor="text1"/>
          <w:sz w:val="20"/>
          <w:szCs w:val="20"/>
        </w:rPr>
        <w:t>)</w:t>
      </w:r>
      <w:r w:rsidRPr="00E473B9">
        <w:rPr>
          <w:rFonts w:ascii="Arial" w:hAnsi="Arial" w:cs="Arial"/>
          <w:color w:val="000000" w:themeColor="text1"/>
          <w:sz w:val="20"/>
          <w:szCs w:val="20"/>
        </w:rPr>
        <w:t>. These approaches employ viral vectors</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most commonly adeno-associated viruses (AAVs)</w:t>
      </w:r>
      <w:r w:rsidR="003B6F19"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as well as emerging non-viral delivery systems to introduce, correct, or silence genes within ocular tissues, enabling sustained or potentially permanent therapeutic effects following a single administration</w:t>
      </w:r>
      <w:r w:rsidR="000A1ABB"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A landmark example is the FDA-approved gene therapy </w:t>
      </w:r>
      <w:proofErr w:type="spellStart"/>
      <w:r w:rsidRPr="00E473B9">
        <w:rPr>
          <w:rFonts w:ascii="Arial" w:hAnsi="Arial" w:cs="Arial"/>
          <w:color w:val="000000" w:themeColor="text1"/>
          <w:sz w:val="20"/>
          <w:szCs w:val="20"/>
        </w:rPr>
        <w:t>voretigene</w:t>
      </w:r>
      <w:proofErr w:type="spellEnd"/>
      <w:r w:rsidRPr="00E473B9">
        <w:rPr>
          <w:rFonts w:ascii="Arial" w:hAnsi="Arial" w:cs="Arial"/>
          <w:color w:val="000000" w:themeColor="text1"/>
          <w:sz w:val="20"/>
          <w:szCs w:val="20"/>
        </w:rPr>
        <w:t xml:space="preserve"> </w:t>
      </w:r>
      <w:proofErr w:type="spellStart"/>
      <w:r w:rsidRPr="00E473B9">
        <w:rPr>
          <w:rFonts w:ascii="Arial" w:hAnsi="Arial" w:cs="Arial"/>
          <w:color w:val="000000" w:themeColor="text1"/>
          <w:sz w:val="20"/>
          <w:szCs w:val="20"/>
        </w:rPr>
        <w:t>neparvovec-rzyl</w:t>
      </w:r>
      <w:proofErr w:type="spellEnd"/>
      <w:r w:rsidRPr="00E473B9">
        <w:rPr>
          <w:rFonts w:ascii="Arial" w:hAnsi="Arial" w:cs="Arial"/>
          <w:color w:val="000000" w:themeColor="text1"/>
          <w:sz w:val="20"/>
          <w:szCs w:val="20"/>
        </w:rPr>
        <w:t xml:space="preserve"> (</w:t>
      </w:r>
      <w:proofErr w:type="spellStart"/>
      <w:r w:rsidRPr="00E473B9">
        <w:rPr>
          <w:rFonts w:ascii="Arial" w:hAnsi="Arial" w:cs="Arial"/>
          <w:color w:val="000000" w:themeColor="text1"/>
          <w:sz w:val="20"/>
          <w:szCs w:val="20"/>
        </w:rPr>
        <w:t>Luxturna</w:t>
      </w:r>
      <w:proofErr w:type="spellEnd"/>
      <w:r w:rsidRPr="00E473B9">
        <w:rPr>
          <w:rFonts w:ascii="Arial" w:hAnsi="Arial" w:cs="Arial"/>
          <w:color w:val="000000" w:themeColor="text1"/>
          <w:sz w:val="20"/>
          <w:szCs w:val="20"/>
        </w:rPr>
        <w:t>®), which delivers a functional RPE65 gene to patients with inherited retinal dystrophies and has demonstrated clinically meaningful restoration of visual function</w:t>
      </w:r>
      <w:r w:rsidR="000A1ABB"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Russell et al., 2017</w:t>
      </w:r>
      <w:r w:rsidR="000A1ABB" w:rsidRPr="00E473B9">
        <w:rPr>
          <w:rFonts w:ascii="Arial" w:hAnsi="Arial" w:cs="Arial"/>
          <w:color w:val="000000" w:themeColor="text1"/>
          <w:sz w:val="20"/>
          <w:szCs w:val="20"/>
        </w:rPr>
        <w:t>)</w:t>
      </w:r>
      <w:r w:rsidRPr="00E473B9">
        <w:rPr>
          <w:rFonts w:ascii="Arial" w:hAnsi="Arial" w:cs="Arial"/>
          <w:color w:val="000000" w:themeColor="text1"/>
          <w:sz w:val="20"/>
          <w:szCs w:val="20"/>
        </w:rPr>
        <w:t>. Beyond inherited retinal disorders, ongoing preclinical and clinical studies are evaluating CRISPR/Cas9-based genome editing and RNA interference (siRNA) strategies to modulate gene expression in complex retinal diseases such as age-related macular degeneration and diabetic retinopathy. These approaches hold promise for long-term disease modification while reducing the need for repeated intraocular injections.</w:t>
      </w:r>
    </w:p>
    <w:p w14:paraId="06601C40"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57F7555A" w14:textId="30286AD0" w:rsidR="00C13E5C" w:rsidRPr="00E473B9" w:rsidRDefault="00C13E5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 xml:space="preserve">4.4 </w:t>
      </w:r>
      <w:proofErr w:type="spellStart"/>
      <w:r w:rsidRPr="00E473B9">
        <w:rPr>
          <w:rStyle w:val="Strong"/>
          <w:rFonts w:ascii="Arial" w:hAnsi="Arial" w:cs="Arial"/>
          <w:bCs w:val="0"/>
          <w:color w:val="000000" w:themeColor="text1"/>
          <w:sz w:val="22"/>
          <w:szCs w:val="22"/>
        </w:rPr>
        <w:t>Bioadhesive</w:t>
      </w:r>
      <w:proofErr w:type="spellEnd"/>
      <w:r w:rsidRPr="00E473B9">
        <w:rPr>
          <w:rStyle w:val="Strong"/>
          <w:rFonts w:ascii="Arial" w:hAnsi="Arial" w:cs="Arial"/>
          <w:bCs w:val="0"/>
          <w:color w:val="000000" w:themeColor="text1"/>
          <w:sz w:val="22"/>
          <w:szCs w:val="22"/>
        </w:rPr>
        <w:t xml:space="preserve"> and Mucoadhesive Systems</w:t>
      </w:r>
    </w:p>
    <w:p w14:paraId="4BC9AB8E"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3E069A65" w14:textId="03BDB453" w:rsidR="00C13E5C" w:rsidRPr="00E473B9" w:rsidRDefault="00C13E5C" w:rsidP="002C5523">
      <w:pPr>
        <w:pStyle w:val="NormalWeb"/>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Bioadhesive</w:t>
      </w:r>
      <w:proofErr w:type="spellEnd"/>
      <w:r w:rsidRPr="00E473B9">
        <w:rPr>
          <w:rFonts w:ascii="Arial" w:hAnsi="Arial" w:cs="Arial"/>
          <w:color w:val="000000" w:themeColor="text1"/>
          <w:sz w:val="20"/>
          <w:szCs w:val="20"/>
        </w:rPr>
        <w:t xml:space="preserve"> and mucoadhesive drug delivery systems are designed to address one of the most persistent challenges in topical ophthalmic therapy: rapid precorneal drug clearance</w:t>
      </w:r>
      <w:r w:rsidR="000A1ABB"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By utilizing functionalized polymers capable of adhering to mucin or epithelial surfaces, these systems prolong drug residence time on the ocular surface, thereby enhancing absorption and therapeutic efficacy.</w:t>
      </w:r>
      <w:r w:rsidR="00DB6F55"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Polymers such as chitosan, hyaluronic acid, carbomers, and </w:t>
      </w:r>
      <w:proofErr w:type="spellStart"/>
      <w:r w:rsidRPr="00E473B9">
        <w:rPr>
          <w:rFonts w:ascii="Arial" w:hAnsi="Arial" w:cs="Arial"/>
          <w:color w:val="000000" w:themeColor="text1"/>
          <w:sz w:val="20"/>
          <w:szCs w:val="20"/>
        </w:rPr>
        <w:t>thiolated</w:t>
      </w:r>
      <w:proofErr w:type="spellEnd"/>
      <w:r w:rsidRPr="00E473B9">
        <w:rPr>
          <w:rFonts w:ascii="Arial" w:hAnsi="Arial" w:cs="Arial"/>
          <w:color w:val="000000" w:themeColor="text1"/>
          <w:sz w:val="20"/>
          <w:szCs w:val="20"/>
        </w:rPr>
        <w:t xml:space="preserve"> derivatives exhibit strong mucoadhesive interactions through hydrogen bonding, electrostatic forces, and covalent bonding, enabling sustained drug release without invasive administration</w:t>
      </w:r>
      <w:r w:rsidR="000A1ABB"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Recent research has also focused on stimuli-responsive </w:t>
      </w:r>
      <w:proofErr w:type="spellStart"/>
      <w:r w:rsidRPr="00E473B9">
        <w:rPr>
          <w:rFonts w:ascii="Arial" w:hAnsi="Arial" w:cs="Arial"/>
          <w:color w:val="000000" w:themeColor="text1"/>
          <w:sz w:val="20"/>
          <w:szCs w:val="20"/>
        </w:rPr>
        <w:t>bioadhesive</w:t>
      </w:r>
      <w:proofErr w:type="spellEnd"/>
      <w:r w:rsidRPr="00E473B9">
        <w:rPr>
          <w:rFonts w:ascii="Arial" w:hAnsi="Arial" w:cs="Arial"/>
          <w:color w:val="000000" w:themeColor="text1"/>
          <w:sz w:val="20"/>
          <w:szCs w:val="20"/>
        </w:rPr>
        <w:t xml:space="preserve"> systems that modulate adhesion strength or drug release in response to environmental triggers such as pH, enzymatic activity, or oxidative stress</w:t>
      </w:r>
      <w:r w:rsidR="000A1ABB"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Peppas et al., 2016</w:t>
      </w:r>
      <w:r w:rsidR="000A1ABB" w:rsidRPr="00E473B9">
        <w:rPr>
          <w:rFonts w:ascii="Arial" w:hAnsi="Arial" w:cs="Arial"/>
          <w:color w:val="000000" w:themeColor="text1"/>
          <w:sz w:val="20"/>
          <w:szCs w:val="20"/>
        </w:rPr>
        <w:t>)</w:t>
      </w:r>
      <w:r w:rsidRPr="00E473B9">
        <w:rPr>
          <w:rFonts w:ascii="Arial" w:hAnsi="Arial" w:cs="Arial"/>
          <w:color w:val="000000" w:themeColor="text1"/>
          <w:sz w:val="20"/>
          <w:szCs w:val="20"/>
        </w:rPr>
        <w:t>.</w:t>
      </w:r>
      <w:r w:rsidR="00DB6F55"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Functionalized </w:t>
      </w:r>
      <w:proofErr w:type="spellStart"/>
      <w:r w:rsidRPr="00E473B9">
        <w:rPr>
          <w:rFonts w:ascii="Arial" w:hAnsi="Arial" w:cs="Arial"/>
          <w:color w:val="000000" w:themeColor="text1"/>
          <w:sz w:val="20"/>
          <w:szCs w:val="20"/>
        </w:rPr>
        <w:t>bioadhesive</w:t>
      </w:r>
      <w:proofErr w:type="spellEnd"/>
      <w:r w:rsidRPr="00E473B9">
        <w:rPr>
          <w:rFonts w:ascii="Arial" w:hAnsi="Arial" w:cs="Arial"/>
          <w:color w:val="000000" w:themeColor="text1"/>
          <w:sz w:val="20"/>
          <w:szCs w:val="20"/>
        </w:rPr>
        <w:t xml:space="preserve"> hydrogels, nanoparticles, and polymeric films exemplify how rational material design can bridge the gap between the convenience of topical delivery and the performance of long-acting sustained-release systems.</w:t>
      </w:r>
    </w:p>
    <w:p w14:paraId="6AA10CFE"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14F0A4F1" w14:textId="3F7C4EE1" w:rsidR="00C13E5C" w:rsidRPr="00E473B9" w:rsidRDefault="00C13E5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4.5 Comparative Innovation Roadmap (2020–2025)</w:t>
      </w:r>
    </w:p>
    <w:p w14:paraId="7F8F77D2"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26695C3D" w14:textId="33A1B44E" w:rsidR="00B02BF5" w:rsidRPr="00E473B9" w:rsidRDefault="00C13E5C"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Between 2020 and 2025, emerging ophthalmic drug delivery technologies have progressed from proof-of-concept studies to advanced preclinical validation and early-stage clinical translation. Key milestones include optimization of printable biomaterials for ocular use, integration of biosensing components into contact lenses, clinical approval of gene therapies, and increasing adoption of </w:t>
      </w:r>
      <w:proofErr w:type="spellStart"/>
      <w:r w:rsidRPr="00E473B9">
        <w:rPr>
          <w:rFonts w:ascii="Arial" w:hAnsi="Arial" w:cs="Arial"/>
          <w:color w:val="000000" w:themeColor="text1"/>
          <w:sz w:val="20"/>
          <w:szCs w:val="20"/>
        </w:rPr>
        <w:t>bioadhesive</w:t>
      </w:r>
      <w:proofErr w:type="spellEnd"/>
      <w:r w:rsidRPr="00E473B9">
        <w:rPr>
          <w:rFonts w:ascii="Arial" w:hAnsi="Arial" w:cs="Arial"/>
          <w:color w:val="000000" w:themeColor="text1"/>
          <w:sz w:val="20"/>
          <w:szCs w:val="20"/>
        </w:rPr>
        <w:t xml:space="preserve"> platforms for sustained topical delivery</w:t>
      </w:r>
      <w:r w:rsidR="000A1ABB"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Trapani &amp; Auricchio, 2019</w:t>
      </w:r>
      <w:r w:rsidR="000A1ABB" w:rsidRPr="00E473B9">
        <w:rPr>
          <w:rFonts w:ascii="Arial" w:hAnsi="Arial" w:cs="Arial"/>
          <w:color w:val="000000" w:themeColor="text1"/>
          <w:sz w:val="20"/>
          <w:szCs w:val="20"/>
        </w:rPr>
        <w:t>)</w:t>
      </w:r>
      <w:r w:rsidRPr="00E473B9">
        <w:rPr>
          <w:rFonts w:ascii="Arial" w:hAnsi="Arial" w:cs="Arial"/>
          <w:color w:val="000000" w:themeColor="text1"/>
          <w:sz w:val="20"/>
          <w:szCs w:val="20"/>
        </w:rPr>
        <w:t>. Collectively, these innovations are shaping a roadmap toward more personalized, durable, and responsive ophthalmic therapies.</w:t>
      </w:r>
      <w:r w:rsidR="00A678FC" w:rsidRPr="00E473B9">
        <w:rPr>
          <w:rFonts w:ascii="Arial" w:hAnsi="Arial" w:cs="Arial"/>
          <w:color w:val="000000" w:themeColor="text1"/>
          <w:sz w:val="20"/>
          <w:szCs w:val="20"/>
        </w:rPr>
        <w:t xml:space="preserve"> </w:t>
      </w:r>
      <w:r w:rsidR="00B02BF5" w:rsidRPr="00E473B9">
        <w:rPr>
          <w:rFonts w:ascii="Arial" w:hAnsi="Arial" w:cs="Arial"/>
          <w:color w:val="000000" w:themeColor="text1"/>
          <w:sz w:val="20"/>
          <w:szCs w:val="20"/>
        </w:rPr>
        <w:t>The timeline below summarizes how these emerging technologies are advancing sustained-release ophthalmic drug delivery, with typical milestones in research and application</w:t>
      </w:r>
      <w:r w:rsidR="00A678FC" w:rsidRPr="00E473B9">
        <w:rPr>
          <w:rFonts w:ascii="Arial" w:hAnsi="Arial" w:cs="Arial"/>
          <w:color w:val="000000" w:themeColor="text1"/>
          <w:sz w:val="20"/>
          <w:szCs w:val="20"/>
        </w:rPr>
        <w:t xml:space="preserve"> are presented in </w:t>
      </w:r>
      <w:r w:rsidR="00A678FC" w:rsidRPr="00E473B9">
        <w:rPr>
          <w:rFonts w:ascii="Arial" w:hAnsi="Arial" w:cs="Arial"/>
          <w:b/>
          <w:color w:val="000000" w:themeColor="text1"/>
          <w:sz w:val="20"/>
          <w:szCs w:val="20"/>
        </w:rPr>
        <w:t>table 6</w:t>
      </w:r>
      <w:r w:rsidR="00A678FC" w:rsidRPr="00E473B9">
        <w:rPr>
          <w:rFonts w:ascii="Arial" w:hAnsi="Arial" w:cs="Arial"/>
          <w:color w:val="000000" w:themeColor="text1"/>
          <w:sz w:val="20"/>
          <w:szCs w:val="20"/>
        </w:rPr>
        <w:t xml:space="preserve">. </w:t>
      </w:r>
    </w:p>
    <w:p w14:paraId="78F289EF" w14:textId="0BA2A0AC" w:rsidR="00A678FC" w:rsidRPr="00E473B9" w:rsidRDefault="00A678FC" w:rsidP="002C5523">
      <w:pPr>
        <w:pStyle w:val="NormalWeb"/>
        <w:spacing w:before="0" w:beforeAutospacing="0" w:after="0" w:afterAutospacing="0"/>
        <w:jc w:val="both"/>
        <w:rPr>
          <w:rFonts w:ascii="Arial" w:hAnsi="Arial" w:cs="Arial"/>
          <w:color w:val="000000" w:themeColor="text1"/>
          <w:sz w:val="20"/>
          <w:szCs w:val="20"/>
        </w:rPr>
      </w:pPr>
    </w:p>
    <w:p w14:paraId="78FA9576" w14:textId="5E042982" w:rsidR="00A678FC" w:rsidRPr="00E473B9" w:rsidRDefault="00A678FC" w:rsidP="00F746B6">
      <w:pPr>
        <w:pStyle w:val="NormalWeb"/>
        <w:spacing w:before="0" w:beforeAutospacing="0" w:after="0" w:afterAutospacing="0"/>
        <w:jc w:val="center"/>
        <w:rPr>
          <w:rFonts w:ascii="Arial" w:hAnsi="Arial" w:cs="Arial"/>
          <w:b/>
          <w:color w:val="000000" w:themeColor="text1"/>
          <w:sz w:val="20"/>
          <w:szCs w:val="20"/>
        </w:rPr>
      </w:pPr>
      <w:r w:rsidRPr="00E473B9">
        <w:rPr>
          <w:rFonts w:ascii="Arial" w:hAnsi="Arial" w:cs="Arial"/>
          <w:b/>
          <w:color w:val="000000" w:themeColor="text1"/>
          <w:sz w:val="20"/>
          <w:szCs w:val="20"/>
        </w:rPr>
        <w:t>Table 6. Clinical and Translational Landscape of Recent Ocular Drug Delivery Innovations and Their Technological Focus</w:t>
      </w:r>
    </w:p>
    <w:p w14:paraId="2AA00867" w14:textId="77777777" w:rsidR="009436C4" w:rsidRPr="00E473B9" w:rsidRDefault="009436C4" w:rsidP="002C5523">
      <w:pPr>
        <w:pStyle w:val="NormalWeb"/>
        <w:spacing w:before="0" w:beforeAutospacing="0" w:after="0" w:afterAutospacing="0"/>
        <w:jc w:val="both"/>
        <w:rPr>
          <w:rFonts w:ascii="Arial" w:hAnsi="Arial" w:cs="Arial"/>
          <w:color w:val="000000" w:themeColor="text1"/>
          <w:sz w:val="20"/>
          <w:szCs w:val="20"/>
        </w:rPr>
      </w:pPr>
    </w:p>
    <w:tbl>
      <w:tblPr>
        <w:tblStyle w:val="TableGrid"/>
        <w:tblW w:w="5000" w:type="pct"/>
        <w:tblLook w:val="04A0" w:firstRow="1" w:lastRow="0" w:firstColumn="1" w:lastColumn="0" w:noHBand="0" w:noVBand="1"/>
      </w:tblPr>
      <w:tblGrid>
        <w:gridCol w:w="1306"/>
        <w:gridCol w:w="1606"/>
        <w:gridCol w:w="1395"/>
        <w:gridCol w:w="1461"/>
        <w:gridCol w:w="1580"/>
        <w:gridCol w:w="1668"/>
      </w:tblGrid>
      <w:tr w:rsidR="00E473B9" w:rsidRPr="00E473B9" w14:paraId="1690CFD5" w14:textId="322C196E" w:rsidTr="001163A9">
        <w:trPr>
          <w:trHeight w:val="655"/>
          <w:tblHeader/>
        </w:trPr>
        <w:tc>
          <w:tcPr>
            <w:tcW w:w="640" w:type="pct"/>
            <w:shd w:val="clear" w:color="auto" w:fill="BFBFBF" w:themeFill="background1" w:themeFillShade="BF"/>
            <w:vAlign w:val="center"/>
          </w:tcPr>
          <w:p w14:paraId="5E4CD9FE" w14:textId="04133DF8" w:rsidR="008A7ABE" w:rsidRPr="00E473B9" w:rsidRDefault="008A7ABE" w:rsidP="002C5523">
            <w:pPr>
              <w:pStyle w:val="NormalWeb"/>
              <w:spacing w:before="0" w:beforeAutospacing="0" w:after="0" w:afterAutospacing="0"/>
              <w:jc w:val="center"/>
              <w:rPr>
                <w:rFonts w:ascii="Arial" w:hAnsi="Arial" w:cs="Arial"/>
                <w:color w:val="000000" w:themeColor="text1"/>
                <w:sz w:val="20"/>
                <w:szCs w:val="20"/>
              </w:rPr>
            </w:pPr>
            <w:r w:rsidRPr="00E473B9">
              <w:rPr>
                <w:rStyle w:val="Strong"/>
                <w:rFonts w:ascii="Arial" w:hAnsi="Arial" w:cs="Arial"/>
                <w:color w:val="000000" w:themeColor="text1"/>
                <w:sz w:val="20"/>
                <w:szCs w:val="20"/>
              </w:rPr>
              <w:t>Innovation</w:t>
            </w:r>
          </w:p>
        </w:tc>
        <w:tc>
          <w:tcPr>
            <w:tcW w:w="787" w:type="pct"/>
            <w:shd w:val="clear" w:color="auto" w:fill="BFBFBF" w:themeFill="background1" w:themeFillShade="BF"/>
            <w:vAlign w:val="center"/>
          </w:tcPr>
          <w:p w14:paraId="4553D118" w14:textId="713CF6AF" w:rsidR="008A7ABE" w:rsidRPr="00E473B9" w:rsidRDefault="008A7ABE" w:rsidP="002C5523">
            <w:pPr>
              <w:pStyle w:val="NormalWeb"/>
              <w:spacing w:before="0" w:beforeAutospacing="0" w:after="0" w:afterAutospacing="0"/>
              <w:jc w:val="center"/>
              <w:rPr>
                <w:rFonts w:ascii="Arial" w:hAnsi="Arial" w:cs="Arial"/>
                <w:color w:val="000000" w:themeColor="text1"/>
                <w:sz w:val="20"/>
                <w:szCs w:val="20"/>
              </w:rPr>
            </w:pPr>
            <w:r w:rsidRPr="00E473B9">
              <w:rPr>
                <w:rStyle w:val="Strong"/>
                <w:rFonts w:ascii="Arial" w:hAnsi="Arial" w:cs="Arial"/>
                <w:color w:val="000000" w:themeColor="text1"/>
                <w:sz w:val="20"/>
                <w:szCs w:val="20"/>
              </w:rPr>
              <w:t>Technological Focus</w:t>
            </w:r>
          </w:p>
        </w:tc>
        <w:tc>
          <w:tcPr>
            <w:tcW w:w="794" w:type="pct"/>
            <w:shd w:val="clear" w:color="auto" w:fill="BFBFBF" w:themeFill="background1" w:themeFillShade="BF"/>
            <w:vAlign w:val="center"/>
          </w:tcPr>
          <w:p w14:paraId="79437C0B" w14:textId="77777777" w:rsidR="008A7ABE" w:rsidRPr="00E473B9" w:rsidRDefault="008A7ABE" w:rsidP="002C5523">
            <w:pPr>
              <w:pStyle w:val="NormalWeb"/>
              <w:spacing w:before="0" w:beforeAutospacing="0" w:after="0" w:afterAutospacing="0"/>
              <w:jc w:val="center"/>
              <w:rPr>
                <w:rStyle w:val="Strong"/>
                <w:rFonts w:ascii="Arial" w:hAnsi="Arial" w:cs="Arial"/>
                <w:color w:val="000000" w:themeColor="text1"/>
                <w:sz w:val="20"/>
                <w:szCs w:val="20"/>
              </w:rPr>
            </w:pPr>
            <w:r w:rsidRPr="00E473B9">
              <w:rPr>
                <w:rStyle w:val="Strong"/>
                <w:rFonts w:ascii="Arial" w:hAnsi="Arial" w:cs="Arial"/>
                <w:color w:val="000000" w:themeColor="text1"/>
                <w:sz w:val="20"/>
                <w:szCs w:val="20"/>
              </w:rPr>
              <w:t>Key Milestones</w:t>
            </w:r>
          </w:p>
          <w:p w14:paraId="3B896E2B" w14:textId="000274B2" w:rsidR="008A7ABE" w:rsidRPr="00E473B9" w:rsidRDefault="008A7ABE" w:rsidP="002C5523">
            <w:pPr>
              <w:pStyle w:val="NormalWeb"/>
              <w:spacing w:before="0" w:beforeAutospacing="0" w:after="0" w:afterAutospacing="0"/>
              <w:jc w:val="center"/>
              <w:rPr>
                <w:rFonts w:ascii="Arial" w:hAnsi="Arial" w:cs="Arial"/>
                <w:color w:val="000000" w:themeColor="text1"/>
                <w:sz w:val="20"/>
                <w:szCs w:val="20"/>
              </w:rPr>
            </w:pPr>
            <w:r w:rsidRPr="00E473B9">
              <w:rPr>
                <w:rStyle w:val="Strong"/>
                <w:rFonts w:ascii="Arial" w:hAnsi="Arial" w:cs="Arial"/>
                <w:color w:val="000000" w:themeColor="text1"/>
                <w:sz w:val="20"/>
                <w:szCs w:val="20"/>
              </w:rPr>
              <w:t xml:space="preserve"> (2020–2025)</w:t>
            </w:r>
          </w:p>
        </w:tc>
        <w:tc>
          <w:tcPr>
            <w:tcW w:w="834" w:type="pct"/>
            <w:shd w:val="clear" w:color="auto" w:fill="BFBFBF" w:themeFill="background1" w:themeFillShade="BF"/>
            <w:vAlign w:val="center"/>
          </w:tcPr>
          <w:p w14:paraId="22544968" w14:textId="3B36CED6" w:rsidR="008A7ABE" w:rsidRPr="00E473B9" w:rsidRDefault="008A7ABE" w:rsidP="002C5523">
            <w:pPr>
              <w:pStyle w:val="NormalWeb"/>
              <w:spacing w:before="0" w:beforeAutospacing="0" w:after="0" w:afterAutospacing="0"/>
              <w:jc w:val="center"/>
              <w:rPr>
                <w:rFonts w:ascii="Arial" w:hAnsi="Arial" w:cs="Arial"/>
                <w:color w:val="000000" w:themeColor="text1"/>
                <w:sz w:val="20"/>
                <w:szCs w:val="20"/>
              </w:rPr>
            </w:pPr>
            <w:r w:rsidRPr="00E473B9">
              <w:rPr>
                <w:rStyle w:val="Strong"/>
                <w:rFonts w:ascii="Arial" w:hAnsi="Arial" w:cs="Arial"/>
                <w:color w:val="000000" w:themeColor="text1"/>
                <w:sz w:val="20"/>
                <w:szCs w:val="20"/>
              </w:rPr>
              <w:t>Clinical / Translational Status</w:t>
            </w:r>
          </w:p>
        </w:tc>
        <w:tc>
          <w:tcPr>
            <w:tcW w:w="973" w:type="pct"/>
            <w:shd w:val="clear" w:color="auto" w:fill="BFBFBF" w:themeFill="background1" w:themeFillShade="BF"/>
            <w:vAlign w:val="center"/>
          </w:tcPr>
          <w:p w14:paraId="35F3CD6F" w14:textId="6706178D" w:rsidR="008A7ABE" w:rsidRPr="00E473B9" w:rsidRDefault="008A7ABE" w:rsidP="002C5523">
            <w:pPr>
              <w:pStyle w:val="NormalWeb"/>
              <w:spacing w:before="0" w:beforeAutospacing="0" w:after="0" w:afterAutospacing="0"/>
              <w:jc w:val="center"/>
              <w:rPr>
                <w:rStyle w:val="Strong"/>
                <w:rFonts w:ascii="Arial" w:hAnsi="Arial" w:cs="Arial"/>
                <w:color w:val="000000" w:themeColor="text1"/>
                <w:sz w:val="20"/>
                <w:szCs w:val="20"/>
              </w:rPr>
            </w:pPr>
            <w:r w:rsidRPr="00E473B9">
              <w:rPr>
                <w:rStyle w:val="Strong"/>
                <w:rFonts w:ascii="Arial" w:hAnsi="Arial" w:cs="Arial"/>
                <w:color w:val="000000" w:themeColor="text1"/>
                <w:sz w:val="20"/>
                <w:szCs w:val="20"/>
              </w:rPr>
              <w:t>Comparative Advantages</w:t>
            </w:r>
          </w:p>
        </w:tc>
        <w:tc>
          <w:tcPr>
            <w:tcW w:w="972" w:type="pct"/>
            <w:shd w:val="clear" w:color="auto" w:fill="BFBFBF" w:themeFill="background1" w:themeFillShade="BF"/>
            <w:vAlign w:val="center"/>
          </w:tcPr>
          <w:p w14:paraId="60D84CF0" w14:textId="6ECF30A9" w:rsidR="008A7ABE" w:rsidRPr="00E473B9" w:rsidRDefault="008A7ABE" w:rsidP="002C5523">
            <w:pPr>
              <w:pStyle w:val="NormalWeb"/>
              <w:spacing w:before="0" w:beforeAutospacing="0" w:after="0" w:afterAutospacing="0"/>
              <w:jc w:val="center"/>
              <w:rPr>
                <w:rStyle w:val="Strong"/>
                <w:rFonts w:ascii="Arial" w:hAnsi="Arial" w:cs="Arial"/>
                <w:color w:val="000000" w:themeColor="text1"/>
                <w:sz w:val="20"/>
                <w:szCs w:val="20"/>
              </w:rPr>
            </w:pPr>
            <w:r w:rsidRPr="00E473B9">
              <w:rPr>
                <w:rStyle w:val="Strong"/>
                <w:rFonts w:ascii="Arial" w:hAnsi="Arial" w:cs="Arial"/>
                <w:color w:val="000000" w:themeColor="text1"/>
                <w:sz w:val="20"/>
                <w:szCs w:val="20"/>
              </w:rPr>
              <w:t>Key Limitations / Challenges</w:t>
            </w:r>
          </w:p>
        </w:tc>
      </w:tr>
      <w:tr w:rsidR="00E473B9" w:rsidRPr="00E473B9" w14:paraId="7C22DD23" w14:textId="650C8FAE" w:rsidTr="001163A9">
        <w:trPr>
          <w:trHeight w:val="1323"/>
        </w:trPr>
        <w:tc>
          <w:tcPr>
            <w:tcW w:w="640" w:type="pct"/>
            <w:vAlign w:val="center"/>
          </w:tcPr>
          <w:p w14:paraId="4C81E8EF" w14:textId="765B58A1" w:rsidR="008A7ABE" w:rsidRPr="00E473B9" w:rsidRDefault="008A7ABE" w:rsidP="002C5523">
            <w:pPr>
              <w:pStyle w:val="NormalWeb"/>
              <w:spacing w:before="0" w:beforeAutospacing="0" w:after="0" w:afterAutospacing="0"/>
              <w:jc w:val="both"/>
              <w:rPr>
                <w:rFonts w:ascii="Arial" w:hAnsi="Arial" w:cs="Arial"/>
                <w:b/>
                <w:color w:val="000000" w:themeColor="text1"/>
                <w:sz w:val="20"/>
                <w:szCs w:val="20"/>
              </w:rPr>
            </w:pPr>
            <w:r w:rsidRPr="00E473B9">
              <w:rPr>
                <w:rStyle w:val="Strong"/>
                <w:rFonts w:ascii="Arial" w:hAnsi="Arial" w:cs="Arial"/>
                <w:b w:val="0"/>
                <w:color w:val="000000" w:themeColor="text1"/>
                <w:sz w:val="20"/>
                <w:szCs w:val="20"/>
              </w:rPr>
              <w:t>3D-Printed Ocular Devices</w:t>
            </w:r>
          </w:p>
        </w:tc>
        <w:tc>
          <w:tcPr>
            <w:tcW w:w="787" w:type="pct"/>
            <w:vAlign w:val="center"/>
          </w:tcPr>
          <w:p w14:paraId="2ED1E866" w14:textId="254D9C9B" w:rsidR="008A7ABE" w:rsidRPr="00E473B9" w:rsidRDefault="008A7ABE"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Personalized geometry, porosity control</w:t>
            </w:r>
          </w:p>
        </w:tc>
        <w:tc>
          <w:tcPr>
            <w:tcW w:w="794" w:type="pct"/>
            <w:vAlign w:val="center"/>
          </w:tcPr>
          <w:p w14:paraId="45CD6726" w14:textId="336E4478" w:rsidR="008A7ABE" w:rsidRPr="00E473B9" w:rsidRDefault="008A7ABE"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Development of drug-eluting 3D-printed hydrogels and lenses (2024)</w:t>
            </w:r>
          </w:p>
        </w:tc>
        <w:tc>
          <w:tcPr>
            <w:tcW w:w="834" w:type="pct"/>
            <w:vAlign w:val="center"/>
          </w:tcPr>
          <w:p w14:paraId="73FAEB54" w14:textId="75394E27" w:rsidR="008A7ABE" w:rsidRPr="00E473B9" w:rsidRDefault="008A7ABE" w:rsidP="002C5523">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Early translational research; potential commercial pipelines</w:t>
            </w:r>
          </w:p>
        </w:tc>
        <w:tc>
          <w:tcPr>
            <w:tcW w:w="973" w:type="pct"/>
            <w:vAlign w:val="center"/>
          </w:tcPr>
          <w:p w14:paraId="52C992F9" w14:textId="58A1CC52" w:rsidR="008A7ABE" w:rsidRPr="00E473B9" w:rsidRDefault="008A7ABE" w:rsidP="008A7ABE">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High customization for patient-specific therapy</w:t>
            </w:r>
            <w:r w:rsidR="009D1960" w:rsidRPr="00E473B9">
              <w:rPr>
                <w:rStyle w:val="Strong"/>
                <w:rFonts w:ascii="Arial" w:hAnsi="Arial" w:cs="Arial"/>
                <w:b w:val="0"/>
                <w:color w:val="000000" w:themeColor="text1"/>
                <w:sz w:val="20"/>
                <w:szCs w:val="20"/>
              </w:rPr>
              <w:t>.</w:t>
            </w:r>
          </w:p>
          <w:p w14:paraId="09D472EA" w14:textId="52285462" w:rsidR="008A7ABE" w:rsidRPr="00E473B9" w:rsidRDefault="008A7ABE" w:rsidP="008A7ABE">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Precise dose and release modulation</w:t>
            </w:r>
            <w:r w:rsidR="009D1960" w:rsidRPr="00E473B9">
              <w:rPr>
                <w:rStyle w:val="Strong"/>
                <w:rFonts w:ascii="Arial" w:hAnsi="Arial" w:cs="Arial"/>
                <w:b w:val="0"/>
                <w:color w:val="000000" w:themeColor="text1"/>
                <w:sz w:val="20"/>
                <w:szCs w:val="20"/>
              </w:rPr>
              <w:t>.</w:t>
            </w:r>
            <w:r w:rsidRPr="00E473B9">
              <w:rPr>
                <w:rStyle w:val="Strong"/>
                <w:rFonts w:ascii="Arial" w:hAnsi="Arial" w:cs="Arial"/>
                <w:b w:val="0"/>
                <w:color w:val="000000" w:themeColor="text1"/>
                <w:sz w:val="20"/>
                <w:szCs w:val="20"/>
              </w:rPr>
              <w:t xml:space="preserve"> </w:t>
            </w:r>
          </w:p>
          <w:p w14:paraId="71F20A0F" w14:textId="77777777" w:rsidR="009D1960" w:rsidRPr="00E473B9" w:rsidRDefault="008A7ABE" w:rsidP="008A7ABE">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Rapid prototyping capability</w:t>
            </w:r>
            <w:r w:rsidR="009D1960" w:rsidRPr="00E473B9">
              <w:rPr>
                <w:rStyle w:val="Strong"/>
                <w:rFonts w:ascii="Arial" w:hAnsi="Arial" w:cs="Arial"/>
                <w:b w:val="0"/>
                <w:color w:val="000000" w:themeColor="text1"/>
                <w:sz w:val="20"/>
                <w:szCs w:val="20"/>
              </w:rPr>
              <w:t>.</w:t>
            </w:r>
          </w:p>
          <w:p w14:paraId="245D6DC4" w14:textId="4EFD31DE" w:rsidR="008A7ABE" w:rsidRPr="00E473B9" w:rsidRDefault="008A7ABE" w:rsidP="008A7ABE">
            <w:pPr>
              <w:pStyle w:val="NormalWeb"/>
              <w:spacing w:before="0" w:beforeAutospacing="0" w:after="0" w:afterAutospacing="0"/>
              <w:rPr>
                <w:rFonts w:ascii="Arial" w:hAnsi="Arial" w:cs="Arial"/>
                <w:color w:val="000000" w:themeColor="text1"/>
                <w:sz w:val="20"/>
                <w:szCs w:val="20"/>
              </w:rPr>
            </w:pPr>
            <w:r w:rsidRPr="00E473B9">
              <w:rPr>
                <w:rStyle w:val="Strong"/>
                <w:rFonts w:ascii="Arial" w:hAnsi="Arial" w:cs="Arial"/>
                <w:b w:val="0"/>
                <w:color w:val="000000" w:themeColor="text1"/>
                <w:sz w:val="20"/>
                <w:szCs w:val="20"/>
              </w:rPr>
              <w:t>Potential for combination therapies</w:t>
            </w:r>
            <w:r w:rsidR="009D1960" w:rsidRPr="00E473B9">
              <w:rPr>
                <w:rStyle w:val="Strong"/>
                <w:rFonts w:ascii="Arial" w:hAnsi="Arial" w:cs="Arial"/>
                <w:b w:val="0"/>
                <w:color w:val="000000" w:themeColor="text1"/>
                <w:sz w:val="20"/>
                <w:szCs w:val="20"/>
              </w:rPr>
              <w:t>.</w:t>
            </w:r>
          </w:p>
        </w:tc>
        <w:tc>
          <w:tcPr>
            <w:tcW w:w="972" w:type="pct"/>
            <w:vAlign w:val="center"/>
          </w:tcPr>
          <w:p w14:paraId="47D38828" w14:textId="77777777" w:rsidR="009D1960" w:rsidRPr="00E473B9" w:rsidRDefault="008A7ABE" w:rsidP="008A7ABE">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Regulatory uncertainty for personalized devices</w:t>
            </w:r>
            <w:r w:rsidR="009D1960" w:rsidRPr="00E473B9">
              <w:rPr>
                <w:rStyle w:val="Strong"/>
                <w:rFonts w:ascii="Arial" w:hAnsi="Arial" w:cs="Arial"/>
                <w:b w:val="0"/>
                <w:color w:val="000000" w:themeColor="text1"/>
                <w:sz w:val="20"/>
                <w:szCs w:val="20"/>
              </w:rPr>
              <w:t>.</w:t>
            </w:r>
          </w:p>
          <w:p w14:paraId="620FECDF" w14:textId="77777777" w:rsidR="009D1960" w:rsidRPr="00E473B9" w:rsidRDefault="008A7ABE" w:rsidP="008A7ABE">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Scale-up and reproducibility challenges</w:t>
            </w:r>
            <w:r w:rsidR="009D1960" w:rsidRPr="00E473B9">
              <w:rPr>
                <w:rStyle w:val="Strong"/>
                <w:rFonts w:ascii="Arial" w:hAnsi="Arial" w:cs="Arial"/>
                <w:b w:val="0"/>
                <w:color w:val="000000" w:themeColor="text1"/>
                <w:sz w:val="20"/>
                <w:szCs w:val="20"/>
              </w:rPr>
              <w:t>.</w:t>
            </w:r>
          </w:p>
          <w:p w14:paraId="4E8E20DB" w14:textId="77777777" w:rsidR="009D1960" w:rsidRPr="00E473B9" w:rsidRDefault="008A7ABE"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Sterility validation complexities</w:t>
            </w:r>
            <w:r w:rsidR="009D1960" w:rsidRPr="00E473B9">
              <w:rPr>
                <w:rStyle w:val="Strong"/>
                <w:rFonts w:ascii="Arial" w:hAnsi="Arial" w:cs="Arial"/>
                <w:b w:val="0"/>
                <w:color w:val="000000" w:themeColor="text1"/>
                <w:sz w:val="20"/>
                <w:szCs w:val="20"/>
              </w:rPr>
              <w:t>.</w:t>
            </w:r>
          </w:p>
          <w:p w14:paraId="2DF0EB5E" w14:textId="3D8F621A" w:rsidR="008A7ABE" w:rsidRPr="00E473B9" w:rsidRDefault="008A7ABE" w:rsidP="009D1960">
            <w:pPr>
              <w:pStyle w:val="NormalWeb"/>
              <w:spacing w:before="0" w:beforeAutospacing="0" w:after="0" w:afterAutospacing="0"/>
              <w:rPr>
                <w:rFonts w:ascii="Arial" w:hAnsi="Arial" w:cs="Arial"/>
                <w:color w:val="000000" w:themeColor="text1"/>
                <w:sz w:val="20"/>
                <w:szCs w:val="20"/>
              </w:rPr>
            </w:pPr>
            <w:r w:rsidRPr="00E473B9">
              <w:rPr>
                <w:rStyle w:val="Strong"/>
                <w:rFonts w:ascii="Arial" w:hAnsi="Arial" w:cs="Arial"/>
                <w:b w:val="0"/>
                <w:color w:val="000000" w:themeColor="text1"/>
                <w:sz w:val="20"/>
                <w:szCs w:val="20"/>
              </w:rPr>
              <w:t>Long-term ocular biocompatibility data limited</w:t>
            </w:r>
            <w:r w:rsidR="009D1960" w:rsidRPr="00E473B9">
              <w:rPr>
                <w:rStyle w:val="Strong"/>
                <w:rFonts w:ascii="Arial" w:hAnsi="Arial" w:cs="Arial"/>
                <w:b w:val="0"/>
                <w:color w:val="000000" w:themeColor="text1"/>
                <w:sz w:val="20"/>
                <w:szCs w:val="20"/>
              </w:rPr>
              <w:t>.</w:t>
            </w:r>
          </w:p>
        </w:tc>
      </w:tr>
      <w:tr w:rsidR="00E473B9" w:rsidRPr="00E473B9" w14:paraId="7823FEAE" w14:textId="0E8230DF" w:rsidTr="001163A9">
        <w:trPr>
          <w:trHeight w:val="1104"/>
        </w:trPr>
        <w:tc>
          <w:tcPr>
            <w:tcW w:w="640" w:type="pct"/>
            <w:vAlign w:val="center"/>
          </w:tcPr>
          <w:p w14:paraId="608A9002" w14:textId="3278351E" w:rsidR="009D1960" w:rsidRPr="00E473B9" w:rsidRDefault="009D1960" w:rsidP="009D1960">
            <w:pPr>
              <w:pStyle w:val="NormalWeb"/>
              <w:spacing w:before="0" w:beforeAutospacing="0" w:after="0" w:afterAutospacing="0"/>
              <w:jc w:val="both"/>
              <w:rPr>
                <w:rFonts w:ascii="Arial" w:hAnsi="Arial" w:cs="Arial"/>
                <w:b/>
                <w:color w:val="000000" w:themeColor="text1"/>
                <w:sz w:val="20"/>
                <w:szCs w:val="20"/>
              </w:rPr>
            </w:pPr>
            <w:r w:rsidRPr="00E473B9">
              <w:rPr>
                <w:rStyle w:val="Strong"/>
                <w:rFonts w:ascii="Arial" w:hAnsi="Arial" w:cs="Arial"/>
                <w:b w:val="0"/>
                <w:color w:val="000000" w:themeColor="text1"/>
                <w:sz w:val="20"/>
                <w:szCs w:val="20"/>
              </w:rPr>
              <w:t>Smart Contact Lenses</w:t>
            </w:r>
          </w:p>
        </w:tc>
        <w:tc>
          <w:tcPr>
            <w:tcW w:w="787" w:type="pct"/>
            <w:vAlign w:val="center"/>
          </w:tcPr>
          <w:p w14:paraId="3EC38627" w14:textId="489A8428"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Biosensing + drug release</w:t>
            </w:r>
          </w:p>
        </w:tc>
        <w:tc>
          <w:tcPr>
            <w:tcW w:w="794" w:type="pct"/>
            <w:vAlign w:val="center"/>
          </w:tcPr>
          <w:p w14:paraId="6DFE4F72" w14:textId="0EC1B87B"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Multi-functional lenses with IOP monitoring and drug reservoirs (2023–2025)</w:t>
            </w:r>
          </w:p>
        </w:tc>
        <w:tc>
          <w:tcPr>
            <w:tcW w:w="834" w:type="pct"/>
            <w:vAlign w:val="center"/>
          </w:tcPr>
          <w:p w14:paraId="503ABAFB" w14:textId="5083AAC2"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Preclinical and prototype stages; some clinical feasibility studies</w:t>
            </w:r>
          </w:p>
        </w:tc>
        <w:tc>
          <w:tcPr>
            <w:tcW w:w="973" w:type="pct"/>
            <w:vAlign w:val="center"/>
          </w:tcPr>
          <w:p w14:paraId="7F9D3906" w14:textId="3A7262D5"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 xml:space="preserve">Real-time disease monitoring (e.g., glaucoma). Improved adherence vs. eye drops. </w:t>
            </w:r>
          </w:p>
          <w:p w14:paraId="65E8F8DA" w14:textId="51465208"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Non-invasive continuous therapy.</w:t>
            </w:r>
          </w:p>
          <w:p w14:paraId="1527FEC5" w14:textId="11C5CFC8" w:rsidR="009D1960" w:rsidRPr="00E473B9" w:rsidRDefault="009D1960" w:rsidP="009D1960">
            <w:pPr>
              <w:pStyle w:val="NormalWeb"/>
              <w:spacing w:before="0" w:beforeAutospacing="0" w:after="0" w:afterAutospacing="0"/>
              <w:rPr>
                <w:rFonts w:ascii="Arial" w:hAnsi="Arial" w:cs="Arial"/>
                <w:color w:val="000000" w:themeColor="text1"/>
                <w:sz w:val="20"/>
                <w:szCs w:val="20"/>
              </w:rPr>
            </w:pPr>
            <w:r w:rsidRPr="00E473B9">
              <w:rPr>
                <w:rStyle w:val="Strong"/>
                <w:rFonts w:ascii="Arial" w:hAnsi="Arial" w:cs="Arial"/>
                <w:b w:val="0"/>
                <w:color w:val="000000" w:themeColor="text1"/>
                <w:sz w:val="20"/>
                <w:szCs w:val="20"/>
              </w:rPr>
              <w:t>Potential digital health integration.</w:t>
            </w:r>
          </w:p>
        </w:tc>
        <w:tc>
          <w:tcPr>
            <w:tcW w:w="972" w:type="pct"/>
            <w:vAlign w:val="center"/>
          </w:tcPr>
          <w:p w14:paraId="3557225A"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Power supply and miniaturization constraints.</w:t>
            </w:r>
          </w:p>
          <w:p w14:paraId="3DC05C6D"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Comfort and wearability concerns.</w:t>
            </w:r>
          </w:p>
          <w:p w14:paraId="2E1AE210"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Tear protein deposition interference.</w:t>
            </w:r>
          </w:p>
          <w:p w14:paraId="33998592" w14:textId="1891D812" w:rsidR="009D1960" w:rsidRPr="00E473B9" w:rsidRDefault="009D1960" w:rsidP="009D1960">
            <w:pPr>
              <w:pStyle w:val="NormalWeb"/>
              <w:spacing w:before="0" w:beforeAutospacing="0" w:after="0" w:afterAutospacing="0"/>
              <w:rPr>
                <w:rFonts w:ascii="Arial" w:hAnsi="Arial" w:cs="Arial"/>
                <w:color w:val="000000" w:themeColor="text1"/>
                <w:sz w:val="20"/>
                <w:szCs w:val="20"/>
              </w:rPr>
            </w:pPr>
            <w:r w:rsidRPr="00E473B9">
              <w:rPr>
                <w:rStyle w:val="Strong"/>
                <w:rFonts w:ascii="Arial" w:hAnsi="Arial" w:cs="Arial"/>
                <w:b w:val="0"/>
                <w:color w:val="000000" w:themeColor="text1"/>
                <w:sz w:val="20"/>
                <w:szCs w:val="20"/>
              </w:rPr>
              <w:t>Complex manufacturing and high cost</w:t>
            </w:r>
          </w:p>
        </w:tc>
      </w:tr>
      <w:tr w:rsidR="00E473B9" w:rsidRPr="00E473B9" w14:paraId="2E4CA679" w14:textId="23A61279" w:rsidTr="001163A9">
        <w:trPr>
          <w:trHeight w:val="1093"/>
        </w:trPr>
        <w:tc>
          <w:tcPr>
            <w:tcW w:w="640" w:type="pct"/>
            <w:vAlign w:val="center"/>
          </w:tcPr>
          <w:p w14:paraId="17EE4EB4" w14:textId="663AA9F8" w:rsidR="009D1960" w:rsidRPr="00E473B9" w:rsidRDefault="009D1960" w:rsidP="009D1960">
            <w:pPr>
              <w:pStyle w:val="NormalWeb"/>
              <w:spacing w:before="0" w:beforeAutospacing="0" w:after="0" w:afterAutospacing="0"/>
              <w:jc w:val="both"/>
              <w:rPr>
                <w:rFonts w:ascii="Arial" w:hAnsi="Arial" w:cs="Arial"/>
                <w:b/>
                <w:color w:val="000000" w:themeColor="text1"/>
                <w:sz w:val="20"/>
                <w:szCs w:val="20"/>
              </w:rPr>
            </w:pPr>
            <w:r w:rsidRPr="00E473B9">
              <w:rPr>
                <w:rStyle w:val="Strong"/>
                <w:rFonts w:ascii="Arial" w:hAnsi="Arial" w:cs="Arial"/>
                <w:b w:val="0"/>
                <w:color w:val="000000" w:themeColor="text1"/>
                <w:sz w:val="20"/>
                <w:szCs w:val="20"/>
              </w:rPr>
              <w:t>Gene Therapy &amp; Biologics</w:t>
            </w:r>
          </w:p>
        </w:tc>
        <w:tc>
          <w:tcPr>
            <w:tcW w:w="787" w:type="pct"/>
            <w:vAlign w:val="center"/>
          </w:tcPr>
          <w:p w14:paraId="2C4DFBAD" w14:textId="73977298"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AAV and gene editing</w:t>
            </w:r>
          </w:p>
        </w:tc>
        <w:tc>
          <w:tcPr>
            <w:tcW w:w="794" w:type="pct"/>
            <w:vAlign w:val="center"/>
          </w:tcPr>
          <w:p w14:paraId="46BCDCBC" w14:textId="383D7798"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Approval of Luxturna® and expanded gene therapy research (2021–2025)</w:t>
            </w:r>
          </w:p>
        </w:tc>
        <w:tc>
          <w:tcPr>
            <w:tcW w:w="834" w:type="pct"/>
            <w:vAlign w:val="center"/>
          </w:tcPr>
          <w:p w14:paraId="566CFDAC" w14:textId="66FABF7F"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Marketed and multiple active clinical trials</w:t>
            </w:r>
          </w:p>
        </w:tc>
        <w:tc>
          <w:tcPr>
            <w:tcW w:w="973" w:type="pct"/>
            <w:vAlign w:val="center"/>
          </w:tcPr>
          <w:p w14:paraId="5E98AD9E"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Potential one-time curative treatment.</w:t>
            </w:r>
          </w:p>
          <w:p w14:paraId="0FC41EAC"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Targeted molecular correction.</w:t>
            </w:r>
          </w:p>
          <w:p w14:paraId="0976C52E"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Long-term therapeutic effect.</w:t>
            </w:r>
          </w:p>
          <w:p w14:paraId="63B07031" w14:textId="7248CA0C" w:rsidR="009D1960" w:rsidRPr="00E473B9" w:rsidRDefault="009D1960" w:rsidP="009D1960">
            <w:pPr>
              <w:pStyle w:val="NormalWeb"/>
              <w:spacing w:before="0" w:beforeAutospacing="0" w:after="0" w:afterAutospacing="0"/>
              <w:rPr>
                <w:rFonts w:ascii="Arial" w:hAnsi="Arial" w:cs="Arial"/>
                <w:color w:val="000000" w:themeColor="text1"/>
                <w:sz w:val="20"/>
                <w:szCs w:val="20"/>
              </w:rPr>
            </w:pPr>
            <w:r w:rsidRPr="00E473B9">
              <w:rPr>
                <w:rStyle w:val="Strong"/>
                <w:rFonts w:ascii="Arial" w:hAnsi="Arial" w:cs="Arial"/>
                <w:b w:val="0"/>
                <w:color w:val="000000" w:themeColor="text1"/>
                <w:sz w:val="20"/>
                <w:szCs w:val="20"/>
              </w:rPr>
              <w:t>Strong regulatory precedent established.</w:t>
            </w:r>
          </w:p>
        </w:tc>
        <w:tc>
          <w:tcPr>
            <w:tcW w:w="972" w:type="pct"/>
            <w:vAlign w:val="center"/>
          </w:tcPr>
          <w:p w14:paraId="2280B933"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High treatment cost.</w:t>
            </w:r>
          </w:p>
          <w:p w14:paraId="65A0FA2C"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Surgical administration (subretinal injection).</w:t>
            </w:r>
          </w:p>
          <w:p w14:paraId="33709A88"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Immunogenicity risks.</w:t>
            </w:r>
          </w:p>
          <w:p w14:paraId="351F7D08" w14:textId="01E52289" w:rsidR="009D1960" w:rsidRPr="00E473B9" w:rsidRDefault="009D1960" w:rsidP="009D1960">
            <w:pPr>
              <w:pStyle w:val="NormalWeb"/>
              <w:spacing w:before="0" w:beforeAutospacing="0" w:after="0" w:afterAutospacing="0"/>
              <w:rPr>
                <w:rFonts w:ascii="Arial" w:hAnsi="Arial" w:cs="Arial"/>
                <w:color w:val="000000" w:themeColor="text1"/>
                <w:sz w:val="20"/>
                <w:szCs w:val="20"/>
              </w:rPr>
            </w:pPr>
            <w:r w:rsidRPr="00E473B9">
              <w:rPr>
                <w:rStyle w:val="Strong"/>
                <w:rFonts w:ascii="Arial" w:hAnsi="Arial" w:cs="Arial"/>
                <w:b w:val="0"/>
                <w:color w:val="000000" w:themeColor="text1"/>
                <w:sz w:val="20"/>
                <w:szCs w:val="20"/>
              </w:rPr>
              <w:t>Limited to specific genetic indications.</w:t>
            </w:r>
          </w:p>
        </w:tc>
      </w:tr>
      <w:tr w:rsidR="001163A9" w:rsidRPr="00E473B9" w14:paraId="5BDDB573" w14:textId="140C63EA" w:rsidTr="001163A9">
        <w:trPr>
          <w:trHeight w:val="1104"/>
        </w:trPr>
        <w:tc>
          <w:tcPr>
            <w:tcW w:w="640" w:type="pct"/>
            <w:vAlign w:val="center"/>
          </w:tcPr>
          <w:p w14:paraId="4D9B3484" w14:textId="3C914A4C" w:rsidR="009D1960" w:rsidRPr="00E473B9" w:rsidRDefault="009D1960" w:rsidP="009D1960">
            <w:pPr>
              <w:pStyle w:val="NormalWeb"/>
              <w:spacing w:before="0" w:beforeAutospacing="0" w:after="0" w:afterAutospacing="0"/>
              <w:jc w:val="both"/>
              <w:rPr>
                <w:rFonts w:ascii="Arial" w:hAnsi="Arial" w:cs="Arial"/>
                <w:b/>
                <w:color w:val="000000" w:themeColor="text1"/>
                <w:sz w:val="20"/>
                <w:szCs w:val="20"/>
              </w:rPr>
            </w:pPr>
            <w:proofErr w:type="spellStart"/>
            <w:r w:rsidRPr="00E473B9">
              <w:rPr>
                <w:rStyle w:val="Strong"/>
                <w:rFonts w:ascii="Arial" w:hAnsi="Arial" w:cs="Arial"/>
                <w:b w:val="0"/>
                <w:color w:val="000000" w:themeColor="text1"/>
                <w:sz w:val="20"/>
                <w:szCs w:val="20"/>
              </w:rPr>
              <w:lastRenderedPageBreak/>
              <w:t>Bioadhesive</w:t>
            </w:r>
            <w:proofErr w:type="spellEnd"/>
            <w:r w:rsidRPr="00E473B9">
              <w:rPr>
                <w:rStyle w:val="Strong"/>
                <w:rFonts w:ascii="Arial" w:hAnsi="Arial" w:cs="Arial"/>
                <w:b w:val="0"/>
                <w:color w:val="000000" w:themeColor="text1"/>
                <w:sz w:val="20"/>
                <w:szCs w:val="20"/>
              </w:rPr>
              <w:t xml:space="preserve"> Systems</w:t>
            </w:r>
          </w:p>
        </w:tc>
        <w:tc>
          <w:tcPr>
            <w:tcW w:w="787" w:type="pct"/>
            <w:vAlign w:val="center"/>
          </w:tcPr>
          <w:p w14:paraId="563A8D82" w14:textId="63DBC43F"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proofErr w:type="spellStart"/>
            <w:r w:rsidRPr="00E473B9">
              <w:rPr>
                <w:rFonts w:ascii="Arial" w:hAnsi="Arial" w:cs="Arial"/>
                <w:color w:val="000000" w:themeColor="text1"/>
                <w:sz w:val="20"/>
                <w:szCs w:val="20"/>
              </w:rPr>
              <w:t>Mucoadhesion</w:t>
            </w:r>
            <w:proofErr w:type="spellEnd"/>
            <w:r w:rsidRPr="00E473B9">
              <w:rPr>
                <w:rFonts w:ascii="Arial" w:hAnsi="Arial" w:cs="Arial"/>
                <w:color w:val="000000" w:themeColor="text1"/>
                <w:sz w:val="20"/>
                <w:szCs w:val="20"/>
              </w:rPr>
              <w:t xml:space="preserve"> + stimuli responsiveness</w:t>
            </w:r>
          </w:p>
        </w:tc>
        <w:tc>
          <w:tcPr>
            <w:tcW w:w="794" w:type="pct"/>
            <w:vAlign w:val="center"/>
          </w:tcPr>
          <w:p w14:paraId="1F53A11A" w14:textId="2921D59E"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Enhanced polymer systems and smart hydrogels (2022–2025)</w:t>
            </w:r>
          </w:p>
        </w:tc>
        <w:tc>
          <w:tcPr>
            <w:tcW w:w="834" w:type="pct"/>
            <w:vAlign w:val="center"/>
          </w:tcPr>
          <w:p w14:paraId="665812FF" w14:textId="7F1F22E0" w:rsidR="009D1960" w:rsidRPr="00E473B9" w:rsidRDefault="009D1960" w:rsidP="009D1960">
            <w:pPr>
              <w:pStyle w:val="NormalWeb"/>
              <w:spacing w:before="0" w:beforeAutospacing="0" w:after="0" w:afterAutospacing="0"/>
              <w:jc w:val="center"/>
              <w:rPr>
                <w:rFonts w:ascii="Arial" w:hAnsi="Arial" w:cs="Arial"/>
                <w:color w:val="000000" w:themeColor="text1"/>
                <w:sz w:val="20"/>
                <w:szCs w:val="20"/>
              </w:rPr>
            </w:pPr>
            <w:r w:rsidRPr="00E473B9">
              <w:rPr>
                <w:rFonts w:ascii="Arial" w:hAnsi="Arial" w:cs="Arial"/>
                <w:color w:val="000000" w:themeColor="text1"/>
                <w:sz w:val="20"/>
                <w:szCs w:val="20"/>
              </w:rPr>
              <w:t>Preclinical studies with translational potential</w:t>
            </w:r>
          </w:p>
        </w:tc>
        <w:tc>
          <w:tcPr>
            <w:tcW w:w="973" w:type="pct"/>
            <w:vAlign w:val="center"/>
          </w:tcPr>
          <w:p w14:paraId="7E9E26EF"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Increased precorneal residence time.</w:t>
            </w:r>
          </w:p>
          <w:p w14:paraId="218653AE"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Improved bioavailability vs. conventional drops.</w:t>
            </w:r>
          </w:p>
          <w:p w14:paraId="4635349E"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Relatively low manufacturing complexity.</w:t>
            </w:r>
          </w:p>
          <w:p w14:paraId="0A9FAF3E" w14:textId="02306699" w:rsidR="009D1960" w:rsidRPr="00E473B9" w:rsidRDefault="009D1960" w:rsidP="009D1960">
            <w:pPr>
              <w:pStyle w:val="NormalWeb"/>
              <w:spacing w:before="0" w:beforeAutospacing="0" w:after="0" w:afterAutospacing="0"/>
              <w:rPr>
                <w:rFonts w:ascii="Arial" w:hAnsi="Arial" w:cs="Arial"/>
                <w:color w:val="000000" w:themeColor="text1"/>
                <w:sz w:val="20"/>
                <w:szCs w:val="20"/>
              </w:rPr>
            </w:pPr>
            <w:r w:rsidRPr="00E473B9">
              <w:rPr>
                <w:rStyle w:val="Strong"/>
                <w:rFonts w:ascii="Arial" w:hAnsi="Arial" w:cs="Arial"/>
                <w:b w:val="0"/>
                <w:color w:val="000000" w:themeColor="text1"/>
                <w:sz w:val="20"/>
                <w:szCs w:val="20"/>
              </w:rPr>
              <w:t>Compatible with multiple APIs.</w:t>
            </w:r>
          </w:p>
        </w:tc>
        <w:tc>
          <w:tcPr>
            <w:tcW w:w="972" w:type="pct"/>
            <w:vAlign w:val="center"/>
          </w:tcPr>
          <w:p w14:paraId="4051429A"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Tear turnover reduces retention duration.</w:t>
            </w:r>
          </w:p>
          <w:p w14:paraId="7349789E" w14:textId="77777777" w:rsidR="009D1960" w:rsidRPr="00E473B9" w:rsidRDefault="009D1960" w:rsidP="009D1960">
            <w:pPr>
              <w:pStyle w:val="NormalWeb"/>
              <w:spacing w:before="0" w:beforeAutospacing="0" w:after="0" w:afterAutospacing="0"/>
              <w:rPr>
                <w:rStyle w:val="Strong"/>
                <w:rFonts w:ascii="Arial" w:hAnsi="Arial" w:cs="Arial"/>
                <w:b w:val="0"/>
                <w:color w:val="000000" w:themeColor="text1"/>
                <w:sz w:val="20"/>
                <w:szCs w:val="20"/>
              </w:rPr>
            </w:pPr>
            <w:r w:rsidRPr="00E473B9">
              <w:rPr>
                <w:rStyle w:val="Strong"/>
                <w:rFonts w:ascii="Arial" w:hAnsi="Arial" w:cs="Arial"/>
                <w:b w:val="0"/>
                <w:color w:val="000000" w:themeColor="text1"/>
                <w:sz w:val="20"/>
                <w:szCs w:val="20"/>
              </w:rPr>
              <w:t>Irritation potential with strong mucoadhesives. Variable patient response.</w:t>
            </w:r>
          </w:p>
          <w:p w14:paraId="3A61D0D7" w14:textId="2F9D8276" w:rsidR="009D1960" w:rsidRPr="00E473B9" w:rsidRDefault="009D1960" w:rsidP="009D1960">
            <w:pPr>
              <w:pStyle w:val="NormalWeb"/>
              <w:spacing w:before="0" w:beforeAutospacing="0" w:after="0" w:afterAutospacing="0"/>
              <w:rPr>
                <w:rFonts w:ascii="Arial" w:hAnsi="Arial" w:cs="Arial"/>
                <w:color w:val="000000" w:themeColor="text1"/>
                <w:sz w:val="20"/>
                <w:szCs w:val="20"/>
              </w:rPr>
            </w:pPr>
            <w:r w:rsidRPr="00E473B9">
              <w:rPr>
                <w:rStyle w:val="Strong"/>
                <w:rFonts w:ascii="Arial" w:hAnsi="Arial" w:cs="Arial"/>
                <w:b w:val="0"/>
                <w:color w:val="000000" w:themeColor="text1"/>
                <w:sz w:val="20"/>
                <w:szCs w:val="20"/>
              </w:rPr>
              <w:t>Limited posterior segment penetration</w:t>
            </w:r>
          </w:p>
        </w:tc>
      </w:tr>
    </w:tbl>
    <w:p w14:paraId="460FAF16" w14:textId="0A86D106" w:rsidR="006B5B2A" w:rsidRPr="00E473B9" w:rsidRDefault="006B5B2A" w:rsidP="002C5523">
      <w:pPr>
        <w:pStyle w:val="NormalWeb"/>
        <w:spacing w:before="0" w:beforeAutospacing="0" w:after="0" w:afterAutospacing="0"/>
        <w:jc w:val="both"/>
        <w:rPr>
          <w:rFonts w:ascii="Arial" w:hAnsi="Arial" w:cs="Arial"/>
          <w:color w:val="000000" w:themeColor="text1"/>
          <w:sz w:val="20"/>
          <w:szCs w:val="20"/>
        </w:rPr>
      </w:pPr>
    </w:p>
    <w:p w14:paraId="7F12BABB" w14:textId="7C3D78C8" w:rsidR="0046346F" w:rsidRPr="00E473B9" w:rsidRDefault="0001421C" w:rsidP="00F746B6">
      <w:pPr>
        <w:pStyle w:val="Heading2"/>
        <w:spacing w:before="0" w:line="240" w:lineRule="auto"/>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5.0 REGULATORY AND COMMERCIALIZATION CHALLENGES</w:t>
      </w:r>
    </w:p>
    <w:p w14:paraId="6E158BD9"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0C9294FE" w14:textId="0A201954" w:rsidR="0046346F" w:rsidRPr="00E473B9" w:rsidRDefault="0046346F"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Despite substantial advances in sustained-release ophthalmic drug delivery technologies, successful translation from laboratory innovation to clinical application remains constrained by significant regulatory, manufacturing, economic, and adoption-related challenges. The complex nature of these delivery systems</w:t>
      </w:r>
      <w:r w:rsidR="007E785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often involving novel biomaterials, extended ocular residence times, and invasive administration routes</w:t>
      </w:r>
      <w:r w:rsidR="007E785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necessitates rigorous evaluation frameworks beyond those applied to conventional ophthalmic formulations </w:t>
      </w:r>
      <w:r w:rsidR="00EA0123" w:rsidRPr="00E473B9">
        <w:rPr>
          <w:rFonts w:ascii="Arial" w:hAnsi="Arial" w:cs="Arial"/>
          <w:color w:val="000000" w:themeColor="text1"/>
          <w:sz w:val="20"/>
          <w:szCs w:val="20"/>
        </w:rPr>
        <w:t>(</w:t>
      </w:r>
      <w:r w:rsidR="006236FD" w:rsidRPr="00E473B9">
        <w:rPr>
          <w:rFonts w:ascii="Arial" w:hAnsi="Arial" w:cs="Arial"/>
          <w:color w:val="000000" w:themeColor="text1"/>
          <w:sz w:val="20"/>
          <w:szCs w:val="20"/>
        </w:rPr>
        <w:t>Del Amo et al., 2017</w:t>
      </w:r>
      <w:r w:rsidR="00EA0123" w:rsidRPr="00E473B9">
        <w:rPr>
          <w:rFonts w:ascii="Arial" w:hAnsi="Arial" w:cs="Arial"/>
          <w:color w:val="000000" w:themeColor="text1"/>
          <w:sz w:val="20"/>
          <w:szCs w:val="20"/>
        </w:rPr>
        <w:t>)</w:t>
      </w:r>
      <w:r w:rsidRPr="00E473B9">
        <w:rPr>
          <w:rFonts w:ascii="Arial" w:hAnsi="Arial" w:cs="Arial"/>
          <w:color w:val="000000" w:themeColor="text1"/>
          <w:sz w:val="20"/>
          <w:szCs w:val="20"/>
        </w:rPr>
        <w:t>. Addressing these challenges is essential to ensure long-term patient safety, regulatory compliance, commercial feasibility, and widespread clinical uptake, while sustaining innovation within the field.</w:t>
      </w:r>
    </w:p>
    <w:p w14:paraId="0258BDE9"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08D257D2" w14:textId="217A4327" w:rsidR="0046346F" w:rsidRPr="00E473B9" w:rsidRDefault="0046346F"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5.1 Regulatory Requirements for Ophthalmic Sustained-Release Formulations</w:t>
      </w:r>
    </w:p>
    <w:p w14:paraId="455D9BC8"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087FCDA9" w14:textId="6C58E0F4" w:rsidR="0046346F" w:rsidRPr="00E473B9" w:rsidRDefault="0046346F" w:rsidP="002C5523">
      <w:pPr>
        <w:pStyle w:val="NormalWeb"/>
        <w:spacing w:before="0" w:beforeAutospacing="0" w:after="0"/>
        <w:jc w:val="both"/>
        <w:rPr>
          <w:rFonts w:ascii="Arial" w:hAnsi="Arial" w:cs="Arial"/>
          <w:color w:val="000000" w:themeColor="text1"/>
          <w:sz w:val="20"/>
          <w:szCs w:val="20"/>
        </w:rPr>
      </w:pPr>
      <w:r w:rsidRPr="00E473B9">
        <w:rPr>
          <w:rFonts w:ascii="Arial" w:hAnsi="Arial" w:cs="Arial"/>
          <w:color w:val="000000" w:themeColor="text1"/>
          <w:sz w:val="20"/>
          <w:szCs w:val="20"/>
        </w:rPr>
        <w:t>Regulatory approval of ophthalmic sustained-release drug delivery systems requires comprehensive demonstration of safety, efficacy, and manufacturing quality in accordance with stringent guidelines issued by regulatory authorities such as the U.S. Food and Drug Administration (FDA), the European Medicines Agency (EMA), and other regional agencies [</w:t>
      </w:r>
      <w:r w:rsidR="006236FD" w:rsidRPr="00E473B9">
        <w:rPr>
          <w:rFonts w:ascii="Arial" w:hAnsi="Arial" w:cs="Arial"/>
          <w:color w:val="000000" w:themeColor="text1"/>
          <w:sz w:val="20"/>
          <w:szCs w:val="20"/>
        </w:rPr>
        <w:t>U.S. Food and Drug Administration, 2023; European Medicines Agency, 2018</w:t>
      </w:r>
      <w:r w:rsidRPr="00E473B9">
        <w:rPr>
          <w:rFonts w:ascii="Arial" w:hAnsi="Arial" w:cs="Arial"/>
          <w:color w:val="000000" w:themeColor="text1"/>
          <w:sz w:val="20"/>
          <w:szCs w:val="20"/>
        </w:rPr>
        <w:t>]. In contrast to conventional eye drops, SR formulations must provide robust evidence of predictable and reproducible drug release kinetics over extended durations, supported by sterility assurance, stabilit</w:t>
      </w:r>
      <w:r w:rsidR="00EA0123" w:rsidRPr="00E473B9">
        <w:rPr>
          <w:rFonts w:ascii="Arial" w:hAnsi="Arial" w:cs="Arial"/>
          <w:color w:val="000000" w:themeColor="text1"/>
          <w:sz w:val="20"/>
          <w:szCs w:val="20"/>
        </w:rPr>
        <w:t>y testing, and shelf-life data (</w:t>
      </w:r>
      <w:proofErr w:type="spellStart"/>
      <w:r w:rsidR="006236FD" w:rsidRPr="00E473B9">
        <w:rPr>
          <w:rFonts w:ascii="Arial" w:hAnsi="Arial" w:cs="Arial"/>
          <w:color w:val="000000" w:themeColor="text1"/>
          <w:sz w:val="20"/>
          <w:szCs w:val="20"/>
        </w:rPr>
        <w:t>Yellepeddi</w:t>
      </w:r>
      <w:proofErr w:type="spellEnd"/>
      <w:r w:rsidR="006236FD" w:rsidRPr="00E473B9">
        <w:rPr>
          <w:rFonts w:ascii="Arial" w:hAnsi="Arial" w:cs="Arial"/>
          <w:color w:val="000000" w:themeColor="text1"/>
          <w:sz w:val="20"/>
          <w:szCs w:val="20"/>
        </w:rPr>
        <w:t xml:space="preserve"> et al., 2016</w:t>
      </w:r>
      <w:r w:rsidR="00EA0123" w:rsidRPr="00E473B9">
        <w:rPr>
          <w:rFonts w:ascii="Arial" w:hAnsi="Arial" w:cs="Arial"/>
          <w:color w:val="000000" w:themeColor="text1"/>
          <w:sz w:val="20"/>
          <w:szCs w:val="20"/>
        </w:rPr>
        <w:t>)</w:t>
      </w:r>
      <w:r w:rsidRPr="00E473B9">
        <w:rPr>
          <w:rFonts w:ascii="Arial" w:hAnsi="Arial" w:cs="Arial"/>
          <w:color w:val="000000" w:themeColor="text1"/>
          <w:sz w:val="20"/>
          <w:szCs w:val="20"/>
        </w:rPr>
        <w:t>.</w:t>
      </w:r>
      <w:r w:rsidR="00EA0123" w:rsidRPr="00E473B9">
        <w:rPr>
          <w:rFonts w:ascii="Arial" w:hAnsi="Arial" w:cs="Arial"/>
          <w:color w:val="000000" w:themeColor="text1"/>
          <w:sz w:val="20"/>
          <w:szCs w:val="20"/>
        </w:rPr>
        <w:t xml:space="preserve"> </w:t>
      </w:r>
    </w:p>
    <w:p w14:paraId="19705EB5" w14:textId="5841869F" w:rsidR="0046346F" w:rsidRPr="00E473B9" w:rsidRDefault="0046346F"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Regulatory expectations include detailed characterization of critical quality attributes (CQAs), physicochemical and mechanical profiling, and systematic evaluation of degradation products and impurities [</w:t>
      </w:r>
      <w:r w:rsidR="006236FD" w:rsidRPr="00E473B9">
        <w:rPr>
          <w:rFonts w:ascii="Arial" w:hAnsi="Arial" w:cs="Arial"/>
          <w:color w:val="000000" w:themeColor="text1"/>
          <w:sz w:val="20"/>
          <w:szCs w:val="20"/>
        </w:rPr>
        <w:t>ICH Q8(R2) (2009).</w:t>
      </w:r>
      <w:r w:rsidRPr="00E473B9">
        <w:rPr>
          <w:rFonts w:ascii="Arial" w:hAnsi="Arial" w:cs="Arial"/>
          <w:color w:val="000000" w:themeColor="text1"/>
          <w:sz w:val="20"/>
          <w:szCs w:val="20"/>
        </w:rPr>
        <w:t>]. Due to their structural and functional complexity</w:t>
      </w:r>
      <w:r w:rsidR="007E785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particularly in the case of implants, injectable depots, microspheres, and hydrogel-based systems</w:t>
      </w:r>
      <w:r w:rsidR="007E785C"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many ophthalmic SR platforms are classified as combination products, necessitating integrated regulatory pathways encompassing both pharmaceutical and medical device requirements [</w:t>
      </w:r>
      <w:r w:rsidR="006236FD" w:rsidRPr="00E473B9">
        <w:rPr>
          <w:rFonts w:ascii="Arial" w:hAnsi="Arial" w:cs="Arial"/>
          <w:color w:val="000000" w:themeColor="text1"/>
          <w:sz w:val="20"/>
          <w:szCs w:val="20"/>
        </w:rPr>
        <w:t xml:space="preserve"> U.S. Food and Drug Administration. (2020)</w:t>
      </w:r>
      <w:r w:rsidRPr="00E473B9">
        <w:rPr>
          <w:rFonts w:ascii="Arial" w:hAnsi="Arial" w:cs="Arial"/>
          <w:color w:val="000000" w:themeColor="text1"/>
          <w:sz w:val="20"/>
          <w:szCs w:val="20"/>
        </w:rPr>
        <w:t>].</w:t>
      </w:r>
      <w:r w:rsidR="00D848E5"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Additionally, regulatory agencies often require extensive in vivo pharmacokinetic, pharmacodynamic, and biodistribution studies, alongside long-term clinical data to establish sustained therapeutic performance and ocular safety. Bridging studies comparing SR systems with standard-of-care therapies may also be mandated, further increasing regulatory burden and development timelines.</w:t>
      </w:r>
    </w:p>
    <w:p w14:paraId="6C53B4C1"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75EBD6A8" w14:textId="624A3DE2" w:rsidR="0046346F" w:rsidRPr="00E473B9" w:rsidRDefault="0046346F"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5.2 Biocompatibility and Long-Term Safety Considerations</w:t>
      </w:r>
    </w:p>
    <w:p w14:paraId="0B747A90"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3A69DC3A" w14:textId="3C2ADB99" w:rsidR="0046346F" w:rsidRPr="00E473B9" w:rsidRDefault="0046346F"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Biocompatibility is a fundamental requirement in the design of sustained-release ophthalmic systems, given the high sensitivity of ocular tissues and the prolonged exposure associated with long-acting formulations</w:t>
      </w:r>
      <w:r w:rsidR="00E1785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Extended residence of delivery systems within ocular compartments</w:t>
      </w:r>
      <w:r w:rsidR="00A17513"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particularly intraocular or periocular locations</w:t>
      </w:r>
      <w:r w:rsidR="00A17513"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raises concerns regarding chronic inflammation, foreign body responses, immunogenicity, and cumulative tissue toxicity</w:t>
      </w:r>
      <w:r w:rsidR="00E1785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Regulatory assessment mandates compliance with standardized biocompatibility testing frameworks, such as the ISO 10993 series, </w:t>
      </w:r>
      <w:r w:rsidRPr="00E473B9">
        <w:rPr>
          <w:rFonts w:ascii="Arial" w:hAnsi="Arial" w:cs="Arial"/>
          <w:color w:val="000000" w:themeColor="text1"/>
          <w:sz w:val="20"/>
          <w:szCs w:val="20"/>
        </w:rPr>
        <w:lastRenderedPageBreak/>
        <w:t>encompassing evaluations of cytotoxicity, irritation, sensitization, genotoxicity, and systemic toxicity</w:t>
      </w:r>
      <w:r w:rsidR="00E1785A"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For implantable or injectable SR systems, long-term safety monitoring during clinical trials is often required to identify delayed adverse events, including granuloma formation, elevated intraocular pressure, fibrosis, or retinal complications</w:t>
      </w:r>
      <w:r w:rsidR="00E1785A"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Biodegradable delivery platforms pose additional challenges, as both the parent polymer and its degradation by-products must exhibit favorable ocular tolerance and pr</w:t>
      </w:r>
      <w:r w:rsidR="00EA0123" w:rsidRPr="00E473B9">
        <w:rPr>
          <w:rFonts w:ascii="Arial" w:hAnsi="Arial" w:cs="Arial"/>
          <w:color w:val="000000" w:themeColor="text1"/>
          <w:sz w:val="20"/>
          <w:szCs w:val="20"/>
        </w:rPr>
        <w:t>edictable degradation behavior (</w:t>
      </w:r>
      <w:r w:rsidR="006236FD" w:rsidRPr="00E473B9">
        <w:rPr>
          <w:rFonts w:ascii="Arial" w:hAnsi="Arial" w:cs="Arial"/>
          <w:color w:val="000000" w:themeColor="text1"/>
          <w:sz w:val="20"/>
          <w:szCs w:val="20"/>
        </w:rPr>
        <w:t>Langer et al., 2004</w:t>
      </w:r>
      <w:r w:rsidR="00EA0123" w:rsidRPr="00E473B9">
        <w:rPr>
          <w:rFonts w:ascii="Arial" w:hAnsi="Arial" w:cs="Arial"/>
          <w:color w:val="000000" w:themeColor="text1"/>
          <w:sz w:val="20"/>
          <w:szCs w:val="20"/>
        </w:rPr>
        <w:t>)</w:t>
      </w:r>
      <w:r w:rsidRPr="00E473B9">
        <w:rPr>
          <w:rFonts w:ascii="Arial" w:hAnsi="Arial" w:cs="Arial"/>
          <w:color w:val="000000" w:themeColor="text1"/>
          <w:sz w:val="20"/>
          <w:szCs w:val="20"/>
        </w:rPr>
        <w:t>. Achieving an optimal balance between controlled biodegradation, sustained drug release, and long-term ocular safety remains a central challenge in the development of next-generation ophthalmic SR systems.</w:t>
      </w:r>
    </w:p>
    <w:p w14:paraId="12146D32"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4BCF53E0" w14:textId="34ADD342" w:rsidR="0046346F" w:rsidRPr="00E473B9" w:rsidRDefault="0046346F"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5.3 Scale</w:t>
      </w:r>
      <w:r w:rsidR="00A17513" w:rsidRPr="00E473B9">
        <w:rPr>
          <w:rStyle w:val="Strong"/>
          <w:rFonts w:ascii="Arial" w:hAnsi="Arial" w:cs="Arial"/>
          <w:bCs w:val="0"/>
          <w:color w:val="000000" w:themeColor="text1"/>
          <w:sz w:val="22"/>
          <w:szCs w:val="22"/>
        </w:rPr>
        <w:t>-</w:t>
      </w:r>
      <w:r w:rsidRPr="00E473B9">
        <w:rPr>
          <w:rStyle w:val="Strong"/>
          <w:rFonts w:ascii="Arial" w:hAnsi="Arial" w:cs="Arial"/>
          <w:bCs w:val="0"/>
          <w:color w:val="000000" w:themeColor="text1"/>
          <w:sz w:val="22"/>
          <w:szCs w:val="22"/>
        </w:rPr>
        <w:t>Up and Manufacturing Challenges</w:t>
      </w:r>
    </w:p>
    <w:p w14:paraId="10470534"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111F5DBA" w14:textId="204974A2" w:rsidR="0046346F" w:rsidRPr="00E473B9" w:rsidRDefault="0046346F"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The transition of ophthalmic sustained</w:t>
      </w:r>
      <w:r w:rsidR="00A17513"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release formulations from laboratory</w:t>
      </w:r>
      <w:r w:rsidR="00A17513"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scale development to commercial manufacturing presents substantial technical and operational challenges. Maintaining consistency in key formulation attributes</w:t>
      </w:r>
      <w:r w:rsidR="00A17513"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such as particle size distribution, drug encapsulation efficiency, release kinetics, and mechanical integrity of implants</w:t>
      </w:r>
      <w:r w:rsidR="00A17513"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is critical for ensuring </w:t>
      </w:r>
      <w:r w:rsidR="00EA0123" w:rsidRPr="00E473B9">
        <w:rPr>
          <w:rFonts w:ascii="Arial" w:hAnsi="Arial" w:cs="Arial"/>
          <w:color w:val="000000" w:themeColor="text1"/>
          <w:sz w:val="20"/>
          <w:szCs w:val="20"/>
        </w:rPr>
        <w:t>reproducible clinical outcomes (</w:t>
      </w:r>
      <w:r w:rsidR="006236FD" w:rsidRPr="00E473B9">
        <w:rPr>
          <w:rFonts w:ascii="Arial" w:hAnsi="Arial" w:cs="Arial"/>
          <w:color w:val="000000" w:themeColor="text1"/>
          <w:sz w:val="20"/>
          <w:szCs w:val="20"/>
        </w:rPr>
        <w:t>Siepmann et al., 2012</w:t>
      </w:r>
      <w:r w:rsidR="00DF6692" w:rsidRPr="00E473B9">
        <w:rPr>
          <w:rFonts w:ascii="Arial" w:hAnsi="Arial" w:cs="Arial"/>
          <w:color w:val="000000" w:themeColor="text1"/>
          <w:sz w:val="20"/>
          <w:szCs w:val="20"/>
        </w:rPr>
        <w:t xml:space="preserve">; </w:t>
      </w:r>
      <w:r w:rsidR="00163F83" w:rsidRPr="00E473B9">
        <w:rPr>
          <w:rFonts w:ascii="Arial" w:hAnsi="Arial" w:cs="Arial"/>
          <w:color w:val="000000" w:themeColor="text1"/>
          <w:sz w:val="20"/>
          <w:szCs w:val="20"/>
        </w:rPr>
        <w:t>Palem</w:t>
      </w:r>
      <w:r w:rsidR="00AD5732" w:rsidRPr="00E473B9">
        <w:rPr>
          <w:rFonts w:ascii="Arial" w:hAnsi="Arial" w:cs="Arial"/>
          <w:color w:val="000000" w:themeColor="text1"/>
          <w:sz w:val="20"/>
          <w:szCs w:val="20"/>
        </w:rPr>
        <w:t xml:space="preserve"> et al., 2026</w:t>
      </w:r>
      <w:r w:rsidR="00EA0123" w:rsidRPr="00E473B9">
        <w:rPr>
          <w:rFonts w:ascii="Arial" w:hAnsi="Arial" w:cs="Arial"/>
          <w:color w:val="000000" w:themeColor="text1"/>
          <w:sz w:val="20"/>
          <w:szCs w:val="20"/>
        </w:rPr>
        <w:t>)</w:t>
      </w:r>
      <w:r w:rsidRPr="00E473B9">
        <w:rPr>
          <w:rFonts w:ascii="Arial" w:hAnsi="Arial" w:cs="Arial"/>
          <w:color w:val="000000" w:themeColor="text1"/>
          <w:sz w:val="20"/>
          <w:szCs w:val="20"/>
        </w:rPr>
        <w:t>.</w:t>
      </w:r>
      <w:r w:rsidR="00A17513"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Advanced fabrication technologies, including microfabrication, electrospinning, solvent casting, and three-dimensional printing, provide high precision at the research scale but often encounter scalability and reproducibility limitations during industrial production. Moreover, ophthalmic products require aseptic manufacturing or validated terminal sterilization processes, imposing stringent requirements on process validation, environmental controls, and quality assurance systems</w:t>
      </w:r>
      <w:r w:rsidR="00E1785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Cost-effective scale-up further depends on reliable sourcing of pharmaceutical-grade polymers and excipients, as well as implementation of in-line and real-time analytical tools for bat</w:t>
      </w:r>
      <w:r w:rsidR="00EA0123" w:rsidRPr="00E473B9">
        <w:rPr>
          <w:rFonts w:ascii="Arial" w:hAnsi="Arial" w:cs="Arial"/>
          <w:color w:val="000000" w:themeColor="text1"/>
          <w:sz w:val="20"/>
          <w:szCs w:val="20"/>
        </w:rPr>
        <w:t>ch-to-batch quality monitoring (</w:t>
      </w:r>
      <w:r w:rsidR="006236FD" w:rsidRPr="00E473B9">
        <w:rPr>
          <w:rFonts w:ascii="Arial" w:hAnsi="Arial" w:cs="Arial"/>
          <w:color w:val="000000" w:themeColor="text1"/>
          <w:sz w:val="20"/>
          <w:szCs w:val="20"/>
        </w:rPr>
        <w:t>Siepmann et al., 2012</w:t>
      </w:r>
      <w:r w:rsidR="00EA0123" w:rsidRPr="00E473B9">
        <w:rPr>
          <w:rFonts w:ascii="Arial" w:hAnsi="Arial" w:cs="Arial"/>
          <w:color w:val="000000" w:themeColor="text1"/>
          <w:sz w:val="20"/>
          <w:szCs w:val="20"/>
        </w:rPr>
        <w:t>)</w:t>
      </w:r>
      <w:r w:rsidRPr="00E473B9">
        <w:rPr>
          <w:rFonts w:ascii="Arial" w:hAnsi="Arial" w:cs="Arial"/>
          <w:color w:val="000000" w:themeColor="text1"/>
          <w:sz w:val="20"/>
          <w:szCs w:val="20"/>
        </w:rPr>
        <w:t>. These manufacturing complexities significantly increase development costs and capital investment, particularly challenging for small and mid-sized enterprises pursuing commercialization.</w:t>
      </w:r>
    </w:p>
    <w:p w14:paraId="287BECF2"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7BB320D9" w14:textId="6EE14D10" w:rsidR="0046346F" w:rsidRPr="00E473B9" w:rsidRDefault="0046346F"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5.4 Cost and Reimbursement Challenges</w:t>
      </w:r>
    </w:p>
    <w:p w14:paraId="1F116739"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04584D75" w14:textId="0068C767" w:rsidR="0046346F" w:rsidRPr="00E473B9" w:rsidRDefault="0046346F"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Sustained-release ophthalmic therapies often involve higher upfront costs compared to conventional formulations, reflecting the expense of advanced biomaterials, complex manufacturing processes, prolonged clinical development, and regulatory compliance. Consequently, pricing and reimbursement represent major barriers to widespread market adoption.</w:t>
      </w:r>
      <w:r w:rsidR="003B66C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Payers and reimbursement agencies increasingly require robust pharmacoeconomic evidence demonstrating that higher initial costs are offset by long-term clinical and economic benefits, such as reduced dosing frequency, improved adherence, fewer clinic visits, and decreased disease progression. Health economic analyses incorporating quality-adjusted life-years (QALYs), reduced caregiver burden, and long-term healthcare savings are becoming essential components of reimbursement submissions</w:t>
      </w:r>
      <w:r w:rsidR="0061248A"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Neumann et al., 2014</w:t>
      </w:r>
      <w:r w:rsidR="0061248A" w:rsidRPr="00E473B9">
        <w:rPr>
          <w:rFonts w:ascii="Arial" w:hAnsi="Arial" w:cs="Arial"/>
          <w:color w:val="000000" w:themeColor="text1"/>
          <w:sz w:val="20"/>
          <w:szCs w:val="20"/>
        </w:rPr>
        <w:t>)</w:t>
      </w:r>
      <w:r w:rsidRPr="00E473B9">
        <w:rPr>
          <w:rFonts w:ascii="Arial" w:hAnsi="Arial" w:cs="Arial"/>
          <w:color w:val="000000" w:themeColor="text1"/>
          <w:sz w:val="20"/>
          <w:szCs w:val="20"/>
        </w:rPr>
        <w:t>.</w:t>
      </w:r>
      <w:r w:rsidR="003B66C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Without favorable reimbursement frameworks, patient access to sustained-release ophthalmic therapies may remain limited, thereby restricting market penetration despite demonstrated clinical efficacy.</w:t>
      </w:r>
    </w:p>
    <w:p w14:paraId="669EBD34"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017337F6" w14:textId="79B1A7AE" w:rsidR="0046346F" w:rsidRPr="00E473B9" w:rsidRDefault="0046346F"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5.5 Patient and Clinician Acceptance</w:t>
      </w:r>
    </w:p>
    <w:p w14:paraId="2B2370D5" w14:textId="77777777" w:rsidR="0001421C" w:rsidRPr="00E473B9" w:rsidRDefault="0001421C" w:rsidP="002C5523">
      <w:pPr>
        <w:pStyle w:val="NormalWeb"/>
        <w:spacing w:before="0" w:beforeAutospacing="0" w:after="0" w:afterAutospacing="0"/>
        <w:jc w:val="both"/>
        <w:rPr>
          <w:rFonts w:ascii="Arial" w:hAnsi="Arial" w:cs="Arial"/>
          <w:color w:val="000000" w:themeColor="text1"/>
          <w:sz w:val="20"/>
          <w:szCs w:val="20"/>
        </w:rPr>
      </w:pPr>
    </w:p>
    <w:p w14:paraId="09FF94D6" w14:textId="53FD07B9" w:rsidR="0046346F" w:rsidRPr="00E473B9" w:rsidRDefault="0046346F"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The successful clinical integration of sustained-release ophthalmic drug delivery systems is strongly influenced by acceptance among both patients and healthcare professionals. Patients may exhibit reluctance toward novel or invasive delivery approaches</w:t>
      </w:r>
      <w:r w:rsidR="003B66C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such as intravitreal implants or injectable depots</w:t>
      </w:r>
      <w:r w:rsidR="003B66C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due to concerns regarding procedural discomfort, perce</w:t>
      </w:r>
      <w:r w:rsidR="00EA0123" w:rsidRPr="00E473B9">
        <w:rPr>
          <w:rFonts w:ascii="Arial" w:hAnsi="Arial" w:cs="Arial"/>
          <w:color w:val="000000" w:themeColor="text1"/>
          <w:sz w:val="20"/>
          <w:szCs w:val="20"/>
        </w:rPr>
        <w:t>ived risks, or irreversibility (</w:t>
      </w:r>
      <w:r w:rsidR="006236FD" w:rsidRPr="00E473B9">
        <w:rPr>
          <w:rFonts w:ascii="Arial" w:hAnsi="Arial" w:cs="Arial"/>
          <w:color w:val="000000" w:themeColor="text1"/>
          <w:sz w:val="20"/>
          <w:szCs w:val="20"/>
        </w:rPr>
        <w:t>Holekamp et al., 2019</w:t>
      </w:r>
      <w:r w:rsidR="00EA0123" w:rsidRPr="00E473B9">
        <w:rPr>
          <w:rFonts w:ascii="Arial" w:hAnsi="Arial" w:cs="Arial"/>
          <w:color w:val="000000" w:themeColor="text1"/>
          <w:sz w:val="20"/>
          <w:szCs w:val="20"/>
        </w:rPr>
        <w:t>)</w:t>
      </w:r>
      <w:r w:rsidRPr="00E473B9">
        <w:rPr>
          <w:rFonts w:ascii="Arial" w:hAnsi="Arial" w:cs="Arial"/>
          <w:color w:val="000000" w:themeColor="text1"/>
          <w:sz w:val="20"/>
          <w:szCs w:val="20"/>
        </w:rPr>
        <w:t>.</w:t>
      </w:r>
      <w:r w:rsidR="003B66C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Clinician acceptance is shaped by factors including ease of administration, confidence in long-term safety and efficacy data, compatibility with established clinical workflows, and availability of appropriate training. Clear communication of therapeutic benefits, including sustained drug exposure, improved adherence, and reduced treatment burden, is essential for fostering confidence among clinicians and patients alike.</w:t>
      </w:r>
      <w:r w:rsidR="003B66CA"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Educational initiatives, structured training programs, and real-world post-marketing evidence can further support adoption by improving familiarity and trust in sustained-r</w:t>
      </w:r>
      <w:r w:rsidR="00EA0123" w:rsidRPr="00E473B9">
        <w:rPr>
          <w:rFonts w:ascii="Arial" w:hAnsi="Arial" w:cs="Arial"/>
          <w:color w:val="000000" w:themeColor="text1"/>
          <w:sz w:val="20"/>
          <w:szCs w:val="20"/>
        </w:rPr>
        <w:t>elease ophthalmic technologies (</w:t>
      </w:r>
      <w:r w:rsidR="006236FD" w:rsidRPr="00E473B9">
        <w:rPr>
          <w:rFonts w:ascii="Arial" w:hAnsi="Arial" w:cs="Arial"/>
          <w:color w:val="000000" w:themeColor="text1"/>
          <w:sz w:val="20"/>
          <w:szCs w:val="20"/>
        </w:rPr>
        <w:t>Realini et al., 2008</w:t>
      </w:r>
      <w:r w:rsidR="00EA0123" w:rsidRPr="00E473B9">
        <w:rPr>
          <w:rFonts w:ascii="Arial" w:hAnsi="Arial" w:cs="Arial"/>
          <w:color w:val="000000" w:themeColor="text1"/>
          <w:sz w:val="20"/>
          <w:szCs w:val="20"/>
        </w:rPr>
        <w:t>)</w:t>
      </w:r>
      <w:r w:rsidRPr="00E473B9">
        <w:rPr>
          <w:rFonts w:ascii="Arial" w:hAnsi="Arial" w:cs="Arial"/>
          <w:color w:val="000000" w:themeColor="text1"/>
          <w:sz w:val="20"/>
          <w:szCs w:val="20"/>
        </w:rPr>
        <w:t>.</w:t>
      </w:r>
    </w:p>
    <w:p w14:paraId="4AA17FCB"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4F328B68" w14:textId="37589924" w:rsidR="00435E0C" w:rsidRPr="00E473B9" w:rsidRDefault="00435E0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 xml:space="preserve">6. </w:t>
      </w:r>
      <w:r w:rsidR="0001421C" w:rsidRPr="00E473B9">
        <w:rPr>
          <w:rStyle w:val="Strong"/>
          <w:rFonts w:ascii="Arial" w:hAnsi="Arial" w:cs="Arial"/>
          <w:bCs w:val="0"/>
          <w:color w:val="000000" w:themeColor="text1"/>
          <w:sz w:val="22"/>
          <w:szCs w:val="22"/>
        </w:rPr>
        <w:t>FUTURE PROSPECTS AND RESEARCH DIRECTIONS</w:t>
      </w:r>
    </w:p>
    <w:p w14:paraId="384A94D1" w14:textId="77777777" w:rsidR="0001421C" w:rsidRPr="00E473B9" w:rsidRDefault="0001421C" w:rsidP="002C5523">
      <w:pPr>
        <w:pStyle w:val="NormalWeb"/>
        <w:spacing w:before="0" w:beforeAutospacing="0" w:after="0" w:afterAutospacing="0"/>
        <w:jc w:val="both"/>
        <w:rPr>
          <w:rFonts w:ascii="Arial" w:hAnsi="Arial" w:cs="Arial"/>
          <w:color w:val="000000" w:themeColor="text1"/>
          <w:sz w:val="22"/>
          <w:szCs w:val="22"/>
        </w:rPr>
      </w:pPr>
    </w:p>
    <w:p w14:paraId="611AF7FC" w14:textId="40775A04" w:rsidR="00435E0C" w:rsidRPr="00E473B9" w:rsidRDefault="00435E0C"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Rapid advances in biomaterials science, biomedical engineering, and ocular biology are poised to reshape the future of sustained-release ophthalmic drug delivery systems. Emerging research directions increasingly emphasize precision medicine, multifunctional delivery platforms, and </w:t>
      </w:r>
      <w:r w:rsidRPr="00E473B9">
        <w:rPr>
          <w:rFonts w:ascii="Arial" w:hAnsi="Arial" w:cs="Arial"/>
          <w:color w:val="000000" w:themeColor="text1"/>
          <w:sz w:val="20"/>
          <w:szCs w:val="20"/>
        </w:rPr>
        <w:lastRenderedPageBreak/>
        <w:t xml:space="preserve">collaborative innovation models. Together, these developments aim to overcome current clinical limitations, reduce treatment burden, and expand the therapeutic scope of sustained-release technologies across a broader spectrum of ocular diseases </w:t>
      </w:r>
      <w:r w:rsidR="00D031BC" w:rsidRPr="00E473B9">
        <w:rPr>
          <w:rFonts w:ascii="Arial" w:hAnsi="Arial" w:cs="Arial"/>
          <w:color w:val="000000" w:themeColor="text1"/>
          <w:sz w:val="20"/>
          <w:szCs w:val="20"/>
        </w:rPr>
        <w:t>(</w:t>
      </w:r>
      <w:r w:rsidR="006236FD" w:rsidRPr="00E473B9">
        <w:rPr>
          <w:rFonts w:ascii="Arial" w:hAnsi="Arial" w:cs="Arial"/>
          <w:color w:val="000000" w:themeColor="text1"/>
          <w:sz w:val="20"/>
          <w:szCs w:val="20"/>
        </w:rPr>
        <w:t>Del Amo et al., 2017</w:t>
      </w:r>
      <w:r w:rsidR="00D031BC" w:rsidRPr="00E473B9">
        <w:rPr>
          <w:rFonts w:ascii="Arial" w:hAnsi="Arial" w:cs="Arial"/>
          <w:color w:val="000000" w:themeColor="text1"/>
          <w:sz w:val="20"/>
          <w:szCs w:val="20"/>
        </w:rPr>
        <w:t>)</w:t>
      </w:r>
      <w:r w:rsidRPr="00E473B9">
        <w:rPr>
          <w:rFonts w:ascii="Arial" w:hAnsi="Arial" w:cs="Arial"/>
          <w:color w:val="000000" w:themeColor="text1"/>
          <w:sz w:val="20"/>
          <w:szCs w:val="20"/>
        </w:rPr>
        <w:t>.</w:t>
      </w:r>
    </w:p>
    <w:p w14:paraId="7E8A3909"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7227FF0B" w14:textId="17BB0389" w:rsidR="00435E0C" w:rsidRPr="00E473B9" w:rsidRDefault="00435E0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6.1 Integration of Diagnostics and Therapeutics (Theranostics)</w:t>
      </w:r>
    </w:p>
    <w:p w14:paraId="2AF40B42" w14:textId="77777777" w:rsidR="0001421C" w:rsidRPr="00E473B9" w:rsidRDefault="0001421C" w:rsidP="002C5523">
      <w:pPr>
        <w:pStyle w:val="NormalWeb"/>
        <w:spacing w:before="0" w:beforeAutospacing="0" w:after="0" w:afterAutospacing="0"/>
        <w:jc w:val="both"/>
        <w:rPr>
          <w:rFonts w:ascii="Arial" w:hAnsi="Arial" w:cs="Arial"/>
          <w:color w:val="000000" w:themeColor="text1"/>
          <w:sz w:val="20"/>
          <w:szCs w:val="20"/>
        </w:rPr>
      </w:pPr>
    </w:p>
    <w:p w14:paraId="053C40B6" w14:textId="004AB34E" w:rsidR="00435E0C" w:rsidRPr="00E473B9" w:rsidRDefault="00435E0C"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The convergence of diagnostic and therapeutic functionalities within a single platform commonly referred to as theranostics represents a transformative direction in ophthalmic drug delivery. </w:t>
      </w:r>
      <w:proofErr w:type="spellStart"/>
      <w:r w:rsidRPr="00E473B9">
        <w:rPr>
          <w:rFonts w:ascii="Arial" w:hAnsi="Arial" w:cs="Arial"/>
          <w:color w:val="000000" w:themeColor="text1"/>
          <w:sz w:val="20"/>
          <w:szCs w:val="20"/>
        </w:rPr>
        <w:t>Theranostic</w:t>
      </w:r>
      <w:proofErr w:type="spellEnd"/>
      <w:r w:rsidRPr="00E473B9">
        <w:rPr>
          <w:rFonts w:ascii="Arial" w:hAnsi="Arial" w:cs="Arial"/>
          <w:color w:val="000000" w:themeColor="text1"/>
          <w:sz w:val="20"/>
          <w:szCs w:val="20"/>
        </w:rPr>
        <w:t xml:space="preserve"> sustained-release systems are designed to simultaneously deliver therapeutic agents while enabling real-time monitoring of drug distribution, disease progression, or relevant biomarkers</w:t>
      </w:r>
      <w:r w:rsidR="00D031BC" w:rsidRPr="00E473B9">
        <w:rPr>
          <w:rFonts w:ascii="Arial" w:hAnsi="Arial" w:cs="Arial"/>
          <w:color w:val="000000" w:themeColor="text1"/>
          <w:sz w:val="20"/>
          <w:szCs w:val="20"/>
        </w:rPr>
        <w:t xml:space="preserve"> (</w:t>
      </w:r>
      <w:r w:rsidR="006236FD" w:rsidRPr="00E473B9">
        <w:rPr>
          <w:rFonts w:ascii="Arial" w:hAnsi="Arial" w:cs="Arial"/>
          <w:color w:val="000000" w:themeColor="text1"/>
          <w:sz w:val="20"/>
          <w:szCs w:val="20"/>
        </w:rPr>
        <w:t>Lee et al., 2009</w:t>
      </w:r>
      <w:r w:rsidR="00D031BC"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Such platforms may incorporate imaging agents, biosensors, or responsive materials capable of providing feedback on local physiological conditions. In chronic ocular diseases such as glaucoma and diabetic retinopathy, </w:t>
      </w:r>
      <w:proofErr w:type="spellStart"/>
      <w:r w:rsidRPr="00E473B9">
        <w:rPr>
          <w:rFonts w:ascii="Arial" w:hAnsi="Arial" w:cs="Arial"/>
          <w:color w:val="000000" w:themeColor="text1"/>
          <w:sz w:val="20"/>
          <w:szCs w:val="20"/>
        </w:rPr>
        <w:t>theranostic</w:t>
      </w:r>
      <w:proofErr w:type="spellEnd"/>
      <w:r w:rsidRPr="00E473B9">
        <w:rPr>
          <w:rFonts w:ascii="Arial" w:hAnsi="Arial" w:cs="Arial"/>
          <w:color w:val="000000" w:themeColor="text1"/>
          <w:sz w:val="20"/>
          <w:szCs w:val="20"/>
        </w:rPr>
        <w:t xml:space="preserve"> implants or injectable depots could facilitate early detection of pathological changes and enable adaptive modulation of drug release in response to disease dynamics. This closed-loop approach holds promise for improving therapeutic precision, minimizing adverse effects, and enhancing long-term disease.</w:t>
      </w:r>
    </w:p>
    <w:p w14:paraId="169EB841"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3D58C2F9" w14:textId="620F4AD0" w:rsidR="00435E0C" w:rsidRPr="00E473B9" w:rsidRDefault="00435E0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6.2 Personalized Ophthalmic Medicine</w:t>
      </w:r>
    </w:p>
    <w:p w14:paraId="6F66A74A"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5B97EA63" w14:textId="0F9F5AAF" w:rsidR="00435E0C" w:rsidRPr="00E473B9" w:rsidRDefault="00435E0C"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Advances in genomics, high-resolution ocular imaging, and computational modeling are accelerating the transition toward personalized ophthalmic medicine. These tools enable stratification of patients based on genetic predisposition, disease phenotype, progression rate, and anatomical variability, thereby supporting individualized therapeutic strategies. In the context of sustained-release drug delivery, personalization may involve tailoring drug selection, dosing, and release kinetics to match patient-specific physiological and pathological parameters. Adaptive SR systems capable of responding to intraocular cues such as pH, enzymatic activity, or inflammatory markers represent an emerging area of interest. Such personalized approaches have the potential to maximize therapeutic efficacy while reducing variability in clinical outcomes and minimizing treatment-related toxicity.</w:t>
      </w:r>
    </w:p>
    <w:p w14:paraId="4F63D5B6"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3B0B9D2D" w14:textId="440A94F7" w:rsidR="00435E0C" w:rsidRPr="00E473B9" w:rsidRDefault="00435E0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6.3 Advances in Biodegradable Polymers and Drug Conjugates</w:t>
      </w:r>
    </w:p>
    <w:p w14:paraId="5EC8870D"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6C8CF750" w14:textId="502CB92B" w:rsidR="00435E0C" w:rsidRPr="00E473B9" w:rsidRDefault="00435E0C"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Continued innovation in biomaterials remains central to the evolution of sustained-release ophthalmic drug delivery systems. Next-generation biodegradable polymers with precisely </w:t>
      </w:r>
      <w:proofErr w:type="spellStart"/>
      <w:r w:rsidRPr="00E473B9">
        <w:rPr>
          <w:rFonts w:ascii="Arial" w:hAnsi="Arial" w:cs="Arial"/>
          <w:color w:val="000000" w:themeColor="text1"/>
          <w:sz w:val="20"/>
          <w:szCs w:val="20"/>
        </w:rPr>
        <w:t>tunable</w:t>
      </w:r>
      <w:proofErr w:type="spellEnd"/>
      <w:r w:rsidRPr="00E473B9">
        <w:rPr>
          <w:rFonts w:ascii="Arial" w:hAnsi="Arial" w:cs="Arial"/>
          <w:color w:val="000000" w:themeColor="text1"/>
          <w:sz w:val="20"/>
          <w:szCs w:val="20"/>
        </w:rPr>
        <w:t xml:space="preserve"> degradation rates, improved mechanical stability, and enhanced biocompatibility are under extensive investigation. These materials enable controlled and predictable drug release while minimizing long-term foreign body responses.</w:t>
      </w:r>
      <w:r w:rsidR="001A597D"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In parallel, drug</w:t>
      </w:r>
      <w:r w:rsidR="001A597D" w:rsidRPr="00E473B9">
        <w:rPr>
          <w:rFonts w:ascii="Arial" w:hAnsi="Arial" w:cs="Arial"/>
          <w:color w:val="000000" w:themeColor="text1"/>
          <w:sz w:val="20"/>
          <w:szCs w:val="20"/>
        </w:rPr>
        <w:t>-</w:t>
      </w:r>
      <w:r w:rsidRPr="00E473B9">
        <w:rPr>
          <w:rFonts w:ascii="Arial" w:hAnsi="Arial" w:cs="Arial"/>
          <w:color w:val="000000" w:themeColor="text1"/>
          <w:sz w:val="20"/>
          <w:szCs w:val="20"/>
        </w:rPr>
        <w:t>polymer conjugates and prodrug-based strategies are being explored to further optimize release kinetics, enhance ocular bioavailability, and protect labile therapeutic agents from premature degradation. By integrating chemical conjugation with biodegradable carrier systems, it is possible to achieve sustained therapeutic concentrations with reduced burst release and improved safety profiles, particularly for intraocular applications.</w:t>
      </w:r>
    </w:p>
    <w:p w14:paraId="4A773988" w14:textId="77777777" w:rsidR="00234DF3" w:rsidRPr="00E473B9" w:rsidRDefault="00234DF3" w:rsidP="002C5523">
      <w:pPr>
        <w:pStyle w:val="NormalWeb"/>
        <w:spacing w:before="0" w:beforeAutospacing="0" w:after="0" w:afterAutospacing="0"/>
        <w:jc w:val="both"/>
        <w:rPr>
          <w:rFonts w:ascii="Arial" w:hAnsi="Arial" w:cs="Arial"/>
          <w:color w:val="000000" w:themeColor="text1"/>
          <w:sz w:val="20"/>
          <w:szCs w:val="20"/>
        </w:rPr>
      </w:pPr>
    </w:p>
    <w:p w14:paraId="3CF02F67" w14:textId="267D1C23" w:rsidR="00435E0C" w:rsidRPr="00E473B9" w:rsidRDefault="00435E0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6.4 Expansion of Sustained-Release Delivery to Posterior Segment Diseases</w:t>
      </w:r>
    </w:p>
    <w:p w14:paraId="6DAC17EC" w14:textId="77777777" w:rsidR="00151455" w:rsidRPr="00E473B9" w:rsidRDefault="00151455" w:rsidP="002C5523">
      <w:pPr>
        <w:pStyle w:val="NormalWeb"/>
        <w:spacing w:before="0" w:beforeAutospacing="0" w:after="0" w:afterAutospacing="0"/>
        <w:jc w:val="both"/>
        <w:rPr>
          <w:rFonts w:ascii="Arial" w:hAnsi="Arial" w:cs="Arial"/>
          <w:color w:val="000000" w:themeColor="text1"/>
          <w:sz w:val="22"/>
          <w:szCs w:val="22"/>
        </w:rPr>
      </w:pPr>
    </w:p>
    <w:p w14:paraId="61087DD7" w14:textId="2D854B72" w:rsidR="00435E0C" w:rsidRPr="00E473B9" w:rsidRDefault="00435E0C" w:rsidP="0049730E">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While sustained-release systems have demonstrated notable success in anterior segment indications such as glaucoma, expanding these technologies to posterior segment diseases remains a major research focus. Conditions including age-related macular degeneration (AMD), diabetic macular </w:t>
      </w:r>
      <w:proofErr w:type="spellStart"/>
      <w:r w:rsidRPr="00E473B9">
        <w:rPr>
          <w:rFonts w:ascii="Arial" w:hAnsi="Arial" w:cs="Arial"/>
          <w:color w:val="000000" w:themeColor="text1"/>
          <w:sz w:val="20"/>
          <w:szCs w:val="20"/>
        </w:rPr>
        <w:t>edema</w:t>
      </w:r>
      <w:proofErr w:type="spellEnd"/>
      <w:r w:rsidRPr="00E473B9">
        <w:rPr>
          <w:rFonts w:ascii="Arial" w:hAnsi="Arial" w:cs="Arial"/>
          <w:color w:val="000000" w:themeColor="text1"/>
          <w:sz w:val="20"/>
          <w:szCs w:val="20"/>
        </w:rPr>
        <w:t>, and retinal vein occlusion require long-term drug exposure at the retina and choroid, traditionally achieved through frequent intravitreal injections.</w:t>
      </w:r>
      <w:r w:rsidR="001A597D"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Future research efforts are directed toward overcoming anatomical and physiological barriers such as the vitreous humor, blood</w:t>
      </w:r>
      <w:r w:rsidR="001A597D"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retinal barriers, and rapid drug clearance. Innovative delivery strategies</w:t>
      </w:r>
      <w:r w:rsidR="001A597D"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including intravitreal implants, injectable biodegradable depots, and suprachoroidal delivery systems</w:t>
      </w:r>
      <w:r w:rsidR="001A597D"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aim to improve drug penetration, retention, and spatial targeting within the posterior segment. Successful advancement in this area could substantially reduce injection frequency and associated complications, thereby improving patient adherence and quality of life.</w:t>
      </w:r>
    </w:p>
    <w:p w14:paraId="4EBEB181" w14:textId="473E2346" w:rsidR="009A446F" w:rsidRPr="00E473B9" w:rsidRDefault="009A446F" w:rsidP="0049730E">
      <w:pPr>
        <w:pStyle w:val="NormalWeb"/>
        <w:spacing w:before="0" w:beforeAutospacing="0" w:after="0" w:afterAutospacing="0"/>
        <w:jc w:val="both"/>
        <w:rPr>
          <w:rFonts w:ascii="Arial" w:hAnsi="Arial" w:cs="Arial"/>
          <w:color w:val="000000" w:themeColor="text1"/>
          <w:sz w:val="20"/>
          <w:szCs w:val="20"/>
        </w:rPr>
      </w:pPr>
    </w:p>
    <w:p w14:paraId="2974966A" w14:textId="3E3B01BA" w:rsidR="0049730E" w:rsidRPr="00E473B9" w:rsidRDefault="0049730E" w:rsidP="0049730E">
      <w:pPr>
        <w:pStyle w:val="Heading2"/>
        <w:spacing w:before="0" w:line="240" w:lineRule="auto"/>
        <w:jc w:val="both"/>
        <w:rPr>
          <w:rStyle w:val="Strong"/>
          <w:rFonts w:ascii="Arial" w:hAnsi="Arial" w:cs="Arial"/>
          <w:color w:val="000000" w:themeColor="text1"/>
          <w:sz w:val="22"/>
          <w:szCs w:val="22"/>
        </w:rPr>
      </w:pPr>
      <w:r w:rsidRPr="00E473B9">
        <w:rPr>
          <w:rStyle w:val="Strong"/>
          <w:rFonts w:ascii="Arial" w:hAnsi="Arial" w:cs="Arial"/>
          <w:color w:val="000000" w:themeColor="text1"/>
          <w:sz w:val="22"/>
          <w:szCs w:val="22"/>
        </w:rPr>
        <w:t>6.5 AI-Based Ocular Pharmacokinetics</w:t>
      </w:r>
    </w:p>
    <w:p w14:paraId="000490EF" w14:textId="77777777" w:rsidR="0049730E" w:rsidRPr="00E473B9" w:rsidRDefault="0049730E" w:rsidP="0049730E">
      <w:pPr>
        <w:pStyle w:val="NormalWeb"/>
        <w:spacing w:before="0" w:beforeAutospacing="0" w:after="0" w:afterAutospacing="0"/>
        <w:jc w:val="both"/>
        <w:rPr>
          <w:rFonts w:ascii="Arial" w:hAnsi="Arial" w:cs="Arial"/>
          <w:color w:val="000000" w:themeColor="text1"/>
          <w:sz w:val="20"/>
          <w:szCs w:val="20"/>
        </w:rPr>
      </w:pPr>
    </w:p>
    <w:p w14:paraId="78BB1913" w14:textId="6E355BC6" w:rsidR="0049730E" w:rsidRPr="00E473B9" w:rsidRDefault="0049730E" w:rsidP="0049730E">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 xml:space="preserve">Artificial intelligence (AI) is emerging as a powerful tool to address the complexity of ocular pharmacokinetics, which is influenced by compartmentalized anatomy, heterogeneous barriers, nonlinear clearance, and limited sampling accessibility. Machine learning algorithms can identify </w:t>
      </w:r>
      <w:r w:rsidRPr="00E473B9">
        <w:rPr>
          <w:rFonts w:ascii="Arial" w:hAnsi="Arial" w:cs="Arial"/>
          <w:color w:val="000000" w:themeColor="text1"/>
          <w:sz w:val="20"/>
          <w:szCs w:val="20"/>
        </w:rPr>
        <w:lastRenderedPageBreak/>
        <w:t>multidimensional relationships between molecular descriptors, formulation variables, and ocular exposure profiles, enabling prediction of corneal permeability, vitreous diffusion, intravitreal half-life, tissue partitioning, and controlled-release behavior. Integration of AI with physiologically based pharmacokinetic (PBPK) frameworks allows refinement of transport and clearance parameters using real-world data, improving translational extrapolation from preclinical to clinical settings. Moreover, AI-driven optimization supports formulation screening, implant design, and patient-specific dosing by accounting for anatomical variability and disease-associated barrier alterations. Despite challenges related to data quality, validation, and regulatory acceptance, AI-based ocular PK modeling represents a transformative approach for enhancing predictive accuracy, accelerating development, and enabling precision ophthalmic therapy.</w:t>
      </w:r>
    </w:p>
    <w:p w14:paraId="41E52414" w14:textId="77777777" w:rsidR="0049730E" w:rsidRPr="00E473B9" w:rsidRDefault="0049730E" w:rsidP="0049730E">
      <w:pPr>
        <w:pStyle w:val="Heading3"/>
        <w:spacing w:before="0" w:beforeAutospacing="0" w:after="0" w:afterAutospacing="0"/>
        <w:jc w:val="both"/>
        <w:rPr>
          <w:rStyle w:val="Strong"/>
          <w:rFonts w:ascii="Arial" w:hAnsi="Arial" w:cs="Arial"/>
          <w:b/>
          <w:bCs/>
          <w:color w:val="000000" w:themeColor="text1"/>
          <w:sz w:val="20"/>
          <w:szCs w:val="20"/>
        </w:rPr>
      </w:pPr>
    </w:p>
    <w:p w14:paraId="1676EF29" w14:textId="7F644025" w:rsidR="0049730E" w:rsidRPr="00E473B9" w:rsidRDefault="0049730E" w:rsidP="0049730E">
      <w:pPr>
        <w:pStyle w:val="Heading3"/>
        <w:spacing w:before="0" w:beforeAutospacing="0" w:after="0" w:afterAutospacing="0"/>
        <w:jc w:val="both"/>
        <w:rPr>
          <w:rStyle w:val="Strong"/>
          <w:rFonts w:ascii="Arial" w:hAnsi="Arial" w:cs="Arial"/>
          <w:b/>
          <w:bCs/>
          <w:color w:val="000000" w:themeColor="text1"/>
          <w:sz w:val="22"/>
          <w:szCs w:val="22"/>
        </w:rPr>
      </w:pPr>
      <w:r w:rsidRPr="00E473B9">
        <w:rPr>
          <w:rStyle w:val="Strong"/>
          <w:rFonts w:ascii="Arial" w:hAnsi="Arial" w:cs="Arial"/>
          <w:b/>
          <w:bCs/>
          <w:color w:val="000000" w:themeColor="text1"/>
          <w:sz w:val="22"/>
          <w:szCs w:val="22"/>
        </w:rPr>
        <w:t>6.6 Smart Biodegradable Implants</w:t>
      </w:r>
    </w:p>
    <w:p w14:paraId="0B839925" w14:textId="77777777" w:rsidR="0049730E" w:rsidRPr="00E473B9" w:rsidRDefault="0049730E" w:rsidP="0049730E">
      <w:pPr>
        <w:pStyle w:val="Heading3"/>
        <w:spacing w:before="0" w:beforeAutospacing="0" w:after="0" w:afterAutospacing="0"/>
        <w:jc w:val="both"/>
        <w:rPr>
          <w:rFonts w:ascii="Arial" w:hAnsi="Arial" w:cs="Arial"/>
          <w:color w:val="000000" w:themeColor="text1"/>
          <w:sz w:val="20"/>
          <w:szCs w:val="20"/>
        </w:rPr>
      </w:pPr>
    </w:p>
    <w:p w14:paraId="6BC1B449" w14:textId="07A3C5E9" w:rsidR="0049730E" w:rsidRPr="00E473B9" w:rsidRDefault="0049730E" w:rsidP="0049730E">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Smart biodegradable implants are advanced intraocular delivery systems engineered to provide sustained, localized drug release while undergoing controlled degradation into biocompatible by-products. Their performance is governed by polymer composition, degradation mechanism (bulk versus surface erosion), matrix architecture, and drug-polymer interactions, which collectively determine diffusion, erosion kinetics, and release profiles. Modern implants are designed to minimize burst release and achieve prolonged, near zero-order drug delivery, particularly for chronic posterior segment disorders. Next-generation systems incorporate stimuli-responsive features such as enzyme, pH, or externally triggered mechanisms to adapt release behavior to the ocular microenvironment, thereby enhancing therapeutic precision. Successful translation requires predictable pharmacokinetics, minimal inflammatory response, safe degradation products, and scalable manufacturing. By reducing injection frequency and maintaining stable intraocular drug concentrations, smart biodegradable implants represent a significant advancement in long-acting ocular therapeutics and a promising platform for future biologic and gene</w:t>
      </w:r>
      <w:r w:rsidR="00A05B45" w:rsidRPr="00E473B9">
        <w:rPr>
          <w:rFonts w:ascii="Arial" w:hAnsi="Arial" w:cs="Arial"/>
          <w:color w:val="000000" w:themeColor="text1"/>
          <w:sz w:val="20"/>
          <w:szCs w:val="20"/>
        </w:rPr>
        <w:t>-</w:t>
      </w:r>
      <w:r w:rsidRPr="00E473B9">
        <w:rPr>
          <w:rFonts w:ascii="Arial" w:hAnsi="Arial" w:cs="Arial"/>
          <w:color w:val="000000" w:themeColor="text1"/>
          <w:sz w:val="20"/>
          <w:szCs w:val="20"/>
        </w:rPr>
        <w:t>based treatments.</w:t>
      </w:r>
    </w:p>
    <w:p w14:paraId="57B07320" w14:textId="273D7F93" w:rsidR="0049730E" w:rsidRPr="00E473B9" w:rsidRDefault="0049730E" w:rsidP="0049730E">
      <w:pPr>
        <w:pStyle w:val="NormalWeb"/>
        <w:spacing w:before="0" w:beforeAutospacing="0" w:after="0" w:afterAutospacing="0"/>
        <w:jc w:val="both"/>
        <w:rPr>
          <w:rFonts w:ascii="Arial" w:hAnsi="Arial" w:cs="Arial"/>
          <w:color w:val="000000" w:themeColor="text1"/>
          <w:sz w:val="20"/>
          <w:szCs w:val="20"/>
        </w:rPr>
      </w:pPr>
    </w:p>
    <w:p w14:paraId="645F4CAF" w14:textId="74255EB3" w:rsidR="00435E0C" w:rsidRPr="00E473B9" w:rsidRDefault="00435E0C" w:rsidP="002C5523">
      <w:pPr>
        <w:pStyle w:val="Heading2"/>
        <w:spacing w:before="0" w:line="240" w:lineRule="auto"/>
        <w:jc w:val="both"/>
        <w:rPr>
          <w:rStyle w:val="Strong"/>
          <w:rFonts w:ascii="Arial" w:hAnsi="Arial" w:cs="Arial"/>
          <w:bCs w:val="0"/>
          <w:color w:val="000000" w:themeColor="text1"/>
          <w:sz w:val="22"/>
          <w:szCs w:val="22"/>
        </w:rPr>
      </w:pPr>
      <w:r w:rsidRPr="00E473B9">
        <w:rPr>
          <w:rStyle w:val="Strong"/>
          <w:rFonts w:ascii="Arial" w:hAnsi="Arial" w:cs="Arial"/>
          <w:bCs w:val="0"/>
          <w:color w:val="000000" w:themeColor="text1"/>
          <w:sz w:val="22"/>
          <w:szCs w:val="22"/>
        </w:rPr>
        <w:t>6.</w:t>
      </w:r>
      <w:r w:rsidR="0049730E" w:rsidRPr="00E473B9">
        <w:rPr>
          <w:rStyle w:val="Strong"/>
          <w:rFonts w:ascii="Arial" w:hAnsi="Arial" w:cs="Arial"/>
          <w:bCs w:val="0"/>
          <w:color w:val="000000" w:themeColor="text1"/>
          <w:sz w:val="22"/>
          <w:szCs w:val="22"/>
        </w:rPr>
        <w:t>7</w:t>
      </w:r>
      <w:r w:rsidRPr="00E473B9">
        <w:rPr>
          <w:rStyle w:val="Strong"/>
          <w:rFonts w:ascii="Arial" w:hAnsi="Arial" w:cs="Arial"/>
          <w:bCs w:val="0"/>
          <w:color w:val="000000" w:themeColor="text1"/>
          <w:sz w:val="22"/>
          <w:szCs w:val="22"/>
        </w:rPr>
        <w:t xml:space="preserve"> Collaborative Efforts in Academia</w:t>
      </w:r>
      <w:r w:rsidR="001A597D" w:rsidRPr="00E473B9">
        <w:rPr>
          <w:rStyle w:val="Strong"/>
          <w:rFonts w:ascii="Arial" w:hAnsi="Arial" w:cs="Arial"/>
          <w:bCs w:val="0"/>
          <w:color w:val="000000" w:themeColor="text1"/>
          <w:sz w:val="22"/>
          <w:szCs w:val="22"/>
        </w:rPr>
        <w:t>-</w:t>
      </w:r>
      <w:r w:rsidRPr="00E473B9">
        <w:rPr>
          <w:rStyle w:val="Strong"/>
          <w:rFonts w:ascii="Arial" w:hAnsi="Arial" w:cs="Arial"/>
          <w:bCs w:val="0"/>
          <w:color w:val="000000" w:themeColor="text1"/>
          <w:sz w:val="22"/>
          <w:szCs w:val="22"/>
        </w:rPr>
        <w:t>Industry Partnerships</w:t>
      </w:r>
    </w:p>
    <w:p w14:paraId="5656EDE6" w14:textId="77777777" w:rsidR="009A446F" w:rsidRPr="00E473B9" w:rsidRDefault="009A446F" w:rsidP="002C5523">
      <w:pPr>
        <w:pStyle w:val="NormalWeb"/>
        <w:spacing w:before="0" w:beforeAutospacing="0" w:after="0" w:afterAutospacing="0"/>
        <w:jc w:val="both"/>
        <w:rPr>
          <w:rFonts w:ascii="Arial" w:hAnsi="Arial" w:cs="Arial"/>
          <w:color w:val="000000" w:themeColor="text1"/>
          <w:sz w:val="20"/>
          <w:szCs w:val="20"/>
        </w:rPr>
      </w:pPr>
    </w:p>
    <w:p w14:paraId="26C3DC81" w14:textId="4DF1F528" w:rsidR="00435E0C" w:rsidRPr="00E473B9" w:rsidRDefault="00435E0C" w:rsidP="002C5523">
      <w:pPr>
        <w:pStyle w:val="NormalWeb"/>
        <w:spacing w:before="0" w:beforeAutospacing="0" w:after="0" w:afterAutospacing="0"/>
        <w:jc w:val="both"/>
        <w:rPr>
          <w:rFonts w:ascii="Arial" w:hAnsi="Arial" w:cs="Arial"/>
          <w:color w:val="000000" w:themeColor="text1"/>
          <w:sz w:val="20"/>
          <w:szCs w:val="20"/>
        </w:rPr>
      </w:pPr>
      <w:r w:rsidRPr="00E473B9">
        <w:rPr>
          <w:rFonts w:ascii="Arial" w:hAnsi="Arial" w:cs="Arial"/>
          <w:color w:val="000000" w:themeColor="text1"/>
          <w:sz w:val="20"/>
          <w:szCs w:val="20"/>
        </w:rPr>
        <w:t>The complexity of sustained-release ophthalmic drug delivery development underscores the importance of strong collaborative frameworks involving academia, industry, clinicians, and regulatory bodies. Academia</w:t>
      </w:r>
      <w:r w:rsidR="001A597D" w:rsidRPr="00E473B9">
        <w:rPr>
          <w:rFonts w:ascii="Arial" w:hAnsi="Arial" w:cs="Arial"/>
          <w:color w:val="000000" w:themeColor="text1"/>
          <w:sz w:val="20"/>
          <w:szCs w:val="20"/>
        </w:rPr>
        <w:t>-</w:t>
      </w:r>
      <w:r w:rsidRPr="00E473B9">
        <w:rPr>
          <w:rFonts w:ascii="Arial" w:hAnsi="Arial" w:cs="Arial"/>
          <w:color w:val="000000" w:themeColor="text1"/>
          <w:sz w:val="20"/>
          <w:szCs w:val="20"/>
        </w:rPr>
        <w:t>industry partnerships facilitate the integration of fundamental scientific discoveries with scalable technologies, regulatory expertise, and clinical insight, thereby accelerating translational progress.</w:t>
      </w:r>
      <w:r w:rsidR="001A597D"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Public</w:t>
      </w:r>
      <w:r w:rsidR="001A597D" w:rsidRPr="00E473B9">
        <w:rPr>
          <w:rFonts w:ascii="Arial" w:hAnsi="Arial" w:cs="Arial"/>
          <w:color w:val="000000" w:themeColor="text1"/>
          <w:sz w:val="20"/>
          <w:szCs w:val="20"/>
        </w:rPr>
        <w:t>-</w:t>
      </w:r>
      <w:r w:rsidRPr="00E473B9">
        <w:rPr>
          <w:rFonts w:ascii="Arial" w:hAnsi="Arial" w:cs="Arial"/>
          <w:color w:val="000000" w:themeColor="text1"/>
          <w:sz w:val="20"/>
          <w:szCs w:val="20"/>
        </w:rPr>
        <w:t>private partnerships, multi-institutional consortia, and open innovation models have emerged as effective mechanisms for sharing risk, resources, and infrastructure. These collaborative approaches also promote standardization of testing methodologies, alignment with regulatory expectations, and early incorporation of manufacturability considerations, ultimately enhancing the likelihood of successful commercialization and clinical impact</w:t>
      </w:r>
      <w:r w:rsidR="00D031BC" w:rsidRPr="00E473B9">
        <w:rPr>
          <w:rFonts w:ascii="Arial" w:hAnsi="Arial" w:cs="Arial"/>
          <w:color w:val="000000" w:themeColor="text1"/>
          <w:sz w:val="20"/>
          <w:szCs w:val="20"/>
        </w:rPr>
        <w:t xml:space="preserve">. </w:t>
      </w:r>
    </w:p>
    <w:p w14:paraId="20DFE88E" w14:textId="48E95857" w:rsidR="006B04CB" w:rsidRPr="00E473B9" w:rsidRDefault="006B04CB" w:rsidP="002C5523">
      <w:pPr>
        <w:spacing w:after="0" w:line="240" w:lineRule="auto"/>
        <w:jc w:val="both"/>
        <w:rPr>
          <w:rFonts w:ascii="Arial" w:hAnsi="Arial" w:cs="Arial"/>
          <w:color w:val="000000" w:themeColor="text1"/>
          <w:sz w:val="20"/>
          <w:szCs w:val="20"/>
        </w:rPr>
      </w:pPr>
    </w:p>
    <w:p w14:paraId="3AEEE9C2" w14:textId="0CF27177" w:rsidR="006B04CB" w:rsidRPr="00E473B9" w:rsidRDefault="001E5AB2" w:rsidP="002C5523">
      <w:pPr>
        <w:spacing w:after="0" w:line="240" w:lineRule="auto"/>
        <w:rPr>
          <w:rFonts w:ascii="Arial" w:hAnsi="Arial" w:cs="Arial"/>
          <w:b/>
          <w:color w:val="000000" w:themeColor="text1"/>
        </w:rPr>
      </w:pPr>
      <w:r w:rsidRPr="00E473B9">
        <w:rPr>
          <w:rFonts w:ascii="Arial" w:hAnsi="Arial" w:cs="Arial"/>
          <w:b/>
          <w:color w:val="000000" w:themeColor="text1"/>
        </w:rPr>
        <w:t xml:space="preserve">7.0 </w:t>
      </w:r>
      <w:r w:rsidR="009A446F" w:rsidRPr="00E473B9">
        <w:rPr>
          <w:rFonts w:ascii="Arial" w:hAnsi="Arial" w:cs="Arial"/>
          <w:b/>
          <w:color w:val="000000" w:themeColor="text1"/>
        </w:rPr>
        <w:t>CONCLUSION</w:t>
      </w:r>
    </w:p>
    <w:p w14:paraId="1F026093" w14:textId="77777777" w:rsidR="00234DF3" w:rsidRPr="00E473B9" w:rsidRDefault="00234DF3" w:rsidP="002C5523">
      <w:pPr>
        <w:spacing w:after="0" w:line="240" w:lineRule="auto"/>
        <w:rPr>
          <w:rFonts w:ascii="Arial" w:hAnsi="Arial" w:cs="Arial"/>
          <w:b/>
          <w:color w:val="000000" w:themeColor="text1"/>
          <w:sz w:val="20"/>
          <w:szCs w:val="20"/>
        </w:rPr>
      </w:pPr>
    </w:p>
    <w:p w14:paraId="123BE9CB" w14:textId="6F60BD56" w:rsidR="00931C41" w:rsidRPr="00E473B9" w:rsidRDefault="00931C41" w:rsidP="002C5523">
      <w:pPr>
        <w:spacing w:after="0" w:line="240" w:lineRule="auto"/>
        <w:jc w:val="both"/>
        <w:rPr>
          <w:rFonts w:ascii="Arial" w:eastAsia="Times New Roman" w:hAnsi="Arial" w:cs="Arial"/>
          <w:color w:val="000000" w:themeColor="text1"/>
          <w:sz w:val="20"/>
          <w:szCs w:val="20"/>
          <w:lang w:eastAsia="en-IN"/>
        </w:rPr>
      </w:pPr>
      <w:r w:rsidRPr="00E473B9">
        <w:rPr>
          <w:rFonts w:ascii="Arial" w:eastAsia="Times New Roman" w:hAnsi="Arial" w:cs="Arial"/>
          <w:color w:val="000000" w:themeColor="text1"/>
          <w:sz w:val="20"/>
          <w:szCs w:val="20"/>
          <w:lang w:eastAsia="en-IN"/>
        </w:rPr>
        <w:t>Sustained-release ophthalmic drug delivery systems have become a transformative approach for overcoming the pharmacokinetic limitations imposed by ocular anatomical and physiological barriers that restrict the effectiveness of conventional formulations. Advances in formulation and device-based technologies</w:t>
      </w:r>
      <w:r w:rsidR="00DF6CF0"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including in situ gelling systems, nano and micro-carrier platforms, ocular inserts, biodegradable implants, and microneedle-assisted delivery</w:t>
      </w:r>
      <w:r w:rsidR="00DF6CF0"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have enabled controlled and prolonged drug release, improved ocular bioavailability, and targeted therapy for both anterior and posterior segment diseases. Despite significant progress, clinical translation remains constrained by regulatory complexity, safety requirements, and manufacturing scalability, underscoring the need for standardized evaluation methods and robust in vitro</w:t>
      </w:r>
      <w:r w:rsidR="00DF6CF0" w:rsidRPr="00E473B9">
        <w:rPr>
          <w:rFonts w:ascii="Arial" w:eastAsia="Times New Roman" w:hAnsi="Arial" w:cs="Arial"/>
          <w:color w:val="000000" w:themeColor="text1"/>
          <w:sz w:val="20"/>
          <w:szCs w:val="20"/>
          <w:lang w:eastAsia="en-IN"/>
        </w:rPr>
        <w:t xml:space="preserve"> </w:t>
      </w:r>
      <w:r w:rsidRPr="00E473B9">
        <w:rPr>
          <w:rFonts w:ascii="Arial" w:eastAsia="Times New Roman" w:hAnsi="Arial" w:cs="Arial"/>
          <w:color w:val="000000" w:themeColor="text1"/>
          <w:sz w:val="20"/>
          <w:szCs w:val="20"/>
          <w:lang w:eastAsia="en-IN"/>
        </w:rPr>
        <w:t>in vivo correlation models. Future development efforts focusing on multifunctional, stimuli-responsive, and patient-tailored delivery systems, supported by continued advances in biomaterials and microfabrication technologies, are expected to further refine sustained-release strategies and substantially enhance the efficacy, safety, and patient adherence of ocular pharmacotherapy.</w:t>
      </w:r>
    </w:p>
    <w:p w14:paraId="17C1A7E5" w14:textId="07BF03B7" w:rsidR="00931C41" w:rsidRPr="00E473B9" w:rsidRDefault="00931C41" w:rsidP="002C5523">
      <w:pPr>
        <w:spacing w:after="0" w:line="240" w:lineRule="auto"/>
        <w:jc w:val="both"/>
        <w:rPr>
          <w:rFonts w:ascii="Arial" w:hAnsi="Arial" w:cs="Arial"/>
          <w:b/>
          <w:color w:val="000000" w:themeColor="text1"/>
          <w:sz w:val="20"/>
          <w:szCs w:val="20"/>
        </w:rPr>
      </w:pPr>
    </w:p>
    <w:p w14:paraId="0D1DD7DD" w14:textId="43A7D431" w:rsidR="009A446F" w:rsidRPr="00E473B9" w:rsidRDefault="009A446F" w:rsidP="002C5523">
      <w:pPr>
        <w:spacing w:after="0" w:line="240" w:lineRule="auto"/>
        <w:jc w:val="both"/>
        <w:rPr>
          <w:rFonts w:ascii="Arial" w:hAnsi="Arial" w:cs="Arial"/>
          <w:b/>
          <w:color w:val="000000" w:themeColor="text1"/>
        </w:rPr>
      </w:pPr>
      <w:r w:rsidRPr="00E473B9">
        <w:rPr>
          <w:rFonts w:ascii="Arial" w:hAnsi="Arial" w:cs="Arial"/>
          <w:b/>
          <w:color w:val="000000" w:themeColor="text1"/>
        </w:rPr>
        <w:t>DISCLAIMER (ARTIFICIAL INTELLIGENCE)</w:t>
      </w:r>
    </w:p>
    <w:p w14:paraId="4CEEEF28" w14:textId="77777777" w:rsidR="009A446F" w:rsidRPr="00E473B9" w:rsidRDefault="009A446F" w:rsidP="002C5523">
      <w:pPr>
        <w:spacing w:after="0" w:line="240" w:lineRule="auto"/>
        <w:jc w:val="both"/>
        <w:rPr>
          <w:rFonts w:ascii="Arial" w:hAnsi="Arial" w:cs="Arial"/>
          <w:b/>
          <w:color w:val="000000" w:themeColor="text1"/>
          <w:sz w:val="20"/>
          <w:szCs w:val="20"/>
        </w:rPr>
      </w:pPr>
    </w:p>
    <w:p w14:paraId="0559C261" w14:textId="77777777" w:rsidR="009A446F" w:rsidRPr="00E473B9" w:rsidRDefault="009A446F" w:rsidP="002C5523">
      <w:pPr>
        <w:spacing w:after="0" w:line="240" w:lineRule="auto"/>
        <w:jc w:val="both"/>
        <w:rPr>
          <w:rFonts w:ascii="Arial" w:hAnsi="Arial" w:cs="Arial"/>
          <w:color w:val="000000" w:themeColor="text1"/>
          <w:sz w:val="20"/>
          <w:szCs w:val="20"/>
        </w:rPr>
      </w:pPr>
      <w:r w:rsidRPr="00E473B9">
        <w:rPr>
          <w:rFonts w:ascii="Arial" w:hAnsi="Arial" w:cs="Arial"/>
          <w:color w:val="000000" w:themeColor="text1"/>
          <w:sz w:val="20"/>
          <w:szCs w:val="20"/>
        </w:rPr>
        <w:t xml:space="preserve">The authors declare that an artificial intelligence-based tools (ChatGPT) was used during the final stage of manuscript preparation (post-writing) and exclusively for linguistic refinement in the English language </w:t>
      </w:r>
      <w:r w:rsidRPr="00E473B9">
        <w:rPr>
          <w:rFonts w:ascii="Arial" w:hAnsi="Arial" w:cs="Arial"/>
          <w:color w:val="000000" w:themeColor="text1"/>
          <w:sz w:val="20"/>
          <w:szCs w:val="20"/>
        </w:rPr>
        <w:lastRenderedPageBreak/>
        <w:t xml:space="preserve">(Name: ChatGPT, Model-GPT-5). No original scientific content was generated or substantively edited by the AI. </w:t>
      </w:r>
    </w:p>
    <w:p w14:paraId="5F82A57B" w14:textId="77777777" w:rsidR="009A446F" w:rsidRPr="00E473B9" w:rsidRDefault="009A446F" w:rsidP="002C5523">
      <w:pPr>
        <w:spacing w:after="0" w:line="240" w:lineRule="auto"/>
        <w:jc w:val="both"/>
        <w:rPr>
          <w:rFonts w:ascii="Arial" w:hAnsi="Arial" w:cs="Arial"/>
          <w:b/>
          <w:color w:val="000000" w:themeColor="text1"/>
          <w:sz w:val="20"/>
          <w:szCs w:val="20"/>
        </w:rPr>
      </w:pPr>
    </w:p>
    <w:p w14:paraId="630F63F0" w14:textId="11096175" w:rsidR="009A446F" w:rsidRPr="00E473B9" w:rsidRDefault="009A446F" w:rsidP="002C5523">
      <w:pPr>
        <w:spacing w:after="0" w:line="240" w:lineRule="auto"/>
        <w:jc w:val="both"/>
        <w:rPr>
          <w:rFonts w:ascii="Arial" w:hAnsi="Arial" w:cs="Arial"/>
          <w:b/>
          <w:color w:val="000000" w:themeColor="text1"/>
          <w:sz w:val="20"/>
          <w:szCs w:val="20"/>
        </w:rPr>
      </w:pPr>
      <w:r w:rsidRPr="00E473B9">
        <w:rPr>
          <w:rFonts w:ascii="Arial" w:hAnsi="Arial" w:cs="Arial"/>
          <w:b/>
          <w:color w:val="000000" w:themeColor="text1"/>
        </w:rPr>
        <w:t>COMPETING</w:t>
      </w:r>
      <w:r w:rsidRPr="00E473B9">
        <w:rPr>
          <w:rFonts w:ascii="Arial" w:hAnsi="Arial" w:cs="Arial"/>
          <w:b/>
          <w:color w:val="000000" w:themeColor="text1"/>
          <w:sz w:val="20"/>
          <w:szCs w:val="20"/>
        </w:rPr>
        <w:t xml:space="preserve"> </w:t>
      </w:r>
      <w:r w:rsidRPr="00E473B9">
        <w:rPr>
          <w:rFonts w:ascii="Arial" w:hAnsi="Arial" w:cs="Arial"/>
          <w:b/>
          <w:color w:val="000000" w:themeColor="text1"/>
        </w:rPr>
        <w:t>INTERESTS</w:t>
      </w:r>
    </w:p>
    <w:p w14:paraId="6079EC97" w14:textId="77777777" w:rsidR="009A446F" w:rsidRPr="00E473B9" w:rsidRDefault="009A446F" w:rsidP="002C5523">
      <w:pPr>
        <w:spacing w:after="0" w:line="240" w:lineRule="auto"/>
        <w:jc w:val="both"/>
        <w:rPr>
          <w:rFonts w:ascii="Arial" w:hAnsi="Arial" w:cs="Arial"/>
          <w:color w:val="000000" w:themeColor="text1"/>
          <w:sz w:val="20"/>
          <w:szCs w:val="20"/>
        </w:rPr>
      </w:pPr>
    </w:p>
    <w:p w14:paraId="4076471B" w14:textId="77777777" w:rsidR="009A446F" w:rsidRPr="00E473B9" w:rsidRDefault="009A446F" w:rsidP="002C5523">
      <w:pPr>
        <w:spacing w:after="0" w:line="240" w:lineRule="auto"/>
        <w:jc w:val="both"/>
        <w:rPr>
          <w:rFonts w:ascii="Arial" w:hAnsi="Arial" w:cs="Arial"/>
          <w:color w:val="000000" w:themeColor="text1"/>
          <w:sz w:val="20"/>
          <w:szCs w:val="20"/>
        </w:rPr>
      </w:pPr>
      <w:r w:rsidRPr="00E473B9">
        <w:rPr>
          <w:rFonts w:ascii="Arial" w:hAnsi="Arial" w:cs="Arial"/>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736DB6E8" w14:textId="77777777" w:rsidR="00B02C93" w:rsidRPr="00E473B9" w:rsidRDefault="00B02C93" w:rsidP="002C5523">
      <w:pPr>
        <w:spacing w:after="0" w:line="240" w:lineRule="auto"/>
        <w:jc w:val="both"/>
        <w:rPr>
          <w:rFonts w:ascii="Arial" w:hAnsi="Arial" w:cs="Arial"/>
          <w:color w:val="000000" w:themeColor="text1"/>
          <w:sz w:val="20"/>
          <w:szCs w:val="20"/>
        </w:rPr>
      </w:pPr>
    </w:p>
    <w:p w14:paraId="05473D7D" w14:textId="4E9B7AA1" w:rsidR="005F1A33" w:rsidRPr="00E473B9" w:rsidRDefault="009A446F" w:rsidP="002C5523">
      <w:pPr>
        <w:spacing w:after="0" w:line="240" w:lineRule="auto"/>
        <w:jc w:val="both"/>
        <w:rPr>
          <w:rFonts w:ascii="Arial" w:hAnsi="Arial" w:cs="Arial"/>
          <w:b/>
          <w:color w:val="000000" w:themeColor="text1"/>
          <w:sz w:val="20"/>
          <w:szCs w:val="20"/>
        </w:rPr>
      </w:pPr>
      <w:r w:rsidRPr="00E473B9">
        <w:rPr>
          <w:rFonts w:ascii="Arial" w:hAnsi="Arial" w:cs="Arial"/>
          <w:b/>
          <w:color w:val="000000" w:themeColor="text1"/>
        </w:rPr>
        <w:t>REFERENCES</w:t>
      </w:r>
    </w:p>
    <w:p w14:paraId="3DBC4EF3" w14:textId="77777777" w:rsidR="00CA29E6" w:rsidRPr="00E473B9" w:rsidRDefault="00CA29E6" w:rsidP="002C5523">
      <w:pPr>
        <w:spacing w:after="0" w:line="240" w:lineRule="auto"/>
        <w:jc w:val="both"/>
        <w:rPr>
          <w:rFonts w:ascii="Arial" w:hAnsi="Arial" w:cs="Arial"/>
          <w:b/>
          <w:color w:val="000000" w:themeColor="text1"/>
          <w:sz w:val="20"/>
          <w:szCs w:val="20"/>
        </w:rPr>
      </w:pPr>
    </w:p>
    <w:p w14:paraId="0EF1DC94" w14:textId="1A341525" w:rsidR="00CE781F" w:rsidRPr="00E473B9" w:rsidRDefault="00CC0E42" w:rsidP="002C5523">
      <w:pPr>
        <w:pStyle w:val="NormalWeb"/>
        <w:numPr>
          <w:ilvl w:val="0"/>
          <w:numId w:val="7"/>
        </w:numPr>
        <w:spacing w:before="0" w:beforeAutospacing="0" w:after="0" w:afterAutospacing="0"/>
        <w:ind w:left="284" w:hanging="284"/>
        <w:jc w:val="both"/>
        <w:rPr>
          <w:rStyle w:val="Hyperlink"/>
          <w:rFonts w:ascii="Arial" w:hAnsi="Arial" w:cs="Arial"/>
          <w:color w:val="000000" w:themeColor="text1"/>
          <w:sz w:val="20"/>
          <w:szCs w:val="20"/>
          <w:u w:val="none"/>
        </w:rPr>
      </w:pPr>
      <w:r w:rsidRPr="00E473B9">
        <w:rPr>
          <w:rFonts w:ascii="Arial" w:hAnsi="Arial" w:cs="Arial"/>
          <w:color w:val="000000" w:themeColor="text1"/>
          <w:sz w:val="20"/>
          <w:szCs w:val="20"/>
        </w:rPr>
        <w:t>D</w:t>
      </w:r>
      <w:r w:rsidR="00735C9A" w:rsidRPr="00E473B9">
        <w:rPr>
          <w:rFonts w:ascii="Arial" w:hAnsi="Arial" w:cs="Arial"/>
          <w:color w:val="000000" w:themeColor="text1"/>
          <w:sz w:val="20"/>
          <w:szCs w:val="20"/>
        </w:rPr>
        <w:t xml:space="preserve">el Amo, E. M., </w:t>
      </w:r>
      <w:proofErr w:type="spellStart"/>
      <w:r w:rsidR="00735C9A" w:rsidRPr="00E473B9">
        <w:rPr>
          <w:rFonts w:ascii="Arial" w:hAnsi="Arial" w:cs="Arial"/>
          <w:color w:val="000000" w:themeColor="text1"/>
          <w:sz w:val="20"/>
          <w:szCs w:val="20"/>
        </w:rPr>
        <w:t>Rimpelä</w:t>
      </w:r>
      <w:proofErr w:type="spellEnd"/>
      <w:r w:rsidR="00735C9A" w:rsidRPr="00E473B9">
        <w:rPr>
          <w:rFonts w:ascii="Arial" w:hAnsi="Arial" w:cs="Arial"/>
          <w:color w:val="000000" w:themeColor="text1"/>
          <w:sz w:val="20"/>
          <w:szCs w:val="20"/>
        </w:rPr>
        <w:t xml:space="preserve">, A.K., Heikkinen, E., Kari, O. K., Ramsay, E., </w:t>
      </w:r>
      <w:proofErr w:type="spellStart"/>
      <w:r w:rsidR="00735C9A" w:rsidRPr="00E473B9">
        <w:rPr>
          <w:rFonts w:ascii="Arial" w:hAnsi="Arial" w:cs="Arial"/>
          <w:color w:val="000000" w:themeColor="text1"/>
          <w:sz w:val="20"/>
          <w:szCs w:val="20"/>
        </w:rPr>
        <w:t>Lajunen</w:t>
      </w:r>
      <w:proofErr w:type="spellEnd"/>
      <w:r w:rsidR="00735C9A" w:rsidRPr="00E473B9">
        <w:rPr>
          <w:rFonts w:ascii="Arial" w:hAnsi="Arial" w:cs="Arial"/>
          <w:color w:val="000000" w:themeColor="text1"/>
          <w:sz w:val="20"/>
          <w:szCs w:val="20"/>
        </w:rPr>
        <w:t>, T., et al. (2017). Pharmacokinetic aspects of retinal drug delivery. Progress in Retinal and Eye Research, 57, 134</w:t>
      </w:r>
      <w:r w:rsidR="006734C6" w:rsidRPr="00E473B9">
        <w:rPr>
          <w:rFonts w:ascii="Arial" w:hAnsi="Arial" w:cs="Arial"/>
          <w:color w:val="000000" w:themeColor="text1"/>
          <w:sz w:val="20"/>
          <w:szCs w:val="20"/>
        </w:rPr>
        <w:t>-</w:t>
      </w:r>
      <w:r w:rsidR="00735C9A" w:rsidRPr="00E473B9">
        <w:rPr>
          <w:rFonts w:ascii="Arial" w:hAnsi="Arial" w:cs="Arial"/>
          <w:color w:val="000000" w:themeColor="text1"/>
          <w:sz w:val="20"/>
          <w:szCs w:val="20"/>
        </w:rPr>
        <w:t xml:space="preserve">185. </w:t>
      </w:r>
      <w:hyperlink r:id="rId15" w:history="1">
        <w:r w:rsidR="00735C9A" w:rsidRPr="00E473B9">
          <w:rPr>
            <w:rStyle w:val="Hyperlink"/>
            <w:rFonts w:ascii="Arial" w:hAnsi="Arial" w:cs="Arial"/>
            <w:color w:val="000000" w:themeColor="text1"/>
            <w:sz w:val="20"/>
            <w:szCs w:val="20"/>
          </w:rPr>
          <w:t>https://doi.org/10.1016/j.preteyeres.2016.12.001</w:t>
        </w:r>
      </w:hyperlink>
      <w:r w:rsidR="00CE781F" w:rsidRPr="00E473B9">
        <w:rPr>
          <w:rStyle w:val="Hyperlink"/>
          <w:rFonts w:ascii="Arial" w:hAnsi="Arial" w:cs="Arial"/>
          <w:color w:val="000000" w:themeColor="text1"/>
          <w:sz w:val="20"/>
          <w:szCs w:val="20"/>
        </w:rPr>
        <w:t>.</w:t>
      </w:r>
    </w:p>
    <w:p w14:paraId="582AA360" w14:textId="77777777" w:rsidR="007E75AD" w:rsidRPr="00E473B9" w:rsidRDefault="007E75AD" w:rsidP="007E75AD">
      <w:pPr>
        <w:pStyle w:val="NormalWeb"/>
        <w:numPr>
          <w:ilvl w:val="0"/>
          <w:numId w:val="7"/>
        </w:numPr>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Palem</w:t>
      </w:r>
      <w:proofErr w:type="spellEnd"/>
      <w:r w:rsidRPr="00E473B9">
        <w:rPr>
          <w:rFonts w:ascii="Arial" w:hAnsi="Arial" w:cs="Arial"/>
          <w:color w:val="000000" w:themeColor="text1"/>
          <w:sz w:val="20"/>
          <w:szCs w:val="20"/>
        </w:rPr>
        <w:t xml:space="preserve">, C.R., </w:t>
      </w:r>
      <w:proofErr w:type="spellStart"/>
      <w:r w:rsidRPr="00E473B9">
        <w:rPr>
          <w:rFonts w:ascii="Arial" w:hAnsi="Arial" w:cs="Arial"/>
          <w:color w:val="000000" w:themeColor="text1"/>
          <w:sz w:val="20"/>
          <w:szCs w:val="20"/>
        </w:rPr>
        <w:t>Rendla</w:t>
      </w:r>
      <w:proofErr w:type="spellEnd"/>
      <w:r w:rsidRPr="00E473B9">
        <w:rPr>
          <w:rFonts w:ascii="Arial" w:hAnsi="Arial" w:cs="Arial"/>
          <w:color w:val="000000" w:themeColor="text1"/>
          <w:sz w:val="20"/>
          <w:szCs w:val="20"/>
        </w:rPr>
        <w:t xml:space="preserve">, R., </w:t>
      </w:r>
      <w:proofErr w:type="spellStart"/>
      <w:r w:rsidRPr="00E473B9">
        <w:rPr>
          <w:rFonts w:ascii="Arial" w:hAnsi="Arial" w:cs="Arial"/>
          <w:color w:val="000000" w:themeColor="text1"/>
          <w:sz w:val="20"/>
          <w:szCs w:val="20"/>
        </w:rPr>
        <w:t>Nagamalli</w:t>
      </w:r>
      <w:proofErr w:type="spellEnd"/>
      <w:r w:rsidRPr="00E473B9">
        <w:rPr>
          <w:rFonts w:ascii="Arial" w:hAnsi="Arial" w:cs="Arial"/>
          <w:color w:val="000000" w:themeColor="text1"/>
          <w:sz w:val="20"/>
          <w:szCs w:val="20"/>
        </w:rPr>
        <w:t xml:space="preserve">, N.K., </w:t>
      </w:r>
      <w:proofErr w:type="spellStart"/>
      <w:r w:rsidRPr="00E473B9">
        <w:rPr>
          <w:rFonts w:ascii="Arial" w:hAnsi="Arial" w:cs="Arial"/>
          <w:color w:val="000000" w:themeColor="text1"/>
          <w:sz w:val="20"/>
          <w:szCs w:val="20"/>
        </w:rPr>
        <w:t>Lekkala</w:t>
      </w:r>
      <w:proofErr w:type="spellEnd"/>
      <w:r w:rsidRPr="00E473B9">
        <w:rPr>
          <w:rFonts w:ascii="Arial" w:hAnsi="Arial" w:cs="Arial"/>
          <w:color w:val="000000" w:themeColor="text1"/>
          <w:sz w:val="20"/>
          <w:szCs w:val="20"/>
        </w:rPr>
        <w:t xml:space="preserve">, V.K &amp; </w:t>
      </w:r>
      <w:proofErr w:type="spellStart"/>
      <w:proofErr w:type="gramStart"/>
      <w:r w:rsidRPr="00E473B9">
        <w:rPr>
          <w:rFonts w:ascii="Arial" w:hAnsi="Arial" w:cs="Arial"/>
          <w:color w:val="000000" w:themeColor="text1"/>
          <w:sz w:val="20"/>
          <w:szCs w:val="20"/>
        </w:rPr>
        <w:t>Gumudevelli,S</w:t>
      </w:r>
      <w:proofErr w:type="spellEnd"/>
      <w:r w:rsidRPr="00E473B9">
        <w:rPr>
          <w:rFonts w:ascii="Arial" w:hAnsi="Arial" w:cs="Arial"/>
          <w:color w:val="000000" w:themeColor="text1"/>
          <w:sz w:val="20"/>
          <w:szCs w:val="20"/>
        </w:rPr>
        <w:t>.</w:t>
      </w:r>
      <w:proofErr w:type="gramEnd"/>
      <w:r w:rsidRPr="00E473B9">
        <w:rPr>
          <w:rFonts w:ascii="Arial" w:hAnsi="Arial" w:cs="Arial"/>
          <w:color w:val="000000" w:themeColor="text1"/>
          <w:sz w:val="20"/>
          <w:szCs w:val="20"/>
        </w:rPr>
        <w:t xml:space="preserve"> (2025). A Comprehensive Review of Current Trends and Regulatory Frameworks in Generic Drug Development. Journal of Pharmaceutical Sciences, 1(10): 16-27. </w:t>
      </w:r>
      <w:hyperlink r:id="rId16" w:history="1">
        <w:r w:rsidRPr="00E473B9">
          <w:rPr>
            <w:rStyle w:val="Hyperlink"/>
            <w:rFonts w:ascii="Arial" w:hAnsi="Arial" w:cs="Arial"/>
            <w:color w:val="000000" w:themeColor="text1"/>
            <w:sz w:val="20"/>
            <w:szCs w:val="20"/>
          </w:rPr>
          <w:t>https://doi.org/10.5281/zenodo.17297703</w:t>
        </w:r>
      </w:hyperlink>
      <w:r w:rsidRPr="00E473B9">
        <w:rPr>
          <w:rFonts w:ascii="Arial" w:hAnsi="Arial" w:cs="Arial"/>
          <w:color w:val="000000" w:themeColor="text1"/>
          <w:sz w:val="20"/>
          <w:szCs w:val="20"/>
        </w:rPr>
        <w:t>.</w:t>
      </w:r>
    </w:p>
    <w:p w14:paraId="6A606CFF" w14:textId="77777777" w:rsidR="00F17FAE" w:rsidRPr="00E473B9" w:rsidRDefault="00CE781F" w:rsidP="00F17FAE">
      <w:pPr>
        <w:pStyle w:val="NormalWeb"/>
        <w:numPr>
          <w:ilvl w:val="0"/>
          <w:numId w:val="7"/>
        </w:numPr>
        <w:spacing w:before="0" w:beforeAutospacing="0" w:after="0" w:afterAutospacing="0"/>
        <w:jc w:val="both"/>
        <w:rPr>
          <w:rStyle w:val="Hyperlink"/>
          <w:rFonts w:ascii="Arial" w:hAnsi="Arial" w:cs="Arial"/>
          <w:color w:val="000000" w:themeColor="text1"/>
          <w:sz w:val="20"/>
          <w:szCs w:val="20"/>
          <w:u w:val="none"/>
        </w:rPr>
      </w:pPr>
      <w:r w:rsidRPr="00E473B9">
        <w:rPr>
          <w:rFonts w:ascii="Arial" w:hAnsi="Arial" w:cs="Arial"/>
          <w:color w:val="000000" w:themeColor="text1"/>
          <w:sz w:val="20"/>
          <w:szCs w:val="20"/>
        </w:rPr>
        <w:t xml:space="preserve">Palem, C. R., </w:t>
      </w:r>
      <w:proofErr w:type="spellStart"/>
      <w:r w:rsidRPr="00E473B9">
        <w:rPr>
          <w:rFonts w:ascii="Arial" w:hAnsi="Arial" w:cs="Arial"/>
          <w:color w:val="000000" w:themeColor="text1"/>
          <w:sz w:val="20"/>
          <w:szCs w:val="20"/>
        </w:rPr>
        <w:t>Dudhipala</w:t>
      </w:r>
      <w:proofErr w:type="spellEnd"/>
      <w:r w:rsidRPr="00E473B9">
        <w:rPr>
          <w:rFonts w:ascii="Arial" w:hAnsi="Arial" w:cs="Arial"/>
          <w:color w:val="000000" w:themeColor="text1"/>
          <w:sz w:val="20"/>
          <w:szCs w:val="20"/>
        </w:rPr>
        <w:t xml:space="preserve">, N. R., Battu, S. K., Repka, M. A., &amp; Rao Yamsani, M. (2016). Development, optimization and in vivo characterization of domperidone-controlled release hot-melt-extruded films for buccal delivery. Drug Development and Industrial Pharmacy, 42(3), 473–484. </w:t>
      </w:r>
      <w:hyperlink r:id="rId17" w:history="1">
        <w:r w:rsidRPr="00E473B9">
          <w:rPr>
            <w:rStyle w:val="Hyperlink"/>
            <w:rFonts w:ascii="Arial" w:hAnsi="Arial" w:cs="Arial"/>
            <w:color w:val="000000" w:themeColor="text1"/>
            <w:sz w:val="20"/>
            <w:szCs w:val="20"/>
          </w:rPr>
          <w:t>https://doi.org/10.3109/03639045.2015.1104346</w:t>
        </w:r>
      </w:hyperlink>
      <w:r w:rsidRPr="00E473B9">
        <w:rPr>
          <w:rStyle w:val="Hyperlink"/>
          <w:rFonts w:ascii="Arial" w:hAnsi="Arial" w:cs="Arial"/>
          <w:color w:val="000000" w:themeColor="text1"/>
          <w:sz w:val="20"/>
          <w:szCs w:val="20"/>
        </w:rPr>
        <w:t>.</w:t>
      </w:r>
    </w:p>
    <w:p w14:paraId="7E1B3829" w14:textId="2552890D" w:rsidR="007E75AD" w:rsidRPr="00E473B9" w:rsidRDefault="007E75AD" w:rsidP="00F17FAE">
      <w:pPr>
        <w:pStyle w:val="NormalWeb"/>
        <w:numPr>
          <w:ilvl w:val="0"/>
          <w:numId w:val="7"/>
        </w:numPr>
        <w:spacing w:before="0" w:beforeAutospacing="0" w:after="0" w:afterAutospacing="0"/>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Thatipamula</w:t>
      </w:r>
      <w:proofErr w:type="spellEnd"/>
      <w:r w:rsidRPr="00E473B9">
        <w:rPr>
          <w:rFonts w:ascii="Arial" w:hAnsi="Arial" w:cs="Arial"/>
          <w:color w:val="000000" w:themeColor="text1"/>
          <w:sz w:val="20"/>
          <w:szCs w:val="20"/>
        </w:rPr>
        <w:t xml:space="preserve">, C.R., </w:t>
      </w:r>
      <w:proofErr w:type="spellStart"/>
      <w:r w:rsidRPr="00E473B9">
        <w:rPr>
          <w:rFonts w:ascii="Arial" w:hAnsi="Arial" w:cs="Arial"/>
          <w:color w:val="000000" w:themeColor="text1"/>
          <w:sz w:val="20"/>
          <w:szCs w:val="20"/>
        </w:rPr>
        <w:t>Palem</w:t>
      </w:r>
      <w:proofErr w:type="spellEnd"/>
      <w:r w:rsidRPr="00E473B9">
        <w:rPr>
          <w:rFonts w:ascii="Arial" w:hAnsi="Arial" w:cs="Arial"/>
          <w:color w:val="000000" w:themeColor="text1"/>
          <w:sz w:val="20"/>
          <w:szCs w:val="20"/>
        </w:rPr>
        <w:t xml:space="preserve">, C., </w:t>
      </w:r>
      <w:proofErr w:type="spellStart"/>
      <w:r w:rsidRPr="00E473B9">
        <w:rPr>
          <w:rFonts w:ascii="Arial" w:hAnsi="Arial" w:cs="Arial"/>
          <w:color w:val="000000" w:themeColor="text1"/>
          <w:sz w:val="20"/>
          <w:szCs w:val="20"/>
        </w:rPr>
        <w:t>Gannu</w:t>
      </w:r>
      <w:proofErr w:type="spellEnd"/>
      <w:r w:rsidRPr="00E473B9">
        <w:rPr>
          <w:rFonts w:ascii="Arial" w:hAnsi="Arial" w:cs="Arial"/>
          <w:color w:val="000000" w:themeColor="text1"/>
          <w:sz w:val="20"/>
          <w:szCs w:val="20"/>
        </w:rPr>
        <w:t xml:space="preserve">, R., </w:t>
      </w:r>
      <w:proofErr w:type="spellStart"/>
      <w:r w:rsidRPr="00E473B9">
        <w:rPr>
          <w:rFonts w:ascii="Arial" w:hAnsi="Arial" w:cs="Arial"/>
          <w:color w:val="000000" w:themeColor="text1"/>
          <w:sz w:val="20"/>
          <w:szCs w:val="20"/>
        </w:rPr>
        <w:t>Mudragada</w:t>
      </w:r>
      <w:proofErr w:type="spellEnd"/>
      <w:r w:rsidRPr="00E473B9">
        <w:rPr>
          <w:rFonts w:ascii="Arial" w:hAnsi="Arial" w:cs="Arial"/>
          <w:color w:val="000000" w:themeColor="text1"/>
          <w:sz w:val="20"/>
          <w:szCs w:val="20"/>
        </w:rPr>
        <w:t xml:space="preserve">, S., &amp; Yamsani, M. (2011). Formulation and in vitro characterization of domperidone-loaded solid lipid nanoparticles and nanostructured lipid carriers. </w:t>
      </w:r>
      <w:r w:rsidRPr="00E473B9">
        <w:rPr>
          <w:rStyle w:val="Emphasis"/>
          <w:rFonts w:ascii="Arial" w:hAnsi="Arial" w:cs="Arial"/>
          <w:i w:val="0"/>
          <w:color w:val="000000" w:themeColor="text1"/>
          <w:sz w:val="20"/>
          <w:szCs w:val="20"/>
        </w:rPr>
        <w:t>Daru, 19</w:t>
      </w:r>
      <w:r w:rsidRPr="00E473B9">
        <w:rPr>
          <w:rFonts w:ascii="Arial" w:hAnsi="Arial" w:cs="Arial"/>
          <w:color w:val="000000" w:themeColor="text1"/>
          <w:sz w:val="20"/>
          <w:szCs w:val="20"/>
        </w:rPr>
        <w:t xml:space="preserve">(1), 23–32. </w:t>
      </w:r>
      <w:hyperlink r:id="rId18" w:history="1">
        <w:r w:rsidRPr="00E473B9">
          <w:rPr>
            <w:rStyle w:val="Hyperlink"/>
            <w:rFonts w:ascii="Arial" w:hAnsi="Arial" w:cs="Arial"/>
            <w:color w:val="000000" w:themeColor="text1"/>
            <w:sz w:val="20"/>
            <w:szCs w:val="20"/>
          </w:rPr>
          <w:t>https://www.ncbi.nlm.nih.gov/pmc/articles/PMC3232070/</w:t>
        </w:r>
      </w:hyperlink>
      <w:r w:rsidRPr="00E473B9">
        <w:rPr>
          <w:rFonts w:ascii="Arial" w:hAnsi="Arial" w:cs="Arial"/>
          <w:color w:val="000000" w:themeColor="text1"/>
          <w:sz w:val="20"/>
          <w:szCs w:val="20"/>
        </w:rPr>
        <w:t xml:space="preserve"> </w:t>
      </w:r>
    </w:p>
    <w:p w14:paraId="4FA64BD8"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Gaudana, R., </w:t>
      </w:r>
      <w:proofErr w:type="spellStart"/>
      <w:r w:rsidRPr="00E473B9">
        <w:rPr>
          <w:rFonts w:ascii="Arial" w:hAnsi="Arial" w:cs="Arial"/>
          <w:color w:val="000000" w:themeColor="text1"/>
          <w:sz w:val="20"/>
          <w:szCs w:val="20"/>
        </w:rPr>
        <w:t>Ananthula</w:t>
      </w:r>
      <w:proofErr w:type="spellEnd"/>
      <w:r w:rsidRPr="00E473B9">
        <w:rPr>
          <w:rFonts w:ascii="Arial" w:hAnsi="Arial" w:cs="Arial"/>
          <w:color w:val="000000" w:themeColor="text1"/>
          <w:sz w:val="20"/>
          <w:szCs w:val="20"/>
        </w:rPr>
        <w:t xml:space="preserve">, H. K., </w:t>
      </w:r>
      <w:proofErr w:type="spellStart"/>
      <w:r w:rsidRPr="00E473B9">
        <w:rPr>
          <w:rFonts w:ascii="Arial" w:hAnsi="Arial" w:cs="Arial"/>
          <w:color w:val="000000" w:themeColor="text1"/>
          <w:sz w:val="20"/>
          <w:szCs w:val="20"/>
        </w:rPr>
        <w:t>Parenky</w:t>
      </w:r>
      <w:proofErr w:type="spellEnd"/>
      <w:r w:rsidRPr="00E473B9">
        <w:rPr>
          <w:rFonts w:ascii="Arial" w:hAnsi="Arial" w:cs="Arial"/>
          <w:color w:val="000000" w:themeColor="text1"/>
          <w:sz w:val="20"/>
          <w:szCs w:val="20"/>
        </w:rPr>
        <w:t xml:space="preserve">, A., &amp; Mitra, A. K. (2010). Ocular drug delivery. The AAPS Journal, 12(3), 348–360. </w:t>
      </w:r>
      <w:hyperlink r:id="rId19" w:history="1">
        <w:r w:rsidRPr="00E473B9">
          <w:rPr>
            <w:rStyle w:val="Hyperlink"/>
            <w:rFonts w:ascii="Arial" w:hAnsi="Arial" w:cs="Arial"/>
            <w:color w:val="000000" w:themeColor="text1"/>
            <w:sz w:val="20"/>
            <w:szCs w:val="20"/>
          </w:rPr>
          <w:t>https://doi.org/10.1208/s12248-010-9183-3</w:t>
        </w:r>
      </w:hyperlink>
      <w:r w:rsidRPr="00E473B9">
        <w:rPr>
          <w:rFonts w:ascii="Arial" w:hAnsi="Arial" w:cs="Arial"/>
          <w:color w:val="000000" w:themeColor="text1"/>
          <w:sz w:val="20"/>
          <w:szCs w:val="20"/>
        </w:rPr>
        <w:t xml:space="preserve"> </w:t>
      </w:r>
    </w:p>
    <w:p w14:paraId="184EAE96" w14:textId="77777777" w:rsidR="00F17FAE" w:rsidRPr="00E473B9" w:rsidRDefault="00735C9A"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Streilein, J. W. (2003). Ocular immune privilege: Therapeutic opportunities from an experiment of nature. </w:t>
      </w:r>
      <w:r w:rsidRPr="00E473B9">
        <w:rPr>
          <w:rFonts w:ascii="Arial" w:hAnsi="Arial" w:cs="Arial"/>
          <w:iCs/>
          <w:color w:val="000000" w:themeColor="text1"/>
          <w:sz w:val="20"/>
          <w:szCs w:val="20"/>
        </w:rPr>
        <w:t>Nature Reviews Immunology, 3</w:t>
      </w:r>
      <w:r w:rsidRPr="00E473B9">
        <w:rPr>
          <w:rFonts w:ascii="Arial" w:hAnsi="Arial" w:cs="Arial"/>
          <w:color w:val="000000" w:themeColor="text1"/>
          <w:sz w:val="20"/>
          <w:szCs w:val="20"/>
        </w:rPr>
        <w:t xml:space="preserve">(11), 879–889. </w:t>
      </w:r>
      <w:hyperlink r:id="rId20" w:history="1">
        <w:r w:rsidRPr="00E473B9">
          <w:rPr>
            <w:rStyle w:val="Hyperlink"/>
            <w:rFonts w:ascii="Arial" w:hAnsi="Arial" w:cs="Arial"/>
            <w:color w:val="000000" w:themeColor="text1"/>
            <w:sz w:val="20"/>
            <w:szCs w:val="20"/>
          </w:rPr>
          <w:t>https://doi.org/10.1038/nri1224</w:t>
        </w:r>
      </w:hyperlink>
    </w:p>
    <w:p w14:paraId="088EE376" w14:textId="6C732491" w:rsidR="00F17FAE" w:rsidRPr="00E473B9" w:rsidRDefault="00735C9A"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Lee, S. S., &amp; Robinson, M. R. (2009). Novel drug delivery systems for retinal diseases: A review. </w:t>
      </w:r>
      <w:r w:rsidRPr="00E473B9">
        <w:rPr>
          <w:rFonts w:ascii="Arial" w:hAnsi="Arial" w:cs="Arial"/>
          <w:iCs/>
          <w:color w:val="000000" w:themeColor="text1"/>
          <w:sz w:val="20"/>
          <w:szCs w:val="20"/>
        </w:rPr>
        <w:t>Ophthalmic Research, 41</w:t>
      </w:r>
      <w:r w:rsidRPr="00E473B9">
        <w:rPr>
          <w:rFonts w:ascii="Arial" w:hAnsi="Arial" w:cs="Arial"/>
          <w:color w:val="000000" w:themeColor="text1"/>
          <w:sz w:val="20"/>
          <w:szCs w:val="20"/>
        </w:rPr>
        <w:t xml:space="preserve">(3), 124–135. </w:t>
      </w:r>
      <w:hyperlink r:id="rId21" w:history="1">
        <w:r w:rsidRPr="00E473B9">
          <w:rPr>
            <w:rStyle w:val="Hyperlink"/>
            <w:rFonts w:ascii="Arial" w:hAnsi="Arial" w:cs="Arial"/>
            <w:color w:val="000000" w:themeColor="text1"/>
            <w:sz w:val="20"/>
            <w:szCs w:val="20"/>
          </w:rPr>
          <w:t>https://doi.org/10.1159/000209665</w:t>
        </w:r>
      </w:hyperlink>
      <w:r w:rsidR="007E75AD" w:rsidRPr="00E473B9">
        <w:rPr>
          <w:rFonts w:ascii="Arial" w:hAnsi="Arial" w:cs="Arial"/>
          <w:color w:val="000000" w:themeColor="text1"/>
          <w:sz w:val="20"/>
          <w:szCs w:val="20"/>
        </w:rPr>
        <w:t>.</w:t>
      </w:r>
    </w:p>
    <w:p w14:paraId="28F4C5C4" w14:textId="4E8612DF" w:rsidR="007E75AD" w:rsidRPr="00E473B9" w:rsidRDefault="007E75AD"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Palem, C. R., Battu, </w:t>
      </w:r>
      <w:proofErr w:type="gramStart"/>
      <w:r w:rsidRPr="00E473B9">
        <w:rPr>
          <w:rFonts w:ascii="Arial" w:hAnsi="Arial" w:cs="Arial"/>
          <w:color w:val="000000" w:themeColor="text1"/>
          <w:sz w:val="20"/>
          <w:szCs w:val="20"/>
        </w:rPr>
        <w:t>S.K .</w:t>
      </w:r>
      <w:proofErr w:type="gramEnd"/>
      <w:r w:rsidRPr="00E473B9">
        <w:rPr>
          <w:rFonts w:ascii="Arial" w:hAnsi="Arial" w:cs="Arial"/>
          <w:color w:val="000000" w:themeColor="text1"/>
          <w:sz w:val="20"/>
          <w:szCs w:val="20"/>
        </w:rPr>
        <w:t xml:space="preserve">, Maddineni, S., </w:t>
      </w:r>
      <w:proofErr w:type="spellStart"/>
      <w:r w:rsidRPr="00E473B9">
        <w:rPr>
          <w:rFonts w:ascii="Arial" w:hAnsi="Arial" w:cs="Arial"/>
          <w:color w:val="000000" w:themeColor="text1"/>
          <w:sz w:val="20"/>
          <w:szCs w:val="20"/>
        </w:rPr>
        <w:t>Gannu</w:t>
      </w:r>
      <w:proofErr w:type="spellEnd"/>
      <w:r w:rsidRPr="00E473B9">
        <w:rPr>
          <w:rFonts w:ascii="Arial" w:hAnsi="Arial" w:cs="Arial"/>
          <w:color w:val="000000" w:themeColor="text1"/>
          <w:sz w:val="20"/>
          <w:szCs w:val="20"/>
        </w:rPr>
        <w:t xml:space="preserve">, R., Repka, M. A., &amp; Yamsani, M. R. (2013). Oral transmucosal delivery of domperidone from immediate release films produced via hot-melt extrusion technology. Pharmaceutical Development and Technology, 18(1), 186–195. </w:t>
      </w:r>
      <w:hyperlink r:id="rId22" w:history="1">
        <w:r w:rsidRPr="00E473B9">
          <w:rPr>
            <w:rStyle w:val="Hyperlink"/>
            <w:rFonts w:ascii="Arial" w:hAnsi="Arial" w:cs="Arial"/>
            <w:color w:val="000000" w:themeColor="text1"/>
            <w:sz w:val="20"/>
            <w:szCs w:val="20"/>
          </w:rPr>
          <w:t>https://doi.org/10.3109/10837450.2012.693505</w:t>
        </w:r>
      </w:hyperlink>
      <w:r w:rsidRPr="00E473B9">
        <w:rPr>
          <w:rFonts w:ascii="Arial" w:hAnsi="Arial" w:cs="Arial"/>
          <w:color w:val="000000" w:themeColor="text1"/>
          <w:sz w:val="20"/>
          <w:szCs w:val="20"/>
        </w:rPr>
        <w:t xml:space="preserve"> </w:t>
      </w:r>
    </w:p>
    <w:p w14:paraId="72D493EC"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Urtti</w:t>
      </w:r>
      <w:proofErr w:type="spellEnd"/>
      <w:r w:rsidRPr="00E473B9">
        <w:rPr>
          <w:rFonts w:ascii="Arial" w:hAnsi="Arial" w:cs="Arial"/>
          <w:color w:val="000000" w:themeColor="text1"/>
          <w:sz w:val="20"/>
          <w:szCs w:val="20"/>
        </w:rPr>
        <w:t xml:space="preserve">, A. (2006). Challenges and obstacles of ocular pharmacokinetics and drug delivery. </w:t>
      </w:r>
      <w:r w:rsidRPr="00E473B9">
        <w:rPr>
          <w:rFonts w:ascii="Arial" w:hAnsi="Arial" w:cs="Arial"/>
          <w:iCs/>
          <w:color w:val="000000" w:themeColor="text1"/>
          <w:sz w:val="20"/>
          <w:szCs w:val="20"/>
        </w:rPr>
        <w:t>Advanced Drug Delivery Reviews, 58</w:t>
      </w:r>
      <w:r w:rsidRPr="00E473B9">
        <w:rPr>
          <w:rFonts w:ascii="Arial" w:hAnsi="Arial" w:cs="Arial"/>
          <w:color w:val="000000" w:themeColor="text1"/>
          <w:sz w:val="20"/>
          <w:szCs w:val="20"/>
        </w:rPr>
        <w:t xml:space="preserve">(11), 1131–1135. </w:t>
      </w:r>
      <w:hyperlink r:id="rId23" w:history="1">
        <w:r w:rsidRPr="00E473B9">
          <w:rPr>
            <w:rStyle w:val="Hyperlink"/>
            <w:rFonts w:ascii="Arial" w:hAnsi="Arial" w:cs="Arial"/>
            <w:color w:val="000000" w:themeColor="text1"/>
            <w:sz w:val="20"/>
            <w:szCs w:val="20"/>
          </w:rPr>
          <w:t>https://doi.org/10.1016/j.addr.2006.07.027</w:t>
        </w:r>
      </w:hyperlink>
      <w:r w:rsidRPr="00E473B9">
        <w:rPr>
          <w:rFonts w:ascii="Arial" w:hAnsi="Arial" w:cs="Arial"/>
          <w:color w:val="000000" w:themeColor="text1"/>
          <w:sz w:val="20"/>
          <w:szCs w:val="20"/>
        </w:rPr>
        <w:t xml:space="preserve"> </w:t>
      </w:r>
    </w:p>
    <w:p w14:paraId="603BC4EF"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Ludwig, A. (2005). The use of mucoadhesive polymers in ocular drug delivery. </w:t>
      </w:r>
      <w:r w:rsidRPr="00E473B9">
        <w:rPr>
          <w:rFonts w:ascii="Arial" w:hAnsi="Arial" w:cs="Arial"/>
          <w:iCs/>
          <w:color w:val="000000" w:themeColor="text1"/>
          <w:sz w:val="20"/>
          <w:szCs w:val="20"/>
        </w:rPr>
        <w:t xml:space="preserve">Advanced Drug </w:t>
      </w:r>
      <w:r w:rsidRPr="00E473B9">
        <w:rPr>
          <w:rFonts w:ascii="Arial" w:hAnsi="Arial" w:cs="Arial"/>
          <w:color w:val="000000" w:themeColor="text1"/>
          <w:sz w:val="20"/>
          <w:szCs w:val="20"/>
        </w:rPr>
        <w:t>Delivery</w:t>
      </w:r>
      <w:r w:rsidRPr="00E473B9">
        <w:rPr>
          <w:rFonts w:ascii="Arial" w:hAnsi="Arial" w:cs="Arial"/>
          <w:iCs/>
          <w:color w:val="000000" w:themeColor="text1"/>
          <w:sz w:val="20"/>
          <w:szCs w:val="20"/>
        </w:rPr>
        <w:t xml:space="preserve"> Reviews, 57</w:t>
      </w:r>
      <w:r w:rsidRPr="00E473B9">
        <w:rPr>
          <w:rFonts w:ascii="Arial" w:hAnsi="Arial" w:cs="Arial"/>
          <w:color w:val="000000" w:themeColor="text1"/>
          <w:sz w:val="20"/>
          <w:szCs w:val="20"/>
        </w:rPr>
        <w:t xml:space="preserve">(11), 1595–1639. </w:t>
      </w:r>
      <w:hyperlink r:id="rId24" w:history="1">
        <w:r w:rsidRPr="00E473B9">
          <w:rPr>
            <w:rStyle w:val="Hyperlink"/>
            <w:rFonts w:ascii="Arial" w:hAnsi="Arial" w:cs="Arial"/>
            <w:color w:val="000000" w:themeColor="text1"/>
            <w:sz w:val="20"/>
            <w:szCs w:val="20"/>
          </w:rPr>
          <w:t>https://doi.org/10.1016/j.addr.2005.07.005</w:t>
        </w:r>
      </w:hyperlink>
      <w:r w:rsidRPr="00E473B9">
        <w:rPr>
          <w:rFonts w:ascii="Arial" w:hAnsi="Arial" w:cs="Arial"/>
          <w:color w:val="000000" w:themeColor="text1"/>
          <w:sz w:val="20"/>
          <w:szCs w:val="20"/>
        </w:rPr>
        <w:t xml:space="preserve"> </w:t>
      </w:r>
    </w:p>
    <w:p w14:paraId="6FFEFCEF"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Park, K. (2014). Controlled drug delivery systems: Past forward and future back. </w:t>
      </w:r>
      <w:r w:rsidRPr="00E473B9">
        <w:rPr>
          <w:rFonts w:ascii="Arial" w:hAnsi="Arial" w:cs="Arial"/>
          <w:iCs/>
          <w:color w:val="000000" w:themeColor="text1"/>
          <w:sz w:val="20"/>
          <w:szCs w:val="20"/>
        </w:rPr>
        <w:t>Journal of Controlled Release, 190</w:t>
      </w:r>
      <w:r w:rsidRPr="00E473B9">
        <w:rPr>
          <w:rFonts w:ascii="Arial" w:hAnsi="Arial" w:cs="Arial"/>
          <w:color w:val="000000" w:themeColor="text1"/>
          <w:sz w:val="20"/>
          <w:szCs w:val="20"/>
        </w:rPr>
        <w:t xml:space="preserve">, 3–8. </w:t>
      </w:r>
      <w:hyperlink r:id="rId25" w:history="1">
        <w:r w:rsidRPr="00E473B9">
          <w:rPr>
            <w:rStyle w:val="Hyperlink"/>
            <w:rFonts w:ascii="Arial" w:hAnsi="Arial" w:cs="Arial"/>
            <w:color w:val="000000" w:themeColor="text1"/>
            <w:sz w:val="20"/>
            <w:szCs w:val="20"/>
          </w:rPr>
          <w:t>https://doi.org/10.1016/j.jconrel.2014.03.054</w:t>
        </w:r>
      </w:hyperlink>
      <w:r w:rsidRPr="00E473B9">
        <w:rPr>
          <w:rFonts w:ascii="Arial" w:hAnsi="Arial" w:cs="Arial"/>
          <w:color w:val="000000" w:themeColor="text1"/>
          <w:sz w:val="20"/>
          <w:szCs w:val="20"/>
        </w:rPr>
        <w:t xml:space="preserve"> </w:t>
      </w:r>
    </w:p>
    <w:p w14:paraId="243A3D2F"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Danhier</w:t>
      </w:r>
      <w:proofErr w:type="spellEnd"/>
      <w:r w:rsidRPr="00E473B9">
        <w:rPr>
          <w:rFonts w:ascii="Arial" w:hAnsi="Arial" w:cs="Arial"/>
          <w:color w:val="000000" w:themeColor="text1"/>
          <w:sz w:val="20"/>
          <w:szCs w:val="20"/>
        </w:rPr>
        <w:t xml:space="preserve">, F., </w:t>
      </w:r>
      <w:proofErr w:type="spellStart"/>
      <w:r w:rsidRPr="00E473B9">
        <w:rPr>
          <w:rFonts w:ascii="Arial" w:hAnsi="Arial" w:cs="Arial"/>
          <w:color w:val="000000" w:themeColor="text1"/>
          <w:sz w:val="20"/>
          <w:szCs w:val="20"/>
        </w:rPr>
        <w:t>Ansorena</w:t>
      </w:r>
      <w:proofErr w:type="spellEnd"/>
      <w:r w:rsidRPr="00E473B9">
        <w:rPr>
          <w:rFonts w:ascii="Arial" w:hAnsi="Arial" w:cs="Arial"/>
          <w:color w:val="000000" w:themeColor="text1"/>
          <w:sz w:val="20"/>
          <w:szCs w:val="20"/>
        </w:rPr>
        <w:t xml:space="preserve">, E., Silva, J. M., Coco, R., Le Breton, A., &amp; </w:t>
      </w:r>
      <w:proofErr w:type="spellStart"/>
      <w:r w:rsidRPr="00E473B9">
        <w:rPr>
          <w:rFonts w:ascii="Arial" w:hAnsi="Arial" w:cs="Arial"/>
          <w:color w:val="000000" w:themeColor="text1"/>
          <w:sz w:val="20"/>
          <w:szCs w:val="20"/>
        </w:rPr>
        <w:t>Préat</w:t>
      </w:r>
      <w:proofErr w:type="spellEnd"/>
      <w:r w:rsidRPr="00E473B9">
        <w:rPr>
          <w:rFonts w:ascii="Arial" w:hAnsi="Arial" w:cs="Arial"/>
          <w:color w:val="000000" w:themeColor="text1"/>
          <w:sz w:val="20"/>
          <w:szCs w:val="20"/>
        </w:rPr>
        <w:t xml:space="preserve">, V. (2012). PLGA-based nanoparticles: An overview of biomedical applications. </w:t>
      </w:r>
      <w:r w:rsidRPr="00E473B9">
        <w:rPr>
          <w:rFonts w:ascii="Arial" w:hAnsi="Arial" w:cs="Arial"/>
          <w:iCs/>
          <w:color w:val="000000" w:themeColor="text1"/>
          <w:sz w:val="20"/>
          <w:szCs w:val="20"/>
        </w:rPr>
        <w:t>Journal of Controlled Release, 161</w:t>
      </w:r>
      <w:r w:rsidRPr="00E473B9">
        <w:rPr>
          <w:rFonts w:ascii="Arial" w:hAnsi="Arial" w:cs="Arial"/>
          <w:color w:val="000000" w:themeColor="text1"/>
          <w:sz w:val="20"/>
          <w:szCs w:val="20"/>
        </w:rPr>
        <w:t xml:space="preserve">(2), 505–522. </w:t>
      </w:r>
      <w:hyperlink r:id="rId26" w:history="1">
        <w:r w:rsidRPr="00E473B9">
          <w:rPr>
            <w:rStyle w:val="Hyperlink"/>
            <w:rFonts w:ascii="Arial" w:hAnsi="Arial" w:cs="Arial"/>
            <w:color w:val="000000" w:themeColor="text1"/>
            <w:sz w:val="20"/>
            <w:szCs w:val="20"/>
          </w:rPr>
          <w:t>https://doi.org/10.1016/j.jconrel.2012.01.043</w:t>
        </w:r>
      </w:hyperlink>
      <w:r w:rsidRPr="00E473B9">
        <w:rPr>
          <w:rFonts w:ascii="Arial" w:hAnsi="Arial" w:cs="Arial"/>
          <w:color w:val="000000" w:themeColor="text1"/>
          <w:sz w:val="20"/>
          <w:szCs w:val="20"/>
        </w:rPr>
        <w:t xml:space="preserve"> </w:t>
      </w:r>
    </w:p>
    <w:p w14:paraId="6949FE53"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Sampat, K. M., &amp; Garg, S. J. (2010). Complications of intravitreal injections. </w:t>
      </w:r>
      <w:r w:rsidRPr="00E473B9">
        <w:rPr>
          <w:rFonts w:ascii="Arial" w:hAnsi="Arial" w:cs="Arial"/>
          <w:iCs/>
          <w:color w:val="000000" w:themeColor="text1"/>
          <w:sz w:val="20"/>
          <w:szCs w:val="20"/>
        </w:rPr>
        <w:t>Current Opinion in Ophthalmology, 21</w:t>
      </w:r>
      <w:r w:rsidRPr="00E473B9">
        <w:rPr>
          <w:rFonts w:ascii="Arial" w:hAnsi="Arial" w:cs="Arial"/>
          <w:color w:val="000000" w:themeColor="text1"/>
          <w:sz w:val="20"/>
          <w:szCs w:val="20"/>
        </w:rPr>
        <w:t xml:space="preserve">(3), 178–183. </w:t>
      </w:r>
      <w:hyperlink r:id="rId27" w:history="1">
        <w:r w:rsidRPr="00E473B9">
          <w:rPr>
            <w:rStyle w:val="Hyperlink"/>
            <w:rFonts w:ascii="Arial" w:hAnsi="Arial" w:cs="Arial"/>
            <w:color w:val="000000" w:themeColor="text1"/>
            <w:sz w:val="20"/>
            <w:szCs w:val="20"/>
          </w:rPr>
          <w:t>https://doi.org/10.1097/icu.0b013e328338679a</w:t>
        </w:r>
      </w:hyperlink>
      <w:r w:rsidRPr="00E473B9">
        <w:rPr>
          <w:rFonts w:ascii="Arial" w:hAnsi="Arial" w:cs="Arial"/>
          <w:color w:val="000000" w:themeColor="text1"/>
          <w:sz w:val="20"/>
          <w:szCs w:val="20"/>
        </w:rPr>
        <w:t xml:space="preserve"> </w:t>
      </w:r>
    </w:p>
    <w:p w14:paraId="56AEB694"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Maurice, D. M., &amp; Mishima, S. (1984). Ocular pharmacokinetics. In </w:t>
      </w:r>
      <w:r w:rsidRPr="00E473B9">
        <w:rPr>
          <w:rFonts w:ascii="Arial" w:hAnsi="Arial" w:cs="Arial"/>
          <w:iCs/>
          <w:color w:val="000000" w:themeColor="text1"/>
          <w:sz w:val="20"/>
          <w:szCs w:val="20"/>
        </w:rPr>
        <w:t>Handbook of experimental pharmacology</w:t>
      </w:r>
      <w:r w:rsidRPr="00E473B9">
        <w:rPr>
          <w:rFonts w:ascii="Arial" w:hAnsi="Arial" w:cs="Arial"/>
          <w:color w:val="000000" w:themeColor="text1"/>
          <w:sz w:val="20"/>
          <w:szCs w:val="20"/>
        </w:rPr>
        <w:t xml:space="preserve"> (Vol. 69, pp. 19–116). </w:t>
      </w:r>
      <w:hyperlink r:id="rId28" w:history="1">
        <w:r w:rsidRPr="00E473B9">
          <w:rPr>
            <w:rStyle w:val="Hyperlink"/>
            <w:rFonts w:ascii="Arial" w:hAnsi="Arial" w:cs="Arial"/>
            <w:color w:val="000000" w:themeColor="text1"/>
            <w:sz w:val="20"/>
            <w:szCs w:val="20"/>
          </w:rPr>
          <w:t>https://doi.org/10.1007/978-3-642-69222-2_2</w:t>
        </w:r>
      </w:hyperlink>
      <w:r w:rsidRPr="00E473B9">
        <w:rPr>
          <w:rFonts w:ascii="Arial" w:hAnsi="Arial" w:cs="Arial"/>
          <w:color w:val="000000" w:themeColor="text1"/>
          <w:sz w:val="20"/>
          <w:szCs w:val="20"/>
        </w:rPr>
        <w:t xml:space="preserve"> </w:t>
      </w:r>
    </w:p>
    <w:p w14:paraId="079F3259"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Ambati, J., </w:t>
      </w:r>
      <w:proofErr w:type="spellStart"/>
      <w:r w:rsidRPr="00E473B9">
        <w:rPr>
          <w:rFonts w:ascii="Arial" w:hAnsi="Arial" w:cs="Arial"/>
          <w:color w:val="000000" w:themeColor="text1"/>
          <w:sz w:val="20"/>
          <w:szCs w:val="20"/>
        </w:rPr>
        <w:t>Canakis</w:t>
      </w:r>
      <w:proofErr w:type="spellEnd"/>
      <w:r w:rsidRPr="00E473B9">
        <w:rPr>
          <w:rFonts w:ascii="Arial" w:hAnsi="Arial" w:cs="Arial"/>
          <w:color w:val="000000" w:themeColor="text1"/>
          <w:sz w:val="20"/>
          <w:szCs w:val="20"/>
        </w:rPr>
        <w:t xml:space="preserve">, C. S., Miller, J. W., </w:t>
      </w:r>
      <w:proofErr w:type="spellStart"/>
      <w:r w:rsidRPr="00E473B9">
        <w:rPr>
          <w:rFonts w:ascii="Arial" w:hAnsi="Arial" w:cs="Arial"/>
          <w:color w:val="000000" w:themeColor="text1"/>
          <w:sz w:val="20"/>
          <w:szCs w:val="20"/>
        </w:rPr>
        <w:t>Gragoudas</w:t>
      </w:r>
      <w:proofErr w:type="spellEnd"/>
      <w:r w:rsidRPr="00E473B9">
        <w:rPr>
          <w:rFonts w:ascii="Arial" w:hAnsi="Arial" w:cs="Arial"/>
          <w:color w:val="000000" w:themeColor="text1"/>
          <w:sz w:val="20"/>
          <w:szCs w:val="20"/>
        </w:rPr>
        <w:t xml:space="preserve">, E. S., Edwards, A., </w:t>
      </w:r>
      <w:proofErr w:type="spellStart"/>
      <w:r w:rsidRPr="00E473B9">
        <w:rPr>
          <w:rFonts w:ascii="Arial" w:hAnsi="Arial" w:cs="Arial"/>
          <w:color w:val="000000" w:themeColor="text1"/>
          <w:sz w:val="20"/>
          <w:szCs w:val="20"/>
        </w:rPr>
        <w:t>Weissgold</w:t>
      </w:r>
      <w:proofErr w:type="spellEnd"/>
      <w:r w:rsidRPr="00E473B9">
        <w:rPr>
          <w:rFonts w:ascii="Arial" w:hAnsi="Arial" w:cs="Arial"/>
          <w:color w:val="000000" w:themeColor="text1"/>
          <w:sz w:val="20"/>
          <w:szCs w:val="20"/>
        </w:rPr>
        <w:t xml:space="preserve">, D. J., &amp; Adamis, A. P. (2000). Diffusion of high molecular weight compounds through sclera. </w:t>
      </w:r>
      <w:r w:rsidRPr="00E473B9">
        <w:rPr>
          <w:rFonts w:ascii="Arial" w:hAnsi="Arial" w:cs="Arial"/>
          <w:iCs/>
          <w:color w:val="000000" w:themeColor="text1"/>
          <w:sz w:val="20"/>
          <w:szCs w:val="20"/>
        </w:rPr>
        <w:t>Investigative Ophthalmology &amp; Visual Science, 41</w:t>
      </w:r>
      <w:r w:rsidRPr="00E473B9">
        <w:rPr>
          <w:rFonts w:ascii="Arial" w:hAnsi="Arial" w:cs="Arial"/>
          <w:color w:val="000000" w:themeColor="text1"/>
          <w:sz w:val="20"/>
          <w:szCs w:val="20"/>
        </w:rPr>
        <w:t>(5), 1181–1185.</w:t>
      </w:r>
    </w:p>
    <w:p w14:paraId="015B2700"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Hämäläinen, K. M., Kananen, K., </w:t>
      </w:r>
      <w:proofErr w:type="spellStart"/>
      <w:r w:rsidRPr="00E473B9">
        <w:rPr>
          <w:rFonts w:ascii="Arial" w:hAnsi="Arial" w:cs="Arial"/>
          <w:color w:val="000000" w:themeColor="text1"/>
          <w:sz w:val="20"/>
          <w:szCs w:val="20"/>
        </w:rPr>
        <w:t>Auriola</w:t>
      </w:r>
      <w:proofErr w:type="spellEnd"/>
      <w:r w:rsidRPr="00E473B9">
        <w:rPr>
          <w:rFonts w:ascii="Arial" w:hAnsi="Arial" w:cs="Arial"/>
          <w:color w:val="000000" w:themeColor="text1"/>
          <w:sz w:val="20"/>
          <w:szCs w:val="20"/>
        </w:rPr>
        <w:t xml:space="preserve">, S., </w:t>
      </w:r>
      <w:proofErr w:type="spellStart"/>
      <w:r w:rsidRPr="00E473B9">
        <w:rPr>
          <w:rFonts w:ascii="Arial" w:hAnsi="Arial" w:cs="Arial"/>
          <w:color w:val="000000" w:themeColor="text1"/>
          <w:sz w:val="20"/>
          <w:szCs w:val="20"/>
        </w:rPr>
        <w:t>Kontturi</w:t>
      </w:r>
      <w:proofErr w:type="spellEnd"/>
      <w:r w:rsidRPr="00E473B9">
        <w:rPr>
          <w:rFonts w:ascii="Arial" w:hAnsi="Arial" w:cs="Arial"/>
          <w:color w:val="000000" w:themeColor="text1"/>
          <w:sz w:val="20"/>
          <w:szCs w:val="20"/>
        </w:rPr>
        <w:t xml:space="preserve">, K., &amp; </w:t>
      </w:r>
      <w:proofErr w:type="spellStart"/>
      <w:r w:rsidRPr="00E473B9">
        <w:rPr>
          <w:rFonts w:ascii="Arial" w:hAnsi="Arial" w:cs="Arial"/>
          <w:color w:val="000000" w:themeColor="text1"/>
          <w:sz w:val="20"/>
          <w:szCs w:val="20"/>
        </w:rPr>
        <w:t>Urtti</w:t>
      </w:r>
      <w:proofErr w:type="spellEnd"/>
      <w:r w:rsidRPr="00E473B9">
        <w:rPr>
          <w:rFonts w:ascii="Arial" w:hAnsi="Arial" w:cs="Arial"/>
          <w:color w:val="000000" w:themeColor="text1"/>
          <w:sz w:val="20"/>
          <w:szCs w:val="20"/>
        </w:rPr>
        <w:t xml:space="preserve">, A. (1997). Characterization of paracellular and aqueous penetration routes in cornea, conjunctiva, and sclera. </w:t>
      </w:r>
      <w:r w:rsidRPr="00E473B9">
        <w:rPr>
          <w:rFonts w:ascii="Arial" w:hAnsi="Arial" w:cs="Arial"/>
          <w:iCs/>
          <w:color w:val="000000" w:themeColor="text1"/>
          <w:sz w:val="20"/>
          <w:szCs w:val="20"/>
        </w:rPr>
        <w:t>Investigative Ophthalmology &amp; Visual Science, 38</w:t>
      </w:r>
      <w:r w:rsidRPr="00E473B9">
        <w:rPr>
          <w:rFonts w:ascii="Arial" w:hAnsi="Arial" w:cs="Arial"/>
          <w:color w:val="000000" w:themeColor="text1"/>
          <w:sz w:val="20"/>
          <w:szCs w:val="20"/>
        </w:rPr>
        <w:t>(3), 627–634.</w:t>
      </w:r>
    </w:p>
    <w:p w14:paraId="20F3D3FD"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Qiu, Y., &amp; Park, K. (2001). Environment-sensitive hydrogels for drug delivery. </w:t>
      </w:r>
      <w:r w:rsidRPr="00E473B9">
        <w:rPr>
          <w:rFonts w:ascii="Arial" w:hAnsi="Arial" w:cs="Arial"/>
          <w:iCs/>
          <w:color w:val="000000" w:themeColor="text1"/>
          <w:sz w:val="20"/>
          <w:szCs w:val="20"/>
        </w:rPr>
        <w:t>Advanced Drug Delivery Reviews, 53</w:t>
      </w:r>
      <w:r w:rsidRPr="00E473B9">
        <w:rPr>
          <w:rFonts w:ascii="Arial" w:hAnsi="Arial" w:cs="Arial"/>
          <w:color w:val="000000" w:themeColor="text1"/>
          <w:sz w:val="20"/>
          <w:szCs w:val="20"/>
        </w:rPr>
        <w:t xml:space="preserve">(3), 321–339. </w:t>
      </w:r>
      <w:hyperlink r:id="rId29" w:history="1">
        <w:r w:rsidRPr="00E473B9">
          <w:rPr>
            <w:rStyle w:val="Hyperlink"/>
            <w:rFonts w:ascii="Arial" w:hAnsi="Arial" w:cs="Arial"/>
            <w:color w:val="000000" w:themeColor="text1"/>
            <w:sz w:val="20"/>
            <w:szCs w:val="20"/>
          </w:rPr>
          <w:t>https://doi.org/10.1016/S0169-409X(01)00203-4</w:t>
        </w:r>
      </w:hyperlink>
      <w:r w:rsidRPr="00E473B9">
        <w:rPr>
          <w:rFonts w:ascii="Arial" w:hAnsi="Arial" w:cs="Arial"/>
          <w:color w:val="000000" w:themeColor="text1"/>
          <w:sz w:val="20"/>
          <w:szCs w:val="20"/>
        </w:rPr>
        <w:t xml:space="preserve"> </w:t>
      </w:r>
    </w:p>
    <w:p w14:paraId="45185219"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de la Fuente, M., Raviña, M., Paolicelli, P., Sanchez, A., Seijo, B., &amp; Alonso, M. J. (2010). Chitosan-based nanostructures: A delivery platform for ocular therapeutics. </w:t>
      </w:r>
      <w:r w:rsidRPr="00E473B9">
        <w:rPr>
          <w:rFonts w:ascii="Arial" w:hAnsi="Arial" w:cs="Arial"/>
          <w:iCs/>
          <w:color w:val="000000" w:themeColor="text1"/>
          <w:sz w:val="20"/>
          <w:szCs w:val="20"/>
        </w:rPr>
        <w:t>Advanced Drug Delivery Reviews, 62</w:t>
      </w:r>
      <w:r w:rsidRPr="00E473B9">
        <w:rPr>
          <w:rFonts w:ascii="Arial" w:hAnsi="Arial" w:cs="Arial"/>
          <w:color w:val="000000" w:themeColor="text1"/>
          <w:sz w:val="20"/>
          <w:szCs w:val="20"/>
        </w:rPr>
        <w:t xml:space="preserve">(1), 100–117. </w:t>
      </w:r>
      <w:hyperlink r:id="rId30" w:history="1">
        <w:r w:rsidRPr="00E473B9">
          <w:rPr>
            <w:rStyle w:val="Hyperlink"/>
            <w:rFonts w:ascii="Arial" w:hAnsi="Arial" w:cs="Arial"/>
            <w:color w:val="000000" w:themeColor="text1"/>
            <w:sz w:val="20"/>
            <w:szCs w:val="20"/>
          </w:rPr>
          <w:t>https://doi.org/10.1016/j.addr.2009.11.026</w:t>
        </w:r>
      </w:hyperlink>
      <w:r w:rsidRPr="00E473B9">
        <w:rPr>
          <w:rFonts w:ascii="Arial" w:hAnsi="Arial" w:cs="Arial"/>
          <w:color w:val="000000" w:themeColor="text1"/>
          <w:sz w:val="20"/>
          <w:szCs w:val="20"/>
        </w:rPr>
        <w:t xml:space="preserve"> </w:t>
      </w:r>
    </w:p>
    <w:p w14:paraId="7EEEE537" w14:textId="77777777" w:rsidR="00F17FAE" w:rsidRPr="00E473B9" w:rsidRDefault="00735C9A"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Bernkop-Schnürch</w:t>
      </w:r>
      <w:proofErr w:type="spellEnd"/>
      <w:r w:rsidRPr="00E473B9">
        <w:rPr>
          <w:rFonts w:ascii="Arial" w:hAnsi="Arial" w:cs="Arial"/>
          <w:color w:val="000000" w:themeColor="text1"/>
          <w:sz w:val="20"/>
          <w:szCs w:val="20"/>
        </w:rPr>
        <w:t xml:space="preserve">, A. (2005). Mucoadhesive systems in oral drug delivery. </w:t>
      </w:r>
      <w:r w:rsidRPr="00E473B9">
        <w:rPr>
          <w:rFonts w:ascii="Arial" w:hAnsi="Arial" w:cs="Arial"/>
          <w:iCs/>
          <w:color w:val="000000" w:themeColor="text1"/>
          <w:sz w:val="20"/>
          <w:szCs w:val="20"/>
        </w:rPr>
        <w:t>Drug Discovery Today: Technologies, 2</w:t>
      </w:r>
      <w:r w:rsidRPr="00E473B9">
        <w:rPr>
          <w:rFonts w:ascii="Arial" w:hAnsi="Arial" w:cs="Arial"/>
          <w:color w:val="000000" w:themeColor="text1"/>
          <w:sz w:val="20"/>
          <w:szCs w:val="20"/>
        </w:rPr>
        <w:t xml:space="preserve">(1), 83–87. </w:t>
      </w:r>
      <w:hyperlink r:id="rId31" w:history="1">
        <w:r w:rsidRPr="00E473B9">
          <w:rPr>
            <w:rStyle w:val="Hyperlink"/>
            <w:rFonts w:ascii="Arial" w:hAnsi="Arial" w:cs="Arial"/>
            <w:color w:val="000000" w:themeColor="text1"/>
            <w:sz w:val="20"/>
            <w:szCs w:val="20"/>
          </w:rPr>
          <w:t>https://doi.org/10.1016/j.ddtec.2005.05.001</w:t>
        </w:r>
      </w:hyperlink>
    </w:p>
    <w:p w14:paraId="51769C78" w14:textId="248E375E" w:rsidR="007E75AD" w:rsidRPr="00E473B9" w:rsidRDefault="007E75AD"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lastRenderedPageBreak/>
        <w:t>Palem</w:t>
      </w:r>
      <w:proofErr w:type="spellEnd"/>
      <w:r w:rsidRPr="00E473B9">
        <w:rPr>
          <w:rFonts w:ascii="Arial" w:hAnsi="Arial" w:cs="Arial"/>
          <w:color w:val="000000" w:themeColor="text1"/>
          <w:sz w:val="20"/>
          <w:szCs w:val="20"/>
        </w:rPr>
        <w:t xml:space="preserve">, C.R., </w:t>
      </w:r>
      <w:proofErr w:type="spellStart"/>
      <w:r w:rsidRPr="00E473B9">
        <w:rPr>
          <w:rFonts w:ascii="Arial" w:hAnsi="Arial" w:cs="Arial"/>
          <w:color w:val="000000" w:themeColor="text1"/>
          <w:sz w:val="20"/>
          <w:szCs w:val="20"/>
        </w:rPr>
        <w:t>Chopparapu</w:t>
      </w:r>
      <w:proofErr w:type="spellEnd"/>
      <w:r w:rsidRPr="00E473B9">
        <w:rPr>
          <w:rFonts w:ascii="Arial" w:hAnsi="Arial" w:cs="Arial"/>
          <w:color w:val="000000" w:themeColor="text1"/>
          <w:sz w:val="20"/>
          <w:szCs w:val="20"/>
        </w:rPr>
        <w:t xml:space="preserve">, K.S., P.V.R.S., S., &amp; Yamsani, M.R. (2012). Cyclodextrins and their Derivatives in Drug Delivery: A Review. Current Trends in Biotechnology and Pharmacy, 6, 255-279. </w:t>
      </w:r>
    </w:p>
    <w:p w14:paraId="4B4B43C8"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Gorantla, S., </w:t>
      </w:r>
      <w:proofErr w:type="spellStart"/>
      <w:r w:rsidRPr="00E473B9">
        <w:rPr>
          <w:rFonts w:ascii="Arial" w:hAnsi="Arial" w:cs="Arial"/>
          <w:color w:val="000000" w:themeColor="text1"/>
          <w:sz w:val="20"/>
          <w:szCs w:val="20"/>
        </w:rPr>
        <w:t>Rapalli</w:t>
      </w:r>
      <w:proofErr w:type="spellEnd"/>
      <w:r w:rsidRPr="00E473B9">
        <w:rPr>
          <w:rFonts w:ascii="Arial" w:hAnsi="Arial" w:cs="Arial"/>
          <w:color w:val="000000" w:themeColor="text1"/>
          <w:sz w:val="20"/>
          <w:szCs w:val="20"/>
        </w:rPr>
        <w:t xml:space="preserve">, V. K., </w:t>
      </w:r>
      <w:proofErr w:type="spellStart"/>
      <w:r w:rsidRPr="00E473B9">
        <w:rPr>
          <w:rFonts w:ascii="Arial" w:hAnsi="Arial" w:cs="Arial"/>
          <w:color w:val="000000" w:themeColor="text1"/>
          <w:sz w:val="20"/>
          <w:szCs w:val="20"/>
        </w:rPr>
        <w:t>Waghule</w:t>
      </w:r>
      <w:proofErr w:type="spellEnd"/>
      <w:r w:rsidRPr="00E473B9">
        <w:rPr>
          <w:rFonts w:ascii="Arial" w:hAnsi="Arial" w:cs="Arial"/>
          <w:color w:val="000000" w:themeColor="text1"/>
          <w:sz w:val="20"/>
          <w:szCs w:val="20"/>
        </w:rPr>
        <w:t xml:space="preserve">, T., Singh, P. P., Dubey, S. K., Saha, R. N., &amp; Singh, G. (2020). Nanocarriers for ocular drug delivery: Current status and translational opportunity. </w:t>
      </w:r>
      <w:r w:rsidRPr="00E473B9">
        <w:rPr>
          <w:rFonts w:ascii="Arial" w:hAnsi="Arial" w:cs="Arial"/>
          <w:iCs/>
          <w:color w:val="000000" w:themeColor="text1"/>
          <w:sz w:val="20"/>
          <w:szCs w:val="20"/>
        </w:rPr>
        <w:t>RSC Advances, 10</w:t>
      </w:r>
      <w:r w:rsidRPr="00E473B9">
        <w:rPr>
          <w:rFonts w:ascii="Arial" w:hAnsi="Arial" w:cs="Arial"/>
          <w:color w:val="000000" w:themeColor="text1"/>
          <w:sz w:val="20"/>
          <w:szCs w:val="20"/>
        </w:rPr>
        <w:t xml:space="preserve">, 27835–27855. </w:t>
      </w:r>
      <w:hyperlink r:id="rId32" w:history="1">
        <w:r w:rsidRPr="00E473B9">
          <w:rPr>
            <w:rStyle w:val="Hyperlink"/>
            <w:rFonts w:ascii="Arial" w:hAnsi="Arial" w:cs="Arial"/>
            <w:color w:val="000000" w:themeColor="text1"/>
            <w:sz w:val="20"/>
            <w:szCs w:val="20"/>
          </w:rPr>
          <w:t>https://doi.org/10.1039/D0RA04971A</w:t>
        </w:r>
      </w:hyperlink>
      <w:r w:rsidRPr="00E473B9">
        <w:rPr>
          <w:rFonts w:ascii="Arial" w:hAnsi="Arial" w:cs="Arial"/>
          <w:color w:val="000000" w:themeColor="text1"/>
          <w:sz w:val="20"/>
          <w:szCs w:val="20"/>
        </w:rPr>
        <w:t xml:space="preserve"> </w:t>
      </w:r>
    </w:p>
    <w:p w14:paraId="28C661A3" w14:textId="77777777" w:rsidR="00F17FAE" w:rsidRPr="00E473B9" w:rsidRDefault="00735C9A" w:rsidP="00F17FAE">
      <w:pPr>
        <w:pStyle w:val="NormalWeb"/>
        <w:numPr>
          <w:ilvl w:val="0"/>
          <w:numId w:val="7"/>
        </w:numPr>
        <w:spacing w:before="0" w:beforeAutospacing="0" w:after="0" w:afterAutospacing="0"/>
        <w:ind w:left="284" w:hanging="284"/>
        <w:jc w:val="both"/>
        <w:rPr>
          <w:rStyle w:val="Hyperlink"/>
          <w:rFonts w:ascii="Arial" w:hAnsi="Arial" w:cs="Arial"/>
          <w:color w:val="000000" w:themeColor="text1"/>
          <w:sz w:val="20"/>
          <w:szCs w:val="20"/>
          <w:u w:val="none"/>
        </w:rPr>
      </w:pPr>
      <w:r w:rsidRPr="00E473B9">
        <w:rPr>
          <w:rFonts w:ascii="Arial" w:hAnsi="Arial" w:cs="Arial"/>
          <w:color w:val="000000" w:themeColor="text1"/>
          <w:sz w:val="20"/>
          <w:szCs w:val="20"/>
        </w:rPr>
        <w:t xml:space="preserve">Müller, R. H., Radtke, M., &amp; Wissing, S. A. (2002). Solid lipid nanoparticles (SLN) and nanostructured lipid carriers (NLC) in cosmetic and dermatological preparations. </w:t>
      </w:r>
      <w:r w:rsidRPr="00E473B9">
        <w:rPr>
          <w:rFonts w:ascii="Arial" w:hAnsi="Arial" w:cs="Arial"/>
          <w:iCs/>
          <w:color w:val="000000" w:themeColor="text1"/>
          <w:sz w:val="20"/>
          <w:szCs w:val="20"/>
        </w:rPr>
        <w:t>Advanced Drug Delivery Reviews, 54</w:t>
      </w:r>
      <w:r w:rsidRPr="00E473B9">
        <w:rPr>
          <w:rFonts w:ascii="Arial" w:hAnsi="Arial" w:cs="Arial"/>
          <w:color w:val="000000" w:themeColor="text1"/>
          <w:sz w:val="20"/>
          <w:szCs w:val="20"/>
        </w:rPr>
        <w:t xml:space="preserve">(Suppl. 1), S131–S155. </w:t>
      </w:r>
      <w:hyperlink r:id="rId33" w:history="1">
        <w:r w:rsidRPr="00E473B9">
          <w:rPr>
            <w:rStyle w:val="Hyperlink"/>
            <w:rFonts w:ascii="Arial" w:hAnsi="Arial" w:cs="Arial"/>
            <w:color w:val="000000" w:themeColor="text1"/>
            <w:sz w:val="20"/>
            <w:szCs w:val="20"/>
          </w:rPr>
          <w:t>https://doi.org/10.1016/S0169-409X(02)00118-7</w:t>
        </w:r>
      </w:hyperlink>
    </w:p>
    <w:p w14:paraId="76F76224" w14:textId="0901E54D" w:rsidR="007E75AD" w:rsidRPr="00E473B9" w:rsidRDefault="007E75AD"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Palem, C. R., &amp; Vamshi Krishna Lekkala. (2026). Current Industry Perspective on Process Analytical Technique Tools and their Recent Development in Pharmaceutical Oral Solid Dosage Formulations. Journal of Pharmacy, 6(1), 123–142.</w:t>
      </w:r>
      <w:hyperlink r:id="rId34" w:history="1">
        <w:r w:rsidRPr="00E473B9">
          <w:rPr>
            <w:rStyle w:val="Hyperlink"/>
            <w:rFonts w:ascii="Arial" w:hAnsi="Arial" w:cs="Arial"/>
            <w:color w:val="000000" w:themeColor="text1"/>
            <w:sz w:val="20"/>
            <w:szCs w:val="20"/>
          </w:rPr>
          <w:t>https://doi.org/10.31436/jop.v6i1.373</w:t>
        </w:r>
      </w:hyperlink>
      <w:r w:rsidRPr="00E473B9">
        <w:rPr>
          <w:rFonts w:ascii="Arial" w:hAnsi="Arial" w:cs="Arial"/>
          <w:color w:val="000000" w:themeColor="text1"/>
          <w:sz w:val="20"/>
          <w:szCs w:val="20"/>
        </w:rPr>
        <w:t xml:space="preserve"> . </w:t>
      </w:r>
    </w:p>
    <w:p w14:paraId="00E7391F" w14:textId="5DBC08FA" w:rsidR="00735C9A" w:rsidRPr="00E473B9" w:rsidRDefault="00735C9A" w:rsidP="007E75AD">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Lai, S., Wei, Y., Wu, Q., Zhou, K., Liu, T., Zhang, Y</w:t>
      </w:r>
      <w:r w:rsidR="00CC0E42" w:rsidRPr="00E473B9">
        <w:rPr>
          <w:rFonts w:ascii="Arial" w:hAnsi="Arial" w:cs="Arial"/>
          <w:color w:val="000000" w:themeColor="text1"/>
          <w:sz w:val="20"/>
          <w:szCs w:val="20"/>
        </w:rPr>
        <w:t xml:space="preserve">., </w:t>
      </w:r>
      <w:r w:rsidRPr="00E473B9">
        <w:rPr>
          <w:rFonts w:ascii="Arial" w:hAnsi="Arial" w:cs="Arial"/>
          <w:color w:val="000000" w:themeColor="text1"/>
          <w:sz w:val="20"/>
          <w:szCs w:val="20"/>
        </w:rPr>
        <w:t xml:space="preserve">et al. (2019). Liposomes for effective drug delivery to the ocular posterior chamber. </w:t>
      </w:r>
      <w:r w:rsidRPr="00E473B9">
        <w:rPr>
          <w:rFonts w:ascii="Arial" w:hAnsi="Arial" w:cs="Arial"/>
          <w:iCs/>
          <w:color w:val="000000" w:themeColor="text1"/>
          <w:sz w:val="20"/>
          <w:szCs w:val="20"/>
        </w:rPr>
        <w:t>Journal of Nanobiotechnology, 17</w:t>
      </w:r>
      <w:r w:rsidRPr="00E473B9">
        <w:rPr>
          <w:rFonts w:ascii="Arial" w:hAnsi="Arial" w:cs="Arial"/>
          <w:color w:val="000000" w:themeColor="text1"/>
          <w:sz w:val="20"/>
          <w:szCs w:val="20"/>
        </w:rPr>
        <w:t xml:space="preserve">, 64. </w:t>
      </w:r>
    </w:p>
    <w:p w14:paraId="4ED7A36C" w14:textId="77777777" w:rsidR="00F17FAE" w:rsidRPr="00E473B9" w:rsidRDefault="00735C9A"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Akbarzadeh, A., Rezaei-Sadabady, R., </w:t>
      </w:r>
      <w:proofErr w:type="spellStart"/>
      <w:r w:rsidRPr="00E473B9">
        <w:rPr>
          <w:rFonts w:ascii="Arial" w:hAnsi="Arial" w:cs="Arial"/>
          <w:color w:val="000000" w:themeColor="text1"/>
          <w:sz w:val="20"/>
          <w:szCs w:val="20"/>
        </w:rPr>
        <w:t>Davaran</w:t>
      </w:r>
      <w:proofErr w:type="spellEnd"/>
      <w:r w:rsidRPr="00E473B9">
        <w:rPr>
          <w:rFonts w:ascii="Arial" w:hAnsi="Arial" w:cs="Arial"/>
          <w:color w:val="000000" w:themeColor="text1"/>
          <w:sz w:val="20"/>
          <w:szCs w:val="20"/>
        </w:rPr>
        <w:t>, S., Joo, S. W</w:t>
      </w:r>
      <w:r w:rsidR="00CC0E42" w:rsidRPr="00E473B9">
        <w:rPr>
          <w:rFonts w:ascii="Arial" w:hAnsi="Arial" w:cs="Arial"/>
          <w:color w:val="000000" w:themeColor="text1"/>
          <w:sz w:val="20"/>
          <w:szCs w:val="20"/>
        </w:rPr>
        <w:t xml:space="preserve">., </w:t>
      </w:r>
      <w:proofErr w:type="spellStart"/>
      <w:r w:rsidR="00CC0E42" w:rsidRPr="00E473B9">
        <w:rPr>
          <w:rFonts w:ascii="Arial" w:hAnsi="Arial" w:cs="Arial"/>
          <w:color w:val="000000" w:themeColor="text1"/>
          <w:sz w:val="20"/>
          <w:szCs w:val="20"/>
        </w:rPr>
        <w:t>Zarghami</w:t>
      </w:r>
      <w:proofErr w:type="spellEnd"/>
      <w:r w:rsidR="00CC0E42" w:rsidRPr="00E473B9">
        <w:rPr>
          <w:rFonts w:ascii="Arial" w:hAnsi="Arial" w:cs="Arial"/>
          <w:color w:val="000000" w:themeColor="text1"/>
          <w:sz w:val="20"/>
          <w:szCs w:val="20"/>
        </w:rPr>
        <w:t xml:space="preserve">, N., </w:t>
      </w:r>
      <w:proofErr w:type="spellStart"/>
      <w:r w:rsidR="00CC0E42" w:rsidRPr="00E473B9">
        <w:rPr>
          <w:rFonts w:ascii="Arial" w:hAnsi="Arial" w:cs="Arial"/>
          <w:color w:val="000000" w:themeColor="text1"/>
          <w:sz w:val="20"/>
          <w:szCs w:val="20"/>
        </w:rPr>
        <w:t>Hanifehpour</w:t>
      </w:r>
      <w:proofErr w:type="spellEnd"/>
      <w:r w:rsidR="00CC0E42" w:rsidRPr="00E473B9">
        <w:rPr>
          <w:rFonts w:ascii="Arial" w:hAnsi="Arial" w:cs="Arial"/>
          <w:color w:val="000000" w:themeColor="text1"/>
          <w:sz w:val="20"/>
          <w:szCs w:val="20"/>
        </w:rPr>
        <w:t>, Y.</w:t>
      </w:r>
      <w:r w:rsidRPr="00E473B9">
        <w:rPr>
          <w:rFonts w:ascii="Arial" w:hAnsi="Arial" w:cs="Arial"/>
          <w:color w:val="000000" w:themeColor="text1"/>
          <w:sz w:val="20"/>
          <w:szCs w:val="20"/>
        </w:rPr>
        <w:t xml:space="preserve">, </w:t>
      </w:r>
      <w:proofErr w:type="gramStart"/>
      <w:r w:rsidRPr="00E473B9">
        <w:rPr>
          <w:rFonts w:ascii="Arial" w:hAnsi="Arial" w:cs="Arial"/>
          <w:color w:val="000000" w:themeColor="text1"/>
          <w:sz w:val="20"/>
          <w:szCs w:val="20"/>
        </w:rPr>
        <w:t>et al.(</w:t>
      </w:r>
      <w:proofErr w:type="gramEnd"/>
      <w:r w:rsidRPr="00E473B9">
        <w:rPr>
          <w:rFonts w:ascii="Arial" w:hAnsi="Arial" w:cs="Arial"/>
          <w:color w:val="000000" w:themeColor="text1"/>
          <w:sz w:val="20"/>
          <w:szCs w:val="20"/>
        </w:rPr>
        <w:t xml:space="preserve">2013). Liposome: Classification, preparation, and applications. </w:t>
      </w:r>
      <w:r w:rsidRPr="00E473B9">
        <w:rPr>
          <w:rFonts w:ascii="Arial" w:hAnsi="Arial" w:cs="Arial"/>
          <w:iCs/>
          <w:color w:val="000000" w:themeColor="text1"/>
          <w:sz w:val="20"/>
          <w:szCs w:val="20"/>
        </w:rPr>
        <w:t>Nanoscale Research Letters, 8</w:t>
      </w:r>
      <w:r w:rsidRPr="00E473B9">
        <w:rPr>
          <w:rFonts w:ascii="Arial" w:hAnsi="Arial" w:cs="Arial"/>
          <w:color w:val="000000" w:themeColor="text1"/>
          <w:sz w:val="20"/>
          <w:szCs w:val="20"/>
        </w:rPr>
        <w:t xml:space="preserve">, 102. </w:t>
      </w:r>
      <w:hyperlink r:id="rId35" w:history="1">
        <w:r w:rsidRPr="00E473B9">
          <w:rPr>
            <w:rStyle w:val="Hyperlink"/>
            <w:rFonts w:ascii="Arial" w:hAnsi="Arial" w:cs="Arial"/>
            <w:color w:val="000000" w:themeColor="text1"/>
            <w:sz w:val="20"/>
            <w:szCs w:val="20"/>
          </w:rPr>
          <w:t>https://doi.org/10.1186/1556-276x-8-102</w:t>
        </w:r>
      </w:hyperlink>
    </w:p>
    <w:p w14:paraId="02B732EF" w14:textId="2190E616" w:rsidR="007E75AD" w:rsidRPr="00E473B9" w:rsidRDefault="007E75AD"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Palem, C. R., </w:t>
      </w:r>
      <w:proofErr w:type="spellStart"/>
      <w:r w:rsidRPr="00E473B9">
        <w:rPr>
          <w:rFonts w:ascii="Arial" w:hAnsi="Arial" w:cs="Arial"/>
          <w:color w:val="000000" w:themeColor="text1"/>
          <w:sz w:val="20"/>
          <w:szCs w:val="20"/>
        </w:rPr>
        <w:t>Gannu</w:t>
      </w:r>
      <w:proofErr w:type="spellEnd"/>
      <w:r w:rsidRPr="00E473B9">
        <w:rPr>
          <w:rFonts w:ascii="Arial" w:hAnsi="Arial" w:cs="Arial"/>
          <w:color w:val="000000" w:themeColor="text1"/>
          <w:sz w:val="20"/>
          <w:szCs w:val="20"/>
        </w:rPr>
        <w:t xml:space="preserve">, R., Yamsani, V. V., Yamsani, S. K., &amp; Yamsani, M. R. (2010). Development of </w:t>
      </w:r>
      <w:proofErr w:type="spellStart"/>
      <w:r w:rsidRPr="00E473B9">
        <w:rPr>
          <w:rFonts w:ascii="Arial" w:hAnsi="Arial" w:cs="Arial"/>
          <w:color w:val="000000" w:themeColor="text1"/>
          <w:sz w:val="20"/>
          <w:szCs w:val="20"/>
        </w:rPr>
        <w:t>bilayered</w:t>
      </w:r>
      <w:proofErr w:type="spellEnd"/>
      <w:r w:rsidRPr="00E473B9">
        <w:rPr>
          <w:rFonts w:ascii="Arial" w:hAnsi="Arial" w:cs="Arial"/>
          <w:color w:val="000000" w:themeColor="text1"/>
          <w:sz w:val="20"/>
          <w:szCs w:val="20"/>
        </w:rPr>
        <w:t xml:space="preserve"> mucoadhesive patches for buccal delivery of felodipine: In vitro and ex vivo characterization. Current Trends in Biotechnology and Pharmacy, 4(2), 673–683.</w:t>
      </w:r>
    </w:p>
    <w:p w14:paraId="76A80C00"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Saettone</w:t>
      </w:r>
      <w:proofErr w:type="spellEnd"/>
      <w:r w:rsidRPr="00E473B9">
        <w:rPr>
          <w:rFonts w:ascii="Arial" w:hAnsi="Arial" w:cs="Arial"/>
          <w:color w:val="000000" w:themeColor="text1"/>
          <w:sz w:val="20"/>
          <w:szCs w:val="20"/>
        </w:rPr>
        <w:t xml:space="preserve">, M. F., &amp; Salminen, L. (1995). Ocular inserts for topical delivery. </w:t>
      </w:r>
      <w:r w:rsidRPr="00E473B9">
        <w:rPr>
          <w:rFonts w:ascii="Arial" w:hAnsi="Arial" w:cs="Arial"/>
          <w:iCs/>
          <w:color w:val="000000" w:themeColor="text1"/>
          <w:sz w:val="20"/>
          <w:szCs w:val="20"/>
        </w:rPr>
        <w:t>Advanced Drug Delivery Reviews, 16(1)</w:t>
      </w:r>
      <w:r w:rsidRPr="00E473B9">
        <w:rPr>
          <w:rFonts w:ascii="Arial" w:hAnsi="Arial" w:cs="Arial"/>
          <w:color w:val="000000" w:themeColor="text1"/>
          <w:sz w:val="20"/>
          <w:szCs w:val="20"/>
        </w:rPr>
        <w:t xml:space="preserve">, 95–106. </w:t>
      </w:r>
      <w:hyperlink r:id="rId36" w:history="1">
        <w:r w:rsidRPr="00E473B9">
          <w:rPr>
            <w:rStyle w:val="Hyperlink"/>
            <w:rFonts w:ascii="Arial" w:hAnsi="Arial" w:cs="Arial"/>
            <w:color w:val="000000" w:themeColor="text1"/>
            <w:sz w:val="20"/>
            <w:szCs w:val="20"/>
          </w:rPr>
          <w:t>https://doi.org/10.1016/0169-409X(95)00014-X</w:t>
        </w:r>
      </w:hyperlink>
      <w:r w:rsidRPr="00E473B9">
        <w:rPr>
          <w:rFonts w:ascii="Arial" w:hAnsi="Arial" w:cs="Arial"/>
          <w:color w:val="000000" w:themeColor="text1"/>
          <w:sz w:val="20"/>
          <w:szCs w:val="20"/>
        </w:rPr>
        <w:t xml:space="preserve"> </w:t>
      </w:r>
    </w:p>
    <w:p w14:paraId="0A614778" w14:textId="77777777" w:rsidR="00F17FAE" w:rsidRPr="00E473B9" w:rsidRDefault="00735C9A"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Kumari, A., Sharma, P. K., Garg, V. K., &amp; Garg, G. (2010). Ocular inserts—Advancement in therapy of eye diseases. </w:t>
      </w:r>
      <w:r w:rsidRPr="00E473B9">
        <w:rPr>
          <w:rFonts w:ascii="Arial" w:hAnsi="Arial" w:cs="Arial"/>
          <w:iCs/>
          <w:color w:val="000000" w:themeColor="text1"/>
          <w:sz w:val="20"/>
          <w:szCs w:val="20"/>
        </w:rPr>
        <w:t>Journal of Advanced Pharmaceutical Technology &amp; Research, 1</w:t>
      </w:r>
      <w:r w:rsidRPr="00E473B9">
        <w:rPr>
          <w:rFonts w:ascii="Arial" w:hAnsi="Arial" w:cs="Arial"/>
          <w:color w:val="000000" w:themeColor="text1"/>
          <w:sz w:val="20"/>
          <w:szCs w:val="20"/>
        </w:rPr>
        <w:t xml:space="preserve">(3), 291–296. </w:t>
      </w:r>
      <w:hyperlink r:id="rId37" w:history="1">
        <w:r w:rsidRPr="00E473B9">
          <w:rPr>
            <w:rStyle w:val="Hyperlink"/>
            <w:rFonts w:ascii="Arial" w:hAnsi="Arial" w:cs="Arial"/>
            <w:color w:val="000000" w:themeColor="text1"/>
            <w:sz w:val="20"/>
            <w:szCs w:val="20"/>
          </w:rPr>
          <w:t>https://doi.org/10.4103/0110-5558.72419</w:t>
        </w:r>
      </w:hyperlink>
    </w:p>
    <w:p w14:paraId="29A44C4E" w14:textId="16F9DB5D" w:rsidR="007E75AD" w:rsidRPr="00E473B9" w:rsidRDefault="000F48D1"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Chinna Reddy, P</w:t>
      </w:r>
      <w:r w:rsidR="007E75AD" w:rsidRPr="00E473B9">
        <w:rPr>
          <w:rFonts w:ascii="Arial" w:hAnsi="Arial" w:cs="Arial"/>
          <w:color w:val="000000" w:themeColor="text1"/>
          <w:sz w:val="20"/>
          <w:szCs w:val="20"/>
        </w:rPr>
        <w:t xml:space="preserve">., Chaitanya, K. S., &amp; Madhusudan Rao, Y. (2011). A review on </w:t>
      </w:r>
      <w:proofErr w:type="spellStart"/>
      <w:r w:rsidR="007E75AD" w:rsidRPr="00E473B9">
        <w:rPr>
          <w:rFonts w:ascii="Arial" w:hAnsi="Arial" w:cs="Arial"/>
          <w:color w:val="000000" w:themeColor="text1"/>
          <w:sz w:val="20"/>
          <w:szCs w:val="20"/>
        </w:rPr>
        <w:t>bioadhesive</w:t>
      </w:r>
      <w:proofErr w:type="spellEnd"/>
      <w:r w:rsidR="007E75AD" w:rsidRPr="00E473B9">
        <w:rPr>
          <w:rFonts w:ascii="Arial" w:hAnsi="Arial" w:cs="Arial"/>
          <w:color w:val="000000" w:themeColor="text1"/>
          <w:sz w:val="20"/>
          <w:szCs w:val="20"/>
        </w:rPr>
        <w:t xml:space="preserve"> buccal drug delivery systems: current status of formulation and evaluation methods. </w:t>
      </w:r>
      <w:proofErr w:type="gramStart"/>
      <w:r w:rsidR="007E75AD" w:rsidRPr="00E473B9">
        <w:rPr>
          <w:rFonts w:ascii="Arial" w:hAnsi="Arial" w:cs="Arial"/>
          <w:color w:val="000000" w:themeColor="text1"/>
          <w:sz w:val="20"/>
          <w:szCs w:val="20"/>
        </w:rPr>
        <w:t>Daru :</w:t>
      </w:r>
      <w:proofErr w:type="gramEnd"/>
      <w:r w:rsidR="007E75AD" w:rsidRPr="00E473B9">
        <w:rPr>
          <w:rFonts w:ascii="Arial" w:hAnsi="Arial" w:cs="Arial"/>
          <w:color w:val="000000" w:themeColor="text1"/>
          <w:sz w:val="20"/>
          <w:szCs w:val="20"/>
        </w:rPr>
        <w:t xml:space="preserve"> journal of Faculty of Pharmacy, Tehran University of Medical Sciences, 19(6), 385–403.</w:t>
      </w:r>
    </w:p>
    <w:p w14:paraId="0AFCEFAE"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Prausnitz</w:t>
      </w:r>
      <w:proofErr w:type="spellEnd"/>
      <w:r w:rsidRPr="00E473B9">
        <w:rPr>
          <w:rFonts w:ascii="Arial" w:hAnsi="Arial" w:cs="Arial"/>
          <w:color w:val="000000" w:themeColor="text1"/>
          <w:sz w:val="20"/>
          <w:szCs w:val="20"/>
        </w:rPr>
        <w:t xml:space="preserve">, M. R. (2017). Engineering microneedle patches for vaccination and drug delivery to skin. </w:t>
      </w:r>
      <w:r w:rsidRPr="00E473B9">
        <w:rPr>
          <w:rFonts w:ascii="Arial" w:hAnsi="Arial" w:cs="Arial"/>
          <w:iCs/>
          <w:color w:val="000000" w:themeColor="text1"/>
          <w:sz w:val="20"/>
          <w:szCs w:val="20"/>
        </w:rPr>
        <w:t>Annual Review of Chemical and Biomolecular Engineering, 8</w:t>
      </w:r>
      <w:r w:rsidRPr="00E473B9">
        <w:rPr>
          <w:rFonts w:ascii="Arial" w:hAnsi="Arial" w:cs="Arial"/>
          <w:color w:val="000000" w:themeColor="text1"/>
          <w:sz w:val="20"/>
          <w:szCs w:val="20"/>
        </w:rPr>
        <w:t xml:space="preserve">, 177–200. </w:t>
      </w:r>
      <w:hyperlink r:id="rId38" w:history="1">
        <w:r w:rsidRPr="00E473B9">
          <w:rPr>
            <w:rStyle w:val="Hyperlink"/>
            <w:rFonts w:ascii="Arial" w:hAnsi="Arial" w:cs="Arial"/>
            <w:color w:val="000000" w:themeColor="text1"/>
            <w:sz w:val="20"/>
            <w:szCs w:val="20"/>
          </w:rPr>
          <w:t>https://doi.org/10.1146/annurev-chembioeng-060816-101514</w:t>
        </w:r>
      </w:hyperlink>
      <w:r w:rsidRPr="00E473B9">
        <w:rPr>
          <w:rFonts w:ascii="Arial" w:hAnsi="Arial" w:cs="Arial"/>
          <w:color w:val="000000" w:themeColor="text1"/>
          <w:sz w:val="20"/>
          <w:szCs w:val="20"/>
        </w:rPr>
        <w:t xml:space="preserve"> </w:t>
      </w:r>
    </w:p>
    <w:p w14:paraId="29FEC51A" w14:textId="77777777" w:rsidR="00F17FAE" w:rsidRPr="00E473B9" w:rsidRDefault="00735C9A" w:rsidP="00F17FAE">
      <w:pPr>
        <w:pStyle w:val="NormalWeb"/>
        <w:numPr>
          <w:ilvl w:val="0"/>
          <w:numId w:val="7"/>
        </w:numPr>
        <w:spacing w:before="0" w:beforeAutospacing="0" w:after="0" w:afterAutospacing="0"/>
        <w:ind w:left="284" w:hanging="284"/>
        <w:jc w:val="both"/>
        <w:rPr>
          <w:rStyle w:val="Hyperlink"/>
          <w:rFonts w:ascii="Arial" w:hAnsi="Arial" w:cs="Arial"/>
          <w:color w:val="000000" w:themeColor="text1"/>
          <w:sz w:val="20"/>
          <w:szCs w:val="20"/>
          <w:u w:val="none"/>
        </w:rPr>
      </w:pPr>
      <w:r w:rsidRPr="00E473B9">
        <w:rPr>
          <w:rFonts w:ascii="Arial" w:hAnsi="Arial" w:cs="Arial"/>
          <w:color w:val="000000" w:themeColor="text1"/>
          <w:sz w:val="20"/>
          <w:szCs w:val="20"/>
        </w:rPr>
        <w:t xml:space="preserve">Patel, S. R., Lin, A. S. P., Edelhauser, H. F., &amp; </w:t>
      </w:r>
      <w:proofErr w:type="spellStart"/>
      <w:r w:rsidRPr="00E473B9">
        <w:rPr>
          <w:rFonts w:ascii="Arial" w:hAnsi="Arial" w:cs="Arial"/>
          <w:color w:val="000000" w:themeColor="text1"/>
          <w:sz w:val="20"/>
          <w:szCs w:val="20"/>
        </w:rPr>
        <w:t>Prausnitz</w:t>
      </w:r>
      <w:proofErr w:type="spellEnd"/>
      <w:r w:rsidRPr="00E473B9">
        <w:rPr>
          <w:rFonts w:ascii="Arial" w:hAnsi="Arial" w:cs="Arial"/>
          <w:color w:val="000000" w:themeColor="text1"/>
          <w:sz w:val="20"/>
          <w:szCs w:val="20"/>
        </w:rPr>
        <w:t xml:space="preserve">, M. R. (2011). Suprachoroidal drug delivery to the back of the eye using hollow microneedles. </w:t>
      </w:r>
      <w:r w:rsidRPr="00E473B9">
        <w:rPr>
          <w:rFonts w:ascii="Arial" w:hAnsi="Arial" w:cs="Arial"/>
          <w:iCs/>
          <w:color w:val="000000" w:themeColor="text1"/>
          <w:sz w:val="20"/>
          <w:szCs w:val="20"/>
        </w:rPr>
        <w:t>Pharm Res, 28(1) 5,166</w:t>
      </w:r>
      <w:r w:rsidRPr="00E473B9">
        <w:rPr>
          <w:rFonts w:ascii="Arial" w:hAnsi="Arial" w:cs="Arial"/>
          <w:color w:val="000000" w:themeColor="text1"/>
          <w:sz w:val="20"/>
          <w:szCs w:val="20"/>
        </w:rPr>
        <w:t xml:space="preserve">-176. </w:t>
      </w:r>
      <w:hyperlink r:id="rId39" w:history="1">
        <w:r w:rsidRPr="00E473B9">
          <w:rPr>
            <w:rStyle w:val="Hyperlink"/>
            <w:rFonts w:ascii="Arial" w:hAnsi="Arial" w:cs="Arial"/>
            <w:color w:val="000000" w:themeColor="text1"/>
            <w:sz w:val="20"/>
            <w:szCs w:val="20"/>
          </w:rPr>
          <w:t>https://doi.org/10.1007/s11095-010-0271-y</w:t>
        </w:r>
      </w:hyperlink>
      <w:r w:rsidR="008D2043" w:rsidRPr="00E473B9">
        <w:rPr>
          <w:rStyle w:val="Hyperlink"/>
          <w:rFonts w:ascii="Arial" w:hAnsi="Arial" w:cs="Arial"/>
          <w:color w:val="000000" w:themeColor="text1"/>
          <w:sz w:val="20"/>
          <w:szCs w:val="20"/>
        </w:rPr>
        <w:t>.</w:t>
      </w:r>
    </w:p>
    <w:p w14:paraId="67B31DC9" w14:textId="153B9639" w:rsidR="008D2043" w:rsidRPr="00E473B9" w:rsidRDefault="008D2043"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Chinna Reddy, P. (2025). Artificial intelligence and machine learning in hot melt extrusion: A new paradigm in pharmaceutical manufacturing. Journal of Pharmaceutical Sciences, 1(11), 30–42. </w:t>
      </w:r>
      <w:hyperlink r:id="rId40" w:history="1">
        <w:r w:rsidRPr="00E473B9">
          <w:rPr>
            <w:rStyle w:val="Hyperlink"/>
            <w:rFonts w:ascii="Arial" w:hAnsi="Arial" w:cs="Arial"/>
            <w:color w:val="000000" w:themeColor="text1"/>
            <w:sz w:val="20"/>
            <w:szCs w:val="20"/>
          </w:rPr>
          <w:t>https://doi.org/10.5281/zenodo.17499348</w:t>
        </w:r>
      </w:hyperlink>
      <w:r w:rsidRPr="00E473B9">
        <w:rPr>
          <w:rFonts w:ascii="Arial" w:hAnsi="Arial" w:cs="Arial"/>
          <w:color w:val="000000" w:themeColor="text1"/>
          <w:sz w:val="20"/>
          <w:szCs w:val="20"/>
        </w:rPr>
        <w:t xml:space="preserve">. </w:t>
      </w:r>
    </w:p>
    <w:p w14:paraId="67136D76" w14:textId="3FE9718B"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Trenfield</w:t>
      </w:r>
      <w:proofErr w:type="spellEnd"/>
      <w:r w:rsidRPr="00E473B9">
        <w:rPr>
          <w:rFonts w:ascii="Arial" w:hAnsi="Arial" w:cs="Arial"/>
          <w:color w:val="000000" w:themeColor="text1"/>
          <w:sz w:val="20"/>
          <w:szCs w:val="20"/>
        </w:rPr>
        <w:t xml:space="preserve">, S. J., Awad, A., Goyanes, A., Gaisford, S., &amp; Basit, A. W. (2018). 3D printing pharmaceuticals: Drug development to frontline care. </w:t>
      </w:r>
      <w:r w:rsidRPr="00E473B9">
        <w:rPr>
          <w:rFonts w:ascii="Arial" w:hAnsi="Arial" w:cs="Arial"/>
          <w:iCs/>
          <w:color w:val="000000" w:themeColor="text1"/>
          <w:sz w:val="20"/>
          <w:szCs w:val="20"/>
        </w:rPr>
        <w:t>Trends in Pharmacological Sciences, 39</w:t>
      </w:r>
      <w:r w:rsidRPr="00E473B9">
        <w:rPr>
          <w:rFonts w:ascii="Arial" w:hAnsi="Arial" w:cs="Arial"/>
          <w:color w:val="000000" w:themeColor="text1"/>
          <w:sz w:val="20"/>
          <w:szCs w:val="20"/>
        </w:rPr>
        <w:t xml:space="preserve">(5), 440–451. </w:t>
      </w:r>
      <w:hyperlink r:id="rId41" w:history="1">
        <w:r w:rsidRPr="00E473B9">
          <w:rPr>
            <w:rStyle w:val="Hyperlink"/>
            <w:rFonts w:ascii="Arial" w:hAnsi="Arial" w:cs="Arial"/>
            <w:color w:val="000000" w:themeColor="text1"/>
            <w:sz w:val="20"/>
            <w:szCs w:val="20"/>
          </w:rPr>
          <w:t>https://doi.org/10.1016/j.tips.2018.02.006</w:t>
        </w:r>
      </w:hyperlink>
      <w:r w:rsidRPr="00E473B9">
        <w:rPr>
          <w:rFonts w:ascii="Arial" w:hAnsi="Arial" w:cs="Arial"/>
          <w:color w:val="000000" w:themeColor="text1"/>
          <w:sz w:val="20"/>
          <w:szCs w:val="20"/>
        </w:rPr>
        <w:t xml:space="preserve"> </w:t>
      </w:r>
    </w:p>
    <w:p w14:paraId="6F5B3BDB"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Gao, G., Ahn, M., Cho, W.W., Kim, B.S., &amp; Cho, D.W. (2021). 3D printing of pharmaceutical application: Drug screening and drug delivery. </w:t>
      </w:r>
      <w:r w:rsidRPr="00E473B9">
        <w:rPr>
          <w:rFonts w:ascii="Arial" w:hAnsi="Arial" w:cs="Arial"/>
          <w:iCs/>
          <w:color w:val="000000" w:themeColor="text1"/>
          <w:sz w:val="20"/>
          <w:szCs w:val="20"/>
        </w:rPr>
        <w:t>Pharmaceutics, 13</w:t>
      </w:r>
      <w:r w:rsidRPr="00E473B9">
        <w:rPr>
          <w:rFonts w:ascii="Arial" w:hAnsi="Arial" w:cs="Arial"/>
          <w:color w:val="000000" w:themeColor="text1"/>
          <w:sz w:val="20"/>
          <w:szCs w:val="20"/>
        </w:rPr>
        <w:t xml:space="preserve">(9), 1373. </w:t>
      </w:r>
      <w:hyperlink r:id="rId42" w:history="1">
        <w:r w:rsidRPr="00E473B9">
          <w:rPr>
            <w:rStyle w:val="Hyperlink"/>
            <w:rFonts w:ascii="Arial" w:hAnsi="Arial" w:cs="Arial"/>
            <w:color w:val="000000" w:themeColor="text1"/>
            <w:sz w:val="20"/>
            <w:szCs w:val="20"/>
          </w:rPr>
          <w:t>https://doi.org/10.3390/pharmaceutics13091373</w:t>
        </w:r>
      </w:hyperlink>
      <w:r w:rsidRPr="00E473B9">
        <w:rPr>
          <w:rFonts w:ascii="Arial" w:hAnsi="Arial" w:cs="Arial"/>
          <w:color w:val="000000" w:themeColor="text1"/>
          <w:sz w:val="20"/>
          <w:szCs w:val="20"/>
        </w:rPr>
        <w:t xml:space="preserve"> </w:t>
      </w:r>
    </w:p>
    <w:p w14:paraId="1A14214B"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Mohamdeen</w:t>
      </w:r>
      <w:proofErr w:type="spellEnd"/>
      <w:r w:rsidRPr="00E473B9">
        <w:rPr>
          <w:rFonts w:ascii="Arial" w:hAnsi="Arial" w:cs="Arial"/>
          <w:color w:val="000000" w:themeColor="text1"/>
          <w:sz w:val="20"/>
          <w:szCs w:val="20"/>
        </w:rPr>
        <w:t xml:space="preserve">, Y. M. G., Tabriz, G, A., </w:t>
      </w:r>
      <w:proofErr w:type="spellStart"/>
      <w:r w:rsidRPr="00E473B9">
        <w:rPr>
          <w:rFonts w:ascii="Arial" w:hAnsi="Arial" w:cs="Arial"/>
          <w:color w:val="000000" w:themeColor="text1"/>
          <w:sz w:val="20"/>
          <w:szCs w:val="20"/>
        </w:rPr>
        <w:t>Tighsazzadeh</w:t>
      </w:r>
      <w:proofErr w:type="spellEnd"/>
      <w:r w:rsidRPr="00E473B9">
        <w:rPr>
          <w:rFonts w:ascii="Arial" w:hAnsi="Arial" w:cs="Arial"/>
          <w:color w:val="000000" w:themeColor="text1"/>
          <w:sz w:val="20"/>
          <w:szCs w:val="20"/>
        </w:rPr>
        <w:t xml:space="preserve">, M., Nandi, U., Khalaj, R., Andreadis, I., et al. (2022). Development of 3D printed drug-eluting contact lenses. </w:t>
      </w:r>
      <w:r w:rsidRPr="00E473B9">
        <w:rPr>
          <w:rFonts w:ascii="Arial" w:hAnsi="Arial" w:cs="Arial"/>
          <w:iCs/>
          <w:color w:val="000000" w:themeColor="text1"/>
          <w:sz w:val="20"/>
          <w:szCs w:val="20"/>
        </w:rPr>
        <w:t>Journal of Pharmacy and Pharmacology, 74</w:t>
      </w:r>
      <w:r w:rsidRPr="00E473B9">
        <w:rPr>
          <w:rFonts w:ascii="Arial" w:hAnsi="Arial" w:cs="Arial"/>
          <w:color w:val="000000" w:themeColor="text1"/>
          <w:sz w:val="20"/>
          <w:szCs w:val="20"/>
        </w:rPr>
        <w:t xml:space="preserve">(10), 1467–1476. </w:t>
      </w:r>
      <w:hyperlink r:id="rId43" w:history="1">
        <w:r w:rsidRPr="00E473B9">
          <w:rPr>
            <w:rStyle w:val="Hyperlink"/>
            <w:rFonts w:ascii="Arial" w:hAnsi="Arial" w:cs="Arial"/>
            <w:color w:val="000000" w:themeColor="text1"/>
            <w:sz w:val="20"/>
            <w:szCs w:val="20"/>
          </w:rPr>
          <w:t>https://doi.org/10.1093/jpp/rgab173</w:t>
        </w:r>
      </w:hyperlink>
      <w:r w:rsidRPr="00E473B9">
        <w:rPr>
          <w:rFonts w:ascii="Arial" w:hAnsi="Arial" w:cs="Arial"/>
          <w:color w:val="000000" w:themeColor="text1"/>
          <w:sz w:val="20"/>
          <w:szCs w:val="20"/>
        </w:rPr>
        <w:t xml:space="preserve"> </w:t>
      </w:r>
    </w:p>
    <w:p w14:paraId="114E00E8"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Murphy, S. V., &amp; Atala, A. (2014). 3D bioprinting of tissues and organs. </w:t>
      </w:r>
      <w:r w:rsidRPr="00E473B9">
        <w:rPr>
          <w:rFonts w:ascii="Arial" w:hAnsi="Arial" w:cs="Arial"/>
          <w:iCs/>
          <w:color w:val="000000" w:themeColor="text1"/>
          <w:sz w:val="20"/>
          <w:szCs w:val="20"/>
        </w:rPr>
        <w:t>Nature Biotechnology, 32</w:t>
      </w:r>
      <w:r w:rsidRPr="00E473B9">
        <w:rPr>
          <w:rFonts w:ascii="Arial" w:hAnsi="Arial" w:cs="Arial"/>
          <w:color w:val="000000" w:themeColor="text1"/>
          <w:sz w:val="20"/>
          <w:szCs w:val="20"/>
        </w:rPr>
        <w:t xml:space="preserve">, 773–785. </w:t>
      </w:r>
      <w:hyperlink r:id="rId44" w:history="1">
        <w:r w:rsidRPr="00E473B9">
          <w:rPr>
            <w:rStyle w:val="Hyperlink"/>
            <w:rFonts w:ascii="Arial" w:hAnsi="Arial" w:cs="Arial"/>
            <w:color w:val="000000" w:themeColor="text1"/>
            <w:sz w:val="20"/>
            <w:szCs w:val="20"/>
          </w:rPr>
          <w:t>https://doi.org/10.1038/nbt.2958</w:t>
        </w:r>
      </w:hyperlink>
      <w:r w:rsidRPr="00E473B9">
        <w:rPr>
          <w:rFonts w:ascii="Arial" w:hAnsi="Arial" w:cs="Arial"/>
          <w:color w:val="000000" w:themeColor="text1"/>
          <w:sz w:val="20"/>
          <w:szCs w:val="20"/>
        </w:rPr>
        <w:t xml:space="preserve"> </w:t>
      </w:r>
    </w:p>
    <w:p w14:paraId="788582C5"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Kim, T. Y., Mok, J. W., Hong, S. H., Jeong, S. H., Choi, H., Shin, S., et al. (2022). Wireless </w:t>
      </w:r>
      <w:proofErr w:type="spellStart"/>
      <w:r w:rsidRPr="00E473B9">
        <w:rPr>
          <w:rFonts w:ascii="Arial" w:hAnsi="Arial" w:cs="Arial"/>
          <w:color w:val="000000" w:themeColor="text1"/>
          <w:sz w:val="20"/>
          <w:szCs w:val="20"/>
        </w:rPr>
        <w:t>theranostic</w:t>
      </w:r>
      <w:proofErr w:type="spellEnd"/>
      <w:r w:rsidRPr="00E473B9">
        <w:rPr>
          <w:rFonts w:ascii="Arial" w:hAnsi="Arial" w:cs="Arial"/>
          <w:color w:val="000000" w:themeColor="text1"/>
          <w:sz w:val="20"/>
          <w:szCs w:val="20"/>
        </w:rPr>
        <w:t xml:space="preserve"> smart contact lens for monitoring and control of intraocular pressure in glaucoma. </w:t>
      </w:r>
      <w:r w:rsidRPr="00E473B9">
        <w:rPr>
          <w:rFonts w:ascii="Arial" w:hAnsi="Arial" w:cs="Arial"/>
          <w:iCs/>
          <w:color w:val="000000" w:themeColor="text1"/>
          <w:sz w:val="20"/>
          <w:szCs w:val="20"/>
        </w:rPr>
        <w:t>Nature Communications, 13</w:t>
      </w:r>
      <w:r w:rsidRPr="00E473B9">
        <w:rPr>
          <w:rFonts w:ascii="Arial" w:hAnsi="Arial" w:cs="Arial"/>
          <w:color w:val="000000" w:themeColor="text1"/>
          <w:sz w:val="20"/>
          <w:szCs w:val="20"/>
        </w:rPr>
        <w:t xml:space="preserve">(1), 6801. </w:t>
      </w:r>
      <w:hyperlink r:id="rId45" w:history="1">
        <w:r w:rsidRPr="00E473B9">
          <w:rPr>
            <w:rStyle w:val="Hyperlink"/>
            <w:rFonts w:ascii="Arial" w:hAnsi="Arial" w:cs="Arial"/>
            <w:color w:val="000000" w:themeColor="text1"/>
            <w:sz w:val="20"/>
            <w:szCs w:val="20"/>
          </w:rPr>
          <w:t>https://doi.org/10.1038/s41467-022-34597-8</w:t>
        </w:r>
      </w:hyperlink>
      <w:r w:rsidRPr="00E473B9">
        <w:rPr>
          <w:rFonts w:ascii="Arial" w:hAnsi="Arial" w:cs="Arial"/>
          <w:color w:val="000000" w:themeColor="text1"/>
          <w:sz w:val="20"/>
          <w:szCs w:val="20"/>
        </w:rPr>
        <w:t xml:space="preserve"> </w:t>
      </w:r>
    </w:p>
    <w:p w14:paraId="34F6AC23" w14:textId="5C2FD072"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Ma, X., </w:t>
      </w:r>
      <w:proofErr w:type="spellStart"/>
      <w:r w:rsidRPr="00E473B9">
        <w:rPr>
          <w:rFonts w:ascii="Arial" w:hAnsi="Arial" w:cs="Arial"/>
          <w:color w:val="000000" w:themeColor="text1"/>
          <w:sz w:val="20"/>
          <w:szCs w:val="20"/>
        </w:rPr>
        <w:t>Ahadian</w:t>
      </w:r>
      <w:proofErr w:type="spellEnd"/>
      <w:r w:rsidRPr="00E473B9">
        <w:rPr>
          <w:rFonts w:ascii="Arial" w:hAnsi="Arial" w:cs="Arial"/>
          <w:color w:val="000000" w:themeColor="text1"/>
          <w:sz w:val="20"/>
          <w:szCs w:val="20"/>
        </w:rPr>
        <w:t>, S., Liu, S., Zhang, J., Liu, S., Cao, T</w:t>
      </w:r>
      <w:r w:rsidR="00CC0E42" w:rsidRPr="00E473B9">
        <w:rPr>
          <w:rFonts w:ascii="Arial" w:hAnsi="Arial" w:cs="Arial"/>
          <w:color w:val="000000" w:themeColor="text1"/>
          <w:sz w:val="20"/>
          <w:szCs w:val="20"/>
        </w:rPr>
        <w:t>.</w:t>
      </w:r>
      <w:r w:rsidRPr="00E473B9">
        <w:rPr>
          <w:rFonts w:ascii="Arial" w:hAnsi="Arial" w:cs="Arial"/>
          <w:color w:val="000000" w:themeColor="text1"/>
          <w:sz w:val="20"/>
          <w:szCs w:val="20"/>
        </w:rPr>
        <w:t xml:space="preserve">, et al. (2021). Smart contact lenses for biosensing applications. </w:t>
      </w:r>
      <w:r w:rsidRPr="00E473B9">
        <w:rPr>
          <w:rFonts w:ascii="Arial" w:hAnsi="Arial" w:cs="Arial"/>
          <w:iCs/>
          <w:color w:val="000000" w:themeColor="text1"/>
          <w:sz w:val="20"/>
          <w:szCs w:val="20"/>
        </w:rPr>
        <w:t>Advanced Intelligent Systems, 3</w:t>
      </w:r>
      <w:r w:rsidRPr="00E473B9">
        <w:rPr>
          <w:rFonts w:ascii="Arial" w:hAnsi="Arial" w:cs="Arial"/>
          <w:color w:val="000000" w:themeColor="text1"/>
          <w:sz w:val="20"/>
          <w:szCs w:val="20"/>
        </w:rPr>
        <w:t xml:space="preserve">, 2000263. </w:t>
      </w:r>
      <w:hyperlink r:id="rId46" w:history="1">
        <w:r w:rsidRPr="00E473B9">
          <w:rPr>
            <w:rStyle w:val="Hyperlink"/>
            <w:rFonts w:ascii="Arial" w:hAnsi="Arial" w:cs="Arial"/>
            <w:color w:val="000000" w:themeColor="text1"/>
            <w:sz w:val="20"/>
            <w:szCs w:val="20"/>
          </w:rPr>
          <w:t>https://doi.org/10.1002/aisy.202000263</w:t>
        </w:r>
      </w:hyperlink>
      <w:r w:rsidRPr="00E473B9">
        <w:rPr>
          <w:rFonts w:ascii="Arial" w:hAnsi="Arial" w:cs="Arial"/>
          <w:color w:val="000000" w:themeColor="text1"/>
          <w:sz w:val="20"/>
          <w:szCs w:val="20"/>
        </w:rPr>
        <w:t xml:space="preserve"> </w:t>
      </w:r>
    </w:p>
    <w:p w14:paraId="76369C32" w14:textId="1563FE50"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Bainbridge, J. W. B., </w:t>
      </w:r>
      <w:proofErr w:type="spellStart"/>
      <w:r w:rsidRPr="00E473B9">
        <w:rPr>
          <w:rFonts w:ascii="Arial" w:hAnsi="Arial" w:cs="Arial"/>
          <w:color w:val="000000" w:themeColor="text1"/>
          <w:sz w:val="20"/>
          <w:szCs w:val="20"/>
        </w:rPr>
        <w:t>Mehat</w:t>
      </w:r>
      <w:proofErr w:type="spellEnd"/>
      <w:r w:rsidRPr="00E473B9">
        <w:rPr>
          <w:rFonts w:ascii="Arial" w:hAnsi="Arial" w:cs="Arial"/>
          <w:color w:val="000000" w:themeColor="text1"/>
          <w:sz w:val="20"/>
          <w:szCs w:val="20"/>
        </w:rPr>
        <w:t xml:space="preserve">, M. S., Sundaram, V., Robbie, S. J., Barker, S. E., </w:t>
      </w:r>
      <w:proofErr w:type="spellStart"/>
      <w:r w:rsidRPr="00E473B9">
        <w:rPr>
          <w:rFonts w:ascii="Arial" w:hAnsi="Arial" w:cs="Arial"/>
          <w:color w:val="000000" w:themeColor="text1"/>
          <w:sz w:val="20"/>
          <w:szCs w:val="20"/>
        </w:rPr>
        <w:t>Ripamonti</w:t>
      </w:r>
      <w:proofErr w:type="spellEnd"/>
      <w:r w:rsidRPr="00E473B9">
        <w:rPr>
          <w:rFonts w:ascii="Arial" w:hAnsi="Arial" w:cs="Arial"/>
          <w:color w:val="000000" w:themeColor="text1"/>
          <w:sz w:val="20"/>
          <w:szCs w:val="20"/>
        </w:rPr>
        <w:t xml:space="preserve">, </w:t>
      </w:r>
      <w:proofErr w:type="spellStart"/>
      <w:proofErr w:type="gramStart"/>
      <w:r w:rsidRPr="00E473B9">
        <w:rPr>
          <w:rFonts w:ascii="Arial" w:hAnsi="Arial" w:cs="Arial"/>
          <w:color w:val="000000" w:themeColor="text1"/>
          <w:sz w:val="20"/>
          <w:szCs w:val="20"/>
        </w:rPr>
        <w:t>C.,et</w:t>
      </w:r>
      <w:proofErr w:type="spellEnd"/>
      <w:r w:rsidRPr="00E473B9">
        <w:rPr>
          <w:rFonts w:ascii="Arial" w:hAnsi="Arial" w:cs="Arial"/>
          <w:color w:val="000000" w:themeColor="text1"/>
          <w:sz w:val="20"/>
          <w:szCs w:val="20"/>
        </w:rPr>
        <w:t xml:space="preserve"> al.</w:t>
      </w:r>
      <w:proofErr w:type="gramEnd"/>
      <w:r w:rsidRPr="00E473B9">
        <w:rPr>
          <w:rFonts w:ascii="Arial" w:hAnsi="Arial" w:cs="Arial"/>
          <w:color w:val="000000" w:themeColor="text1"/>
          <w:sz w:val="20"/>
          <w:szCs w:val="20"/>
        </w:rPr>
        <w:t xml:space="preserve"> (2015). Long-Term Effect of Gene Therapy on Leber’s Congenital Amaurosis. The </w:t>
      </w:r>
      <w:r w:rsidRPr="00E473B9">
        <w:rPr>
          <w:rFonts w:ascii="Arial" w:hAnsi="Arial" w:cs="Arial"/>
          <w:iCs/>
          <w:color w:val="000000" w:themeColor="text1"/>
          <w:sz w:val="20"/>
          <w:szCs w:val="20"/>
        </w:rPr>
        <w:t>New England Journal of Medicine, 372</w:t>
      </w:r>
      <w:r w:rsidRPr="00E473B9">
        <w:rPr>
          <w:rFonts w:ascii="Arial" w:hAnsi="Arial" w:cs="Arial"/>
          <w:color w:val="000000" w:themeColor="text1"/>
          <w:sz w:val="20"/>
          <w:szCs w:val="20"/>
        </w:rPr>
        <w:t xml:space="preserve">(20), 1887–1897. </w:t>
      </w:r>
      <w:hyperlink r:id="rId47" w:tgtFrame="_new" w:history="1">
        <w:r w:rsidRPr="00E473B9">
          <w:rPr>
            <w:rStyle w:val="Hyperlink"/>
            <w:rFonts w:ascii="Arial" w:hAnsi="Arial" w:cs="Arial"/>
            <w:color w:val="000000" w:themeColor="text1"/>
            <w:sz w:val="20"/>
            <w:szCs w:val="20"/>
          </w:rPr>
          <w:t>https://doi.org/10.1056/NEJMoa1414221</w:t>
        </w:r>
      </w:hyperlink>
      <w:r w:rsidRPr="00E473B9">
        <w:rPr>
          <w:rStyle w:val="Hyperlink"/>
          <w:rFonts w:ascii="Arial" w:hAnsi="Arial" w:cs="Arial"/>
          <w:color w:val="000000" w:themeColor="text1"/>
          <w:sz w:val="20"/>
          <w:szCs w:val="20"/>
        </w:rPr>
        <w:t>.</w:t>
      </w:r>
      <w:r w:rsidRPr="00E473B9">
        <w:rPr>
          <w:rFonts w:ascii="Arial" w:hAnsi="Arial" w:cs="Arial"/>
          <w:color w:val="000000" w:themeColor="text1"/>
          <w:sz w:val="20"/>
          <w:szCs w:val="20"/>
        </w:rPr>
        <w:t xml:space="preserve"> </w:t>
      </w:r>
    </w:p>
    <w:p w14:paraId="28131011" w14:textId="2911F66B"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McClements, M. E., &amp; MacLaren, R. E. (2013). Gene therapy for retinal disease. </w:t>
      </w:r>
      <w:r w:rsidRPr="00E473B9">
        <w:rPr>
          <w:rFonts w:ascii="Arial" w:hAnsi="Arial" w:cs="Arial"/>
          <w:iCs/>
          <w:color w:val="000000" w:themeColor="text1"/>
          <w:sz w:val="20"/>
          <w:szCs w:val="20"/>
        </w:rPr>
        <w:t>Translational Research, 161</w:t>
      </w:r>
      <w:r w:rsidRPr="00E473B9">
        <w:rPr>
          <w:rFonts w:ascii="Arial" w:hAnsi="Arial" w:cs="Arial"/>
          <w:color w:val="000000" w:themeColor="text1"/>
          <w:sz w:val="20"/>
          <w:szCs w:val="20"/>
        </w:rPr>
        <w:t xml:space="preserve">(4), 241–254. </w:t>
      </w:r>
      <w:hyperlink r:id="rId48" w:history="1">
        <w:r w:rsidRPr="00E473B9">
          <w:rPr>
            <w:rStyle w:val="Hyperlink"/>
            <w:rFonts w:ascii="Arial" w:hAnsi="Arial" w:cs="Arial"/>
            <w:color w:val="000000" w:themeColor="text1"/>
            <w:sz w:val="20"/>
            <w:szCs w:val="20"/>
          </w:rPr>
          <w:t>https://doi.org/10.1016/j.trsl.2012.12.007</w:t>
        </w:r>
      </w:hyperlink>
      <w:r w:rsidRPr="00E473B9">
        <w:rPr>
          <w:rFonts w:ascii="Arial" w:hAnsi="Arial" w:cs="Arial"/>
          <w:color w:val="000000" w:themeColor="text1"/>
          <w:sz w:val="20"/>
          <w:szCs w:val="20"/>
        </w:rPr>
        <w:t xml:space="preserve"> </w:t>
      </w:r>
    </w:p>
    <w:p w14:paraId="7E5C3736"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Russell, S., Bennett, J., Wellman, J. A., Chung, D. C., Yu, Z. F., &amp; Tillman, A., et al. (2017). Efficacy and safety of </w:t>
      </w:r>
      <w:proofErr w:type="spellStart"/>
      <w:r w:rsidRPr="00E473B9">
        <w:rPr>
          <w:rFonts w:ascii="Arial" w:hAnsi="Arial" w:cs="Arial"/>
          <w:color w:val="000000" w:themeColor="text1"/>
          <w:sz w:val="20"/>
          <w:szCs w:val="20"/>
        </w:rPr>
        <w:t>voretigene</w:t>
      </w:r>
      <w:proofErr w:type="spellEnd"/>
      <w:r w:rsidRPr="00E473B9">
        <w:rPr>
          <w:rFonts w:ascii="Arial" w:hAnsi="Arial" w:cs="Arial"/>
          <w:color w:val="000000" w:themeColor="text1"/>
          <w:sz w:val="20"/>
          <w:szCs w:val="20"/>
        </w:rPr>
        <w:t xml:space="preserve"> </w:t>
      </w:r>
      <w:proofErr w:type="spellStart"/>
      <w:r w:rsidRPr="00E473B9">
        <w:rPr>
          <w:rFonts w:ascii="Arial" w:hAnsi="Arial" w:cs="Arial"/>
          <w:color w:val="000000" w:themeColor="text1"/>
          <w:sz w:val="20"/>
          <w:szCs w:val="20"/>
        </w:rPr>
        <w:t>neparvovec</w:t>
      </w:r>
      <w:proofErr w:type="spellEnd"/>
      <w:r w:rsidRPr="00E473B9">
        <w:rPr>
          <w:rFonts w:ascii="Arial" w:hAnsi="Arial" w:cs="Arial"/>
          <w:color w:val="000000" w:themeColor="text1"/>
          <w:sz w:val="20"/>
          <w:szCs w:val="20"/>
        </w:rPr>
        <w:t xml:space="preserve"> (AAV2-hRPE65v2) in patients with RPE65-mediated inherited </w:t>
      </w:r>
      <w:r w:rsidRPr="00E473B9">
        <w:rPr>
          <w:rFonts w:ascii="Arial" w:hAnsi="Arial" w:cs="Arial"/>
          <w:color w:val="000000" w:themeColor="text1"/>
          <w:sz w:val="20"/>
          <w:szCs w:val="20"/>
        </w:rPr>
        <w:lastRenderedPageBreak/>
        <w:t xml:space="preserve">retinal dystrophy: a randomised, controlled, open-label, phase 3 trial. </w:t>
      </w:r>
      <w:r w:rsidRPr="00E473B9">
        <w:rPr>
          <w:rFonts w:ascii="Arial" w:hAnsi="Arial" w:cs="Arial"/>
          <w:iCs/>
          <w:color w:val="000000" w:themeColor="text1"/>
          <w:sz w:val="20"/>
          <w:szCs w:val="20"/>
        </w:rPr>
        <w:t>The Lancet, 390</w:t>
      </w:r>
      <w:r w:rsidRPr="00E473B9">
        <w:rPr>
          <w:rFonts w:ascii="Arial" w:hAnsi="Arial" w:cs="Arial"/>
          <w:color w:val="000000" w:themeColor="text1"/>
          <w:sz w:val="20"/>
          <w:szCs w:val="20"/>
        </w:rPr>
        <w:t xml:space="preserve">(10097), 849–860. </w:t>
      </w:r>
      <w:hyperlink r:id="rId49" w:history="1">
        <w:r w:rsidRPr="00E473B9">
          <w:rPr>
            <w:rStyle w:val="Hyperlink"/>
            <w:rFonts w:ascii="Arial" w:hAnsi="Arial" w:cs="Arial"/>
            <w:color w:val="000000" w:themeColor="text1"/>
            <w:sz w:val="20"/>
            <w:szCs w:val="20"/>
          </w:rPr>
          <w:t>https://doi.org/10.1016/s0140-6736(17)31868-8</w:t>
        </w:r>
      </w:hyperlink>
      <w:r w:rsidRPr="00E473B9">
        <w:rPr>
          <w:rFonts w:ascii="Arial" w:hAnsi="Arial" w:cs="Arial"/>
          <w:color w:val="000000" w:themeColor="text1"/>
          <w:sz w:val="20"/>
          <w:szCs w:val="20"/>
        </w:rPr>
        <w:t xml:space="preserve"> </w:t>
      </w:r>
    </w:p>
    <w:p w14:paraId="32BF070F"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Peppas, N. A., Hilt, J. Z., </w:t>
      </w:r>
      <w:proofErr w:type="spellStart"/>
      <w:r w:rsidRPr="00E473B9">
        <w:rPr>
          <w:rFonts w:ascii="Arial" w:hAnsi="Arial" w:cs="Arial"/>
          <w:color w:val="000000" w:themeColor="text1"/>
          <w:sz w:val="20"/>
          <w:szCs w:val="20"/>
        </w:rPr>
        <w:t>Khademhosseini</w:t>
      </w:r>
      <w:proofErr w:type="spellEnd"/>
      <w:r w:rsidRPr="00E473B9">
        <w:rPr>
          <w:rFonts w:ascii="Arial" w:hAnsi="Arial" w:cs="Arial"/>
          <w:color w:val="000000" w:themeColor="text1"/>
          <w:sz w:val="20"/>
          <w:szCs w:val="20"/>
        </w:rPr>
        <w:t xml:space="preserve">, A., &amp; Langer, R. (2016). Hydrogels in Biology and Medicine: From Molecular Principles to </w:t>
      </w:r>
      <w:proofErr w:type="spellStart"/>
      <w:r w:rsidRPr="00E473B9">
        <w:rPr>
          <w:rFonts w:ascii="Arial" w:hAnsi="Arial" w:cs="Arial"/>
          <w:color w:val="000000" w:themeColor="text1"/>
          <w:sz w:val="20"/>
          <w:szCs w:val="20"/>
        </w:rPr>
        <w:t>Bionanotechnology</w:t>
      </w:r>
      <w:proofErr w:type="spellEnd"/>
      <w:r w:rsidRPr="00E473B9">
        <w:rPr>
          <w:rFonts w:ascii="Arial" w:hAnsi="Arial" w:cs="Arial"/>
          <w:color w:val="000000" w:themeColor="text1"/>
          <w:sz w:val="20"/>
          <w:szCs w:val="20"/>
        </w:rPr>
        <w:t xml:space="preserve">. </w:t>
      </w:r>
      <w:r w:rsidRPr="00E473B9">
        <w:rPr>
          <w:rFonts w:ascii="Arial" w:hAnsi="Arial" w:cs="Arial"/>
          <w:iCs/>
          <w:color w:val="000000" w:themeColor="text1"/>
          <w:sz w:val="20"/>
          <w:szCs w:val="20"/>
        </w:rPr>
        <w:t>Advanced Materials, 18,1345-,1360</w:t>
      </w:r>
      <w:r w:rsidRPr="00E473B9">
        <w:rPr>
          <w:rFonts w:ascii="Arial" w:hAnsi="Arial" w:cs="Arial"/>
          <w:color w:val="000000" w:themeColor="text1"/>
          <w:sz w:val="20"/>
          <w:szCs w:val="20"/>
        </w:rPr>
        <w:t xml:space="preserve">. </w:t>
      </w:r>
      <w:hyperlink r:id="rId50" w:history="1">
        <w:r w:rsidRPr="00E473B9">
          <w:rPr>
            <w:rStyle w:val="Hyperlink"/>
            <w:rFonts w:ascii="Arial" w:hAnsi="Arial" w:cs="Arial"/>
            <w:color w:val="000000" w:themeColor="text1"/>
            <w:sz w:val="20"/>
            <w:szCs w:val="20"/>
          </w:rPr>
          <w:t>https://doi.org/10.1002/adma.200501612</w:t>
        </w:r>
      </w:hyperlink>
      <w:r w:rsidRPr="00E473B9">
        <w:rPr>
          <w:rFonts w:ascii="Arial" w:hAnsi="Arial" w:cs="Arial"/>
          <w:color w:val="000000" w:themeColor="text1"/>
          <w:sz w:val="20"/>
          <w:szCs w:val="20"/>
        </w:rPr>
        <w:t xml:space="preserve"> </w:t>
      </w:r>
    </w:p>
    <w:p w14:paraId="657E886A"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Trapani, I., &amp; Auricchio, A. (2019). Seeing the light after 25 years of retinal gene therapy. </w:t>
      </w:r>
      <w:r w:rsidRPr="00E473B9">
        <w:rPr>
          <w:rFonts w:ascii="Arial" w:hAnsi="Arial" w:cs="Arial"/>
          <w:iCs/>
          <w:color w:val="000000" w:themeColor="text1"/>
          <w:sz w:val="20"/>
          <w:szCs w:val="20"/>
        </w:rPr>
        <w:t>Trends in Molecular Medicine, 24</w:t>
      </w:r>
      <w:r w:rsidRPr="00E473B9">
        <w:rPr>
          <w:rFonts w:ascii="Arial" w:hAnsi="Arial" w:cs="Arial"/>
          <w:color w:val="000000" w:themeColor="text1"/>
          <w:sz w:val="20"/>
          <w:szCs w:val="20"/>
        </w:rPr>
        <w:t xml:space="preserve">(8), 669–681. </w:t>
      </w:r>
      <w:hyperlink r:id="rId51" w:history="1">
        <w:r w:rsidRPr="00E473B9">
          <w:rPr>
            <w:rStyle w:val="Hyperlink"/>
            <w:rFonts w:ascii="Arial" w:hAnsi="Arial" w:cs="Arial"/>
            <w:color w:val="000000" w:themeColor="text1"/>
            <w:sz w:val="20"/>
            <w:szCs w:val="20"/>
          </w:rPr>
          <w:t>https://doi.org/10.1016/j.molmed.2018.06.006</w:t>
        </w:r>
      </w:hyperlink>
      <w:r w:rsidRPr="00E473B9">
        <w:rPr>
          <w:rFonts w:ascii="Arial" w:hAnsi="Arial" w:cs="Arial"/>
          <w:color w:val="000000" w:themeColor="text1"/>
          <w:sz w:val="20"/>
          <w:szCs w:val="20"/>
        </w:rPr>
        <w:t xml:space="preserve"> </w:t>
      </w:r>
    </w:p>
    <w:p w14:paraId="42442CAA"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U.S. Food and Drug Administration. (2023). Ophthalmic drug products—Quality considerations: Guidance for industry.</w:t>
      </w:r>
    </w:p>
    <w:p w14:paraId="4C724DA6" w14:textId="7978BAC1"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European Medicines Agency. (2018). Guideline on pharmaceutical development of ophthalmic medicinal products</w:t>
      </w:r>
      <w:r w:rsidR="00CC0E42" w:rsidRPr="00E473B9">
        <w:rPr>
          <w:rFonts w:ascii="Arial" w:hAnsi="Arial" w:cs="Arial"/>
          <w:color w:val="000000" w:themeColor="text1"/>
          <w:sz w:val="20"/>
          <w:szCs w:val="20"/>
        </w:rPr>
        <w:t>.</w:t>
      </w:r>
    </w:p>
    <w:p w14:paraId="5819B59D"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proofErr w:type="spellStart"/>
      <w:r w:rsidRPr="00E473B9">
        <w:rPr>
          <w:rFonts w:ascii="Arial" w:hAnsi="Arial" w:cs="Arial"/>
          <w:color w:val="000000" w:themeColor="text1"/>
          <w:sz w:val="20"/>
          <w:szCs w:val="20"/>
        </w:rPr>
        <w:t>Yellepeddi</w:t>
      </w:r>
      <w:proofErr w:type="spellEnd"/>
      <w:r w:rsidRPr="00E473B9">
        <w:rPr>
          <w:rFonts w:ascii="Arial" w:hAnsi="Arial" w:cs="Arial"/>
          <w:color w:val="000000" w:themeColor="text1"/>
          <w:sz w:val="20"/>
          <w:szCs w:val="20"/>
        </w:rPr>
        <w:t xml:space="preserve">, V. K., &amp; </w:t>
      </w:r>
      <w:proofErr w:type="spellStart"/>
      <w:r w:rsidRPr="00E473B9">
        <w:rPr>
          <w:rFonts w:ascii="Arial" w:hAnsi="Arial" w:cs="Arial"/>
          <w:color w:val="000000" w:themeColor="text1"/>
          <w:sz w:val="20"/>
          <w:szCs w:val="20"/>
        </w:rPr>
        <w:t>Palakurthi</w:t>
      </w:r>
      <w:proofErr w:type="spellEnd"/>
      <w:r w:rsidRPr="00E473B9">
        <w:rPr>
          <w:rFonts w:ascii="Arial" w:hAnsi="Arial" w:cs="Arial"/>
          <w:color w:val="000000" w:themeColor="text1"/>
          <w:sz w:val="20"/>
          <w:szCs w:val="20"/>
        </w:rPr>
        <w:t xml:space="preserve">, S. (2016). Recent advances in topical ocular drug delivery. </w:t>
      </w:r>
      <w:r w:rsidRPr="00E473B9">
        <w:rPr>
          <w:rFonts w:ascii="Arial" w:hAnsi="Arial" w:cs="Arial"/>
          <w:iCs/>
          <w:color w:val="000000" w:themeColor="text1"/>
          <w:sz w:val="20"/>
          <w:szCs w:val="20"/>
        </w:rPr>
        <w:t>Journal of Ocular Pharmacology and Therapeutics, 32</w:t>
      </w:r>
      <w:r w:rsidRPr="00E473B9">
        <w:rPr>
          <w:rFonts w:ascii="Arial" w:hAnsi="Arial" w:cs="Arial"/>
          <w:color w:val="000000" w:themeColor="text1"/>
          <w:sz w:val="20"/>
          <w:szCs w:val="20"/>
        </w:rPr>
        <w:t xml:space="preserve">(2), 67–82. </w:t>
      </w:r>
      <w:hyperlink r:id="rId52" w:history="1">
        <w:r w:rsidRPr="00E473B9">
          <w:rPr>
            <w:rStyle w:val="Hyperlink"/>
            <w:rFonts w:ascii="Arial" w:hAnsi="Arial" w:cs="Arial"/>
            <w:color w:val="000000" w:themeColor="text1"/>
            <w:sz w:val="20"/>
            <w:szCs w:val="20"/>
          </w:rPr>
          <w:t>https://doi.org/10.1089/jop.2015.0047</w:t>
        </w:r>
      </w:hyperlink>
      <w:r w:rsidRPr="00E473B9">
        <w:rPr>
          <w:rFonts w:ascii="Arial" w:hAnsi="Arial" w:cs="Arial"/>
          <w:color w:val="000000" w:themeColor="text1"/>
          <w:sz w:val="20"/>
          <w:szCs w:val="20"/>
        </w:rPr>
        <w:t xml:space="preserve"> </w:t>
      </w:r>
    </w:p>
    <w:p w14:paraId="6D593FD8" w14:textId="31273685"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International Council for Harmonisation of Technical Requirements for Pharmaceuticals for Human Use. (2009). ICH Q8(R2): Pharmaceutical development.</w:t>
      </w:r>
    </w:p>
    <w:p w14:paraId="13F32C52"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U.S. Food and Drug Administration. (2020). Principles of premarket pathways for combination products.</w:t>
      </w:r>
    </w:p>
    <w:p w14:paraId="72F7FA29"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Langer, R., &amp; Peppas, N. A. (2004). Advances in biomaterials, drug delivery, and </w:t>
      </w:r>
      <w:proofErr w:type="spellStart"/>
      <w:r w:rsidRPr="00E473B9">
        <w:rPr>
          <w:rFonts w:ascii="Arial" w:hAnsi="Arial" w:cs="Arial"/>
          <w:color w:val="000000" w:themeColor="text1"/>
          <w:sz w:val="20"/>
          <w:szCs w:val="20"/>
        </w:rPr>
        <w:t>bionanotechnology</w:t>
      </w:r>
      <w:proofErr w:type="spellEnd"/>
      <w:r w:rsidRPr="00E473B9">
        <w:rPr>
          <w:rFonts w:ascii="Arial" w:hAnsi="Arial" w:cs="Arial"/>
          <w:color w:val="000000" w:themeColor="text1"/>
          <w:sz w:val="20"/>
          <w:szCs w:val="20"/>
        </w:rPr>
        <w:t xml:space="preserve">. </w:t>
      </w:r>
      <w:r w:rsidRPr="00E473B9">
        <w:rPr>
          <w:rFonts w:ascii="Arial" w:hAnsi="Arial" w:cs="Arial"/>
          <w:iCs/>
          <w:color w:val="000000" w:themeColor="text1"/>
          <w:sz w:val="20"/>
          <w:szCs w:val="20"/>
        </w:rPr>
        <w:t>AIChE Journal, 49</w:t>
      </w:r>
      <w:r w:rsidRPr="00E473B9">
        <w:rPr>
          <w:rFonts w:ascii="Arial" w:hAnsi="Arial" w:cs="Arial"/>
          <w:color w:val="000000" w:themeColor="text1"/>
          <w:sz w:val="20"/>
          <w:szCs w:val="20"/>
        </w:rPr>
        <w:t xml:space="preserve">(12), 2990–3006. </w:t>
      </w:r>
      <w:hyperlink r:id="rId53" w:history="1">
        <w:r w:rsidRPr="00E473B9">
          <w:rPr>
            <w:rStyle w:val="Hyperlink"/>
            <w:rFonts w:ascii="Arial" w:hAnsi="Arial" w:cs="Arial"/>
            <w:color w:val="000000" w:themeColor="text1"/>
            <w:sz w:val="20"/>
            <w:szCs w:val="20"/>
          </w:rPr>
          <w:t>https://doi.org/10.1002/aic.690491202</w:t>
        </w:r>
      </w:hyperlink>
      <w:r w:rsidRPr="00E473B9">
        <w:rPr>
          <w:rFonts w:ascii="Arial" w:hAnsi="Arial" w:cs="Arial"/>
          <w:color w:val="000000" w:themeColor="text1"/>
          <w:sz w:val="20"/>
          <w:szCs w:val="20"/>
        </w:rPr>
        <w:t xml:space="preserve"> </w:t>
      </w:r>
    </w:p>
    <w:p w14:paraId="3FAD9F68" w14:textId="77777777" w:rsidR="00F17FAE" w:rsidRPr="00E473B9" w:rsidRDefault="00735C9A" w:rsidP="00F17FAE">
      <w:pPr>
        <w:pStyle w:val="NormalWeb"/>
        <w:numPr>
          <w:ilvl w:val="0"/>
          <w:numId w:val="7"/>
        </w:numPr>
        <w:spacing w:before="0" w:beforeAutospacing="0" w:after="0" w:afterAutospacing="0"/>
        <w:ind w:left="284" w:hanging="284"/>
        <w:jc w:val="both"/>
        <w:rPr>
          <w:rStyle w:val="Hyperlink"/>
          <w:rFonts w:ascii="Arial" w:hAnsi="Arial" w:cs="Arial"/>
          <w:color w:val="000000" w:themeColor="text1"/>
          <w:sz w:val="20"/>
          <w:szCs w:val="20"/>
          <w:u w:val="none"/>
        </w:rPr>
      </w:pPr>
      <w:r w:rsidRPr="00E473B9">
        <w:rPr>
          <w:rFonts w:ascii="Arial" w:hAnsi="Arial" w:cs="Arial"/>
          <w:color w:val="000000" w:themeColor="text1"/>
          <w:sz w:val="20"/>
          <w:szCs w:val="20"/>
        </w:rPr>
        <w:t xml:space="preserve">Siepmann, J., &amp; Siepmann, F. (2012). Modeling of </w:t>
      </w:r>
      <w:proofErr w:type="gramStart"/>
      <w:r w:rsidRPr="00E473B9">
        <w:rPr>
          <w:rFonts w:ascii="Arial" w:hAnsi="Arial" w:cs="Arial"/>
          <w:color w:val="000000" w:themeColor="text1"/>
          <w:sz w:val="20"/>
          <w:szCs w:val="20"/>
        </w:rPr>
        <w:t>diffusion controlled</w:t>
      </w:r>
      <w:proofErr w:type="gramEnd"/>
      <w:r w:rsidRPr="00E473B9">
        <w:rPr>
          <w:rFonts w:ascii="Arial" w:hAnsi="Arial" w:cs="Arial"/>
          <w:color w:val="000000" w:themeColor="text1"/>
          <w:sz w:val="20"/>
          <w:szCs w:val="20"/>
        </w:rPr>
        <w:t xml:space="preserve"> drug delivery. </w:t>
      </w:r>
      <w:r w:rsidRPr="00E473B9">
        <w:rPr>
          <w:rFonts w:ascii="Arial" w:hAnsi="Arial" w:cs="Arial"/>
          <w:iCs/>
          <w:color w:val="000000" w:themeColor="text1"/>
          <w:sz w:val="20"/>
          <w:szCs w:val="20"/>
        </w:rPr>
        <w:t>J Control Release, 161(2),351-62</w:t>
      </w:r>
      <w:r w:rsidRPr="00E473B9">
        <w:rPr>
          <w:rFonts w:ascii="Arial" w:hAnsi="Arial" w:cs="Arial"/>
          <w:color w:val="000000" w:themeColor="text1"/>
          <w:sz w:val="20"/>
          <w:szCs w:val="20"/>
        </w:rPr>
        <w:t xml:space="preserve">. </w:t>
      </w:r>
      <w:hyperlink r:id="rId54" w:history="1">
        <w:r w:rsidRPr="00E473B9">
          <w:rPr>
            <w:rStyle w:val="Hyperlink"/>
            <w:rFonts w:ascii="Arial" w:hAnsi="Arial" w:cs="Arial"/>
            <w:color w:val="000000" w:themeColor="text1"/>
            <w:sz w:val="20"/>
            <w:szCs w:val="20"/>
          </w:rPr>
          <w:t>https://doi.org/10.1016/j.jconrel.2011.10.006</w:t>
        </w:r>
      </w:hyperlink>
      <w:r w:rsidR="000F48D1" w:rsidRPr="00E473B9">
        <w:rPr>
          <w:rStyle w:val="Hyperlink"/>
          <w:rFonts w:ascii="Arial" w:hAnsi="Arial" w:cs="Arial"/>
          <w:color w:val="000000" w:themeColor="text1"/>
          <w:sz w:val="20"/>
          <w:szCs w:val="20"/>
        </w:rPr>
        <w:t>.</w:t>
      </w:r>
    </w:p>
    <w:p w14:paraId="7F48FBA5" w14:textId="05483F36" w:rsidR="000F48D1" w:rsidRPr="00E473B9" w:rsidRDefault="000F48D1"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Palem, C. R., Balguri, P. R., </w:t>
      </w:r>
      <w:proofErr w:type="spellStart"/>
      <w:r w:rsidRPr="00E473B9">
        <w:rPr>
          <w:rFonts w:ascii="Arial" w:hAnsi="Arial" w:cs="Arial"/>
          <w:color w:val="000000" w:themeColor="text1"/>
          <w:sz w:val="20"/>
          <w:szCs w:val="20"/>
        </w:rPr>
        <w:t>Nagamalli</w:t>
      </w:r>
      <w:proofErr w:type="spellEnd"/>
      <w:r w:rsidRPr="00E473B9">
        <w:rPr>
          <w:rFonts w:ascii="Arial" w:hAnsi="Arial" w:cs="Arial"/>
          <w:color w:val="000000" w:themeColor="text1"/>
          <w:sz w:val="20"/>
          <w:szCs w:val="20"/>
        </w:rPr>
        <w:t xml:space="preserve">, N. K., Lekkala, V. K., &amp; Gumudevelli, S. (2026). Self-nanoemulsifying drug delivery systems in soft </w:t>
      </w:r>
      <w:proofErr w:type="spellStart"/>
      <w:r w:rsidRPr="00E473B9">
        <w:rPr>
          <w:rFonts w:ascii="Arial" w:hAnsi="Arial" w:cs="Arial"/>
          <w:color w:val="000000" w:themeColor="text1"/>
          <w:sz w:val="20"/>
          <w:szCs w:val="20"/>
        </w:rPr>
        <w:t>gelatin</w:t>
      </w:r>
      <w:proofErr w:type="spellEnd"/>
      <w:r w:rsidRPr="00E473B9">
        <w:rPr>
          <w:rFonts w:ascii="Arial" w:hAnsi="Arial" w:cs="Arial"/>
          <w:color w:val="000000" w:themeColor="text1"/>
          <w:sz w:val="20"/>
          <w:szCs w:val="20"/>
        </w:rPr>
        <w:t xml:space="preserve"> capsules: Formulation advances, manufacturing challenges, and future perspectives. Journal of Drug Delivery and Therapeutics, 16(2), 10–21.</w:t>
      </w:r>
    </w:p>
    <w:p w14:paraId="26976E1B" w14:textId="77777777" w:rsidR="00735C9A" w:rsidRPr="00E473B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Neumann, P. J., Cohen, J. T., &amp; Weinstein, M. C. (2014). Updating cost-effectiveness—the curious resilience of the $50,000-per-QALY threshold. </w:t>
      </w:r>
      <w:r w:rsidRPr="00E473B9">
        <w:rPr>
          <w:rFonts w:ascii="Arial" w:hAnsi="Arial" w:cs="Arial"/>
          <w:iCs/>
          <w:color w:val="000000" w:themeColor="text1"/>
          <w:sz w:val="20"/>
          <w:szCs w:val="20"/>
        </w:rPr>
        <w:t>New England Journal of Medicine, 371</w:t>
      </w:r>
      <w:r w:rsidRPr="00E473B9">
        <w:rPr>
          <w:rFonts w:ascii="Arial" w:hAnsi="Arial" w:cs="Arial"/>
          <w:color w:val="000000" w:themeColor="text1"/>
          <w:sz w:val="20"/>
          <w:szCs w:val="20"/>
        </w:rPr>
        <w:t xml:space="preserve">(9), 796–797. </w:t>
      </w:r>
      <w:hyperlink r:id="rId55" w:tgtFrame="_new" w:history="1">
        <w:r w:rsidRPr="00E473B9">
          <w:rPr>
            <w:rStyle w:val="Hyperlink"/>
            <w:rFonts w:ascii="Arial" w:hAnsi="Arial" w:cs="Arial"/>
            <w:color w:val="000000" w:themeColor="text1"/>
            <w:sz w:val="20"/>
            <w:szCs w:val="20"/>
          </w:rPr>
          <w:t>https://doi.org/10.1056/NEJMp1405158</w:t>
        </w:r>
      </w:hyperlink>
      <w:r w:rsidRPr="00E473B9">
        <w:rPr>
          <w:rStyle w:val="Hyperlink"/>
          <w:rFonts w:ascii="Arial" w:hAnsi="Arial" w:cs="Arial"/>
          <w:color w:val="000000" w:themeColor="text1"/>
          <w:sz w:val="20"/>
          <w:szCs w:val="20"/>
        </w:rPr>
        <w:t xml:space="preserve"> </w:t>
      </w:r>
    </w:p>
    <w:p w14:paraId="0650FEE6" w14:textId="77777777" w:rsidR="00F17FAE" w:rsidRPr="00E473B9" w:rsidRDefault="00735C9A"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E473B9">
        <w:rPr>
          <w:rFonts w:ascii="Arial" w:hAnsi="Arial" w:cs="Arial"/>
          <w:color w:val="000000" w:themeColor="text1"/>
          <w:sz w:val="20"/>
          <w:szCs w:val="20"/>
        </w:rPr>
        <w:t xml:space="preserve">Holekamp, N. M. (2019). Review of neovascular age-related macular degeneration treatment options. </w:t>
      </w:r>
      <w:r w:rsidRPr="00E473B9">
        <w:rPr>
          <w:rFonts w:ascii="Arial" w:hAnsi="Arial" w:cs="Arial"/>
          <w:iCs/>
          <w:color w:val="000000" w:themeColor="text1"/>
          <w:sz w:val="20"/>
          <w:szCs w:val="20"/>
        </w:rPr>
        <w:t>American Journal of Managed Care, 25</w:t>
      </w:r>
      <w:r w:rsidRPr="00E473B9">
        <w:rPr>
          <w:rFonts w:ascii="Arial" w:hAnsi="Arial" w:cs="Arial"/>
          <w:color w:val="000000" w:themeColor="text1"/>
          <w:sz w:val="20"/>
          <w:szCs w:val="20"/>
        </w:rPr>
        <w:t>(10), S172–S181.</w:t>
      </w:r>
    </w:p>
    <w:p w14:paraId="71239311" w14:textId="4B3689CB" w:rsidR="00DF741B" w:rsidRPr="00E473B9" w:rsidRDefault="00735C9A" w:rsidP="00F17FAE">
      <w:pPr>
        <w:pStyle w:val="NormalWeb"/>
        <w:numPr>
          <w:ilvl w:val="0"/>
          <w:numId w:val="7"/>
        </w:numPr>
        <w:spacing w:before="0" w:beforeAutospacing="0" w:after="0" w:afterAutospacing="0"/>
        <w:ind w:left="284" w:hanging="284"/>
        <w:jc w:val="both"/>
        <w:rPr>
          <w:rStyle w:val="Hyperlink"/>
          <w:rFonts w:ascii="Arial" w:hAnsi="Arial" w:cs="Arial"/>
          <w:color w:val="000000" w:themeColor="text1"/>
          <w:sz w:val="20"/>
          <w:szCs w:val="20"/>
          <w:u w:val="none"/>
        </w:rPr>
      </w:pPr>
      <w:r w:rsidRPr="00E473B9">
        <w:rPr>
          <w:rFonts w:ascii="Arial" w:hAnsi="Arial" w:cs="Arial"/>
          <w:color w:val="000000" w:themeColor="text1"/>
          <w:sz w:val="20"/>
          <w:szCs w:val="20"/>
        </w:rPr>
        <w:t xml:space="preserve">Realini, T. (2008). Selective laser trabeculoplasty: A review. </w:t>
      </w:r>
      <w:r w:rsidRPr="00E473B9">
        <w:rPr>
          <w:rFonts w:ascii="Arial" w:hAnsi="Arial" w:cs="Arial"/>
          <w:iCs/>
          <w:color w:val="000000" w:themeColor="text1"/>
          <w:sz w:val="20"/>
          <w:szCs w:val="20"/>
        </w:rPr>
        <w:t>Journal of Glaucoma, 17</w:t>
      </w:r>
      <w:r w:rsidR="006939E9" w:rsidRPr="00E473B9">
        <w:rPr>
          <w:rFonts w:ascii="Arial" w:hAnsi="Arial" w:cs="Arial"/>
          <w:color w:val="000000" w:themeColor="text1"/>
          <w:sz w:val="20"/>
          <w:szCs w:val="20"/>
        </w:rPr>
        <w:t xml:space="preserve">(6), 497–502. </w:t>
      </w:r>
      <w:hyperlink r:id="rId56" w:history="1">
        <w:r w:rsidR="006939E9" w:rsidRPr="00E473B9">
          <w:rPr>
            <w:rStyle w:val="Hyperlink"/>
            <w:rFonts w:ascii="Arial" w:hAnsi="Arial" w:cs="Arial"/>
            <w:color w:val="000000" w:themeColor="text1"/>
            <w:sz w:val="20"/>
            <w:szCs w:val="20"/>
          </w:rPr>
          <w:t>https://doi.org/10.1097/ijg.0b013e31817d2386</w:t>
        </w:r>
      </w:hyperlink>
      <w:r w:rsidR="00DF741B" w:rsidRPr="00E473B9">
        <w:rPr>
          <w:rStyle w:val="Hyperlink"/>
          <w:rFonts w:ascii="Arial" w:hAnsi="Arial" w:cs="Arial"/>
          <w:color w:val="000000" w:themeColor="text1"/>
          <w:sz w:val="20"/>
          <w:szCs w:val="20"/>
        </w:rPr>
        <w:t>.</w:t>
      </w:r>
      <w:bookmarkEnd w:id="0"/>
    </w:p>
    <w:sectPr w:rsidR="00DF741B" w:rsidRPr="00E473B9" w:rsidSect="0045286C">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FFDD6" w14:textId="77777777" w:rsidR="00861A4D" w:rsidRDefault="00861A4D" w:rsidP="002636B7">
      <w:pPr>
        <w:spacing w:after="0" w:line="240" w:lineRule="auto"/>
      </w:pPr>
      <w:r>
        <w:separator/>
      </w:r>
    </w:p>
  </w:endnote>
  <w:endnote w:type="continuationSeparator" w:id="0">
    <w:p w14:paraId="3BB3A1FC" w14:textId="77777777" w:rsidR="00861A4D" w:rsidRDefault="00861A4D" w:rsidP="0026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9C0E" w14:textId="77777777" w:rsidR="008A7ABE" w:rsidRDefault="008A7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B591" w14:textId="77777777" w:rsidR="008A7ABE" w:rsidRDefault="008A7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ADEC" w14:textId="77777777" w:rsidR="008A7ABE" w:rsidRDefault="008A7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CE709" w14:textId="77777777" w:rsidR="00861A4D" w:rsidRDefault="00861A4D" w:rsidP="002636B7">
      <w:pPr>
        <w:spacing w:after="0" w:line="240" w:lineRule="auto"/>
      </w:pPr>
      <w:r>
        <w:separator/>
      </w:r>
    </w:p>
  </w:footnote>
  <w:footnote w:type="continuationSeparator" w:id="0">
    <w:p w14:paraId="76BB8C8E" w14:textId="77777777" w:rsidR="00861A4D" w:rsidRDefault="00861A4D" w:rsidP="00263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1A36" w14:textId="1B93F78A" w:rsidR="008A7ABE" w:rsidRDefault="00861A4D">
    <w:pPr>
      <w:pStyle w:val="Header"/>
    </w:pPr>
    <w:r>
      <w:rPr>
        <w:noProof/>
      </w:rPr>
      <w:pict w14:anchorId="6F6BF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340A" w14:textId="5696BA35" w:rsidR="008A7ABE" w:rsidRDefault="00861A4D">
    <w:pPr>
      <w:pStyle w:val="Header"/>
    </w:pPr>
    <w:r>
      <w:rPr>
        <w:noProof/>
      </w:rPr>
      <w:pict w14:anchorId="64C43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87F7" w14:textId="1A9147B4" w:rsidR="008A7ABE" w:rsidRDefault="00861A4D">
    <w:pPr>
      <w:pStyle w:val="Header"/>
    </w:pPr>
    <w:r>
      <w:rPr>
        <w:noProof/>
      </w:rPr>
      <w:pict w14:anchorId="7C4FC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464"/>
    <w:multiLevelType w:val="hybridMultilevel"/>
    <w:tmpl w:val="90C4519C"/>
    <w:lvl w:ilvl="0" w:tplc="27EC116C">
      <w:start w:val="1"/>
      <w:numFmt w:val="decimal"/>
      <w:lvlText w:val="%1."/>
      <w:lvlJc w:val="left"/>
      <w:pPr>
        <w:ind w:left="36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A07ECE"/>
    <w:multiLevelType w:val="multilevel"/>
    <w:tmpl w:val="E58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468B5"/>
    <w:multiLevelType w:val="multilevel"/>
    <w:tmpl w:val="73E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41C1C"/>
    <w:multiLevelType w:val="hybridMultilevel"/>
    <w:tmpl w:val="2A2A0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561CF9"/>
    <w:multiLevelType w:val="hybridMultilevel"/>
    <w:tmpl w:val="772A0C2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7A64AB"/>
    <w:multiLevelType w:val="hybridMultilevel"/>
    <w:tmpl w:val="C5807B2E"/>
    <w:lvl w:ilvl="0" w:tplc="C42C4F5A">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5FB612D"/>
    <w:multiLevelType w:val="multilevel"/>
    <w:tmpl w:val="C866AA8A"/>
    <w:lvl w:ilvl="0">
      <w:start w:val="1"/>
      <w:numFmt w:val="decimal"/>
      <w:lvlText w:val="%1."/>
      <w:lvlJc w:val="left"/>
      <w:pPr>
        <w:ind w:left="720" w:hanging="360"/>
      </w:pPr>
      <w:rPr>
        <w:rFonts w:hint="default"/>
        <w:b/>
        <w:sz w:val="22"/>
        <w:szCs w:val="22"/>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AA1E28"/>
    <w:multiLevelType w:val="multilevel"/>
    <w:tmpl w:val="4066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062FD9"/>
    <w:multiLevelType w:val="multilevel"/>
    <w:tmpl w:val="B8FC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24D5D"/>
    <w:multiLevelType w:val="hybridMultilevel"/>
    <w:tmpl w:val="AAEE0DCE"/>
    <w:lvl w:ilvl="0" w:tplc="05BC4C2C">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3"/>
  </w:num>
  <w:num w:numId="7">
    <w:abstractNumId w:val="0"/>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DE"/>
    <w:rsid w:val="0001370C"/>
    <w:rsid w:val="0001421C"/>
    <w:rsid w:val="0002278F"/>
    <w:rsid w:val="0002703C"/>
    <w:rsid w:val="00031210"/>
    <w:rsid w:val="00032E3F"/>
    <w:rsid w:val="000344CF"/>
    <w:rsid w:val="00042869"/>
    <w:rsid w:val="0005013E"/>
    <w:rsid w:val="00060D9F"/>
    <w:rsid w:val="00084CF6"/>
    <w:rsid w:val="0009215C"/>
    <w:rsid w:val="0009659A"/>
    <w:rsid w:val="000A1ABB"/>
    <w:rsid w:val="000D0A52"/>
    <w:rsid w:val="000D40CE"/>
    <w:rsid w:val="000E3510"/>
    <w:rsid w:val="000E4405"/>
    <w:rsid w:val="000F3409"/>
    <w:rsid w:val="000F48D1"/>
    <w:rsid w:val="00100072"/>
    <w:rsid w:val="001163A9"/>
    <w:rsid w:val="001206B8"/>
    <w:rsid w:val="00125DFD"/>
    <w:rsid w:val="00130114"/>
    <w:rsid w:val="00132BE2"/>
    <w:rsid w:val="00134E0E"/>
    <w:rsid w:val="00151455"/>
    <w:rsid w:val="00154295"/>
    <w:rsid w:val="001554C8"/>
    <w:rsid w:val="00163F83"/>
    <w:rsid w:val="00165E3D"/>
    <w:rsid w:val="0017313D"/>
    <w:rsid w:val="00174F4F"/>
    <w:rsid w:val="00177EA8"/>
    <w:rsid w:val="001830EF"/>
    <w:rsid w:val="00183BED"/>
    <w:rsid w:val="00192F4B"/>
    <w:rsid w:val="001A597D"/>
    <w:rsid w:val="001A7497"/>
    <w:rsid w:val="001A74F4"/>
    <w:rsid w:val="001E5AB2"/>
    <w:rsid w:val="00216384"/>
    <w:rsid w:val="00230922"/>
    <w:rsid w:val="00234DF3"/>
    <w:rsid w:val="0023528A"/>
    <w:rsid w:val="00251B6D"/>
    <w:rsid w:val="00257E7C"/>
    <w:rsid w:val="002636B7"/>
    <w:rsid w:val="00263F4A"/>
    <w:rsid w:val="002874D6"/>
    <w:rsid w:val="00295086"/>
    <w:rsid w:val="002A13CF"/>
    <w:rsid w:val="002A3599"/>
    <w:rsid w:val="002A6D4E"/>
    <w:rsid w:val="002C0DDF"/>
    <w:rsid w:val="002C5523"/>
    <w:rsid w:val="002D6EBA"/>
    <w:rsid w:val="002E2F8A"/>
    <w:rsid w:val="002E7204"/>
    <w:rsid w:val="002F249F"/>
    <w:rsid w:val="00300EE7"/>
    <w:rsid w:val="0031559A"/>
    <w:rsid w:val="00345934"/>
    <w:rsid w:val="003479B6"/>
    <w:rsid w:val="00376D43"/>
    <w:rsid w:val="00381ED9"/>
    <w:rsid w:val="003825F0"/>
    <w:rsid w:val="003B1418"/>
    <w:rsid w:val="003B1A46"/>
    <w:rsid w:val="003B3B95"/>
    <w:rsid w:val="003B66CA"/>
    <w:rsid w:val="003B6F19"/>
    <w:rsid w:val="003C1393"/>
    <w:rsid w:val="003D46F0"/>
    <w:rsid w:val="003E7AD8"/>
    <w:rsid w:val="003F48EA"/>
    <w:rsid w:val="00423129"/>
    <w:rsid w:val="00435E0C"/>
    <w:rsid w:val="0045286C"/>
    <w:rsid w:val="00453084"/>
    <w:rsid w:val="0046346F"/>
    <w:rsid w:val="00463955"/>
    <w:rsid w:val="00476ED4"/>
    <w:rsid w:val="00477C5B"/>
    <w:rsid w:val="00485234"/>
    <w:rsid w:val="0049730E"/>
    <w:rsid w:val="004C0441"/>
    <w:rsid w:val="004D7500"/>
    <w:rsid w:val="00512FED"/>
    <w:rsid w:val="005333DF"/>
    <w:rsid w:val="00540CB0"/>
    <w:rsid w:val="00543AF2"/>
    <w:rsid w:val="005651CE"/>
    <w:rsid w:val="005766CE"/>
    <w:rsid w:val="005A7CB7"/>
    <w:rsid w:val="005B3F39"/>
    <w:rsid w:val="005B60F6"/>
    <w:rsid w:val="005C2303"/>
    <w:rsid w:val="005C2B1A"/>
    <w:rsid w:val="005C4095"/>
    <w:rsid w:val="005C42AF"/>
    <w:rsid w:val="005F1A33"/>
    <w:rsid w:val="005F4A65"/>
    <w:rsid w:val="00604AE7"/>
    <w:rsid w:val="0061248A"/>
    <w:rsid w:val="006236FD"/>
    <w:rsid w:val="006734C6"/>
    <w:rsid w:val="00684AD0"/>
    <w:rsid w:val="006926A8"/>
    <w:rsid w:val="006939E9"/>
    <w:rsid w:val="006A1045"/>
    <w:rsid w:val="006A76ED"/>
    <w:rsid w:val="006B04CB"/>
    <w:rsid w:val="006B5B2A"/>
    <w:rsid w:val="006C2996"/>
    <w:rsid w:val="006D6A6C"/>
    <w:rsid w:val="006F2EE5"/>
    <w:rsid w:val="00702595"/>
    <w:rsid w:val="007200FC"/>
    <w:rsid w:val="00735C9A"/>
    <w:rsid w:val="00736EBA"/>
    <w:rsid w:val="00753F24"/>
    <w:rsid w:val="007772B5"/>
    <w:rsid w:val="007B0D6C"/>
    <w:rsid w:val="007C01A9"/>
    <w:rsid w:val="007D65E5"/>
    <w:rsid w:val="007E75AD"/>
    <w:rsid w:val="007E785C"/>
    <w:rsid w:val="007E78A9"/>
    <w:rsid w:val="00800349"/>
    <w:rsid w:val="00815D97"/>
    <w:rsid w:val="0083075F"/>
    <w:rsid w:val="00831DD4"/>
    <w:rsid w:val="00844254"/>
    <w:rsid w:val="00861A4D"/>
    <w:rsid w:val="008832B6"/>
    <w:rsid w:val="0088794E"/>
    <w:rsid w:val="00892ED7"/>
    <w:rsid w:val="00892FB9"/>
    <w:rsid w:val="008A5EBC"/>
    <w:rsid w:val="008A7ABE"/>
    <w:rsid w:val="008C6E3E"/>
    <w:rsid w:val="008D2043"/>
    <w:rsid w:val="00915FDE"/>
    <w:rsid w:val="00930B6A"/>
    <w:rsid w:val="00931C41"/>
    <w:rsid w:val="009436C4"/>
    <w:rsid w:val="00943CBB"/>
    <w:rsid w:val="00957A6A"/>
    <w:rsid w:val="0096345F"/>
    <w:rsid w:val="00980DE5"/>
    <w:rsid w:val="009A446F"/>
    <w:rsid w:val="009B1C59"/>
    <w:rsid w:val="009C74B2"/>
    <w:rsid w:val="009D1960"/>
    <w:rsid w:val="009D72DD"/>
    <w:rsid w:val="009E100E"/>
    <w:rsid w:val="009E41D5"/>
    <w:rsid w:val="009F421B"/>
    <w:rsid w:val="00A05B45"/>
    <w:rsid w:val="00A117C9"/>
    <w:rsid w:val="00A17513"/>
    <w:rsid w:val="00A44782"/>
    <w:rsid w:val="00A44BC7"/>
    <w:rsid w:val="00A678FC"/>
    <w:rsid w:val="00A703E5"/>
    <w:rsid w:val="00A72CAE"/>
    <w:rsid w:val="00A9287E"/>
    <w:rsid w:val="00A934E9"/>
    <w:rsid w:val="00A97F48"/>
    <w:rsid w:val="00AB1DDD"/>
    <w:rsid w:val="00AB2352"/>
    <w:rsid w:val="00AD40B1"/>
    <w:rsid w:val="00AD5732"/>
    <w:rsid w:val="00AD7F07"/>
    <w:rsid w:val="00AE1C05"/>
    <w:rsid w:val="00AE3D05"/>
    <w:rsid w:val="00AF2F0B"/>
    <w:rsid w:val="00B02BF5"/>
    <w:rsid w:val="00B02C93"/>
    <w:rsid w:val="00B20542"/>
    <w:rsid w:val="00B467DE"/>
    <w:rsid w:val="00B513FF"/>
    <w:rsid w:val="00B6295B"/>
    <w:rsid w:val="00B6494B"/>
    <w:rsid w:val="00BD527E"/>
    <w:rsid w:val="00BD6910"/>
    <w:rsid w:val="00BE537C"/>
    <w:rsid w:val="00C10021"/>
    <w:rsid w:val="00C13E5C"/>
    <w:rsid w:val="00C21AC3"/>
    <w:rsid w:val="00C72B9E"/>
    <w:rsid w:val="00C7323C"/>
    <w:rsid w:val="00C94C37"/>
    <w:rsid w:val="00CA1993"/>
    <w:rsid w:val="00CA29E6"/>
    <w:rsid w:val="00CB0354"/>
    <w:rsid w:val="00CB570F"/>
    <w:rsid w:val="00CC0E42"/>
    <w:rsid w:val="00CD4106"/>
    <w:rsid w:val="00CE781F"/>
    <w:rsid w:val="00D01F97"/>
    <w:rsid w:val="00D031BC"/>
    <w:rsid w:val="00D15559"/>
    <w:rsid w:val="00D26300"/>
    <w:rsid w:val="00D5006E"/>
    <w:rsid w:val="00D60F2E"/>
    <w:rsid w:val="00D64807"/>
    <w:rsid w:val="00D6634C"/>
    <w:rsid w:val="00D72C63"/>
    <w:rsid w:val="00D72EAF"/>
    <w:rsid w:val="00D848E5"/>
    <w:rsid w:val="00D92232"/>
    <w:rsid w:val="00D93C31"/>
    <w:rsid w:val="00DA2279"/>
    <w:rsid w:val="00DB6F55"/>
    <w:rsid w:val="00DE0D16"/>
    <w:rsid w:val="00DF1AAD"/>
    <w:rsid w:val="00DF6692"/>
    <w:rsid w:val="00DF6CF0"/>
    <w:rsid w:val="00DF741B"/>
    <w:rsid w:val="00E075C5"/>
    <w:rsid w:val="00E15F15"/>
    <w:rsid w:val="00E175C0"/>
    <w:rsid w:val="00E1785A"/>
    <w:rsid w:val="00E22F31"/>
    <w:rsid w:val="00E37669"/>
    <w:rsid w:val="00E45418"/>
    <w:rsid w:val="00E473B9"/>
    <w:rsid w:val="00E64AE7"/>
    <w:rsid w:val="00E72C3D"/>
    <w:rsid w:val="00E72FB2"/>
    <w:rsid w:val="00E967CE"/>
    <w:rsid w:val="00EA0123"/>
    <w:rsid w:val="00EA0138"/>
    <w:rsid w:val="00EE5CF5"/>
    <w:rsid w:val="00EF3126"/>
    <w:rsid w:val="00F025E7"/>
    <w:rsid w:val="00F072B0"/>
    <w:rsid w:val="00F106D8"/>
    <w:rsid w:val="00F17FAE"/>
    <w:rsid w:val="00F2386C"/>
    <w:rsid w:val="00F27A76"/>
    <w:rsid w:val="00F37911"/>
    <w:rsid w:val="00F62736"/>
    <w:rsid w:val="00F66A68"/>
    <w:rsid w:val="00F6724B"/>
    <w:rsid w:val="00F71EE1"/>
    <w:rsid w:val="00F746B6"/>
    <w:rsid w:val="00FA235F"/>
    <w:rsid w:val="00FC13FE"/>
    <w:rsid w:val="00FC4F7B"/>
    <w:rsid w:val="00FC5DDC"/>
    <w:rsid w:val="00FD5E24"/>
    <w:rsid w:val="00FD7673"/>
    <w:rsid w:val="00FE71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29E99C"/>
  <w15:chartTrackingRefBased/>
  <w15:docId w15:val="{035ED18A-E218-4008-8FC8-C0EEFA70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C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01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703E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3F48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03E5"/>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703E5"/>
    <w:rPr>
      <w:b/>
      <w:bCs/>
    </w:rPr>
  </w:style>
  <w:style w:type="paragraph" w:styleId="NormalWeb">
    <w:name w:val="Normal (Web)"/>
    <w:basedOn w:val="Normal"/>
    <w:uiPriority w:val="99"/>
    <w:unhideWhenUsed/>
    <w:rsid w:val="00A703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05013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63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6B7"/>
  </w:style>
  <w:style w:type="paragraph" w:styleId="Footer">
    <w:name w:val="footer"/>
    <w:basedOn w:val="Normal"/>
    <w:link w:val="FooterChar"/>
    <w:uiPriority w:val="99"/>
    <w:unhideWhenUsed/>
    <w:rsid w:val="00263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6B7"/>
  </w:style>
  <w:style w:type="character" w:customStyle="1" w:styleId="Heading4Char">
    <w:name w:val="Heading 4 Char"/>
    <w:basedOn w:val="DefaultParagraphFont"/>
    <w:link w:val="Heading4"/>
    <w:uiPriority w:val="9"/>
    <w:rsid w:val="003F48E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02BF5"/>
    <w:rPr>
      <w:i/>
      <w:iCs/>
    </w:rPr>
  </w:style>
  <w:style w:type="table" w:styleId="TableGrid">
    <w:name w:val="Table Grid"/>
    <w:basedOn w:val="TableNormal"/>
    <w:uiPriority w:val="39"/>
    <w:rsid w:val="00CB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254"/>
    <w:rPr>
      <w:color w:val="0000FF"/>
      <w:u w:val="single"/>
    </w:rPr>
  </w:style>
  <w:style w:type="character" w:customStyle="1" w:styleId="Heading1Char">
    <w:name w:val="Heading 1 Char"/>
    <w:basedOn w:val="DefaultParagraphFont"/>
    <w:link w:val="Heading1"/>
    <w:uiPriority w:val="9"/>
    <w:rsid w:val="009B1C59"/>
    <w:rPr>
      <w:rFonts w:asciiTheme="majorHAnsi" w:eastAsiaTheme="majorEastAsia" w:hAnsiTheme="majorHAnsi" w:cstheme="majorBidi"/>
      <w:color w:val="2F5496" w:themeColor="accent1" w:themeShade="BF"/>
      <w:sz w:val="32"/>
      <w:szCs w:val="32"/>
    </w:rPr>
  </w:style>
  <w:style w:type="character" w:customStyle="1" w:styleId="authors-list-item">
    <w:name w:val="authors-list-item"/>
    <w:basedOn w:val="DefaultParagraphFont"/>
    <w:rsid w:val="00174F4F"/>
  </w:style>
  <w:style w:type="paragraph" w:styleId="NoSpacing">
    <w:name w:val="No Spacing"/>
    <w:uiPriority w:val="1"/>
    <w:qFormat/>
    <w:rsid w:val="005B3F39"/>
    <w:pPr>
      <w:spacing w:after="0" w:line="240" w:lineRule="auto"/>
      <w:jc w:val="both"/>
    </w:pPr>
    <w:rPr>
      <w:rFonts w:ascii="Palatino Linotype" w:eastAsia="SimSun" w:hAnsi="Palatino Linotype" w:cs="Times New Roman"/>
      <w:noProof/>
      <w:color w:val="000000"/>
      <w:sz w:val="20"/>
      <w:szCs w:val="20"/>
      <w:lang w:val="en-US" w:eastAsia="zh-CN"/>
    </w:rPr>
  </w:style>
  <w:style w:type="paragraph" w:customStyle="1" w:styleId="Author">
    <w:name w:val="Author"/>
    <w:basedOn w:val="Normal"/>
    <w:rsid w:val="005B3F39"/>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5B3F39"/>
    <w:pPr>
      <w:spacing w:after="240" w:line="240" w:lineRule="auto"/>
      <w:jc w:val="both"/>
    </w:pPr>
    <w:rPr>
      <w:rFonts w:ascii="Helvetica" w:eastAsia="Times New Roman" w:hAnsi="Helvetica" w:cs="Times New Roman"/>
      <w:sz w:val="20"/>
      <w:szCs w:val="20"/>
      <w:lang w:val="en-US"/>
    </w:rPr>
  </w:style>
  <w:style w:type="paragraph" w:styleId="ListParagraph">
    <w:name w:val="List Paragraph"/>
    <w:basedOn w:val="Normal"/>
    <w:uiPriority w:val="34"/>
    <w:qFormat/>
    <w:rsid w:val="00D15559"/>
    <w:pPr>
      <w:ind w:left="720"/>
      <w:contextualSpacing/>
    </w:pPr>
  </w:style>
  <w:style w:type="character" w:customStyle="1" w:styleId="name">
    <w:name w:val="name"/>
    <w:basedOn w:val="DefaultParagraphFont"/>
    <w:rsid w:val="00E15F15"/>
  </w:style>
  <w:style w:type="paragraph" w:customStyle="1" w:styleId="dx-doi">
    <w:name w:val="dx-doi"/>
    <w:basedOn w:val="Normal"/>
    <w:rsid w:val="00BD69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1">
    <w:name w:val="Unresolved Mention1"/>
    <w:basedOn w:val="DefaultParagraphFont"/>
    <w:uiPriority w:val="99"/>
    <w:semiHidden/>
    <w:unhideWhenUsed/>
    <w:rsid w:val="00BD6910"/>
    <w:rPr>
      <w:color w:val="605E5C"/>
      <w:shd w:val="clear" w:color="auto" w:fill="E1DFDD"/>
    </w:rPr>
  </w:style>
  <w:style w:type="paragraph" w:customStyle="1" w:styleId="Default">
    <w:name w:val="Default"/>
    <w:rsid w:val="00A9287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FC13FE"/>
    <w:rPr>
      <w:color w:val="954F72" w:themeColor="followedHyperlink"/>
      <w:u w:val="single"/>
    </w:rPr>
  </w:style>
  <w:style w:type="character" w:styleId="LineNumber">
    <w:name w:val="line number"/>
    <w:basedOn w:val="DefaultParagraphFont"/>
    <w:uiPriority w:val="99"/>
    <w:semiHidden/>
    <w:unhideWhenUsed/>
    <w:rsid w:val="00AF2F0B"/>
  </w:style>
  <w:style w:type="character" w:styleId="UnresolvedMention">
    <w:name w:val="Unresolved Mention"/>
    <w:basedOn w:val="DefaultParagraphFont"/>
    <w:uiPriority w:val="99"/>
    <w:semiHidden/>
    <w:unhideWhenUsed/>
    <w:rsid w:val="00FC4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366">
      <w:bodyDiv w:val="1"/>
      <w:marLeft w:val="0"/>
      <w:marRight w:val="0"/>
      <w:marTop w:val="0"/>
      <w:marBottom w:val="0"/>
      <w:divBdr>
        <w:top w:val="none" w:sz="0" w:space="0" w:color="auto"/>
        <w:left w:val="none" w:sz="0" w:space="0" w:color="auto"/>
        <w:bottom w:val="none" w:sz="0" w:space="0" w:color="auto"/>
        <w:right w:val="none" w:sz="0" w:space="0" w:color="auto"/>
      </w:divBdr>
    </w:div>
    <w:div w:id="36007752">
      <w:bodyDiv w:val="1"/>
      <w:marLeft w:val="0"/>
      <w:marRight w:val="0"/>
      <w:marTop w:val="0"/>
      <w:marBottom w:val="0"/>
      <w:divBdr>
        <w:top w:val="none" w:sz="0" w:space="0" w:color="auto"/>
        <w:left w:val="none" w:sz="0" w:space="0" w:color="auto"/>
        <w:bottom w:val="none" w:sz="0" w:space="0" w:color="auto"/>
        <w:right w:val="none" w:sz="0" w:space="0" w:color="auto"/>
      </w:divBdr>
    </w:div>
    <w:div w:id="64845449">
      <w:bodyDiv w:val="1"/>
      <w:marLeft w:val="0"/>
      <w:marRight w:val="0"/>
      <w:marTop w:val="0"/>
      <w:marBottom w:val="0"/>
      <w:divBdr>
        <w:top w:val="none" w:sz="0" w:space="0" w:color="auto"/>
        <w:left w:val="none" w:sz="0" w:space="0" w:color="auto"/>
        <w:bottom w:val="none" w:sz="0" w:space="0" w:color="auto"/>
        <w:right w:val="none" w:sz="0" w:space="0" w:color="auto"/>
      </w:divBdr>
    </w:div>
    <w:div w:id="103353540">
      <w:bodyDiv w:val="1"/>
      <w:marLeft w:val="0"/>
      <w:marRight w:val="0"/>
      <w:marTop w:val="0"/>
      <w:marBottom w:val="0"/>
      <w:divBdr>
        <w:top w:val="none" w:sz="0" w:space="0" w:color="auto"/>
        <w:left w:val="none" w:sz="0" w:space="0" w:color="auto"/>
        <w:bottom w:val="none" w:sz="0" w:space="0" w:color="auto"/>
        <w:right w:val="none" w:sz="0" w:space="0" w:color="auto"/>
      </w:divBdr>
    </w:div>
    <w:div w:id="136075877">
      <w:bodyDiv w:val="1"/>
      <w:marLeft w:val="0"/>
      <w:marRight w:val="0"/>
      <w:marTop w:val="0"/>
      <w:marBottom w:val="0"/>
      <w:divBdr>
        <w:top w:val="none" w:sz="0" w:space="0" w:color="auto"/>
        <w:left w:val="none" w:sz="0" w:space="0" w:color="auto"/>
        <w:bottom w:val="none" w:sz="0" w:space="0" w:color="auto"/>
        <w:right w:val="none" w:sz="0" w:space="0" w:color="auto"/>
      </w:divBdr>
    </w:div>
    <w:div w:id="141235753">
      <w:bodyDiv w:val="1"/>
      <w:marLeft w:val="0"/>
      <w:marRight w:val="0"/>
      <w:marTop w:val="0"/>
      <w:marBottom w:val="0"/>
      <w:divBdr>
        <w:top w:val="none" w:sz="0" w:space="0" w:color="auto"/>
        <w:left w:val="none" w:sz="0" w:space="0" w:color="auto"/>
        <w:bottom w:val="none" w:sz="0" w:space="0" w:color="auto"/>
        <w:right w:val="none" w:sz="0" w:space="0" w:color="auto"/>
      </w:divBdr>
    </w:div>
    <w:div w:id="276987521">
      <w:bodyDiv w:val="1"/>
      <w:marLeft w:val="0"/>
      <w:marRight w:val="0"/>
      <w:marTop w:val="0"/>
      <w:marBottom w:val="0"/>
      <w:divBdr>
        <w:top w:val="none" w:sz="0" w:space="0" w:color="auto"/>
        <w:left w:val="none" w:sz="0" w:space="0" w:color="auto"/>
        <w:bottom w:val="none" w:sz="0" w:space="0" w:color="auto"/>
        <w:right w:val="none" w:sz="0" w:space="0" w:color="auto"/>
      </w:divBdr>
      <w:divsChild>
        <w:div w:id="387842659">
          <w:marLeft w:val="0"/>
          <w:marRight w:val="0"/>
          <w:marTop w:val="0"/>
          <w:marBottom w:val="0"/>
          <w:divBdr>
            <w:top w:val="none" w:sz="0" w:space="0" w:color="auto"/>
            <w:left w:val="none" w:sz="0" w:space="0" w:color="auto"/>
            <w:bottom w:val="none" w:sz="0" w:space="0" w:color="auto"/>
            <w:right w:val="none" w:sz="0" w:space="0" w:color="auto"/>
          </w:divBdr>
          <w:divsChild>
            <w:div w:id="5831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0516">
      <w:bodyDiv w:val="1"/>
      <w:marLeft w:val="0"/>
      <w:marRight w:val="0"/>
      <w:marTop w:val="0"/>
      <w:marBottom w:val="0"/>
      <w:divBdr>
        <w:top w:val="none" w:sz="0" w:space="0" w:color="auto"/>
        <w:left w:val="none" w:sz="0" w:space="0" w:color="auto"/>
        <w:bottom w:val="none" w:sz="0" w:space="0" w:color="auto"/>
        <w:right w:val="none" w:sz="0" w:space="0" w:color="auto"/>
      </w:divBdr>
    </w:div>
    <w:div w:id="320233923">
      <w:bodyDiv w:val="1"/>
      <w:marLeft w:val="0"/>
      <w:marRight w:val="0"/>
      <w:marTop w:val="0"/>
      <w:marBottom w:val="0"/>
      <w:divBdr>
        <w:top w:val="none" w:sz="0" w:space="0" w:color="auto"/>
        <w:left w:val="none" w:sz="0" w:space="0" w:color="auto"/>
        <w:bottom w:val="none" w:sz="0" w:space="0" w:color="auto"/>
        <w:right w:val="none" w:sz="0" w:space="0" w:color="auto"/>
      </w:divBdr>
    </w:div>
    <w:div w:id="388767541">
      <w:bodyDiv w:val="1"/>
      <w:marLeft w:val="0"/>
      <w:marRight w:val="0"/>
      <w:marTop w:val="0"/>
      <w:marBottom w:val="0"/>
      <w:divBdr>
        <w:top w:val="none" w:sz="0" w:space="0" w:color="auto"/>
        <w:left w:val="none" w:sz="0" w:space="0" w:color="auto"/>
        <w:bottom w:val="none" w:sz="0" w:space="0" w:color="auto"/>
        <w:right w:val="none" w:sz="0" w:space="0" w:color="auto"/>
      </w:divBdr>
    </w:div>
    <w:div w:id="460613323">
      <w:bodyDiv w:val="1"/>
      <w:marLeft w:val="0"/>
      <w:marRight w:val="0"/>
      <w:marTop w:val="0"/>
      <w:marBottom w:val="0"/>
      <w:divBdr>
        <w:top w:val="none" w:sz="0" w:space="0" w:color="auto"/>
        <w:left w:val="none" w:sz="0" w:space="0" w:color="auto"/>
        <w:bottom w:val="none" w:sz="0" w:space="0" w:color="auto"/>
        <w:right w:val="none" w:sz="0" w:space="0" w:color="auto"/>
      </w:divBdr>
    </w:div>
    <w:div w:id="503202498">
      <w:bodyDiv w:val="1"/>
      <w:marLeft w:val="0"/>
      <w:marRight w:val="0"/>
      <w:marTop w:val="0"/>
      <w:marBottom w:val="0"/>
      <w:divBdr>
        <w:top w:val="none" w:sz="0" w:space="0" w:color="auto"/>
        <w:left w:val="none" w:sz="0" w:space="0" w:color="auto"/>
        <w:bottom w:val="none" w:sz="0" w:space="0" w:color="auto"/>
        <w:right w:val="none" w:sz="0" w:space="0" w:color="auto"/>
      </w:divBdr>
    </w:div>
    <w:div w:id="564297693">
      <w:bodyDiv w:val="1"/>
      <w:marLeft w:val="0"/>
      <w:marRight w:val="0"/>
      <w:marTop w:val="0"/>
      <w:marBottom w:val="0"/>
      <w:divBdr>
        <w:top w:val="none" w:sz="0" w:space="0" w:color="auto"/>
        <w:left w:val="none" w:sz="0" w:space="0" w:color="auto"/>
        <w:bottom w:val="none" w:sz="0" w:space="0" w:color="auto"/>
        <w:right w:val="none" w:sz="0" w:space="0" w:color="auto"/>
      </w:divBdr>
    </w:div>
    <w:div w:id="635330604">
      <w:bodyDiv w:val="1"/>
      <w:marLeft w:val="0"/>
      <w:marRight w:val="0"/>
      <w:marTop w:val="0"/>
      <w:marBottom w:val="0"/>
      <w:divBdr>
        <w:top w:val="none" w:sz="0" w:space="0" w:color="auto"/>
        <w:left w:val="none" w:sz="0" w:space="0" w:color="auto"/>
        <w:bottom w:val="none" w:sz="0" w:space="0" w:color="auto"/>
        <w:right w:val="none" w:sz="0" w:space="0" w:color="auto"/>
      </w:divBdr>
    </w:div>
    <w:div w:id="659381891">
      <w:bodyDiv w:val="1"/>
      <w:marLeft w:val="0"/>
      <w:marRight w:val="0"/>
      <w:marTop w:val="0"/>
      <w:marBottom w:val="0"/>
      <w:divBdr>
        <w:top w:val="none" w:sz="0" w:space="0" w:color="auto"/>
        <w:left w:val="none" w:sz="0" w:space="0" w:color="auto"/>
        <w:bottom w:val="none" w:sz="0" w:space="0" w:color="auto"/>
        <w:right w:val="none" w:sz="0" w:space="0" w:color="auto"/>
      </w:divBdr>
    </w:div>
    <w:div w:id="674574011">
      <w:bodyDiv w:val="1"/>
      <w:marLeft w:val="0"/>
      <w:marRight w:val="0"/>
      <w:marTop w:val="0"/>
      <w:marBottom w:val="0"/>
      <w:divBdr>
        <w:top w:val="none" w:sz="0" w:space="0" w:color="auto"/>
        <w:left w:val="none" w:sz="0" w:space="0" w:color="auto"/>
        <w:bottom w:val="none" w:sz="0" w:space="0" w:color="auto"/>
        <w:right w:val="none" w:sz="0" w:space="0" w:color="auto"/>
      </w:divBdr>
      <w:divsChild>
        <w:div w:id="911041537">
          <w:marLeft w:val="0"/>
          <w:marRight w:val="0"/>
          <w:marTop w:val="0"/>
          <w:marBottom w:val="0"/>
          <w:divBdr>
            <w:top w:val="none" w:sz="0" w:space="0" w:color="auto"/>
            <w:left w:val="none" w:sz="0" w:space="0" w:color="auto"/>
            <w:bottom w:val="none" w:sz="0" w:space="0" w:color="auto"/>
            <w:right w:val="none" w:sz="0" w:space="0" w:color="auto"/>
          </w:divBdr>
        </w:div>
      </w:divsChild>
    </w:div>
    <w:div w:id="679553070">
      <w:bodyDiv w:val="1"/>
      <w:marLeft w:val="0"/>
      <w:marRight w:val="0"/>
      <w:marTop w:val="0"/>
      <w:marBottom w:val="0"/>
      <w:divBdr>
        <w:top w:val="none" w:sz="0" w:space="0" w:color="auto"/>
        <w:left w:val="none" w:sz="0" w:space="0" w:color="auto"/>
        <w:bottom w:val="none" w:sz="0" w:space="0" w:color="auto"/>
        <w:right w:val="none" w:sz="0" w:space="0" w:color="auto"/>
      </w:divBdr>
    </w:div>
    <w:div w:id="750736651">
      <w:bodyDiv w:val="1"/>
      <w:marLeft w:val="0"/>
      <w:marRight w:val="0"/>
      <w:marTop w:val="0"/>
      <w:marBottom w:val="0"/>
      <w:divBdr>
        <w:top w:val="none" w:sz="0" w:space="0" w:color="auto"/>
        <w:left w:val="none" w:sz="0" w:space="0" w:color="auto"/>
        <w:bottom w:val="none" w:sz="0" w:space="0" w:color="auto"/>
        <w:right w:val="none" w:sz="0" w:space="0" w:color="auto"/>
      </w:divBdr>
    </w:div>
    <w:div w:id="810293876">
      <w:bodyDiv w:val="1"/>
      <w:marLeft w:val="0"/>
      <w:marRight w:val="0"/>
      <w:marTop w:val="0"/>
      <w:marBottom w:val="0"/>
      <w:divBdr>
        <w:top w:val="none" w:sz="0" w:space="0" w:color="auto"/>
        <w:left w:val="none" w:sz="0" w:space="0" w:color="auto"/>
        <w:bottom w:val="none" w:sz="0" w:space="0" w:color="auto"/>
        <w:right w:val="none" w:sz="0" w:space="0" w:color="auto"/>
      </w:divBdr>
    </w:div>
    <w:div w:id="887952526">
      <w:bodyDiv w:val="1"/>
      <w:marLeft w:val="0"/>
      <w:marRight w:val="0"/>
      <w:marTop w:val="0"/>
      <w:marBottom w:val="0"/>
      <w:divBdr>
        <w:top w:val="none" w:sz="0" w:space="0" w:color="auto"/>
        <w:left w:val="none" w:sz="0" w:space="0" w:color="auto"/>
        <w:bottom w:val="none" w:sz="0" w:space="0" w:color="auto"/>
        <w:right w:val="none" w:sz="0" w:space="0" w:color="auto"/>
      </w:divBdr>
    </w:div>
    <w:div w:id="918558499">
      <w:bodyDiv w:val="1"/>
      <w:marLeft w:val="0"/>
      <w:marRight w:val="0"/>
      <w:marTop w:val="0"/>
      <w:marBottom w:val="0"/>
      <w:divBdr>
        <w:top w:val="none" w:sz="0" w:space="0" w:color="auto"/>
        <w:left w:val="none" w:sz="0" w:space="0" w:color="auto"/>
        <w:bottom w:val="none" w:sz="0" w:space="0" w:color="auto"/>
        <w:right w:val="none" w:sz="0" w:space="0" w:color="auto"/>
      </w:divBdr>
    </w:div>
    <w:div w:id="964770155">
      <w:bodyDiv w:val="1"/>
      <w:marLeft w:val="0"/>
      <w:marRight w:val="0"/>
      <w:marTop w:val="0"/>
      <w:marBottom w:val="0"/>
      <w:divBdr>
        <w:top w:val="none" w:sz="0" w:space="0" w:color="auto"/>
        <w:left w:val="none" w:sz="0" w:space="0" w:color="auto"/>
        <w:bottom w:val="none" w:sz="0" w:space="0" w:color="auto"/>
        <w:right w:val="none" w:sz="0" w:space="0" w:color="auto"/>
      </w:divBdr>
    </w:div>
    <w:div w:id="1079905309">
      <w:bodyDiv w:val="1"/>
      <w:marLeft w:val="0"/>
      <w:marRight w:val="0"/>
      <w:marTop w:val="0"/>
      <w:marBottom w:val="0"/>
      <w:divBdr>
        <w:top w:val="none" w:sz="0" w:space="0" w:color="auto"/>
        <w:left w:val="none" w:sz="0" w:space="0" w:color="auto"/>
        <w:bottom w:val="none" w:sz="0" w:space="0" w:color="auto"/>
        <w:right w:val="none" w:sz="0" w:space="0" w:color="auto"/>
      </w:divBdr>
    </w:div>
    <w:div w:id="1086684425">
      <w:bodyDiv w:val="1"/>
      <w:marLeft w:val="0"/>
      <w:marRight w:val="0"/>
      <w:marTop w:val="0"/>
      <w:marBottom w:val="0"/>
      <w:divBdr>
        <w:top w:val="none" w:sz="0" w:space="0" w:color="auto"/>
        <w:left w:val="none" w:sz="0" w:space="0" w:color="auto"/>
        <w:bottom w:val="none" w:sz="0" w:space="0" w:color="auto"/>
        <w:right w:val="none" w:sz="0" w:space="0" w:color="auto"/>
      </w:divBdr>
    </w:div>
    <w:div w:id="1110928053">
      <w:bodyDiv w:val="1"/>
      <w:marLeft w:val="0"/>
      <w:marRight w:val="0"/>
      <w:marTop w:val="0"/>
      <w:marBottom w:val="0"/>
      <w:divBdr>
        <w:top w:val="none" w:sz="0" w:space="0" w:color="auto"/>
        <w:left w:val="none" w:sz="0" w:space="0" w:color="auto"/>
        <w:bottom w:val="none" w:sz="0" w:space="0" w:color="auto"/>
        <w:right w:val="none" w:sz="0" w:space="0" w:color="auto"/>
      </w:divBdr>
    </w:div>
    <w:div w:id="1125999710">
      <w:bodyDiv w:val="1"/>
      <w:marLeft w:val="0"/>
      <w:marRight w:val="0"/>
      <w:marTop w:val="0"/>
      <w:marBottom w:val="0"/>
      <w:divBdr>
        <w:top w:val="none" w:sz="0" w:space="0" w:color="auto"/>
        <w:left w:val="none" w:sz="0" w:space="0" w:color="auto"/>
        <w:bottom w:val="none" w:sz="0" w:space="0" w:color="auto"/>
        <w:right w:val="none" w:sz="0" w:space="0" w:color="auto"/>
      </w:divBdr>
    </w:div>
    <w:div w:id="1219707197">
      <w:bodyDiv w:val="1"/>
      <w:marLeft w:val="0"/>
      <w:marRight w:val="0"/>
      <w:marTop w:val="0"/>
      <w:marBottom w:val="0"/>
      <w:divBdr>
        <w:top w:val="none" w:sz="0" w:space="0" w:color="auto"/>
        <w:left w:val="none" w:sz="0" w:space="0" w:color="auto"/>
        <w:bottom w:val="none" w:sz="0" w:space="0" w:color="auto"/>
        <w:right w:val="none" w:sz="0" w:space="0" w:color="auto"/>
      </w:divBdr>
    </w:div>
    <w:div w:id="1256939827">
      <w:bodyDiv w:val="1"/>
      <w:marLeft w:val="0"/>
      <w:marRight w:val="0"/>
      <w:marTop w:val="0"/>
      <w:marBottom w:val="0"/>
      <w:divBdr>
        <w:top w:val="none" w:sz="0" w:space="0" w:color="auto"/>
        <w:left w:val="none" w:sz="0" w:space="0" w:color="auto"/>
        <w:bottom w:val="none" w:sz="0" w:space="0" w:color="auto"/>
        <w:right w:val="none" w:sz="0" w:space="0" w:color="auto"/>
      </w:divBdr>
    </w:div>
    <w:div w:id="1284534455">
      <w:bodyDiv w:val="1"/>
      <w:marLeft w:val="0"/>
      <w:marRight w:val="0"/>
      <w:marTop w:val="0"/>
      <w:marBottom w:val="0"/>
      <w:divBdr>
        <w:top w:val="none" w:sz="0" w:space="0" w:color="auto"/>
        <w:left w:val="none" w:sz="0" w:space="0" w:color="auto"/>
        <w:bottom w:val="none" w:sz="0" w:space="0" w:color="auto"/>
        <w:right w:val="none" w:sz="0" w:space="0" w:color="auto"/>
      </w:divBdr>
      <w:divsChild>
        <w:div w:id="1531727609">
          <w:marLeft w:val="0"/>
          <w:marRight w:val="0"/>
          <w:marTop w:val="0"/>
          <w:marBottom w:val="0"/>
          <w:divBdr>
            <w:top w:val="none" w:sz="0" w:space="0" w:color="auto"/>
            <w:left w:val="none" w:sz="0" w:space="0" w:color="auto"/>
            <w:bottom w:val="none" w:sz="0" w:space="0" w:color="auto"/>
            <w:right w:val="none" w:sz="0" w:space="0" w:color="auto"/>
          </w:divBdr>
          <w:divsChild>
            <w:div w:id="504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8008">
      <w:bodyDiv w:val="1"/>
      <w:marLeft w:val="0"/>
      <w:marRight w:val="0"/>
      <w:marTop w:val="0"/>
      <w:marBottom w:val="0"/>
      <w:divBdr>
        <w:top w:val="none" w:sz="0" w:space="0" w:color="auto"/>
        <w:left w:val="none" w:sz="0" w:space="0" w:color="auto"/>
        <w:bottom w:val="none" w:sz="0" w:space="0" w:color="auto"/>
        <w:right w:val="none" w:sz="0" w:space="0" w:color="auto"/>
      </w:divBdr>
    </w:div>
    <w:div w:id="1349024762">
      <w:bodyDiv w:val="1"/>
      <w:marLeft w:val="0"/>
      <w:marRight w:val="0"/>
      <w:marTop w:val="0"/>
      <w:marBottom w:val="0"/>
      <w:divBdr>
        <w:top w:val="none" w:sz="0" w:space="0" w:color="auto"/>
        <w:left w:val="none" w:sz="0" w:space="0" w:color="auto"/>
        <w:bottom w:val="none" w:sz="0" w:space="0" w:color="auto"/>
        <w:right w:val="none" w:sz="0" w:space="0" w:color="auto"/>
      </w:divBdr>
    </w:div>
    <w:div w:id="1513762970">
      <w:bodyDiv w:val="1"/>
      <w:marLeft w:val="0"/>
      <w:marRight w:val="0"/>
      <w:marTop w:val="0"/>
      <w:marBottom w:val="0"/>
      <w:divBdr>
        <w:top w:val="none" w:sz="0" w:space="0" w:color="auto"/>
        <w:left w:val="none" w:sz="0" w:space="0" w:color="auto"/>
        <w:bottom w:val="none" w:sz="0" w:space="0" w:color="auto"/>
        <w:right w:val="none" w:sz="0" w:space="0" w:color="auto"/>
      </w:divBdr>
    </w:div>
    <w:div w:id="1534340359">
      <w:bodyDiv w:val="1"/>
      <w:marLeft w:val="0"/>
      <w:marRight w:val="0"/>
      <w:marTop w:val="0"/>
      <w:marBottom w:val="0"/>
      <w:divBdr>
        <w:top w:val="none" w:sz="0" w:space="0" w:color="auto"/>
        <w:left w:val="none" w:sz="0" w:space="0" w:color="auto"/>
        <w:bottom w:val="none" w:sz="0" w:space="0" w:color="auto"/>
        <w:right w:val="none" w:sz="0" w:space="0" w:color="auto"/>
      </w:divBdr>
    </w:div>
    <w:div w:id="1552619052">
      <w:bodyDiv w:val="1"/>
      <w:marLeft w:val="0"/>
      <w:marRight w:val="0"/>
      <w:marTop w:val="0"/>
      <w:marBottom w:val="0"/>
      <w:divBdr>
        <w:top w:val="none" w:sz="0" w:space="0" w:color="auto"/>
        <w:left w:val="none" w:sz="0" w:space="0" w:color="auto"/>
        <w:bottom w:val="none" w:sz="0" w:space="0" w:color="auto"/>
        <w:right w:val="none" w:sz="0" w:space="0" w:color="auto"/>
      </w:divBdr>
    </w:div>
    <w:div w:id="1556309151">
      <w:bodyDiv w:val="1"/>
      <w:marLeft w:val="0"/>
      <w:marRight w:val="0"/>
      <w:marTop w:val="0"/>
      <w:marBottom w:val="0"/>
      <w:divBdr>
        <w:top w:val="none" w:sz="0" w:space="0" w:color="auto"/>
        <w:left w:val="none" w:sz="0" w:space="0" w:color="auto"/>
        <w:bottom w:val="none" w:sz="0" w:space="0" w:color="auto"/>
        <w:right w:val="none" w:sz="0" w:space="0" w:color="auto"/>
      </w:divBdr>
    </w:div>
    <w:div w:id="1599825846">
      <w:bodyDiv w:val="1"/>
      <w:marLeft w:val="0"/>
      <w:marRight w:val="0"/>
      <w:marTop w:val="0"/>
      <w:marBottom w:val="0"/>
      <w:divBdr>
        <w:top w:val="none" w:sz="0" w:space="0" w:color="auto"/>
        <w:left w:val="none" w:sz="0" w:space="0" w:color="auto"/>
        <w:bottom w:val="none" w:sz="0" w:space="0" w:color="auto"/>
        <w:right w:val="none" w:sz="0" w:space="0" w:color="auto"/>
      </w:divBdr>
    </w:div>
    <w:div w:id="1685207024">
      <w:bodyDiv w:val="1"/>
      <w:marLeft w:val="0"/>
      <w:marRight w:val="0"/>
      <w:marTop w:val="0"/>
      <w:marBottom w:val="0"/>
      <w:divBdr>
        <w:top w:val="none" w:sz="0" w:space="0" w:color="auto"/>
        <w:left w:val="none" w:sz="0" w:space="0" w:color="auto"/>
        <w:bottom w:val="none" w:sz="0" w:space="0" w:color="auto"/>
        <w:right w:val="none" w:sz="0" w:space="0" w:color="auto"/>
      </w:divBdr>
    </w:div>
    <w:div w:id="1723939694">
      <w:bodyDiv w:val="1"/>
      <w:marLeft w:val="0"/>
      <w:marRight w:val="0"/>
      <w:marTop w:val="0"/>
      <w:marBottom w:val="0"/>
      <w:divBdr>
        <w:top w:val="none" w:sz="0" w:space="0" w:color="auto"/>
        <w:left w:val="none" w:sz="0" w:space="0" w:color="auto"/>
        <w:bottom w:val="none" w:sz="0" w:space="0" w:color="auto"/>
        <w:right w:val="none" w:sz="0" w:space="0" w:color="auto"/>
      </w:divBdr>
    </w:div>
    <w:div w:id="1727608947">
      <w:bodyDiv w:val="1"/>
      <w:marLeft w:val="0"/>
      <w:marRight w:val="0"/>
      <w:marTop w:val="0"/>
      <w:marBottom w:val="0"/>
      <w:divBdr>
        <w:top w:val="none" w:sz="0" w:space="0" w:color="auto"/>
        <w:left w:val="none" w:sz="0" w:space="0" w:color="auto"/>
        <w:bottom w:val="none" w:sz="0" w:space="0" w:color="auto"/>
        <w:right w:val="none" w:sz="0" w:space="0" w:color="auto"/>
      </w:divBdr>
    </w:div>
    <w:div w:id="1736127231">
      <w:bodyDiv w:val="1"/>
      <w:marLeft w:val="0"/>
      <w:marRight w:val="0"/>
      <w:marTop w:val="0"/>
      <w:marBottom w:val="0"/>
      <w:divBdr>
        <w:top w:val="none" w:sz="0" w:space="0" w:color="auto"/>
        <w:left w:val="none" w:sz="0" w:space="0" w:color="auto"/>
        <w:bottom w:val="none" w:sz="0" w:space="0" w:color="auto"/>
        <w:right w:val="none" w:sz="0" w:space="0" w:color="auto"/>
      </w:divBdr>
    </w:div>
    <w:div w:id="1737849934">
      <w:bodyDiv w:val="1"/>
      <w:marLeft w:val="0"/>
      <w:marRight w:val="0"/>
      <w:marTop w:val="0"/>
      <w:marBottom w:val="0"/>
      <w:divBdr>
        <w:top w:val="none" w:sz="0" w:space="0" w:color="auto"/>
        <w:left w:val="none" w:sz="0" w:space="0" w:color="auto"/>
        <w:bottom w:val="none" w:sz="0" w:space="0" w:color="auto"/>
        <w:right w:val="none" w:sz="0" w:space="0" w:color="auto"/>
      </w:divBdr>
    </w:div>
    <w:div w:id="1920286221">
      <w:bodyDiv w:val="1"/>
      <w:marLeft w:val="0"/>
      <w:marRight w:val="0"/>
      <w:marTop w:val="0"/>
      <w:marBottom w:val="0"/>
      <w:divBdr>
        <w:top w:val="none" w:sz="0" w:space="0" w:color="auto"/>
        <w:left w:val="none" w:sz="0" w:space="0" w:color="auto"/>
        <w:bottom w:val="none" w:sz="0" w:space="0" w:color="auto"/>
        <w:right w:val="none" w:sz="0" w:space="0" w:color="auto"/>
      </w:divBdr>
    </w:div>
    <w:div w:id="2069837191">
      <w:bodyDiv w:val="1"/>
      <w:marLeft w:val="0"/>
      <w:marRight w:val="0"/>
      <w:marTop w:val="0"/>
      <w:marBottom w:val="0"/>
      <w:divBdr>
        <w:top w:val="none" w:sz="0" w:space="0" w:color="auto"/>
        <w:left w:val="none" w:sz="0" w:space="0" w:color="auto"/>
        <w:bottom w:val="none" w:sz="0" w:space="0" w:color="auto"/>
        <w:right w:val="none" w:sz="0" w:space="0" w:color="auto"/>
      </w:divBdr>
      <w:divsChild>
        <w:div w:id="1002515963">
          <w:marLeft w:val="0"/>
          <w:marRight w:val="0"/>
          <w:marTop w:val="0"/>
          <w:marBottom w:val="0"/>
          <w:divBdr>
            <w:top w:val="none" w:sz="0" w:space="0" w:color="auto"/>
            <w:left w:val="none" w:sz="0" w:space="0" w:color="auto"/>
            <w:bottom w:val="none" w:sz="0" w:space="0" w:color="auto"/>
            <w:right w:val="none" w:sz="0" w:space="0" w:color="auto"/>
          </w:divBdr>
          <w:divsChild>
            <w:div w:id="1438404118">
              <w:marLeft w:val="0"/>
              <w:marRight w:val="0"/>
              <w:marTop w:val="0"/>
              <w:marBottom w:val="0"/>
              <w:divBdr>
                <w:top w:val="none" w:sz="0" w:space="0" w:color="auto"/>
                <w:left w:val="none" w:sz="0" w:space="0" w:color="auto"/>
                <w:bottom w:val="none" w:sz="0" w:space="0" w:color="auto"/>
                <w:right w:val="none" w:sz="0" w:space="0" w:color="auto"/>
              </w:divBdr>
              <w:divsChild>
                <w:div w:id="1342657294">
                  <w:marLeft w:val="0"/>
                  <w:marRight w:val="0"/>
                  <w:marTop w:val="0"/>
                  <w:marBottom w:val="0"/>
                  <w:divBdr>
                    <w:top w:val="none" w:sz="0" w:space="0" w:color="auto"/>
                    <w:left w:val="none" w:sz="0" w:space="0" w:color="auto"/>
                    <w:bottom w:val="none" w:sz="0" w:space="0" w:color="auto"/>
                    <w:right w:val="none" w:sz="0" w:space="0" w:color="auto"/>
                  </w:divBdr>
                  <w:divsChild>
                    <w:div w:id="598366757">
                      <w:marLeft w:val="0"/>
                      <w:marRight w:val="0"/>
                      <w:marTop w:val="0"/>
                      <w:marBottom w:val="0"/>
                      <w:divBdr>
                        <w:top w:val="none" w:sz="0" w:space="0" w:color="auto"/>
                        <w:left w:val="none" w:sz="0" w:space="0" w:color="auto"/>
                        <w:bottom w:val="none" w:sz="0" w:space="0" w:color="auto"/>
                        <w:right w:val="none" w:sz="0" w:space="0" w:color="auto"/>
                      </w:divBdr>
                      <w:divsChild>
                        <w:div w:id="1963073449">
                          <w:marLeft w:val="0"/>
                          <w:marRight w:val="0"/>
                          <w:marTop w:val="0"/>
                          <w:marBottom w:val="0"/>
                          <w:divBdr>
                            <w:top w:val="none" w:sz="0" w:space="0" w:color="auto"/>
                            <w:left w:val="none" w:sz="0" w:space="0" w:color="auto"/>
                            <w:bottom w:val="none" w:sz="0" w:space="0" w:color="auto"/>
                            <w:right w:val="none" w:sz="0" w:space="0" w:color="auto"/>
                          </w:divBdr>
                          <w:divsChild>
                            <w:div w:id="1085497290">
                              <w:marLeft w:val="0"/>
                              <w:marRight w:val="0"/>
                              <w:marTop w:val="0"/>
                              <w:marBottom w:val="0"/>
                              <w:divBdr>
                                <w:top w:val="none" w:sz="0" w:space="0" w:color="auto"/>
                                <w:left w:val="none" w:sz="0" w:space="0" w:color="auto"/>
                                <w:bottom w:val="none" w:sz="0" w:space="0" w:color="auto"/>
                                <w:right w:val="none" w:sz="0" w:space="0" w:color="auto"/>
                              </w:divBdr>
                              <w:divsChild>
                                <w:div w:id="18461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xlist.com/hypertension/definition.htm" TargetMode="External"/><Relationship Id="rId18" Type="http://schemas.openxmlformats.org/officeDocument/2006/relationships/hyperlink" Target="https://www.ncbi.nlm.nih.gov/pmc/articles/PMC3232070/" TargetMode="External"/><Relationship Id="rId26" Type="http://schemas.openxmlformats.org/officeDocument/2006/relationships/hyperlink" Target="https://doi.org/10.1016/j.jconrel.2012.01.043" TargetMode="External"/><Relationship Id="rId39" Type="http://schemas.openxmlformats.org/officeDocument/2006/relationships/hyperlink" Target="https://doi.org/10.1007/s11095-010-0271-y" TargetMode="External"/><Relationship Id="rId21" Type="http://schemas.openxmlformats.org/officeDocument/2006/relationships/hyperlink" Target="https://doi.org/10.1159/000209665" TargetMode="External"/><Relationship Id="rId34" Type="http://schemas.openxmlformats.org/officeDocument/2006/relationships/hyperlink" Target="https://doi.org/10.31436/jop.v6i1.373" TargetMode="External"/><Relationship Id="rId42" Type="http://schemas.openxmlformats.org/officeDocument/2006/relationships/hyperlink" Target="https://doi.org/10.3390/pharmaceutics13091373" TargetMode="External"/><Relationship Id="rId47" Type="http://schemas.openxmlformats.org/officeDocument/2006/relationships/hyperlink" Target="https://doi.org/10.1056/NEJMoa1414221" TargetMode="External"/><Relationship Id="rId50" Type="http://schemas.openxmlformats.org/officeDocument/2006/relationships/hyperlink" Target="https://doi.org/10.1002/adma.200501612" TargetMode="External"/><Relationship Id="rId55" Type="http://schemas.openxmlformats.org/officeDocument/2006/relationships/hyperlink" Target="https://doi.org/10.1056/NEJMp140515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17297703" TargetMode="External"/><Relationship Id="rId29" Type="http://schemas.openxmlformats.org/officeDocument/2006/relationships/hyperlink" Target="https://doi.org/10.1016/S0169-409X(01)00203-4" TargetMode="External"/><Relationship Id="rId11" Type="http://schemas.openxmlformats.org/officeDocument/2006/relationships/hyperlink" Target="https://www.rxlist.com/glaucoma/definition.htm" TargetMode="External"/><Relationship Id="rId24" Type="http://schemas.openxmlformats.org/officeDocument/2006/relationships/hyperlink" Target="https://doi.org/10.1016/j.addr.2005.07.005" TargetMode="External"/><Relationship Id="rId32" Type="http://schemas.openxmlformats.org/officeDocument/2006/relationships/hyperlink" Target="https://doi.org/10.1039/D0RA04971A" TargetMode="External"/><Relationship Id="rId37" Type="http://schemas.openxmlformats.org/officeDocument/2006/relationships/hyperlink" Target="https://doi.org/10.4103/0110-5558.72419" TargetMode="External"/><Relationship Id="rId40" Type="http://schemas.openxmlformats.org/officeDocument/2006/relationships/hyperlink" Target="https://doi.org/10.5281/zenodo.17499348" TargetMode="External"/><Relationship Id="rId45" Type="http://schemas.openxmlformats.org/officeDocument/2006/relationships/hyperlink" Target="https://doi.org/10.1038/s41467-022-34597-8" TargetMode="External"/><Relationship Id="rId53" Type="http://schemas.openxmlformats.org/officeDocument/2006/relationships/hyperlink" Target="https://doi.org/10.1002/aic.690491202"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208/s12248-010-9183-3" TargetMode="External"/><Relationship Id="rId14" Type="http://schemas.openxmlformats.org/officeDocument/2006/relationships/image" Target="media/image3.jpeg"/><Relationship Id="rId22" Type="http://schemas.openxmlformats.org/officeDocument/2006/relationships/hyperlink" Target="https://doi.org/10.3109/10837450.2012.693505" TargetMode="External"/><Relationship Id="rId27" Type="http://schemas.openxmlformats.org/officeDocument/2006/relationships/hyperlink" Target="https://doi.org/10.1097/icu.0b013e328338679a" TargetMode="External"/><Relationship Id="rId30" Type="http://schemas.openxmlformats.org/officeDocument/2006/relationships/hyperlink" Target="https://doi.org/10.1016/j.addr.2009.11.026" TargetMode="External"/><Relationship Id="rId35" Type="http://schemas.openxmlformats.org/officeDocument/2006/relationships/hyperlink" Target="https://doi.org/10.1186/1556-276x-8-102" TargetMode="External"/><Relationship Id="rId43" Type="http://schemas.openxmlformats.org/officeDocument/2006/relationships/hyperlink" Target="https://doi.org/10.1093/jpp/rgab173" TargetMode="External"/><Relationship Id="rId48" Type="http://schemas.openxmlformats.org/officeDocument/2006/relationships/hyperlink" Target="https://doi.org/10.1016/j.trsl.2012.12.007" TargetMode="External"/><Relationship Id="rId56" Type="http://schemas.openxmlformats.org/officeDocument/2006/relationships/hyperlink" Target="https://doi.org/10.1097/ijg.0b013e31817d2386"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doi.org/10.1016/j.molmed.2018.06.006" TargetMode="External"/><Relationship Id="rId3" Type="http://schemas.openxmlformats.org/officeDocument/2006/relationships/styles" Target="styles.xml"/><Relationship Id="rId12" Type="http://schemas.openxmlformats.org/officeDocument/2006/relationships/hyperlink" Target="https://www.rxlist.com/ocular/definition.htm" TargetMode="External"/><Relationship Id="rId17" Type="http://schemas.openxmlformats.org/officeDocument/2006/relationships/hyperlink" Target="https://doi.org/10.3109/03639045.2015.1104346" TargetMode="External"/><Relationship Id="rId25" Type="http://schemas.openxmlformats.org/officeDocument/2006/relationships/hyperlink" Target="https://doi.org/10.1016/j.jconrel.2014.03.054" TargetMode="External"/><Relationship Id="rId33" Type="http://schemas.openxmlformats.org/officeDocument/2006/relationships/hyperlink" Target="https://doi.org/10.1016/S0169-409X(02)00118-7" TargetMode="External"/><Relationship Id="rId38" Type="http://schemas.openxmlformats.org/officeDocument/2006/relationships/hyperlink" Target="https://doi.org/10.1146/annurev-chembioeng-060816-101514" TargetMode="External"/><Relationship Id="rId46" Type="http://schemas.openxmlformats.org/officeDocument/2006/relationships/hyperlink" Target="https://doi.org/10.1002/aisy.202000263" TargetMode="External"/><Relationship Id="rId59" Type="http://schemas.openxmlformats.org/officeDocument/2006/relationships/footer" Target="footer1.xml"/><Relationship Id="rId20" Type="http://schemas.openxmlformats.org/officeDocument/2006/relationships/hyperlink" Target="https://doi.org/10.1038/nri1224" TargetMode="External"/><Relationship Id="rId41" Type="http://schemas.openxmlformats.org/officeDocument/2006/relationships/hyperlink" Target="https://doi.org/10.1016/j.tips.2018.02.006" TargetMode="External"/><Relationship Id="rId54" Type="http://schemas.openxmlformats.org/officeDocument/2006/relationships/hyperlink" Target="https://doi.org/10.1016/j.jconrel.2011.10.006"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preteyeres.2016.12.001" TargetMode="External"/><Relationship Id="rId23" Type="http://schemas.openxmlformats.org/officeDocument/2006/relationships/hyperlink" Target="https://doi.org/10.1016/j.addr.2006.07.027" TargetMode="External"/><Relationship Id="rId28" Type="http://schemas.openxmlformats.org/officeDocument/2006/relationships/hyperlink" Target="https://doi.org/10.1007/978-3-642-69222-2_2" TargetMode="External"/><Relationship Id="rId36" Type="http://schemas.openxmlformats.org/officeDocument/2006/relationships/hyperlink" Target="https://doi.org/10.1016/0169-409X(95)00014-X" TargetMode="External"/><Relationship Id="rId49" Type="http://schemas.openxmlformats.org/officeDocument/2006/relationships/hyperlink" Target="https://doi.org/10.1016/s0140-6736(17)31868-8" TargetMode="External"/><Relationship Id="rId57" Type="http://schemas.openxmlformats.org/officeDocument/2006/relationships/header" Target="header1.xml"/><Relationship Id="rId10" Type="http://schemas.openxmlformats.org/officeDocument/2006/relationships/hyperlink" Target="https://www.rxlist.com/ophthalmic/definition.htm" TargetMode="External"/><Relationship Id="rId31" Type="http://schemas.openxmlformats.org/officeDocument/2006/relationships/hyperlink" Target="https://doi.org/10.1016/j.ddtec.2005.05.001" TargetMode="External"/><Relationship Id="rId44" Type="http://schemas.openxmlformats.org/officeDocument/2006/relationships/hyperlink" Target="https://doi.org/10.1038/nbt.2958" TargetMode="External"/><Relationship Id="rId52" Type="http://schemas.openxmlformats.org/officeDocument/2006/relationships/hyperlink" Target="https://doi.org/10.1089/jop.2015.0047"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BDB8-1F3D-4804-A432-5E241883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22</Pages>
  <Words>13291</Words>
  <Characters>75760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 Kumar Nagamalli</dc:creator>
  <cp:keywords/>
  <dc:description/>
  <cp:lastModifiedBy>Editor-1183</cp:lastModifiedBy>
  <cp:revision>131</cp:revision>
  <dcterms:created xsi:type="dcterms:W3CDTF">2026-02-03T10:10:00Z</dcterms:created>
  <dcterms:modified xsi:type="dcterms:W3CDTF">2026-03-02T06:27:00Z</dcterms:modified>
</cp:coreProperties>
</file>