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9FEB" w14:textId="0E2216A6" w:rsidR="00655442" w:rsidRPr="00655442" w:rsidRDefault="00655442" w:rsidP="00655442">
      <w:pPr>
        <w:rPr>
          <w:rFonts w:ascii="Times New Roman" w:hAnsi="Times New Roman" w:cs="Times New Roman"/>
          <w:b/>
          <w:bCs/>
          <w:sz w:val="28"/>
          <w:szCs w:val="28"/>
          <w:u w:val="single"/>
        </w:rPr>
      </w:pPr>
      <w:r w:rsidRPr="00655442">
        <w:rPr>
          <w:rFonts w:ascii="Times New Roman" w:hAnsi="Times New Roman" w:cs="Times New Roman"/>
          <w:b/>
          <w:bCs/>
          <w:sz w:val="28"/>
          <w:szCs w:val="28"/>
          <w:u w:val="single"/>
        </w:rPr>
        <w:t>Original Research Article</w:t>
      </w:r>
    </w:p>
    <w:p w14:paraId="3F9C2A00" w14:textId="3BFE9C59" w:rsidR="0012044A" w:rsidRDefault="00463655" w:rsidP="0012044A">
      <w:pPr>
        <w:jc w:val="center"/>
        <w:rPr>
          <w:rFonts w:ascii="Times New Roman" w:hAnsi="Times New Roman" w:cs="Times New Roman"/>
          <w:b/>
          <w:bCs/>
          <w:sz w:val="28"/>
          <w:szCs w:val="28"/>
        </w:rPr>
      </w:pPr>
      <w:r>
        <w:rPr>
          <w:rFonts w:ascii="Times New Roman" w:hAnsi="Times New Roman" w:cs="Times New Roman"/>
          <w:b/>
          <w:bCs/>
          <w:sz w:val="28"/>
          <w:szCs w:val="28"/>
        </w:rPr>
        <w:t>MODELLING AND FORECASTING OF ASYMMETRIC PRICE VOLATILITY OF ONION FOR LUCKNOW MARKET</w:t>
      </w:r>
      <w:r w:rsidR="00F85156">
        <w:rPr>
          <w:rFonts w:ascii="Times New Roman" w:hAnsi="Times New Roman" w:cs="Times New Roman"/>
          <w:b/>
          <w:bCs/>
          <w:sz w:val="28"/>
          <w:szCs w:val="28"/>
        </w:rPr>
        <w:t>,</w:t>
      </w:r>
      <w:r w:rsidR="005A196E" w:rsidRPr="005A196E">
        <w:t xml:space="preserve"> </w:t>
      </w:r>
      <w:r w:rsidR="005A196E" w:rsidRPr="005A196E">
        <w:rPr>
          <w:rFonts w:ascii="Times New Roman" w:hAnsi="Times New Roman" w:cs="Times New Roman"/>
          <w:b/>
          <w:bCs/>
          <w:sz w:val="28"/>
          <w:szCs w:val="28"/>
        </w:rPr>
        <w:t>UP</w:t>
      </w:r>
      <w:r w:rsidR="005A196E">
        <w:rPr>
          <w:rFonts w:ascii="Times New Roman" w:hAnsi="Times New Roman" w:cs="Times New Roman"/>
          <w:b/>
          <w:bCs/>
          <w:sz w:val="28"/>
          <w:szCs w:val="28"/>
        </w:rPr>
        <w:t>,</w:t>
      </w:r>
      <w:bookmarkStart w:id="0" w:name="_GoBack"/>
      <w:bookmarkEnd w:id="0"/>
      <w:r w:rsidR="00F85156">
        <w:rPr>
          <w:rFonts w:ascii="Times New Roman" w:hAnsi="Times New Roman" w:cs="Times New Roman"/>
          <w:b/>
          <w:bCs/>
          <w:sz w:val="28"/>
          <w:szCs w:val="28"/>
        </w:rPr>
        <w:t xml:space="preserve"> INDIA</w:t>
      </w:r>
    </w:p>
    <w:p w14:paraId="12410F2A" w14:textId="13F6A00C" w:rsidR="00655442" w:rsidRDefault="00655442" w:rsidP="00463655">
      <w:pPr>
        <w:spacing w:after="0" w:line="360" w:lineRule="auto"/>
        <w:ind w:left="720"/>
        <w:rPr>
          <w:rFonts w:ascii="Times New Roman" w:eastAsia="Times New Roman" w:hAnsi="Times New Roman" w:cs="Times New Roman"/>
          <w:sz w:val="24"/>
          <w:szCs w:val="24"/>
        </w:rPr>
      </w:pPr>
    </w:p>
    <w:p w14:paraId="7766AB25" w14:textId="77777777" w:rsidR="000C4500" w:rsidRPr="00463655" w:rsidRDefault="000C4500" w:rsidP="00463655">
      <w:pPr>
        <w:spacing w:after="0" w:line="360" w:lineRule="auto"/>
        <w:ind w:left="720"/>
        <w:rPr>
          <w:rFonts w:ascii="Times New Roman" w:eastAsia="Times New Roman" w:hAnsi="Times New Roman" w:cs="Times New Roman"/>
          <w:sz w:val="24"/>
          <w:szCs w:val="24"/>
        </w:rPr>
      </w:pPr>
    </w:p>
    <w:p w14:paraId="65040822" w14:textId="06B456BE" w:rsidR="0012044A" w:rsidRPr="002D3940" w:rsidRDefault="0012044A" w:rsidP="0012044A">
      <w:pPr>
        <w:spacing w:line="360" w:lineRule="auto"/>
        <w:jc w:val="both"/>
        <w:rPr>
          <w:rFonts w:ascii="Times New Roman" w:hAnsi="Times New Roman" w:cs="Times New Roman"/>
          <w:sz w:val="24"/>
          <w:szCs w:val="24"/>
          <w:highlight w:val="yellow"/>
        </w:rPr>
      </w:pPr>
      <w:r w:rsidRPr="00E45AAF">
        <w:rPr>
          <w:rFonts w:ascii="Times New Roman" w:hAnsi="Times New Roman" w:cs="Times New Roman"/>
          <w:b/>
          <w:bCs/>
          <w:sz w:val="24"/>
          <w:szCs w:val="24"/>
        </w:rPr>
        <w:t>Abstract:</w:t>
      </w:r>
      <w:r>
        <w:rPr>
          <w:rFonts w:ascii="Times New Roman" w:hAnsi="Times New Roman" w:cs="Times New Roman"/>
          <w:sz w:val="24"/>
          <w:szCs w:val="24"/>
        </w:rPr>
        <w:t xml:space="preserve"> </w:t>
      </w:r>
      <w:r w:rsidRPr="00A5637A">
        <w:rPr>
          <w:rFonts w:ascii="Times New Roman" w:hAnsi="Times New Roman" w:cs="Times New Roman"/>
          <w:sz w:val="24"/>
          <w:szCs w:val="24"/>
        </w:rPr>
        <w:t>Onion prices</w:t>
      </w:r>
      <w:r>
        <w:rPr>
          <w:rFonts w:ascii="Times New Roman" w:hAnsi="Times New Roman" w:cs="Times New Roman"/>
          <w:sz w:val="24"/>
          <w:szCs w:val="24"/>
        </w:rPr>
        <w:t xml:space="preserve"> in the Lucknow market</w:t>
      </w:r>
      <w:r w:rsidRPr="00A5637A">
        <w:rPr>
          <w:rFonts w:ascii="Times New Roman" w:hAnsi="Times New Roman" w:cs="Times New Roman"/>
          <w:sz w:val="24"/>
          <w:szCs w:val="24"/>
        </w:rPr>
        <w:t xml:space="preserve"> exhibit very high instability</w:t>
      </w:r>
      <w:r>
        <w:rPr>
          <w:rFonts w:ascii="Times New Roman" w:hAnsi="Times New Roman" w:cs="Times New Roman"/>
          <w:sz w:val="24"/>
          <w:szCs w:val="24"/>
        </w:rPr>
        <w:t>, or in other words, volatility</w:t>
      </w:r>
      <w:r w:rsidRPr="00A5637A">
        <w:rPr>
          <w:rFonts w:ascii="Times New Roman" w:hAnsi="Times New Roman" w:cs="Times New Roman"/>
          <w:sz w:val="24"/>
          <w:szCs w:val="24"/>
        </w:rPr>
        <w:t xml:space="preserve"> of </w:t>
      </w:r>
      <w:r>
        <w:rPr>
          <w:rFonts w:ascii="Times New Roman" w:hAnsi="Times New Roman" w:cs="Times New Roman"/>
          <w:sz w:val="24"/>
          <w:szCs w:val="24"/>
        </w:rPr>
        <w:t>UP</w:t>
      </w:r>
      <w:r w:rsidRPr="00A5637A">
        <w:rPr>
          <w:rFonts w:ascii="Times New Roman" w:hAnsi="Times New Roman" w:cs="Times New Roman"/>
          <w:sz w:val="24"/>
          <w:szCs w:val="24"/>
        </w:rPr>
        <w:t>.</w:t>
      </w:r>
      <w:r>
        <w:rPr>
          <w:rFonts w:ascii="Times New Roman" w:hAnsi="Times New Roman" w:cs="Times New Roman"/>
          <w:sz w:val="24"/>
          <w:szCs w:val="24"/>
        </w:rPr>
        <w:t xml:space="preserve"> </w:t>
      </w:r>
      <w:r w:rsidRPr="002D3940">
        <w:rPr>
          <w:rFonts w:ascii="Times New Roman" w:hAnsi="Times New Roman" w:cs="Times New Roman"/>
          <w:sz w:val="24"/>
          <w:szCs w:val="24"/>
        </w:rPr>
        <w:t>When price volatility affect</w:t>
      </w:r>
      <w:r>
        <w:rPr>
          <w:rFonts w:ascii="Times New Roman" w:hAnsi="Times New Roman" w:cs="Times New Roman"/>
          <w:sz w:val="24"/>
          <w:szCs w:val="24"/>
        </w:rPr>
        <w:t>s</w:t>
      </w:r>
      <w:r w:rsidRPr="002D3940">
        <w:rPr>
          <w:rFonts w:ascii="Times New Roman" w:hAnsi="Times New Roman" w:cs="Times New Roman"/>
          <w:sz w:val="24"/>
          <w:szCs w:val="24"/>
        </w:rPr>
        <w:t xml:space="preserve"> differently</w:t>
      </w:r>
      <w:r>
        <w:rPr>
          <w:rFonts w:ascii="Times New Roman" w:hAnsi="Times New Roman" w:cs="Times New Roman"/>
          <w:sz w:val="24"/>
          <w:szCs w:val="24"/>
        </w:rPr>
        <w:t xml:space="preserve"> with</w:t>
      </w:r>
      <w:r w:rsidRPr="002D3940">
        <w:rPr>
          <w:rFonts w:ascii="Times New Roman" w:hAnsi="Times New Roman" w:cs="Times New Roman"/>
          <w:sz w:val="24"/>
          <w:szCs w:val="24"/>
        </w:rPr>
        <w:t xml:space="preserve"> positive and negative shocks of the </w:t>
      </w:r>
      <w:r w:rsidR="004803F9">
        <w:rPr>
          <w:rFonts w:ascii="Times New Roman" w:hAnsi="Times New Roman" w:cs="Times New Roman"/>
          <w:sz w:val="24"/>
          <w:szCs w:val="24"/>
        </w:rPr>
        <w:t>equivalent</w:t>
      </w:r>
      <w:r w:rsidRPr="002D3940">
        <w:rPr>
          <w:rFonts w:ascii="Times New Roman" w:hAnsi="Times New Roman" w:cs="Times New Roman"/>
          <w:sz w:val="24"/>
          <w:szCs w:val="24"/>
        </w:rPr>
        <w:t xml:space="preserve"> </w:t>
      </w:r>
      <w:r w:rsidR="004803F9">
        <w:rPr>
          <w:rFonts w:ascii="Times New Roman" w:hAnsi="Times New Roman" w:cs="Times New Roman"/>
          <w:sz w:val="24"/>
          <w:szCs w:val="24"/>
        </w:rPr>
        <w:t>size</w:t>
      </w:r>
      <w:r w:rsidRPr="002D3940">
        <w:rPr>
          <w:rFonts w:ascii="Times New Roman" w:hAnsi="Times New Roman" w:cs="Times New Roman"/>
          <w:sz w:val="24"/>
          <w:szCs w:val="24"/>
        </w:rPr>
        <w:t xml:space="preserve">, it is said to be asymmetric. Since GARCH is a symmetric model, it </w:t>
      </w:r>
      <w:r>
        <w:rPr>
          <w:rFonts w:ascii="Times New Roman" w:hAnsi="Times New Roman" w:cs="Times New Roman"/>
          <w:sz w:val="24"/>
          <w:szCs w:val="24"/>
        </w:rPr>
        <w:t>will be</w:t>
      </w:r>
      <w:r w:rsidRPr="002D3940">
        <w:rPr>
          <w:rFonts w:ascii="Times New Roman" w:hAnsi="Times New Roman" w:cs="Times New Roman"/>
          <w:sz w:val="24"/>
          <w:szCs w:val="24"/>
        </w:rPr>
        <w:t xml:space="preserve"> unable to account for asymmetric volatility in prices.</w:t>
      </w:r>
      <w:r>
        <w:rPr>
          <w:rFonts w:ascii="Times New Roman" w:hAnsi="Times New Roman" w:cs="Times New Roman"/>
          <w:sz w:val="24"/>
          <w:szCs w:val="24"/>
        </w:rPr>
        <w:t xml:space="preserve"> EGARCH, GJR-GARCH and APARCH models are popularly used to capture asymmetric price volatility.</w:t>
      </w:r>
      <w:r w:rsidRPr="00A5637A">
        <w:rPr>
          <w:rFonts w:ascii="Times New Roman" w:hAnsi="Times New Roman" w:cs="Times New Roman"/>
          <w:sz w:val="24"/>
          <w:szCs w:val="24"/>
        </w:rPr>
        <w:t xml:space="preserve"> The present study aimed</w:t>
      </w:r>
      <w:r>
        <w:rPr>
          <w:rFonts w:ascii="Times New Roman" w:hAnsi="Times New Roman" w:cs="Times New Roman"/>
          <w:sz w:val="24"/>
          <w:szCs w:val="24"/>
        </w:rPr>
        <w:t xml:space="preserve"> to model and forecast the price volatility of the monthly modal prices of onion for the Lucknow</w:t>
      </w:r>
      <w:r w:rsidRPr="00A5637A">
        <w:rPr>
          <w:rFonts w:ascii="Times New Roman" w:hAnsi="Times New Roman" w:cs="Times New Roman"/>
          <w:sz w:val="24"/>
          <w:szCs w:val="24"/>
        </w:rPr>
        <w:t xml:space="preserve"> market of </w:t>
      </w:r>
      <w:r>
        <w:rPr>
          <w:rFonts w:ascii="Times New Roman" w:hAnsi="Times New Roman" w:cs="Times New Roman"/>
          <w:sz w:val="24"/>
          <w:szCs w:val="24"/>
        </w:rPr>
        <w:t xml:space="preserve">UP. </w:t>
      </w:r>
      <w:r w:rsidRPr="002D3940">
        <w:rPr>
          <w:rFonts w:ascii="Times New Roman" w:hAnsi="Times New Roman" w:cs="Times New Roman"/>
          <w:sz w:val="24"/>
          <w:szCs w:val="24"/>
        </w:rPr>
        <w:t xml:space="preserve">The study </w:t>
      </w:r>
      <w:r>
        <w:rPr>
          <w:rFonts w:ascii="Times New Roman" w:hAnsi="Times New Roman" w:cs="Times New Roman"/>
          <w:sz w:val="24"/>
          <w:szCs w:val="24"/>
        </w:rPr>
        <w:t>is based on the</w:t>
      </w:r>
      <w:r w:rsidRPr="002D3940">
        <w:rPr>
          <w:rFonts w:ascii="Times New Roman" w:hAnsi="Times New Roman" w:cs="Times New Roman"/>
          <w:sz w:val="24"/>
          <w:szCs w:val="24"/>
        </w:rPr>
        <w:t xml:space="preserve"> secondary time series data</w:t>
      </w:r>
      <w:r>
        <w:rPr>
          <w:rFonts w:ascii="Times New Roman" w:hAnsi="Times New Roman" w:cs="Times New Roman"/>
          <w:sz w:val="24"/>
          <w:szCs w:val="24"/>
        </w:rPr>
        <w:t xml:space="preserve"> on the monthly price of onion from January 2007 to December</w:t>
      </w:r>
      <w:r w:rsidRPr="00A5637A">
        <w:rPr>
          <w:rFonts w:ascii="Times New Roman" w:hAnsi="Times New Roman" w:cs="Times New Roman"/>
          <w:sz w:val="24"/>
          <w:szCs w:val="24"/>
        </w:rPr>
        <w:t xml:space="preserve"> 20</w:t>
      </w:r>
      <w:r>
        <w:rPr>
          <w:rFonts w:ascii="Times New Roman" w:hAnsi="Times New Roman" w:cs="Times New Roman"/>
          <w:sz w:val="24"/>
          <w:szCs w:val="24"/>
        </w:rPr>
        <w:t>21</w:t>
      </w:r>
      <w:r w:rsidRPr="00A5637A">
        <w:rPr>
          <w:rFonts w:ascii="Times New Roman" w:hAnsi="Times New Roman" w:cs="Times New Roman"/>
          <w:sz w:val="24"/>
          <w:szCs w:val="24"/>
        </w:rPr>
        <w:t>.</w:t>
      </w:r>
      <w:r>
        <w:rPr>
          <w:rFonts w:ascii="Times New Roman" w:hAnsi="Times New Roman" w:cs="Times New Roman"/>
          <w:sz w:val="24"/>
          <w:szCs w:val="24"/>
        </w:rPr>
        <w:t xml:space="preserve"> Augmented Dicky-Fuller (ADF), Philips Peron (PP), and Kwiatkowski-Phillips-Schmidt-Shin (KPSS) tests have been used for testing the stationarity of the series.</w:t>
      </w:r>
      <w:r w:rsidRPr="00A5637A">
        <w:rPr>
          <w:rFonts w:ascii="Times New Roman" w:hAnsi="Times New Roman" w:cs="Times New Roman"/>
          <w:sz w:val="24"/>
          <w:szCs w:val="24"/>
        </w:rPr>
        <w:t xml:space="preserve"> </w:t>
      </w:r>
      <w:r>
        <w:rPr>
          <w:rFonts w:ascii="Times New Roman" w:hAnsi="Times New Roman" w:cs="Times New Roman"/>
          <w:sz w:val="24"/>
          <w:szCs w:val="24"/>
        </w:rPr>
        <w:t>T</w:t>
      </w:r>
      <w:r w:rsidRPr="00A5637A">
        <w:rPr>
          <w:rFonts w:ascii="Times New Roman" w:hAnsi="Times New Roman" w:cs="Times New Roman"/>
          <w:sz w:val="24"/>
          <w:szCs w:val="24"/>
        </w:rPr>
        <w:t xml:space="preserve">he best </w:t>
      </w:r>
      <w:r w:rsidRPr="00CB25CE">
        <w:rPr>
          <w:rFonts w:ascii="Times New Roman" w:hAnsi="Times New Roman" w:cs="Times New Roman"/>
          <w:sz w:val="24"/>
          <w:szCs w:val="24"/>
        </w:rPr>
        <w:t xml:space="preserve">ARMA model </w:t>
      </w:r>
      <w:r>
        <w:rPr>
          <w:rFonts w:ascii="Times New Roman" w:hAnsi="Times New Roman" w:cs="Times New Roman"/>
          <w:sz w:val="24"/>
          <w:szCs w:val="24"/>
        </w:rPr>
        <w:t>has been</w:t>
      </w:r>
      <w:r w:rsidRPr="00CB25CE">
        <w:rPr>
          <w:rFonts w:ascii="Times New Roman" w:hAnsi="Times New Roman" w:cs="Times New Roman"/>
          <w:sz w:val="24"/>
          <w:szCs w:val="24"/>
        </w:rPr>
        <w:t xml:space="preserve"> selected for the individual series after </w:t>
      </w:r>
      <w:r>
        <w:rPr>
          <w:rFonts w:ascii="Times New Roman" w:hAnsi="Times New Roman" w:cs="Times New Roman"/>
          <w:sz w:val="24"/>
          <w:szCs w:val="24"/>
        </w:rPr>
        <w:t>conf</w:t>
      </w:r>
      <w:r w:rsidR="00F8303C">
        <w:rPr>
          <w:rFonts w:ascii="Times New Roman" w:hAnsi="Times New Roman" w:cs="Times New Roman"/>
          <w:sz w:val="24"/>
          <w:szCs w:val="24"/>
        </w:rPr>
        <w:t>i</w:t>
      </w:r>
      <w:r>
        <w:rPr>
          <w:rFonts w:ascii="Times New Roman" w:hAnsi="Times New Roman" w:cs="Times New Roman"/>
          <w:sz w:val="24"/>
          <w:szCs w:val="24"/>
        </w:rPr>
        <w:t>rming the</w:t>
      </w:r>
      <w:r w:rsidRPr="00CB25CE">
        <w:rPr>
          <w:rFonts w:ascii="Times New Roman" w:hAnsi="Times New Roman" w:cs="Times New Roman"/>
          <w:sz w:val="24"/>
          <w:szCs w:val="24"/>
        </w:rPr>
        <w:t xml:space="preserve"> stationarity of the series.</w:t>
      </w:r>
      <w:r w:rsidR="00043117">
        <w:rPr>
          <w:rFonts w:ascii="Times New Roman" w:hAnsi="Times New Roman" w:cs="Times New Roman"/>
          <w:sz w:val="24"/>
          <w:szCs w:val="24"/>
        </w:rPr>
        <w:t xml:space="preserve"> R</w:t>
      </w:r>
      <w:r w:rsidRPr="00645435">
        <w:rPr>
          <w:rFonts w:ascii="Times New Roman" w:hAnsi="Times New Roman" w:cs="Times New Roman"/>
          <w:sz w:val="24"/>
          <w:szCs w:val="24"/>
        </w:rPr>
        <w:t xml:space="preserve">esiduals </w:t>
      </w:r>
      <w:r w:rsidR="00043117">
        <w:rPr>
          <w:rFonts w:ascii="Times New Roman" w:hAnsi="Times New Roman" w:cs="Times New Roman"/>
          <w:sz w:val="24"/>
          <w:szCs w:val="24"/>
        </w:rPr>
        <w:t>have been</w:t>
      </w:r>
      <w:r w:rsidRPr="00645435">
        <w:rPr>
          <w:rFonts w:ascii="Times New Roman" w:hAnsi="Times New Roman" w:cs="Times New Roman"/>
          <w:sz w:val="24"/>
          <w:szCs w:val="24"/>
        </w:rPr>
        <w:t xml:space="preserve"> examined for the presence of autocorrelation</w:t>
      </w:r>
      <w:r>
        <w:rPr>
          <w:rFonts w:ascii="Times New Roman" w:hAnsi="Times New Roman" w:cs="Times New Roman"/>
          <w:sz w:val="24"/>
          <w:szCs w:val="24"/>
        </w:rPr>
        <w:t>, heteroscedasticity, and nonlinear dependence in them, and it has been found that residuals have all those properties verification has been done using Ljung-Box test, ARCH-LM test and BDS test, respectively.</w:t>
      </w:r>
      <w:r w:rsidRPr="000317E1">
        <w:t xml:space="preserve"> </w:t>
      </w:r>
      <w:r w:rsidRPr="000317E1">
        <w:rPr>
          <w:rFonts w:ascii="Times New Roman" w:hAnsi="Times New Roman" w:cs="Times New Roman"/>
          <w:sz w:val="24"/>
          <w:szCs w:val="24"/>
        </w:rPr>
        <w:t>Upon analysis of data,</w:t>
      </w:r>
      <w:r>
        <w:rPr>
          <w:rFonts w:ascii="Times New Roman" w:hAnsi="Times New Roman" w:cs="Times New Roman"/>
          <w:sz w:val="24"/>
          <w:szCs w:val="24"/>
        </w:rPr>
        <w:t xml:space="preserve"> the ARMA (1,0)-APARCH (1,1) model outperformed the other forecasting</w:t>
      </w:r>
      <w:r w:rsidR="00B70100">
        <w:rPr>
          <w:rFonts w:ascii="Times New Roman" w:hAnsi="Times New Roman" w:cs="Times New Roman"/>
          <w:sz w:val="24"/>
          <w:szCs w:val="24"/>
        </w:rPr>
        <w:t xml:space="preserve"> model</w:t>
      </w:r>
      <w:r>
        <w:rPr>
          <w:rFonts w:ascii="Times New Roman" w:hAnsi="Times New Roman" w:cs="Times New Roman"/>
          <w:sz w:val="24"/>
          <w:szCs w:val="24"/>
        </w:rPr>
        <w:t xml:space="preserve">, and it is </w:t>
      </w:r>
      <w:r w:rsidR="00B70100">
        <w:rPr>
          <w:rFonts w:ascii="Times New Roman" w:hAnsi="Times New Roman" w:cs="Times New Roman"/>
          <w:sz w:val="24"/>
          <w:szCs w:val="24"/>
        </w:rPr>
        <w:t>deemed</w:t>
      </w:r>
      <w:r>
        <w:rPr>
          <w:rFonts w:ascii="Times New Roman" w:hAnsi="Times New Roman" w:cs="Times New Roman"/>
          <w:sz w:val="24"/>
          <w:szCs w:val="24"/>
        </w:rPr>
        <w:t xml:space="preserve"> to be the best fit model for the data under consideration</w:t>
      </w:r>
      <w:r w:rsidRPr="000317E1">
        <w:rPr>
          <w:rFonts w:ascii="Times New Roman" w:hAnsi="Times New Roman" w:cs="Times New Roman"/>
          <w:sz w:val="24"/>
          <w:szCs w:val="24"/>
        </w:rPr>
        <w:t>.</w:t>
      </w:r>
      <w:r>
        <w:rPr>
          <w:rFonts w:ascii="Times New Roman" w:hAnsi="Times New Roman" w:cs="Times New Roman"/>
          <w:sz w:val="24"/>
          <w:szCs w:val="24"/>
        </w:rPr>
        <w:t xml:space="preserve"> The R software version 4.2.3 has been used for data analysis. </w:t>
      </w:r>
    </w:p>
    <w:p w14:paraId="66B8DACA" w14:textId="77777777" w:rsidR="0012044A" w:rsidRDefault="0012044A" w:rsidP="0012044A">
      <w:pPr>
        <w:rPr>
          <w:rFonts w:ascii="Times New Roman" w:hAnsi="Times New Roman" w:cs="Times New Roman"/>
          <w:sz w:val="24"/>
          <w:szCs w:val="24"/>
        </w:rPr>
      </w:pPr>
      <w:r w:rsidRPr="005B6783">
        <w:rPr>
          <w:rFonts w:ascii="Times New Roman" w:hAnsi="Times New Roman" w:cs="Times New Roman"/>
          <w:b/>
          <w:bCs/>
          <w:i/>
          <w:iCs/>
          <w:sz w:val="24"/>
          <w:szCs w:val="24"/>
        </w:rPr>
        <w:t>Key words:</w:t>
      </w:r>
      <w:r w:rsidRPr="00A5637A">
        <w:rPr>
          <w:rFonts w:ascii="Times New Roman" w:hAnsi="Times New Roman" w:cs="Times New Roman"/>
          <w:sz w:val="24"/>
          <w:szCs w:val="24"/>
        </w:rPr>
        <w:t xml:space="preserve"> </w:t>
      </w:r>
      <w:r>
        <w:rPr>
          <w:rFonts w:ascii="Times New Roman" w:hAnsi="Times New Roman" w:cs="Times New Roman"/>
          <w:sz w:val="24"/>
          <w:szCs w:val="24"/>
        </w:rPr>
        <w:t xml:space="preserve">ARMA model, </w:t>
      </w:r>
      <w:r w:rsidRPr="00A5637A">
        <w:rPr>
          <w:rFonts w:ascii="Times New Roman" w:hAnsi="Times New Roman" w:cs="Times New Roman"/>
          <w:sz w:val="24"/>
          <w:szCs w:val="24"/>
        </w:rPr>
        <w:t xml:space="preserve">GARCH </w:t>
      </w:r>
      <w:r>
        <w:rPr>
          <w:rFonts w:ascii="Times New Roman" w:hAnsi="Times New Roman" w:cs="Times New Roman"/>
          <w:sz w:val="24"/>
          <w:szCs w:val="24"/>
        </w:rPr>
        <w:t xml:space="preserve">type </w:t>
      </w:r>
      <w:r w:rsidRPr="00A5637A">
        <w:rPr>
          <w:rFonts w:ascii="Times New Roman" w:hAnsi="Times New Roman" w:cs="Times New Roman"/>
          <w:sz w:val="24"/>
          <w:szCs w:val="24"/>
        </w:rPr>
        <w:t>model</w:t>
      </w:r>
      <w:r>
        <w:rPr>
          <w:rFonts w:ascii="Times New Roman" w:hAnsi="Times New Roman" w:cs="Times New Roman"/>
          <w:sz w:val="24"/>
          <w:szCs w:val="24"/>
        </w:rPr>
        <w:t>s</w:t>
      </w:r>
      <w:r w:rsidRPr="00A5637A">
        <w:rPr>
          <w:rFonts w:ascii="Times New Roman" w:hAnsi="Times New Roman" w:cs="Times New Roman"/>
          <w:sz w:val="24"/>
          <w:szCs w:val="24"/>
        </w:rPr>
        <w:t>, Onion prices,</w:t>
      </w:r>
      <w:r>
        <w:rPr>
          <w:rFonts w:ascii="Times New Roman" w:hAnsi="Times New Roman" w:cs="Times New Roman"/>
          <w:sz w:val="24"/>
          <w:szCs w:val="24"/>
        </w:rPr>
        <w:t xml:space="preserve"> Time series,</w:t>
      </w:r>
      <w:r w:rsidRPr="00A5637A">
        <w:rPr>
          <w:rFonts w:ascii="Times New Roman" w:hAnsi="Times New Roman" w:cs="Times New Roman"/>
          <w:sz w:val="24"/>
          <w:szCs w:val="24"/>
        </w:rPr>
        <w:t xml:space="preserve"> Volatility</w:t>
      </w:r>
    </w:p>
    <w:p w14:paraId="5CAE5A70" w14:textId="77777777" w:rsidR="0012044A" w:rsidRDefault="0012044A" w:rsidP="0012044A">
      <w:pPr>
        <w:rPr>
          <w:rFonts w:ascii="Times New Roman" w:hAnsi="Times New Roman" w:cs="Times New Roman"/>
          <w:sz w:val="24"/>
          <w:szCs w:val="24"/>
        </w:rPr>
      </w:pPr>
    </w:p>
    <w:p w14:paraId="27D05979" w14:textId="77777777" w:rsidR="0012044A" w:rsidRDefault="0012044A" w:rsidP="0012044A">
      <w:pPr>
        <w:jc w:val="both"/>
        <w:rPr>
          <w:rFonts w:ascii="Times New Roman" w:hAnsi="Times New Roman" w:cs="Times New Roman"/>
          <w:b/>
          <w:bCs/>
          <w:sz w:val="24"/>
          <w:szCs w:val="24"/>
        </w:rPr>
      </w:pPr>
    </w:p>
    <w:p w14:paraId="7F05482D" w14:textId="77777777" w:rsidR="0012044A" w:rsidRDefault="0012044A" w:rsidP="0012044A">
      <w:pPr>
        <w:jc w:val="both"/>
        <w:rPr>
          <w:rFonts w:ascii="Times New Roman" w:hAnsi="Times New Roman" w:cs="Times New Roman"/>
          <w:b/>
          <w:bCs/>
          <w:sz w:val="24"/>
          <w:szCs w:val="24"/>
        </w:rPr>
      </w:pPr>
    </w:p>
    <w:p w14:paraId="08AEE2A8" w14:textId="77777777" w:rsidR="0012044A" w:rsidRDefault="0012044A" w:rsidP="0012044A">
      <w:pPr>
        <w:jc w:val="both"/>
        <w:rPr>
          <w:rFonts w:ascii="Times New Roman" w:hAnsi="Times New Roman" w:cs="Times New Roman"/>
          <w:b/>
          <w:bCs/>
          <w:sz w:val="24"/>
          <w:szCs w:val="24"/>
        </w:rPr>
      </w:pPr>
    </w:p>
    <w:p w14:paraId="383A07B2" w14:textId="38C0B2E3" w:rsidR="0012044A" w:rsidRDefault="0012044A" w:rsidP="0012044A">
      <w:pPr>
        <w:jc w:val="both"/>
        <w:rPr>
          <w:rFonts w:ascii="Times New Roman" w:hAnsi="Times New Roman" w:cs="Times New Roman"/>
          <w:b/>
          <w:bCs/>
          <w:sz w:val="24"/>
          <w:szCs w:val="24"/>
        </w:rPr>
      </w:pPr>
    </w:p>
    <w:p w14:paraId="539B7F76" w14:textId="0F75B946" w:rsidR="000C4500" w:rsidRDefault="000C4500" w:rsidP="0012044A">
      <w:pPr>
        <w:jc w:val="both"/>
        <w:rPr>
          <w:rFonts w:ascii="Times New Roman" w:hAnsi="Times New Roman" w:cs="Times New Roman"/>
          <w:b/>
          <w:bCs/>
          <w:sz w:val="24"/>
          <w:szCs w:val="24"/>
        </w:rPr>
      </w:pPr>
    </w:p>
    <w:p w14:paraId="32515905" w14:textId="75D0DD32" w:rsidR="000C4500" w:rsidRDefault="000C4500" w:rsidP="0012044A">
      <w:pPr>
        <w:jc w:val="both"/>
        <w:rPr>
          <w:rFonts w:ascii="Times New Roman" w:hAnsi="Times New Roman" w:cs="Times New Roman"/>
          <w:b/>
          <w:bCs/>
          <w:sz w:val="24"/>
          <w:szCs w:val="24"/>
        </w:rPr>
      </w:pPr>
    </w:p>
    <w:p w14:paraId="68C2B2D5" w14:textId="77777777" w:rsidR="000C4500" w:rsidRDefault="000C4500" w:rsidP="0012044A">
      <w:pPr>
        <w:jc w:val="both"/>
        <w:rPr>
          <w:rFonts w:ascii="Times New Roman" w:hAnsi="Times New Roman" w:cs="Times New Roman"/>
          <w:b/>
          <w:bCs/>
          <w:sz w:val="24"/>
          <w:szCs w:val="24"/>
        </w:rPr>
      </w:pPr>
    </w:p>
    <w:p w14:paraId="25460824" w14:textId="77777777" w:rsidR="0012044A" w:rsidRDefault="0012044A" w:rsidP="0012044A">
      <w:pPr>
        <w:jc w:val="both"/>
        <w:rPr>
          <w:rFonts w:ascii="Times New Roman" w:hAnsi="Times New Roman" w:cs="Times New Roman"/>
          <w:b/>
          <w:bCs/>
          <w:sz w:val="24"/>
          <w:szCs w:val="24"/>
        </w:rPr>
      </w:pPr>
    </w:p>
    <w:p w14:paraId="20294651" w14:textId="77777777" w:rsidR="002F5A33" w:rsidRDefault="002F5A33" w:rsidP="0012044A">
      <w:pPr>
        <w:jc w:val="both"/>
        <w:rPr>
          <w:rFonts w:ascii="Times New Roman" w:hAnsi="Times New Roman" w:cs="Times New Roman"/>
          <w:b/>
          <w:bCs/>
          <w:sz w:val="24"/>
          <w:szCs w:val="24"/>
        </w:rPr>
      </w:pPr>
    </w:p>
    <w:p w14:paraId="4AEEFC99" w14:textId="12CEBCAF" w:rsidR="0012044A" w:rsidRDefault="0012044A" w:rsidP="0012044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73053C">
        <w:rPr>
          <w:rFonts w:ascii="Times New Roman" w:hAnsi="Times New Roman" w:cs="Times New Roman"/>
          <w:b/>
          <w:bCs/>
          <w:sz w:val="24"/>
          <w:szCs w:val="24"/>
        </w:rPr>
        <w:t>Introduction</w:t>
      </w:r>
    </w:p>
    <w:p w14:paraId="4D5D69D3" w14:textId="77777777" w:rsidR="0012044A" w:rsidRPr="007132E4" w:rsidRDefault="0012044A" w:rsidP="0012044A">
      <w:pPr>
        <w:spacing w:line="360" w:lineRule="auto"/>
        <w:jc w:val="both"/>
        <w:rPr>
          <w:rFonts w:ascii="Times New Roman" w:hAnsi="Times New Roman" w:cs="Times New Roman"/>
          <w:sz w:val="24"/>
          <w:szCs w:val="24"/>
          <w:highlight w:val="yellow"/>
        </w:rPr>
      </w:pPr>
      <w:r w:rsidRPr="007132E4">
        <w:rPr>
          <w:rFonts w:ascii="Times New Roman" w:hAnsi="Times New Roman" w:cs="Times New Roman"/>
          <w:sz w:val="24"/>
          <w:szCs w:val="24"/>
        </w:rPr>
        <w:t>One of the most important vegetable crops in India is the onion (Allium cepa), which is a mainstay of Indian cooking and makes a substantial contribution to agricultural economy. Onion prices are notoriously volatile and frequently see significant swings as a result of a number of reasons, including weather, supply chain interruptions, seasonal variations, and governmental regulations.</w:t>
      </w:r>
      <w:r w:rsidRPr="00636927">
        <w:rPr>
          <w:rFonts w:ascii="Times New Roman" w:hAnsi="Times New Roman" w:cs="Times New Roman"/>
          <w:sz w:val="24"/>
          <w:szCs w:val="24"/>
        </w:rPr>
        <w:t xml:space="preserve"> These fluctuations have a direct impact on both consumers and farmers, making onion pricing a critical issue in agricultural markets.</w:t>
      </w:r>
    </w:p>
    <w:p w14:paraId="13B1A13E" w14:textId="77777777" w:rsidR="0012044A" w:rsidRPr="007132E4" w:rsidRDefault="0012044A" w:rsidP="0012044A">
      <w:pPr>
        <w:spacing w:line="360" w:lineRule="auto"/>
        <w:jc w:val="both"/>
        <w:rPr>
          <w:rFonts w:ascii="Times New Roman" w:hAnsi="Times New Roman" w:cs="Times New Roman"/>
          <w:sz w:val="24"/>
          <w:szCs w:val="24"/>
          <w:highlight w:val="yellow"/>
        </w:rPr>
      </w:pPr>
      <w:r w:rsidRPr="007132E4">
        <w:rPr>
          <w:rFonts w:ascii="Times New Roman" w:hAnsi="Times New Roman" w:cs="Times New Roman"/>
          <w:sz w:val="24"/>
          <w:szCs w:val="24"/>
        </w:rPr>
        <w:t>Uttar Pradesh's capital city Lucknow</w:t>
      </w:r>
      <w:r>
        <w:rPr>
          <w:rFonts w:ascii="Times New Roman" w:hAnsi="Times New Roman" w:cs="Times New Roman"/>
          <w:sz w:val="24"/>
          <w:szCs w:val="24"/>
        </w:rPr>
        <w:t xml:space="preserve"> </w:t>
      </w:r>
      <w:r w:rsidRPr="00636927">
        <w:rPr>
          <w:rFonts w:ascii="Times New Roman" w:hAnsi="Times New Roman" w:cs="Times New Roman"/>
          <w:sz w:val="24"/>
          <w:szCs w:val="24"/>
        </w:rPr>
        <w:t>is a major hub for onion trading in North India. The Lucknow wholesale market</w:t>
      </w:r>
      <w:r>
        <w:rPr>
          <w:rFonts w:ascii="Times New Roman" w:hAnsi="Times New Roman" w:cs="Times New Roman"/>
          <w:sz w:val="24"/>
          <w:szCs w:val="24"/>
        </w:rPr>
        <w:t xml:space="preserve"> </w:t>
      </w:r>
      <w:r w:rsidRPr="00636927">
        <w:rPr>
          <w:rFonts w:ascii="Times New Roman" w:hAnsi="Times New Roman" w:cs="Times New Roman"/>
          <w:sz w:val="24"/>
          <w:szCs w:val="24"/>
        </w:rPr>
        <w:t xml:space="preserve">plays a pivotal role in determining regional onion prices, influencing retail markets across the state. </w:t>
      </w:r>
      <w:r w:rsidRPr="00D27E7F">
        <w:rPr>
          <w:rFonts w:ascii="Times New Roman" w:hAnsi="Times New Roman" w:cs="Times New Roman"/>
          <w:sz w:val="24"/>
          <w:szCs w:val="24"/>
        </w:rPr>
        <w:t>Given the socioeconomic significance of onions, policymakers, merchants, and farmers must comprehend pricing trends, seasonal patterns, and affecting elements in the Lucknow market in order to guarantee food security and price stability</w:t>
      </w:r>
      <w:r w:rsidRPr="00636927">
        <w:rPr>
          <w:rFonts w:ascii="Times New Roman" w:hAnsi="Times New Roman" w:cs="Times New Roman"/>
          <w:sz w:val="24"/>
          <w:szCs w:val="24"/>
        </w:rPr>
        <w:t>.</w:t>
      </w:r>
    </w:p>
    <w:p w14:paraId="208375FB" w14:textId="3D5EB10D" w:rsidR="0012044A" w:rsidRDefault="0012044A" w:rsidP="0012044A">
      <w:pPr>
        <w:spacing w:line="360" w:lineRule="auto"/>
        <w:jc w:val="both"/>
        <w:rPr>
          <w:rFonts w:ascii="Times New Roman" w:hAnsi="Times New Roman" w:cs="Times New Roman"/>
          <w:sz w:val="24"/>
          <w:szCs w:val="24"/>
        </w:rPr>
      </w:pPr>
      <w:r w:rsidRPr="00C74F2D">
        <w:rPr>
          <w:rFonts w:ascii="Times New Roman" w:hAnsi="Times New Roman" w:cs="Times New Roman"/>
          <w:sz w:val="24"/>
          <w:szCs w:val="24"/>
        </w:rPr>
        <w:t>A time series is a co</w:t>
      </w:r>
      <w:r w:rsidR="00E64BF5">
        <w:rPr>
          <w:rFonts w:ascii="Times New Roman" w:hAnsi="Times New Roman" w:cs="Times New Roman"/>
          <w:sz w:val="24"/>
          <w:szCs w:val="24"/>
        </w:rPr>
        <w:t>mpilation</w:t>
      </w:r>
      <w:r w:rsidRPr="00C74F2D">
        <w:rPr>
          <w:rFonts w:ascii="Times New Roman" w:hAnsi="Times New Roman" w:cs="Times New Roman"/>
          <w:sz w:val="24"/>
          <w:szCs w:val="24"/>
        </w:rPr>
        <w:t xml:space="preserve"> of data points</w:t>
      </w:r>
      <w:r w:rsidRPr="00091FD6">
        <w:rPr>
          <w:rFonts w:ascii="Times New Roman" w:hAnsi="Times New Roman" w:cs="Times New Roman"/>
          <w:sz w:val="24"/>
          <w:szCs w:val="24"/>
        </w:rPr>
        <w:t xml:space="preserve"> </w:t>
      </w:r>
      <w:r w:rsidR="00E64BF5">
        <w:rPr>
          <w:rFonts w:ascii="Times New Roman" w:hAnsi="Times New Roman" w:cs="Times New Roman"/>
          <w:sz w:val="24"/>
          <w:szCs w:val="24"/>
        </w:rPr>
        <w:t>documented</w:t>
      </w:r>
      <w:r w:rsidRPr="00091FD6">
        <w:rPr>
          <w:rFonts w:ascii="Times New Roman" w:hAnsi="Times New Roman" w:cs="Times New Roman"/>
          <w:sz w:val="24"/>
          <w:szCs w:val="24"/>
        </w:rPr>
        <w:t xml:space="preserve"> at </w:t>
      </w:r>
      <w:r w:rsidR="007D738B">
        <w:rPr>
          <w:rFonts w:ascii="Times New Roman" w:hAnsi="Times New Roman" w:cs="Times New Roman"/>
          <w:sz w:val="24"/>
          <w:szCs w:val="24"/>
        </w:rPr>
        <w:t>consecutive</w:t>
      </w:r>
      <w:r w:rsidRPr="00091FD6">
        <w:rPr>
          <w:rFonts w:ascii="Times New Roman" w:hAnsi="Times New Roman" w:cs="Times New Roman"/>
          <w:sz w:val="24"/>
          <w:szCs w:val="24"/>
        </w:rPr>
        <w:t xml:space="preserve"> intervals over a</w:t>
      </w:r>
      <w:r w:rsidR="00E64BF5">
        <w:rPr>
          <w:rFonts w:ascii="Times New Roman" w:hAnsi="Times New Roman" w:cs="Times New Roman"/>
          <w:sz w:val="24"/>
          <w:szCs w:val="24"/>
        </w:rPr>
        <w:t xml:space="preserve"> </w:t>
      </w:r>
      <w:r w:rsidR="00F56B4E">
        <w:rPr>
          <w:rFonts w:ascii="Times New Roman" w:hAnsi="Times New Roman" w:cs="Times New Roman"/>
          <w:sz w:val="24"/>
          <w:szCs w:val="24"/>
        </w:rPr>
        <w:t>specific</w:t>
      </w:r>
      <w:r w:rsidR="00E64BF5">
        <w:rPr>
          <w:rFonts w:ascii="Times New Roman" w:hAnsi="Times New Roman" w:cs="Times New Roman"/>
          <w:sz w:val="24"/>
          <w:szCs w:val="24"/>
        </w:rPr>
        <w:t xml:space="preserve"> duration</w:t>
      </w:r>
      <w:r w:rsidRPr="00091FD6">
        <w:rPr>
          <w:rFonts w:ascii="Times New Roman" w:hAnsi="Times New Roman" w:cs="Times New Roman"/>
          <w:sz w:val="24"/>
          <w:szCs w:val="24"/>
        </w:rPr>
        <w:t>.</w:t>
      </w:r>
      <w:r w:rsidR="007D738B" w:rsidRPr="007D738B">
        <w:rPr>
          <w:rFonts w:ascii="Times New Roman" w:hAnsi="Times New Roman" w:cs="Times New Roman"/>
          <w:sz w:val="24"/>
          <w:szCs w:val="24"/>
        </w:rPr>
        <w:t xml:space="preserve"> </w:t>
      </w:r>
      <w:r w:rsidR="007D738B">
        <w:rPr>
          <w:rFonts w:ascii="Times New Roman" w:hAnsi="Times New Roman" w:cs="Times New Roman"/>
          <w:sz w:val="24"/>
          <w:szCs w:val="24"/>
        </w:rPr>
        <w:t>B</w:t>
      </w:r>
      <w:r w:rsidR="007D738B" w:rsidRPr="00091FD6">
        <w:rPr>
          <w:rFonts w:ascii="Times New Roman" w:hAnsi="Times New Roman" w:cs="Times New Roman"/>
          <w:sz w:val="24"/>
          <w:szCs w:val="24"/>
        </w:rPr>
        <w:t>ased on historical patterns</w:t>
      </w:r>
      <w:r w:rsidR="007D738B">
        <w:rPr>
          <w:rFonts w:ascii="Times New Roman" w:hAnsi="Times New Roman" w:cs="Times New Roman"/>
          <w:sz w:val="24"/>
          <w:szCs w:val="24"/>
        </w:rPr>
        <w:t>, t</w:t>
      </w:r>
      <w:r w:rsidRPr="00091FD6">
        <w:rPr>
          <w:rFonts w:ascii="Times New Roman" w:hAnsi="Times New Roman" w:cs="Times New Roman"/>
          <w:sz w:val="24"/>
          <w:szCs w:val="24"/>
        </w:rPr>
        <w:t xml:space="preserve">ime series analysis </w:t>
      </w:r>
      <w:r w:rsidR="007D738B">
        <w:rPr>
          <w:rFonts w:ascii="Times New Roman" w:hAnsi="Times New Roman" w:cs="Times New Roman"/>
          <w:sz w:val="24"/>
          <w:szCs w:val="24"/>
        </w:rPr>
        <w:t>permits</w:t>
      </w:r>
      <w:r w:rsidRPr="00091FD6">
        <w:rPr>
          <w:rFonts w:ascii="Times New Roman" w:hAnsi="Times New Roman" w:cs="Times New Roman"/>
          <w:sz w:val="24"/>
          <w:szCs w:val="24"/>
        </w:rPr>
        <w:t xml:space="preserve"> to make informed decisions.</w:t>
      </w:r>
      <w:r w:rsidR="00670CB0">
        <w:rPr>
          <w:rFonts w:ascii="Times New Roman" w:hAnsi="Times New Roman" w:cs="Times New Roman"/>
          <w:sz w:val="24"/>
          <w:szCs w:val="24"/>
        </w:rPr>
        <w:t xml:space="preserve"> S</w:t>
      </w:r>
      <w:r w:rsidRPr="00091FD6">
        <w:rPr>
          <w:rFonts w:ascii="Times New Roman" w:hAnsi="Times New Roman" w:cs="Times New Roman"/>
          <w:sz w:val="24"/>
          <w:szCs w:val="24"/>
        </w:rPr>
        <w:t>uccessive realizations separated through time are correlated</w:t>
      </w:r>
      <w:r w:rsidR="00670CB0">
        <w:rPr>
          <w:rFonts w:ascii="Times New Roman" w:hAnsi="Times New Roman" w:cs="Times New Roman"/>
          <w:sz w:val="24"/>
          <w:szCs w:val="24"/>
        </w:rPr>
        <w:t xml:space="preserve"> is the</w:t>
      </w:r>
      <w:r w:rsidR="00670CB0" w:rsidRPr="00670CB0">
        <w:rPr>
          <w:rFonts w:ascii="Times New Roman" w:hAnsi="Times New Roman" w:cs="Times New Roman"/>
          <w:sz w:val="24"/>
          <w:szCs w:val="24"/>
        </w:rPr>
        <w:t xml:space="preserve"> </w:t>
      </w:r>
      <w:r w:rsidR="00670CB0" w:rsidRPr="00091FD6">
        <w:rPr>
          <w:rFonts w:ascii="Times New Roman" w:hAnsi="Times New Roman" w:cs="Times New Roman"/>
          <w:sz w:val="24"/>
          <w:szCs w:val="24"/>
        </w:rPr>
        <w:t>unique feature of a time series</w:t>
      </w:r>
      <w:r w:rsidRPr="00091FD6">
        <w:rPr>
          <w:rFonts w:ascii="Times New Roman" w:hAnsi="Times New Roman" w:cs="Times New Roman"/>
          <w:sz w:val="24"/>
          <w:szCs w:val="24"/>
        </w:rPr>
        <w:t xml:space="preserve">. This </w:t>
      </w:r>
      <w:r w:rsidR="00A53DA0">
        <w:rPr>
          <w:rFonts w:ascii="Times New Roman" w:hAnsi="Times New Roman" w:cs="Times New Roman"/>
          <w:sz w:val="24"/>
          <w:szCs w:val="24"/>
        </w:rPr>
        <w:t>crucial</w:t>
      </w:r>
      <w:r w:rsidRPr="00091FD6">
        <w:rPr>
          <w:rFonts w:ascii="Times New Roman" w:hAnsi="Times New Roman" w:cs="Times New Roman"/>
          <w:sz w:val="24"/>
          <w:szCs w:val="24"/>
        </w:rPr>
        <w:t xml:space="preserve"> feature helps to capture the underlying phenomenon of a time series.</w:t>
      </w:r>
      <w:r w:rsidR="000F19C9" w:rsidRPr="000F19C9">
        <w:rPr>
          <w:rFonts w:ascii="Times New Roman" w:hAnsi="Times New Roman" w:cs="Times New Roman"/>
          <w:sz w:val="24"/>
          <w:szCs w:val="24"/>
        </w:rPr>
        <w:t xml:space="preserve"> </w:t>
      </w:r>
      <w:r w:rsidR="000F19C9">
        <w:rPr>
          <w:rFonts w:ascii="Times New Roman" w:hAnsi="Times New Roman" w:cs="Times New Roman"/>
          <w:sz w:val="24"/>
          <w:szCs w:val="24"/>
        </w:rPr>
        <w:t>I</w:t>
      </w:r>
      <w:r w:rsidR="000F19C9" w:rsidRPr="00091FD6">
        <w:rPr>
          <w:rFonts w:ascii="Times New Roman" w:hAnsi="Times New Roman" w:cs="Times New Roman"/>
          <w:sz w:val="24"/>
          <w:szCs w:val="24"/>
        </w:rPr>
        <w:t>n a broad perspective</w:t>
      </w:r>
      <w:r w:rsidR="000F19C9">
        <w:rPr>
          <w:rFonts w:ascii="Times New Roman" w:hAnsi="Times New Roman" w:cs="Times New Roman"/>
          <w:sz w:val="24"/>
          <w:szCs w:val="24"/>
        </w:rPr>
        <w:t>,</w:t>
      </w:r>
      <w:r w:rsidRPr="00091FD6">
        <w:rPr>
          <w:rFonts w:ascii="Times New Roman" w:hAnsi="Times New Roman" w:cs="Times New Roman"/>
          <w:sz w:val="24"/>
          <w:szCs w:val="24"/>
        </w:rPr>
        <w:t xml:space="preserve"> </w:t>
      </w:r>
      <w:r w:rsidR="000F19C9">
        <w:rPr>
          <w:rFonts w:ascii="Times New Roman" w:hAnsi="Times New Roman" w:cs="Times New Roman"/>
          <w:sz w:val="24"/>
          <w:szCs w:val="24"/>
        </w:rPr>
        <w:t>a</w:t>
      </w:r>
      <w:r w:rsidRPr="00091FD6">
        <w:rPr>
          <w:rFonts w:ascii="Times New Roman" w:hAnsi="Times New Roman" w:cs="Times New Roman"/>
          <w:sz w:val="24"/>
          <w:szCs w:val="24"/>
        </w:rPr>
        <w:t xml:space="preserve"> time series can be decomposed into linear and nonlinear components.</w:t>
      </w:r>
      <w:r w:rsidR="00AD7194" w:rsidRPr="00AD7194">
        <w:rPr>
          <w:rFonts w:ascii="Times New Roman" w:hAnsi="Times New Roman" w:cs="Times New Roman"/>
          <w:sz w:val="24"/>
          <w:szCs w:val="24"/>
        </w:rPr>
        <w:t xml:space="preserve"> </w:t>
      </w:r>
      <w:r w:rsidR="00AD7194">
        <w:rPr>
          <w:rFonts w:ascii="Times New Roman" w:hAnsi="Times New Roman" w:cs="Times New Roman"/>
          <w:sz w:val="24"/>
          <w:szCs w:val="24"/>
        </w:rPr>
        <w:t>S</w:t>
      </w:r>
      <w:r w:rsidR="00AD7194" w:rsidRPr="00091FD6">
        <w:rPr>
          <w:rFonts w:ascii="Times New Roman" w:hAnsi="Times New Roman" w:cs="Times New Roman"/>
          <w:sz w:val="24"/>
          <w:szCs w:val="24"/>
        </w:rPr>
        <w:t>ince</w:t>
      </w:r>
      <w:r w:rsidR="00AD7194">
        <w:rPr>
          <w:rFonts w:ascii="Times New Roman" w:hAnsi="Times New Roman" w:cs="Times New Roman"/>
          <w:sz w:val="24"/>
          <w:szCs w:val="24"/>
        </w:rPr>
        <w:t xml:space="preserve"> </w:t>
      </w:r>
      <w:r w:rsidR="00AD7194" w:rsidRPr="00091FD6">
        <w:rPr>
          <w:rFonts w:ascii="Times New Roman" w:hAnsi="Times New Roman" w:cs="Times New Roman"/>
          <w:sz w:val="24"/>
          <w:szCs w:val="24"/>
        </w:rPr>
        <w:t>1970s</w:t>
      </w:r>
      <w:r w:rsidR="00AD7194">
        <w:rPr>
          <w:rFonts w:ascii="Times New Roman" w:hAnsi="Times New Roman" w:cs="Times New Roman"/>
          <w:sz w:val="24"/>
          <w:szCs w:val="24"/>
        </w:rPr>
        <w:t>,</w:t>
      </w:r>
      <w:r w:rsidRPr="00091FD6">
        <w:rPr>
          <w:rFonts w:ascii="Times New Roman" w:hAnsi="Times New Roman" w:cs="Times New Roman"/>
          <w:sz w:val="24"/>
          <w:szCs w:val="24"/>
        </w:rPr>
        <w:t xml:space="preserve"> </w:t>
      </w:r>
      <w:r w:rsidR="00AD7194">
        <w:rPr>
          <w:rFonts w:ascii="Times New Roman" w:hAnsi="Times New Roman" w:cs="Times New Roman"/>
          <w:sz w:val="24"/>
          <w:szCs w:val="24"/>
        </w:rPr>
        <w:t>t</w:t>
      </w:r>
      <w:r w:rsidRPr="00091FD6">
        <w:rPr>
          <w:rFonts w:ascii="Times New Roman" w:hAnsi="Times New Roman" w:cs="Times New Roman"/>
          <w:sz w:val="24"/>
          <w:szCs w:val="24"/>
        </w:rPr>
        <w:t xml:space="preserve">ime series modelling has </w:t>
      </w:r>
      <w:r w:rsidR="00AD7194">
        <w:rPr>
          <w:rFonts w:ascii="Times New Roman" w:hAnsi="Times New Roman" w:cs="Times New Roman"/>
          <w:sz w:val="24"/>
          <w:szCs w:val="24"/>
        </w:rPr>
        <w:t>become</w:t>
      </w:r>
      <w:r w:rsidRPr="00091FD6">
        <w:rPr>
          <w:rFonts w:ascii="Times New Roman" w:hAnsi="Times New Roman" w:cs="Times New Roman"/>
          <w:sz w:val="24"/>
          <w:szCs w:val="24"/>
        </w:rPr>
        <w:t xml:space="preserve"> </w:t>
      </w:r>
      <w:r w:rsidR="00AD7194">
        <w:rPr>
          <w:rFonts w:ascii="Times New Roman" w:hAnsi="Times New Roman" w:cs="Times New Roman"/>
          <w:sz w:val="24"/>
          <w:szCs w:val="24"/>
        </w:rPr>
        <w:t>more popular</w:t>
      </w:r>
      <w:r w:rsidRPr="00091FD6">
        <w:rPr>
          <w:rFonts w:ascii="Times New Roman" w:hAnsi="Times New Roman" w:cs="Times New Roman"/>
          <w:sz w:val="24"/>
          <w:szCs w:val="24"/>
        </w:rPr>
        <w:t xml:space="preserve"> and was </w:t>
      </w:r>
      <w:r w:rsidR="00AD7194">
        <w:rPr>
          <w:rFonts w:ascii="Times New Roman" w:hAnsi="Times New Roman" w:cs="Times New Roman"/>
          <w:sz w:val="24"/>
          <w:szCs w:val="24"/>
        </w:rPr>
        <w:t>invented</w:t>
      </w:r>
      <w:r w:rsidRPr="00091FD6">
        <w:rPr>
          <w:rFonts w:ascii="Times New Roman" w:hAnsi="Times New Roman" w:cs="Times New Roman"/>
          <w:sz w:val="24"/>
          <w:szCs w:val="24"/>
        </w:rPr>
        <w:t xml:space="preserve"> by Box and Jenkins (Box et al., 2015) through the introduction of </w:t>
      </w:r>
      <w:r w:rsidRPr="008F08A8">
        <w:rPr>
          <w:rFonts w:ascii="Times New Roman" w:hAnsi="Times New Roman" w:cs="Times New Roman"/>
          <w:sz w:val="24"/>
          <w:szCs w:val="24"/>
        </w:rPr>
        <w:t>the autoregressive integrated moving average (ARIMA) model under the</w:t>
      </w:r>
      <w:r w:rsidRPr="00091FD6">
        <w:rPr>
          <w:rFonts w:ascii="Times New Roman" w:hAnsi="Times New Roman" w:cs="Times New Roman"/>
          <w:sz w:val="24"/>
          <w:szCs w:val="24"/>
        </w:rPr>
        <w:t xml:space="preserve"> assumption of linearity and stationarity of the data set and the homoscedasticity of the error variance</w:t>
      </w:r>
      <w:r>
        <w:rPr>
          <w:rFonts w:ascii="Times New Roman" w:hAnsi="Times New Roman" w:cs="Times New Roman"/>
          <w:sz w:val="24"/>
          <w:szCs w:val="24"/>
        </w:rPr>
        <w:t>.</w:t>
      </w:r>
      <w:r w:rsidR="001F2F0E">
        <w:rPr>
          <w:rFonts w:ascii="Times New Roman" w:hAnsi="Times New Roman" w:cs="Times New Roman"/>
          <w:sz w:val="24"/>
          <w:szCs w:val="24"/>
        </w:rPr>
        <w:t xml:space="preserve"> O</w:t>
      </w:r>
      <w:r w:rsidRPr="00091FD6">
        <w:rPr>
          <w:rFonts w:ascii="Times New Roman" w:hAnsi="Times New Roman" w:cs="Times New Roman"/>
          <w:sz w:val="24"/>
          <w:szCs w:val="24"/>
        </w:rPr>
        <w:t xml:space="preserve">nly </w:t>
      </w:r>
      <w:r w:rsidR="001F2F0E">
        <w:rPr>
          <w:rFonts w:ascii="Times New Roman" w:hAnsi="Times New Roman" w:cs="Times New Roman"/>
          <w:sz w:val="24"/>
          <w:szCs w:val="24"/>
        </w:rPr>
        <w:t>capturing</w:t>
      </w:r>
      <w:r w:rsidRPr="00091FD6">
        <w:rPr>
          <w:rFonts w:ascii="Times New Roman" w:hAnsi="Times New Roman" w:cs="Times New Roman"/>
          <w:sz w:val="24"/>
          <w:szCs w:val="24"/>
        </w:rPr>
        <w:t xml:space="preserve"> the linear component of a time series</w:t>
      </w:r>
      <w:r w:rsidR="001F2F0E">
        <w:rPr>
          <w:rFonts w:ascii="Times New Roman" w:hAnsi="Times New Roman" w:cs="Times New Roman"/>
          <w:sz w:val="24"/>
          <w:szCs w:val="24"/>
        </w:rPr>
        <w:t xml:space="preserve"> is the main lacuna of the ARIMA model.</w:t>
      </w:r>
      <w:r w:rsidRPr="00091FD6">
        <w:rPr>
          <w:rFonts w:ascii="Times New Roman" w:hAnsi="Times New Roman" w:cs="Times New Roman"/>
          <w:sz w:val="24"/>
          <w:szCs w:val="24"/>
        </w:rPr>
        <w:t xml:space="preserve"> To </w:t>
      </w:r>
      <w:r w:rsidR="001F2F0E">
        <w:rPr>
          <w:rFonts w:ascii="Times New Roman" w:hAnsi="Times New Roman" w:cs="Times New Roman"/>
          <w:sz w:val="24"/>
          <w:szCs w:val="24"/>
        </w:rPr>
        <w:t>address</w:t>
      </w:r>
      <w:r w:rsidRPr="00091FD6">
        <w:rPr>
          <w:rFonts w:ascii="Times New Roman" w:hAnsi="Times New Roman" w:cs="Times New Roman"/>
          <w:sz w:val="24"/>
          <w:szCs w:val="24"/>
        </w:rPr>
        <w:t xml:space="preserve"> the nonlinear component of a time series like volatility, </w:t>
      </w:r>
      <w:r w:rsidR="007C40CA">
        <w:rPr>
          <w:rFonts w:ascii="Times New Roman" w:hAnsi="Times New Roman" w:cs="Times New Roman"/>
          <w:sz w:val="24"/>
          <w:szCs w:val="24"/>
        </w:rPr>
        <w:t>several</w:t>
      </w:r>
      <w:r w:rsidR="00E55134">
        <w:rPr>
          <w:rFonts w:ascii="Times New Roman" w:hAnsi="Times New Roman" w:cs="Times New Roman"/>
          <w:sz w:val="24"/>
          <w:szCs w:val="24"/>
        </w:rPr>
        <w:t xml:space="preserve"> </w:t>
      </w:r>
      <w:r w:rsidRPr="00091FD6">
        <w:rPr>
          <w:rFonts w:ascii="Times New Roman" w:hAnsi="Times New Roman" w:cs="Times New Roman"/>
          <w:sz w:val="24"/>
          <w:szCs w:val="24"/>
        </w:rPr>
        <w:t>complex models are introduced over time.</w:t>
      </w:r>
      <w:r w:rsidR="00E55134">
        <w:rPr>
          <w:rFonts w:ascii="Times New Roman" w:hAnsi="Times New Roman" w:cs="Times New Roman"/>
          <w:sz w:val="24"/>
          <w:szCs w:val="24"/>
        </w:rPr>
        <w:t xml:space="preserve"> A</w:t>
      </w:r>
      <w:r w:rsidRPr="00091FD6">
        <w:rPr>
          <w:rFonts w:ascii="Times New Roman" w:hAnsi="Times New Roman" w:cs="Times New Roman"/>
          <w:sz w:val="24"/>
          <w:szCs w:val="24"/>
        </w:rPr>
        <w:t>n important aspect of time series modelling</w:t>
      </w:r>
      <w:r w:rsidR="00E55134">
        <w:rPr>
          <w:rFonts w:ascii="Times New Roman" w:hAnsi="Times New Roman" w:cs="Times New Roman"/>
          <w:sz w:val="24"/>
          <w:szCs w:val="24"/>
        </w:rPr>
        <w:t xml:space="preserve"> is volatility</w:t>
      </w:r>
      <w:r w:rsidRPr="00091FD6">
        <w:rPr>
          <w:rFonts w:ascii="Times New Roman" w:hAnsi="Times New Roman" w:cs="Times New Roman"/>
          <w:sz w:val="24"/>
          <w:szCs w:val="24"/>
        </w:rPr>
        <w:t>, which represents the phenomenon of un</w:t>
      </w:r>
      <w:r w:rsidR="00E55134">
        <w:rPr>
          <w:rFonts w:ascii="Times New Roman" w:hAnsi="Times New Roman" w:cs="Times New Roman"/>
          <w:sz w:val="24"/>
          <w:szCs w:val="24"/>
        </w:rPr>
        <w:t>foreseen</w:t>
      </w:r>
      <w:r w:rsidRPr="00091FD6">
        <w:rPr>
          <w:rFonts w:ascii="Times New Roman" w:hAnsi="Times New Roman" w:cs="Times New Roman"/>
          <w:sz w:val="24"/>
          <w:szCs w:val="24"/>
        </w:rPr>
        <w:t xml:space="preserve"> variation in the realizations of a time series. </w:t>
      </w:r>
      <w:r w:rsidR="001346F1">
        <w:rPr>
          <w:rFonts w:ascii="Times New Roman" w:hAnsi="Times New Roman" w:cs="Times New Roman"/>
          <w:sz w:val="24"/>
          <w:szCs w:val="24"/>
        </w:rPr>
        <w:t>Thorough</w:t>
      </w:r>
      <w:r w:rsidRPr="00091FD6">
        <w:rPr>
          <w:rFonts w:ascii="Times New Roman" w:hAnsi="Times New Roman" w:cs="Times New Roman"/>
          <w:sz w:val="24"/>
          <w:szCs w:val="24"/>
        </w:rPr>
        <w:t xml:space="preserve"> knowledge of the behaviour of volatility of a financial time series can be </w:t>
      </w:r>
      <w:r w:rsidR="001346F1">
        <w:rPr>
          <w:rFonts w:ascii="Times New Roman" w:hAnsi="Times New Roman" w:cs="Times New Roman"/>
          <w:sz w:val="24"/>
          <w:szCs w:val="24"/>
        </w:rPr>
        <w:t>beneficial</w:t>
      </w:r>
      <w:r w:rsidRPr="00091FD6">
        <w:rPr>
          <w:rFonts w:ascii="Times New Roman" w:hAnsi="Times New Roman" w:cs="Times New Roman"/>
          <w:sz w:val="24"/>
          <w:szCs w:val="24"/>
        </w:rPr>
        <w:t xml:space="preserve"> to all the stakeholders dealing with</w:t>
      </w:r>
      <w:r>
        <w:rPr>
          <w:rFonts w:ascii="Times New Roman" w:hAnsi="Times New Roman" w:cs="Times New Roman"/>
          <w:sz w:val="24"/>
          <w:szCs w:val="24"/>
        </w:rPr>
        <w:t xml:space="preserve"> it.</w:t>
      </w:r>
    </w:p>
    <w:p w14:paraId="6E51E956" w14:textId="6FD807EE" w:rsidR="0012044A" w:rsidRDefault="0021437D"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91FD6">
        <w:rPr>
          <w:rFonts w:ascii="Times New Roman" w:hAnsi="Times New Roman" w:cs="Times New Roman"/>
          <w:sz w:val="24"/>
          <w:szCs w:val="24"/>
        </w:rPr>
        <w:t>o capture the volatility</w:t>
      </w:r>
      <w:r>
        <w:rPr>
          <w:rFonts w:ascii="Times New Roman" w:hAnsi="Times New Roman" w:cs="Times New Roman"/>
          <w:sz w:val="24"/>
          <w:szCs w:val="24"/>
        </w:rPr>
        <w:t>,</w:t>
      </w:r>
      <w:r w:rsidRPr="00091FD6">
        <w:rPr>
          <w:rFonts w:ascii="Times New Roman" w:hAnsi="Times New Roman" w:cs="Times New Roman"/>
          <w:sz w:val="24"/>
          <w:szCs w:val="24"/>
        </w:rPr>
        <w:t xml:space="preserve"> </w:t>
      </w:r>
      <w:r w:rsidR="0012044A" w:rsidRPr="00091FD6">
        <w:rPr>
          <w:rFonts w:ascii="Times New Roman" w:hAnsi="Times New Roman" w:cs="Times New Roman"/>
          <w:sz w:val="24"/>
          <w:szCs w:val="24"/>
        </w:rPr>
        <w:t>Engle (1982) proposed the autoregressive conditional heteroscedastic (ARCH) model by</w:t>
      </w:r>
      <w:r>
        <w:rPr>
          <w:rFonts w:ascii="Times New Roman" w:hAnsi="Times New Roman" w:cs="Times New Roman"/>
          <w:sz w:val="24"/>
          <w:szCs w:val="24"/>
        </w:rPr>
        <w:t xml:space="preserve"> relaxing</w:t>
      </w:r>
      <w:r w:rsidR="0012044A" w:rsidRPr="00091FD6">
        <w:rPr>
          <w:rFonts w:ascii="Times New Roman" w:hAnsi="Times New Roman" w:cs="Times New Roman"/>
          <w:sz w:val="24"/>
          <w:szCs w:val="24"/>
        </w:rPr>
        <w:t xml:space="preserve"> the assumption of linearity and homoscedasticity of error variance. Later, Bollerslev (1986) and Taylor (1986) proposed the generalized ARCH (GARCH) model independently of each other. The GARCH architecture exhibits the same effect on volatility due to the positive and negative shocks of the same magnitude.</w:t>
      </w:r>
      <w:r w:rsidR="000716A6" w:rsidRPr="000716A6">
        <w:rPr>
          <w:rFonts w:ascii="Times New Roman" w:hAnsi="Times New Roman" w:cs="Times New Roman"/>
          <w:sz w:val="24"/>
          <w:szCs w:val="24"/>
        </w:rPr>
        <w:t xml:space="preserve"> </w:t>
      </w:r>
      <w:r w:rsidR="000716A6">
        <w:rPr>
          <w:rFonts w:ascii="Times New Roman" w:hAnsi="Times New Roman" w:cs="Times New Roman"/>
          <w:sz w:val="24"/>
          <w:szCs w:val="24"/>
        </w:rPr>
        <w:t>F</w:t>
      </w:r>
      <w:r w:rsidR="000716A6" w:rsidRPr="00091FD6">
        <w:rPr>
          <w:rFonts w:ascii="Times New Roman" w:hAnsi="Times New Roman" w:cs="Times New Roman"/>
          <w:sz w:val="24"/>
          <w:szCs w:val="24"/>
        </w:rPr>
        <w:t>or many practical situations</w:t>
      </w:r>
      <w:r w:rsidR="000716A6">
        <w:rPr>
          <w:rFonts w:ascii="Times New Roman" w:hAnsi="Times New Roman" w:cs="Times New Roman"/>
          <w:sz w:val="24"/>
          <w:szCs w:val="24"/>
        </w:rPr>
        <w:t>,</w:t>
      </w:r>
      <w:r w:rsidR="0012044A" w:rsidRPr="00091FD6">
        <w:rPr>
          <w:rFonts w:ascii="Times New Roman" w:hAnsi="Times New Roman" w:cs="Times New Roman"/>
          <w:sz w:val="24"/>
          <w:szCs w:val="24"/>
        </w:rPr>
        <w:t xml:space="preserve"> </w:t>
      </w:r>
      <w:r w:rsidR="000716A6">
        <w:rPr>
          <w:rFonts w:ascii="Times New Roman" w:hAnsi="Times New Roman" w:cs="Times New Roman"/>
          <w:sz w:val="24"/>
          <w:szCs w:val="24"/>
        </w:rPr>
        <w:lastRenderedPageBreak/>
        <w:t>t</w:t>
      </w:r>
      <w:r w:rsidR="0012044A" w:rsidRPr="00091FD6">
        <w:rPr>
          <w:rFonts w:ascii="Times New Roman" w:hAnsi="Times New Roman" w:cs="Times New Roman"/>
          <w:sz w:val="24"/>
          <w:szCs w:val="24"/>
        </w:rPr>
        <w:t>his type of symmetric characterization may not be</w:t>
      </w:r>
      <w:r w:rsidR="000716A6">
        <w:rPr>
          <w:rFonts w:ascii="Times New Roman" w:hAnsi="Times New Roman" w:cs="Times New Roman"/>
          <w:sz w:val="24"/>
          <w:szCs w:val="24"/>
        </w:rPr>
        <w:t xml:space="preserve"> viable</w:t>
      </w:r>
      <w:r w:rsidR="0012044A" w:rsidRPr="00091FD6">
        <w:rPr>
          <w:rFonts w:ascii="Times New Roman" w:hAnsi="Times New Roman" w:cs="Times New Roman"/>
          <w:sz w:val="24"/>
          <w:szCs w:val="24"/>
        </w:rPr>
        <w:t xml:space="preserve">. The reverse situation is regarded as asymmetric volatility </w:t>
      </w:r>
      <w:r w:rsidR="0012044A" w:rsidRPr="000C7A1F">
        <w:rPr>
          <w:rFonts w:ascii="Times New Roman" w:hAnsi="Times New Roman" w:cs="Times New Roman"/>
          <w:sz w:val="24"/>
          <w:szCs w:val="24"/>
        </w:rPr>
        <w:t>when positive and negative shocks of the</w:t>
      </w:r>
      <w:r w:rsidR="000716A6">
        <w:rPr>
          <w:rFonts w:ascii="Times New Roman" w:hAnsi="Times New Roman" w:cs="Times New Roman"/>
          <w:sz w:val="24"/>
          <w:szCs w:val="24"/>
        </w:rPr>
        <w:t xml:space="preserve"> equal length</w:t>
      </w:r>
      <w:r w:rsidR="0012044A" w:rsidRPr="000C7A1F">
        <w:rPr>
          <w:rFonts w:ascii="Times New Roman" w:hAnsi="Times New Roman" w:cs="Times New Roman"/>
          <w:sz w:val="24"/>
          <w:szCs w:val="24"/>
        </w:rPr>
        <w:t xml:space="preserve"> affect volatility di</w:t>
      </w:r>
      <w:r w:rsidR="0012044A">
        <w:rPr>
          <w:rFonts w:ascii="Times New Roman" w:hAnsi="Times New Roman" w:cs="Times New Roman"/>
          <w:sz w:val="24"/>
          <w:szCs w:val="24"/>
        </w:rPr>
        <w:t>ssimilarly</w:t>
      </w:r>
      <w:r w:rsidR="0012044A" w:rsidRPr="00091FD6">
        <w:rPr>
          <w:rFonts w:ascii="Times New Roman" w:hAnsi="Times New Roman" w:cs="Times New Roman"/>
          <w:sz w:val="24"/>
          <w:szCs w:val="24"/>
        </w:rPr>
        <w:t>.</w:t>
      </w:r>
    </w:p>
    <w:p w14:paraId="57716933" w14:textId="7CAA1D52" w:rsidR="0012044A" w:rsidRPr="001B7DD0" w:rsidRDefault="0012044A" w:rsidP="0012044A">
      <w:pPr>
        <w:spacing w:line="360" w:lineRule="auto"/>
        <w:jc w:val="both"/>
        <w:rPr>
          <w:rFonts w:ascii="Times New Roman" w:hAnsi="Times New Roman" w:cs="Times New Roman"/>
          <w:sz w:val="24"/>
          <w:szCs w:val="24"/>
        </w:rPr>
      </w:pPr>
      <w:r w:rsidRPr="001B7DD0">
        <w:rPr>
          <w:rFonts w:ascii="Times New Roman" w:hAnsi="Times New Roman" w:cs="Times New Roman"/>
          <w:sz w:val="24"/>
          <w:szCs w:val="24"/>
        </w:rPr>
        <w:t>In order to overcome this difficulty, scientists have created a number of asymmetric GARCH model extensions that are capable of capturing the disparate impacts of positive and negative shocks. Exponential GARCH (EGARCH) model is one example of such a model</w:t>
      </w:r>
      <w:r w:rsidR="00424A86">
        <w:rPr>
          <w:rFonts w:ascii="Times New Roman" w:hAnsi="Times New Roman" w:cs="Times New Roman"/>
          <w:sz w:val="24"/>
          <w:szCs w:val="24"/>
        </w:rPr>
        <w:t xml:space="preserve"> which was proposed by</w:t>
      </w:r>
      <w:r w:rsidR="00424A86" w:rsidRPr="00424A86">
        <w:rPr>
          <w:rFonts w:ascii="Times New Roman" w:hAnsi="Times New Roman" w:cs="Times New Roman"/>
          <w:sz w:val="24"/>
          <w:szCs w:val="24"/>
        </w:rPr>
        <w:t xml:space="preserve"> </w:t>
      </w:r>
      <w:r w:rsidR="00424A86" w:rsidRPr="001B7DD0">
        <w:rPr>
          <w:rFonts w:ascii="Times New Roman" w:hAnsi="Times New Roman" w:cs="Times New Roman"/>
          <w:sz w:val="24"/>
          <w:szCs w:val="24"/>
        </w:rPr>
        <w:t>Nelson</w:t>
      </w:r>
      <w:r w:rsidR="00424A86">
        <w:rPr>
          <w:rFonts w:ascii="Times New Roman" w:hAnsi="Times New Roman" w:cs="Times New Roman"/>
          <w:sz w:val="24"/>
          <w:szCs w:val="24"/>
        </w:rPr>
        <w:t xml:space="preserve"> in the year of 1991</w:t>
      </w:r>
      <w:r w:rsidRPr="001B7DD0">
        <w:rPr>
          <w:rFonts w:ascii="Times New Roman" w:hAnsi="Times New Roman" w:cs="Times New Roman"/>
          <w:sz w:val="24"/>
          <w:szCs w:val="24"/>
        </w:rPr>
        <w:t xml:space="preserve">. EGARCH can better manage both asymmetric and non-negativity constraints than the conventional GARCH model because it takes into account the logarithm of the conditional variance. With this method, EGARCH can simulate situations in which volatility is more affected by negative shocks </w:t>
      </w:r>
      <w:r w:rsidR="00353C48">
        <w:rPr>
          <w:rFonts w:ascii="Times New Roman" w:hAnsi="Times New Roman" w:cs="Times New Roman"/>
          <w:sz w:val="24"/>
          <w:szCs w:val="24"/>
        </w:rPr>
        <w:t>compared to</w:t>
      </w:r>
      <w:r w:rsidRPr="001B7DD0">
        <w:rPr>
          <w:rFonts w:ascii="Times New Roman" w:hAnsi="Times New Roman" w:cs="Times New Roman"/>
          <w:sz w:val="24"/>
          <w:szCs w:val="24"/>
        </w:rPr>
        <w:t xml:space="preserve"> positive ones.</w:t>
      </w:r>
    </w:p>
    <w:p w14:paraId="34DDA52A" w14:textId="5D931C65" w:rsidR="0012044A" w:rsidRPr="00687317" w:rsidRDefault="00BE2E0C" w:rsidP="0012044A">
      <w:pPr>
        <w:spacing w:line="360" w:lineRule="auto"/>
        <w:jc w:val="both"/>
        <w:rPr>
          <w:rFonts w:ascii="Times New Roman" w:hAnsi="Times New Roman" w:cs="Times New Roman"/>
          <w:sz w:val="24"/>
          <w:szCs w:val="24"/>
        </w:rPr>
      </w:pPr>
      <w:r w:rsidRPr="00687317">
        <w:rPr>
          <w:rFonts w:ascii="Times New Roman" w:hAnsi="Times New Roman" w:cs="Times New Roman"/>
          <w:sz w:val="24"/>
          <w:szCs w:val="24"/>
        </w:rPr>
        <w:t>Ding et al. in 1993</w:t>
      </w:r>
      <w:r>
        <w:rPr>
          <w:rFonts w:ascii="Times New Roman" w:hAnsi="Times New Roman" w:cs="Times New Roman"/>
          <w:sz w:val="24"/>
          <w:szCs w:val="24"/>
        </w:rPr>
        <w:t xml:space="preserve"> proposed </w:t>
      </w:r>
      <w:r w:rsidR="0012044A" w:rsidRPr="00687317">
        <w:rPr>
          <w:rFonts w:ascii="Times New Roman" w:hAnsi="Times New Roman" w:cs="Times New Roman"/>
          <w:sz w:val="24"/>
          <w:szCs w:val="24"/>
        </w:rPr>
        <w:t>Asymmetric Power ARCH (APARCH) model is another noteworthy extension. By adding a power parameter that controls the correlation between shock magnitude and volatility and an asymmetry parameter to take into consideration the varying impacts of positive and negative shocks, the APARCH model expands upon the GARCH framework. Because of its adaptability, APARCH can be used for a variety of time series applications.</w:t>
      </w:r>
    </w:p>
    <w:p w14:paraId="36161BB8" w14:textId="1507F4BF" w:rsidR="0012044A" w:rsidRDefault="0012044A" w:rsidP="0012044A">
      <w:pPr>
        <w:spacing w:line="360" w:lineRule="auto"/>
        <w:jc w:val="both"/>
        <w:rPr>
          <w:rFonts w:ascii="Times New Roman" w:hAnsi="Times New Roman" w:cs="Times New Roman"/>
          <w:sz w:val="24"/>
          <w:szCs w:val="24"/>
        </w:rPr>
      </w:pPr>
      <w:r w:rsidRPr="00687317">
        <w:rPr>
          <w:rFonts w:ascii="Times New Roman" w:hAnsi="Times New Roman" w:cs="Times New Roman"/>
          <w:sz w:val="24"/>
          <w:szCs w:val="24"/>
        </w:rPr>
        <w:t xml:space="preserve">The GJR-GARCH model, created by </w:t>
      </w:r>
      <w:proofErr w:type="spellStart"/>
      <w:r w:rsidRPr="00687317">
        <w:rPr>
          <w:rFonts w:ascii="Times New Roman" w:hAnsi="Times New Roman" w:cs="Times New Roman"/>
          <w:sz w:val="24"/>
          <w:szCs w:val="24"/>
        </w:rPr>
        <w:t>Glosten</w:t>
      </w:r>
      <w:proofErr w:type="spellEnd"/>
      <w:r w:rsidRPr="00687317">
        <w:rPr>
          <w:rFonts w:ascii="Times New Roman" w:hAnsi="Times New Roman" w:cs="Times New Roman"/>
          <w:sz w:val="24"/>
          <w:szCs w:val="24"/>
        </w:rPr>
        <w:t xml:space="preserve">, Jagannathan, and Runkle in 1993, is another significant development in asymmetric volatility modelling. This model includes a leverage effect factor, explicitly accounting for the tendency of negative shocks to </w:t>
      </w:r>
      <w:r w:rsidR="002F5A33" w:rsidRPr="00687317">
        <w:rPr>
          <w:rFonts w:ascii="Times New Roman" w:hAnsi="Times New Roman" w:cs="Times New Roman"/>
          <w:sz w:val="24"/>
          <w:szCs w:val="24"/>
        </w:rPr>
        <w:t>en</w:t>
      </w:r>
      <w:r w:rsidR="002F5A33">
        <w:rPr>
          <w:rFonts w:ascii="Times New Roman" w:hAnsi="Times New Roman" w:cs="Times New Roman"/>
          <w:sz w:val="24"/>
          <w:szCs w:val="24"/>
        </w:rPr>
        <w:t>hance</w:t>
      </w:r>
      <w:r w:rsidRPr="00687317">
        <w:rPr>
          <w:rFonts w:ascii="Times New Roman" w:hAnsi="Times New Roman" w:cs="Times New Roman"/>
          <w:sz w:val="24"/>
          <w:szCs w:val="24"/>
        </w:rPr>
        <w:t xml:space="preserve"> volatility more crucially than positive shocks of the identical magnitude. This approach enables the GJR-GARCH model to provide a more accurate and reasonable representation of volatility patterns</w:t>
      </w:r>
      <w:r>
        <w:rPr>
          <w:rFonts w:ascii="Times New Roman" w:hAnsi="Times New Roman" w:cs="Times New Roman"/>
          <w:sz w:val="24"/>
          <w:szCs w:val="24"/>
        </w:rPr>
        <w:t>.</w:t>
      </w:r>
    </w:p>
    <w:p w14:paraId="139EB21A" w14:textId="74A6ACAD" w:rsidR="00882FB9" w:rsidRDefault="00882FB9" w:rsidP="0012044A">
      <w:pPr>
        <w:spacing w:line="360" w:lineRule="auto"/>
        <w:jc w:val="both"/>
        <w:rPr>
          <w:rFonts w:ascii="Times New Roman" w:hAnsi="Times New Roman" w:cs="Times New Roman"/>
          <w:sz w:val="24"/>
          <w:szCs w:val="24"/>
        </w:rPr>
      </w:pPr>
      <w:r w:rsidRPr="00882FB9">
        <w:rPr>
          <w:rFonts w:ascii="Times New Roman" w:hAnsi="Times New Roman" w:cs="Times New Roman"/>
          <w:sz w:val="24"/>
          <w:szCs w:val="24"/>
        </w:rPr>
        <w:t>Ghosh et al.</w:t>
      </w:r>
      <w:r>
        <w:rPr>
          <w:rFonts w:ascii="Times New Roman" w:hAnsi="Times New Roman" w:cs="Times New Roman"/>
          <w:sz w:val="24"/>
          <w:szCs w:val="24"/>
        </w:rPr>
        <w:t xml:space="preserve"> (2010b)</w:t>
      </w:r>
      <w:r w:rsidRPr="00882FB9">
        <w:rPr>
          <w:rFonts w:ascii="Times New Roman" w:hAnsi="Times New Roman" w:cs="Times New Roman"/>
          <w:sz w:val="24"/>
          <w:szCs w:val="24"/>
        </w:rPr>
        <w:t xml:space="preserve"> </w:t>
      </w:r>
      <w:proofErr w:type="spellStart"/>
      <w:r w:rsidRPr="00882FB9">
        <w:rPr>
          <w:rFonts w:ascii="Times New Roman" w:hAnsi="Times New Roman" w:cs="Times New Roman"/>
          <w:sz w:val="24"/>
          <w:szCs w:val="24"/>
        </w:rPr>
        <w:t>analyzed</w:t>
      </w:r>
      <w:proofErr w:type="spellEnd"/>
      <w:r w:rsidRPr="00882FB9">
        <w:rPr>
          <w:rFonts w:ascii="Times New Roman" w:hAnsi="Times New Roman" w:cs="Times New Roman"/>
          <w:sz w:val="24"/>
          <w:szCs w:val="24"/>
        </w:rPr>
        <w:t xml:space="preserve"> all-India monthly export data of fruit and vegetable seeds and found that the ARIMA approach was inadequate for capturing volatility. Using GARCH and EGARCH models, they demonstrated that the EGARCH model performed better than the GARCH model for </w:t>
      </w:r>
      <w:r w:rsidR="00456807" w:rsidRPr="00882FB9">
        <w:rPr>
          <w:rFonts w:ascii="Times New Roman" w:hAnsi="Times New Roman" w:cs="Times New Roman"/>
          <w:sz w:val="24"/>
          <w:szCs w:val="24"/>
        </w:rPr>
        <w:t>modelling</w:t>
      </w:r>
      <w:r w:rsidRPr="00882FB9">
        <w:rPr>
          <w:rFonts w:ascii="Times New Roman" w:hAnsi="Times New Roman" w:cs="Times New Roman"/>
          <w:sz w:val="24"/>
          <w:szCs w:val="24"/>
        </w:rPr>
        <w:t xml:space="preserve"> and forecasting volatility.</w:t>
      </w:r>
      <w:r w:rsidRPr="00882FB9">
        <w:t xml:space="preserve"> </w:t>
      </w:r>
      <w:r w:rsidRPr="00882FB9">
        <w:rPr>
          <w:rFonts w:ascii="Times New Roman" w:hAnsi="Times New Roman" w:cs="Times New Roman"/>
          <w:sz w:val="24"/>
          <w:szCs w:val="24"/>
        </w:rPr>
        <w:t xml:space="preserve">Rakshit et al. (2021) </w:t>
      </w:r>
      <w:proofErr w:type="spellStart"/>
      <w:r w:rsidRPr="00882FB9">
        <w:rPr>
          <w:rFonts w:ascii="Times New Roman" w:hAnsi="Times New Roman" w:cs="Times New Roman"/>
          <w:sz w:val="24"/>
          <w:szCs w:val="24"/>
        </w:rPr>
        <w:t>analyzed</w:t>
      </w:r>
      <w:proofErr w:type="spellEnd"/>
      <w:r w:rsidRPr="00882FB9">
        <w:rPr>
          <w:rFonts w:ascii="Times New Roman" w:hAnsi="Times New Roman" w:cs="Times New Roman"/>
          <w:sz w:val="24"/>
          <w:szCs w:val="24"/>
        </w:rPr>
        <w:t xml:space="preserve"> weekly onion price volatility in Delhi, </w:t>
      </w:r>
      <w:proofErr w:type="spellStart"/>
      <w:r w:rsidRPr="00882FB9">
        <w:rPr>
          <w:rFonts w:ascii="Times New Roman" w:hAnsi="Times New Roman" w:cs="Times New Roman"/>
          <w:sz w:val="24"/>
          <w:szCs w:val="24"/>
        </w:rPr>
        <w:t>Lasalgaon</w:t>
      </w:r>
      <w:proofErr w:type="spellEnd"/>
      <w:r w:rsidRPr="00882FB9">
        <w:rPr>
          <w:rFonts w:ascii="Times New Roman" w:hAnsi="Times New Roman" w:cs="Times New Roman"/>
          <w:sz w:val="24"/>
          <w:szCs w:val="24"/>
        </w:rPr>
        <w:t>, and Bengaluru markets using asymmetric GARCH models, including EGARCH, APARCH, and GJR-GARCH. The APARCH model emerged as the best fit, effectively capturing the asymmetry caused by positive and negative shocks.</w:t>
      </w:r>
      <w:r w:rsidRPr="00882FB9">
        <w:t xml:space="preserve"> </w:t>
      </w:r>
      <w:r w:rsidRPr="00882FB9">
        <w:rPr>
          <w:rFonts w:ascii="Times New Roman" w:hAnsi="Times New Roman" w:cs="Times New Roman"/>
          <w:sz w:val="24"/>
          <w:szCs w:val="24"/>
        </w:rPr>
        <w:t>Rakshit and Paul</w:t>
      </w:r>
      <w:r>
        <w:rPr>
          <w:rFonts w:ascii="Times New Roman" w:hAnsi="Times New Roman" w:cs="Times New Roman"/>
          <w:sz w:val="24"/>
          <w:szCs w:val="24"/>
        </w:rPr>
        <w:t xml:space="preserve"> (2024)</w:t>
      </w:r>
      <w:r w:rsidRPr="00882FB9">
        <w:rPr>
          <w:rFonts w:ascii="Times New Roman" w:hAnsi="Times New Roman" w:cs="Times New Roman"/>
          <w:sz w:val="24"/>
          <w:szCs w:val="24"/>
        </w:rPr>
        <w:t xml:space="preserve"> examined asymmetric volatility and long memory using onion price series from Delhi, </w:t>
      </w:r>
      <w:proofErr w:type="spellStart"/>
      <w:r w:rsidRPr="00882FB9">
        <w:rPr>
          <w:rFonts w:ascii="Times New Roman" w:hAnsi="Times New Roman" w:cs="Times New Roman"/>
          <w:sz w:val="24"/>
          <w:szCs w:val="24"/>
        </w:rPr>
        <w:t>Lasalgaon</w:t>
      </w:r>
      <w:proofErr w:type="spellEnd"/>
      <w:r w:rsidRPr="00882FB9">
        <w:rPr>
          <w:rFonts w:ascii="Times New Roman" w:hAnsi="Times New Roman" w:cs="Times New Roman"/>
          <w:sz w:val="24"/>
          <w:szCs w:val="24"/>
        </w:rPr>
        <w:t>, Bengaluru, and the S&amp;P 500. Applying GARCH, EGARCH, FIGARCH, and FIEGARCH models, they found that the FIEGARCH model outperformed the others in capturing volatility across all series.</w:t>
      </w:r>
    </w:p>
    <w:p w14:paraId="63C4614D" w14:textId="77777777" w:rsidR="0012044A" w:rsidRDefault="0012044A" w:rsidP="0012044A">
      <w:pPr>
        <w:spacing w:line="360" w:lineRule="auto"/>
        <w:jc w:val="both"/>
        <w:rPr>
          <w:rFonts w:ascii="Times New Roman" w:hAnsi="Times New Roman" w:cs="Times New Roman"/>
          <w:sz w:val="24"/>
          <w:szCs w:val="24"/>
        </w:rPr>
      </w:pPr>
      <w:r w:rsidRPr="007A6314">
        <w:rPr>
          <w:rFonts w:ascii="Times New Roman" w:hAnsi="Times New Roman" w:cs="Times New Roman"/>
          <w:sz w:val="24"/>
          <w:szCs w:val="24"/>
        </w:rPr>
        <w:lastRenderedPageBreak/>
        <w:t>The A</w:t>
      </w:r>
      <w:r>
        <w:rPr>
          <w:rFonts w:ascii="Times New Roman" w:hAnsi="Times New Roman" w:cs="Times New Roman"/>
          <w:sz w:val="24"/>
          <w:szCs w:val="24"/>
        </w:rPr>
        <w:t>symmetric volatility</w:t>
      </w:r>
      <w:r w:rsidRPr="007A6314">
        <w:rPr>
          <w:rFonts w:ascii="Times New Roman" w:hAnsi="Times New Roman" w:cs="Times New Roman"/>
          <w:sz w:val="24"/>
          <w:szCs w:val="24"/>
        </w:rPr>
        <w:t xml:space="preserve"> model was evaluated using MAPE, RMSE, and MAE, proved with superior forecasting performance compared </w:t>
      </w:r>
      <w:r>
        <w:rPr>
          <w:rFonts w:ascii="Times New Roman" w:hAnsi="Times New Roman" w:cs="Times New Roman"/>
          <w:sz w:val="24"/>
          <w:szCs w:val="24"/>
        </w:rPr>
        <w:t xml:space="preserve">within rest asymmetric </w:t>
      </w:r>
      <w:r w:rsidRPr="007A6314">
        <w:rPr>
          <w:rFonts w:ascii="Times New Roman" w:hAnsi="Times New Roman" w:cs="Times New Roman"/>
          <w:sz w:val="24"/>
          <w:szCs w:val="24"/>
        </w:rPr>
        <w:t>model.</w:t>
      </w:r>
      <w:r>
        <w:rPr>
          <w:rFonts w:ascii="Times New Roman" w:hAnsi="Times New Roman" w:cs="Times New Roman"/>
          <w:sz w:val="24"/>
          <w:szCs w:val="24"/>
        </w:rPr>
        <w:t xml:space="preserve"> </w:t>
      </w:r>
      <w:r w:rsidRPr="0057338F">
        <w:rPr>
          <w:rFonts w:ascii="Times New Roman" w:hAnsi="Times New Roman" w:cs="Times New Roman"/>
          <w:sz w:val="24"/>
          <w:szCs w:val="24"/>
        </w:rPr>
        <w:t xml:space="preserve">In the present investigation, the goal of the present study is to </w:t>
      </w:r>
      <w:r>
        <w:rPr>
          <w:rFonts w:ascii="Times New Roman" w:hAnsi="Times New Roman" w:cs="Times New Roman"/>
          <w:sz w:val="24"/>
          <w:szCs w:val="24"/>
        </w:rPr>
        <w:t>modelling and forecasting</w:t>
      </w:r>
      <w:r w:rsidRPr="0057338F">
        <w:rPr>
          <w:rFonts w:ascii="Times New Roman" w:hAnsi="Times New Roman" w:cs="Times New Roman"/>
          <w:sz w:val="24"/>
          <w:szCs w:val="24"/>
        </w:rPr>
        <w:t xml:space="preserve"> the asymmetric volatility in onion prices</w:t>
      </w:r>
      <w:r>
        <w:rPr>
          <w:rFonts w:ascii="Times New Roman" w:hAnsi="Times New Roman" w:cs="Times New Roman"/>
          <w:sz w:val="24"/>
          <w:szCs w:val="24"/>
        </w:rPr>
        <w:t xml:space="preserve"> in Lucknow market in Uttar Pradesh.</w:t>
      </w:r>
    </w:p>
    <w:p w14:paraId="65665CDA" w14:textId="2C6DA5BB" w:rsidR="00B2083C" w:rsidRPr="00B2083C" w:rsidRDefault="001F509C"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B2083C" w:rsidRPr="00E86C3F">
        <w:rPr>
          <w:rFonts w:ascii="Times New Roman" w:hAnsi="Times New Roman" w:cs="Times New Roman"/>
          <w:b/>
          <w:bCs/>
          <w:sz w:val="24"/>
          <w:szCs w:val="24"/>
        </w:rPr>
        <w:t>Scope and limitations of this study</w:t>
      </w:r>
    </w:p>
    <w:p w14:paraId="43FF80C8" w14:textId="393B67B4" w:rsidR="0012044A" w:rsidRPr="00456807" w:rsidRDefault="00A60730" w:rsidP="0012044A">
      <w:pPr>
        <w:spacing w:line="360" w:lineRule="auto"/>
        <w:jc w:val="both"/>
        <w:rPr>
          <w:rFonts w:ascii="Times New Roman" w:hAnsi="Times New Roman" w:cs="Times New Roman"/>
          <w:sz w:val="24"/>
          <w:szCs w:val="24"/>
        </w:rPr>
      </w:pPr>
      <w:r w:rsidRPr="00A60730">
        <w:rPr>
          <w:rFonts w:ascii="Times New Roman" w:hAnsi="Times New Roman" w:cs="Times New Roman"/>
          <w:sz w:val="24"/>
          <w:szCs w:val="24"/>
        </w:rPr>
        <w:t xml:space="preserve">The present study focuses on modelling and forecasting the </w:t>
      </w:r>
      <w:r w:rsidR="008F0209">
        <w:rPr>
          <w:rFonts w:ascii="Times New Roman" w:hAnsi="Times New Roman" w:cs="Times New Roman"/>
          <w:sz w:val="24"/>
          <w:szCs w:val="24"/>
        </w:rPr>
        <w:t xml:space="preserve">asymmetric </w:t>
      </w:r>
      <w:r w:rsidRPr="00A60730">
        <w:rPr>
          <w:rFonts w:ascii="Times New Roman" w:hAnsi="Times New Roman" w:cs="Times New Roman"/>
          <w:sz w:val="24"/>
          <w:szCs w:val="24"/>
        </w:rPr>
        <w:t>price volatility of onion in the Lucknow market, selected due to its significant arrivals, high perishability, and strong price sensitivity, while relatively stable food grain crops have been excluded. The analysis is based on secondary monthly price data from 2007 to 2021, which may involve reporting errors and may not fully capture recent structural changes, thereby limiting the accuracy of results. Further, the use of a single market restricts the generalizability of findings to other regions with differing market dynamics. The study examines both symmetric and asymmetric volatility using GARCH, EGARCH, GJR-GARCH, and APARCH models; however, these models rely on specific assumptions and may not fully capture complex market behaviour or external influences. Despite these limitations, the study offers scope for future research by exploring advanced models such as QGARCH, TGARCH, FIGARCH, and FIEGARCH to capture long memory effects, and by extending the framework to other agricultural commodities as well as weather-related time series variables like temperature, rainfall, and humidity.</w:t>
      </w:r>
    </w:p>
    <w:p w14:paraId="3BFC6048"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2B3428">
        <w:rPr>
          <w:rFonts w:ascii="Times New Roman" w:hAnsi="Times New Roman" w:cs="Times New Roman"/>
          <w:b/>
          <w:bCs/>
          <w:sz w:val="24"/>
          <w:szCs w:val="24"/>
        </w:rPr>
        <w:t>Materials and Methods</w:t>
      </w:r>
      <w:r w:rsidRPr="002B3428">
        <w:rPr>
          <w:rFonts w:ascii="Times New Roman" w:hAnsi="Times New Roman" w:cs="Times New Roman"/>
          <w:sz w:val="24"/>
          <w:szCs w:val="24"/>
        </w:rPr>
        <w:t xml:space="preserve"> </w:t>
      </w:r>
    </w:p>
    <w:p w14:paraId="5C068C03" w14:textId="0046F18B"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00314937">
        <w:rPr>
          <w:rFonts w:ascii="Times New Roman" w:hAnsi="Times New Roman" w:cs="Times New Roman"/>
          <w:b/>
          <w:bCs/>
          <w:sz w:val="24"/>
          <w:szCs w:val="24"/>
        </w:rPr>
        <w:t>D</w:t>
      </w:r>
      <w:r w:rsidRPr="002A1974">
        <w:rPr>
          <w:rFonts w:ascii="Times New Roman" w:hAnsi="Times New Roman" w:cs="Times New Roman"/>
          <w:b/>
          <w:bCs/>
          <w:sz w:val="24"/>
          <w:szCs w:val="24"/>
        </w:rPr>
        <w:t>escription</w:t>
      </w:r>
      <w:r w:rsidR="00314937">
        <w:rPr>
          <w:rFonts w:ascii="Times New Roman" w:hAnsi="Times New Roman" w:cs="Times New Roman"/>
          <w:b/>
          <w:bCs/>
          <w:sz w:val="24"/>
          <w:szCs w:val="24"/>
        </w:rPr>
        <w:t xml:space="preserve"> of the Data</w:t>
      </w:r>
      <w:r w:rsidRPr="002B3428">
        <w:rPr>
          <w:rFonts w:ascii="Times New Roman" w:hAnsi="Times New Roman" w:cs="Times New Roman"/>
          <w:sz w:val="24"/>
          <w:szCs w:val="24"/>
        </w:rPr>
        <w:t xml:space="preserve"> </w:t>
      </w:r>
    </w:p>
    <w:p w14:paraId="0236317A" w14:textId="7A94C722" w:rsidR="0012044A" w:rsidRPr="00A8351C" w:rsidRDefault="0012044A" w:rsidP="0012044A">
      <w:pPr>
        <w:spacing w:line="360" w:lineRule="auto"/>
        <w:jc w:val="both"/>
        <w:rPr>
          <w:rFonts w:ascii="Times New Roman" w:hAnsi="Times New Roman" w:cs="Times New Roman"/>
          <w:sz w:val="24"/>
          <w:szCs w:val="24"/>
        </w:rPr>
      </w:pPr>
      <w:r w:rsidRPr="00C71B7F">
        <w:rPr>
          <w:rFonts w:ascii="Times New Roman" w:hAnsi="Times New Roman" w:cs="Times New Roman"/>
          <w:sz w:val="24"/>
          <w:szCs w:val="24"/>
        </w:rPr>
        <w:t xml:space="preserve">To </w:t>
      </w:r>
      <w:r w:rsidR="00E271E1">
        <w:rPr>
          <w:rFonts w:ascii="Times New Roman" w:hAnsi="Times New Roman" w:cs="Times New Roman"/>
          <w:sz w:val="24"/>
          <w:szCs w:val="24"/>
        </w:rPr>
        <w:t>carry out</w:t>
      </w:r>
      <w:r w:rsidRPr="00C71B7F">
        <w:rPr>
          <w:rFonts w:ascii="Times New Roman" w:hAnsi="Times New Roman" w:cs="Times New Roman"/>
          <w:sz w:val="24"/>
          <w:szCs w:val="24"/>
        </w:rPr>
        <w:t xml:space="preserve"> the study, monthly model price data</w:t>
      </w:r>
      <w:r>
        <w:rPr>
          <w:rFonts w:ascii="Times New Roman" w:hAnsi="Times New Roman" w:cs="Times New Roman"/>
          <w:sz w:val="24"/>
          <w:szCs w:val="24"/>
        </w:rPr>
        <w:t xml:space="preserve"> (Rs. /quintal)</w:t>
      </w:r>
      <w:r w:rsidRPr="00C71B7F">
        <w:rPr>
          <w:rFonts w:ascii="Times New Roman" w:hAnsi="Times New Roman" w:cs="Times New Roman"/>
          <w:sz w:val="24"/>
          <w:szCs w:val="24"/>
        </w:rPr>
        <w:t xml:space="preserve"> for the</w:t>
      </w:r>
      <w:r>
        <w:rPr>
          <w:rFonts w:ascii="Times New Roman" w:hAnsi="Times New Roman" w:cs="Times New Roman"/>
          <w:sz w:val="24"/>
          <w:szCs w:val="24"/>
        </w:rPr>
        <w:t xml:space="preserve"> Lucknow market in the </w:t>
      </w:r>
      <w:r w:rsidRPr="00C71B7F">
        <w:rPr>
          <w:rFonts w:ascii="Times New Roman" w:hAnsi="Times New Roman" w:cs="Times New Roman"/>
          <w:sz w:val="24"/>
          <w:szCs w:val="24"/>
        </w:rPr>
        <w:t>state of Uttar Pradesh</w:t>
      </w:r>
      <w:r w:rsidRPr="00C71B7F">
        <w:rPr>
          <w:rFonts w:ascii="Times New Roman" w:hAnsi="Times New Roman" w:cs="Times New Roman"/>
          <w:color w:val="1A1B1D"/>
          <w:sz w:val="24"/>
          <w:szCs w:val="24"/>
        </w:rPr>
        <w:t xml:space="preserve"> will be compiled from the reliable online sources i.e., “Directorate of Marketing and Inspection (DMI), Ministry of Agriculture and Farmers Welfare, GOI”. </w:t>
      </w:r>
      <w:r>
        <w:rPr>
          <w:rFonts w:ascii="Times New Roman" w:hAnsi="Times New Roman" w:cs="Times New Roman"/>
          <w:color w:val="1A1B1D"/>
          <w:sz w:val="24"/>
          <w:szCs w:val="24"/>
        </w:rPr>
        <w:t>Missing values in collected data were imputed by Kalman Smoothing (Moritz and Bratz-</w:t>
      </w:r>
      <w:proofErr w:type="spellStart"/>
      <w:r>
        <w:rPr>
          <w:rFonts w:ascii="Times New Roman" w:hAnsi="Times New Roman" w:cs="Times New Roman"/>
          <w:color w:val="1A1B1D"/>
          <w:sz w:val="24"/>
          <w:szCs w:val="24"/>
        </w:rPr>
        <w:t>Beielstein</w:t>
      </w:r>
      <w:proofErr w:type="spellEnd"/>
      <w:r>
        <w:rPr>
          <w:rFonts w:ascii="Times New Roman" w:hAnsi="Times New Roman" w:cs="Times New Roman"/>
          <w:color w:val="1A1B1D"/>
          <w:sz w:val="24"/>
          <w:szCs w:val="24"/>
        </w:rPr>
        <w:t>, 2017) and daily data was subsequently converted to monthly data by calculating the average for each month.</w:t>
      </w:r>
      <w:r w:rsidRPr="00A8351C">
        <w:rPr>
          <w:rFonts w:ascii="Times New Roman" w:hAnsi="Times New Roman" w:cs="Times New Roman"/>
          <w:sz w:val="24"/>
          <w:szCs w:val="24"/>
        </w:rPr>
        <w:t xml:space="preserve"> </w:t>
      </w:r>
      <w:r w:rsidRPr="0057338F">
        <w:rPr>
          <w:rFonts w:ascii="Times New Roman" w:hAnsi="Times New Roman" w:cs="Times New Roman"/>
          <w:sz w:val="24"/>
          <w:szCs w:val="24"/>
        </w:rPr>
        <w:t>Subtracting the seasonal component from the original series</w:t>
      </w:r>
      <w:r>
        <w:rPr>
          <w:rFonts w:ascii="Times New Roman" w:hAnsi="Times New Roman" w:cs="Times New Roman"/>
          <w:sz w:val="24"/>
          <w:szCs w:val="24"/>
        </w:rPr>
        <w:t xml:space="preserve"> yields a seasonally adjusted series, emphasizing the trend and irregular variations.</w:t>
      </w:r>
      <w:r>
        <w:rPr>
          <w:rFonts w:ascii="Times New Roman" w:hAnsi="Times New Roman" w:cs="Times New Roman"/>
          <w:color w:val="1A1B1D"/>
          <w:sz w:val="24"/>
          <w:szCs w:val="24"/>
        </w:rPr>
        <w:t xml:space="preserve"> </w:t>
      </w:r>
      <w:r w:rsidR="00052602" w:rsidRPr="00052602">
        <w:rPr>
          <w:rFonts w:ascii="Times New Roman" w:hAnsi="Times New Roman" w:cs="Times New Roman"/>
          <w:sz w:val="24"/>
          <w:szCs w:val="24"/>
        </w:rPr>
        <w:t>168 data points have been used to develop the model for the January 2007–December 2021 timeframe, while the remaining 12 data points are retained for model validation</w:t>
      </w:r>
      <w:r w:rsidRPr="00C71B7F">
        <w:rPr>
          <w:rFonts w:ascii="Times New Roman" w:hAnsi="Times New Roman" w:cs="Times New Roman"/>
          <w:sz w:val="24"/>
          <w:szCs w:val="24"/>
        </w:rPr>
        <w:t>.</w:t>
      </w:r>
      <w:r w:rsidRPr="0057338F">
        <w:rPr>
          <w:rFonts w:ascii="Times New Roman" w:hAnsi="Times New Roman" w:cs="Times New Roman"/>
          <w:sz w:val="24"/>
          <w:szCs w:val="24"/>
        </w:rPr>
        <w:t xml:space="preserve"> All the analysis </w:t>
      </w:r>
      <w:r w:rsidR="001F509C">
        <w:rPr>
          <w:rFonts w:ascii="Times New Roman" w:hAnsi="Times New Roman" w:cs="Times New Roman"/>
          <w:sz w:val="24"/>
          <w:szCs w:val="24"/>
        </w:rPr>
        <w:t>has</w:t>
      </w:r>
      <w:r>
        <w:rPr>
          <w:rFonts w:ascii="Times New Roman" w:hAnsi="Times New Roman" w:cs="Times New Roman"/>
          <w:sz w:val="24"/>
          <w:szCs w:val="24"/>
        </w:rPr>
        <w:t xml:space="preserve"> been</w:t>
      </w:r>
      <w:r w:rsidRPr="0057338F">
        <w:rPr>
          <w:rFonts w:ascii="Times New Roman" w:hAnsi="Times New Roman" w:cs="Times New Roman"/>
          <w:sz w:val="24"/>
          <w:szCs w:val="24"/>
        </w:rPr>
        <w:t xml:space="preserve"> done based on</w:t>
      </w:r>
      <w:r>
        <w:rPr>
          <w:rFonts w:ascii="Times New Roman" w:hAnsi="Times New Roman" w:cs="Times New Roman"/>
          <w:sz w:val="24"/>
          <w:szCs w:val="24"/>
        </w:rPr>
        <w:t xml:space="preserve"> percentage log return series. </w:t>
      </w:r>
      <w:r w:rsidRPr="002B546E">
        <w:rPr>
          <w:rFonts w:ascii="Times New Roman" w:eastAsiaTheme="minorEastAsia" w:hAnsi="Times New Roman" w:cs="Times New Roman"/>
          <w:sz w:val="24"/>
          <w:szCs w:val="24"/>
        </w:rPr>
        <w:t>For seasonally adjusted time series, the percentage log-returns are calculated using formula:</w:t>
      </w:r>
    </w:p>
    <w:p w14:paraId="7414B563" w14:textId="77777777" w:rsidR="0012044A" w:rsidRPr="002B546E" w:rsidRDefault="0012044A" w:rsidP="0012044A">
      <w:pPr>
        <w:spacing w:line="36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Log Return=(</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d>
          </m:e>
        </m:d>
      </m:oMath>
      <w:r w:rsidRPr="002B546E">
        <w:rPr>
          <w:rFonts w:ascii="Times New Roman" w:eastAsiaTheme="minorEastAsia" w:hAnsi="Times New Roman" w:cs="Times New Roman"/>
          <w:sz w:val="24"/>
          <w:szCs w:val="24"/>
        </w:rPr>
        <w:t>-</w:t>
      </w:r>
      <m:oMath>
        <m:d>
          <m:dPr>
            <m:beg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e>
            </m:d>
          </m:e>
        </m:d>
        <m:r>
          <w:rPr>
            <w:rFonts w:ascii="Cambria Math" w:eastAsiaTheme="minorEastAsia" w:hAnsi="Cambria Math" w:cs="Times New Roman"/>
            <w:sz w:val="24"/>
            <w:szCs w:val="24"/>
          </w:rPr>
          <m:t>*100</m:t>
        </m:r>
      </m:oMath>
    </w:p>
    <w:p w14:paraId="597F8D47" w14:textId="77777777" w:rsidR="0012044A" w:rsidRPr="004B3F44" w:rsidRDefault="0012044A" w:rsidP="0012044A">
      <w:pPr>
        <w:spacing w:line="360" w:lineRule="auto"/>
        <w:jc w:val="both"/>
        <w:rPr>
          <w:rFonts w:ascii="Times New Roman" w:eastAsiaTheme="minorEastAsia" w:hAnsi="Times New Roman" w:cs="Times New Roman"/>
          <w:sz w:val="24"/>
          <w:szCs w:val="24"/>
        </w:rPr>
      </w:pPr>
      <w:r w:rsidRPr="00A67C11">
        <w:rPr>
          <w:rFonts w:ascii="Times New Roman" w:eastAsiaTheme="minorEastAsia" w:hAnsi="Times New Roman" w:cs="Times New Roman"/>
          <w:sz w:val="24"/>
          <w:szCs w:val="24"/>
        </w:rPr>
        <w:t>These log-returns are crucial for modelling because they stabilize the variance of the time series data.</w:t>
      </w:r>
    </w:p>
    <w:p w14:paraId="0D5BC65F"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410054">
        <w:rPr>
          <w:rFonts w:ascii="Times New Roman" w:hAnsi="Times New Roman" w:cs="Times New Roman"/>
          <w:b/>
          <w:bCs/>
          <w:sz w:val="24"/>
          <w:szCs w:val="24"/>
        </w:rPr>
        <w:t>Test for Normality</w:t>
      </w:r>
    </w:p>
    <w:p w14:paraId="14D5DB5E" w14:textId="77777777" w:rsidR="0012044A" w:rsidRPr="00170DB2" w:rsidRDefault="0012044A" w:rsidP="0012044A">
      <w:pPr>
        <w:spacing w:line="360" w:lineRule="auto"/>
        <w:jc w:val="both"/>
        <w:rPr>
          <w:rFonts w:ascii="Times New Roman" w:hAnsi="Times New Roman" w:cs="Times New Roman"/>
          <w:sz w:val="24"/>
          <w:szCs w:val="24"/>
        </w:rPr>
      </w:pPr>
      <w:r w:rsidRPr="00814314">
        <w:rPr>
          <w:rFonts w:ascii="Times New Roman" w:hAnsi="Times New Roman" w:cs="Times New Roman"/>
          <w:sz w:val="24"/>
          <w:szCs w:val="24"/>
        </w:rPr>
        <w:t xml:space="preserve">In time series analysis, for validating developed models, </w:t>
      </w:r>
      <w:r>
        <w:rPr>
          <w:rFonts w:ascii="Times New Roman" w:hAnsi="Times New Roman" w:cs="Times New Roman"/>
          <w:sz w:val="24"/>
          <w:szCs w:val="24"/>
        </w:rPr>
        <w:t>assessing</w:t>
      </w:r>
      <w:r w:rsidRPr="00814314">
        <w:rPr>
          <w:rFonts w:ascii="Times New Roman" w:hAnsi="Times New Roman" w:cs="Times New Roman"/>
          <w:sz w:val="24"/>
          <w:szCs w:val="24"/>
        </w:rPr>
        <w:t xml:space="preserve"> normality is essential. Examining normality also helps diagnose model fit, as non-normality may signal issues like model misspecification</w:t>
      </w:r>
      <w:r>
        <w:rPr>
          <w:rFonts w:ascii="Times New Roman" w:hAnsi="Times New Roman" w:cs="Times New Roman"/>
          <w:sz w:val="24"/>
          <w:szCs w:val="24"/>
        </w:rPr>
        <w:t xml:space="preserve"> or outliers. In nonlinear model such as ARCH/GARCH, the residuals, known as innovations, are assumed to be independently and identically distributed (IID) with a mean of zero and unit variances. These innovations are generally expected to follow a normal distribution; however, in case of excess kurtosis, alternative distributions like </w:t>
      </w:r>
      <w:r w:rsidRPr="009F1DB4">
        <w:rPr>
          <w:rFonts w:ascii="Times New Roman" w:hAnsi="Times New Roman" w:cs="Times New Roman"/>
          <w:i/>
          <w:iCs/>
          <w:sz w:val="24"/>
          <w:szCs w:val="24"/>
        </w:rPr>
        <w:t>t</w:t>
      </w:r>
      <w:r>
        <w:rPr>
          <w:rFonts w:ascii="Times New Roman" w:hAnsi="Times New Roman" w:cs="Times New Roman"/>
          <w:sz w:val="24"/>
          <w:szCs w:val="24"/>
        </w:rPr>
        <w:t>-distribution can be applied. To test for normality, the Shapiro-Wilks test (Shapiro &amp; Wilk, 1965) and the Jarque-Bera test (Jarque &amp; Bera, 1980) are often used.</w:t>
      </w:r>
    </w:p>
    <w:p w14:paraId="6B4D691B"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Pr="007D52C2">
        <w:rPr>
          <w:rFonts w:ascii="Times New Roman" w:hAnsi="Times New Roman" w:cs="Times New Roman"/>
          <w:b/>
          <w:bCs/>
          <w:sz w:val="24"/>
          <w:szCs w:val="24"/>
        </w:rPr>
        <w:t>Jarque-Bera Test</w:t>
      </w:r>
    </w:p>
    <w:p w14:paraId="13C62759" w14:textId="77777777" w:rsidR="0012044A" w:rsidRPr="008D61CF" w:rsidRDefault="0012044A" w:rsidP="0012044A">
      <w:pPr>
        <w:spacing w:line="360" w:lineRule="auto"/>
        <w:jc w:val="both"/>
        <w:rPr>
          <w:rFonts w:ascii="Times New Roman" w:hAnsi="Times New Roman" w:cs="Times New Roman"/>
          <w:sz w:val="24"/>
          <w:szCs w:val="24"/>
          <w:highlight w:val="yellow"/>
        </w:rPr>
      </w:pPr>
      <w:r w:rsidRPr="008D61CF">
        <w:rPr>
          <w:rFonts w:ascii="Times New Roman" w:hAnsi="Times New Roman" w:cs="Times New Roman"/>
          <w:sz w:val="24"/>
          <w:szCs w:val="24"/>
        </w:rPr>
        <w:t>A goodness-of-fit test is the Jarque-Bera (JB) test</w:t>
      </w:r>
      <w:r>
        <w:rPr>
          <w:rFonts w:ascii="Times New Roman" w:hAnsi="Times New Roman" w:cs="Times New Roman"/>
          <w:sz w:val="24"/>
          <w:szCs w:val="24"/>
        </w:rPr>
        <w:t xml:space="preserve">, which tests that whether the underlying series’ skewness and kurtosis are matching with a normal distribution or not. The test statistic is always non-negative. A larger value of the test statistic leads to rejecting the null hypothesis. </w:t>
      </w:r>
      <w:r w:rsidRPr="008D61CF">
        <w:rPr>
          <w:rFonts w:ascii="Times New Roman" w:hAnsi="Times New Roman" w:cs="Times New Roman"/>
          <w:sz w:val="24"/>
          <w:szCs w:val="24"/>
        </w:rPr>
        <w:t>Jarque-Bera test statistics is</w:t>
      </w:r>
      <w:r>
        <w:rPr>
          <w:rFonts w:ascii="Times New Roman" w:hAnsi="Times New Roman" w:cs="Times New Roman"/>
          <w:sz w:val="24"/>
          <w:szCs w:val="24"/>
        </w:rPr>
        <w:t xml:space="preserve"> given by,</w:t>
      </w:r>
    </w:p>
    <w:p w14:paraId="33E04298" w14:textId="77777777" w:rsidR="0012044A" w:rsidRDefault="0012044A" w:rsidP="0012044A">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JB=</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m:t>
            </m:r>
          </m:den>
        </m:f>
      </m:oMath>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k-3</m:t>
                    </m:r>
                  </m:e>
                  <m:sup>
                    <m:r>
                      <w:rPr>
                        <w:rFonts w:ascii="Cambria Math" w:hAnsi="Cambria Math" w:cs="Times New Roman"/>
                        <w:sz w:val="24"/>
                        <w:szCs w:val="24"/>
                      </w:rPr>
                      <m:t>2</m:t>
                    </m:r>
                  </m:sup>
                </m:sSup>
              </m:e>
            </m:d>
          </m:e>
        </m:d>
        <m:r>
          <w:rPr>
            <w:rFonts w:ascii="Cambria Math" w:hAnsi="Cambria Math" w:cs="Times New Roman"/>
            <w:sz w:val="24"/>
            <w:szCs w:val="24"/>
          </w:rPr>
          <m:t>,</m:t>
        </m:r>
      </m:oMath>
      <w:r w:rsidRPr="007D52C2">
        <w:rPr>
          <w:rFonts w:ascii="Times New Roman" w:hAnsi="Times New Roman" w:cs="Times New Roman"/>
          <w:sz w:val="24"/>
          <w:szCs w:val="24"/>
        </w:rPr>
        <w:t xml:space="preserve"> </w:t>
      </w:r>
    </w:p>
    <w:p w14:paraId="3D67A313" w14:textId="02281D31"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D3AC1">
        <w:rPr>
          <w:rFonts w:ascii="Times New Roman" w:hAnsi="Times New Roman" w:cs="Times New Roman"/>
          <w:sz w:val="24"/>
          <w:szCs w:val="24"/>
        </w:rPr>
        <w:t xml:space="preserve">here, </w:t>
      </w:r>
      <w:r w:rsidRPr="00BE5A97">
        <w:rPr>
          <w:rFonts w:ascii="Times New Roman" w:hAnsi="Times New Roman" w:cs="Times New Roman"/>
          <w:i/>
          <w:iCs/>
          <w:sz w:val="24"/>
          <w:szCs w:val="24"/>
        </w:rPr>
        <w:t>n</w:t>
      </w:r>
      <w:r w:rsidRPr="006D3AC1">
        <w:rPr>
          <w:rFonts w:ascii="Times New Roman" w:hAnsi="Times New Roman" w:cs="Times New Roman"/>
          <w:sz w:val="24"/>
          <w:szCs w:val="24"/>
        </w:rPr>
        <w:t xml:space="preserve"> </w:t>
      </w:r>
      <w:r w:rsidR="00242430">
        <w:rPr>
          <w:rFonts w:ascii="Times New Roman" w:hAnsi="Times New Roman" w:cs="Times New Roman"/>
          <w:sz w:val="24"/>
          <w:szCs w:val="24"/>
        </w:rPr>
        <w:t>denotes</w:t>
      </w:r>
      <w:r w:rsidRPr="006D3AC1">
        <w:rPr>
          <w:rFonts w:ascii="Times New Roman" w:hAnsi="Times New Roman" w:cs="Times New Roman"/>
          <w:sz w:val="24"/>
          <w:szCs w:val="24"/>
        </w:rPr>
        <w:t xml:space="preserve"> sample size,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m:t>
            </m:r>
          </m:sub>
        </m:sSub>
      </m:oMath>
      <w:r w:rsidRPr="006D3AC1">
        <w:rPr>
          <w:rFonts w:ascii="Times New Roman" w:hAnsi="Times New Roman" w:cs="Times New Roman"/>
          <w:sz w:val="24"/>
          <w:szCs w:val="24"/>
        </w:rPr>
        <w:t xml:space="preserve"> </w:t>
      </w:r>
      <w:r w:rsidR="00242430">
        <w:rPr>
          <w:rFonts w:ascii="Times New Roman" w:hAnsi="Times New Roman" w:cs="Times New Roman"/>
          <w:sz w:val="24"/>
          <w:szCs w:val="24"/>
        </w:rPr>
        <w:t>denotes</w:t>
      </w:r>
      <w:r w:rsidRPr="006D3AC1">
        <w:rPr>
          <w:rFonts w:ascii="Times New Roman" w:hAnsi="Times New Roman" w:cs="Times New Roman"/>
          <w:sz w:val="24"/>
          <w:szCs w:val="24"/>
        </w:rPr>
        <w:t xml:space="preserve"> sample skewness and </w:t>
      </w:r>
      <w:r w:rsidRPr="00BE5A97">
        <w:rPr>
          <w:rFonts w:ascii="Times New Roman" w:hAnsi="Times New Roman" w:cs="Times New Roman"/>
          <w:i/>
          <w:iCs/>
          <w:sz w:val="24"/>
          <w:szCs w:val="24"/>
        </w:rPr>
        <w:t>k</w:t>
      </w:r>
      <w:r w:rsidRPr="006D3AC1">
        <w:rPr>
          <w:rFonts w:ascii="Times New Roman" w:hAnsi="Times New Roman" w:cs="Times New Roman"/>
          <w:sz w:val="24"/>
          <w:szCs w:val="24"/>
        </w:rPr>
        <w:t xml:space="preserve"> </w:t>
      </w:r>
      <w:r w:rsidR="00242430">
        <w:rPr>
          <w:rFonts w:ascii="Times New Roman" w:hAnsi="Times New Roman" w:cs="Times New Roman"/>
          <w:sz w:val="24"/>
          <w:szCs w:val="24"/>
        </w:rPr>
        <w:t>denotes</w:t>
      </w:r>
      <w:r w:rsidRPr="006D3AC1">
        <w:rPr>
          <w:rFonts w:ascii="Times New Roman" w:hAnsi="Times New Roman" w:cs="Times New Roman"/>
          <w:sz w:val="24"/>
          <w:szCs w:val="24"/>
        </w:rPr>
        <w:t xml:space="preserve"> sample kurtosis.</w:t>
      </w:r>
      <w:r>
        <w:rPr>
          <w:rFonts w:ascii="Times New Roman" w:hAnsi="Times New Roman" w:cs="Times New Roman"/>
          <w:sz w:val="24"/>
          <w:szCs w:val="24"/>
        </w:rPr>
        <w:t xml:space="preserve"> The </w:t>
      </w:r>
      <w:r w:rsidRPr="000A622F">
        <w:rPr>
          <w:rFonts w:ascii="Times New Roman" w:hAnsi="Times New Roman" w:cs="Times New Roman"/>
          <w:i/>
          <w:iCs/>
          <w:sz w:val="24"/>
          <w:szCs w:val="24"/>
        </w:rPr>
        <w:t>JB</w:t>
      </w:r>
      <w:r>
        <w:rPr>
          <w:rFonts w:ascii="Times New Roman" w:hAnsi="Times New Roman" w:cs="Times New Roman"/>
          <w:sz w:val="24"/>
          <w:szCs w:val="24"/>
        </w:rPr>
        <w:t xml:space="preserve"> statistic asymptotically follows the chi-squared distribution with two degrees of freedom.</w:t>
      </w:r>
    </w:p>
    <w:p w14:paraId="4BE7F248"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0A622F">
        <w:rPr>
          <w:rFonts w:ascii="Times New Roman" w:hAnsi="Times New Roman" w:cs="Times New Roman"/>
          <w:b/>
          <w:bCs/>
          <w:sz w:val="24"/>
          <w:szCs w:val="24"/>
        </w:rPr>
        <w:t>Shapiro-Wilk Test</w:t>
      </w:r>
    </w:p>
    <w:p w14:paraId="1C46A0F4"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The statistic of the Shapiro-Wilk test is,</w:t>
      </w:r>
    </w:p>
    <w:p w14:paraId="5C998096" w14:textId="77777777" w:rsidR="0012044A" w:rsidRDefault="0012044A" w:rsidP="0012044A">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W=</m:t>
        </m:r>
      </m:oMath>
      <w:r w:rsidRPr="000A622F">
        <w:rPr>
          <w:rFonts w:ascii="Times New Roman" w:hAnsi="Times New Roman" w:cs="Times New Roman"/>
          <w:b/>
          <w:bCs/>
          <w:sz w:val="24"/>
          <w:szCs w:val="24"/>
        </w:rPr>
        <w:t xml:space="preserve"> </w:t>
      </w:r>
      <m:oMath>
        <m:f>
          <m:fPr>
            <m:ctrlPr>
              <w:rPr>
                <w:rFonts w:ascii="Cambria Math" w:hAnsi="Cambria Math" w:cs="Times New Roman"/>
                <w:b/>
                <w:bCs/>
                <w:i/>
                <w:sz w:val="24"/>
                <w:szCs w:val="24"/>
              </w:rPr>
            </m:ctrlPr>
          </m:fPr>
          <m:num>
            <m:sSup>
              <m:sSupPr>
                <m:ctrlPr>
                  <w:rPr>
                    <w:rFonts w:ascii="Cambria Math" w:hAnsi="Cambria Math" w:cs="Times New Roman"/>
                    <w:b/>
                    <w:bCs/>
                    <w:i/>
                    <w:sz w:val="24"/>
                    <w:szCs w:val="24"/>
                  </w:rPr>
                </m:ctrlPr>
              </m:sSupPr>
              <m:e>
                <m:d>
                  <m:dPr>
                    <m:ctrlPr>
                      <w:rPr>
                        <w:rFonts w:ascii="Cambria Math" w:hAnsi="Cambria Math" w:cs="Times New Roman"/>
                        <w:b/>
                        <w:bCs/>
                        <w:i/>
                        <w:sz w:val="24"/>
                        <w:szCs w:val="24"/>
                      </w:rPr>
                    </m:ctrlPr>
                  </m:dPr>
                  <m:e>
                    <m:nary>
                      <m:naryPr>
                        <m:chr m:val="∑"/>
                        <m:limLoc m:val="subSup"/>
                        <m:ctrlPr>
                          <w:rPr>
                            <w:rFonts w:ascii="Cambria Math" w:hAnsi="Cambria Math" w:cs="Times New Roman"/>
                            <w:b/>
                            <w:bCs/>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n</m:t>
                        </m:r>
                      </m:sup>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sub>
                        </m:sSub>
                      </m:e>
                    </m:nary>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e>
                </m:d>
              </m:e>
              <m:sup>
                <m:r>
                  <m:rPr>
                    <m:sty m:val="bi"/>
                  </m:rPr>
                  <w:rPr>
                    <w:rFonts w:ascii="Cambria Math" w:hAnsi="Cambria Math" w:cs="Times New Roman"/>
                    <w:sz w:val="24"/>
                    <w:szCs w:val="24"/>
                  </w:rPr>
                  <m:t>2</m:t>
                </m:r>
              </m:sup>
            </m:sSup>
          </m:num>
          <m:den>
            <m:nary>
              <m:naryPr>
                <m:chr m:val="∑"/>
                <m:limLoc m:val="subSup"/>
                <m:ctrlPr>
                  <w:rPr>
                    <w:rFonts w:ascii="Cambria Math" w:hAnsi="Cambria Math" w:cs="Times New Roman"/>
                    <w:b/>
                    <w:bCs/>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n</m:t>
                </m:r>
              </m:sup>
              <m:e>
                <m:sSup>
                  <m:sSupPr>
                    <m:ctrlPr>
                      <w:rPr>
                        <w:rFonts w:ascii="Cambria Math" w:hAnsi="Cambria Math" w:cs="Times New Roman"/>
                        <w:b/>
                        <w:bCs/>
                        <w:i/>
                        <w:sz w:val="24"/>
                        <w:szCs w:val="24"/>
                      </w:rPr>
                    </m:ctrlPr>
                  </m:sSupPr>
                  <m:e>
                    <m:d>
                      <m:dPr>
                        <m:ctrlPr>
                          <w:rPr>
                            <w:rFonts w:ascii="Cambria Math" w:hAnsi="Cambria Math" w:cs="Times New Roman"/>
                            <w:b/>
                            <w:bCs/>
                            <w:i/>
                            <w:sz w:val="24"/>
                            <w:szCs w:val="24"/>
                          </w:rPr>
                        </m:ctrlPr>
                      </m:dPr>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y</m:t>
                            </m:r>
                          </m:e>
                        </m:acc>
                      </m:e>
                    </m:d>
                  </m:e>
                  <m:sup>
                    <m:r>
                      <m:rPr>
                        <m:sty m:val="bi"/>
                      </m:rPr>
                      <w:rPr>
                        <w:rFonts w:ascii="Cambria Math" w:hAnsi="Cambria Math" w:cs="Times New Roman"/>
                        <w:sz w:val="24"/>
                        <w:szCs w:val="24"/>
                      </w:rPr>
                      <m:t>2</m:t>
                    </m:r>
                  </m:sup>
                </m:sSup>
              </m:e>
            </m:nary>
          </m:den>
        </m:f>
      </m:oMath>
      <w:r w:rsidRPr="000A622F">
        <w:rPr>
          <w:rFonts w:ascii="Times New Roman" w:hAnsi="Times New Roman" w:cs="Times New Roman"/>
          <w:sz w:val="24"/>
          <w:szCs w:val="24"/>
        </w:rPr>
        <w:t xml:space="preserve"> </w:t>
      </w:r>
      <w:r>
        <w:rPr>
          <w:rFonts w:ascii="Times New Roman" w:hAnsi="Times New Roman" w:cs="Times New Roman"/>
          <w:sz w:val="24"/>
          <w:szCs w:val="24"/>
        </w:rPr>
        <w:t>,</w:t>
      </w:r>
    </w:p>
    <w:p w14:paraId="07E6F36E"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hAnsi="Times New Roman" w:cs="Times New Roman"/>
          <w:sz w:val="24"/>
          <w:szCs w:val="24"/>
        </w:rPr>
        <w:t xml:space="preserve"> is the </w:t>
      </w:r>
      <w:proofErr w:type="spellStart"/>
      <w:r w:rsidRPr="00170DB2">
        <w:rPr>
          <w:rFonts w:ascii="Times New Roman" w:hAnsi="Times New Roman" w:cs="Times New Roman"/>
          <w:i/>
          <w:iCs/>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order statistics, and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s</m:t>
        </m:r>
      </m:oMath>
      <w:r>
        <w:rPr>
          <w:rFonts w:ascii="Times New Roman" w:hAnsi="Times New Roman" w:cs="Times New Roman"/>
          <w:sz w:val="24"/>
          <w:szCs w:val="24"/>
        </w:rPr>
        <w:t xml:space="preserve"> </w:t>
      </w:r>
      <w:r w:rsidRPr="00CA40B0">
        <w:rPr>
          <w:rFonts w:ascii="Times New Roman" w:hAnsi="Times New Roman" w:cs="Times New Roman"/>
          <w:sz w:val="24"/>
          <w:szCs w:val="24"/>
        </w:rPr>
        <w:t>are constants created from the covariances, variances and means of the sample</w:t>
      </w:r>
      <w:r>
        <w:rPr>
          <w:rFonts w:ascii="Times New Roman" w:hAnsi="Times New Roman" w:cs="Times New Roman"/>
          <w:sz w:val="24"/>
          <w:szCs w:val="24"/>
        </w:rPr>
        <w:t xml:space="preserve"> (size n) from a normally distributed sample. Small values of </w:t>
      </w:r>
      <w:r w:rsidRPr="00A91B01">
        <w:rPr>
          <w:rFonts w:ascii="Times New Roman" w:hAnsi="Times New Roman" w:cs="Times New Roman"/>
          <w:i/>
          <w:iCs/>
          <w:sz w:val="24"/>
          <w:szCs w:val="24"/>
        </w:rPr>
        <w:t>W</w:t>
      </w:r>
      <w:r>
        <w:rPr>
          <w:rFonts w:ascii="Times New Roman" w:hAnsi="Times New Roman" w:cs="Times New Roman"/>
          <w:sz w:val="24"/>
          <w:szCs w:val="24"/>
        </w:rPr>
        <w:t xml:space="preserve"> indicate the rejection of the null hypothesis. The larger the sample, there is more likely that the test would be statistically significant.</w:t>
      </w:r>
    </w:p>
    <w:p w14:paraId="03D62C2A" w14:textId="77777777" w:rsidR="001F509C" w:rsidRDefault="001F509C" w:rsidP="0012044A">
      <w:pPr>
        <w:spacing w:line="360" w:lineRule="auto"/>
        <w:jc w:val="both"/>
        <w:rPr>
          <w:rFonts w:ascii="Times New Roman" w:hAnsi="Times New Roman" w:cs="Times New Roman"/>
          <w:sz w:val="24"/>
          <w:szCs w:val="24"/>
        </w:rPr>
      </w:pPr>
    </w:p>
    <w:p w14:paraId="42157CE1" w14:textId="5424C610"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2.3 </w:t>
      </w:r>
      <w:r w:rsidRPr="00C93E2A">
        <w:rPr>
          <w:rFonts w:ascii="Times New Roman" w:eastAsiaTheme="minorEastAsia" w:hAnsi="Times New Roman" w:cs="Times New Roman"/>
          <w:b/>
          <w:bCs/>
          <w:sz w:val="24"/>
          <w:szCs w:val="24"/>
        </w:rPr>
        <w:t>Stationarity</w:t>
      </w:r>
      <w:r w:rsidR="0072719C">
        <w:rPr>
          <w:rFonts w:ascii="Times New Roman" w:eastAsiaTheme="minorEastAsia" w:hAnsi="Times New Roman" w:cs="Times New Roman"/>
          <w:b/>
          <w:bCs/>
          <w:sz w:val="24"/>
          <w:szCs w:val="24"/>
        </w:rPr>
        <w:t xml:space="preserve"> test</w:t>
      </w:r>
    </w:p>
    <w:p w14:paraId="4D64AD3D" w14:textId="38669F29"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time series data, at first linear model like ARIMA can be applied. ARIMA methodology can only be applied to stationary data. </w:t>
      </w:r>
      <w:r w:rsidR="00D94D29">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f its underlying generating process is based on a mean and constant variance with its ACF essentially constant through time</w:t>
      </w:r>
      <w:r w:rsidR="00D94D29">
        <w:rPr>
          <w:rFonts w:ascii="Times New Roman" w:eastAsiaTheme="minorEastAsia" w:hAnsi="Times New Roman" w:cs="Times New Roman"/>
          <w:sz w:val="24"/>
          <w:szCs w:val="24"/>
        </w:rPr>
        <w:t xml:space="preserve"> then</w:t>
      </w:r>
      <w:r w:rsidR="00D94D29" w:rsidRPr="00D94D29">
        <w:rPr>
          <w:rFonts w:ascii="Times New Roman" w:eastAsiaTheme="minorEastAsia" w:hAnsi="Times New Roman" w:cs="Times New Roman"/>
          <w:sz w:val="24"/>
          <w:szCs w:val="24"/>
        </w:rPr>
        <w:t xml:space="preserve"> </w:t>
      </w:r>
      <w:r w:rsidR="00D94D29">
        <w:rPr>
          <w:rFonts w:ascii="Times New Roman" w:eastAsiaTheme="minorEastAsia" w:hAnsi="Times New Roman" w:cs="Times New Roman"/>
          <w:sz w:val="24"/>
          <w:szCs w:val="24"/>
        </w:rPr>
        <w:t>a time series is said to be stationary</w:t>
      </w:r>
      <w:r>
        <w:rPr>
          <w:rFonts w:ascii="Times New Roman" w:eastAsiaTheme="minorEastAsia" w:hAnsi="Times New Roman" w:cs="Times New Roman"/>
          <w:sz w:val="24"/>
          <w:szCs w:val="24"/>
        </w:rPr>
        <w:t>.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be a time series with E (</w:t>
      </w:r>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&lt; ∞. Then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is said to be weak stationary if</w:t>
      </w:r>
    </w:p>
    <w:p w14:paraId="2A56CD69" w14:textId="77777777" w:rsidR="0012044A" w:rsidRDefault="0012044A" w:rsidP="0012044A">
      <w:pPr>
        <w:pStyle w:val="ListParagraph"/>
        <w:numPr>
          <w:ilvl w:val="0"/>
          <w:numId w:val="5"/>
        </w:numPr>
        <w:spacing w:line="360" w:lineRule="auto"/>
        <w:jc w:val="both"/>
        <w:rPr>
          <w:rFonts w:ascii="Times New Roman" w:eastAsiaTheme="minorEastAsia" w:hAnsi="Times New Roman" w:cs="Times New Roman"/>
          <w:sz w:val="24"/>
          <w:szCs w:val="24"/>
        </w:rPr>
      </w:pPr>
      <w:r w:rsidRPr="00AF5E8C">
        <w:rPr>
          <w:rFonts w:ascii="Times New Roman" w:eastAsiaTheme="minorEastAsia" w:hAnsi="Times New Roman" w:cs="Times New Roman"/>
          <w:sz w:val="24"/>
          <w:szCs w:val="24"/>
        </w:rPr>
        <w: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independent of </w:t>
      </w:r>
      <w:r w:rsidRPr="008B135E">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w:t>
      </w:r>
    </w:p>
    <w:p w14:paraId="5F12FD39" w14:textId="77777777" w:rsidR="0012044A" w:rsidRPr="00AF5E8C" w:rsidRDefault="0012044A" w:rsidP="0012044A">
      <w:pPr>
        <w:pStyle w:val="ListParagraph"/>
        <w:numPr>
          <w:ilvl w:val="0"/>
          <w:numId w:val="5"/>
        </w:numPr>
        <w:spacing w:line="360" w:lineRule="auto"/>
        <w:jc w:val="both"/>
        <w:rPr>
          <w:rFonts w:ascii="Times New Roman" w:eastAsiaTheme="minorEastAsia" w:hAnsi="Times New Roman" w:cs="Times New Roman"/>
          <w:i/>
          <w:iCs/>
          <w:sz w:val="24"/>
          <w:szCs w:val="24"/>
        </w:rPr>
      </w:pPr>
      <w:proofErr w:type="spellStart"/>
      <w:r w:rsidRPr="00AF5E8C">
        <w:rPr>
          <w:rFonts w:ascii="Times New Roman" w:eastAsiaTheme="minorEastAsia" w:hAnsi="Times New Roman" w:cs="Times New Roman"/>
          <w:i/>
          <w:iCs/>
          <w:sz w:val="24"/>
          <w:szCs w:val="24"/>
        </w:rPr>
        <w:t>cov</w:t>
      </w:r>
      <w:proofErr w:type="spellEnd"/>
      <m:oMath>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t+h</m:t>
                </m:r>
              </m:sub>
            </m:sSub>
          </m:e>
        </m:d>
      </m:oMath>
      <w:r>
        <w:rPr>
          <w:rFonts w:ascii="Times New Roman" w:eastAsiaTheme="minorEastAsia" w:hAnsi="Times New Roman" w:cs="Times New Roman"/>
          <w:sz w:val="24"/>
          <w:szCs w:val="24"/>
        </w:rPr>
        <w:t xml:space="preserve"> is independent of </w:t>
      </w:r>
      <w:r w:rsidRPr="008B135E">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for each integer </w:t>
      </w:r>
      <w:r w:rsidRPr="008B135E">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w:t>
      </w:r>
    </w:p>
    <w:p w14:paraId="768969DE" w14:textId="77777777" w:rsidR="0012044A" w:rsidRDefault="0012044A" w:rsidP="0012044A">
      <w:pPr>
        <w:pStyle w:val="ListParagraph"/>
        <w:spacing w:line="360" w:lineRule="auto"/>
        <w:ind w:left="8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said to be strong stationary if </w:t>
      </w:r>
      <m:oMath>
        <m:d>
          <m:dPr>
            <m:begChr m:val="{"/>
            <m:endChr m:val=""/>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e>
            </m:d>
          </m:e>
        </m:d>
      </m:oMath>
      <w:r>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n+h</m:t>
                    </m:r>
                  </m:sub>
                </m:sSub>
              </m:e>
            </m:d>
          </m:e>
        </m:d>
      </m:oMath>
      <w:r>
        <w:rPr>
          <w:rFonts w:ascii="Times New Roman" w:eastAsiaTheme="minorEastAsia" w:hAnsi="Times New Roman" w:cs="Times New Roman"/>
          <w:sz w:val="24"/>
          <w:szCs w:val="24"/>
        </w:rPr>
        <w:t xml:space="preserve"> have the same joint distribution for all integers </w:t>
      </w:r>
      <w:r w:rsidRPr="008B135E">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and </w:t>
      </w:r>
      <w:r w:rsidRPr="008B135E">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xml:space="preserve"> &gt; 0.</w:t>
      </w:r>
    </w:p>
    <w:p w14:paraId="10AF54A6" w14:textId="45367086"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Whether a time series process is stationary or not (presence of unit root) can be tested by Augmented Dicky-Fuller (ADF) test (Dicky and Fuller, 1979), </w:t>
      </w:r>
      <w:proofErr w:type="spellStart"/>
      <w:r>
        <w:rPr>
          <w:rFonts w:ascii="Times New Roman" w:eastAsiaTheme="minorEastAsia" w:hAnsi="Times New Roman" w:cs="Times New Roman"/>
          <w:sz w:val="24"/>
          <w:szCs w:val="24"/>
        </w:rPr>
        <w:t>Kwaiatkowski</w:t>
      </w:r>
      <w:proofErr w:type="spellEnd"/>
      <w:r>
        <w:rPr>
          <w:rFonts w:ascii="Times New Roman" w:eastAsiaTheme="minorEastAsia" w:hAnsi="Times New Roman" w:cs="Times New Roman"/>
          <w:sz w:val="24"/>
          <w:szCs w:val="24"/>
        </w:rPr>
        <w:t>-Phillips-Schmidt-Shin (KPSS) test (</w:t>
      </w:r>
      <w:proofErr w:type="spellStart"/>
      <w:r>
        <w:rPr>
          <w:rFonts w:ascii="Times New Roman" w:eastAsiaTheme="minorEastAsia" w:hAnsi="Times New Roman" w:cs="Times New Roman"/>
          <w:sz w:val="24"/>
          <w:szCs w:val="24"/>
        </w:rPr>
        <w:t>Kwaitkowski</w:t>
      </w:r>
      <w:proofErr w:type="spellEnd"/>
      <w:r>
        <w:rPr>
          <w:rFonts w:ascii="Times New Roman" w:eastAsiaTheme="minorEastAsia" w:hAnsi="Times New Roman" w:cs="Times New Roman"/>
          <w:sz w:val="24"/>
          <w:szCs w:val="24"/>
        </w:rPr>
        <w:t xml:space="preserve"> </w:t>
      </w:r>
      <w:r w:rsidRPr="003200F2">
        <w:rPr>
          <w:rFonts w:ascii="Times New Roman" w:eastAsiaTheme="minorEastAsia" w:hAnsi="Times New Roman" w:cs="Times New Roman"/>
          <w:sz w:val="24"/>
          <w:szCs w:val="24"/>
        </w:rPr>
        <w:t>et al., 1992), and Phillips-Perron (PP) test (Phillips and Perron, 1988). For ADF and PP tests, the null hypothesis is that the unit root is present in the time series or in other words, the time series is not stationary. For the KPSS test, the null hypothesis is that</w:t>
      </w:r>
      <w:r>
        <w:rPr>
          <w:rFonts w:ascii="Times New Roman" w:eastAsiaTheme="minorEastAsia" w:hAnsi="Times New Roman" w:cs="Times New Roman"/>
          <w:sz w:val="24"/>
          <w:szCs w:val="24"/>
        </w:rPr>
        <w:t xml:space="preserve"> the unit root is not present in the time series or the time series is stationary.</w:t>
      </w:r>
    </w:p>
    <w:p w14:paraId="314F2678" w14:textId="674E05ED"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2.4 </w:t>
      </w:r>
      <w:r w:rsidRPr="00052C09">
        <w:rPr>
          <w:rFonts w:ascii="Times New Roman" w:eastAsiaTheme="minorEastAsia" w:hAnsi="Times New Roman" w:cs="Times New Roman"/>
          <w:b/>
          <w:bCs/>
          <w:sz w:val="24"/>
          <w:szCs w:val="24"/>
        </w:rPr>
        <w:t>Test for Seasonality: Kruskal-Wallis Test</w:t>
      </w:r>
    </w:p>
    <w:p w14:paraId="44838BF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Kruskal-Walli’s test, introduced by Kruskal and Wallis in 1952, is a non-parametric statistical method used to determine if there are significant differences among multiple independent groups. This test is particularly effective for identifying seasonal trends in time series data, where seasonality reflects recurring patterns at specific intervals, such as daily, monthly, or annually. In areas like agricultural commodity pricing, these seasonal cycles often appear as predictable fluctuations over time. The Kruskal-</w:t>
      </w:r>
      <w:proofErr w:type="spellStart"/>
      <w:r>
        <w:rPr>
          <w:rFonts w:ascii="Times New Roman" w:eastAsiaTheme="minorEastAsia" w:hAnsi="Times New Roman" w:cs="Times New Roman"/>
          <w:sz w:val="24"/>
          <w:szCs w:val="24"/>
        </w:rPr>
        <w:t>Wllis</w:t>
      </w:r>
      <w:proofErr w:type="spellEnd"/>
      <w:r>
        <w:rPr>
          <w:rFonts w:ascii="Times New Roman" w:eastAsiaTheme="minorEastAsia" w:hAnsi="Times New Roman" w:cs="Times New Roman"/>
          <w:sz w:val="24"/>
          <w:szCs w:val="24"/>
        </w:rPr>
        <w:t xml:space="preserve"> test is frequently applied to uncover such seasonal trends in time series analysis.</w:t>
      </w:r>
    </w:p>
    <w:p w14:paraId="059DF37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null hypothesis states that the median ranks are equal across all seasons, indicating no significant seasonal differences. Given a time, series divided into </w:t>
      </w:r>
      <w:r w:rsidRPr="00A845B5">
        <w:rPr>
          <w:rFonts w:ascii="Times New Roman" w:eastAsiaTheme="minorEastAsia" w:hAnsi="Times New Roman" w:cs="Times New Roman"/>
          <w:i/>
          <w:iCs/>
          <w:sz w:val="24"/>
          <w:szCs w:val="24"/>
        </w:rPr>
        <w:t>k</w:t>
      </w:r>
      <w:r>
        <w:rPr>
          <w:rFonts w:ascii="Times New Roman" w:eastAsiaTheme="minorEastAsia" w:hAnsi="Times New Roman" w:cs="Times New Roman"/>
          <w:sz w:val="24"/>
          <w:szCs w:val="24"/>
        </w:rPr>
        <w:t xml:space="preserve"> seasons with</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observations per season, the test statistic </w:t>
      </w:r>
      <w:r w:rsidRPr="00A845B5">
        <w:rPr>
          <w:rFonts w:ascii="Times New Roman" w:eastAsiaTheme="minorEastAsia" w:hAnsi="Times New Roman" w:cs="Times New Roman"/>
          <w:i/>
          <w:iCs/>
          <w:sz w:val="24"/>
          <w:szCs w:val="24"/>
        </w:rPr>
        <w:t>H</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for Kruskal-Wallis test is calculated as:</w:t>
      </w:r>
    </w:p>
    <w:p w14:paraId="17925A40"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H=</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k</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e>
                  <m:sup>
                    <m:r>
                      <w:rPr>
                        <w:rFonts w:ascii="Cambria Math" w:eastAsiaTheme="minorEastAsia" w:hAnsi="Cambria Math" w:cs="Times New Roman"/>
                        <w:sz w:val="24"/>
                        <w:szCs w:val="24"/>
                      </w:rPr>
                      <m:t>2</m:t>
                    </m:r>
                  </m:sup>
                </m:s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den>
            </m:f>
          </m:e>
        </m:nary>
        <m:r>
          <w:rPr>
            <w:rFonts w:ascii="Cambria Math" w:eastAsiaTheme="minorEastAsia" w:hAnsi="Cambria Math" w:cs="Times New Roman"/>
            <w:sz w:val="24"/>
            <w:szCs w:val="24"/>
          </w:rPr>
          <m:t>-3</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m:t>
        </m:r>
      </m:oMath>
      <w:r w:rsidRPr="00052C09">
        <w:rPr>
          <w:rFonts w:ascii="Times New Roman" w:eastAsiaTheme="minorEastAsia" w:hAnsi="Times New Roman" w:cs="Times New Roman"/>
          <w:b/>
          <w:bCs/>
          <w:sz w:val="24"/>
          <w:szCs w:val="24"/>
        </w:rPr>
        <w:t xml:space="preserve"> </w:t>
      </w:r>
    </w:p>
    <w:p w14:paraId="649D154D"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w:t>
      </w:r>
      <w:r w:rsidRPr="00EE594D">
        <w:rPr>
          <w:rFonts w:ascii="Times New Roman" w:eastAsiaTheme="minorEastAsia" w:hAnsi="Times New Roman" w:cs="Times New Roman"/>
          <w:i/>
          <w:iCs/>
          <w:sz w:val="24"/>
          <w:szCs w:val="24"/>
        </w:rPr>
        <w:t>N</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xml:space="preserve">is the total number of observations across all seasons,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is the sum of ranks for the observations in seasons </w:t>
      </w:r>
      <w:proofErr w:type="spellStart"/>
      <w:r w:rsidRPr="00EE594D">
        <w:rPr>
          <w:rFonts w:ascii="Times New Roman" w:eastAsiaTheme="minorEastAsia" w:hAnsi="Times New Roman" w:cs="Times New Roman"/>
          <w:i/>
          <w:iCs/>
          <w:sz w:val="24"/>
          <w:szCs w:val="24"/>
        </w:rPr>
        <w:t>i</w:t>
      </w:r>
      <w:proofErr w:type="spellEnd"/>
      <w:r>
        <w:rPr>
          <w:rFonts w:ascii="Times New Roman" w:eastAsiaTheme="minorEastAsia" w:hAnsi="Times New Roman" w:cs="Times New Roman"/>
          <w:sz w:val="24"/>
          <w:szCs w:val="24"/>
        </w:rPr>
        <w:t xml:space="preserve">, </w:t>
      </w:r>
      <w:proofErr w:type="spellStart"/>
      <w:r w:rsidRPr="00EE594D">
        <w:rPr>
          <w:rFonts w:ascii="Times New Roman" w:eastAsiaTheme="minorEastAsia" w:hAnsi="Times New Roman" w:cs="Times New Roman"/>
          <w:i/>
          <w:iCs/>
          <w:sz w:val="24"/>
          <w:szCs w:val="24"/>
        </w:rPr>
        <w:t>n</w:t>
      </w:r>
      <w:r w:rsidRPr="00EE594D">
        <w:rPr>
          <w:rFonts w:ascii="Times New Roman" w:eastAsiaTheme="minorEastAsia" w:hAnsi="Times New Roman" w:cs="Times New Roman"/>
          <w:i/>
          <w:iCs/>
          <w:sz w:val="24"/>
          <w:szCs w:val="24"/>
          <w:vertAlign w:val="subscript"/>
        </w:rPr>
        <w:t>i</w:t>
      </w:r>
      <w:proofErr w:type="spellEnd"/>
      <w:r>
        <w:rPr>
          <w:rFonts w:ascii="Times New Roman" w:eastAsiaTheme="minorEastAsia" w:hAnsi="Times New Roman" w:cs="Times New Roman"/>
          <w:sz w:val="24"/>
          <w:szCs w:val="24"/>
        </w:rPr>
        <w:t xml:space="preserve"> is the number of observations across all seasons. Ranks are assigned across the entire data set, ignoring season distinctions, and then summed by season.</w:t>
      </w:r>
    </w:p>
    <w:p w14:paraId="794712D2"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Pr="008B135E">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statistic follows approximately </w:t>
      </w:r>
      <w:r w:rsidRPr="00FC4877">
        <w:rPr>
          <w:rFonts w:ascii="Times New Roman" w:eastAsiaTheme="minorEastAsia" w:hAnsi="Times New Roman" w:cs="Times New Roman"/>
          <w:sz w:val="24"/>
          <w:szCs w:val="24"/>
        </w:rPr>
        <w:t>a chi-square distribution with (</w:t>
      </w:r>
      <w:r w:rsidRPr="008B135E">
        <w:rPr>
          <w:rFonts w:ascii="Times New Roman" w:eastAsiaTheme="minorEastAsia" w:hAnsi="Times New Roman" w:cs="Times New Roman"/>
          <w:i/>
          <w:iCs/>
          <w:sz w:val="24"/>
          <w:szCs w:val="24"/>
        </w:rPr>
        <w:t>k</w:t>
      </w:r>
      <w:r w:rsidRPr="00FC4877">
        <w:rPr>
          <w:rFonts w:ascii="Times New Roman" w:eastAsiaTheme="minorEastAsia" w:hAnsi="Times New Roman" w:cs="Times New Roman"/>
          <w:sz w:val="24"/>
          <w:szCs w:val="24"/>
        </w:rPr>
        <w:t xml:space="preserve">-1) degrees of freedom, where </w:t>
      </w:r>
      <w:r w:rsidRPr="008B135E">
        <w:rPr>
          <w:rFonts w:ascii="Times New Roman" w:eastAsiaTheme="minorEastAsia" w:hAnsi="Times New Roman" w:cs="Times New Roman"/>
          <w:i/>
          <w:iCs/>
          <w:sz w:val="24"/>
          <w:szCs w:val="24"/>
        </w:rPr>
        <w:t>k</w:t>
      </w:r>
      <w:r w:rsidRPr="00FC4877">
        <w:rPr>
          <w:rFonts w:ascii="Times New Roman" w:eastAsiaTheme="minorEastAsia" w:hAnsi="Times New Roman" w:cs="Times New Roman"/>
          <w:sz w:val="24"/>
          <w:szCs w:val="24"/>
        </w:rPr>
        <w:t xml:space="preserve"> is number of seasons. The null hypothesis </w:t>
      </w:r>
      <w:r w:rsidRPr="00FC4877">
        <w:rPr>
          <w:rFonts w:ascii="Times New Roman" w:eastAsiaTheme="minorEastAsia" w:hAnsi="Times New Roman" w:cs="Times New Roman"/>
          <w:i/>
          <w:iCs/>
          <w:sz w:val="24"/>
          <w:szCs w:val="24"/>
        </w:rPr>
        <w:t>H</w:t>
      </w:r>
      <w:r w:rsidRPr="00FC4877">
        <w:rPr>
          <w:rFonts w:ascii="Times New Roman" w:eastAsiaTheme="minorEastAsia" w:hAnsi="Times New Roman" w:cs="Times New Roman"/>
          <w:i/>
          <w:iCs/>
          <w:sz w:val="24"/>
          <w:szCs w:val="24"/>
          <w:vertAlign w:val="subscript"/>
        </w:rPr>
        <w:t>0</w:t>
      </w:r>
      <w:r w:rsidRPr="00FC4877">
        <w:rPr>
          <w:rFonts w:ascii="Times New Roman" w:eastAsiaTheme="minorEastAsia" w:hAnsi="Times New Roman" w:cs="Times New Roman"/>
          <w:sz w:val="24"/>
          <w:szCs w:val="24"/>
        </w:rPr>
        <w:t xml:space="preserve"> is rejected if </w:t>
      </w:r>
      <w:r w:rsidRPr="00FC4877">
        <w:rPr>
          <w:rFonts w:ascii="Times New Roman" w:eastAsiaTheme="minorEastAsia" w:hAnsi="Times New Roman" w:cs="Times New Roman"/>
          <w:i/>
          <w:iCs/>
          <w:sz w:val="24"/>
          <w:szCs w:val="24"/>
        </w:rPr>
        <w:t>H</w:t>
      </w:r>
      <w:r w:rsidRPr="00FC4877">
        <w:rPr>
          <w:rFonts w:ascii="Times New Roman" w:eastAsiaTheme="minorEastAsia" w:hAnsi="Times New Roman" w:cs="Times New Roman"/>
          <w:sz w:val="24"/>
          <w:szCs w:val="24"/>
        </w:rPr>
        <w:t xml:space="preserve"> &gt; </w:t>
      </w:r>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3"/>
                </m:r>
              </m:e>
              <m:sub>
                <m:r>
                  <w:rPr>
                    <w:rFonts w:ascii="Cambria Math" w:eastAsiaTheme="minorEastAsia" w:hAnsi="Cambria Math" w:cs="Times New Roman"/>
                    <w:i/>
                    <w:sz w:val="24"/>
                    <w:szCs w:val="24"/>
                  </w:rPr>
                  <w:sym w:font="Symbol" w:char="F061"/>
                </m:r>
                <m:r>
                  <w:rPr>
                    <w:rFonts w:ascii="Cambria Math" w:eastAsiaTheme="minorEastAsia" w:hAnsi="Cambria Math" w:cs="Times New Roman"/>
                    <w:sz w:val="24"/>
                    <w:szCs w:val="24"/>
                  </w:rPr>
                  <m:t>,k-1</m:t>
                </m:r>
              </m:sub>
            </m:sSub>
          </m:e>
          <m:sup>
            <m:r>
              <w:rPr>
                <w:rFonts w:ascii="Cambria Math" w:eastAsiaTheme="minorEastAsia" w:hAnsi="Cambria Math" w:cs="Times New Roman"/>
                <w:sz w:val="24"/>
                <w:szCs w:val="24"/>
              </w:rPr>
              <m:t>2</m:t>
            </m:r>
          </m:sup>
        </m:sSup>
      </m:oMath>
      <w:r w:rsidRPr="00FC4877">
        <w:rPr>
          <w:rFonts w:ascii="Times New Roman" w:eastAsiaTheme="minorEastAsia" w:hAnsi="Times New Roman" w:cs="Times New Roman"/>
          <w:sz w:val="24"/>
          <w:szCs w:val="24"/>
        </w:rPr>
        <w:t xml:space="preserve">, where </w:t>
      </w:r>
      <m:oMath>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3"/>
                </m:r>
              </m:e>
              <m:sub>
                <m:r>
                  <w:rPr>
                    <w:rFonts w:ascii="Cambria Math" w:eastAsiaTheme="minorEastAsia" w:hAnsi="Cambria Math" w:cs="Times New Roman"/>
                    <w:i/>
                    <w:sz w:val="24"/>
                    <w:szCs w:val="24"/>
                  </w:rPr>
                  <w:sym w:font="Symbol" w:char="F061"/>
                </m:r>
                <m:r>
                  <w:rPr>
                    <w:rFonts w:ascii="Cambria Math" w:eastAsiaTheme="minorEastAsia" w:hAnsi="Cambria Math" w:cs="Times New Roman"/>
                    <w:sz w:val="24"/>
                    <w:szCs w:val="24"/>
                  </w:rPr>
                  <m:t>,k-1</m:t>
                </m:r>
              </m:sub>
            </m:sSub>
          </m:e>
          <m:sup>
            <m:r>
              <w:rPr>
                <w:rFonts w:ascii="Cambria Math" w:eastAsiaTheme="minorEastAsia" w:hAnsi="Cambria Math" w:cs="Times New Roman"/>
                <w:sz w:val="24"/>
                <w:szCs w:val="24"/>
              </w:rPr>
              <m:t>2</m:t>
            </m:r>
          </m:sup>
        </m:sSup>
      </m:oMath>
      <w:r w:rsidRPr="00FC4877">
        <w:rPr>
          <w:rFonts w:ascii="Times New Roman" w:eastAsiaTheme="minorEastAsia" w:hAnsi="Times New Roman" w:cs="Times New Roman"/>
          <w:sz w:val="24"/>
          <w:szCs w:val="24"/>
        </w:rPr>
        <w:t xml:space="preserve"> is critical value from the chi-square distribution table at significance level α. A rejection of </w:t>
      </w:r>
      <w:r w:rsidRPr="00FC4877">
        <w:rPr>
          <w:rFonts w:ascii="Times New Roman" w:eastAsiaTheme="minorEastAsia" w:hAnsi="Times New Roman" w:cs="Times New Roman"/>
          <w:i/>
          <w:iCs/>
          <w:sz w:val="24"/>
          <w:szCs w:val="24"/>
        </w:rPr>
        <w:t>H</w:t>
      </w:r>
      <w:r w:rsidRPr="00FC4877">
        <w:rPr>
          <w:rFonts w:ascii="Times New Roman" w:eastAsiaTheme="minorEastAsia" w:hAnsi="Times New Roman" w:cs="Times New Roman"/>
          <w:i/>
          <w:iCs/>
          <w:sz w:val="24"/>
          <w:szCs w:val="24"/>
          <w:vertAlign w:val="subscript"/>
        </w:rPr>
        <w:t>0</w:t>
      </w:r>
      <w:r w:rsidRPr="00FC4877">
        <w:rPr>
          <w:rFonts w:ascii="Times New Roman" w:eastAsiaTheme="minorEastAsia" w:hAnsi="Times New Roman" w:cs="Times New Roman"/>
          <w:sz w:val="24"/>
          <w:szCs w:val="24"/>
          <w:vertAlign w:val="subscript"/>
        </w:rPr>
        <w:t xml:space="preserve"> </w:t>
      </w:r>
      <w:r w:rsidRPr="00FC4877">
        <w:rPr>
          <w:rFonts w:ascii="Times New Roman" w:eastAsiaTheme="minorEastAsia" w:hAnsi="Times New Roman" w:cs="Times New Roman"/>
          <w:sz w:val="24"/>
          <w:szCs w:val="24"/>
        </w:rPr>
        <w:t>indicates significant seasonality in data</w:t>
      </w:r>
      <w:r>
        <w:rPr>
          <w:rFonts w:ascii="Times New Roman" w:eastAsiaTheme="minorEastAsia" w:hAnsi="Times New Roman" w:cs="Times New Roman"/>
          <w:sz w:val="24"/>
          <w:szCs w:val="24"/>
        </w:rPr>
        <w:t xml:space="preserve"> which is time aeries in nature.</w:t>
      </w:r>
    </w:p>
    <w:p w14:paraId="36A9F90D"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2.5 </w:t>
      </w:r>
      <w:r w:rsidRPr="003E6A43">
        <w:rPr>
          <w:rFonts w:ascii="Times New Roman" w:eastAsiaTheme="minorEastAsia" w:hAnsi="Times New Roman" w:cs="Times New Roman"/>
          <w:b/>
          <w:bCs/>
          <w:sz w:val="24"/>
          <w:szCs w:val="24"/>
        </w:rPr>
        <w:t>Residual diagnostics</w:t>
      </w:r>
    </w:p>
    <w:p w14:paraId="31C43DD1" w14:textId="77777777" w:rsidR="0012044A" w:rsidRDefault="0012044A" w:rsidP="0012044A">
      <w:pPr>
        <w:spacing w:line="360" w:lineRule="auto"/>
        <w:jc w:val="both"/>
        <w:rPr>
          <w:rFonts w:ascii="Times New Roman" w:eastAsiaTheme="minorEastAsia" w:hAnsi="Times New Roman" w:cs="Times New Roman"/>
          <w:sz w:val="24"/>
          <w:szCs w:val="24"/>
        </w:rPr>
      </w:pPr>
      <w:r w:rsidRPr="00FC4877">
        <w:rPr>
          <w:rFonts w:ascii="Times New Roman" w:eastAsiaTheme="minorEastAsia" w:hAnsi="Times New Roman" w:cs="Times New Roman"/>
          <w:sz w:val="24"/>
          <w:szCs w:val="24"/>
        </w:rPr>
        <w:t xml:space="preserve">Residual diagnostics play a decisive role in evaluating </w:t>
      </w:r>
      <w:r>
        <w:rPr>
          <w:rFonts w:ascii="Times New Roman" w:eastAsiaTheme="minorEastAsia" w:hAnsi="Times New Roman" w:cs="Times New Roman"/>
          <w:sz w:val="24"/>
          <w:szCs w:val="24"/>
        </w:rPr>
        <w:t xml:space="preserve">the </w:t>
      </w:r>
      <w:r w:rsidRPr="00FC4877">
        <w:rPr>
          <w:rFonts w:ascii="Times New Roman" w:eastAsiaTheme="minorEastAsia" w:hAnsi="Times New Roman" w:cs="Times New Roman"/>
          <w:sz w:val="24"/>
          <w:szCs w:val="24"/>
        </w:rPr>
        <w:t xml:space="preserve">adequacy and </w:t>
      </w:r>
      <w:r>
        <w:rPr>
          <w:rFonts w:ascii="Times New Roman" w:eastAsiaTheme="minorEastAsia" w:hAnsi="Times New Roman" w:cs="Times New Roman"/>
          <w:sz w:val="24"/>
          <w:szCs w:val="24"/>
        </w:rPr>
        <w:t>credibility</w:t>
      </w:r>
      <w:r w:rsidRPr="00FC4877">
        <w:rPr>
          <w:rFonts w:ascii="Times New Roman" w:eastAsiaTheme="minorEastAsia" w:hAnsi="Times New Roman" w:cs="Times New Roman"/>
          <w:sz w:val="24"/>
          <w:szCs w:val="24"/>
        </w:rPr>
        <w:t xml:space="preserve"> of models</w:t>
      </w:r>
      <w:r>
        <w:rPr>
          <w:rFonts w:ascii="Times New Roman" w:eastAsiaTheme="minorEastAsia" w:hAnsi="Times New Roman" w:cs="Times New Roman"/>
          <w:sz w:val="24"/>
          <w:szCs w:val="24"/>
        </w:rPr>
        <w:t xml:space="preserve"> such as ARIMA in time series analysis. By </w:t>
      </w:r>
      <w:proofErr w:type="spellStart"/>
      <w:r>
        <w:rPr>
          <w:rFonts w:ascii="Times New Roman" w:eastAsiaTheme="minorEastAsia" w:hAnsi="Times New Roman" w:cs="Times New Roman"/>
          <w:sz w:val="24"/>
          <w:szCs w:val="24"/>
        </w:rPr>
        <w:t>analyzing</w:t>
      </w:r>
      <w:proofErr w:type="spellEnd"/>
      <w:r>
        <w:rPr>
          <w:rFonts w:ascii="Times New Roman" w:eastAsiaTheme="minorEastAsia" w:hAnsi="Times New Roman" w:cs="Times New Roman"/>
          <w:sz w:val="24"/>
          <w:szCs w:val="24"/>
        </w:rPr>
        <w:t xml:space="preserve"> the residuals, underlying patterns that the model may not have captured can be identified. Conducting through residuals diagnostics helps in detecting issues like serial autocorrelation and heteroscedasticity, which can then inform necessary model adjustments to improve forecasting accuracy.</w:t>
      </w:r>
    </w:p>
    <w:p w14:paraId="50844973"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residuals diagnostics, the Ljung-Box test, a statistical method proposed by Ljung and Box (1978), is used to assess serial autocorrelation, </w:t>
      </w:r>
      <w:r w:rsidRPr="006639CB">
        <w:rPr>
          <w:rFonts w:ascii="Times New Roman" w:eastAsiaTheme="minorEastAsia" w:hAnsi="Times New Roman" w:cs="Times New Roman"/>
          <w:sz w:val="24"/>
          <w:szCs w:val="24"/>
        </w:rPr>
        <w:t>while the ARCH Lagrange Multiplier (LM) test, introduced by Engle (1982), is applied to detect conditional heteroscedasticity. Moreover, the Broock-Dechert-Scheinman (BDS) test (Broock et al., 1996) is employed to detect nonlinearity in residuals, providing insights into whether the model has properly captured nonlinear structures in the data.</w:t>
      </w:r>
    </w:p>
    <w:p w14:paraId="7E02A866"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2.5.1 </w:t>
      </w:r>
      <w:r w:rsidRPr="00977B60">
        <w:rPr>
          <w:rFonts w:ascii="Times New Roman" w:eastAsiaTheme="minorEastAsia" w:hAnsi="Times New Roman" w:cs="Times New Roman"/>
          <w:b/>
          <w:bCs/>
          <w:sz w:val="24"/>
          <w:szCs w:val="24"/>
        </w:rPr>
        <w:t>Ljung-Box Test</w:t>
      </w:r>
    </w:p>
    <w:p w14:paraId="47035946"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Ljung-Box test is used to assess autocorrelation across multiple lags within a time series. It is frequently applied to the residuals of a time series model to evaluate whether the model has effectively accounted for any time-based patterns in the data. As a portmanteau test, it examines the cumulative effect of autocorrelation over a series of lags, rather than focusing on a single lag. The null hypothesis for the Ljung-Box test posits that the residuals are independently distributed, signifying an absence of autocorrelation.</w:t>
      </w:r>
    </w:p>
    <w:p w14:paraId="6684B4F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test statistic is calculated as:</w:t>
      </w:r>
    </w:p>
    <w:p w14:paraId="0C1F15BD"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Q=n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n+2</m:t>
            </m:r>
          </m:e>
        </m:d>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h</m:t>
            </m:r>
          </m:sup>
          <m:e>
            <m:f>
              <m:fPr>
                <m:ctrlPr>
                  <w:rPr>
                    <w:rFonts w:ascii="Cambria Math" w:eastAsiaTheme="minorEastAsia" w:hAnsi="Cambria Math" w:cs="Times New Roman"/>
                    <w:i/>
                    <w:sz w:val="24"/>
                    <w:szCs w:val="24"/>
                  </w:rPr>
                </m:ctrlPr>
              </m:fPr>
              <m:num>
                <m:acc>
                  <m:accPr>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k</m:t>
                        </m:r>
                      </m:sub>
                      <m:sup>
                        <m:r>
                          <w:rPr>
                            <w:rFonts w:ascii="Cambria Math" w:eastAsiaTheme="minorEastAsia" w:hAnsi="Cambria Math" w:cs="Times New Roman"/>
                            <w:sz w:val="24"/>
                            <w:szCs w:val="24"/>
                          </w:rPr>
                          <m:t>2</m:t>
                        </m:r>
                      </m:sup>
                    </m:sSubSup>
                  </m:e>
                </m:acc>
              </m:num>
              <m:den>
                <m:r>
                  <w:rPr>
                    <w:rFonts w:ascii="Cambria Math" w:eastAsiaTheme="minorEastAsia" w:hAnsi="Cambria Math" w:cs="Times New Roman"/>
                    <w:sz w:val="24"/>
                    <w:szCs w:val="24"/>
                  </w:rPr>
                  <m:t>n-k</m:t>
                </m:r>
              </m:den>
            </m:f>
          </m:e>
        </m:nary>
        <m:r>
          <w:rPr>
            <w:rFonts w:ascii="Cambria Math" w:eastAsiaTheme="minorEastAsia" w:hAnsi="Cambria Math" w:cs="Times New Roman"/>
            <w:sz w:val="24"/>
            <w:szCs w:val="24"/>
          </w:rPr>
          <m:t>.</m:t>
        </m:r>
      </m:oMath>
    </w:p>
    <w:p w14:paraId="1F91BB5E" w14:textId="77777777" w:rsidR="0012044A" w:rsidRDefault="0012044A" w:rsidP="0012044A">
      <w:pPr>
        <w:spacing w:line="360" w:lineRule="auto"/>
        <w:jc w:val="both"/>
        <w:rPr>
          <w:rFonts w:ascii="Times New Roman" w:eastAsiaTheme="minorEastAsia" w:hAnsi="Times New Roman" w:cs="Times New Roman"/>
          <w:sz w:val="24"/>
          <w:szCs w:val="24"/>
        </w:rPr>
      </w:pPr>
      <w:r w:rsidRPr="00F20681">
        <w:rPr>
          <w:rFonts w:ascii="Times New Roman" w:eastAsiaTheme="minorEastAsia" w:hAnsi="Times New Roman" w:cs="Times New Roman"/>
          <w:sz w:val="24"/>
          <w:szCs w:val="24"/>
        </w:rPr>
        <w:lastRenderedPageBreak/>
        <w:t xml:space="preserve">In this context, </w:t>
      </w:r>
      <w:r w:rsidRPr="00F20681">
        <w:rPr>
          <w:rFonts w:ascii="Times New Roman" w:eastAsiaTheme="minorEastAsia" w:hAnsi="Times New Roman" w:cs="Times New Roman"/>
          <w:i/>
          <w:iCs/>
          <w:sz w:val="24"/>
          <w:szCs w:val="24"/>
        </w:rPr>
        <w:t>n</w:t>
      </w:r>
      <w:r w:rsidRPr="00F20681">
        <w:rPr>
          <w:rFonts w:ascii="Times New Roman" w:eastAsiaTheme="minorEastAsia" w:hAnsi="Times New Roman" w:cs="Times New Roman"/>
          <w:sz w:val="24"/>
          <w:szCs w:val="24"/>
        </w:rPr>
        <w:t xml:space="preserve"> serve as sample size</w:t>
      </w:r>
      <w:r>
        <w:rPr>
          <w:rFonts w:ascii="Times New Roman" w:eastAsiaTheme="minorEastAsia" w:hAnsi="Times New Roman" w:cs="Times New Roman"/>
          <w:sz w:val="24"/>
          <w:szCs w:val="24"/>
        </w:rPr>
        <w:t xml:space="preserve">, </w:t>
      </w:r>
      <w:r w:rsidRPr="00370F71">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denotes the number of lags being evaluated, and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b>
            <m:r>
              <w:rPr>
                <w:rFonts w:ascii="Cambria Math" w:eastAsiaTheme="minorEastAsia" w:hAnsi="Cambria Math" w:cs="Times New Roman"/>
                <w:sz w:val="24"/>
                <w:szCs w:val="24"/>
              </w:rPr>
              <m:t>k</m:t>
            </m:r>
          </m:sub>
        </m:sSub>
      </m:oMath>
      <w:r>
        <w:rPr>
          <w:rFonts w:ascii="Times New Roman" w:eastAsiaTheme="minorEastAsia" w:hAnsi="Times New Roman" w:cs="Times New Roman"/>
          <w:sz w:val="24"/>
          <w:szCs w:val="24"/>
        </w:rPr>
        <w:t xml:space="preserve"> refers to the autocorrelation at lag </w:t>
      </w:r>
      <w:r w:rsidRPr="00A7118C">
        <w:rPr>
          <w:rFonts w:ascii="Times New Roman" w:eastAsiaTheme="minorEastAsia" w:hAnsi="Times New Roman" w:cs="Times New Roman"/>
          <w:i/>
          <w:iCs/>
          <w:sz w:val="24"/>
          <w:szCs w:val="24"/>
        </w:rPr>
        <w:t>k</w:t>
      </w:r>
      <w:r>
        <w:rPr>
          <w:rFonts w:ascii="Times New Roman" w:eastAsiaTheme="minorEastAsia" w:hAnsi="Times New Roman" w:cs="Times New Roman"/>
          <w:sz w:val="24"/>
          <w:szCs w:val="24"/>
        </w:rPr>
        <w:t xml:space="preserve">. The test statistic </w:t>
      </w:r>
      <w:r w:rsidRPr="00370F71">
        <w:rPr>
          <w:rFonts w:ascii="Times New Roman" w:eastAsiaTheme="minorEastAsia" w:hAnsi="Times New Roman" w:cs="Times New Roman"/>
          <w:i/>
          <w:iCs/>
          <w:sz w:val="24"/>
          <w:szCs w:val="24"/>
        </w:rPr>
        <w:t>Q</w:t>
      </w:r>
      <w:r>
        <w:rPr>
          <w:rFonts w:ascii="Times New Roman" w:eastAsiaTheme="minorEastAsia" w:hAnsi="Times New Roman" w:cs="Times New Roman"/>
          <w:sz w:val="24"/>
          <w:szCs w:val="24"/>
        </w:rPr>
        <w:t xml:space="preserve"> is distributed according to a chi-square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i/>
                <w:sz w:val="24"/>
                <w:szCs w:val="24"/>
              </w:rPr>
              <w:sym w:font="Symbol" w:char="F063"/>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distribution with </w:t>
      </w:r>
      <w:r w:rsidRPr="00370F71">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digress of freedom under the null hypothesis.</w:t>
      </w:r>
    </w:p>
    <w:p w14:paraId="34CDD878" w14:textId="77777777" w:rsidR="0012044A" w:rsidRDefault="0012044A" w:rsidP="001204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sidRPr="00FD67B2">
        <w:rPr>
          <w:rFonts w:ascii="Times New Roman" w:hAnsi="Times New Roman" w:cs="Times New Roman"/>
          <w:b/>
          <w:bCs/>
          <w:sz w:val="24"/>
          <w:szCs w:val="24"/>
        </w:rPr>
        <w:t>ARCH-LM Test</w:t>
      </w:r>
    </w:p>
    <w:p w14:paraId="57F64CD5" w14:textId="6279F2B2"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applying the linear ARIMA model, the residuals are </w:t>
      </w:r>
      <w:r w:rsidR="005E6BBB">
        <w:rPr>
          <w:rFonts w:ascii="Times New Roman" w:hAnsi="Times New Roman" w:cs="Times New Roman"/>
          <w:sz w:val="24"/>
          <w:szCs w:val="24"/>
        </w:rPr>
        <w:t>collected</w:t>
      </w:r>
      <w:r>
        <w:rPr>
          <w:rFonts w:ascii="Times New Roman" w:hAnsi="Times New Roman" w:cs="Times New Roman"/>
          <w:sz w:val="24"/>
          <w:szCs w:val="24"/>
        </w:rPr>
        <w:t xml:space="preserve"> and then they are </w:t>
      </w:r>
      <w:r w:rsidR="005E6BBB">
        <w:rPr>
          <w:rFonts w:ascii="Times New Roman" w:hAnsi="Times New Roman" w:cs="Times New Roman"/>
          <w:sz w:val="24"/>
          <w:szCs w:val="24"/>
        </w:rPr>
        <w:t>examined</w:t>
      </w:r>
      <w:r>
        <w:rPr>
          <w:rFonts w:ascii="Times New Roman" w:hAnsi="Times New Roman" w:cs="Times New Roman"/>
          <w:sz w:val="24"/>
          <w:szCs w:val="24"/>
        </w:rPr>
        <w:t xml:space="preserve"> for presence of conditional heteroscedasticity in the squared residual series {</w:t>
      </w: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m:t>
            </m:r>
          </m:sub>
          <m:sup>
            <m:r>
              <w:rPr>
                <w:rFonts w:ascii="Cambria Math" w:hAnsi="Cambria Math" w:cs="Times New Roman"/>
                <w:sz w:val="24"/>
                <w:szCs w:val="24"/>
              </w:rPr>
              <m:t>2</m:t>
            </m:r>
          </m:sup>
        </m:sSubSup>
      </m:oMath>
      <w:r>
        <w:rPr>
          <w:rFonts w:ascii="Times New Roman" w:hAnsi="Times New Roman" w:cs="Times New Roman"/>
          <w:sz w:val="24"/>
          <w:szCs w:val="24"/>
        </w:rPr>
        <w:t xml:space="preserve">}. </w:t>
      </w:r>
      <w:r w:rsidR="001D1D5B">
        <w:rPr>
          <w:rFonts w:ascii="Times New Roman" w:hAnsi="Times New Roman" w:cs="Times New Roman"/>
          <w:sz w:val="24"/>
          <w:szCs w:val="24"/>
        </w:rPr>
        <w:t>F</w:t>
      </w:r>
      <w:r>
        <w:rPr>
          <w:rFonts w:ascii="Times New Roman" w:hAnsi="Times New Roman" w:cs="Times New Roman"/>
          <w:sz w:val="24"/>
          <w:szCs w:val="24"/>
        </w:rPr>
        <w:t>or this purpose</w:t>
      </w:r>
      <w:r w:rsidR="001D1D5B">
        <w:rPr>
          <w:rFonts w:ascii="Times New Roman" w:hAnsi="Times New Roman" w:cs="Times New Roman"/>
          <w:sz w:val="24"/>
          <w:szCs w:val="24"/>
        </w:rPr>
        <w:t>,</w:t>
      </w:r>
      <w:r w:rsidR="001D1D5B" w:rsidRPr="001D1D5B">
        <w:rPr>
          <w:rFonts w:ascii="Times New Roman" w:hAnsi="Times New Roman" w:cs="Times New Roman"/>
          <w:sz w:val="24"/>
          <w:szCs w:val="24"/>
        </w:rPr>
        <w:t xml:space="preserve"> </w:t>
      </w:r>
      <w:r w:rsidR="001D1D5B">
        <w:rPr>
          <w:rFonts w:ascii="Times New Roman" w:hAnsi="Times New Roman" w:cs="Times New Roman"/>
          <w:sz w:val="24"/>
          <w:szCs w:val="24"/>
        </w:rPr>
        <w:t>the Lagrange multiplier test (Engle, 1982) is employed</w:t>
      </w:r>
      <w:r>
        <w:rPr>
          <w:rFonts w:ascii="Times New Roman" w:hAnsi="Times New Roman" w:cs="Times New Roman"/>
          <w:sz w:val="24"/>
          <w:szCs w:val="24"/>
        </w:rPr>
        <w:t>.</w:t>
      </w:r>
    </w:p>
    <w:p w14:paraId="1EEE6E08" w14:textId="77777777" w:rsidR="0012044A" w:rsidRDefault="0012044A" w:rsidP="0012044A">
      <w:pPr>
        <w:spacing w:line="360" w:lineRule="auto"/>
        <w:jc w:val="both"/>
        <w:rPr>
          <w:rFonts w:ascii="Times New Roman" w:hAnsi="Times New Roman" w:cs="Times New Roman"/>
          <w:sz w:val="24"/>
          <w:szCs w:val="24"/>
        </w:rPr>
      </w:pPr>
      <w:r>
        <w:rPr>
          <w:rFonts w:ascii="Times New Roman" w:hAnsi="Times New Roman" w:cs="Times New Roman"/>
          <w:sz w:val="24"/>
          <w:szCs w:val="24"/>
        </w:rPr>
        <w:t>Suppose the linear regression of squared residuals defined as</w:t>
      </w:r>
    </w:p>
    <w:p w14:paraId="3BFFFCE7" w14:textId="77777777" w:rsidR="0012044A" w:rsidRDefault="007126CD" w:rsidP="0012044A">
      <w:pPr>
        <w:spacing w:line="36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q</m:t>
            </m:r>
          </m:sub>
        </m:sSub>
        <m:sSubSup>
          <m:sSubSupPr>
            <m:ctrlPr>
              <w:rPr>
                <w:rFonts w:ascii="Cambria Math" w:hAnsi="Cambria Math" w:cs="Times New Roman"/>
                <w:i/>
                <w:sz w:val="24"/>
                <w:szCs w:val="24"/>
              </w:rPr>
            </m:ctrlPr>
          </m:sSubSupPr>
          <m:e>
            <m:r>
              <w:rPr>
                <w:rFonts w:ascii="Cambria Math" w:hAnsi="Cambria Math" w:cs="Times New Roman"/>
                <w:i/>
                <w:sz w:val="24"/>
                <w:szCs w:val="24"/>
              </w:rPr>
              <w:sym w:font="Symbol" w:char="F065"/>
            </m:r>
          </m:e>
          <m:sub>
            <m:r>
              <w:rPr>
                <w:rFonts w:ascii="Cambria Math" w:hAnsi="Cambria Math" w:cs="Times New Roman"/>
                <w:sz w:val="24"/>
                <w:szCs w:val="24"/>
              </w:rPr>
              <m:t>t-q</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i/>
                <w:sz w:val="24"/>
                <w:szCs w:val="24"/>
              </w:rPr>
              <w:sym w:font="Symbol" w:char="F065"/>
            </m:r>
          </m:e>
          <m:sub>
            <m:r>
              <w:rPr>
                <w:rFonts w:ascii="Cambria Math" w:hAnsi="Cambria Math" w:cs="Times New Roman"/>
                <w:sz w:val="24"/>
                <w:szCs w:val="24"/>
              </w:rPr>
              <m:t>t</m:t>
            </m:r>
          </m:sub>
        </m:sSub>
      </m:oMath>
      <w:r w:rsidR="0012044A">
        <w:rPr>
          <w:rFonts w:ascii="Times New Roman" w:eastAsiaTheme="minorEastAsia" w:hAnsi="Times New Roman" w:cs="Times New Roman"/>
          <w:sz w:val="24"/>
          <w:szCs w:val="24"/>
        </w:rPr>
        <w:t>,</w:t>
      </w:r>
    </w:p>
    <w:p w14:paraId="6695F525" w14:textId="5BF887DC" w:rsidR="0012044A" w:rsidRDefault="00CF0F07" w:rsidP="0012044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w</w:t>
      </w:r>
      <w:r w:rsidR="0012044A">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5"/>
            </m:r>
          </m:e>
          <m:sub>
            <m:r>
              <w:rPr>
                <w:rFonts w:ascii="Cambria Math" w:hAnsi="Cambria Math" w:cs="Times New Roman"/>
                <w:sz w:val="24"/>
                <w:szCs w:val="24"/>
              </w:rPr>
              <m:t>t</m:t>
            </m:r>
          </m:sub>
        </m:sSub>
      </m:oMath>
      <w:r w:rsidR="0012044A">
        <w:rPr>
          <w:rFonts w:ascii="Times New Roman" w:eastAsiaTheme="minorEastAsia" w:hAnsi="Times New Roman" w:cs="Times New Roman"/>
          <w:sz w:val="24"/>
          <w:szCs w:val="24"/>
        </w:rPr>
        <w:t xml:space="preserve"> is the error term and q denote a pre-specified positive integer.</w:t>
      </w:r>
    </w:p>
    <w:p w14:paraId="21EA745E"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test statistics is as follows:</w:t>
      </w:r>
    </w:p>
    <w:p w14:paraId="3A7F1184" w14:textId="77777777" w:rsidR="0012044A" w:rsidRDefault="0012044A" w:rsidP="0012044A">
      <w:pPr>
        <w:spacing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LM=</m:t>
        </m:r>
        <m:sSup>
          <m:sSupPr>
            <m:ctrlPr>
              <w:rPr>
                <w:rFonts w:ascii="Cambria Math" w:hAnsi="Cambria Math" w:cs="Times New Roman"/>
                <w:i/>
                <w:sz w:val="24"/>
                <w:szCs w:val="24"/>
              </w:rPr>
            </m:ctrlPr>
          </m:sSupPr>
          <m:e>
            <m:r>
              <w:rPr>
                <w:rFonts w:ascii="Cambria Math" w:hAnsi="Cambria Math" w:cs="Times New Roman"/>
                <w:sz w:val="24"/>
                <w:szCs w:val="24"/>
              </w:rPr>
              <m:t>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p>
    <w:p w14:paraId="37CFC6DA" w14:textId="64F6FA39" w:rsidR="0012044A" w:rsidRDefault="0012044A" w:rsidP="0012044A">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e>
                  <m:sup>
                    <m:r>
                      <w:rPr>
                        <w:rFonts w:ascii="Cambria Math" w:eastAsiaTheme="minorEastAsia" w:hAnsi="Cambria Math" w:cs="Times New Roman"/>
                        <w:sz w:val="24"/>
                        <w:szCs w:val="24"/>
                      </w:rPr>
                      <m:t>2</m:t>
                    </m:r>
                  </m:sup>
                </m:sSup>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e>
                  <m:sup>
                    <m:r>
                      <w:rPr>
                        <w:rFonts w:ascii="Cambria Math" w:eastAsiaTheme="minorEastAsia" w:hAnsi="Cambria Math" w:cs="Times New Roman"/>
                        <w:sz w:val="24"/>
                        <w:szCs w:val="24"/>
                      </w:rPr>
                      <m:t>2</m:t>
                    </m:r>
                  </m:sup>
                </m:sSup>
              </m:e>
            </m:nary>
          </m:den>
        </m:f>
      </m:oMath>
      <w:r>
        <w:rPr>
          <w:rFonts w:ascii="Times New Roman" w:eastAsiaTheme="minorEastAsia" w:hAnsi="Times New Roman" w:cs="Times New Roman"/>
          <w:sz w:val="24"/>
          <w:szCs w:val="24"/>
        </w:rPr>
        <w:t>,</w:t>
      </w:r>
    </w:p>
    <w:p w14:paraId="390C6121"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 is the total number of observations,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is the R-squared obtained from the above-mentioned regression of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w:t>
      </w:r>
    </w:p>
    <w:p w14:paraId="2AF6F0DA"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Hypothesis of the ARCH LM test are</w:t>
      </w:r>
    </w:p>
    <w:p w14:paraId="5E82A812" w14:textId="77777777" w:rsidR="0012044A" w:rsidRPr="008D5868" w:rsidRDefault="007126CD" w:rsidP="0012044A">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q</m:t>
              </m:r>
            </m:sub>
          </m:sSub>
          <m:r>
            <w:rPr>
              <w:rFonts w:ascii="Cambria Math" w:hAnsi="Cambria Math" w:cs="Times New Roman"/>
              <w:sz w:val="24"/>
              <w:szCs w:val="24"/>
            </w:rPr>
            <m:t>=0</m:t>
          </m:r>
        </m:oMath>
      </m:oMathPara>
    </w:p>
    <w:p w14:paraId="5576A250" w14:textId="77777777" w:rsidR="0012044A" w:rsidRPr="00F06F45" w:rsidRDefault="007126CD" w:rsidP="0012044A">
      <w:pPr>
        <w:spacing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oMath>
      <w:r w:rsidR="0012044A">
        <w:rPr>
          <w:rFonts w:ascii="Times New Roman" w:eastAsiaTheme="minorEastAsia" w:hAnsi="Times New Roman" w:cs="Times New Roman"/>
          <w:sz w:val="24"/>
          <w:szCs w:val="24"/>
        </w:rPr>
        <w:t>at least one coefficient is not equal to zero</w:t>
      </w:r>
    </w:p>
    <w:p w14:paraId="433DC6DB"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2.5.3 </w:t>
      </w:r>
      <w:r w:rsidRPr="00A7118C">
        <w:rPr>
          <w:rFonts w:ascii="Times New Roman" w:eastAsiaTheme="minorEastAsia" w:hAnsi="Times New Roman" w:cs="Times New Roman"/>
          <w:b/>
          <w:bCs/>
          <w:sz w:val="24"/>
          <w:szCs w:val="24"/>
        </w:rPr>
        <w:t>BDS Test</w:t>
      </w:r>
    </w:p>
    <w:p w14:paraId="340299B3"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BDS test is used </w:t>
      </w:r>
      <w:r w:rsidRPr="00C57C63">
        <w:rPr>
          <w:rFonts w:ascii="Times New Roman" w:eastAsiaTheme="minorEastAsia" w:hAnsi="Times New Roman" w:cs="Times New Roman"/>
          <w:sz w:val="24"/>
          <w:szCs w:val="24"/>
        </w:rPr>
        <w:t>to recognize nonlinear patterns in time series data</w:t>
      </w:r>
      <w:r>
        <w:rPr>
          <w:rFonts w:ascii="Times New Roman" w:eastAsiaTheme="minorEastAsia" w:hAnsi="Times New Roman" w:cs="Times New Roman"/>
          <w:sz w:val="24"/>
          <w:szCs w:val="24"/>
        </w:rPr>
        <w:t xml:space="preserve">. When applied to residuals from time series model, it checks if any nonlinear dependencies remain, thereby assessing if the model adequately captures the data’s underlying dynamics. The null hypothesis in the BDS test assumes </w:t>
      </w:r>
      <w:r w:rsidRPr="00C57C63">
        <w:rPr>
          <w:rFonts w:ascii="Times New Roman" w:eastAsiaTheme="minorEastAsia" w:hAnsi="Times New Roman" w:cs="Times New Roman"/>
          <w:sz w:val="24"/>
          <w:szCs w:val="24"/>
        </w:rPr>
        <w:t>that residuals are independently and identically distributed (</w:t>
      </w:r>
      <w:proofErr w:type="spellStart"/>
      <w:r w:rsidRPr="00C57C63">
        <w:rPr>
          <w:rFonts w:ascii="Times New Roman" w:eastAsiaTheme="minorEastAsia" w:hAnsi="Times New Roman" w:cs="Times New Roman"/>
          <w:sz w:val="24"/>
          <w:szCs w:val="24"/>
        </w:rPr>
        <w:t>i.i.d</w:t>
      </w:r>
      <w:proofErr w:type="spellEnd"/>
      <w:r w:rsidRPr="00C57C63">
        <w:rPr>
          <w:rFonts w:ascii="Times New Roman" w:eastAsiaTheme="minorEastAsia" w:hAnsi="Times New Roman" w:cs="Times New Roman"/>
          <w:sz w:val="24"/>
          <w:szCs w:val="24"/>
        </w:rPr>
        <w:t>).</w:t>
      </w:r>
    </w:p>
    <w:p w14:paraId="62CF2F3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BDS test involves examining spatial correlations by embedding the series into a higher dimensional space. The test statistic is calculated as follows:</w:t>
      </w:r>
    </w:p>
    <w:p w14:paraId="4152F386" w14:textId="77777777" w:rsidR="0012044A" w:rsidRPr="00087C35" w:rsidRDefault="007126CD" w:rsidP="0012044A">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sub>
        </m:sSub>
        <m:r>
          <w:rPr>
            <w:rFonts w:ascii="Cambria Math" w:eastAsiaTheme="minorEastAsia" w:hAnsi="Cambria Math" w:cs="Times New Roman"/>
            <w:sz w:val="24"/>
            <w:szCs w:val="24"/>
          </w:rPr>
          <m:t>=√T</m:t>
        </m:r>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sub>
            </m:sSub>
          </m:e>
        </m:d>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r>
                          <w:rPr>
                            <w:rFonts w:ascii="Cambria Math" w:eastAsiaTheme="minorEastAsia" w:hAnsi="Cambria Math" w:cs="Times New Roman"/>
                            <w:i/>
                            <w:sz w:val="24"/>
                            <w:szCs w:val="24"/>
                          </w:rPr>
                          <w:sym w:font="Symbol" w:char="F065"/>
                        </m:r>
                      </m:sub>
                    </m:sSub>
                  </m:e>
                </m:d>
              </m:e>
              <m:sup>
                <m:r>
                  <w:rPr>
                    <w:rFonts w:ascii="Cambria Math" w:eastAsiaTheme="minorEastAsia" w:hAnsi="Cambria Math" w:cs="Times New Roman"/>
                    <w:sz w:val="24"/>
                    <w:szCs w:val="24"/>
                  </w:rPr>
                  <m:t>m</m:t>
                </m:r>
              </m:sup>
            </m:sSup>
          </m:e>
        </m:d>
      </m:oMath>
      <w:r w:rsidR="0012044A">
        <w:rPr>
          <w:rFonts w:ascii="Times New Roman" w:eastAsiaTheme="minorEastAsia" w:hAnsi="Times New Roman" w:cs="Times New Roman"/>
          <w:sz w:val="24"/>
          <w:szCs w:val="24"/>
        </w:rPr>
        <w:t>,</w:t>
      </w:r>
    </w:p>
    <w:p w14:paraId="26552B68"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where, </w:t>
      </w:r>
      <w:r w:rsidRPr="006162E3">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is the sample size, m is the embedding dimension, </w:t>
      </w:r>
      <w:r>
        <w:rPr>
          <w:rFonts w:ascii="Times New Roman" w:eastAsiaTheme="minorEastAsia" w:hAnsi="Times New Roman" w:cs="Times New Roman"/>
          <w:sz w:val="24"/>
          <w:szCs w:val="24"/>
        </w:rPr>
        <w:sym w:font="Symbol" w:char="F065"/>
      </w:r>
      <w:r>
        <w:rPr>
          <w:rFonts w:ascii="Times New Roman" w:eastAsiaTheme="minorEastAsia" w:hAnsi="Times New Roman" w:cs="Times New Roman"/>
          <w:sz w:val="24"/>
          <w:szCs w:val="24"/>
        </w:rPr>
        <w:t xml:space="preserve"> is a proximity threshold,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r>
              <w:rPr>
                <w:rFonts w:ascii="Cambria Math" w:eastAsiaTheme="minorEastAsia" w:hAnsi="Cambria Math" w:cs="Times New Roman"/>
                <w:sz w:val="24"/>
                <w:szCs w:val="24"/>
              </w:rPr>
              <m:t xml:space="preserve"> </m:t>
            </m:r>
          </m:sub>
        </m:sSub>
      </m:oMath>
      <w:r>
        <w:rPr>
          <w:rFonts w:ascii="Times New Roman" w:eastAsiaTheme="minorEastAsia" w:hAnsi="Times New Roman" w:cs="Times New Roman"/>
          <w:sz w:val="24"/>
          <w:szCs w:val="24"/>
        </w:rPr>
        <w:t xml:space="preserve">is the correlation integral for dimension 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m,e</m:t>
            </m:r>
          </m:sub>
        </m:sSub>
      </m:oMath>
      <w:r>
        <w:rPr>
          <w:rFonts w:ascii="Times New Roman" w:eastAsiaTheme="minorEastAsia" w:hAnsi="Times New Roman" w:cs="Times New Roman"/>
          <w:sz w:val="24"/>
          <w:szCs w:val="24"/>
        </w:rPr>
        <w:t xml:space="preserve"> represents the standard deviation of the difference term</w:t>
      </w:r>
      <m:oMath>
        <m:r>
          <w:rPr>
            <w:rFonts w:ascii="Cambria Math" w:eastAsiaTheme="minorEastAsia" w:hAnsi="Cambria Math" w:cs="Times New Roman"/>
            <w:sz w:val="24"/>
            <w:szCs w:val="24"/>
          </w:rPr>
          <m:t xml:space="preserve"> √T</m:t>
        </m:r>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sub>
            </m:sSub>
          </m:e>
        </m:d>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r>
                          <w:rPr>
                            <w:rFonts w:ascii="Cambria Math" w:eastAsiaTheme="minorEastAsia" w:hAnsi="Cambria Math" w:cs="Times New Roman"/>
                            <w:i/>
                            <w:sz w:val="24"/>
                            <w:szCs w:val="24"/>
                          </w:rPr>
                          <w:sym w:font="Symbol" w:char="F065"/>
                        </m:r>
                      </m:sub>
                    </m:sSub>
                  </m:e>
                </m:d>
              </m:e>
              <m:sup>
                <m:r>
                  <w:rPr>
                    <w:rFonts w:ascii="Cambria Math" w:eastAsiaTheme="minorEastAsia" w:hAnsi="Cambria Math" w:cs="Times New Roman"/>
                    <w:sz w:val="24"/>
                    <w:szCs w:val="24"/>
                  </w:rPr>
                  <m:t>m</m:t>
                </m:r>
              </m:sup>
            </m:sSup>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2C6EF273"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the test statistic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r>
              <w:rPr>
                <w:rFonts w:ascii="Cambria Math" w:eastAsiaTheme="minorEastAsia" w:hAnsi="Cambria Math" w:cs="Times New Roman"/>
                <w:i/>
                <w:sz w:val="24"/>
                <w:szCs w:val="24"/>
              </w:rPr>
              <w:sym w:font="Symbol" w:char="F065"/>
            </m:r>
          </m:sub>
        </m:sSub>
      </m:oMath>
      <w:r>
        <w:rPr>
          <w:rFonts w:ascii="Times New Roman" w:eastAsiaTheme="minorEastAsia" w:hAnsi="Times New Roman" w:cs="Times New Roman"/>
          <w:sz w:val="24"/>
          <w:szCs w:val="24"/>
        </w:rPr>
        <w:t xml:space="preserve"> follows a standard normal distribution and is not significant, then that will indicate no nonlinear dependence. A significant result will indicate nonlinearity, meaning the current model may not be able to fully capture the time series dynamics.</w:t>
      </w:r>
    </w:p>
    <w:p w14:paraId="3757EC10"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2.6 </w:t>
      </w:r>
      <w:r w:rsidRPr="00EA22AC">
        <w:rPr>
          <w:rFonts w:ascii="Times New Roman" w:eastAsiaTheme="minorEastAsia" w:hAnsi="Times New Roman" w:cs="Times New Roman"/>
          <w:b/>
          <w:bCs/>
          <w:sz w:val="24"/>
          <w:szCs w:val="24"/>
        </w:rPr>
        <w:t>Time series models</w:t>
      </w:r>
    </w:p>
    <w:p w14:paraId="4307E3D3"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2.6.1 ARMA Model</w:t>
      </w:r>
    </w:p>
    <w:p w14:paraId="20BBF078" w14:textId="486EF9AC"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ARMA model is a widely used method for forecasting time series data, particularly when successive observations are correlated. It posits that the forthcoming value </w:t>
      </w:r>
      <w:r w:rsidR="00A916F5">
        <w:rPr>
          <w:rFonts w:ascii="Times New Roman" w:eastAsiaTheme="minorEastAsia" w:hAnsi="Times New Roman" w:cs="Times New Roman"/>
          <w:sz w:val="24"/>
          <w:szCs w:val="24"/>
        </w:rPr>
        <w:t xml:space="preserve">obtained from </w:t>
      </w:r>
      <w:r w:rsidRPr="00E54306">
        <w:rPr>
          <w:rFonts w:ascii="Times New Roman" w:eastAsiaTheme="minorEastAsia" w:hAnsi="Times New Roman" w:cs="Times New Roman"/>
          <w:sz w:val="24"/>
          <w:szCs w:val="24"/>
        </w:rPr>
        <w:t>variable is decided by a weighted sum of</w:t>
      </w:r>
      <w:r>
        <w:rPr>
          <w:rFonts w:ascii="Times New Roman" w:eastAsiaTheme="minorEastAsia" w:hAnsi="Times New Roman" w:cs="Times New Roman"/>
          <w:sz w:val="24"/>
          <w:szCs w:val="24"/>
        </w:rPr>
        <w:t xml:space="preserve"> its historical values and random errors. The ARMA model equation is represented as follows:</w:t>
      </w:r>
    </w:p>
    <w:p w14:paraId="6504E4C3" w14:textId="77777777" w:rsidR="0012044A" w:rsidRPr="005E62A9" w:rsidRDefault="007126CD" w:rsidP="0012044A">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=µ+</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sub>
          </m:sSub>
        </m:oMath>
      </m:oMathPara>
    </w:p>
    <w:p w14:paraId="07C8FD63" w14:textId="699A79D4" w:rsidR="0012044A" w:rsidRDefault="00285D2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12044A">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p>
    <w:p w14:paraId="44AD6BB2" w14:textId="77777777" w:rsidR="0012044A" w:rsidRPr="00DA09F2" w:rsidRDefault="007126CD" w:rsidP="0012044A">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p</m:t>
              </m:r>
            </m:sup>
          </m:sSup>
        </m:oMath>
      </m:oMathPara>
    </w:p>
    <w:p w14:paraId="4C09765D" w14:textId="77777777" w:rsidR="0012044A" w:rsidRPr="00DA09F2" w:rsidRDefault="007126CD" w:rsidP="0012044A">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q</m:t>
              </m:r>
            </m:sup>
          </m:sSup>
        </m:oMath>
      </m:oMathPara>
    </w:p>
    <w:p w14:paraId="220E9A70" w14:textId="77777777" w:rsidR="0012044A" w:rsidRDefault="007126CD" w:rsidP="0012044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12044A">
        <w:rPr>
          <w:rFonts w:ascii="Times New Roman" w:eastAsiaTheme="minorEastAsia" w:hAnsi="Times New Roman" w:cs="Times New Roman"/>
          <w:sz w:val="24"/>
          <w:szCs w:val="24"/>
        </w:rPr>
        <w:t xml:space="preserve"> is the current value of the time series; </w:t>
      </w:r>
      <m:oMath>
        <m:r>
          <w:rPr>
            <w:rFonts w:ascii="Cambria Math" w:eastAsiaTheme="minorEastAsia" w:hAnsi="Cambria Math" w:cs="Times New Roman"/>
            <w:sz w:val="24"/>
            <w:szCs w:val="24"/>
          </w:rPr>
          <m:t>µ</m:t>
        </m:r>
      </m:oMath>
      <w:r w:rsidR="0012044A">
        <w:rPr>
          <w:rFonts w:ascii="Times New Roman" w:eastAsiaTheme="minorEastAsia" w:hAnsi="Times New Roman" w:cs="Times New Roman"/>
          <w:sz w:val="24"/>
          <w:szCs w:val="24"/>
        </w:rPr>
        <w:t xml:space="preserve"> is the model intercept; </w:t>
      </w:r>
      <w:r w:rsidR="0012044A" w:rsidRPr="00DA09F2">
        <w:rPr>
          <w:rFonts w:ascii="Times New Roman" w:eastAsiaTheme="minorEastAsia" w:hAnsi="Times New Roman" w:cs="Times New Roman"/>
          <w:i/>
          <w:iCs/>
          <w:sz w:val="24"/>
          <w:szCs w:val="24"/>
        </w:rPr>
        <w:t>B</w:t>
      </w:r>
      <w:r w:rsidR="0012044A">
        <w:rPr>
          <w:rFonts w:ascii="Times New Roman" w:eastAsiaTheme="minorEastAsia" w:hAnsi="Times New Roman" w:cs="Times New Roman"/>
          <w:sz w:val="24"/>
          <w:szCs w:val="24"/>
        </w:rPr>
        <w:t xml:space="preserve"> denotes backward shift operator;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m:t>
            </m:r>
          </m:sub>
        </m:sSub>
      </m:oMath>
      <w:r w:rsidR="0012044A">
        <w:rPr>
          <w:rFonts w:ascii="Times New Roman" w:eastAsiaTheme="minorEastAsia" w:hAnsi="Times New Roman" w:cs="Times New Roman"/>
          <w:sz w:val="24"/>
          <w:szCs w:val="24"/>
        </w:rPr>
        <w:t xml:space="preserve"> represents the error term;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oMath>
      <w:r w:rsidR="0012044A">
        <w:rPr>
          <w:rFonts w:ascii="Times New Roman" w:eastAsiaTheme="minorEastAsia" w:hAnsi="Times New Roman" w:cs="Times New Roman"/>
          <w:sz w:val="24"/>
          <w:szCs w:val="24"/>
        </w:rPr>
        <w:t xml:space="preserve"> denote auto regressive (AR) coefficients;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oMath>
      <w:r w:rsidR="0012044A">
        <w:rPr>
          <w:rFonts w:ascii="Times New Roman" w:eastAsiaTheme="minorEastAsia" w:hAnsi="Times New Roman" w:cs="Times New Roman"/>
          <w:sz w:val="24"/>
          <w:szCs w:val="24"/>
        </w:rPr>
        <w:t xml:space="preserve"> represent Moving Average (MA) coefficients. The ARMA model is effective for capturing linear dependencies under the assumptions of stationarity, linearity, and independence of errors.</w:t>
      </w:r>
    </w:p>
    <w:p w14:paraId="1D4B34FC" w14:textId="251DF4CF" w:rsidR="001F509C" w:rsidRPr="006305BF" w:rsidRDefault="00C2081D" w:rsidP="001F509C">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2.6.2 </w:t>
      </w:r>
      <w:r w:rsidR="001F509C">
        <w:rPr>
          <w:rFonts w:ascii="Times New Roman" w:eastAsiaTheme="minorEastAsia" w:hAnsi="Times New Roman" w:cs="Times New Roman"/>
          <w:b/>
          <w:bCs/>
          <w:sz w:val="24"/>
          <w:szCs w:val="24"/>
        </w:rPr>
        <w:t>Autoregressive Conditional Heteroscedastic (</w:t>
      </w:r>
      <w:r w:rsidR="001F509C" w:rsidRPr="006305BF">
        <w:rPr>
          <w:rFonts w:ascii="Times New Roman" w:eastAsiaTheme="minorEastAsia" w:hAnsi="Times New Roman" w:cs="Times New Roman"/>
          <w:b/>
          <w:bCs/>
          <w:sz w:val="24"/>
          <w:szCs w:val="24"/>
        </w:rPr>
        <w:t>ARCH</w:t>
      </w:r>
      <w:r w:rsidR="001F509C">
        <w:rPr>
          <w:rFonts w:ascii="Times New Roman" w:eastAsiaTheme="minorEastAsia" w:hAnsi="Times New Roman" w:cs="Times New Roman"/>
          <w:b/>
          <w:bCs/>
          <w:sz w:val="24"/>
          <w:szCs w:val="24"/>
        </w:rPr>
        <w:t>)</w:t>
      </w:r>
      <w:r w:rsidR="001F509C" w:rsidRPr="006305BF">
        <w:rPr>
          <w:rFonts w:ascii="Times New Roman" w:eastAsiaTheme="minorEastAsia" w:hAnsi="Times New Roman" w:cs="Times New Roman"/>
          <w:b/>
          <w:bCs/>
          <w:sz w:val="24"/>
          <w:szCs w:val="24"/>
        </w:rPr>
        <w:t xml:space="preserve"> Model</w:t>
      </w:r>
    </w:p>
    <w:p w14:paraId="5B75049C" w14:textId="77777777" w:rsidR="001F509C" w:rsidRDefault="001F509C" w:rsidP="001F509C">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ARCH model for the series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characterized by defining the conditional distribution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given the information available up to time (t-1), denoted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59"/>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 xml:space="preserve">. The ARCH model for the series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can be expressed 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59"/>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~N(0,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h</m:t>
                </m:r>
              </m:e>
            </m:rad>
          </m:e>
          <m:sub>
            <m:r>
              <w:rPr>
                <w:rFonts w:ascii="Cambria Math" w:eastAsiaTheme="minorEastAsia" w:hAnsi="Cambria Math" w:cs="Times New Roman"/>
                <w:sz w:val="24"/>
                <w:szCs w:val="24"/>
              </w:rPr>
              <m:t>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conditional variance,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identically and independently distributed (iid) innovations with zero mean and unit variance. The conditional variance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19"/>
      </w:tblGrid>
      <w:tr w:rsidR="001F509C" w:rsidRPr="00D808CE" w14:paraId="231BBBE1" w14:textId="77777777" w:rsidTr="007F2D97">
        <w:tc>
          <w:tcPr>
            <w:tcW w:w="7797" w:type="dxa"/>
          </w:tcPr>
          <w:p w14:paraId="333EBE2C" w14:textId="77777777" w:rsidR="001F509C" w:rsidRPr="00D808CE" w:rsidRDefault="007126CD" w:rsidP="007F2D97">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t</m:t>
                    </m:r>
                  </m:sub>
                </m:sSub>
                <m:r>
                  <w:rPr>
                    <w:rFonts w:ascii="Cambria Math" w:eastAsiaTheme="minorEastAsia" w:hAnsi="Cambria Math" w:cs="Times New Roman"/>
                  </w:rPr>
                  <m:t>=ω+</m:t>
                </m:r>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q</m:t>
                    </m: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i</m:t>
                        </m:r>
                      </m:sub>
                    </m:sSub>
                    <m:sSubSup>
                      <m:sSubSupPr>
                        <m:ctrlPr>
                          <w:rPr>
                            <w:rFonts w:ascii="Cambria Math" w:eastAsiaTheme="minorEastAsia" w:hAnsi="Cambria Math" w:cs="Times New Roman"/>
                            <w:i/>
                          </w:rPr>
                        </m:ctrlPr>
                      </m:sSubSupPr>
                      <m:e>
                        <m:r>
                          <w:rPr>
                            <w:rFonts w:ascii="Cambria Math" w:eastAsiaTheme="minorEastAsia" w:hAnsi="Cambria Math" w:cs="Times New Roman"/>
                          </w:rPr>
                          <m:t>ε</m:t>
                        </m:r>
                      </m:e>
                      <m:sub>
                        <m:r>
                          <w:rPr>
                            <w:rFonts w:ascii="Cambria Math" w:eastAsiaTheme="minorEastAsia" w:hAnsi="Cambria Math" w:cs="Times New Roman"/>
                          </w:rPr>
                          <m:t>t-i</m:t>
                        </m:r>
                      </m:sub>
                      <m:sup>
                        <m:r>
                          <w:rPr>
                            <w:rFonts w:ascii="Cambria Math" w:eastAsiaTheme="minorEastAsia" w:hAnsi="Cambria Math" w:cs="Times New Roman"/>
                          </w:rPr>
                          <m:t>2</m:t>
                        </m:r>
                      </m:sup>
                    </m:sSubSup>
                  </m:e>
                </m:nary>
              </m:oMath>
            </m:oMathPara>
          </w:p>
        </w:tc>
        <w:tc>
          <w:tcPr>
            <w:tcW w:w="1219" w:type="dxa"/>
          </w:tcPr>
          <w:p w14:paraId="09126E3C" w14:textId="33A7A2D6" w:rsidR="001F509C" w:rsidRPr="00D808CE" w:rsidRDefault="001F509C" w:rsidP="007F2D97">
            <w:pPr>
              <w:spacing w:line="360" w:lineRule="auto"/>
              <w:jc w:val="both"/>
              <w:rPr>
                <w:rFonts w:ascii="Times New Roman" w:eastAsiaTheme="minorEastAsia" w:hAnsi="Times New Roman" w:cs="Times New Roman"/>
              </w:rPr>
            </w:pPr>
            <w:r w:rsidRPr="00D808CE">
              <w:rPr>
                <w:rFonts w:ascii="Times New Roman" w:eastAsiaTheme="minorEastAsia" w:hAnsi="Times New Roman" w:cs="Times New Roman"/>
              </w:rPr>
              <w:t xml:space="preserve"> </w:t>
            </w:r>
          </w:p>
        </w:tc>
      </w:tr>
    </w:tbl>
    <w:p w14:paraId="275259C9" w14:textId="7A037689" w:rsidR="001F509C" w:rsidRDefault="001F509C"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conditions of </w:t>
      </w:r>
      <w:r w:rsidRPr="00250062">
        <w:rPr>
          <w:rFonts w:ascii="Times New Roman" w:eastAsiaTheme="minorEastAsia" w:hAnsi="Times New Roman" w:cs="Times New Roman"/>
          <w:i/>
          <w:iCs/>
          <w:sz w:val="24"/>
          <w:szCs w:val="24"/>
        </w:rPr>
        <w:t>ω</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xml:space="preserve">&gt; 0,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1"/>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≥0 </m:t>
        </m:r>
        <m:r>
          <m:rPr>
            <m:sty m:val="p"/>
          </m:rPr>
          <w:rPr>
            <w:rFonts w:ascii="Cambria Math" w:eastAsiaTheme="minorEastAsia" w:hAnsi="Cambria Math" w:cs="Times New Roman"/>
            <w:sz w:val="24"/>
            <w:szCs w:val="24"/>
          </w:rPr>
          <m:t>for all</m:t>
        </m:r>
        <m:r>
          <w:rPr>
            <w:rFonts w:ascii="Cambria Math" w:eastAsiaTheme="minorEastAsia" w:hAnsi="Cambria Math" w:cs="Times New Roman"/>
            <w:sz w:val="24"/>
            <w:szCs w:val="24"/>
          </w:rPr>
          <m:t xml:space="preserve"> i</m:t>
        </m:r>
      </m:oMath>
      <w:r>
        <w:rPr>
          <w:rFonts w:ascii="Times New Roman" w:eastAsiaTheme="minorEastAsia" w:hAnsi="Times New Roman" w:cs="Times New Roman"/>
          <w:sz w:val="24"/>
          <w:szCs w:val="24"/>
        </w:rPr>
        <w:t xml:space="preserve"> and </w:t>
      </w:r>
      <m:oMath>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&lt;1</m:t>
            </m:r>
          </m:e>
        </m:nary>
      </m:oMath>
      <w:r>
        <w:rPr>
          <w:rFonts w:ascii="Times New Roman" w:eastAsiaTheme="minorEastAsia" w:hAnsi="Times New Roman" w:cs="Times New Roman"/>
          <w:sz w:val="24"/>
          <w:szCs w:val="24"/>
        </w:rPr>
        <w:t xml:space="preserve"> are necessary and sufficient to guarantee non-negativity and a finite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1"/>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denotes the coefficients indicating the impact of past shocks on the current volatility.</w:t>
      </w:r>
    </w:p>
    <w:p w14:paraId="53B880EF" w14:textId="0A3056BE" w:rsidR="001F509C" w:rsidRPr="00DE2379" w:rsidRDefault="00C2081D" w:rsidP="001F509C">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2.6.3 </w:t>
      </w:r>
      <w:r w:rsidR="001F509C">
        <w:rPr>
          <w:rFonts w:ascii="Times New Roman" w:eastAsiaTheme="minorEastAsia" w:hAnsi="Times New Roman" w:cs="Times New Roman"/>
          <w:b/>
          <w:bCs/>
          <w:sz w:val="24"/>
          <w:szCs w:val="24"/>
        </w:rPr>
        <w:t>Generalized Autoregressive Conditional Heteroscedastic</w:t>
      </w:r>
      <w:r w:rsidR="001F509C" w:rsidRPr="00DE2379">
        <w:rPr>
          <w:rFonts w:ascii="Times New Roman" w:eastAsiaTheme="minorEastAsia" w:hAnsi="Times New Roman" w:cs="Times New Roman"/>
          <w:b/>
          <w:bCs/>
          <w:sz w:val="24"/>
          <w:szCs w:val="24"/>
        </w:rPr>
        <w:t xml:space="preserve"> </w:t>
      </w:r>
      <w:r w:rsidR="001F509C">
        <w:rPr>
          <w:rFonts w:ascii="Times New Roman" w:eastAsiaTheme="minorEastAsia" w:hAnsi="Times New Roman" w:cs="Times New Roman"/>
          <w:b/>
          <w:bCs/>
          <w:sz w:val="24"/>
          <w:szCs w:val="24"/>
        </w:rPr>
        <w:t>(</w:t>
      </w:r>
      <w:r w:rsidR="001F509C" w:rsidRPr="00DE2379">
        <w:rPr>
          <w:rFonts w:ascii="Times New Roman" w:eastAsiaTheme="minorEastAsia" w:hAnsi="Times New Roman" w:cs="Times New Roman"/>
          <w:b/>
          <w:bCs/>
          <w:sz w:val="24"/>
          <w:szCs w:val="24"/>
        </w:rPr>
        <w:t>GARCH</w:t>
      </w:r>
      <w:r w:rsidR="001F509C">
        <w:rPr>
          <w:rFonts w:ascii="Times New Roman" w:eastAsiaTheme="minorEastAsia" w:hAnsi="Times New Roman" w:cs="Times New Roman"/>
          <w:b/>
          <w:bCs/>
          <w:sz w:val="24"/>
          <w:szCs w:val="24"/>
        </w:rPr>
        <w:t>)</w:t>
      </w:r>
      <w:r w:rsidR="001F509C" w:rsidRPr="00DE2379">
        <w:rPr>
          <w:rFonts w:ascii="Times New Roman" w:eastAsiaTheme="minorEastAsia" w:hAnsi="Times New Roman" w:cs="Times New Roman"/>
          <w:b/>
          <w:bCs/>
          <w:sz w:val="24"/>
          <w:szCs w:val="24"/>
        </w:rPr>
        <w:t xml:space="preserve"> Model</w:t>
      </w:r>
    </w:p>
    <w:p w14:paraId="6837359A" w14:textId="77777777" w:rsidR="001F509C" w:rsidRDefault="001F509C" w:rsidP="001F509C">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response to certain shortcomings of the ARCH model, such as the rapid decay of the unconditional autocorrelation function of squared residuals, non-parsimony etc., the GARCH model has been introduced. The conditional variance equation of GARCH model is represented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19"/>
      </w:tblGrid>
      <w:tr w:rsidR="001F509C" w:rsidRPr="00D808CE" w14:paraId="7C399E85" w14:textId="77777777" w:rsidTr="007F2D97">
        <w:tc>
          <w:tcPr>
            <w:tcW w:w="7797" w:type="dxa"/>
          </w:tcPr>
          <w:p w14:paraId="29103A8D" w14:textId="77777777" w:rsidR="001F509C" w:rsidRPr="00D808CE" w:rsidRDefault="007126CD" w:rsidP="007F2D97">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t</m:t>
                    </m:r>
                  </m:sub>
                </m:sSub>
                <m:r>
                  <w:rPr>
                    <w:rFonts w:ascii="Cambria Math" w:eastAsiaTheme="minorEastAsia" w:hAnsi="Cambria Math" w:cs="Times New Roman"/>
                  </w:rPr>
                  <m:t>=ω+</m:t>
                </m:r>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q</m:t>
                    </m: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i</m:t>
                        </m:r>
                      </m:sub>
                    </m:sSub>
                    <m:sSubSup>
                      <m:sSubSupPr>
                        <m:ctrlPr>
                          <w:rPr>
                            <w:rFonts w:ascii="Cambria Math" w:eastAsiaTheme="minorEastAsia" w:hAnsi="Cambria Math" w:cs="Times New Roman"/>
                            <w:i/>
                          </w:rPr>
                        </m:ctrlPr>
                      </m:sSubSupPr>
                      <m:e>
                        <m:r>
                          <w:rPr>
                            <w:rFonts w:ascii="Cambria Math" w:eastAsiaTheme="minorEastAsia" w:hAnsi="Cambria Math" w:cs="Times New Roman"/>
                          </w:rPr>
                          <m:t>ε</m:t>
                        </m:r>
                      </m:e>
                      <m:sub>
                        <m:r>
                          <w:rPr>
                            <w:rFonts w:ascii="Cambria Math" w:eastAsiaTheme="minorEastAsia" w:hAnsi="Cambria Math" w:cs="Times New Roman"/>
                          </w:rPr>
                          <m:t>t-i</m:t>
                        </m:r>
                      </m:sub>
                      <m:sup>
                        <m:r>
                          <w:rPr>
                            <w:rFonts w:ascii="Cambria Math" w:eastAsiaTheme="minorEastAsia" w:hAnsi="Cambria Math" w:cs="Times New Roman"/>
                          </w:rPr>
                          <m:t>2</m:t>
                        </m:r>
                      </m:sup>
                    </m:sSubSup>
                    <m:r>
                      <w:rPr>
                        <w:rFonts w:ascii="Cambria Math" w:eastAsiaTheme="minorEastAsia" w:hAnsi="Cambria Math" w:cs="Times New Roman"/>
                      </w:rPr>
                      <m:t>+</m:t>
                    </m:r>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p</m:t>
                        </m: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j</m:t>
                            </m:r>
                          </m:sub>
                        </m:sSub>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t-j</m:t>
                            </m:r>
                          </m:sub>
                        </m:sSub>
                      </m:e>
                    </m:nary>
                  </m:e>
                </m:nary>
              </m:oMath>
            </m:oMathPara>
          </w:p>
        </w:tc>
        <w:tc>
          <w:tcPr>
            <w:tcW w:w="1219" w:type="dxa"/>
          </w:tcPr>
          <w:p w14:paraId="6EA2F262" w14:textId="019CA95A" w:rsidR="001F509C" w:rsidRPr="00D808CE" w:rsidRDefault="001F509C" w:rsidP="007F2D97">
            <w:pPr>
              <w:spacing w:line="360" w:lineRule="auto"/>
              <w:jc w:val="both"/>
              <w:rPr>
                <w:rFonts w:ascii="Times New Roman" w:eastAsiaTheme="minorEastAsia" w:hAnsi="Times New Roman" w:cs="Times New Roman"/>
              </w:rPr>
            </w:pPr>
            <w:r w:rsidRPr="00D808CE">
              <w:rPr>
                <w:rFonts w:ascii="Times New Roman" w:eastAsiaTheme="minorEastAsia" w:hAnsi="Times New Roman" w:cs="Times New Roman"/>
              </w:rPr>
              <w:t xml:space="preserve"> </w:t>
            </w:r>
          </w:p>
        </w:tc>
      </w:tr>
    </w:tbl>
    <w:p w14:paraId="1665A004" w14:textId="49835D83" w:rsidR="001F509C" w:rsidRDefault="001F509C"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 xml:space="preserve">ω&gt;0,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≥0 </m:t>
        </m:r>
        <m:r>
          <m:rPr>
            <m:sty m:val="p"/>
          </m:rPr>
          <w:rPr>
            <w:rFonts w:ascii="Cambria Math" w:eastAsiaTheme="minorEastAsia" w:hAnsi="Cambria Math" w:cs="Times New Roman"/>
            <w:sz w:val="24"/>
            <w:szCs w:val="24"/>
          </w:rPr>
          <m:t>for all</m:t>
        </m:r>
        <m:r>
          <w:rPr>
            <w:rFonts w:ascii="Cambria Math" w:eastAsiaTheme="minorEastAsia" w:hAnsi="Cambria Math" w:cs="Times New Roman"/>
            <w:sz w:val="24"/>
            <w:szCs w:val="24"/>
          </w:rPr>
          <m:t xml:space="preserve"> i,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 xml:space="preserve">≥0 </m:t>
        </m:r>
        <m:r>
          <m:rPr>
            <m:sty m:val="p"/>
          </m:rPr>
          <w:rPr>
            <w:rFonts w:ascii="Cambria Math" w:eastAsiaTheme="minorEastAsia" w:hAnsi="Cambria Math" w:cs="Times New Roman"/>
            <w:sz w:val="24"/>
            <w:szCs w:val="24"/>
          </w:rPr>
          <m:t>for all</m:t>
        </m:r>
        <m:r>
          <w:rPr>
            <w:rFonts w:ascii="Cambria Math" w:eastAsiaTheme="minorEastAsia" w:hAnsi="Cambria Math" w:cs="Times New Roman"/>
            <w:sz w:val="24"/>
            <w:szCs w:val="24"/>
          </w:rPr>
          <m:t xml:space="preserve"> j.</m:t>
        </m:r>
      </m:oMath>
      <w:r>
        <w:rPr>
          <w:rFonts w:ascii="Times New Roman" w:eastAsiaTheme="minorEastAsia" w:hAnsi="Times New Roman" w:cs="Times New Roman"/>
          <w:sz w:val="24"/>
          <w:szCs w:val="24"/>
        </w:rPr>
        <w:t xml:space="preserve"> 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 xml:space="preserve"> denotes the coefficients indicating the impact of past volatilities on the current volatility.</w:t>
      </w:r>
    </w:p>
    <w:p w14:paraId="25478D8F"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2.7 </w:t>
      </w:r>
      <w:r w:rsidRPr="00F13A6D">
        <w:rPr>
          <w:rFonts w:ascii="Times New Roman" w:eastAsiaTheme="minorEastAsia" w:hAnsi="Times New Roman" w:cs="Times New Roman"/>
          <w:b/>
          <w:bCs/>
          <w:sz w:val="24"/>
          <w:szCs w:val="24"/>
        </w:rPr>
        <w:t>Asymmetric GARCH-type of Models</w:t>
      </w:r>
    </w:p>
    <w:p w14:paraId="450E7CBE" w14:textId="213C99F7" w:rsidR="0012044A" w:rsidRDefault="00C805E0" w:rsidP="0012044A">
      <w:pPr>
        <w:spacing w:line="360" w:lineRule="auto"/>
        <w:jc w:val="both"/>
        <w:rPr>
          <w:rFonts w:ascii="Times New Roman" w:eastAsiaTheme="minorEastAsia" w:hAnsi="Times New Roman" w:cs="Times New Roman"/>
          <w:sz w:val="24"/>
          <w:szCs w:val="24"/>
        </w:rPr>
      </w:pPr>
      <w:r w:rsidRPr="00C805E0">
        <w:rPr>
          <w:rFonts w:ascii="Times New Roman" w:eastAsiaTheme="minorEastAsia" w:hAnsi="Times New Roman" w:cs="Times New Roman"/>
          <w:sz w:val="24"/>
          <w:szCs w:val="24"/>
        </w:rPr>
        <w:t>The GARCH models do not take into account the sign of shocks that affects the degree of volatility; instead, they merely take into account the dependence of volatility on the magnitude of external shocks</w:t>
      </w:r>
      <w:r w:rsidR="0012044A">
        <w:rPr>
          <w:rFonts w:ascii="Times New Roman" w:eastAsiaTheme="minorEastAsia" w:hAnsi="Times New Roman" w:cs="Times New Roman"/>
          <w:sz w:val="24"/>
          <w:szCs w:val="24"/>
        </w:rPr>
        <w:t xml:space="preserve">. </w:t>
      </w:r>
      <w:r w:rsidRPr="00C805E0">
        <w:rPr>
          <w:rFonts w:ascii="Times New Roman" w:eastAsiaTheme="minorEastAsia" w:hAnsi="Times New Roman" w:cs="Times New Roman"/>
          <w:sz w:val="24"/>
          <w:szCs w:val="24"/>
        </w:rPr>
        <w:t>The GARCH model becomes a symmetric model as a result of these features</w:t>
      </w:r>
      <w:r w:rsidR="001204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Several</w:t>
      </w:r>
      <w:r w:rsidR="0012044A">
        <w:rPr>
          <w:rFonts w:ascii="Times New Roman" w:eastAsiaTheme="minorEastAsia" w:hAnsi="Times New Roman" w:cs="Times New Roman"/>
          <w:sz w:val="24"/>
          <w:szCs w:val="24"/>
        </w:rPr>
        <w:t xml:space="preserve"> asymmetric GARCH-types of models have evolved</w:t>
      </w:r>
      <w:r w:rsidRPr="00C805E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to capture the asymmetric volatility of any time series, </w:t>
      </w:r>
      <w:r w:rsidR="0012044A">
        <w:rPr>
          <w:rFonts w:ascii="Times New Roman" w:eastAsiaTheme="minorEastAsia" w:hAnsi="Times New Roman" w:cs="Times New Roman"/>
          <w:sz w:val="24"/>
          <w:szCs w:val="24"/>
        </w:rPr>
        <w:t>nam</w:t>
      </w:r>
      <w:r>
        <w:rPr>
          <w:rFonts w:ascii="Times New Roman" w:eastAsiaTheme="minorEastAsia" w:hAnsi="Times New Roman" w:cs="Times New Roman"/>
          <w:sz w:val="24"/>
          <w:szCs w:val="24"/>
        </w:rPr>
        <w:t>ing as</w:t>
      </w:r>
      <w:r w:rsidR="0012044A">
        <w:rPr>
          <w:rFonts w:ascii="Times New Roman" w:eastAsiaTheme="minorEastAsia" w:hAnsi="Times New Roman" w:cs="Times New Roman"/>
          <w:sz w:val="24"/>
          <w:szCs w:val="24"/>
        </w:rPr>
        <w:t xml:space="preserve"> EGARCH, GJR-GARCH and APARCH models. </w:t>
      </w:r>
      <w:r w:rsidR="00AB5A80" w:rsidRPr="00AB5A80">
        <w:rPr>
          <w:rFonts w:ascii="Times New Roman" w:eastAsiaTheme="minorEastAsia" w:hAnsi="Times New Roman" w:cs="Times New Roman"/>
          <w:sz w:val="24"/>
          <w:szCs w:val="24"/>
        </w:rPr>
        <w:t>In applications, the GARCH (1,1) model has been the most widely used GARCH model.</w:t>
      </w:r>
    </w:p>
    <w:p w14:paraId="57D45E0A"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2.7.1 </w:t>
      </w:r>
      <w:r w:rsidRPr="00D75B4F">
        <w:rPr>
          <w:rFonts w:ascii="Times New Roman" w:eastAsiaTheme="minorEastAsia" w:hAnsi="Times New Roman" w:cs="Times New Roman"/>
          <w:b/>
          <w:bCs/>
          <w:sz w:val="24"/>
          <w:szCs w:val="24"/>
        </w:rPr>
        <w:t>Exponential GARCH (EGARCH) Models</w:t>
      </w:r>
    </w:p>
    <w:p w14:paraId="318D7EC4" w14:textId="77777777" w:rsidR="00552C81" w:rsidRPr="00552C81" w:rsidRDefault="00552C81" w:rsidP="00552C81">
      <w:pPr>
        <w:spacing w:line="360" w:lineRule="auto"/>
        <w:jc w:val="both"/>
        <w:rPr>
          <w:rFonts w:ascii="Times New Roman" w:hAnsi="Times New Roman" w:cs="Times New Roman"/>
          <w:sz w:val="24"/>
          <w:szCs w:val="24"/>
        </w:rPr>
      </w:pPr>
      <w:r w:rsidRPr="00552C81">
        <w:rPr>
          <w:rFonts w:ascii="Times New Roman" w:hAnsi="Times New Roman" w:cs="Times New Roman"/>
          <w:sz w:val="24"/>
          <w:szCs w:val="24"/>
        </w:rPr>
        <w:t>By describing the conditional variance in terms of the logarithm function, Nelson (1991) presented the EGARCH model. In addition to addressing the asymmetric volatility, this model's primary advantage over the GARCH model is that it does not put any restrictions on the model's parameters because the conditional variance is always positive. The EGARCH model's conditional variance is described as</w:t>
      </w:r>
    </w:p>
    <w:p w14:paraId="7078A498" w14:textId="77777777" w:rsidR="0012044A" w:rsidRPr="00165DBD" w:rsidRDefault="0012044A" w:rsidP="0012044A">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=ω+</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t-j</m:t>
                      </m:r>
                    </m:sub>
                  </m:sSub>
                </m:e>
              </m:d>
              <m:r>
                <w:rPr>
                  <w:rFonts w:ascii="Cambria Math" w:eastAsiaTheme="minorEastAsia" w:hAnsi="Cambria Math" w:cs="Times New Roman"/>
                  <w:sz w:val="24"/>
                  <w:szCs w:val="24"/>
                </w:rPr>
                <m:t>+</m:t>
              </m:r>
            </m:e>
          </m:nary>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t-i</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e>
                          </m:rad>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7"/>
                      </m:r>
                    </m:e>
                    <m:sub>
                      <m:r>
                        <w:rPr>
                          <w:rFonts w:ascii="Cambria Math" w:eastAsiaTheme="minorEastAsia" w:hAnsi="Cambria Math" w:cs="Times New Roman"/>
                          <w:sz w:val="24"/>
                          <w:szCs w:val="24"/>
                        </w:rPr>
                        <m:t>i</m:t>
                      </m:r>
                    </m:sub>
                  </m:sSub>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t-i</m:t>
                              </m:r>
                            </m:sub>
                          </m:sSub>
                        </m:e>
                      </m:rad>
                    </m:den>
                  </m:f>
                </m:e>
              </m:d>
            </m:e>
          </m:nary>
          <m:r>
            <w:rPr>
              <w:rFonts w:ascii="Cambria Math" w:eastAsiaTheme="minorEastAsia" w:hAnsi="Cambria Math" w:cs="Times New Roman"/>
              <w:sz w:val="24"/>
              <w:szCs w:val="24"/>
            </w:rPr>
            <m:t>.</m:t>
          </m:r>
        </m:oMath>
      </m:oMathPara>
    </w:p>
    <w:p w14:paraId="5F4F4BAF"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parameter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7"/>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represents the asymmetric factor, capturing external shocks.</w:t>
      </w:r>
    </w:p>
    <w:p w14:paraId="00176B25"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For EGARCH (1,1) model the conditional variances</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reduces to</w:t>
      </w:r>
    </w:p>
    <w:p w14:paraId="1D761381" w14:textId="77777777" w:rsidR="0012044A" w:rsidRPr="00836D37" w:rsidRDefault="0012044A" w:rsidP="0012044A">
      <w:pPr>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)=ω+</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ln⁡</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e>
                      </m:rad>
                    </m:den>
                  </m:f>
                </m:e>
              </m:d>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num>
                <m:den>
                  <m:rad>
                    <m:radPr>
                      <m:degHide m:val="1"/>
                      <m:ctrlPr>
                        <w:rPr>
                          <w:rFonts w:ascii="Cambria Math" w:eastAsiaTheme="minorEastAsia" w:hAnsi="Cambria Math" w:cs="Times New Roman"/>
                          <w:i/>
                          <w:sz w:val="24"/>
                          <w:szCs w:val="24"/>
                        </w:rPr>
                      </m:ctrlPr>
                    </m:radPr>
                    <m:deg/>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e>
                  </m:rad>
                </m:den>
              </m:f>
            </m:e>
          </m:d>
        </m:oMath>
      </m:oMathPara>
    </w:p>
    <w:p w14:paraId="15280579"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2.7.2 </w:t>
      </w:r>
      <w:r w:rsidRPr="00836D37">
        <w:rPr>
          <w:rFonts w:ascii="Times New Roman" w:eastAsiaTheme="minorEastAsia" w:hAnsi="Times New Roman" w:cs="Times New Roman"/>
          <w:b/>
          <w:bCs/>
          <w:sz w:val="24"/>
          <w:szCs w:val="24"/>
        </w:rPr>
        <w:t>GJR-GARCH Model</w:t>
      </w:r>
    </w:p>
    <w:p w14:paraId="3B66A05D"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GJR-GARCH model incorporates the effect of the previous periods squared error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on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adjusting for the sign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 xml:space="preserve">. This is achieved through an indicator variable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 xml:space="preserve">, which equals to 1 when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oMath>
      <w:r>
        <w:rPr>
          <w:rFonts w:ascii="Times New Roman" w:eastAsiaTheme="minorEastAsia" w:hAnsi="Times New Roman" w:cs="Times New Roman"/>
          <w:sz w:val="24"/>
          <w:szCs w:val="24"/>
        </w:rPr>
        <w:t>&lt;0 otherwise 0. The GJR-GARCH model is expressed as:</w:t>
      </w:r>
    </w:p>
    <w:p w14:paraId="6B22EC78" w14:textId="77777777" w:rsidR="0012044A" w:rsidRPr="009F59CB" w:rsidRDefault="007126CD" w:rsidP="0012044A">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=ω+</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j</m:t>
                </m:r>
              </m:sub>
            </m:sSub>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t-j</m:t>
            </m:r>
          </m:sub>
        </m:sSub>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t-1</m:t>
            </m:r>
          </m:sub>
        </m:sSub>
      </m:oMath>
      <w:r w:rsidR="0012044A">
        <w:rPr>
          <w:rFonts w:ascii="Times New Roman" w:eastAsiaTheme="minorEastAsia" w:hAnsi="Times New Roman" w:cs="Times New Roman"/>
          <w:sz w:val="24"/>
          <w:szCs w:val="24"/>
        </w:rPr>
        <w:t>,</w:t>
      </w:r>
    </w:p>
    <w:p w14:paraId="35D6ABE2"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Pr>
          <w:rFonts w:ascii="Times New Roman" w:eastAsiaTheme="minorEastAsia" w:hAnsi="Times New Roman" w:cs="Times New Roman"/>
          <w:sz w:val="24"/>
          <w:szCs w:val="24"/>
        </w:rPr>
        <w:sym w:font="Symbol" w:char="F067"/>
      </w:r>
      <w:r>
        <w:rPr>
          <w:rFonts w:ascii="Times New Roman" w:eastAsiaTheme="minorEastAsia" w:hAnsi="Times New Roman" w:cs="Times New Roman"/>
          <w:sz w:val="24"/>
          <w:szCs w:val="24"/>
        </w:rPr>
        <w:t xml:space="preserve"> (-1&lt;</w:t>
      </w:r>
      <w:r>
        <w:rPr>
          <w:rFonts w:ascii="Times New Roman" w:eastAsiaTheme="minorEastAsia" w:hAnsi="Times New Roman" w:cs="Times New Roman"/>
          <w:sz w:val="24"/>
          <w:szCs w:val="24"/>
        </w:rPr>
        <w:sym w:font="Symbol" w:char="F067"/>
      </w:r>
      <w:r>
        <w:rPr>
          <w:rFonts w:ascii="Times New Roman" w:eastAsiaTheme="minorEastAsia" w:hAnsi="Times New Roman" w:cs="Times New Roman"/>
          <w:sz w:val="24"/>
          <w:szCs w:val="24"/>
        </w:rPr>
        <w:t xml:space="preserve">&lt;1) represents the asymmetric parameter. For GJR-GARCH (1,1) model,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simplifies to:</w:t>
      </w:r>
    </w:p>
    <w:p w14:paraId="078CD359" w14:textId="77777777" w:rsidR="0012044A" w:rsidRPr="00BC27F4" w:rsidRDefault="007126CD" w:rsidP="0012044A">
      <w:pPr>
        <w:spacing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=ω+</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t-1</m:t>
              </m:r>
            </m:sub>
          </m:sSub>
        </m:oMath>
      </m:oMathPara>
    </w:p>
    <w:p w14:paraId="25425EBE"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2.7.3 </w:t>
      </w:r>
      <w:r w:rsidRPr="00622F5B">
        <w:rPr>
          <w:rFonts w:ascii="Times New Roman" w:eastAsiaTheme="minorEastAsia" w:hAnsi="Times New Roman" w:cs="Times New Roman"/>
          <w:b/>
          <w:bCs/>
          <w:sz w:val="24"/>
          <w:szCs w:val="24"/>
        </w:rPr>
        <w:t>APARCH Model</w:t>
      </w:r>
    </w:p>
    <w:p w14:paraId="7E39629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APARCH model introduces asymmetric power into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defined as:</w:t>
      </w:r>
    </w:p>
    <w:p w14:paraId="7A88CE5D" w14:textId="77777777" w:rsidR="0012044A" w:rsidRPr="00B256F7" w:rsidRDefault="007126CD" w:rsidP="0012044A">
      <w:pPr>
        <w:spacing w:line="36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=ω+</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p</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j</m:t>
                  </m:r>
                </m:sub>
              </m:sSub>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t-j</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q</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e>
          </m:nary>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t-i</m:t>
                          </m:r>
                        </m:sub>
                      </m:sSub>
                    </m:e>
                  </m:d>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t-i</m:t>
                      </m:r>
                    </m:sub>
                  </m:sSub>
                </m:e>
              </m:d>
            </m:e>
            <m:sup>
              <m:r>
                <w:rPr>
                  <w:rFonts w:ascii="Cambria Math" w:eastAsiaTheme="minorEastAsia" w:hAnsi="Cambria Math" w:cs="Times New Roman"/>
                  <w:i/>
                  <w:sz w:val="24"/>
                  <w:szCs w:val="24"/>
                </w:rPr>
                <w:sym w:font="Symbol" w:char="F064"/>
              </m:r>
            </m:sup>
          </m:sSup>
        </m:oMath>
      </m:oMathPara>
    </w:p>
    <w:p w14:paraId="6D61C1F0" w14:textId="3ED326FD"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Here, </w:t>
      </w:r>
      <w:r w:rsidRPr="00962799">
        <w:rPr>
          <w:rFonts w:ascii="Times New Roman" w:eastAsiaTheme="minorEastAsia" w:hAnsi="Times New Roman" w:cs="Times New Roman"/>
          <w:i/>
          <w:iCs/>
          <w:sz w:val="24"/>
          <w:szCs w:val="24"/>
        </w:rPr>
        <w:sym w:font="Symbol" w:char="F067"/>
      </w:r>
      <w:r>
        <w:rPr>
          <w:rFonts w:ascii="Times New Roman" w:eastAsiaTheme="minorEastAsia" w:hAnsi="Times New Roman" w:cs="Times New Roman"/>
          <w:sz w:val="24"/>
          <w:szCs w:val="24"/>
        </w:rPr>
        <w:t xml:space="preserve"> denotes the asymmetric factor, and </w:t>
      </w:r>
      <w:r w:rsidRPr="003529CA">
        <w:rPr>
          <w:rFonts w:ascii="Times New Roman" w:eastAsiaTheme="minorEastAsia" w:hAnsi="Times New Roman" w:cs="Times New Roman"/>
          <w:i/>
          <w:iCs/>
          <w:sz w:val="24"/>
          <w:szCs w:val="24"/>
        </w:rPr>
        <w:sym w:font="Symbol" w:char="F064"/>
      </w:r>
      <w:r>
        <w:rPr>
          <w:rFonts w:ascii="Times New Roman" w:eastAsiaTheme="minorEastAsia" w:hAnsi="Times New Roman" w:cs="Times New Roman"/>
          <w:sz w:val="24"/>
          <w:szCs w:val="24"/>
        </w:rPr>
        <w:t xml:space="preserve"> (&gt;0) represents the power term</w:t>
      </w:r>
      <w:r w:rsidR="00A64994">
        <w:rPr>
          <w:rFonts w:ascii="Times New Roman" w:eastAsiaTheme="minorEastAsia" w:hAnsi="Times New Roman" w:cs="Times New Roman"/>
          <w:sz w:val="24"/>
          <w:szCs w:val="24"/>
        </w:rPr>
        <w:t>’s</w:t>
      </w:r>
      <w:r w:rsidR="00A64994" w:rsidRPr="00A64994">
        <w:rPr>
          <w:rFonts w:ascii="Times New Roman" w:eastAsiaTheme="minorEastAsia" w:hAnsi="Times New Roman" w:cs="Times New Roman"/>
          <w:sz w:val="24"/>
          <w:szCs w:val="24"/>
        </w:rPr>
        <w:t xml:space="preserve"> </w:t>
      </w:r>
      <w:r w:rsidR="00A64994">
        <w:rPr>
          <w:rFonts w:ascii="Times New Roman" w:eastAsiaTheme="minorEastAsia" w:hAnsi="Times New Roman" w:cs="Times New Roman"/>
          <w:sz w:val="24"/>
          <w:szCs w:val="24"/>
        </w:rPr>
        <w:t>parameter</w:t>
      </w:r>
      <w:r>
        <w:rPr>
          <w:rFonts w:ascii="Times New Roman" w:eastAsiaTheme="minorEastAsia" w:hAnsi="Times New Roman" w:cs="Times New Roman"/>
          <w:sz w:val="24"/>
          <w:szCs w:val="24"/>
        </w:rPr>
        <w:t xml:space="preserve">. </w:t>
      </w:r>
      <w:r w:rsidR="00A64994">
        <w:rPr>
          <w:rFonts w:ascii="Times New Roman" w:eastAsiaTheme="minorEastAsia" w:hAnsi="Times New Roman" w:cs="Times New Roman"/>
          <w:sz w:val="24"/>
          <w:szCs w:val="24"/>
        </w:rPr>
        <w:t>F</w:t>
      </w:r>
      <w:r>
        <w:rPr>
          <w:rFonts w:ascii="Times New Roman" w:eastAsiaTheme="minorEastAsia" w:hAnsi="Times New Roman" w:cs="Times New Roman"/>
          <w:sz w:val="24"/>
          <w:szCs w:val="24"/>
        </w:rPr>
        <w:t>or various GARCH-type models</w:t>
      </w:r>
      <w:r w:rsidR="00A64994">
        <w:rPr>
          <w:rFonts w:ascii="Times New Roman" w:eastAsiaTheme="minorEastAsia" w:hAnsi="Times New Roman" w:cs="Times New Roman"/>
          <w:sz w:val="24"/>
          <w:szCs w:val="24"/>
        </w:rPr>
        <w:t>, APARCH model provides a flexible framework</w:t>
      </w:r>
      <w:r>
        <w:rPr>
          <w:rFonts w:ascii="Times New Roman" w:eastAsiaTheme="minorEastAsia" w:hAnsi="Times New Roman" w:cs="Times New Roman"/>
          <w:sz w:val="24"/>
          <w:szCs w:val="24"/>
        </w:rPr>
        <w:t xml:space="preserve">. </w:t>
      </w:r>
      <w:r w:rsidR="00C67C47">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ifferent orders of GARCH models can be represented within the APARCH structure</w:t>
      </w:r>
      <w:r w:rsidR="00C67C47">
        <w:rPr>
          <w:rFonts w:ascii="Times New Roman" w:eastAsiaTheme="minorEastAsia" w:hAnsi="Times New Roman" w:cs="Times New Roman"/>
          <w:sz w:val="24"/>
          <w:szCs w:val="24"/>
        </w:rPr>
        <w:t xml:space="preserve"> through assigning particular parameter values</w:t>
      </w:r>
      <w:r w:rsidR="00A649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Specifically, </w:t>
      </w:r>
      <w:r w:rsidRPr="00962799">
        <w:rPr>
          <w:rFonts w:ascii="Times New Roman" w:eastAsiaTheme="minorEastAsia" w:hAnsi="Times New Roman" w:cs="Times New Roman"/>
          <w:i/>
          <w:iCs/>
          <w:sz w:val="24"/>
          <w:szCs w:val="24"/>
        </w:rPr>
        <w:sym w:font="Symbol" w:char="F064"/>
      </w:r>
      <w:r>
        <w:rPr>
          <w:rFonts w:ascii="Times New Roman" w:eastAsiaTheme="minorEastAsia" w:hAnsi="Times New Roman" w:cs="Times New Roman"/>
          <w:sz w:val="24"/>
          <w:szCs w:val="24"/>
        </w:rPr>
        <w:t xml:space="preserve">=2 and </w:t>
      </w:r>
      <w:r w:rsidRPr="00962799">
        <w:rPr>
          <w:rFonts w:ascii="Times New Roman" w:eastAsiaTheme="minorEastAsia" w:hAnsi="Times New Roman" w:cs="Times New Roman"/>
          <w:i/>
          <w:iCs/>
          <w:sz w:val="24"/>
          <w:szCs w:val="24"/>
        </w:rPr>
        <w:sym w:font="Symbol" w:char="F067"/>
      </w:r>
      <w:r>
        <w:rPr>
          <w:rFonts w:ascii="Times New Roman" w:eastAsiaTheme="minorEastAsia" w:hAnsi="Times New Roman" w:cs="Times New Roman"/>
          <w:sz w:val="24"/>
          <w:szCs w:val="24"/>
        </w:rPr>
        <w:t xml:space="preserve">=0, makes the APARCH model equivalent to the standard GARCH model. </w:t>
      </w:r>
      <w:r w:rsidR="00A028F4" w:rsidRPr="00A028F4">
        <w:rPr>
          <w:rFonts w:ascii="Times New Roman" w:eastAsiaTheme="minorEastAsia" w:hAnsi="Times New Roman" w:cs="Times New Roman"/>
          <w:sz w:val="24"/>
          <w:szCs w:val="24"/>
        </w:rPr>
        <w:t>The conditional variance for an APARCH (1,1) model can be reduced to:</w:t>
      </w:r>
    </w:p>
    <w:p w14:paraId="5A5A13A4" w14:textId="77777777" w:rsidR="0012044A" w:rsidRDefault="007126CD" w:rsidP="0012044A">
      <w:pPr>
        <w:spacing w:line="36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=ω+</m:t>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t-1</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i/>
                      <w:sz w:val="24"/>
                      <w:szCs w:val="24"/>
                    </w:rPr>
                    <w:sym w:font="Symbol" w:char="F064"/>
                  </m:r>
                </m:num>
                <m:den>
                  <m:r>
                    <w:rPr>
                      <w:rFonts w:ascii="Cambria Math" w:eastAsiaTheme="minorEastAsia" w:hAnsi="Cambria Math" w:cs="Times New Roman"/>
                      <w:sz w:val="24"/>
                      <w:szCs w:val="24"/>
                    </w:rPr>
                    <m:t>2</m:t>
                  </m:r>
                </m:den>
              </m:f>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e>
                  </m:d>
                  <m:r>
                    <w:rPr>
                      <w:rFonts w:ascii="Cambria Math" w:eastAsiaTheme="minorEastAsia" w:hAnsi="Cambria Math" w:cs="Times New Roman"/>
                      <w:sz w:val="24"/>
                      <w:szCs w:val="24"/>
                    </w:rPr>
                    <m:t>-</m:t>
                  </m:r>
                  <m:r>
                    <w:rPr>
                      <w:rFonts w:ascii="Cambria Math" w:eastAsiaTheme="minorEastAsia" w:hAnsi="Cambria Math" w:cs="Times New Roman"/>
                      <w:i/>
                      <w:sz w:val="24"/>
                      <w:szCs w:val="24"/>
                    </w:rPr>
                    <w:sym w:font="Symbol" w:char="F067"/>
                  </m:r>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5"/>
                      </m:r>
                    </m:e>
                    <m:sub>
                      <m:r>
                        <w:rPr>
                          <w:rFonts w:ascii="Cambria Math" w:eastAsiaTheme="minorEastAsia" w:hAnsi="Cambria Math" w:cs="Times New Roman"/>
                          <w:sz w:val="24"/>
                          <w:szCs w:val="24"/>
                        </w:rPr>
                        <m:t>t-1</m:t>
                      </m:r>
                    </m:sub>
                  </m:sSub>
                </m:e>
              </m:d>
            </m:e>
            <m:sup>
              <m:r>
                <w:rPr>
                  <w:rFonts w:ascii="Cambria Math" w:eastAsiaTheme="minorEastAsia" w:hAnsi="Cambria Math" w:cs="Times New Roman"/>
                  <w:i/>
                  <w:sz w:val="24"/>
                  <w:szCs w:val="24"/>
                </w:rPr>
                <w:sym w:font="Symbol" w:char="F064"/>
              </m:r>
            </m:sup>
          </m:sSup>
        </m:oMath>
      </m:oMathPara>
    </w:p>
    <w:p w14:paraId="4CB0535E"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2.8 </w:t>
      </w:r>
      <w:r w:rsidRPr="001A4814">
        <w:rPr>
          <w:rFonts w:ascii="Times New Roman" w:eastAsiaTheme="minorEastAsia" w:hAnsi="Times New Roman" w:cs="Times New Roman"/>
          <w:b/>
          <w:bCs/>
          <w:sz w:val="24"/>
          <w:szCs w:val="24"/>
        </w:rPr>
        <w:t>ARMA-GARCH type models</w:t>
      </w:r>
    </w:p>
    <w:p w14:paraId="0869EC7B" w14:textId="71C06322" w:rsidR="002F5A33"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ARMA-GARCH type models integrate ARMA for capturing linear dynamics and various GARCH models (e.g., GARCH, EGARCH, GJR-GARCH, and APARCH) to address volatility clustering. The ARMA component accounts for linear behaviour in the first stage, thereby leaving nonlinear components in the residuals. If serial correlation, heteroscedasticity and non-</w:t>
      </w:r>
      <w:r>
        <w:rPr>
          <w:rFonts w:ascii="Times New Roman" w:eastAsiaTheme="minorEastAsia" w:hAnsi="Times New Roman" w:cs="Times New Roman"/>
          <w:sz w:val="24"/>
          <w:szCs w:val="24"/>
        </w:rPr>
        <w:lastRenderedPageBreak/>
        <w:t xml:space="preserve">linear </w:t>
      </w:r>
      <w:r w:rsidRPr="00852011">
        <w:rPr>
          <w:rFonts w:ascii="Times New Roman" w:eastAsiaTheme="minorEastAsia" w:hAnsi="Times New Roman" w:cs="Times New Roman"/>
          <w:sz w:val="24"/>
          <w:szCs w:val="24"/>
        </w:rPr>
        <w:t xml:space="preserve">dependence are recognised in the residuals based upon the results of the Ljung-Box test, ARCH-LM test and BDS test, respectively, the residuals are then subjugated to a GARCH model. GARCH is employed to model these residual patterns predominantly, thereby capturing both mean and volatility dynamics effectively. This approach </w:t>
      </w:r>
      <w:r w:rsidR="001F509C" w:rsidRPr="00852011">
        <w:rPr>
          <w:rFonts w:ascii="Times New Roman" w:eastAsiaTheme="minorEastAsia" w:hAnsi="Times New Roman" w:cs="Times New Roman"/>
          <w:sz w:val="24"/>
          <w:szCs w:val="24"/>
        </w:rPr>
        <w:t>makes</w:t>
      </w:r>
      <w:r w:rsidRPr="00852011">
        <w:rPr>
          <w:rFonts w:ascii="Times New Roman" w:eastAsiaTheme="minorEastAsia" w:hAnsi="Times New Roman" w:cs="Times New Roman"/>
          <w:sz w:val="24"/>
          <w:szCs w:val="24"/>
        </w:rPr>
        <w:t xml:space="preserve"> sure a thorough analysis of both linear and nonlinear components in the data</w:t>
      </w:r>
      <w:r>
        <w:rPr>
          <w:rFonts w:ascii="Times New Roman" w:eastAsiaTheme="minorEastAsia" w:hAnsi="Times New Roman" w:cs="Times New Roman"/>
          <w:sz w:val="24"/>
          <w:szCs w:val="24"/>
        </w:rPr>
        <w:t>, enhancing the overall modelling accuracy and robustness.</w:t>
      </w:r>
    </w:p>
    <w:p w14:paraId="4595096B" w14:textId="2C3F032F"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schematic representation of ARMA-GARCH type model is illustrated in Fig-1</w:t>
      </w:r>
    </w:p>
    <w:p w14:paraId="019716DB" w14:textId="77777777" w:rsidR="0012044A" w:rsidRDefault="0012044A" w:rsidP="0012044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7B0B766C" wp14:editId="01CAF517">
            <wp:extent cx="5418992" cy="1927860"/>
            <wp:effectExtent l="38100" t="0" r="10795" b="0"/>
            <wp:docPr id="89981383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2CB0EEC" w14:textId="7CA7F148" w:rsidR="00456807" w:rsidRPr="00C2081D" w:rsidRDefault="0012044A" w:rsidP="00C2081D">
      <w:pPr>
        <w:spacing w:line="360" w:lineRule="auto"/>
        <w:jc w:val="center"/>
        <w:rPr>
          <w:rFonts w:ascii="Times New Roman" w:eastAsiaTheme="minorEastAsia" w:hAnsi="Times New Roman" w:cs="Times New Roman"/>
          <w:sz w:val="24"/>
          <w:szCs w:val="24"/>
        </w:rPr>
      </w:pPr>
      <w:r w:rsidRPr="009A5BFC">
        <w:rPr>
          <w:rFonts w:ascii="Times New Roman" w:eastAsiaTheme="minorEastAsia" w:hAnsi="Times New Roman" w:cs="Times New Roman"/>
          <w:b/>
          <w:bCs/>
          <w:sz w:val="24"/>
          <w:szCs w:val="24"/>
        </w:rPr>
        <w:t>Fig. 1:</w:t>
      </w:r>
      <w:r>
        <w:rPr>
          <w:rFonts w:ascii="Times New Roman" w:eastAsiaTheme="minorEastAsia" w:hAnsi="Times New Roman" w:cs="Times New Roman"/>
          <w:sz w:val="24"/>
          <w:szCs w:val="24"/>
        </w:rPr>
        <w:t xml:space="preserve"> ARMA-GARCH type model</w:t>
      </w:r>
    </w:p>
    <w:p w14:paraId="70BB075F" w14:textId="37062BCC"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2.9 </w:t>
      </w:r>
      <w:r w:rsidRPr="00E920E4">
        <w:rPr>
          <w:rFonts w:ascii="Times New Roman" w:eastAsiaTheme="minorEastAsia" w:hAnsi="Times New Roman" w:cs="Times New Roman"/>
          <w:b/>
          <w:bCs/>
          <w:sz w:val="24"/>
          <w:szCs w:val="24"/>
        </w:rPr>
        <w:t>Forecast evaluation</w:t>
      </w:r>
      <w:r>
        <w:rPr>
          <w:rFonts w:ascii="Times New Roman" w:eastAsiaTheme="minorEastAsia" w:hAnsi="Times New Roman" w:cs="Times New Roman"/>
          <w:b/>
          <w:bCs/>
          <w:sz w:val="24"/>
          <w:szCs w:val="24"/>
        </w:rPr>
        <w:t xml:space="preserve"> and model evaluation criteria</w:t>
      </w:r>
    </w:p>
    <w:p w14:paraId="5216C008" w14:textId="77777777" w:rsidR="0012044A" w:rsidRDefault="0012044A" w:rsidP="0012044A">
      <w:pPr>
        <w:spacing w:line="360" w:lineRule="auto"/>
        <w:jc w:val="both"/>
        <w:rPr>
          <w:rFonts w:ascii="Times New Roman" w:eastAsiaTheme="minorEastAsia" w:hAnsi="Times New Roman" w:cs="Times New Roman"/>
          <w:sz w:val="24"/>
          <w:szCs w:val="24"/>
        </w:rPr>
      </w:pPr>
      <w:r w:rsidRPr="00E920E4">
        <w:rPr>
          <w:rFonts w:ascii="Times New Roman" w:eastAsiaTheme="minorEastAsia" w:hAnsi="Times New Roman" w:cs="Times New Roman"/>
          <w:sz w:val="24"/>
          <w:szCs w:val="24"/>
        </w:rPr>
        <w:t xml:space="preserve">Time series data can be </w:t>
      </w:r>
      <w:proofErr w:type="spellStart"/>
      <w:r>
        <w:rPr>
          <w:rFonts w:ascii="Times New Roman" w:eastAsiaTheme="minorEastAsia" w:hAnsi="Times New Roman" w:cs="Times New Roman"/>
          <w:sz w:val="24"/>
          <w:szCs w:val="24"/>
        </w:rPr>
        <w:t>analyzed</w:t>
      </w:r>
      <w:proofErr w:type="spellEnd"/>
      <w:r>
        <w:rPr>
          <w:rFonts w:ascii="Times New Roman" w:eastAsiaTheme="minorEastAsia" w:hAnsi="Times New Roman" w:cs="Times New Roman"/>
          <w:sz w:val="24"/>
          <w:szCs w:val="24"/>
        </w:rPr>
        <w:t xml:space="preserve"> by fitting various models, with the most suitable model selected based on forecast evaluation criteria. The forecasting accuracy of the chosen model is then assessed using a test dataset.</w:t>
      </w:r>
    </w:p>
    <w:p w14:paraId="4DD1E685" w14:textId="77777777" w:rsidR="0012044A" w:rsidRDefault="0012044A" w:rsidP="0012044A">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2.9.1 </w:t>
      </w:r>
      <w:r w:rsidRPr="00E920E4">
        <w:rPr>
          <w:rFonts w:ascii="Times New Roman" w:eastAsiaTheme="minorEastAsia" w:hAnsi="Times New Roman" w:cs="Times New Roman"/>
          <w:b/>
          <w:bCs/>
          <w:sz w:val="24"/>
          <w:szCs w:val="24"/>
        </w:rPr>
        <w:t>Error metrices</w:t>
      </w:r>
    </w:p>
    <w:p w14:paraId="08856093" w14:textId="77777777" w:rsidR="0012044A" w:rsidRDefault="0012044A" w:rsidP="0012044A">
      <w:pPr>
        <w:pStyle w:val="ListParagraph"/>
        <w:numPr>
          <w:ilvl w:val="0"/>
          <w:numId w:val="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Root mean square error (RMSE)</w:t>
      </w:r>
    </w:p>
    <w:p w14:paraId="7FD69C39" w14:textId="2397A0C6" w:rsidR="0012044A" w:rsidRPr="0046327C" w:rsidRDefault="0012044A" w:rsidP="0012044A">
      <w:pPr>
        <w:spacing w:line="360" w:lineRule="auto"/>
        <w:rPr>
          <w:rFonts w:ascii="Times New Roman" w:eastAsiaTheme="minorEastAsia" w:hAnsi="Times New Roman" w:cs="Times New Roman"/>
          <w:sz w:val="24"/>
          <w:szCs w:val="24"/>
        </w:rPr>
      </w:pPr>
      <w:r w:rsidRPr="0046327C">
        <w:rPr>
          <w:rFonts w:ascii="Times New Roman" w:eastAsiaTheme="minorEastAsia" w:hAnsi="Times New Roman" w:cs="Times New Roman"/>
          <w:sz w:val="24"/>
          <w:szCs w:val="24"/>
        </w:rPr>
        <w:t xml:space="preserve">Consider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Pr="0046327C">
        <w:rPr>
          <w:rFonts w:ascii="Times New Roman" w:eastAsiaTheme="minorEastAsia" w:hAnsi="Times New Roman" w:cs="Times New Roman"/>
          <w:sz w:val="24"/>
          <w:szCs w:val="24"/>
        </w:rPr>
        <w:t xml:space="preserve"> as the observed value </w:t>
      </w:r>
      <w:r w:rsidR="005F184C">
        <w:rPr>
          <w:rFonts w:ascii="Times New Roman" w:eastAsiaTheme="minorEastAsia" w:hAnsi="Times New Roman" w:cs="Times New Roman"/>
          <w:sz w:val="24"/>
          <w:szCs w:val="24"/>
        </w:rPr>
        <w:t>for</w:t>
      </w:r>
      <w:r w:rsidRPr="0046327C">
        <w:rPr>
          <w:rFonts w:ascii="Times New Roman" w:eastAsiaTheme="minorEastAsia" w:hAnsi="Times New Roman" w:cs="Times New Roman"/>
          <w:sz w:val="24"/>
          <w:szCs w:val="24"/>
        </w:rPr>
        <w:t xml:space="preserve"> time series at time </w:t>
      </w:r>
      <w:r w:rsidRPr="0046327C">
        <w:rPr>
          <w:rFonts w:ascii="Times New Roman" w:eastAsiaTheme="minorEastAsia" w:hAnsi="Times New Roman" w:cs="Times New Roman"/>
          <w:i/>
          <w:iCs/>
          <w:sz w:val="24"/>
          <w:szCs w:val="24"/>
        </w:rPr>
        <w:t>t</w:t>
      </w:r>
      <w:r w:rsidRPr="0046327C">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e>
          <m:sub>
            <m:r>
              <w:rPr>
                <w:rFonts w:ascii="Cambria Math" w:eastAsiaTheme="minorEastAsia" w:hAnsi="Cambria Math" w:cs="Times New Roman"/>
                <w:sz w:val="24"/>
                <w:szCs w:val="24"/>
              </w:rPr>
              <m:t>t</m:t>
            </m:r>
          </m:sub>
        </m:sSub>
      </m:oMath>
      <w:r w:rsidRPr="0046327C">
        <w:rPr>
          <w:rFonts w:ascii="Times New Roman" w:eastAsiaTheme="minorEastAsia" w:hAnsi="Times New Roman" w:cs="Times New Roman"/>
          <w:sz w:val="24"/>
          <w:szCs w:val="24"/>
        </w:rPr>
        <w:t xml:space="preserve"> as the fitted value of a time series </w:t>
      </w:r>
      <w:r w:rsidRPr="0046327C">
        <w:rPr>
          <w:rFonts w:ascii="Times New Roman" w:eastAsiaTheme="minorEastAsia" w:hAnsi="Times New Roman" w:cs="Times New Roman"/>
          <w:i/>
          <w:iCs/>
          <w:sz w:val="24"/>
          <w:szCs w:val="24"/>
        </w:rPr>
        <w:t>t</w:t>
      </w:r>
      <w:r w:rsidRPr="0046327C">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46327C">
        <w:rPr>
          <w:rFonts w:ascii="Times New Roman" w:eastAsiaTheme="minorEastAsia" w:hAnsi="Times New Roman" w:cs="Times New Roman"/>
          <w:sz w:val="24"/>
          <w:szCs w:val="24"/>
        </w:rPr>
        <w:t>2, 3,</w:t>
      </w:r>
      <w:r>
        <w:rPr>
          <w:rFonts w:ascii="Times New Roman" w:eastAsiaTheme="minorEastAsia" w:hAnsi="Times New Roman" w:cs="Times New Roman"/>
          <w:sz w:val="24"/>
          <w:szCs w:val="24"/>
        </w:rPr>
        <w:t xml:space="preserve"> </w:t>
      </w:r>
      <w:r w:rsidRPr="004632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46327C">
        <w:rPr>
          <w:rFonts w:ascii="Times New Roman" w:eastAsiaTheme="minorEastAsia" w:hAnsi="Times New Roman" w:cs="Times New Roman"/>
          <w:i/>
          <w:iCs/>
          <w:sz w:val="24"/>
          <w:szCs w:val="24"/>
        </w:rPr>
        <w:t>n</w:t>
      </w:r>
      <w:r w:rsidRPr="0046327C">
        <w:rPr>
          <w:rFonts w:ascii="Times New Roman" w:eastAsiaTheme="minorEastAsia" w:hAnsi="Times New Roman" w:cs="Times New Roman"/>
          <w:sz w:val="24"/>
          <w:szCs w:val="24"/>
        </w:rPr>
        <w:t xml:space="preserve">, where, </w:t>
      </w:r>
      <w:r w:rsidRPr="0046327C">
        <w:rPr>
          <w:rFonts w:ascii="Times New Roman" w:eastAsiaTheme="minorEastAsia" w:hAnsi="Times New Roman" w:cs="Times New Roman"/>
          <w:i/>
          <w:iCs/>
          <w:sz w:val="24"/>
          <w:szCs w:val="24"/>
        </w:rPr>
        <w:t>n</w:t>
      </w:r>
      <w:r w:rsidRPr="0046327C">
        <w:rPr>
          <w:rFonts w:ascii="Times New Roman" w:eastAsiaTheme="minorEastAsia" w:hAnsi="Times New Roman" w:cs="Times New Roman"/>
          <w:sz w:val="24"/>
          <w:szCs w:val="24"/>
        </w:rPr>
        <w:t xml:space="preserve"> is the forecast horizon. The RMSE defined </w:t>
      </w:r>
      <w:r w:rsidR="005F184C">
        <w:rPr>
          <w:rFonts w:ascii="Times New Roman" w:eastAsiaTheme="minorEastAsia" w:hAnsi="Times New Roman" w:cs="Times New Roman"/>
          <w:sz w:val="24"/>
          <w:szCs w:val="24"/>
        </w:rPr>
        <w:t>in the role of</w:t>
      </w:r>
      <w:r w:rsidRPr="0046327C">
        <w:rPr>
          <w:rFonts w:ascii="Times New Roman" w:eastAsiaTheme="minorEastAsia" w:hAnsi="Times New Roman" w:cs="Times New Roman"/>
          <w:sz w:val="24"/>
          <w:szCs w:val="24"/>
        </w:rPr>
        <w:t xml:space="preserve"> positive square root of the mean squared error, calculated as</w:t>
      </w:r>
    </w:p>
    <w:p w14:paraId="67343915" w14:textId="77777777" w:rsidR="0012044A" w:rsidRPr="00171597" w:rsidRDefault="0012044A" w:rsidP="0012044A">
      <w:pPr>
        <w:pStyle w:val="ListParagraph"/>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RMSE=</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acc>
                        </m:e>
                      </m:d>
                    </m:e>
                    <m:sup>
                      <m:r>
                        <w:rPr>
                          <w:rFonts w:ascii="Cambria Math" w:eastAsiaTheme="minorEastAsia" w:hAnsi="Cambria Math" w:cs="Times New Roman"/>
                          <w:sz w:val="24"/>
                          <w:szCs w:val="24"/>
                        </w:rPr>
                        <m:t>2</m:t>
                      </m:r>
                    </m:sup>
                  </m:sSup>
                </m:e>
              </m:nary>
            </m:e>
          </m:rad>
        </m:oMath>
      </m:oMathPara>
    </w:p>
    <w:p w14:paraId="597EB691" w14:textId="77777777" w:rsidR="0012044A" w:rsidRDefault="0012044A" w:rsidP="0012044A">
      <w:pPr>
        <w:pStyle w:val="ListParagraph"/>
        <w:numPr>
          <w:ilvl w:val="0"/>
          <w:numId w:val="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absolute error (MAE)</w:t>
      </w:r>
    </w:p>
    <w:p w14:paraId="6D2EADA4" w14:textId="77777777" w:rsidR="0012044A" w:rsidRPr="0046327C" w:rsidRDefault="0012044A" w:rsidP="0012044A">
      <w:pPr>
        <w:spacing w:line="360" w:lineRule="auto"/>
        <w:jc w:val="both"/>
        <w:rPr>
          <w:rFonts w:ascii="Times New Roman" w:eastAsiaTheme="minorEastAsia" w:hAnsi="Times New Roman" w:cs="Times New Roman"/>
          <w:sz w:val="24"/>
          <w:szCs w:val="24"/>
        </w:rPr>
      </w:pPr>
      <w:r w:rsidRPr="0046327C">
        <w:rPr>
          <w:rFonts w:ascii="Times New Roman" w:eastAsiaTheme="minorEastAsia" w:hAnsi="Times New Roman" w:cs="Times New Roman"/>
          <w:sz w:val="24"/>
          <w:szCs w:val="24"/>
        </w:rPr>
        <w:t>The MAE is derived by converting each error to a positive value using absolute values, then calculating the average of these absolute values. The MAE is computed as:</w:t>
      </w:r>
    </w:p>
    <w:p w14:paraId="32C86C08" w14:textId="77777777" w:rsidR="0012044A" w:rsidRPr="00171597" w:rsidRDefault="0012044A" w:rsidP="0012044A">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MAE=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acc>
                </m:e>
              </m:d>
            </m:e>
          </m:nary>
        </m:oMath>
      </m:oMathPara>
    </w:p>
    <w:p w14:paraId="4DE547B2" w14:textId="77777777" w:rsidR="0012044A" w:rsidRDefault="0012044A" w:rsidP="0012044A">
      <w:pPr>
        <w:pStyle w:val="ListParagraph"/>
        <w:numPr>
          <w:ilvl w:val="0"/>
          <w:numId w:val="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absolute percentage error (MAPE)</w:t>
      </w:r>
    </w:p>
    <w:p w14:paraId="6FFC5ADE" w14:textId="77777777" w:rsidR="0012044A" w:rsidRPr="0046327C" w:rsidRDefault="0012044A" w:rsidP="0012044A">
      <w:pPr>
        <w:spacing w:line="360" w:lineRule="auto"/>
        <w:jc w:val="both"/>
        <w:rPr>
          <w:rFonts w:ascii="Times New Roman" w:eastAsiaTheme="minorEastAsia" w:hAnsi="Times New Roman" w:cs="Times New Roman"/>
          <w:sz w:val="24"/>
          <w:szCs w:val="24"/>
        </w:rPr>
      </w:pPr>
      <w:r w:rsidRPr="0046327C">
        <w:rPr>
          <w:rFonts w:ascii="Times New Roman" w:eastAsiaTheme="minorEastAsia" w:hAnsi="Times New Roman" w:cs="Times New Roman"/>
          <w:sz w:val="24"/>
          <w:szCs w:val="24"/>
        </w:rPr>
        <w:t>The MAPE is represented as a percentage and is calculated by averaging the relative absolute errors. MAPE is determined as:</w:t>
      </w:r>
    </w:p>
    <w:p w14:paraId="3F36E35F" w14:textId="77777777" w:rsidR="0012044A" w:rsidRPr="0046327C" w:rsidRDefault="0012044A" w:rsidP="0012044A">
      <w:pPr>
        <w:pStyle w:val="ListParagraph"/>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MAPE=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e>
                      </m:acc>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den>
                  </m:f>
                </m:e>
              </m:d>
              <m:r>
                <w:rPr>
                  <w:rFonts w:ascii="Cambria Math" w:eastAsiaTheme="minorEastAsia" w:hAnsi="Cambria Math" w:cs="Times New Roman"/>
                  <w:sz w:val="24"/>
                  <w:szCs w:val="24"/>
                </w:rPr>
                <m:t>*100</m:t>
              </m:r>
            </m:e>
          </m:nary>
        </m:oMath>
      </m:oMathPara>
    </w:p>
    <w:p w14:paraId="37BD7C91"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model that achieves the lowest values for RMSE, MAE and MAPE is regarded as the best fit.</w:t>
      </w:r>
    </w:p>
    <w:p w14:paraId="7B60A455"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2.9.2 </w:t>
      </w:r>
      <w:r w:rsidRPr="00A167D7">
        <w:rPr>
          <w:rFonts w:ascii="Times New Roman" w:eastAsiaTheme="minorEastAsia" w:hAnsi="Times New Roman" w:cs="Times New Roman"/>
          <w:b/>
          <w:bCs/>
          <w:sz w:val="24"/>
          <w:szCs w:val="24"/>
        </w:rPr>
        <w:t>Minimum information criteria</w:t>
      </w:r>
    </w:p>
    <w:p w14:paraId="458D5308"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Akaike’s Information Criteria (AIC), Bayesian Information Criteria (BIC) and Hannan-Quinn Criterion are useful criteria in model selection,</w:t>
      </w:r>
    </w:p>
    <w:p w14:paraId="59B72103"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AIC is estimated by:</w:t>
      </w:r>
    </w:p>
    <w:p w14:paraId="617A5863" w14:textId="77777777" w:rsidR="0012044A" w:rsidRDefault="0012044A" w:rsidP="0012044A">
      <w:pPr>
        <w:spacing w:after="12" w:line="360" w:lineRule="auto"/>
        <w:ind w:right="34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AIC=-2ln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+2m</m:t>
          </m:r>
        </m:oMath>
      </m:oMathPara>
    </w:p>
    <w:p w14:paraId="2D9DC82D"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Similarly,</w:t>
      </w:r>
    </w:p>
    <w:p w14:paraId="191523A4"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BIC can be estimated by</w:t>
      </w:r>
    </w:p>
    <w:p w14:paraId="5B051462" w14:textId="77777777" w:rsidR="0012044A" w:rsidRDefault="0012044A" w:rsidP="0012044A">
      <w:pPr>
        <w:spacing w:after="12" w:line="360" w:lineRule="auto"/>
        <w:ind w:right="3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BIC = </w:t>
      </w:r>
      <m:oMath>
        <m:r>
          <w:rPr>
            <w:rFonts w:ascii="Cambria Math" w:eastAsiaTheme="minorEastAsia" w:hAnsi="Cambria Math" w:cs="Times New Roman"/>
            <w:sz w:val="24"/>
            <w:szCs w:val="24"/>
          </w:rPr>
          <m:t>-2ln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+mln(n)</m:t>
        </m:r>
      </m:oMath>
    </w:p>
    <w:p w14:paraId="6CEBCA37" w14:textId="77777777" w:rsidR="0012044A"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HQC can be estimated by</w:t>
      </w:r>
    </w:p>
    <w:p w14:paraId="2CB99F49" w14:textId="77777777" w:rsidR="0012044A" w:rsidRPr="006676B9" w:rsidRDefault="0012044A" w:rsidP="0012044A">
      <w:pPr>
        <w:spacing w:after="12" w:line="360" w:lineRule="auto"/>
        <w:ind w:right="34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HQC=-2ln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+2mln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e>
        </m:d>
      </m:oMath>
      <w:r>
        <w:rPr>
          <w:rFonts w:ascii="Times New Roman" w:eastAsiaTheme="minorEastAsia" w:hAnsi="Times New Roman" w:cs="Times New Roman"/>
          <w:sz w:val="24"/>
          <w:szCs w:val="24"/>
        </w:rPr>
        <w:t>,</w:t>
      </w:r>
    </w:p>
    <w:p w14:paraId="68207E5F" w14:textId="77777777" w:rsidR="0012044A" w:rsidRPr="00A1472F" w:rsidRDefault="0012044A" w:rsidP="0012044A">
      <w:pPr>
        <w:spacing w:after="12" w:line="360" w:lineRule="auto"/>
        <w:ind w:right="3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6676B9">
        <w:rPr>
          <w:rFonts w:ascii="Times New Roman" w:eastAsiaTheme="minorEastAsia" w:hAnsi="Times New Roman" w:cs="Times New Roman"/>
          <w:i/>
          <w:iCs/>
          <w:sz w:val="24"/>
          <w:szCs w:val="24"/>
        </w:rPr>
        <w:t>m</w:t>
      </w:r>
      <w:r>
        <w:rPr>
          <w:rFonts w:ascii="Times New Roman" w:eastAsiaTheme="minorEastAsia" w:hAnsi="Times New Roman" w:cs="Times New Roman"/>
          <w:sz w:val="24"/>
          <w:szCs w:val="24"/>
        </w:rPr>
        <w:t xml:space="preserve"> = number of parameters to be estimated in the model and </w:t>
      </w:r>
      <w:r w:rsidRPr="006676B9">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 is the likelihood function derived from the model and </w:t>
      </w:r>
      <w:r w:rsidRPr="006676B9">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xml:space="preserve"> is the total number of observations.</w:t>
      </w:r>
    </w:p>
    <w:p w14:paraId="419CEDF6"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3C61BBFA"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C7535D9"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79F7903"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0BF21DE4"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62717756"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35FC1155"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2231C3B8"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6A2E3B83"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3008D0E0" w14:textId="77777777" w:rsidR="002F5A33" w:rsidRDefault="002F5A33" w:rsidP="0012044A">
      <w:pPr>
        <w:pStyle w:val="ListParagraph"/>
        <w:spacing w:line="360" w:lineRule="auto"/>
        <w:ind w:left="0"/>
        <w:jc w:val="both"/>
        <w:rPr>
          <w:rFonts w:ascii="Times New Roman" w:eastAsiaTheme="minorEastAsia" w:hAnsi="Times New Roman" w:cs="Times New Roman"/>
          <w:b/>
          <w:bCs/>
          <w:sz w:val="24"/>
          <w:szCs w:val="24"/>
        </w:rPr>
      </w:pPr>
    </w:p>
    <w:p w14:paraId="231A5D7C" w14:textId="77777777" w:rsidR="00C2081D" w:rsidRDefault="00C2081D" w:rsidP="0012044A">
      <w:pPr>
        <w:pStyle w:val="ListParagraph"/>
        <w:spacing w:line="360" w:lineRule="auto"/>
        <w:ind w:left="0"/>
        <w:jc w:val="both"/>
        <w:rPr>
          <w:rFonts w:ascii="Times New Roman" w:eastAsiaTheme="minorEastAsia" w:hAnsi="Times New Roman" w:cs="Times New Roman"/>
          <w:b/>
          <w:bCs/>
          <w:sz w:val="24"/>
          <w:szCs w:val="24"/>
        </w:rPr>
      </w:pPr>
    </w:p>
    <w:p w14:paraId="3F721B25" w14:textId="3F836D6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3. </w:t>
      </w:r>
      <w:r w:rsidRPr="00541B75">
        <w:rPr>
          <w:rFonts w:ascii="Times New Roman" w:eastAsiaTheme="minorEastAsia" w:hAnsi="Times New Roman" w:cs="Times New Roman"/>
          <w:b/>
          <w:bCs/>
          <w:sz w:val="24"/>
          <w:szCs w:val="24"/>
        </w:rPr>
        <w:t>Results and Discussion</w:t>
      </w:r>
    </w:p>
    <w:p w14:paraId="1C1F12F1" w14:textId="45813138" w:rsidR="00456807"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Table 1</w:t>
      </w:r>
      <w:r w:rsidR="000C2FED">
        <w:rPr>
          <w:rFonts w:ascii="Times New Roman" w:eastAsiaTheme="minorEastAsia" w:hAnsi="Times New Roman" w:cs="Times New Roman"/>
          <w:sz w:val="24"/>
          <w:szCs w:val="24"/>
        </w:rPr>
        <w:t xml:space="preserve"> provides descriptive statistics of the price series</w:t>
      </w:r>
      <w:r>
        <w:rPr>
          <w:rFonts w:ascii="Times New Roman" w:eastAsiaTheme="minorEastAsia" w:hAnsi="Times New Roman" w:cs="Times New Roman"/>
          <w:sz w:val="24"/>
          <w:szCs w:val="24"/>
        </w:rPr>
        <w:t>.</w:t>
      </w:r>
      <w:r w:rsidR="00337076">
        <w:rPr>
          <w:rFonts w:ascii="Times New Roman" w:eastAsiaTheme="minorEastAsia" w:hAnsi="Times New Roman" w:cs="Times New Roman"/>
          <w:sz w:val="24"/>
          <w:szCs w:val="24"/>
        </w:rPr>
        <w:t xml:space="preserve"> In this case</w:t>
      </w:r>
      <w:r>
        <w:rPr>
          <w:rFonts w:ascii="Times New Roman" w:eastAsiaTheme="minorEastAsia" w:hAnsi="Times New Roman" w:cs="Times New Roman"/>
          <w:sz w:val="24"/>
          <w:szCs w:val="24"/>
        </w:rPr>
        <w:t>, the total number of data points is 180 months.</w:t>
      </w:r>
      <w:r w:rsidR="00337076">
        <w:rPr>
          <w:rFonts w:ascii="Times New Roman" w:eastAsiaTheme="minorEastAsia" w:hAnsi="Times New Roman" w:cs="Times New Roman"/>
          <w:sz w:val="24"/>
          <w:szCs w:val="24"/>
        </w:rPr>
        <w:t xml:space="preserve"> I</w:t>
      </w:r>
      <w:r>
        <w:rPr>
          <w:rFonts w:ascii="Times New Roman" w:eastAsiaTheme="minorEastAsia" w:hAnsi="Times New Roman" w:cs="Times New Roman"/>
          <w:sz w:val="24"/>
          <w:szCs w:val="24"/>
        </w:rPr>
        <w:t>n Lucknow market</w:t>
      </w:r>
      <w:r w:rsidR="00337076">
        <w:rPr>
          <w:rFonts w:ascii="Times New Roman" w:eastAsiaTheme="minorEastAsia" w:hAnsi="Times New Roman" w:cs="Times New Roman"/>
          <w:sz w:val="24"/>
          <w:szCs w:val="24"/>
        </w:rPr>
        <w:t>,</w:t>
      </w:r>
      <w:r w:rsidR="00337076" w:rsidRPr="00337076">
        <w:rPr>
          <w:rFonts w:ascii="Times New Roman" w:eastAsiaTheme="minorEastAsia" w:hAnsi="Times New Roman" w:cs="Times New Roman"/>
          <w:sz w:val="24"/>
          <w:szCs w:val="24"/>
        </w:rPr>
        <w:t xml:space="preserve"> </w:t>
      </w:r>
      <w:r w:rsidR="00337076">
        <w:rPr>
          <w:rFonts w:ascii="Times New Roman" w:eastAsiaTheme="minorEastAsia" w:hAnsi="Times New Roman" w:cs="Times New Roman"/>
          <w:sz w:val="24"/>
          <w:szCs w:val="24"/>
        </w:rPr>
        <w:t>for monthly onion prices</w:t>
      </w:r>
      <w:r>
        <w:rPr>
          <w:rFonts w:ascii="Times New Roman" w:eastAsiaTheme="minorEastAsia" w:hAnsi="Times New Roman" w:cs="Times New Roman"/>
          <w:sz w:val="24"/>
          <w:szCs w:val="24"/>
        </w:rPr>
        <w:t xml:space="preserve"> showed variability and instability in the data</w:t>
      </w:r>
      <w:r w:rsidR="00337076">
        <w:rPr>
          <w:rFonts w:ascii="Times New Roman" w:eastAsiaTheme="minorEastAsia" w:hAnsi="Times New Roman" w:cs="Times New Roman"/>
          <w:sz w:val="24"/>
          <w:szCs w:val="24"/>
        </w:rPr>
        <w:t xml:space="preserve"> described in Table 1</w:t>
      </w:r>
      <w:r>
        <w:rPr>
          <w:rFonts w:ascii="Times New Roman" w:eastAsiaTheme="minorEastAsia" w:hAnsi="Times New Roman" w:cs="Times New Roman"/>
          <w:sz w:val="24"/>
          <w:szCs w:val="24"/>
        </w:rPr>
        <w:t>. The prices ranged from a minimum of Rs. 457.58 per quintal to Rs. 4680.62 per quintal, with a mean value of</w:t>
      </w:r>
      <w:r w:rsidRPr="00ED292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Rs. 1471.00</w:t>
      </w:r>
      <w:r w:rsidRPr="00ED292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per quintal.</w:t>
      </w:r>
      <w:r w:rsidR="00337076">
        <w:rPr>
          <w:rFonts w:ascii="Times New Roman" w:eastAsiaTheme="minorEastAsia" w:hAnsi="Times New Roman" w:cs="Times New Roman"/>
          <w:sz w:val="24"/>
          <w:szCs w:val="24"/>
        </w:rPr>
        <w:t xml:space="preserve"> There </w:t>
      </w:r>
      <w:r w:rsidR="00507C3B">
        <w:rPr>
          <w:rFonts w:ascii="Times New Roman" w:eastAsiaTheme="minorEastAsia" w:hAnsi="Times New Roman" w:cs="Times New Roman"/>
          <w:sz w:val="24"/>
          <w:szCs w:val="24"/>
        </w:rPr>
        <w:t>is</w:t>
      </w:r>
      <w:r w:rsidR="00337076">
        <w:rPr>
          <w:rFonts w:ascii="Times New Roman" w:eastAsiaTheme="minorEastAsia" w:hAnsi="Times New Roman" w:cs="Times New Roman"/>
          <w:sz w:val="24"/>
          <w:szCs w:val="24"/>
        </w:rPr>
        <w:t xml:space="preserve"> significant variation</w:t>
      </w:r>
      <w:r>
        <w:rPr>
          <w:rFonts w:ascii="Times New Roman" w:eastAsiaTheme="minorEastAsia" w:hAnsi="Times New Roman" w:cs="Times New Roman"/>
          <w:sz w:val="24"/>
          <w:szCs w:val="24"/>
        </w:rPr>
        <w:t xml:space="preserve"> around</w:t>
      </w:r>
      <w:r w:rsidR="0070722E">
        <w:rPr>
          <w:rFonts w:ascii="Times New Roman" w:eastAsiaTheme="minorEastAsia" w:hAnsi="Times New Roman" w:cs="Times New Roman"/>
          <w:sz w:val="24"/>
          <w:szCs w:val="24"/>
        </w:rPr>
        <w:t xml:space="preserve"> the</w:t>
      </w:r>
      <w:r>
        <w:rPr>
          <w:rFonts w:ascii="Times New Roman" w:eastAsiaTheme="minorEastAsia" w:hAnsi="Times New Roman" w:cs="Times New Roman"/>
          <w:sz w:val="24"/>
          <w:szCs w:val="24"/>
        </w:rPr>
        <w:t xml:space="preserve"> mean</w:t>
      </w:r>
      <w:r w:rsidR="00337076">
        <w:rPr>
          <w:rFonts w:ascii="Times New Roman" w:eastAsiaTheme="minorEastAsia" w:hAnsi="Times New Roman" w:cs="Times New Roman"/>
          <w:sz w:val="24"/>
          <w:szCs w:val="24"/>
        </w:rPr>
        <w:t xml:space="preserve">, as indicated by the standard deviation of </w:t>
      </w:r>
      <w:r w:rsidR="00ED1E61">
        <w:rPr>
          <w:rFonts w:ascii="Times New Roman" w:eastAsiaTheme="minorEastAsia" w:hAnsi="Times New Roman" w:cs="Times New Roman"/>
          <w:sz w:val="24"/>
          <w:szCs w:val="24"/>
        </w:rPr>
        <w:t xml:space="preserve">Rs. </w:t>
      </w:r>
      <w:r w:rsidR="00337076">
        <w:rPr>
          <w:rFonts w:ascii="Times New Roman" w:eastAsiaTheme="minorEastAsia" w:hAnsi="Times New Roman" w:cs="Times New Roman"/>
          <w:sz w:val="24"/>
          <w:szCs w:val="24"/>
        </w:rPr>
        <w:t xml:space="preserve">853.00 per </w:t>
      </w:r>
      <w:r w:rsidR="0070722E">
        <w:rPr>
          <w:rFonts w:ascii="Times New Roman" w:eastAsiaTheme="minorEastAsia" w:hAnsi="Times New Roman" w:cs="Times New Roman"/>
          <w:sz w:val="24"/>
          <w:szCs w:val="24"/>
        </w:rPr>
        <w:t>quintal</w:t>
      </w:r>
      <w:r>
        <w:rPr>
          <w:rFonts w:ascii="Times New Roman" w:eastAsiaTheme="minorEastAsia" w:hAnsi="Times New Roman" w:cs="Times New Roman"/>
          <w:sz w:val="24"/>
          <w:szCs w:val="24"/>
        </w:rPr>
        <w:t>.</w:t>
      </w:r>
      <w:r w:rsidR="0070722E">
        <w:rPr>
          <w:rFonts w:ascii="Times New Roman" w:eastAsiaTheme="minorEastAsia" w:hAnsi="Times New Roman" w:cs="Times New Roman"/>
          <w:sz w:val="24"/>
          <w:szCs w:val="24"/>
        </w:rPr>
        <w:t xml:space="preserve"> With a</w:t>
      </w:r>
      <w:r>
        <w:rPr>
          <w:rFonts w:ascii="Times New Roman" w:eastAsiaTheme="minorEastAsia" w:hAnsi="Times New Roman" w:cs="Times New Roman"/>
          <w:sz w:val="24"/>
          <w:szCs w:val="24"/>
        </w:rPr>
        <w:t xml:space="preserve"> coefficient of variation (CV) </w:t>
      </w:r>
      <w:r w:rsidR="0070722E">
        <w:rPr>
          <w:rFonts w:ascii="Times New Roman" w:eastAsiaTheme="minorEastAsia" w:hAnsi="Times New Roman" w:cs="Times New Roman"/>
          <w:sz w:val="24"/>
          <w:szCs w:val="24"/>
        </w:rPr>
        <w:t>of</w:t>
      </w:r>
      <w:r>
        <w:rPr>
          <w:rFonts w:ascii="Times New Roman" w:eastAsiaTheme="minorEastAsia" w:hAnsi="Times New Roman" w:cs="Times New Roman"/>
          <w:sz w:val="24"/>
          <w:szCs w:val="24"/>
        </w:rPr>
        <w:t xml:space="preserve"> 57.98 %,</w:t>
      </w:r>
      <w:r w:rsidR="0070722E">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data</w:t>
      </w:r>
      <w:r w:rsidR="0070722E">
        <w:rPr>
          <w:rFonts w:ascii="Times New Roman" w:eastAsiaTheme="minorEastAsia" w:hAnsi="Times New Roman" w:cs="Times New Roman"/>
          <w:sz w:val="24"/>
          <w:szCs w:val="24"/>
        </w:rPr>
        <w:t xml:space="preserve"> exhibits a significant level of relative variability</w:t>
      </w:r>
      <w:r>
        <w:rPr>
          <w:rFonts w:ascii="Times New Roman" w:eastAsiaTheme="minorEastAsia" w:hAnsi="Times New Roman" w:cs="Times New Roman"/>
          <w:sz w:val="24"/>
          <w:szCs w:val="24"/>
        </w:rPr>
        <w:t>.</w:t>
      </w:r>
      <w:r w:rsidR="0070722E">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 xml:space="preserve"> positively skewed distribution</w:t>
      </w:r>
      <w:r w:rsidR="0070722E">
        <w:rPr>
          <w:rFonts w:ascii="Times New Roman" w:eastAsiaTheme="minorEastAsia" w:hAnsi="Times New Roman" w:cs="Times New Roman"/>
          <w:sz w:val="24"/>
          <w:szCs w:val="24"/>
        </w:rPr>
        <w:t xml:space="preserve">, </w:t>
      </w:r>
      <w:r w:rsidR="00957CE8">
        <w:rPr>
          <w:rFonts w:ascii="Times New Roman" w:eastAsiaTheme="minorEastAsia" w:hAnsi="Times New Roman" w:cs="Times New Roman"/>
          <w:sz w:val="24"/>
          <w:szCs w:val="24"/>
        </w:rPr>
        <w:t>a</w:t>
      </w:r>
      <w:r w:rsidR="0070722E">
        <w:rPr>
          <w:rFonts w:ascii="Times New Roman" w:eastAsiaTheme="minorEastAsia" w:hAnsi="Times New Roman" w:cs="Times New Roman"/>
          <w:sz w:val="24"/>
          <w:szCs w:val="24"/>
        </w:rPr>
        <w:t>s indicated by a skewness of 1.73</w:t>
      </w:r>
      <w:r>
        <w:rPr>
          <w:rFonts w:ascii="Times New Roman" w:eastAsiaTheme="minorEastAsia" w:hAnsi="Times New Roman" w:cs="Times New Roman"/>
          <w:sz w:val="24"/>
          <w:szCs w:val="24"/>
        </w:rPr>
        <w:t xml:space="preserve"> and leptokurtic distribution</w:t>
      </w:r>
      <w:r w:rsidR="0070722E">
        <w:rPr>
          <w:rFonts w:ascii="Times New Roman" w:eastAsiaTheme="minorEastAsia" w:hAnsi="Times New Roman" w:cs="Times New Roman"/>
          <w:sz w:val="24"/>
          <w:szCs w:val="24"/>
        </w:rPr>
        <w:t xml:space="preserve"> is suggested by a kurtosis of 2.92</w:t>
      </w:r>
      <w:r>
        <w:rPr>
          <w:rFonts w:ascii="Times New Roman" w:eastAsiaTheme="minorEastAsia" w:hAnsi="Times New Roman" w:cs="Times New Roman"/>
          <w:sz w:val="24"/>
          <w:szCs w:val="24"/>
        </w:rPr>
        <w:t>,</w:t>
      </w:r>
      <w:r w:rsidR="0070722E">
        <w:rPr>
          <w:rFonts w:ascii="Times New Roman" w:eastAsiaTheme="minorEastAsia" w:hAnsi="Times New Roman" w:cs="Times New Roman"/>
          <w:sz w:val="24"/>
          <w:szCs w:val="24"/>
        </w:rPr>
        <w:t xml:space="preserve"> which </w:t>
      </w:r>
      <w:r w:rsidR="00957CE8">
        <w:rPr>
          <w:rFonts w:ascii="Times New Roman" w:eastAsiaTheme="minorEastAsia" w:hAnsi="Times New Roman" w:cs="Times New Roman"/>
          <w:sz w:val="24"/>
          <w:szCs w:val="24"/>
        </w:rPr>
        <w:t>suggests</w:t>
      </w:r>
      <w:r>
        <w:rPr>
          <w:rFonts w:ascii="Times New Roman" w:eastAsiaTheme="minorEastAsia" w:hAnsi="Times New Roman" w:cs="Times New Roman"/>
          <w:sz w:val="24"/>
          <w:szCs w:val="24"/>
        </w:rPr>
        <w:t xml:space="preserve"> heavier tails</w:t>
      </w:r>
      <w:r w:rsidR="0070722E">
        <w:rPr>
          <w:rFonts w:ascii="Times New Roman" w:eastAsiaTheme="minorEastAsia" w:hAnsi="Times New Roman" w:cs="Times New Roman"/>
          <w:sz w:val="24"/>
          <w:szCs w:val="24"/>
        </w:rPr>
        <w:t xml:space="preserve"> and sharp peak</w:t>
      </w:r>
      <w:r>
        <w:rPr>
          <w:rFonts w:ascii="Times New Roman" w:eastAsiaTheme="minorEastAsia" w:hAnsi="Times New Roman" w:cs="Times New Roman"/>
          <w:sz w:val="24"/>
          <w:szCs w:val="24"/>
        </w:rPr>
        <w:t>, i</w:t>
      </w:r>
      <w:r w:rsidR="00957CE8">
        <w:rPr>
          <w:rFonts w:ascii="Times New Roman" w:eastAsiaTheme="minorEastAsia" w:hAnsi="Times New Roman" w:cs="Times New Roman"/>
          <w:sz w:val="24"/>
          <w:szCs w:val="24"/>
        </w:rPr>
        <w:t>mplying</w:t>
      </w:r>
      <w:r>
        <w:rPr>
          <w:rFonts w:ascii="Times New Roman" w:eastAsiaTheme="minorEastAsia" w:hAnsi="Times New Roman" w:cs="Times New Roman"/>
          <w:sz w:val="24"/>
          <w:szCs w:val="24"/>
        </w:rPr>
        <w:t xml:space="preserve"> </w:t>
      </w:r>
      <w:r w:rsidR="00957CE8">
        <w:rPr>
          <w:rFonts w:ascii="Times New Roman" w:eastAsiaTheme="minorEastAsia" w:hAnsi="Times New Roman" w:cs="Times New Roman"/>
          <w:sz w:val="24"/>
          <w:szCs w:val="24"/>
        </w:rPr>
        <w:t>irregular</w:t>
      </w:r>
      <w:r>
        <w:rPr>
          <w:rFonts w:ascii="Times New Roman" w:eastAsiaTheme="minorEastAsia" w:hAnsi="Times New Roman" w:cs="Times New Roman"/>
          <w:sz w:val="24"/>
          <w:szCs w:val="24"/>
        </w:rPr>
        <w:t xml:space="preserve"> extreme price</w:t>
      </w:r>
      <w:r w:rsidR="00957CE8">
        <w:rPr>
          <w:rFonts w:ascii="Times New Roman" w:eastAsiaTheme="minorEastAsia" w:hAnsi="Times New Roman" w:cs="Times New Roman"/>
          <w:sz w:val="24"/>
          <w:szCs w:val="24"/>
        </w:rPr>
        <w:t xml:space="preserve"> fluctuations</w:t>
      </w:r>
      <w:r>
        <w:rPr>
          <w:rFonts w:ascii="Times New Roman" w:eastAsiaTheme="minorEastAsia" w:hAnsi="Times New Roman" w:cs="Times New Roman"/>
          <w:sz w:val="24"/>
          <w:szCs w:val="24"/>
        </w:rPr>
        <w:t>.</w:t>
      </w:r>
    </w:p>
    <w:p w14:paraId="5D14394E" w14:textId="77777777" w:rsidR="0012044A" w:rsidRPr="007D1339" w:rsidRDefault="0012044A" w:rsidP="0012044A">
      <w:pPr>
        <w:pStyle w:val="ListParagraph"/>
        <w:spacing w:line="360" w:lineRule="auto"/>
        <w:ind w:left="0"/>
        <w:jc w:val="center"/>
        <w:rPr>
          <w:rFonts w:ascii="Times New Roman" w:eastAsiaTheme="minorEastAsia" w:hAnsi="Times New Roman" w:cs="Times New Roman"/>
          <w:b/>
          <w:bCs/>
          <w:sz w:val="24"/>
          <w:szCs w:val="24"/>
        </w:rPr>
      </w:pPr>
      <w:r w:rsidRPr="007D1339">
        <w:rPr>
          <w:rFonts w:ascii="Times New Roman" w:eastAsiaTheme="minorEastAsia" w:hAnsi="Times New Roman" w:cs="Times New Roman"/>
          <w:b/>
          <w:bCs/>
          <w:sz w:val="24"/>
          <w:szCs w:val="24"/>
        </w:rPr>
        <w:t xml:space="preserve">Table 1: </w:t>
      </w:r>
      <w:r w:rsidRPr="009A5BFC">
        <w:rPr>
          <w:rFonts w:ascii="Times New Roman" w:eastAsiaTheme="minorEastAsia" w:hAnsi="Times New Roman" w:cs="Times New Roman"/>
          <w:sz w:val="24"/>
          <w:szCs w:val="24"/>
        </w:rPr>
        <w:t>Descriptive statistics of monthly price of onion in Lucknow Market</w:t>
      </w:r>
    </w:p>
    <w:tbl>
      <w:tblPr>
        <w:tblStyle w:val="TableGrid"/>
        <w:tblW w:w="0" w:type="auto"/>
        <w:tblLook w:val="04A0" w:firstRow="1" w:lastRow="0" w:firstColumn="1" w:lastColumn="0" w:noHBand="0" w:noVBand="1"/>
      </w:tblPr>
      <w:tblGrid>
        <w:gridCol w:w="1363"/>
        <w:gridCol w:w="1177"/>
        <w:gridCol w:w="1216"/>
        <w:gridCol w:w="1059"/>
        <w:gridCol w:w="996"/>
        <w:gridCol w:w="965"/>
        <w:gridCol w:w="1163"/>
        <w:gridCol w:w="1077"/>
      </w:tblGrid>
      <w:tr w:rsidR="0012044A" w14:paraId="2DB4050D" w14:textId="77777777" w:rsidTr="00B4378C">
        <w:tc>
          <w:tcPr>
            <w:tcW w:w="1127" w:type="dxa"/>
          </w:tcPr>
          <w:p w14:paraId="6BE744F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1127" w:type="dxa"/>
          </w:tcPr>
          <w:p w14:paraId="224CC91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Minimum (Rs/q)</w:t>
            </w:r>
          </w:p>
        </w:tc>
        <w:tc>
          <w:tcPr>
            <w:tcW w:w="1127" w:type="dxa"/>
          </w:tcPr>
          <w:p w14:paraId="76CA39D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Maximum (Rs/q)</w:t>
            </w:r>
          </w:p>
        </w:tc>
        <w:tc>
          <w:tcPr>
            <w:tcW w:w="1127" w:type="dxa"/>
          </w:tcPr>
          <w:p w14:paraId="471A9EF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(Rs/q)</w:t>
            </w:r>
          </w:p>
        </w:tc>
        <w:tc>
          <w:tcPr>
            <w:tcW w:w="1127" w:type="dxa"/>
          </w:tcPr>
          <w:p w14:paraId="63512EE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S.D. (Rs/q)</w:t>
            </w:r>
          </w:p>
        </w:tc>
        <w:tc>
          <w:tcPr>
            <w:tcW w:w="1127" w:type="dxa"/>
          </w:tcPr>
          <w:p w14:paraId="3C80AD6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C.V (Rs/q)</w:t>
            </w:r>
          </w:p>
        </w:tc>
        <w:tc>
          <w:tcPr>
            <w:tcW w:w="1127" w:type="dxa"/>
          </w:tcPr>
          <w:p w14:paraId="2F893AA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Skewness</w:t>
            </w:r>
          </w:p>
        </w:tc>
        <w:tc>
          <w:tcPr>
            <w:tcW w:w="1127" w:type="dxa"/>
          </w:tcPr>
          <w:p w14:paraId="3E9D257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Kurtosis</w:t>
            </w:r>
          </w:p>
        </w:tc>
      </w:tr>
      <w:tr w:rsidR="0012044A" w14:paraId="54D63A58" w14:textId="77777777" w:rsidTr="00B4378C">
        <w:tc>
          <w:tcPr>
            <w:tcW w:w="1127" w:type="dxa"/>
          </w:tcPr>
          <w:p w14:paraId="6E3298F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127" w:type="dxa"/>
          </w:tcPr>
          <w:p w14:paraId="262416E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457.58</w:t>
            </w:r>
          </w:p>
        </w:tc>
        <w:tc>
          <w:tcPr>
            <w:tcW w:w="1127" w:type="dxa"/>
          </w:tcPr>
          <w:p w14:paraId="518E57A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4680.62</w:t>
            </w:r>
          </w:p>
        </w:tc>
        <w:tc>
          <w:tcPr>
            <w:tcW w:w="1127" w:type="dxa"/>
          </w:tcPr>
          <w:p w14:paraId="5CC692E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1471.00</w:t>
            </w:r>
          </w:p>
        </w:tc>
        <w:tc>
          <w:tcPr>
            <w:tcW w:w="1127" w:type="dxa"/>
          </w:tcPr>
          <w:p w14:paraId="48FEF9A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853.00</w:t>
            </w:r>
          </w:p>
        </w:tc>
        <w:tc>
          <w:tcPr>
            <w:tcW w:w="1127" w:type="dxa"/>
          </w:tcPr>
          <w:p w14:paraId="78BBF239"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57.98</w:t>
            </w:r>
          </w:p>
        </w:tc>
        <w:tc>
          <w:tcPr>
            <w:tcW w:w="1127" w:type="dxa"/>
          </w:tcPr>
          <w:p w14:paraId="5D48794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1.73</w:t>
            </w:r>
          </w:p>
        </w:tc>
        <w:tc>
          <w:tcPr>
            <w:tcW w:w="1127" w:type="dxa"/>
          </w:tcPr>
          <w:p w14:paraId="406098E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2.92</w:t>
            </w:r>
          </w:p>
        </w:tc>
      </w:tr>
    </w:tbl>
    <w:p w14:paraId="398921CE"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5CE29B86"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3.1 </w:t>
      </w:r>
      <w:r w:rsidRPr="00541B75">
        <w:rPr>
          <w:rFonts w:ascii="Times New Roman" w:eastAsiaTheme="minorEastAsia" w:hAnsi="Times New Roman" w:cs="Times New Roman"/>
          <w:b/>
          <w:bCs/>
          <w:sz w:val="24"/>
          <w:szCs w:val="24"/>
        </w:rPr>
        <w:t>Time plot</w:t>
      </w:r>
    </w:p>
    <w:p w14:paraId="1F179937" w14:textId="3AFF91DA" w:rsidR="0012044A" w:rsidRPr="006863D3"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time plot of price series for Lucknow market are depicted in Figure 2.</w:t>
      </w:r>
      <w:r w:rsidR="0056515B">
        <w:rPr>
          <w:rFonts w:ascii="Times New Roman" w:eastAsiaTheme="minorEastAsia" w:hAnsi="Times New Roman" w:cs="Times New Roman"/>
          <w:sz w:val="24"/>
          <w:szCs w:val="24"/>
        </w:rPr>
        <w:t xml:space="preserve"> T</w:t>
      </w:r>
      <w:r>
        <w:rPr>
          <w:rFonts w:ascii="Times New Roman" w:eastAsiaTheme="minorEastAsia" w:hAnsi="Times New Roman" w:cs="Times New Roman"/>
          <w:sz w:val="24"/>
          <w:szCs w:val="24"/>
        </w:rPr>
        <w:t>he price spikes have been</w:t>
      </w:r>
      <w:r w:rsidR="0028648D">
        <w:rPr>
          <w:rFonts w:ascii="Times New Roman" w:eastAsiaTheme="minorEastAsia" w:hAnsi="Times New Roman" w:cs="Times New Roman"/>
          <w:sz w:val="24"/>
          <w:szCs w:val="24"/>
        </w:rPr>
        <w:t xml:space="preserve"> seen</w:t>
      </w:r>
      <w:r>
        <w:rPr>
          <w:rFonts w:ascii="Times New Roman" w:eastAsiaTheme="minorEastAsia" w:hAnsi="Times New Roman" w:cs="Times New Roman"/>
          <w:sz w:val="24"/>
          <w:szCs w:val="24"/>
        </w:rPr>
        <w:t xml:space="preserve"> at some period of time</w:t>
      </w:r>
      <w:r w:rsidR="0056515B" w:rsidRPr="0056515B">
        <w:rPr>
          <w:rFonts w:ascii="Times New Roman" w:eastAsiaTheme="minorEastAsia" w:hAnsi="Times New Roman" w:cs="Times New Roman"/>
          <w:sz w:val="24"/>
          <w:szCs w:val="24"/>
        </w:rPr>
        <w:t xml:space="preserve"> </w:t>
      </w:r>
      <w:r w:rsidR="0056515B">
        <w:rPr>
          <w:rFonts w:ascii="Times New Roman" w:eastAsiaTheme="minorEastAsia" w:hAnsi="Times New Roman" w:cs="Times New Roman"/>
          <w:sz w:val="24"/>
          <w:szCs w:val="24"/>
        </w:rPr>
        <w:t>from the time plot of the price series</w:t>
      </w:r>
      <w:r>
        <w:rPr>
          <w:rFonts w:ascii="Times New Roman" w:eastAsiaTheme="minorEastAsia" w:hAnsi="Times New Roman" w:cs="Times New Roman"/>
          <w:sz w:val="24"/>
          <w:szCs w:val="24"/>
        </w:rPr>
        <w:t>.</w:t>
      </w:r>
      <w:r w:rsidR="0056515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These price spikes occurred during September 2013 to November 2013, August 2015 to October 2015, November 2017 to January 2018, September 2019 to November 2019, January 2020 and October2020 to November 2020. </w:t>
      </w:r>
      <w:r w:rsidR="0028648D">
        <w:rPr>
          <w:rFonts w:ascii="Times New Roman" w:eastAsiaTheme="minorEastAsia" w:hAnsi="Times New Roman" w:cs="Times New Roman"/>
          <w:sz w:val="24"/>
          <w:szCs w:val="24"/>
        </w:rPr>
        <w:t>I</w:t>
      </w:r>
      <w:r w:rsidRPr="00EA518C">
        <w:rPr>
          <w:rFonts w:ascii="Times New Roman" w:eastAsiaTheme="minorEastAsia" w:hAnsi="Times New Roman" w:cs="Times New Roman"/>
          <w:sz w:val="24"/>
          <w:szCs w:val="24"/>
        </w:rPr>
        <w:t>n the month of September 2015</w:t>
      </w:r>
      <w:r w:rsidR="0028648D">
        <w:rPr>
          <w:rFonts w:ascii="Times New Roman" w:eastAsiaTheme="minorEastAsia" w:hAnsi="Times New Roman" w:cs="Times New Roman"/>
          <w:sz w:val="24"/>
          <w:szCs w:val="24"/>
        </w:rPr>
        <w:t>,</w:t>
      </w:r>
      <w:r w:rsidR="0028648D" w:rsidRPr="0028648D">
        <w:rPr>
          <w:rFonts w:ascii="Times New Roman" w:eastAsiaTheme="minorEastAsia" w:hAnsi="Times New Roman" w:cs="Times New Roman"/>
          <w:sz w:val="24"/>
          <w:szCs w:val="24"/>
        </w:rPr>
        <w:t xml:space="preserve"> </w:t>
      </w:r>
      <w:r w:rsidR="0028648D">
        <w:rPr>
          <w:rFonts w:ascii="Times New Roman" w:eastAsiaTheme="minorEastAsia" w:hAnsi="Times New Roman" w:cs="Times New Roman"/>
          <w:sz w:val="24"/>
          <w:szCs w:val="24"/>
        </w:rPr>
        <w:t>t</w:t>
      </w:r>
      <w:r w:rsidR="0028648D" w:rsidRPr="00EA518C">
        <w:rPr>
          <w:rFonts w:ascii="Times New Roman" w:eastAsiaTheme="minorEastAsia" w:hAnsi="Times New Roman" w:cs="Times New Roman"/>
          <w:sz w:val="24"/>
          <w:szCs w:val="24"/>
        </w:rPr>
        <w:t>he highest price spike</w:t>
      </w:r>
      <w:r w:rsidR="0028648D">
        <w:rPr>
          <w:rFonts w:ascii="Times New Roman" w:eastAsiaTheme="minorEastAsia" w:hAnsi="Times New Roman" w:cs="Times New Roman"/>
          <w:sz w:val="24"/>
          <w:szCs w:val="24"/>
        </w:rPr>
        <w:t xml:space="preserve"> has been seen</w:t>
      </w:r>
      <w:r>
        <w:rPr>
          <w:rFonts w:ascii="Times New Roman" w:eastAsiaTheme="minorEastAsia" w:hAnsi="Times New Roman" w:cs="Times New Roman"/>
          <w:sz w:val="24"/>
          <w:szCs w:val="24"/>
        </w:rPr>
        <w:t xml:space="preserve">. </w:t>
      </w:r>
    </w:p>
    <w:p w14:paraId="675DA028" w14:textId="77777777" w:rsidR="0012044A" w:rsidRPr="00C656A6" w:rsidRDefault="0012044A" w:rsidP="0012044A">
      <w:pPr>
        <w:pStyle w:val="ListParagraph"/>
        <w:tabs>
          <w:tab w:val="left" w:pos="4403"/>
          <w:tab w:val="left" w:pos="5705"/>
        </w:tabs>
        <w:spacing w:line="360" w:lineRule="auto"/>
        <w:ind w:left="0"/>
        <w:jc w:val="both"/>
        <w:rPr>
          <w:rFonts w:ascii="Times New Roman" w:eastAsiaTheme="minorEastAsia" w:hAnsi="Times New Roman" w:cs="Times New Roman"/>
          <w:sz w:val="24"/>
          <w:szCs w:val="24"/>
        </w:rPr>
      </w:pPr>
      <w:r>
        <w:rPr>
          <w:noProof/>
        </w:rPr>
        <w:drawing>
          <wp:anchor distT="0" distB="0" distL="114300" distR="114300" simplePos="0" relativeHeight="251659264" behindDoc="0" locked="0" layoutInCell="1" allowOverlap="1" wp14:anchorId="62291D8A" wp14:editId="5E5F1B17">
            <wp:simplePos x="0" y="0"/>
            <wp:positionH relativeFrom="column">
              <wp:posOffset>137160</wp:posOffset>
            </wp:positionH>
            <wp:positionV relativeFrom="paragraph">
              <wp:posOffset>196215</wp:posOffset>
            </wp:positionV>
            <wp:extent cx="5318760" cy="2900680"/>
            <wp:effectExtent l="0" t="0" r="0" b="0"/>
            <wp:wrapSquare wrapText="bothSides"/>
            <wp:docPr id="88437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8760" cy="290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5FBD2" w14:textId="77777777" w:rsidR="0012044A" w:rsidRPr="00231A99" w:rsidRDefault="0012044A" w:rsidP="0012044A">
      <w:pPr>
        <w:pStyle w:val="ListParagraph"/>
        <w:tabs>
          <w:tab w:val="left" w:pos="4403"/>
          <w:tab w:val="left" w:pos="5705"/>
        </w:tabs>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2:</w:t>
      </w:r>
      <w:r>
        <w:rPr>
          <w:rFonts w:ascii="Times New Roman" w:hAnsi="Times New Roman" w:cs="Times New Roman"/>
          <w:sz w:val="24"/>
          <w:szCs w:val="24"/>
        </w:rPr>
        <w:t xml:space="preserve"> </w:t>
      </w:r>
      <w:r w:rsidRPr="000152B9">
        <w:rPr>
          <w:rFonts w:ascii="Times New Roman" w:hAnsi="Times New Roman" w:cs="Times New Roman"/>
          <w:sz w:val="24"/>
          <w:szCs w:val="24"/>
        </w:rPr>
        <w:t>Time series plot of price series for onion market</w:t>
      </w:r>
    </w:p>
    <w:p w14:paraId="652A603C" w14:textId="77777777" w:rsidR="0012044A" w:rsidRPr="00BA09AF"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 xml:space="preserve">3.2 </w:t>
      </w:r>
      <w:r w:rsidRPr="00231A99">
        <w:rPr>
          <w:rFonts w:ascii="Times New Roman" w:eastAsiaTheme="minorEastAsia" w:hAnsi="Times New Roman" w:cs="Times New Roman"/>
          <w:b/>
          <w:bCs/>
          <w:sz w:val="24"/>
          <w:szCs w:val="24"/>
        </w:rPr>
        <w:t>Seasonality test:</w:t>
      </w:r>
      <w:r>
        <w:rPr>
          <w:rFonts w:ascii="Times New Roman" w:eastAsiaTheme="minorEastAsia" w:hAnsi="Times New Roman" w:cs="Times New Roman"/>
          <w:sz w:val="24"/>
          <w:szCs w:val="24"/>
        </w:rPr>
        <w:t xml:space="preserve"> The Kruskal-Wallis test (Kruskal and Wallis, 1952) is employed to detect seasonality within time series data. According to the outcomes displayed in Table 2, there is a confirmed presence of seasonality in the price data for onion crop in Lucknow market, with a significance level of 1%.</w:t>
      </w:r>
    </w:p>
    <w:p w14:paraId="25BAB970" w14:textId="77777777" w:rsidR="0012044A" w:rsidRPr="00231A99" w:rsidRDefault="0012044A" w:rsidP="0012044A">
      <w:pPr>
        <w:pStyle w:val="ListParagraph"/>
        <w:spacing w:line="360" w:lineRule="auto"/>
        <w:ind w:left="0"/>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2: </w:t>
      </w:r>
      <w:r w:rsidRPr="009A5BFC">
        <w:rPr>
          <w:rFonts w:ascii="Times New Roman" w:eastAsiaTheme="minorEastAsia" w:hAnsi="Times New Roman" w:cs="Times New Roman"/>
          <w:sz w:val="24"/>
          <w:szCs w:val="24"/>
        </w:rPr>
        <w:t>Seasonality test results</w:t>
      </w:r>
    </w:p>
    <w:tbl>
      <w:tblPr>
        <w:tblStyle w:val="TableGrid"/>
        <w:tblW w:w="0" w:type="auto"/>
        <w:tblInd w:w="1129" w:type="dxa"/>
        <w:tblLook w:val="04A0" w:firstRow="1" w:lastRow="0" w:firstColumn="1" w:lastColumn="0" w:noHBand="0" w:noVBand="1"/>
      </w:tblPr>
      <w:tblGrid>
        <w:gridCol w:w="2254"/>
        <w:gridCol w:w="2254"/>
        <w:gridCol w:w="2254"/>
      </w:tblGrid>
      <w:tr w:rsidR="0012044A" w14:paraId="40CAAEA7" w14:textId="77777777" w:rsidTr="00B4378C">
        <w:tc>
          <w:tcPr>
            <w:tcW w:w="2254" w:type="dxa"/>
          </w:tcPr>
          <w:p w14:paraId="0768B6C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4508" w:type="dxa"/>
            <w:gridSpan w:val="2"/>
          </w:tcPr>
          <w:p w14:paraId="5739003B"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Kruskal-Wallis </w:t>
            </w:r>
            <w:proofErr w:type="spellStart"/>
            <w:r>
              <w:rPr>
                <w:rFonts w:ascii="Times New Roman" w:eastAsiaTheme="minorEastAsia" w:hAnsi="Times New Roman" w:cs="Times New Roman"/>
                <w:sz w:val="24"/>
                <w:szCs w:val="24"/>
              </w:rPr>
              <w:t>tset</w:t>
            </w:r>
            <w:proofErr w:type="spellEnd"/>
          </w:p>
        </w:tc>
      </w:tr>
      <w:tr w:rsidR="0012044A" w14:paraId="06E4C0EF" w14:textId="77777777" w:rsidTr="00B4378C">
        <w:tc>
          <w:tcPr>
            <w:tcW w:w="2254" w:type="dxa"/>
            <w:vMerge w:val="restart"/>
          </w:tcPr>
          <w:p w14:paraId="3A9B00A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2254" w:type="dxa"/>
          </w:tcPr>
          <w:p w14:paraId="6773F0A9"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Statistic </w:t>
            </w:r>
          </w:p>
        </w:tc>
        <w:tc>
          <w:tcPr>
            <w:tcW w:w="2254" w:type="dxa"/>
          </w:tcPr>
          <w:p w14:paraId="65E46AD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E176C5">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-value </w:t>
            </w:r>
          </w:p>
        </w:tc>
      </w:tr>
      <w:tr w:rsidR="0012044A" w14:paraId="79B9E685" w14:textId="77777777" w:rsidTr="00B4378C">
        <w:tc>
          <w:tcPr>
            <w:tcW w:w="2254" w:type="dxa"/>
            <w:vMerge/>
          </w:tcPr>
          <w:p w14:paraId="10CA551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2254" w:type="dxa"/>
          </w:tcPr>
          <w:p w14:paraId="3D2EF2A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56.87</w:t>
            </w:r>
          </w:p>
        </w:tc>
        <w:tc>
          <w:tcPr>
            <w:tcW w:w="2254" w:type="dxa"/>
          </w:tcPr>
          <w:p w14:paraId="4D20ADD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&lt;0.001</w:t>
            </w:r>
          </w:p>
        </w:tc>
      </w:tr>
    </w:tbl>
    <w:p w14:paraId="6BCD7F37"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45964768"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3.3 </w:t>
      </w:r>
      <w:r w:rsidRPr="00746276">
        <w:rPr>
          <w:rFonts w:ascii="Times New Roman" w:eastAsiaTheme="minorEastAsia" w:hAnsi="Times New Roman" w:cs="Times New Roman"/>
          <w:b/>
          <w:bCs/>
          <w:sz w:val="24"/>
          <w:szCs w:val="24"/>
        </w:rPr>
        <w:t>Decomposition of Time Series:</w:t>
      </w:r>
      <w:r>
        <w:rPr>
          <w:rFonts w:ascii="Times New Roman" w:eastAsiaTheme="minorEastAsia" w:hAnsi="Times New Roman" w:cs="Times New Roman"/>
          <w:sz w:val="24"/>
          <w:szCs w:val="24"/>
        </w:rPr>
        <w:t xml:space="preserve"> To remove seasonal influences, Seasonal-Trend decomposition (STL) based on LOESS (locally estimated scatterplot smoothing) is applied. Introduced by Cleveland et al. (1990), STL is a robust and versatile method that uses LOESS, a nonparametric technique that fits a smooth curve through data points by applying local weighted regression. STL decomposes the time series into three components: trend, seasonal and remainder. By iteratively applying LOESS smoothing, STL captures both short-term seasonal patterns and long-term trends, making it suitable for complex, evolving patterns. Figure 3 illustrates the seasonal decomposition of price series for selected onion market. </w:t>
      </w:r>
    </w:p>
    <w:p w14:paraId="313E464F"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019F17AD" wp14:editId="4F5C04EA">
            <wp:extent cx="5859780" cy="2682311"/>
            <wp:effectExtent l="0" t="0" r="7620" b="3810"/>
            <wp:docPr id="266905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5295" cy="2689413"/>
                    </a:xfrm>
                    <a:prstGeom prst="rect">
                      <a:avLst/>
                    </a:prstGeom>
                    <a:noFill/>
                    <a:ln>
                      <a:noFill/>
                    </a:ln>
                  </pic:spPr>
                </pic:pic>
              </a:graphicData>
            </a:graphic>
          </wp:inline>
        </w:drawing>
      </w:r>
    </w:p>
    <w:p w14:paraId="7B817DA7" w14:textId="3BFC5034" w:rsidR="0012044A" w:rsidRDefault="0012044A" w:rsidP="00C2081D">
      <w:pPr>
        <w:pStyle w:val="ListParagraph"/>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3:</w:t>
      </w:r>
      <w:r>
        <w:rPr>
          <w:rFonts w:ascii="Times New Roman" w:hAnsi="Times New Roman" w:cs="Times New Roman"/>
          <w:sz w:val="24"/>
          <w:szCs w:val="24"/>
        </w:rPr>
        <w:t xml:space="preserve"> Seasonally decomposition price series for Lucknow market</w:t>
      </w:r>
    </w:p>
    <w:p w14:paraId="731B6111" w14:textId="3115DE98" w:rsidR="0012044A" w:rsidRPr="00C2081D" w:rsidRDefault="0012044A" w:rsidP="00C2081D">
      <w:pPr>
        <w:spacing w:line="360" w:lineRule="auto"/>
        <w:jc w:val="both"/>
        <w:rPr>
          <w:rFonts w:ascii="Times New Roman" w:hAnsi="Times New Roman" w:cs="Times New Roman"/>
          <w:sz w:val="24"/>
          <w:szCs w:val="24"/>
          <w:highlight w:val="yellow"/>
        </w:rPr>
      </w:pPr>
      <w:r w:rsidRPr="00B12574">
        <w:rPr>
          <w:rFonts w:ascii="Times New Roman" w:hAnsi="Times New Roman" w:cs="Times New Roman"/>
          <w:sz w:val="24"/>
          <w:szCs w:val="24"/>
        </w:rPr>
        <w:t xml:space="preserve">Subtracting the seasonal component from the original data sets produced a seasonally adjusted series, which highlights the trend and irregular variations. The Lucknow market's seasonally adjusted pricing series is displayed in Figure 4. This adjustment allows for a clearer view of underlying changes in onion prices, free from predictable seasonal trends, thereby enabling more accurate analysis of long-term trends. Following this adjustment, percentage log-returns </w:t>
      </w:r>
      <w:r w:rsidRPr="00B12574">
        <w:rPr>
          <w:rFonts w:ascii="Times New Roman" w:hAnsi="Times New Roman" w:cs="Times New Roman"/>
          <w:sz w:val="24"/>
          <w:szCs w:val="24"/>
        </w:rPr>
        <w:lastRenderedPageBreak/>
        <w:t xml:space="preserve">are calculated from the seasonally adjusted series to stabilize the variance, which is crucial for effective modelling. Figure 5 presents the percentage log-returns for onion market. </w:t>
      </w:r>
      <w:r w:rsidR="007276A2">
        <w:rPr>
          <w:rFonts w:ascii="Times New Roman" w:hAnsi="Times New Roman" w:cs="Times New Roman"/>
          <w:sz w:val="24"/>
          <w:szCs w:val="24"/>
        </w:rPr>
        <w:t>T</w:t>
      </w:r>
      <w:r w:rsidRPr="00B12574">
        <w:rPr>
          <w:rFonts w:ascii="Times New Roman" w:hAnsi="Times New Roman" w:cs="Times New Roman"/>
          <w:sz w:val="24"/>
          <w:szCs w:val="24"/>
        </w:rPr>
        <w:t xml:space="preserve">he relative change </w:t>
      </w:r>
      <w:r w:rsidR="007276A2">
        <w:rPr>
          <w:rFonts w:ascii="Times New Roman" w:hAnsi="Times New Roman" w:cs="Times New Roman"/>
          <w:sz w:val="24"/>
          <w:szCs w:val="24"/>
        </w:rPr>
        <w:t>in</w:t>
      </w:r>
      <w:r w:rsidRPr="00B12574">
        <w:rPr>
          <w:rFonts w:ascii="Times New Roman" w:hAnsi="Times New Roman" w:cs="Times New Roman"/>
          <w:sz w:val="24"/>
          <w:szCs w:val="24"/>
        </w:rPr>
        <w:t xml:space="preserve"> prices</w:t>
      </w:r>
      <w:r w:rsidR="00C01693">
        <w:rPr>
          <w:rFonts w:ascii="Times New Roman" w:hAnsi="Times New Roman" w:cs="Times New Roman"/>
          <w:sz w:val="24"/>
          <w:szCs w:val="24"/>
        </w:rPr>
        <w:t xml:space="preserve"> in </w:t>
      </w:r>
      <w:r w:rsidR="006538FA">
        <w:rPr>
          <w:rFonts w:ascii="Times New Roman" w:hAnsi="Times New Roman" w:cs="Times New Roman"/>
          <w:sz w:val="24"/>
          <w:szCs w:val="24"/>
        </w:rPr>
        <w:t>comparison</w:t>
      </w:r>
      <w:r w:rsidRPr="00B12574">
        <w:rPr>
          <w:rFonts w:ascii="Times New Roman" w:hAnsi="Times New Roman" w:cs="Times New Roman"/>
          <w:sz w:val="24"/>
          <w:szCs w:val="24"/>
        </w:rPr>
        <w:t xml:space="preserve"> to the prior realization</w:t>
      </w:r>
      <w:r w:rsidR="007276A2">
        <w:rPr>
          <w:rFonts w:ascii="Times New Roman" w:hAnsi="Times New Roman" w:cs="Times New Roman"/>
          <w:sz w:val="24"/>
          <w:szCs w:val="24"/>
        </w:rPr>
        <w:t xml:space="preserve"> is shown by the </w:t>
      </w:r>
      <w:r w:rsidR="00D4611F">
        <w:rPr>
          <w:rFonts w:ascii="Times New Roman" w:hAnsi="Times New Roman" w:cs="Times New Roman"/>
          <w:sz w:val="24"/>
          <w:szCs w:val="24"/>
        </w:rPr>
        <w:t>plot of the percentage log return series</w:t>
      </w:r>
      <w:r w:rsidRPr="00B12574">
        <w:rPr>
          <w:rFonts w:ascii="Times New Roman" w:hAnsi="Times New Roman" w:cs="Times New Roman"/>
          <w:sz w:val="24"/>
          <w:szCs w:val="24"/>
        </w:rPr>
        <w:t>.</w:t>
      </w:r>
    </w:p>
    <w:p w14:paraId="7C67C39B"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18356046" wp14:editId="52BB2583">
            <wp:extent cx="5339715" cy="2321169"/>
            <wp:effectExtent l="0" t="0" r="0" b="3175"/>
            <wp:docPr id="449996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3367" cy="2327104"/>
                    </a:xfrm>
                    <a:prstGeom prst="rect">
                      <a:avLst/>
                    </a:prstGeom>
                    <a:noFill/>
                    <a:ln>
                      <a:noFill/>
                    </a:ln>
                  </pic:spPr>
                </pic:pic>
              </a:graphicData>
            </a:graphic>
          </wp:inline>
        </w:drawing>
      </w:r>
    </w:p>
    <w:p w14:paraId="1C352D46" w14:textId="2F094569" w:rsidR="0012044A" w:rsidRPr="00C2081D" w:rsidRDefault="0012044A" w:rsidP="00C2081D">
      <w:pPr>
        <w:pStyle w:val="ListParagraph"/>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4:</w:t>
      </w:r>
      <w:r>
        <w:rPr>
          <w:rFonts w:ascii="Times New Roman" w:hAnsi="Times New Roman" w:cs="Times New Roman"/>
          <w:sz w:val="24"/>
          <w:szCs w:val="24"/>
        </w:rPr>
        <w:t xml:space="preserve"> Seasonally adjusted price series for Lucknow market</w:t>
      </w:r>
    </w:p>
    <w:p w14:paraId="3F168689"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709AE263" wp14:editId="00EBDAF7">
            <wp:extent cx="5731510" cy="3042920"/>
            <wp:effectExtent l="0" t="0" r="2540" b="5080"/>
            <wp:docPr id="3765292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042920"/>
                    </a:xfrm>
                    <a:prstGeom prst="rect">
                      <a:avLst/>
                    </a:prstGeom>
                    <a:noFill/>
                    <a:ln>
                      <a:noFill/>
                    </a:ln>
                  </pic:spPr>
                </pic:pic>
              </a:graphicData>
            </a:graphic>
          </wp:inline>
        </w:drawing>
      </w:r>
    </w:p>
    <w:p w14:paraId="0C0E7EF4" w14:textId="4DC8CF40" w:rsidR="0012044A" w:rsidRPr="00B12574" w:rsidRDefault="0012044A" w:rsidP="00C57BEF">
      <w:pPr>
        <w:pStyle w:val="ListParagraph"/>
        <w:spacing w:line="360" w:lineRule="auto"/>
        <w:ind w:left="0"/>
        <w:jc w:val="center"/>
        <w:rPr>
          <w:rFonts w:ascii="Times New Roman" w:hAnsi="Times New Roman" w:cs="Times New Roman"/>
          <w:sz w:val="24"/>
          <w:szCs w:val="24"/>
        </w:rPr>
      </w:pPr>
      <w:r w:rsidRPr="009A5BFC">
        <w:rPr>
          <w:rFonts w:ascii="Times New Roman" w:hAnsi="Times New Roman" w:cs="Times New Roman"/>
          <w:b/>
          <w:bCs/>
          <w:sz w:val="24"/>
          <w:szCs w:val="24"/>
        </w:rPr>
        <w:t>Fig. 5:</w:t>
      </w:r>
      <w:r>
        <w:rPr>
          <w:rFonts w:ascii="Times New Roman" w:hAnsi="Times New Roman" w:cs="Times New Roman"/>
          <w:sz w:val="24"/>
          <w:szCs w:val="24"/>
        </w:rPr>
        <w:t xml:space="preserve"> Percentage log-return series for Lucknow market</w:t>
      </w:r>
    </w:p>
    <w:p w14:paraId="1A555EAF" w14:textId="7DAD726E" w:rsidR="00456807" w:rsidRPr="00C2081D" w:rsidRDefault="0012044A" w:rsidP="00C2081D">
      <w:pPr>
        <w:spacing w:line="360" w:lineRule="auto"/>
        <w:jc w:val="both"/>
        <w:rPr>
          <w:highlight w:val="yellow"/>
        </w:rPr>
      </w:pPr>
      <w:r>
        <w:rPr>
          <w:rFonts w:ascii="Times New Roman" w:hAnsi="Times New Roman" w:cs="Times New Roman"/>
          <w:b/>
          <w:bCs/>
          <w:sz w:val="24"/>
          <w:szCs w:val="24"/>
        </w:rPr>
        <w:t xml:space="preserve">3.4 </w:t>
      </w:r>
      <w:r w:rsidRPr="00B12574">
        <w:rPr>
          <w:rFonts w:ascii="Times New Roman" w:hAnsi="Times New Roman" w:cs="Times New Roman"/>
          <w:b/>
          <w:bCs/>
          <w:sz w:val="24"/>
          <w:szCs w:val="24"/>
        </w:rPr>
        <w:t>Normality Test:</w:t>
      </w:r>
      <w:r w:rsidRPr="00B12574">
        <w:rPr>
          <w:rFonts w:ascii="Times New Roman" w:hAnsi="Times New Roman" w:cs="Times New Roman"/>
          <w:sz w:val="24"/>
          <w:szCs w:val="24"/>
        </w:rPr>
        <w:t xml:space="preserve"> To assess the normal</w:t>
      </w:r>
      <w:r>
        <w:rPr>
          <w:rFonts w:ascii="Times New Roman" w:hAnsi="Times New Roman" w:cs="Times New Roman"/>
          <w:sz w:val="24"/>
          <w:szCs w:val="24"/>
        </w:rPr>
        <w:t>ity in the</w:t>
      </w:r>
      <w:r w:rsidRPr="00B12574">
        <w:rPr>
          <w:rFonts w:ascii="Times New Roman" w:hAnsi="Times New Roman" w:cs="Times New Roman"/>
          <w:sz w:val="24"/>
          <w:szCs w:val="24"/>
        </w:rPr>
        <w:t xml:space="preserve"> distribution</w:t>
      </w:r>
      <w:r>
        <w:rPr>
          <w:rFonts w:ascii="Times New Roman" w:hAnsi="Times New Roman" w:cs="Times New Roman"/>
          <w:sz w:val="24"/>
          <w:szCs w:val="24"/>
        </w:rPr>
        <w:t xml:space="preserve"> of </w:t>
      </w:r>
      <w:r w:rsidRPr="00B12574">
        <w:rPr>
          <w:rFonts w:ascii="Times New Roman" w:hAnsi="Times New Roman" w:cs="Times New Roman"/>
          <w:sz w:val="24"/>
          <w:szCs w:val="24"/>
        </w:rPr>
        <w:t xml:space="preserve">percentage log-returns, two prevalent normality tests </w:t>
      </w:r>
      <w:r>
        <w:rPr>
          <w:rFonts w:ascii="Times New Roman" w:hAnsi="Times New Roman" w:cs="Times New Roman"/>
          <w:sz w:val="24"/>
          <w:szCs w:val="24"/>
        </w:rPr>
        <w:t>have been</w:t>
      </w:r>
      <w:r w:rsidRPr="00B12574">
        <w:rPr>
          <w:rFonts w:ascii="Times New Roman" w:hAnsi="Times New Roman" w:cs="Times New Roman"/>
          <w:sz w:val="24"/>
          <w:szCs w:val="24"/>
        </w:rPr>
        <w:t xml:space="preserve"> utilized: the Jarque-Bera test and the Shapiro-Wilk test. The outcomes of these tests, summarized in Table 3, the percentage log returns for onion in the Lucknow market show significant deviation at 1% level of significance based on</w:t>
      </w:r>
      <w:r>
        <w:rPr>
          <w:rFonts w:ascii="Times New Roman" w:hAnsi="Times New Roman" w:cs="Times New Roman"/>
          <w:sz w:val="24"/>
          <w:szCs w:val="24"/>
        </w:rPr>
        <w:t xml:space="preserve"> </w:t>
      </w:r>
      <w:r w:rsidRPr="00B12574">
        <w:rPr>
          <w:rFonts w:ascii="Times New Roman" w:hAnsi="Times New Roman" w:cs="Times New Roman"/>
          <w:sz w:val="24"/>
          <w:szCs w:val="24"/>
        </w:rPr>
        <w:t>both</w:t>
      </w:r>
      <w:r>
        <w:rPr>
          <w:rFonts w:ascii="Times New Roman" w:hAnsi="Times New Roman" w:cs="Times New Roman"/>
          <w:sz w:val="24"/>
          <w:szCs w:val="24"/>
        </w:rPr>
        <w:t xml:space="preserve"> the</w:t>
      </w:r>
      <w:r w:rsidRPr="00B12574">
        <w:rPr>
          <w:rFonts w:ascii="Times New Roman" w:hAnsi="Times New Roman" w:cs="Times New Roman"/>
          <w:sz w:val="24"/>
          <w:szCs w:val="24"/>
        </w:rPr>
        <w:t xml:space="preserve"> tests. Thus, the</w:t>
      </w:r>
      <w:r>
        <w:rPr>
          <w:rFonts w:ascii="Times New Roman" w:hAnsi="Times New Roman" w:cs="Times New Roman"/>
          <w:sz w:val="24"/>
          <w:szCs w:val="24"/>
        </w:rPr>
        <w:t xml:space="preserve"> series of</w:t>
      </w:r>
      <w:r w:rsidRPr="00B12574">
        <w:rPr>
          <w:rFonts w:ascii="Times New Roman" w:hAnsi="Times New Roman" w:cs="Times New Roman"/>
          <w:sz w:val="24"/>
          <w:szCs w:val="24"/>
        </w:rPr>
        <w:t xml:space="preserve"> percentage log-returns for Lucknow market</w:t>
      </w:r>
      <w:r>
        <w:rPr>
          <w:rFonts w:ascii="Times New Roman" w:hAnsi="Times New Roman" w:cs="Times New Roman"/>
          <w:sz w:val="24"/>
          <w:szCs w:val="24"/>
        </w:rPr>
        <w:t xml:space="preserve"> is</w:t>
      </w:r>
      <w:r w:rsidRPr="00B12574">
        <w:rPr>
          <w:rFonts w:ascii="Times New Roman" w:hAnsi="Times New Roman" w:cs="Times New Roman"/>
          <w:sz w:val="24"/>
          <w:szCs w:val="24"/>
        </w:rPr>
        <w:t xml:space="preserve"> found to be non-normal. </w:t>
      </w:r>
      <w:r w:rsidR="00B0190C">
        <w:rPr>
          <w:rFonts w:ascii="Times New Roman" w:hAnsi="Times New Roman" w:cs="Times New Roman"/>
          <w:sz w:val="24"/>
          <w:szCs w:val="24"/>
        </w:rPr>
        <w:lastRenderedPageBreak/>
        <w:t>B</w:t>
      </w:r>
      <w:r w:rsidRPr="00B12574">
        <w:rPr>
          <w:rFonts w:ascii="Times New Roman" w:hAnsi="Times New Roman" w:cs="Times New Roman"/>
          <w:sz w:val="24"/>
          <w:szCs w:val="24"/>
        </w:rPr>
        <w:t xml:space="preserve">ecause of the </w:t>
      </w:r>
      <w:r w:rsidR="00B0190C">
        <w:rPr>
          <w:rFonts w:ascii="Times New Roman" w:hAnsi="Times New Roman" w:cs="Times New Roman"/>
          <w:sz w:val="24"/>
          <w:szCs w:val="24"/>
        </w:rPr>
        <w:t>high</w:t>
      </w:r>
      <w:r w:rsidRPr="00B12574">
        <w:rPr>
          <w:rFonts w:ascii="Times New Roman" w:hAnsi="Times New Roman" w:cs="Times New Roman"/>
          <w:sz w:val="24"/>
          <w:szCs w:val="24"/>
        </w:rPr>
        <w:t xml:space="preserve"> kurtosis</w:t>
      </w:r>
      <w:r w:rsidR="00B0190C">
        <w:rPr>
          <w:rFonts w:ascii="Times New Roman" w:hAnsi="Times New Roman" w:cs="Times New Roman"/>
          <w:sz w:val="24"/>
          <w:szCs w:val="24"/>
        </w:rPr>
        <w:t>,</w:t>
      </w:r>
      <w:r w:rsidR="00B0190C" w:rsidRPr="00B0190C">
        <w:rPr>
          <w:rFonts w:ascii="Times New Roman" w:hAnsi="Times New Roman" w:cs="Times New Roman"/>
          <w:sz w:val="24"/>
          <w:szCs w:val="24"/>
        </w:rPr>
        <w:t xml:space="preserve"> </w:t>
      </w:r>
      <w:r w:rsidR="00B0190C">
        <w:rPr>
          <w:rFonts w:ascii="Times New Roman" w:hAnsi="Times New Roman" w:cs="Times New Roman"/>
          <w:sz w:val="24"/>
          <w:szCs w:val="24"/>
        </w:rPr>
        <w:t>t</w:t>
      </w:r>
      <w:r w:rsidR="00B0190C" w:rsidRPr="00B12574">
        <w:rPr>
          <w:rFonts w:ascii="Times New Roman" w:hAnsi="Times New Roman" w:cs="Times New Roman"/>
          <w:sz w:val="24"/>
          <w:szCs w:val="24"/>
        </w:rPr>
        <w:t xml:space="preserve">he data series are </w:t>
      </w:r>
      <w:r w:rsidR="00B0190C">
        <w:rPr>
          <w:rFonts w:ascii="Times New Roman" w:hAnsi="Times New Roman" w:cs="Times New Roman"/>
          <w:sz w:val="24"/>
          <w:szCs w:val="24"/>
        </w:rPr>
        <w:t>assumed</w:t>
      </w:r>
      <w:r w:rsidR="00B0190C" w:rsidRPr="00B12574">
        <w:rPr>
          <w:rFonts w:ascii="Times New Roman" w:hAnsi="Times New Roman" w:cs="Times New Roman"/>
          <w:sz w:val="24"/>
          <w:szCs w:val="24"/>
        </w:rPr>
        <w:t xml:space="preserve"> to follow the </w:t>
      </w:r>
      <w:r w:rsidR="00B0190C" w:rsidRPr="002E22C9">
        <w:rPr>
          <w:rFonts w:ascii="Times New Roman" w:hAnsi="Times New Roman" w:cs="Times New Roman"/>
          <w:i/>
          <w:iCs/>
          <w:sz w:val="24"/>
          <w:szCs w:val="24"/>
        </w:rPr>
        <w:t>t</w:t>
      </w:r>
      <w:r w:rsidR="00B0190C" w:rsidRPr="00B12574">
        <w:rPr>
          <w:rFonts w:ascii="Times New Roman" w:hAnsi="Times New Roman" w:cs="Times New Roman"/>
          <w:sz w:val="24"/>
          <w:szCs w:val="24"/>
        </w:rPr>
        <w:t>-distribution</w:t>
      </w:r>
      <w:r w:rsidRPr="00B12574">
        <w:rPr>
          <w:rFonts w:ascii="Times New Roman" w:hAnsi="Times New Roman" w:cs="Times New Roman"/>
          <w:sz w:val="24"/>
          <w:szCs w:val="24"/>
        </w:rPr>
        <w:t>. As a result, the distribution</w:t>
      </w:r>
      <w:r w:rsidR="00B0190C">
        <w:rPr>
          <w:rFonts w:ascii="Times New Roman" w:hAnsi="Times New Roman" w:cs="Times New Roman"/>
          <w:sz w:val="24"/>
          <w:szCs w:val="24"/>
        </w:rPr>
        <w:t xml:space="preserve"> of innovation</w:t>
      </w:r>
      <w:r w:rsidRPr="00B12574">
        <w:rPr>
          <w:rFonts w:ascii="Times New Roman" w:hAnsi="Times New Roman" w:cs="Times New Roman"/>
          <w:sz w:val="24"/>
          <w:szCs w:val="24"/>
        </w:rPr>
        <w:t xml:space="preserve"> is regarded as the </w:t>
      </w:r>
      <w:r w:rsidRPr="00B12574">
        <w:rPr>
          <w:rFonts w:ascii="Times New Roman" w:hAnsi="Times New Roman" w:cs="Times New Roman"/>
          <w:i/>
          <w:iCs/>
          <w:sz w:val="24"/>
          <w:szCs w:val="24"/>
        </w:rPr>
        <w:t>t</w:t>
      </w:r>
      <w:r w:rsidRPr="00B12574">
        <w:rPr>
          <w:rFonts w:ascii="Times New Roman" w:hAnsi="Times New Roman" w:cs="Times New Roman"/>
          <w:sz w:val="24"/>
          <w:szCs w:val="24"/>
        </w:rPr>
        <w:t>-distribution.</w:t>
      </w:r>
    </w:p>
    <w:p w14:paraId="79F1617F" w14:textId="1E9A239F"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3: </w:t>
      </w:r>
      <w:r w:rsidRPr="009A5BFC">
        <w:rPr>
          <w:rFonts w:ascii="Times New Roman" w:eastAsiaTheme="minorEastAsia" w:hAnsi="Times New Roman" w:cs="Times New Roman"/>
          <w:sz w:val="24"/>
          <w:szCs w:val="24"/>
        </w:rPr>
        <w:t>Normality test results for percentage log returns series</w:t>
      </w:r>
    </w:p>
    <w:tbl>
      <w:tblPr>
        <w:tblStyle w:val="TableGrid"/>
        <w:tblW w:w="0" w:type="auto"/>
        <w:tblLook w:val="04A0" w:firstRow="1" w:lastRow="0" w:firstColumn="1" w:lastColumn="0" w:noHBand="0" w:noVBand="1"/>
      </w:tblPr>
      <w:tblGrid>
        <w:gridCol w:w="1803"/>
        <w:gridCol w:w="1803"/>
        <w:gridCol w:w="1803"/>
        <w:gridCol w:w="1803"/>
        <w:gridCol w:w="1804"/>
      </w:tblGrid>
      <w:tr w:rsidR="0012044A" w14:paraId="4F2D4451" w14:textId="77777777" w:rsidTr="00B4378C">
        <w:tc>
          <w:tcPr>
            <w:tcW w:w="1803" w:type="dxa"/>
          </w:tcPr>
          <w:p w14:paraId="3C363DF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3606" w:type="dxa"/>
            <w:gridSpan w:val="2"/>
          </w:tcPr>
          <w:p w14:paraId="07F53908"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Jarque-Bera rest</w:t>
            </w:r>
          </w:p>
        </w:tc>
        <w:tc>
          <w:tcPr>
            <w:tcW w:w="3607" w:type="dxa"/>
            <w:gridSpan w:val="2"/>
          </w:tcPr>
          <w:p w14:paraId="65998FC4"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Shapiro-Wilk test</w:t>
            </w:r>
          </w:p>
        </w:tc>
      </w:tr>
      <w:tr w:rsidR="0012044A" w14:paraId="06FF775E" w14:textId="77777777" w:rsidTr="00B4378C">
        <w:tc>
          <w:tcPr>
            <w:tcW w:w="1803" w:type="dxa"/>
            <w:vMerge w:val="restart"/>
          </w:tcPr>
          <w:p w14:paraId="16A2C9C5"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803" w:type="dxa"/>
          </w:tcPr>
          <w:p w14:paraId="7E23451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803" w:type="dxa"/>
          </w:tcPr>
          <w:p w14:paraId="2A1E318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0A3C4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c>
          <w:tcPr>
            <w:tcW w:w="1803" w:type="dxa"/>
          </w:tcPr>
          <w:p w14:paraId="635E443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804" w:type="dxa"/>
          </w:tcPr>
          <w:p w14:paraId="326C7CE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0A3C4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r>
      <w:tr w:rsidR="0012044A" w14:paraId="2561BCCC" w14:textId="77777777" w:rsidTr="00B4378C">
        <w:tc>
          <w:tcPr>
            <w:tcW w:w="1803" w:type="dxa"/>
            <w:vMerge/>
          </w:tcPr>
          <w:p w14:paraId="11930A6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1803" w:type="dxa"/>
          </w:tcPr>
          <w:p w14:paraId="510295D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10.34</w:t>
            </w:r>
          </w:p>
        </w:tc>
        <w:tc>
          <w:tcPr>
            <w:tcW w:w="1803" w:type="dxa"/>
          </w:tcPr>
          <w:p w14:paraId="6B3B281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c>
          <w:tcPr>
            <w:tcW w:w="1803" w:type="dxa"/>
          </w:tcPr>
          <w:p w14:paraId="577D725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0.97</w:t>
            </w:r>
          </w:p>
        </w:tc>
        <w:tc>
          <w:tcPr>
            <w:tcW w:w="1804" w:type="dxa"/>
          </w:tcPr>
          <w:p w14:paraId="02983CD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r>
    </w:tbl>
    <w:p w14:paraId="3194B1A8"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25F5BC54" w14:textId="020BD8FB" w:rsidR="00C57BEF" w:rsidRPr="00C2081D"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3.5 </w:t>
      </w:r>
      <w:r w:rsidRPr="00427776">
        <w:rPr>
          <w:rFonts w:ascii="Times New Roman" w:eastAsiaTheme="minorEastAsia" w:hAnsi="Times New Roman" w:cs="Times New Roman"/>
          <w:b/>
          <w:bCs/>
          <w:sz w:val="24"/>
          <w:szCs w:val="24"/>
        </w:rPr>
        <w:t>Examination of Stationarity:</w:t>
      </w:r>
      <w:r>
        <w:rPr>
          <w:rFonts w:ascii="Times New Roman" w:eastAsiaTheme="minorEastAsia" w:hAnsi="Times New Roman" w:cs="Times New Roman"/>
          <w:sz w:val="24"/>
          <w:szCs w:val="24"/>
        </w:rPr>
        <w:t xml:space="preserve"> Three essential tests, namely ADF (Augmented Dicky-Fuller) test, the PP (Phillips-Peron) test, and the KPSS (</w:t>
      </w:r>
      <w:proofErr w:type="spellStart"/>
      <w:r>
        <w:rPr>
          <w:rFonts w:ascii="Times New Roman" w:eastAsiaTheme="minorEastAsia" w:hAnsi="Times New Roman" w:cs="Times New Roman"/>
          <w:sz w:val="24"/>
          <w:szCs w:val="24"/>
        </w:rPr>
        <w:t>Kwaiatkowski</w:t>
      </w:r>
      <w:proofErr w:type="spellEnd"/>
      <w:r>
        <w:rPr>
          <w:rFonts w:ascii="Times New Roman" w:eastAsiaTheme="minorEastAsia" w:hAnsi="Times New Roman" w:cs="Times New Roman"/>
          <w:sz w:val="24"/>
          <w:szCs w:val="24"/>
        </w:rPr>
        <w:t xml:space="preserve">-Phillips-Schmidt-Shin) test, have been employed to assess the stationarity of the dataset. The test results on stationarity for the series of percentage log returns for the Lucknow market have been summarized in Table 4. The findings show that the series is stationary, supported by the corresponding </w:t>
      </w:r>
      <w:r w:rsidRPr="00402CC5">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-values.</w:t>
      </w:r>
    </w:p>
    <w:p w14:paraId="610C1B25" w14:textId="163FBB00"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4: </w:t>
      </w:r>
      <w:r w:rsidRPr="009A5BFC">
        <w:rPr>
          <w:rFonts w:ascii="Times New Roman" w:eastAsiaTheme="minorEastAsia" w:hAnsi="Times New Roman" w:cs="Times New Roman"/>
          <w:sz w:val="24"/>
          <w:szCs w:val="24"/>
        </w:rPr>
        <w:t>Stationary test on percentage log returns series</w:t>
      </w:r>
    </w:p>
    <w:tbl>
      <w:tblPr>
        <w:tblStyle w:val="TableGrid"/>
        <w:tblW w:w="0" w:type="auto"/>
        <w:tblLook w:val="04A0" w:firstRow="1" w:lastRow="0" w:firstColumn="1" w:lastColumn="0" w:noHBand="0" w:noVBand="1"/>
      </w:tblPr>
      <w:tblGrid>
        <w:gridCol w:w="1363"/>
        <w:gridCol w:w="1279"/>
        <w:gridCol w:w="1272"/>
        <w:gridCol w:w="1277"/>
        <w:gridCol w:w="1272"/>
        <w:gridCol w:w="1281"/>
        <w:gridCol w:w="1272"/>
      </w:tblGrid>
      <w:tr w:rsidR="0012044A" w14:paraId="2D27D317" w14:textId="77777777" w:rsidTr="00B4378C">
        <w:tc>
          <w:tcPr>
            <w:tcW w:w="1363" w:type="dxa"/>
          </w:tcPr>
          <w:p w14:paraId="287A56C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2551" w:type="dxa"/>
            <w:gridSpan w:val="2"/>
          </w:tcPr>
          <w:p w14:paraId="785EC456"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ADF test</w:t>
            </w:r>
          </w:p>
        </w:tc>
        <w:tc>
          <w:tcPr>
            <w:tcW w:w="2549" w:type="dxa"/>
            <w:gridSpan w:val="2"/>
          </w:tcPr>
          <w:p w14:paraId="669F071C"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PP test</w:t>
            </w:r>
          </w:p>
        </w:tc>
        <w:tc>
          <w:tcPr>
            <w:tcW w:w="2553" w:type="dxa"/>
            <w:gridSpan w:val="2"/>
          </w:tcPr>
          <w:p w14:paraId="7DE09E5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KPSS test</w:t>
            </w:r>
          </w:p>
        </w:tc>
      </w:tr>
      <w:tr w:rsidR="0012044A" w14:paraId="28A2AFD7" w14:textId="77777777" w:rsidTr="00B4378C">
        <w:tc>
          <w:tcPr>
            <w:tcW w:w="1363" w:type="dxa"/>
            <w:vMerge w:val="restart"/>
          </w:tcPr>
          <w:p w14:paraId="6BD9DE83"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279" w:type="dxa"/>
          </w:tcPr>
          <w:p w14:paraId="203A3A8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272" w:type="dxa"/>
          </w:tcPr>
          <w:p w14:paraId="74E43F7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D61709">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c>
          <w:tcPr>
            <w:tcW w:w="1277" w:type="dxa"/>
          </w:tcPr>
          <w:p w14:paraId="7363535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272" w:type="dxa"/>
          </w:tcPr>
          <w:p w14:paraId="44819A9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D61709">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c>
          <w:tcPr>
            <w:tcW w:w="1281" w:type="dxa"/>
          </w:tcPr>
          <w:p w14:paraId="3B15105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Statistic</w:t>
            </w:r>
          </w:p>
        </w:tc>
        <w:tc>
          <w:tcPr>
            <w:tcW w:w="1272" w:type="dxa"/>
          </w:tcPr>
          <w:p w14:paraId="32209FE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sidRPr="00D61709">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w:t>
            </w:r>
          </w:p>
        </w:tc>
      </w:tr>
      <w:tr w:rsidR="0012044A" w14:paraId="30F02B43" w14:textId="77777777" w:rsidTr="00B4378C">
        <w:tc>
          <w:tcPr>
            <w:tcW w:w="1363" w:type="dxa"/>
            <w:vMerge/>
          </w:tcPr>
          <w:p w14:paraId="0440A5E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1279" w:type="dxa"/>
          </w:tcPr>
          <w:p w14:paraId="3F2A07E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-8.09</w:t>
            </w:r>
          </w:p>
        </w:tc>
        <w:tc>
          <w:tcPr>
            <w:tcW w:w="1272" w:type="dxa"/>
          </w:tcPr>
          <w:p w14:paraId="4A7E197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c>
          <w:tcPr>
            <w:tcW w:w="1277" w:type="dxa"/>
          </w:tcPr>
          <w:p w14:paraId="62A396F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-137.06</w:t>
            </w:r>
          </w:p>
        </w:tc>
        <w:tc>
          <w:tcPr>
            <w:tcW w:w="1272" w:type="dxa"/>
          </w:tcPr>
          <w:p w14:paraId="38E3461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&lt;0.01</w:t>
            </w:r>
          </w:p>
        </w:tc>
        <w:tc>
          <w:tcPr>
            <w:tcW w:w="1281" w:type="dxa"/>
          </w:tcPr>
          <w:p w14:paraId="0203C6D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0.01</w:t>
            </w:r>
          </w:p>
        </w:tc>
        <w:tc>
          <w:tcPr>
            <w:tcW w:w="1272" w:type="dxa"/>
          </w:tcPr>
          <w:p w14:paraId="65EF85E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0.10</w:t>
            </w:r>
          </w:p>
        </w:tc>
      </w:tr>
    </w:tbl>
    <w:p w14:paraId="08B87300"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p>
    <w:p w14:paraId="2175299C" w14:textId="348FE4F1" w:rsidR="0012044A" w:rsidRPr="00C57BEF" w:rsidRDefault="0012044A" w:rsidP="00C57BEF">
      <w:pPr>
        <w:spacing w:line="360" w:lineRule="auto"/>
        <w:jc w:val="both"/>
        <w:rPr>
          <w:rFonts w:ascii="Times New Roman" w:hAnsi="Times New Roman" w:cs="Times New Roman"/>
          <w:sz w:val="24"/>
          <w:szCs w:val="24"/>
          <w:highlight w:val="yellow"/>
        </w:rPr>
      </w:pPr>
      <w:r>
        <w:rPr>
          <w:rFonts w:ascii="Times New Roman" w:hAnsi="Times New Roman" w:cs="Times New Roman"/>
          <w:b/>
          <w:bCs/>
          <w:sz w:val="24"/>
          <w:szCs w:val="24"/>
        </w:rPr>
        <w:t xml:space="preserve">3.6 </w:t>
      </w:r>
      <w:r w:rsidRPr="00552E21">
        <w:rPr>
          <w:rFonts w:ascii="Times New Roman" w:hAnsi="Times New Roman" w:cs="Times New Roman"/>
          <w:b/>
          <w:bCs/>
          <w:sz w:val="24"/>
          <w:szCs w:val="24"/>
        </w:rPr>
        <w:t>Residual Analysis:</w:t>
      </w:r>
      <w:r w:rsidRPr="00552E21">
        <w:rPr>
          <w:rFonts w:ascii="Times New Roman" w:hAnsi="Times New Roman" w:cs="Times New Roman"/>
          <w:sz w:val="24"/>
          <w:szCs w:val="24"/>
        </w:rPr>
        <w:t xml:space="preserve"> </w:t>
      </w:r>
      <w:r w:rsidR="002E08D9">
        <w:rPr>
          <w:rFonts w:ascii="Times New Roman" w:hAnsi="Times New Roman" w:cs="Times New Roman"/>
          <w:sz w:val="24"/>
          <w:szCs w:val="24"/>
        </w:rPr>
        <w:t>R</w:t>
      </w:r>
      <w:r w:rsidRPr="00552E21">
        <w:rPr>
          <w:rFonts w:ascii="Times New Roman" w:hAnsi="Times New Roman" w:cs="Times New Roman"/>
          <w:sz w:val="24"/>
          <w:szCs w:val="24"/>
        </w:rPr>
        <w:t>esiduals are obtained</w:t>
      </w:r>
      <w:r w:rsidR="002E08D9">
        <w:rPr>
          <w:rFonts w:ascii="Times New Roman" w:hAnsi="Times New Roman" w:cs="Times New Roman"/>
          <w:sz w:val="24"/>
          <w:szCs w:val="24"/>
        </w:rPr>
        <w:t xml:space="preserve"> by fitting various order of ARMA as a mean model to the</w:t>
      </w:r>
      <w:r w:rsidR="002E08D9" w:rsidRPr="002E08D9">
        <w:rPr>
          <w:rFonts w:ascii="Times New Roman" w:hAnsi="Times New Roman" w:cs="Times New Roman"/>
          <w:sz w:val="24"/>
          <w:szCs w:val="24"/>
        </w:rPr>
        <w:t xml:space="preserve"> </w:t>
      </w:r>
      <w:r w:rsidR="002E08D9" w:rsidRPr="00552E21">
        <w:rPr>
          <w:rFonts w:ascii="Times New Roman" w:hAnsi="Times New Roman" w:cs="Times New Roman"/>
          <w:sz w:val="24"/>
          <w:szCs w:val="24"/>
        </w:rPr>
        <w:t>percentage log return series</w:t>
      </w:r>
      <w:r w:rsidRPr="00552E21">
        <w:rPr>
          <w:rFonts w:ascii="Times New Roman" w:hAnsi="Times New Roman" w:cs="Times New Roman"/>
          <w:sz w:val="24"/>
          <w:szCs w:val="24"/>
        </w:rPr>
        <w:t>.</w:t>
      </w:r>
      <w:r>
        <w:rPr>
          <w:rFonts w:ascii="Times New Roman" w:hAnsi="Times New Roman" w:cs="Times New Roman"/>
          <w:sz w:val="24"/>
          <w:szCs w:val="24"/>
        </w:rPr>
        <w:t xml:space="preserve"> </w:t>
      </w:r>
      <w:r w:rsidRPr="00552E21">
        <w:rPr>
          <w:rFonts w:ascii="Times New Roman" w:hAnsi="Times New Roman" w:cs="Times New Roman"/>
          <w:sz w:val="24"/>
          <w:szCs w:val="24"/>
        </w:rPr>
        <w:t>The Ljung-Box test, ARCH-LM test, and BDS test are used to assess the residuals for serial autocorrelation, heteroscedasticity, and nonlinearity, respectively. The null hypothesis that there is no autocorrelation is rejected by the Ljung-Box test results, which are displayed in Table 5 and reveal strong serial autocorrelation. Table 5 provides a summary of the ARCH-LM test., reveals heteroscedasticity</w:t>
      </w:r>
      <w:r>
        <w:rPr>
          <w:rFonts w:ascii="Times New Roman" w:hAnsi="Times New Roman" w:cs="Times New Roman"/>
          <w:sz w:val="24"/>
          <w:szCs w:val="24"/>
        </w:rPr>
        <w:t xml:space="preserve"> and </w:t>
      </w:r>
      <w:r w:rsidRPr="00552E21">
        <w:rPr>
          <w:rFonts w:ascii="Times New Roman" w:hAnsi="Times New Roman" w:cs="Times New Roman"/>
          <w:sz w:val="24"/>
          <w:szCs w:val="24"/>
        </w:rPr>
        <w:t>suggest</w:t>
      </w:r>
      <w:r>
        <w:rPr>
          <w:rFonts w:ascii="Times New Roman" w:hAnsi="Times New Roman" w:cs="Times New Roman"/>
          <w:sz w:val="24"/>
          <w:szCs w:val="24"/>
        </w:rPr>
        <w:t>s</w:t>
      </w:r>
      <w:r w:rsidRPr="00552E21">
        <w:rPr>
          <w:rFonts w:ascii="Times New Roman" w:hAnsi="Times New Roman" w:cs="Times New Roman"/>
          <w:sz w:val="24"/>
          <w:szCs w:val="24"/>
        </w:rPr>
        <w:t xml:space="preserve"> that the residual variance changes over time. Additionally, the BDS test results</w:t>
      </w:r>
      <w:r>
        <w:rPr>
          <w:rFonts w:ascii="Times New Roman" w:hAnsi="Times New Roman" w:cs="Times New Roman"/>
          <w:sz w:val="24"/>
          <w:szCs w:val="24"/>
        </w:rPr>
        <w:t xml:space="preserve"> given</w:t>
      </w:r>
      <w:r w:rsidRPr="00552E21">
        <w:rPr>
          <w:rFonts w:ascii="Times New Roman" w:hAnsi="Times New Roman" w:cs="Times New Roman"/>
          <w:sz w:val="24"/>
          <w:szCs w:val="24"/>
        </w:rPr>
        <w:t xml:space="preserve"> in Table 6, present clear indications of nonlinearity pattern in the residuals for Lucknow market. This is denoted by ‘***’ for </w:t>
      </w:r>
      <w:r w:rsidRPr="00DF72B7">
        <w:rPr>
          <w:rFonts w:ascii="Times New Roman" w:hAnsi="Times New Roman" w:cs="Times New Roman"/>
          <w:i/>
          <w:iCs/>
          <w:sz w:val="24"/>
          <w:szCs w:val="24"/>
        </w:rPr>
        <w:t>p</w:t>
      </w:r>
      <w:r w:rsidRPr="00552E21">
        <w:rPr>
          <w:rFonts w:ascii="Times New Roman" w:hAnsi="Times New Roman" w:cs="Times New Roman"/>
          <w:sz w:val="24"/>
          <w:szCs w:val="24"/>
        </w:rPr>
        <w:t>-values less than 0.01, indicating a strong nonlinearity in the residuals.</w:t>
      </w:r>
    </w:p>
    <w:p w14:paraId="26CA0FB4" w14:textId="77777777"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5: </w:t>
      </w:r>
      <w:r w:rsidRPr="005615F9">
        <w:rPr>
          <w:rFonts w:ascii="Times New Roman" w:eastAsiaTheme="minorEastAsia" w:hAnsi="Times New Roman" w:cs="Times New Roman"/>
          <w:sz w:val="24"/>
          <w:szCs w:val="24"/>
        </w:rPr>
        <w:t>Ljung-Box Test and ARCH-LM Results</w:t>
      </w:r>
    </w:p>
    <w:tbl>
      <w:tblPr>
        <w:tblStyle w:val="TableGrid"/>
        <w:tblW w:w="0" w:type="auto"/>
        <w:tblLook w:val="04A0" w:firstRow="1" w:lastRow="0" w:firstColumn="1" w:lastColumn="0" w:noHBand="0" w:noVBand="1"/>
      </w:tblPr>
      <w:tblGrid>
        <w:gridCol w:w="3005"/>
        <w:gridCol w:w="3005"/>
        <w:gridCol w:w="3006"/>
      </w:tblGrid>
      <w:tr w:rsidR="0012044A" w14:paraId="21543ACB" w14:textId="77777777" w:rsidTr="00B4378C">
        <w:tc>
          <w:tcPr>
            <w:tcW w:w="3005" w:type="dxa"/>
          </w:tcPr>
          <w:p w14:paraId="30C9318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3005" w:type="dxa"/>
          </w:tcPr>
          <w:p w14:paraId="317EBAC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Ljung-Box test statistic</w:t>
            </w:r>
          </w:p>
        </w:tc>
        <w:tc>
          <w:tcPr>
            <w:tcW w:w="3006" w:type="dxa"/>
          </w:tcPr>
          <w:p w14:paraId="65D1165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ARCH-LM test statistic</w:t>
            </w:r>
          </w:p>
        </w:tc>
      </w:tr>
      <w:tr w:rsidR="0012044A" w14:paraId="1AB8B679" w14:textId="77777777" w:rsidTr="00B4378C">
        <w:tc>
          <w:tcPr>
            <w:tcW w:w="3005" w:type="dxa"/>
          </w:tcPr>
          <w:p w14:paraId="37603006"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3005" w:type="dxa"/>
          </w:tcPr>
          <w:p w14:paraId="001F2B7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24.06</w:t>
            </w:r>
          </w:p>
        </w:tc>
        <w:tc>
          <w:tcPr>
            <w:tcW w:w="3006" w:type="dxa"/>
          </w:tcPr>
          <w:p w14:paraId="46D2A96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28.30</w:t>
            </w:r>
          </w:p>
        </w:tc>
      </w:tr>
    </w:tbl>
    <w:p w14:paraId="3B3D05B7"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Note: The test statistics provided in the table lead to </w:t>
      </w:r>
      <w:r w:rsidRPr="00C944D1">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-values of less than 0.01</w:t>
      </w:r>
    </w:p>
    <w:p w14:paraId="2081AF16" w14:textId="77777777" w:rsidR="00456807" w:rsidRDefault="00456807" w:rsidP="0012044A">
      <w:pPr>
        <w:pStyle w:val="ListParagraph"/>
        <w:spacing w:line="360" w:lineRule="auto"/>
        <w:ind w:left="0"/>
        <w:jc w:val="both"/>
        <w:rPr>
          <w:rFonts w:ascii="Times New Roman" w:eastAsiaTheme="minorEastAsia" w:hAnsi="Times New Roman" w:cs="Times New Roman"/>
          <w:b/>
          <w:bCs/>
          <w:sz w:val="24"/>
          <w:szCs w:val="24"/>
        </w:rPr>
      </w:pPr>
    </w:p>
    <w:p w14:paraId="750958F7" w14:textId="77777777" w:rsidR="00C2081D" w:rsidRDefault="00C2081D" w:rsidP="0012044A">
      <w:pPr>
        <w:pStyle w:val="ListParagraph"/>
        <w:spacing w:line="360" w:lineRule="auto"/>
        <w:ind w:left="0"/>
        <w:jc w:val="both"/>
        <w:rPr>
          <w:rFonts w:ascii="Times New Roman" w:eastAsiaTheme="minorEastAsia" w:hAnsi="Times New Roman" w:cs="Times New Roman"/>
          <w:b/>
          <w:bCs/>
          <w:sz w:val="24"/>
          <w:szCs w:val="24"/>
        </w:rPr>
      </w:pPr>
    </w:p>
    <w:p w14:paraId="2F111B71" w14:textId="176889F8" w:rsidR="0012044A" w:rsidRPr="00D73F89"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Table 6: </w:t>
      </w:r>
      <w:r w:rsidRPr="005615F9">
        <w:rPr>
          <w:rFonts w:ascii="Times New Roman" w:eastAsiaTheme="minorEastAsia" w:hAnsi="Times New Roman" w:cs="Times New Roman"/>
          <w:sz w:val="24"/>
          <w:szCs w:val="24"/>
        </w:rPr>
        <w:t>BDS Test results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2044A" w14:paraId="67E78BE7" w14:textId="77777777" w:rsidTr="00B4378C">
        <w:tc>
          <w:tcPr>
            <w:tcW w:w="1502" w:type="dxa"/>
          </w:tcPr>
          <w:p w14:paraId="3E568F5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1502" w:type="dxa"/>
          </w:tcPr>
          <w:p w14:paraId="19C6263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Dimension (m)</w:t>
            </w:r>
          </w:p>
        </w:tc>
        <w:tc>
          <w:tcPr>
            <w:tcW w:w="1503" w:type="dxa"/>
          </w:tcPr>
          <w:p w14:paraId="61B5FB5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1)</w:t>
            </w:r>
          </w:p>
        </w:tc>
        <w:tc>
          <w:tcPr>
            <w:tcW w:w="1503" w:type="dxa"/>
          </w:tcPr>
          <w:p w14:paraId="1D789BF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2)</w:t>
            </w:r>
          </w:p>
        </w:tc>
        <w:tc>
          <w:tcPr>
            <w:tcW w:w="1503" w:type="dxa"/>
          </w:tcPr>
          <w:p w14:paraId="370323C6"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3)</w:t>
            </w:r>
          </w:p>
        </w:tc>
        <w:tc>
          <w:tcPr>
            <w:tcW w:w="1503" w:type="dxa"/>
          </w:tcPr>
          <w:p w14:paraId="0E8037C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eps(</w:t>
            </w:r>
            <w:proofErr w:type="gramEnd"/>
            <w:r>
              <w:rPr>
                <w:rFonts w:ascii="Times New Roman" w:eastAsiaTheme="minorEastAsia" w:hAnsi="Times New Roman" w:cs="Times New Roman"/>
                <w:sz w:val="24"/>
                <w:szCs w:val="24"/>
              </w:rPr>
              <w:t>4)</w:t>
            </w:r>
          </w:p>
        </w:tc>
      </w:tr>
      <w:tr w:rsidR="0012044A" w14:paraId="5B240FDD" w14:textId="77777777" w:rsidTr="00B4378C">
        <w:tc>
          <w:tcPr>
            <w:tcW w:w="1502" w:type="dxa"/>
            <w:vMerge w:val="restart"/>
          </w:tcPr>
          <w:p w14:paraId="38EEFDE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1502" w:type="dxa"/>
          </w:tcPr>
          <w:p w14:paraId="438E55D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503" w:type="dxa"/>
          </w:tcPr>
          <w:p w14:paraId="4680D0C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5.13***</w:t>
            </w:r>
          </w:p>
        </w:tc>
        <w:tc>
          <w:tcPr>
            <w:tcW w:w="1503" w:type="dxa"/>
          </w:tcPr>
          <w:p w14:paraId="56D760A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4.85***</w:t>
            </w:r>
          </w:p>
        </w:tc>
        <w:tc>
          <w:tcPr>
            <w:tcW w:w="1503" w:type="dxa"/>
          </w:tcPr>
          <w:p w14:paraId="1FA3BD2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4.40***</w:t>
            </w:r>
          </w:p>
        </w:tc>
        <w:tc>
          <w:tcPr>
            <w:tcW w:w="1503" w:type="dxa"/>
          </w:tcPr>
          <w:p w14:paraId="679BB2B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3.94***</w:t>
            </w:r>
          </w:p>
        </w:tc>
      </w:tr>
      <w:tr w:rsidR="0012044A" w14:paraId="26D392C3" w14:textId="77777777" w:rsidTr="00B4378C">
        <w:tc>
          <w:tcPr>
            <w:tcW w:w="1502" w:type="dxa"/>
            <w:vMerge/>
          </w:tcPr>
          <w:p w14:paraId="1181750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p>
        </w:tc>
        <w:tc>
          <w:tcPr>
            <w:tcW w:w="1502" w:type="dxa"/>
          </w:tcPr>
          <w:p w14:paraId="2E72EB3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03" w:type="dxa"/>
          </w:tcPr>
          <w:p w14:paraId="09B6E29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5.88***</w:t>
            </w:r>
          </w:p>
        </w:tc>
        <w:tc>
          <w:tcPr>
            <w:tcW w:w="1503" w:type="dxa"/>
          </w:tcPr>
          <w:p w14:paraId="481EADF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5.40***</w:t>
            </w:r>
          </w:p>
        </w:tc>
        <w:tc>
          <w:tcPr>
            <w:tcW w:w="1503" w:type="dxa"/>
          </w:tcPr>
          <w:p w14:paraId="5C05B08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5.19***</w:t>
            </w:r>
          </w:p>
        </w:tc>
        <w:tc>
          <w:tcPr>
            <w:tcW w:w="1503" w:type="dxa"/>
          </w:tcPr>
          <w:p w14:paraId="61522147"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4.61***</w:t>
            </w:r>
          </w:p>
        </w:tc>
      </w:tr>
    </w:tbl>
    <w:p w14:paraId="1DB200E2" w14:textId="77777777" w:rsidR="0012044A" w:rsidRDefault="0012044A" w:rsidP="0012044A">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Note: “***” indicates significant at 1% level</w:t>
      </w:r>
    </w:p>
    <w:p w14:paraId="2638937B" w14:textId="02A6E7A2" w:rsidR="00C57BEF" w:rsidRPr="00C2081D" w:rsidRDefault="0012044A" w:rsidP="00C2081D">
      <w:pPr>
        <w:spacing w:line="360" w:lineRule="auto"/>
        <w:jc w:val="both"/>
        <w:rPr>
          <w:rFonts w:ascii="Times New Roman" w:hAnsi="Times New Roman" w:cs="Times New Roman"/>
          <w:sz w:val="24"/>
          <w:szCs w:val="24"/>
          <w:highlight w:val="yellow"/>
        </w:rPr>
      </w:pPr>
      <w:r w:rsidRPr="004D3DC1">
        <w:rPr>
          <w:rFonts w:ascii="Times New Roman" w:hAnsi="Times New Roman" w:cs="Times New Roman"/>
          <w:sz w:val="24"/>
          <w:szCs w:val="24"/>
        </w:rPr>
        <w:t>After confirming the presence of serial autocorrelation,</w:t>
      </w:r>
      <w:r w:rsidR="007D035C">
        <w:rPr>
          <w:rFonts w:ascii="Times New Roman" w:hAnsi="Times New Roman" w:cs="Times New Roman"/>
          <w:sz w:val="24"/>
          <w:szCs w:val="24"/>
        </w:rPr>
        <w:t xml:space="preserve"> </w:t>
      </w:r>
      <w:r w:rsidRPr="004D3DC1">
        <w:rPr>
          <w:rFonts w:ascii="Times New Roman" w:hAnsi="Times New Roman" w:cs="Times New Roman"/>
          <w:sz w:val="24"/>
          <w:szCs w:val="24"/>
        </w:rPr>
        <w:t>heteroscedasticity</w:t>
      </w:r>
      <w:r w:rsidR="007D035C">
        <w:rPr>
          <w:rFonts w:ascii="Times New Roman" w:hAnsi="Times New Roman" w:cs="Times New Roman"/>
          <w:sz w:val="24"/>
          <w:szCs w:val="24"/>
        </w:rPr>
        <w:t xml:space="preserve"> activity</w:t>
      </w:r>
      <w:r w:rsidRPr="004D3DC1">
        <w:rPr>
          <w:rFonts w:ascii="Times New Roman" w:hAnsi="Times New Roman" w:cs="Times New Roman"/>
          <w:sz w:val="24"/>
          <w:szCs w:val="24"/>
        </w:rPr>
        <w:t xml:space="preserve"> and nonlinearity in the residual</w:t>
      </w:r>
      <w:r w:rsidR="007D035C">
        <w:rPr>
          <w:rFonts w:ascii="Times New Roman" w:hAnsi="Times New Roman" w:cs="Times New Roman"/>
          <w:sz w:val="24"/>
          <w:szCs w:val="24"/>
        </w:rPr>
        <w:t xml:space="preserve"> part</w:t>
      </w:r>
      <w:r w:rsidRPr="004D3DC1">
        <w:rPr>
          <w:rFonts w:ascii="Times New Roman" w:hAnsi="Times New Roman" w:cs="Times New Roman"/>
          <w:sz w:val="24"/>
          <w:szCs w:val="24"/>
        </w:rPr>
        <w:t>,</w:t>
      </w:r>
      <w:r w:rsidR="007D035C">
        <w:rPr>
          <w:rFonts w:ascii="Times New Roman" w:hAnsi="Times New Roman" w:cs="Times New Roman"/>
          <w:sz w:val="24"/>
          <w:szCs w:val="24"/>
        </w:rPr>
        <w:t xml:space="preserve"> Standard </w:t>
      </w:r>
      <w:r w:rsidRPr="004D3DC1">
        <w:rPr>
          <w:rFonts w:ascii="Times New Roman" w:hAnsi="Times New Roman" w:cs="Times New Roman"/>
          <w:sz w:val="24"/>
          <w:szCs w:val="24"/>
        </w:rPr>
        <w:t>GARCH</w:t>
      </w:r>
      <w:r w:rsidR="007D035C">
        <w:rPr>
          <w:rFonts w:ascii="Times New Roman" w:hAnsi="Times New Roman" w:cs="Times New Roman"/>
          <w:sz w:val="24"/>
          <w:szCs w:val="24"/>
        </w:rPr>
        <w:t xml:space="preserve"> along with </w:t>
      </w:r>
      <w:r w:rsidR="007D035C" w:rsidRPr="004D3DC1">
        <w:rPr>
          <w:rFonts w:ascii="Times New Roman" w:hAnsi="Times New Roman" w:cs="Times New Roman"/>
          <w:sz w:val="24"/>
          <w:szCs w:val="24"/>
        </w:rPr>
        <w:t>asymmetric GARCH-type models</w:t>
      </w:r>
      <w:r w:rsidRPr="004D3DC1">
        <w:rPr>
          <w:rFonts w:ascii="Times New Roman" w:hAnsi="Times New Roman" w:cs="Times New Roman"/>
          <w:sz w:val="24"/>
          <w:szCs w:val="24"/>
        </w:rPr>
        <w:t xml:space="preserve"> are fitted to the residual series as variance model. Together with the symmetric and asymmetric variance models, the </w:t>
      </w:r>
      <w:r w:rsidR="007D035C">
        <w:rPr>
          <w:rFonts w:ascii="Times New Roman" w:hAnsi="Times New Roman" w:cs="Times New Roman"/>
          <w:sz w:val="24"/>
          <w:szCs w:val="24"/>
        </w:rPr>
        <w:t>superior</w:t>
      </w:r>
      <w:r w:rsidRPr="004D3DC1">
        <w:rPr>
          <w:rFonts w:ascii="Times New Roman" w:hAnsi="Times New Roman" w:cs="Times New Roman"/>
          <w:sz w:val="24"/>
          <w:szCs w:val="24"/>
        </w:rPr>
        <w:t>-performing ARMA order is selected (Table 7)</w:t>
      </w:r>
      <w:r w:rsidR="007D035C">
        <w:rPr>
          <w:rFonts w:ascii="Times New Roman" w:hAnsi="Times New Roman" w:cs="Times New Roman"/>
          <w:sz w:val="24"/>
          <w:szCs w:val="24"/>
        </w:rPr>
        <w:t xml:space="preserve"> on the basis of</w:t>
      </w:r>
      <w:r w:rsidRPr="004D3DC1">
        <w:rPr>
          <w:rFonts w:ascii="Times New Roman" w:hAnsi="Times New Roman" w:cs="Times New Roman"/>
          <w:sz w:val="24"/>
          <w:szCs w:val="24"/>
        </w:rPr>
        <w:t xml:space="preserve"> minimum AIC, BIC and HQC.</w:t>
      </w:r>
    </w:p>
    <w:p w14:paraId="21A0120F" w14:textId="335A31E3" w:rsidR="0012044A" w:rsidRPr="00DC71CC" w:rsidRDefault="0012044A" w:rsidP="0012044A">
      <w:pPr>
        <w:pStyle w:val="ListParagraph"/>
        <w:spacing w:line="360" w:lineRule="auto"/>
        <w:ind w:left="0"/>
        <w:jc w:val="both"/>
        <w:rPr>
          <w:rFonts w:ascii="Times New Roman" w:eastAsiaTheme="minorEastAsia" w:hAnsi="Times New Roman" w:cs="Times New Roman"/>
          <w:b/>
          <w:bCs/>
          <w:sz w:val="24"/>
          <w:szCs w:val="24"/>
        </w:rPr>
      </w:pPr>
      <w:r w:rsidRPr="00240A73">
        <w:rPr>
          <w:rFonts w:ascii="Times New Roman" w:eastAsiaTheme="minorEastAsia" w:hAnsi="Times New Roman" w:cs="Times New Roman"/>
          <w:b/>
          <w:bCs/>
          <w:sz w:val="24"/>
          <w:szCs w:val="24"/>
        </w:rPr>
        <w:t xml:space="preserve">Table 7: </w:t>
      </w:r>
      <w:r w:rsidRPr="005615F9">
        <w:rPr>
          <w:rFonts w:ascii="Times New Roman" w:eastAsiaTheme="minorEastAsia" w:hAnsi="Times New Roman" w:cs="Times New Roman"/>
          <w:sz w:val="24"/>
          <w:szCs w:val="24"/>
        </w:rPr>
        <w:t>Selected Asymmetric GARCH-type models and GARCH model for Lucknow market</w:t>
      </w:r>
    </w:p>
    <w:tbl>
      <w:tblPr>
        <w:tblStyle w:val="TableGrid"/>
        <w:tblW w:w="0" w:type="auto"/>
        <w:jc w:val="center"/>
        <w:tblLook w:val="04A0" w:firstRow="1" w:lastRow="0" w:firstColumn="1" w:lastColumn="0" w:noHBand="0" w:noVBand="1"/>
      </w:tblPr>
      <w:tblGrid>
        <w:gridCol w:w="1563"/>
        <w:gridCol w:w="3390"/>
        <w:gridCol w:w="636"/>
        <w:gridCol w:w="636"/>
        <w:gridCol w:w="723"/>
      </w:tblGrid>
      <w:tr w:rsidR="0012044A" w14:paraId="1F1E96F0" w14:textId="77777777" w:rsidTr="00B4378C">
        <w:trPr>
          <w:jc w:val="center"/>
        </w:trPr>
        <w:tc>
          <w:tcPr>
            <w:tcW w:w="0" w:type="auto"/>
          </w:tcPr>
          <w:p w14:paraId="14E17FC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Model</w:t>
            </w:r>
          </w:p>
        </w:tc>
        <w:tc>
          <w:tcPr>
            <w:tcW w:w="0" w:type="auto"/>
          </w:tcPr>
          <w:p w14:paraId="29EF9CD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Lucknow</w:t>
            </w:r>
          </w:p>
        </w:tc>
        <w:tc>
          <w:tcPr>
            <w:tcW w:w="0" w:type="auto"/>
          </w:tcPr>
          <w:p w14:paraId="686153C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AIC</w:t>
            </w:r>
          </w:p>
        </w:tc>
        <w:tc>
          <w:tcPr>
            <w:tcW w:w="0" w:type="auto"/>
          </w:tcPr>
          <w:p w14:paraId="78D8BBE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BIC</w:t>
            </w:r>
          </w:p>
        </w:tc>
        <w:tc>
          <w:tcPr>
            <w:tcW w:w="0" w:type="auto"/>
          </w:tcPr>
          <w:p w14:paraId="2DAE9F3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HQC</w:t>
            </w:r>
          </w:p>
        </w:tc>
      </w:tr>
      <w:tr w:rsidR="0012044A" w14:paraId="3A974B18" w14:textId="77777777" w:rsidTr="00B4378C">
        <w:trPr>
          <w:jc w:val="center"/>
        </w:trPr>
        <w:tc>
          <w:tcPr>
            <w:tcW w:w="0" w:type="auto"/>
          </w:tcPr>
          <w:p w14:paraId="7391312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GARCH</w:t>
            </w:r>
          </w:p>
        </w:tc>
        <w:tc>
          <w:tcPr>
            <w:tcW w:w="0" w:type="auto"/>
          </w:tcPr>
          <w:p w14:paraId="2416A4D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(1,0)-GARCH (1,1)</w:t>
            </w:r>
          </w:p>
        </w:tc>
        <w:tc>
          <w:tcPr>
            <w:tcW w:w="0" w:type="auto"/>
          </w:tcPr>
          <w:p w14:paraId="13BDBA1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9.48</w:t>
            </w:r>
          </w:p>
        </w:tc>
        <w:tc>
          <w:tcPr>
            <w:tcW w:w="0" w:type="auto"/>
          </w:tcPr>
          <w:p w14:paraId="70981DB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9.57</w:t>
            </w:r>
          </w:p>
        </w:tc>
        <w:tc>
          <w:tcPr>
            <w:tcW w:w="0" w:type="auto"/>
          </w:tcPr>
          <w:p w14:paraId="16B86214"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9.51</w:t>
            </w:r>
          </w:p>
        </w:tc>
      </w:tr>
      <w:tr w:rsidR="0012044A" w14:paraId="05E16368" w14:textId="77777777" w:rsidTr="00B4378C">
        <w:trPr>
          <w:jc w:val="center"/>
        </w:trPr>
        <w:tc>
          <w:tcPr>
            <w:tcW w:w="0" w:type="auto"/>
          </w:tcPr>
          <w:p w14:paraId="5928A98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EGARCH</w:t>
            </w:r>
          </w:p>
        </w:tc>
        <w:tc>
          <w:tcPr>
            <w:tcW w:w="0" w:type="auto"/>
          </w:tcPr>
          <w:p w14:paraId="07FCFA7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(1,0)-EGARCH (1,1)</w:t>
            </w:r>
          </w:p>
        </w:tc>
        <w:tc>
          <w:tcPr>
            <w:tcW w:w="0" w:type="auto"/>
          </w:tcPr>
          <w:p w14:paraId="0F2146DB"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9.47</w:t>
            </w:r>
          </w:p>
        </w:tc>
        <w:tc>
          <w:tcPr>
            <w:tcW w:w="0" w:type="auto"/>
          </w:tcPr>
          <w:p w14:paraId="0AA7E5B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9.58</w:t>
            </w:r>
          </w:p>
        </w:tc>
        <w:tc>
          <w:tcPr>
            <w:tcW w:w="0" w:type="auto"/>
          </w:tcPr>
          <w:p w14:paraId="6623C8F6"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9.51</w:t>
            </w:r>
          </w:p>
        </w:tc>
      </w:tr>
      <w:tr w:rsidR="0012044A" w14:paraId="7B436D11" w14:textId="77777777" w:rsidTr="00B4378C">
        <w:trPr>
          <w:jc w:val="center"/>
        </w:trPr>
        <w:tc>
          <w:tcPr>
            <w:tcW w:w="0" w:type="auto"/>
          </w:tcPr>
          <w:p w14:paraId="32AF3EA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GJR-GARCH</w:t>
            </w:r>
          </w:p>
        </w:tc>
        <w:tc>
          <w:tcPr>
            <w:tcW w:w="0" w:type="auto"/>
          </w:tcPr>
          <w:p w14:paraId="0804985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(1,0)-GJR-GARCH (1,1)</w:t>
            </w:r>
          </w:p>
        </w:tc>
        <w:tc>
          <w:tcPr>
            <w:tcW w:w="0" w:type="auto"/>
          </w:tcPr>
          <w:p w14:paraId="33560AFE"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9.54</w:t>
            </w:r>
          </w:p>
        </w:tc>
        <w:tc>
          <w:tcPr>
            <w:tcW w:w="0" w:type="auto"/>
          </w:tcPr>
          <w:p w14:paraId="06F078A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9.65</w:t>
            </w:r>
          </w:p>
        </w:tc>
        <w:tc>
          <w:tcPr>
            <w:tcW w:w="0" w:type="auto"/>
          </w:tcPr>
          <w:p w14:paraId="5250A7D5"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9.59</w:t>
            </w:r>
          </w:p>
        </w:tc>
      </w:tr>
      <w:tr w:rsidR="0012044A" w14:paraId="3C470E3B" w14:textId="77777777" w:rsidTr="00B4378C">
        <w:trPr>
          <w:jc w:val="center"/>
        </w:trPr>
        <w:tc>
          <w:tcPr>
            <w:tcW w:w="0" w:type="auto"/>
          </w:tcPr>
          <w:p w14:paraId="64BC2B7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APARCH</w:t>
            </w:r>
          </w:p>
        </w:tc>
        <w:tc>
          <w:tcPr>
            <w:tcW w:w="0" w:type="auto"/>
          </w:tcPr>
          <w:p w14:paraId="21DBA17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(1,0)-APARCH (1,1)</w:t>
            </w:r>
          </w:p>
        </w:tc>
        <w:tc>
          <w:tcPr>
            <w:tcW w:w="0" w:type="auto"/>
          </w:tcPr>
          <w:p w14:paraId="01CD042F"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9.49</w:t>
            </w:r>
          </w:p>
        </w:tc>
        <w:tc>
          <w:tcPr>
            <w:tcW w:w="0" w:type="auto"/>
          </w:tcPr>
          <w:p w14:paraId="31261EE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9.62</w:t>
            </w:r>
          </w:p>
        </w:tc>
        <w:tc>
          <w:tcPr>
            <w:tcW w:w="0" w:type="auto"/>
          </w:tcPr>
          <w:p w14:paraId="1E7CFEC8"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9.54</w:t>
            </w:r>
          </w:p>
        </w:tc>
      </w:tr>
    </w:tbl>
    <w:p w14:paraId="0CF9C388"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64CEE091" w14:textId="453E9E25" w:rsidR="0012044A" w:rsidRPr="00D45773" w:rsidRDefault="00D0215E"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On </w:t>
      </w:r>
      <w:r w:rsidR="0012044A" w:rsidRPr="008C69B0">
        <w:rPr>
          <w:rFonts w:ascii="Times New Roman" w:eastAsiaTheme="minorEastAsia" w:hAnsi="Times New Roman" w:cs="Times New Roman"/>
          <w:sz w:val="24"/>
          <w:szCs w:val="24"/>
        </w:rPr>
        <w:t>the</w:t>
      </w:r>
      <w:r>
        <w:rPr>
          <w:rFonts w:ascii="Times New Roman" w:eastAsiaTheme="minorEastAsia" w:hAnsi="Times New Roman" w:cs="Times New Roman"/>
          <w:sz w:val="24"/>
          <w:szCs w:val="24"/>
        </w:rPr>
        <w:t xml:space="preserve"> basis of</w:t>
      </w:r>
      <w:r w:rsidR="0012044A" w:rsidRPr="008C69B0">
        <w:rPr>
          <w:rFonts w:ascii="Times New Roman" w:eastAsiaTheme="minorEastAsia" w:hAnsi="Times New Roman" w:cs="Times New Roman"/>
          <w:sz w:val="24"/>
          <w:szCs w:val="24"/>
        </w:rPr>
        <w:t xml:space="preserve"> extent of fitting with the actual series in terms of</w:t>
      </w:r>
      <w:r>
        <w:rPr>
          <w:rFonts w:ascii="Times New Roman" w:eastAsiaTheme="minorEastAsia" w:hAnsi="Times New Roman" w:cs="Times New Roman"/>
          <w:sz w:val="24"/>
          <w:szCs w:val="24"/>
        </w:rPr>
        <w:t xml:space="preserve"> </w:t>
      </w:r>
      <w:r w:rsidR="0012044A">
        <w:rPr>
          <w:rFonts w:ascii="Times New Roman" w:eastAsiaTheme="minorEastAsia" w:hAnsi="Times New Roman" w:cs="Times New Roman"/>
          <w:sz w:val="24"/>
          <w:szCs w:val="24"/>
        </w:rPr>
        <w:t>MAE</w:t>
      </w:r>
      <w:r>
        <w:rPr>
          <w:rFonts w:ascii="Times New Roman" w:eastAsiaTheme="minorEastAsia" w:hAnsi="Times New Roman" w:cs="Times New Roman"/>
          <w:sz w:val="24"/>
          <w:szCs w:val="24"/>
        </w:rPr>
        <w:t>, MAPE</w:t>
      </w:r>
      <w:r w:rsidR="0012044A">
        <w:rPr>
          <w:rFonts w:ascii="Times New Roman" w:eastAsiaTheme="minorEastAsia" w:hAnsi="Times New Roman" w:cs="Times New Roman"/>
          <w:sz w:val="24"/>
          <w:szCs w:val="24"/>
        </w:rPr>
        <w:t xml:space="preserve"> and</w:t>
      </w:r>
      <w:r>
        <w:rPr>
          <w:rFonts w:ascii="Times New Roman" w:eastAsiaTheme="minorEastAsia" w:hAnsi="Times New Roman" w:cs="Times New Roman"/>
          <w:sz w:val="24"/>
          <w:szCs w:val="24"/>
        </w:rPr>
        <w:t xml:space="preserve"> RMSE</w:t>
      </w:r>
      <w:r w:rsidR="0012044A">
        <w:rPr>
          <w:rFonts w:ascii="Times New Roman" w:eastAsiaTheme="minorEastAsia" w:hAnsi="Times New Roman" w:cs="Times New Roman"/>
          <w:sz w:val="24"/>
          <w:szCs w:val="24"/>
        </w:rPr>
        <w:t xml:space="preserve"> for the model building set</w:t>
      </w:r>
      <w:r>
        <w:rPr>
          <w:rFonts w:ascii="Times New Roman" w:eastAsiaTheme="minorEastAsia" w:hAnsi="Times New Roman" w:cs="Times New Roman"/>
          <w:sz w:val="24"/>
          <w:szCs w:val="24"/>
        </w:rPr>
        <w:t>,</w:t>
      </w:r>
      <w:r w:rsidRPr="00D0215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w:t>
      </w:r>
      <w:r w:rsidRPr="008C69B0">
        <w:rPr>
          <w:rFonts w:ascii="Times New Roman" w:eastAsiaTheme="minorEastAsia" w:hAnsi="Times New Roman" w:cs="Times New Roman"/>
          <w:sz w:val="24"/>
          <w:szCs w:val="24"/>
        </w:rPr>
        <w:t>he ultimate decision is made</w:t>
      </w:r>
      <w:r w:rsidR="0012044A">
        <w:rPr>
          <w:rFonts w:ascii="Times New Roman" w:eastAsiaTheme="minorEastAsia" w:hAnsi="Times New Roman" w:cs="Times New Roman"/>
          <w:sz w:val="24"/>
          <w:szCs w:val="24"/>
        </w:rPr>
        <w:t xml:space="preserve"> reported in Table 8.</w:t>
      </w:r>
      <w:r w:rsidR="0012044A" w:rsidRPr="000C62F5">
        <w:rPr>
          <w:rFonts w:ascii="Times New Roman" w:eastAsiaTheme="minorEastAsia" w:hAnsi="Times New Roman" w:cs="Times New Roman"/>
          <w:sz w:val="24"/>
          <w:szCs w:val="24"/>
        </w:rPr>
        <w:t xml:space="preserve"> </w:t>
      </w:r>
      <w:r w:rsidR="0012044A">
        <w:rPr>
          <w:rFonts w:ascii="Times New Roman" w:eastAsiaTheme="minorEastAsia" w:hAnsi="Times New Roman" w:cs="Times New Roman"/>
          <w:sz w:val="24"/>
          <w:szCs w:val="24"/>
        </w:rPr>
        <w:t>For Lucknow market APARCH model with specific ARMA order outperforms as compared to the other applied variance models.</w:t>
      </w:r>
    </w:p>
    <w:p w14:paraId="1C8725D5" w14:textId="637E8A22"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8: </w:t>
      </w:r>
      <w:r w:rsidRPr="00D45773">
        <w:rPr>
          <w:rFonts w:ascii="Times New Roman" w:eastAsiaTheme="minorEastAsia" w:hAnsi="Times New Roman" w:cs="Times New Roman"/>
          <w:sz w:val="24"/>
          <w:szCs w:val="24"/>
        </w:rPr>
        <w:t>Fitting performance of the selected GARCH and asymmetric GARCH-type of models in the model building set of Lucknow markets</w:t>
      </w:r>
    </w:p>
    <w:tbl>
      <w:tblPr>
        <w:tblStyle w:val="TableGrid"/>
        <w:tblW w:w="0" w:type="auto"/>
        <w:jc w:val="center"/>
        <w:tblLook w:val="04A0" w:firstRow="1" w:lastRow="0" w:firstColumn="1" w:lastColumn="0" w:noHBand="0" w:noVBand="1"/>
      </w:tblPr>
      <w:tblGrid>
        <w:gridCol w:w="1430"/>
        <w:gridCol w:w="3310"/>
        <w:gridCol w:w="996"/>
        <w:gridCol w:w="876"/>
        <w:gridCol w:w="923"/>
      </w:tblGrid>
      <w:tr w:rsidR="0012044A" w14:paraId="7CC6C7E5" w14:textId="77777777" w:rsidTr="00B4378C">
        <w:trPr>
          <w:jc w:val="center"/>
        </w:trPr>
        <w:tc>
          <w:tcPr>
            <w:tcW w:w="0" w:type="auto"/>
          </w:tcPr>
          <w:p w14:paraId="07C3188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Commodity</w:t>
            </w:r>
          </w:p>
        </w:tc>
        <w:tc>
          <w:tcPr>
            <w:tcW w:w="0" w:type="auto"/>
          </w:tcPr>
          <w:p w14:paraId="6291873A"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Model</w:t>
            </w:r>
          </w:p>
        </w:tc>
        <w:tc>
          <w:tcPr>
            <w:tcW w:w="0" w:type="auto"/>
          </w:tcPr>
          <w:p w14:paraId="03FDAA2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RMSE</w:t>
            </w:r>
          </w:p>
        </w:tc>
        <w:tc>
          <w:tcPr>
            <w:tcW w:w="0" w:type="auto"/>
          </w:tcPr>
          <w:p w14:paraId="3574FA66"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MAE</w:t>
            </w:r>
          </w:p>
        </w:tc>
        <w:tc>
          <w:tcPr>
            <w:tcW w:w="0" w:type="auto"/>
          </w:tcPr>
          <w:p w14:paraId="63B6F44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MAPE</w:t>
            </w:r>
          </w:p>
        </w:tc>
      </w:tr>
      <w:tr w:rsidR="0012044A" w14:paraId="4E74AF61" w14:textId="77777777" w:rsidTr="00B4378C">
        <w:trPr>
          <w:trHeight w:val="633"/>
          <w:jc w:val="center"/>
        </w:trPr>
        <w:tc>
          <w:tcPr>
            <w:tcW w:w="0" w:type="auto"/>
            <w:vMerge w:val="restart"/>
          </w:tcPr>
          <w:p w14:paraId="70EF968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Onion</w:t>
            </w:r>
          </w:p>
        </w:tc>
        <w:tc>
          <w:tcPr>
            <w:tcW w:w="0" w:type="auto"/>
          </w:tcPr>
          <w:p w14:paraId="326F6A87"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(1,0)-GARCH (1,1)</w:t>
            </w:r>
          </w:p>
        </w:tc>
        <w:tc>
          <w:tcPr>
            <w:tcW w:w="0" w:type="auto"/>
          </w:tcPr>
          <w:p w14:paraId="775685A5"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127.126</w:t>
            </w:r>
          </w:p>
        </w:tc>
        <w:tc>
          <w:tcPr>
            <w:tcW w:w="0" w:type="auto"/>
          </w:tcPr>
          <w:p w14:paraId="4D520B85"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78.373</w:t>
            </w:r>
          </w:p>
        </w:tc>
        <w:tc>
          <w:tcPr>
            <w:tcW w:w="0" w:type="auto"/>
          </w:tcPr>
          <w:p w14:paraId="5F90BB77"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5.305</w:t>
            </w:r>
          </w:p>
        </w:tc>
      </w:tr>
      <w:tr w:rsidR="0012044A" w14:paraId="1CB87BAF" w14:textId="77777777" w:rsidTr="00B4378C">
        <w:trPr>
          <w:jc w:val="center"/>
        </w:trPr>
        <w:tc>
          <w:tcPr>
            <w:tcW w:w="0" w:type="auto"/>
            <w:vMerge/>
          </w:tcPr>
          <w:p w14:paraId="6D78EC56"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530F7FC0"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(1,0)-EGARCH (1,1)</w:t>
            </w:r>
          </w:p>
        </w:tc>
        <w:tc>
          <w:tcPr>
            <w:tcW w:w="0" w:type="auto"/>
          </w:tcPr>
          <w:p w14:paraId="14A4C0CB"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97.367</w:t>
            </w:r>
          </w:p>
        </w:tc>
        <w:tc>
          <w:tcPr>
            <w:tcW w:w="0" w:type="auto"/>
          </w:tcPr>
          <w:p w14:paraId="0F84EFA2" w14:textId="77777777" w:rsidR="0012044A" w:rsidRPr="005D0BF2"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60.132</w:t>
            </w:r>
          </w:p>
        </w:tc>
        <w:tc>
          <w:tcPr>
            <w:tcW w:w="0" w:type="auto"/>
          </w:tcPr>
          <w:p w14:paraId="79E9E30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4.098</w:t>
            </w:r>
          </w:p>
        </w:tc>
      </w:tr>
      <w:tr w:rsidR="0012044A" w14:paraId="2CDB3525" w14:textId="77777777" w:rsidTr="00B4378C">
        <w:trPr>
          <w:trHeight w:val="563"/>
          <w:jc w:val="center"/>
        </w:trPr>
        <w:tc>
          <w:tcPr>
            <w:tcW w:w="0" w:type="auto"/>
            <w:vMerge/>
          </w:tcPr>
          <w:p w14:paraId="6C6DBC1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48D6B90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(1,0)-GJRGARCH (1,1)</w:t>
            </w:r>
          </w:p>
        </w:tc>
        <w:tc>
          <w:tcPr>
            <w:tcW w:w="0" w:type="auto"/>
          </w:tcPr>
          <w:p w14:paraId="7085B56F" w14:textId="77777777" w:rsidR="0012044A" w:rsidRPr="00F612D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97.357</w:t>
            </w:r>
          </w:p>
        </w:tc>
        <w:tc>
          <w:tcPr>
            <w:tcW w:w="0" w:type="auto"/>
          </w:tcPr>
          <w:p w14:paraId="548E4661"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59.144</w:t>
            </w:r>
          </w:p>
        </w:tc>
        <w:tc>
          <w:tcPr>
            <w:tcW w:w="0" w:type="auto"/>
          </w:tcPr>
          <w:p w14:paraId="712ED62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4.096</w:t>
            </w:r>
          </w:p>
        </w:tc>
      </w:tr>
      <w:tr w:rsidR="0012044A" w14:paraId="5ADB951C" w14:textId="77777777" w:rsidTr="00B4378C">
        <w:trPr>
          <w:jc w:val="center"/>
        </w:trPr>
        <w:tc>
          <w:tcPr>
            <w:tcW w:w="0" w:type="auto"/>
            <w:vMerge/>
          </w:tcPr>
          <w:p w14:paraId="70929A4A"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4335FE8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B06DA6">
              <w:rPr>
                <w:rFonts w:ascii="Times New Roman" w:eastAsiaTheme="minorEastAsia" w:hAnsi="Times New Roman" w:cs="Times New Roman"/>
                <w:b/>
                <w:bCs/>
                <w:sz w:val="24"/>
                <w:szCs w:val="24"/>
              </w:rPr>
              <w:t>ARMA (1,0)-APARCH (1,1)</w:t>
            </w:r>
          </w:p>
        </w:tc>
        <w:tc>
          <w:tcPr>
            <w:tcW w:w="0" w:type="auto"/>
          </w:tcPr>
          <w:p w14:paraId="0972150D" w14:textId="77777777" w:rsidR="0012044A" w:rsidRPr="00F612D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F612DA">
              <w:rPr>
                <w:rFonts w:ascii="Times New Roman" w:eastAsiaTheme="minorEastAsia" w:hAnsi="Times New Roman" w:cs="Times New Roman"/>
                <w:b/>
                <w:bCs/>
                <w:sz w:val="24"/>
                <w:szCs w:val="24"/>
              </w:rPr>
              <w:t>77.539</w:t>
            </w:r>
          </w:p>
        </w:tc>
        <w:tc>
          <w:tcPr>
            <w:tcW w:w="0" w:type="auto"/>
          </w:tcPr>
          <w:p w14:paraId="789E5A4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47.448</w:t>
            </w:r>
          </w:p>
        </w:tc>
        <w:tc>
          <w:tcPr>
            <w:tcW w:w="0" w:type="auto"/>
          </w:tcPr>
          <w:p w14:paraId="6DFB4038"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3.205</w:t>
            </w:r>
          </w:p>
        </w:tc>
      </w:tr>
    </w:tbl>
    <w:p w14:paraId="34F43B40"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p>
    <w:p w14:paraId="432E086F" w14:textId="5693A11E" w:rsidR="00382DE5" w:rsidRPr="00B53F84" w:rsidRDefault="0059079F" w:rsidP="00B53F84">
      <w:pPr>
        <w:spacing w:line="360" w:lineRule="auto"/>
        <w:jc w:val="both"/>
        <w:rPr>
          <w:rFonts w:ascii="Times New Roman" w:eastAsiaTheme="minorEastAsia" w:hAnsi="Times New Roman" w:cs="Times New Roman"/>
          <w:sz w:val="24"/>
          <w:szCs w:val="24"/>
        </w:rPr>
      </w:pPr>
      <w:r w:rsidRPr="00B53F84">
        <w:rPr>
          <w:rFonts w:ascii="Times New Roman" w:eastAsiaTheme="minorEastAsia" w:hAnsi="Times New Roman" w:cs="Times New Roman"/>
          <w:sz w:val="24"/>
          <w:szCs w:val="24"/>
        </w:rPr>
        <w:lastRenderedPageBreak/>
        <w:t>The estimated ARMA (1,0)–APARCH (1,1) model provides useful insights into the mean and volatility dynamics of onion prices. In the mean equation, the constant term (μ = 0.17) is statistically significant, indicating a positive average price level, while the</w:t>
      </w:r>
      <w:r w:rsidR="005813E9" w:rsidRPr="00B53F8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oMath>
      <w:r w:rsidR="004B5E58" w:rsidRPr="00B53F84">
        <w:rPr>
          <w:rFonts w:ascii="Times New Roman" w:eastAsiaTheme="minorEastAsia" w:hAnsi="Times New Roman" w:cs="Times New Roman"/>
          <w:sz w:val="24"/>
          <w:szCs w:val="24"/>
        </w:rPr>
        <w:t xml:space="preserve"> </w:t>
      </w:r>
      <w:r w:rsidRPr="00B53F84">
        <w:rPr>
          <w:rFonts w:ascii="Times New Roman" w:eastAsiaTheme="minorEastAsia" w:hAnsi="Times New Roman" w:cs="Times New Roman"/>
          <w:sz w:val="24"/>
          <w:szCs w:val="24"/>
        </w:rPr>
        <w:t>coefficient</w:t>
      </w:r>
      <w:r w:rsidR="004B5E58" w:rsidRPr="00B53F84">
        <w:rPr>
          <w:rFonts w:ascii="Times New Roman" w:eastAsiaTheme="minorEastAsia" w:hAnsi="Times New Roman" w:cs="Times New Roman"/>
          <w:sz w:val="24"/>
          <w:szCs w:val="24"/>
        </w:rPr>
        <w:t xml:space="preserve"> </w:t>
      </w:r>
      <w:r w:rsidRPr="00B53F84">
        <w:rPr>
          <w:rFonts w:ascii="Times New Roman" w:eastAsiaTheme="minorEastAsia" w:hAnsi="Times New Roman" w:cs="Times New Roman"/>
          <w:sz w:val="24"/>
          <w:szCs w:val="24"/>
        </w:rPr>
        <w:t>(0.15) is significant, suggesting a mild persistence in price movements, where past prices have a limited but notable influence on current prices.</w:t>
      </w:r>
      <w:r w:rsidR="00C2081D">
        <w:rPr>
          <w:rFonts w:ascii="Times New Roman" w:eastAsiaTheme="minorEastAsia" w:hAnsi="Times New Roman" w:cs="Times New Roman"/>
          <w:sz w:val="24"/>
          <w:szCs w:val="24"/>
        </w:rPr>
        <w:t xml:space="preserve"> </w:t>
      </w:r>
      <w:r w:rsidRPr="00B53F84">
        <w:rPr>
          <w:rFonts w:ascii="Times New Roman" w:eastAsiaTheme="minorEastAsia" w:hAnsi="Times New Roman" w:cs="Times New Roman"/>
          <w:sz w:val="24"/>
          <w:szCs w:val="24"/>
        </w:rPr>
        <w:t>In the variance equation, the ARCH</w:t>
      </w:r>
      <w:r w:rsidR="00723547" w:rsidRPr="00B53F84">
        <w:rPr>
          <w:rFonts w:ascii="Times New Roman" w:eastAsiaTheme="minorEastAsia" w:hAnsi="Times New Roman" w:cs="Times New Roman"/>
          <w:sz w:val="24"/>
          <w:szCs w:val="24"/>
        </w:rPr>
        <w:t xml:space="preserve"> parameter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oMath>
      <w:r w:rsidRPr="00B53F84">
        <w:rPr>
          <w:rFonts w:ascii="Times New Roman" w:eastAsiaTheme="minorEastAsia" w:hAnsi="Times New Roman" w:cs="Times New Roman"/>
          <w:sz w:val="24"/>
          <w:szCs w:val="24"/>
        </w:rPr>
        <w:t>=0.38) is positive and highly significant, indicating that recent shocks have a strong impact on current volatility. The GARCH parameter (</w:t>
      </w:r>
      <m:oMath>
        <m:sSub>
          <m:sSubPr>
            <m:ctrlPr>
              <w:rPr>
                <w:rFonts w:ascii="Cambria Math" w:eastAsiaTheme="minorEastAsia" w:hAnsi="Cambria Math" w:cs="Times New Roman"/>
                <w:i/>
                <w:sz w:val="24"/>
                <w:szCs w:val="24"/>
              </w:rPr>
            </m:ctrlPr>
          </m:sSubPr>
          <m:e>
            <m:r>
              <w:rPr>
                <w:rFonts w:ascii="Cambria Math" w:hAnsi="Cambria Math"/>
                <w:i/>
              </w:rPr>
              <w:sym w:font="Symbol" w:char="F062"/>
            </m:r>
          </m:e>
          <m:sub>
            <m:r>
              <w:rPr>
                <w:rFonts w:ascii="Cambria Math" w:eastAsiaTheme="minorEastAsia" w:hAnsi="Cambria Math" w:cs="Times New Roman"/>
                <w:sz w:val="24"/>
                <w:szCs w:val="24"/>
              </w:rPr>
              <m:t>1</m:t>
            </m:r>
          </m:sub>
        </m:sSub>
      </m:oMath>
      <w:r w:rsidRPr="00B53F84">
        <w:rPr>
          <w:rFonts w:ascii="Times New Roman" w:eastAsiaTheme="minorEastAsia" w:hAnsi="Times New Roman" w:cs="Times New Roman"/>
          <w:sz w:val="24"/>
          <w:szCs w:val="24"/>
        </w:rPr>
        <w:t>=0.24) is also significant, confirming the presence of volatility clustering, though its relatively moderate magnitude suggests that persistence is not very high. The asymmetry parameter (</w:t>
      </w:r>
      <m:oMath>
        <m:r>
          <w:rPr>
            <w:rFonts w:ascii="Cambria Math" w:hAnsi="Cambria Math"/>
            <w:i/>
          </w:rPr>
          <w:sym w:font="Symbol" w:char="F067"/>
        </m:r>
      </m:oMath>
      <w:r w:rsidRPr="00B53F84">
        <w:rPr>
          <w:rFonts w:ascii="Times New Roman" w:eastAsiaTheme="minorEastAsia" w:hAnsi="Times New Roman" w:cs="Times New Roman"/>
          <w:sz w:val="24"/>
          <w:szCs w:val="24"/>
        </w:rPr>
        <w:t xml:space="preserve"> =</w:t>
      </w:r>
      <w:r w:rsidR="00723547" w:rsidRPr="00B53F84">
        <w:rPr>
          <w:rFonts w:ascii="Times New Roman" w:eastAsiaTheme="minorEastAsia" w:hAnsi="Times New Roman" w:cs="Times New Roman"/>
          <w:sz w:val="24"/>
          <w:szCs w:val="24"/>
        </w:rPr>
        <w:t xml:space="preserve"> </w:t>
      </w:r>
      <w:r w:rsidRPr="00B53F84">
        <w:rPr>
          <w:rFonts w:ascii="Times New Roman" w:eastAsiaTheme="minorEastAsia" w:hAnsi="Times New Roman" w:cs="Times New Roman"/>
          <w:sz w:val="24"/>
          <w:szCs w:val="24"/>
        </w:rPr>
        <w:t>-0.36) is significant and negative, implying the presence of asymmetric effects, where negative shocks (price decreases) have a different, relatively stronger impact on volatility compared to positive shocks of the same magnitude. The power term (</w:t>
      </w:r>
      <w:r w:rsidR="00723547" w:rsidRPr="003529CA">
        <w:rPr>
          <w:i/>
          <w:iCs/>
        </w:rPr>
        <w:sym w:font="Symbol" w:char="F064"/>
      </w:r>
      <w:r w:rsidRPr="00B53F84">
        <w:rPr>
          <w:rFonts w:ascii="Times New Roman" w:eastAsiaTheme="minorEastAsia" w:hAnsi="Times New Roman" w:cs="Times New Roman"/>
          <w:sz w:val="24"/>
          <w:szCs w:val="24"/>
        </w:rPr>
        <w:t xml:space="preserve"> = 1.99), being close to 2 and significant, suggests that the model approximates standard volatility behaviour while still allowing flexibility in capturing nonlinear effects. Additionally, the shape parameter indicates deviations from normality, supporting the suitability of the APARCH framework.</w:t>
      </w:r>
      <w:r w:rsidR="00C2081D">
        <w:rPr>
          <w:rFonts w:ascii="Times New Roman" w:eastAsiaTheme="minorEastAsia" w:hAnsi="Times New Roman" w:cs="Times New Roman"/>
          <w:sz w:val="24"/>
          <w:szCs w:val="24"/>
        </w:rPr>
        <w:t xml:space="preserve"> </w:t>
      </w:r>
      <w:r w:rsidRPr="00B53F84">
        <w:rPr>
          <w:rFonts w:ascii="Times New Roman" w:eastAsiaTheme="minorEastAsia" w:hAnsi="Times New Roman" w:cs="Times New Roman"/>
          <w:sz w:val="24"/>
          <w:szCs w:val="24"/>
        </w:rPr>
        <w:t>Overall, the results confirm that the ARMA–APARCH model effectively captures both volatility clustering and asymmetry in onion prices, making it appropriate for modelling and forecasting price volatility.</w:t>
      </w:r>
    </w:p>
    <w:p w14:paraId="2B46B275" w14:textId="457F640C"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Table 9: </w:t>
      </w:r>
      <w:r w:rsidRPr="00D45773">
        <w:rPr>
          <w:rFonts w:ascii="Times New Roman" w:eastAsiaTheme="minorEastAsia" w:hAnsi="Times New Roman" w:cs="Times New Roman"/>
          <w:sz w:val="24"/>
          <w:szCs w:val="24"/>
        </w:rPr>
        <w:t>Estimate of parameters of the best-fitted models for onion price of Lucknow Market</w:t>
      </w:r>
    </w:p>
    <w:tbl>
      <w:tblPr>
        <w:tblStyle w:val="TableGrid"/>
        <w:tblW w:w="0" w:type="auto"/>
        <w:jc w:val="center"/>
        <w:tblLook w:val="04A0" w:firstRow="1" w:lastRow="0" w:firstColumn="1" w:lastColumn="0" w:noHBand="0" w:noVBand="1"/>
      </w:tblPr>
      <w:tblGrid>
        <w:gridCol w:w="3005"/>
        <w:gridCol w:w="3005"/>
      </w:tblGrid>
      <w:tr w:rsidR="0012044A" w14:paraId="5C337AE2" w14:textId="77777777" w:rsidTr="00B4378C">
        <w:trPr>
          <w:trHeight w:val="1088"/>
          <w:jc w:val="center"/>
        </w:trPr>
        <w:tc>
          <w:tcPr>
            <w:tcW w:w="3005" w:type="dxa"/>
            <w:tcBorders>
              <w:tl2br w:val="single" w:sz="4" w:space="0" w:color="auto"/>
            </w:tcBorders>
          </w:tcPr>
          <w:p w14:paraId="5238FB2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Model </w:t>
            </w:r>
          </w:p>
          <w:p w14:paraId="6F091B41" w14:textId="77777777" w:rsidR="0012044A" w:rsidRPr="001B261E" w:rsidRDefault="0012044A" w:rsidP="00B4378C">
            <w:pPr>
              <w:rPr>
                <w:rFonts w:ascii="Times New Roman" w:hAnsi="Times New Roman" w:cs="Times New Roman"/>
                <w:sz w:val="24"/>
                <w:szCs w:val="24"/>
              </w:rPr>
            </w:pPr>
            <w:r w:rsidRPr="001B261E">
              <w:rPr>
                <w:rFonts w:ascii="Times New Roman" w:hAnsi="Times New Roman" w:cs="Times New Roman"/>
                <w:sz w:val="24"/>
                <w:szCs w:val="24"/>
              </w:rPr>
              <w:t xml:space="preserve">Variable </w:t>
            </w:r>
          </w:p>
        </w:tc>
        <w:tc>
          <w:tcPr>
            <w:tcW w:w="3005" w:type="dxa"/>
          </w:tcPr>
          <w:p w14:paraId="4B677D01"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(1,0)-APARCH (1,1)</w:t>
            </w:r>
          </w:p>
        </w:tc>
      </w:tr>
      <w:tr w:rsidR="0012044A" w14:paraId="599328E6" w14:textId="77777777" w:rsidTr="00B4378C">
        <w:trPr>
          <w:jc w:val="center"/>
        </w:trPr>
        <w:tc>
          <w:tcPr>
            <w:tcW w:w="6010" w:type="dxa"/>
            <w:gridSpan w:val="2"/>
          </w:tcPr>
          <w:p w14:paraId="3DFE230B"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Mean model</w:t>
            </w:r>
          </w:p>
        </w:tc>
      </w:tr>
      <w:tr w:rsidR="0012044A" w14:paraId="6DD43823" w14:textId="77777777" w:rsidTr="00B4378C">
        <w:trPr>
          <w:jc w:val="center"/>
        </w:trPr>
        <w:tc>
          <w:tcPr>
            <w:tcW w:w="3005" w:type="dxa"/>
          </w:tcPr>
          <w:p w14:paraId="7D94D977" w14:textId="55F82AD9" w:rsidR="0012044A" w:rsidRDefault="005813E9" w:rsidP="00B4378C">
            <w:pPr>
              <w:pStyle w:val="ListParagraph"/>
              <w:spacing w:line="360" w:lineRule="auto"/>
              <w:ind w:left="0"/>
              <w:jc w:val="both"/>
              <w:rPr>
                <w:rFonts w:ascii="Times New Roman" w:eastAsiaTheme="minorEastAsia" w:hAnsi="Times New Roman" w:cs="Times New Roman"/>
                <w:sz w:val="24"/>
                <w:szCs w:val="24"/>
              </w:rPr>
            </w:pPr>
            <w:r w:rsidRPr="0059079F">
              <w:rPr>
                <w:rFonts w:ascii="Times New Roman" w:eastAsiaTheme="minorEastAsia" w:hAnsi="Times New Roman" w:cs="Times New Roman"/>
                <w:sz w:val="24"/>
                <w:szCs w:val="24"/>
              </w:rPr>
              <w:t>μ</w:t>
            </w:r>
          </w:p>
        </w:tc>
        <w:tc>
          <w:tcPr>
            <w:tcW w:w="3005" w:type="dxa"/>
          </w:tcPr>
          <w:p w14:paraId="5267A93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 (2.18)</w:t>
            </w:r>
          </w:p>
        </w:tc>
      </w:tr>
      <w:tr w:rsidR="0012044A" w14:paraId="232DB65D" w14:textId="77777777" w:rsidTr="00B4378C">
        <w:trPr>
          <w:jc w:val="center"/>
        </w:trPr>
        <w:tc>
          <w:tcPr>
            <w:tcW w:w="3005" w:type="dxa"/>
          </w:tcPr>
          <w:p w14:paraId="017A92A7" w14:textId="7B5D4F94" w:rsidR="0012044A" w:rsidRPr="005813E9" w:rsidRDefault="007126CD" w:rsidP="00B4378C">
            <w:pPr>
              <w:pStyle w:val="ListParagraph"/>
              <w:spacing w:line="360" w:lineRule="auto"/>
              <w:ind w:left="0"/>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1</m:t>
                    </m:r>
                  </m:sub>
                </m:sSub>
              </m:oMath>
            </m:oMathPara>
          </w:p>
        </w:tc>
        <w:tc>
          <w:tcPr>
            <w:tcW w:w="3005" w:type="dxa"/>
          </w:tcPr>
          <w:p w14:paraId="5658AE9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0.15 (0.10) **</w:t>
            </w:r>
          </w:p>
        </w:tc>
      </w:tr>
      <w:tr w:rsidR="0012044A" w14:paraId="11828A24" w14:textId="77777777" w:rsidTr="00B4378C">
        <w:trPr>
          <w:jc w:val="center"/>
        </w:trPr>
        <w:tc>
          <w:tcPr>
            <w:tcW w:w="6010" w:type="dxa"/>
            <w:gridSpan w:val="2"/>
          </w:tcPr>
          <w:p w14:paraId="2BB9C9E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Variance model</w:t>
            </w:r>
          </w:p>
        </w:tc>
      </w:tr>
      <w:tr w:rsidR="0012044A" w14:paraId="1BDDCAD6" w14:textId="77777777" w:rsidTr="00B4378C">
        <w:trPr>
          <w:jc w:val="center"/>
        </w:trPr>
        <w:tc>
          <w:tcPr>
            <w:tcW w:w="3005" w:type="dxa"/>
          </w:tcPr>
          <w:p w14:paraId="57FA52E8" w14:textId="0633DD8D" w:rsidR="0012044A" w:rsidRPr="005813E9" w:rsidRDefault="007126CD" w:rsidP="00B4378C">
            <w:pPr>
              <w:pStyle w:val="ListParagraph"/>
              <w:spacing w:line="360" w:lineRule="auto"/>
              <w:ind w:left="0"/>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oMath>
            </m:oMathPara>
          </w:p>
        </w:tc>
        <w:tc>
          <w:tcPr>
            <w:tcW w:w="3005" w:type="dxa"/>
          </w:tcPr>
          <w:p w14:paraId="394B613A"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0.38 (0.14) ***</w:t>
            </w:r>
          </w:p>
        </w:tc>
      </w:tr>
      <w:tr w:rsidR="0012044A" w14:paraId="575B630F" w14:textId="77777777" w:rsidTr="00B4378C">
        <w:trPr>
          <w:jc w:val="center"/>
        </w:trPr>
        <w:tc>
          <w:tcPr>
            <w:tcW w:w="3005" w:type="dxa"/>
          </w:tcPr>
          <w:p w14:paraId="26BB2246" w14:textId="766F1872" w:rsidR="0012044A" w:rsidRPr="005813E9" w:rsidRDefault="007126CD" w:rsidP="00B4378C">
            <w:pPr>
              <w:pStyle w:val="ListParagraph"/>
              <w:spacing w:line="360" w:lineRule="auto"/>
              <w:ind w:left="0"/>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i/>
                        <w:sz w:val="24"/>
                        <w:szCs w:val="24"/>
                      </w:rPr>
                      <w:sym w:font="Symbol" w:char="F062"/>
                    </m:r>
                  </m:e>
                  <m:sub>
                    <m:r>
                      <w:rPr>
                        <w:rFonts w:ascii="Cambria Math" w:eastAsiaTheme="minorEastAsia" w:hAnsi="Cambria Math" w:cs="Times New Roman"/>
                        <w:sz w:val="24"/>
                        <w:szCs w:val="24"/>
                      </w:rPr>
                      <m:t>1</m:t>
                    </m:r>
                  </m:sub>
                </m:sSub>
              </m:oMath>
            </m:oMathPara>
          </w:p>
        </w:tc>
        <w:tc>
          <w:tcPr>
            <w:tcW w:w="3005" w:type="dxa"/>
          </w:tcPr>
          <w:p w14:paraId="741EA98C"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0.24 (0.13) **</w:t>
            </w:r>
          </w:p>
        </w:tc>
      </w:tr>
      <w:tr w:rsidR="0012044A" w14:paraId="4D658DEA" w14:textId="77777777" w:rsidTr="00B4378C">
        <w:trPr>
          <w:jc w:val="center"/>
        </w:trPr>
        <w:tc>
          <w:tcPr>
            <w:tcW w:w="3005" w:type="dxa"/>
          </w:tcPr>
          <w:p w14:paraId="67F41262" w14:textId="648A9B4D" w:rsidR="0012044A" w:rsidRPr="005813E9" w:rsidRDefault="005813E9" w:rsidP="00B4378C">
            <w:pPr>
              <w:pStyle w:val="ListParagraph"/>
              <w:spacing w:line="360" w:lineRule="auto"/>
              <w:ind w:left="0"/>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i/>
                    <w:sz w:val="24"/>
                    <w:szCs w:val="24"/>
                  </w:rPr>
                  <w:sym w:font="Symbol" w:char="F067"/>
                </m:r>
              </m:oMath>
            </m:oMathPara>
          </w:p>
        </w:tc>
        <w:tc>
          <w:tcPr>
            <w:tcW w:w="3005" w:type="dxa"/>
          </w:tcPr>
          <w:p w14:paraId="197234F0"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-0.36 (0.08) **</w:t>
            </w:r>
          </w:p>
        </w:tc>
      </w:tr>
      <w:tr w:rsidR="0012044A" w14:paraId="1DC0B2E5" w14:textId="77777777" w:rsidTr="00B4378C">
        <w:trPr>
          <w:jc w:val="center"/>
        </w:trPr>
        <w:tc>
          <w:tcPr>
            <w:tcW w:w="3005" w:type="dxa"/>
          </w:tcPr>
          <w:p w14:paraId="4C0222B9" w14:textId="5D081194" w:rsidR="0012044A" w:rsidRDefault="005813E9" w:rsidP="00B4378C">
            <w:pPr>
              <w:pStyle w:val="ListParagraph"/>
              <w:spacing w:line="360" w:lineRule="auto"/>
              <w:ind w:left="0"/>
              <w:jc w:val="both"/>
              <w:rPr>
                <w:rFonts w:ascii="Times New Roman" w:eastAsiaTheme="minorEastAsia" w:hAnsi="Times New Roman" w:cs="Times New Roman"/>
                <w:sz w:val="24"/>
                <w:szCs w:val="24"/>
              </w:rPr>
            </w:pPr>
            <w:r w:rsidRPr="003529CA">
              <w:rPr>
                <w:rFonts w:ascii="Times New Roman" w:eastAsiaTheme="minorEastAsia" w:hAnsi="Times New Roman" w:cs="Times New Roman"/>
                <w:i/>
                <w:iCs/>
                <w:sz w:val="24"/>
                <w:szCs w:val="24"/>
              </w:rPr>
              <w:sym w:font="Symbol" w:char="F064"/>
            </w:r>
          </w:p>
        </w:tc>
        <w:tc>
          <w:tcPr>
            <w:tcW w:w="3005" w:type="dxa"/>
          </w:tcPr>
          <w:p w14:paraId="08FAEF73"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1.99 (0.57) ***</w:t>
            </w:r>
          </w:p>
        </w:tc>
      </w:tr>
      <w:tr w:rsidR="0012044A" w14:paraId="062A954E" w14:textId="77777777" w:rsidTr="00B4378C">
        <w:trPr>
          <w:jc w:val="center"/>
        </w:trPr>
        <w:tc>
          <w:tcPr>
            <w:tcW w:w="3005" w:type="dxa"/>
          </w:tcPr>
          <w:p w14:paraId="049BC3CD"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shape</w:t>
            </w:r>
          </w:p>
        </w:tc>
        <w:tc>
          <w:tcPr>
            <w:tcW w:w="3005" w:type="dxa"/>
          </w:tcPr>
          <w:p w14:paraId="66B34352" w14:textId="77777777" w:rsidR="0012044A" w:rsidRDefault="0012044A" w:rsidP="00B4378C">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10.11 (7.83) *</w:t>
            </w:r>
          </w:p>
        </w:tc>
      </w:tr>
    </w:tbl>
    <w:p w14:paraId="2AAE961F" w14:textId="77777777" w:rsidR="0012044A" w:rsidRDefault="0012044A" w:rsidP="0012044A">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Pr="00E00B8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&lt;0.01, **</w:t>
      </w:r>
      <w:r w:rsidRPr="00E00B8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&lt;0.05, *</w:t>
      </w:r>
      <w:r w:rsidRPr="00E00B83">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&lt;0.10</w:t>
      </w:r>
    </w:p>
    <w:p w14:paraId="06C1F35D" w14:textId="7413F2C1"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extent of goodness of fit for the whole data with the </w:t>
      </w:r>
      <w:r w:rsidR="004139B0">
        <w:rPr>
          <w:rFonts w:ascii="Times New Roman" w:eastAsiaTheme="minorEastAsia" w:hAnsi="Times New Roman" w:cs="Times New Roman"/>
          <w:sz w:val="24"/>
          <w:szCs w:val="24"/>
        </w:rPr>
        <w:t>actual</w:t>
      </w:r>
      <w:r>
        <w:rPr>
          <w:rFonts w:ascii="Times New Roman" w:eastAsiaTheme="minorEastAsia" w:hAnsi="Times New Roman" w:cs="Times New Roman"/>
          <w:sz w:val="24"/>
          <w:szCs w:val="24"/>
        </w:rPr>
        <w:t xml:space="preserve"> series is visualized in Figure 6 where, black continuous line is representing the </w:t>
      </w:r>
      <w:r w:rsidR="004139B0">
        <w:rPr>
          <w:rFonts w:ascii="Times New Roman" w:eastAsiaTheme="minorEastAsia" w:hAnsi="Times New Roman" w:cs="Times New Roman"/>
          <w:sz w:val="24"/>
          <w:szCs w:val="24"/>
        </w:rPr>
        <w:t>original</w:t>
      </w:r>
      <w:r>
        <w:rPr>
          <w:rFonts w:ascii="Times New Roman" w:eastAsiaTheme="minorEastAsia" w:hAnsi="Times New Roman" w:cs="Times New Roman"/>
          <w:sz w:val="24"/>
          <w:szCs w:val="24"/>
        </w:rPr>
        <w:t xml:space="preserve"> values and red continuous line denotes the fitted values. The fit appears to be very good for Lucknow market.</w:t>
      </w:r>
    </w:p>
    <w:p w14:paraId="59A1F0EE"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733BF7E4" wp14:editId="5EA1CE94">
            <wp:extent cx="5731510" cy="3083560"/>
            <wp:effectExtent l="0" t="0" r="2540" b="2540"/>
            <wp:docPr id="70397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083560"/>
                    </a:xfrm>
                    <a:prstGeom prst="rect">
                      <a:avLst/>
                    </a:prstGeom>
                    <a:noFill/>
                    <a:ln>
                      <a:noFill/>
                    </a:ln>
                  </pic:spPr>
                </pic:pic>
              </a:graphicData>
            </a:graphic>
          </wp:inline>
        </w:drawing>
      </w:r>
    </w:p>
    <w:p w14:paraId="34A4B281" w14:textId="77777777" w:rsidR="0012044A" w:rsidRDefault="0012044A" w:rsidP="0012044A">
      <w:pPr>
        <w:pStyle w:val="ListParagraph"/>
        <w:spacing w:line="360" w:lineRule="auto"/>
        <w:ind w:left="0"/>
        <w:jc w:val="center"/>
        <w:rPr>
          <w:rFonts w:ascii="Times New Roman" w:eastAsiaTheme="minorEastAsia" w:hAnsi="Times New Roman" w:cs="Times New Roman"/>
          <w:sz w:val="24"/>
          <w:szCs w:val="24"/>
        </w:rPr>
      </w:pPr>
      <w:r w:rsidRPr="00D45773">
        <w:rPr>
          <w:rFonts w:ascii="Times New Roman" w:eastAsiaTheme="minorEastAsia" w:hAnsi="Times New Roman" w:cs="Times New Roman"/>
          <w:b/>
          <w:bCs/>
          <w:sz w:val="24"/>
          <w:szCs w:val="24"/>
        </w:rPr>
        <w:t>Figure. 6:</w:t>
      </w:r>
      <w:r>
        <w:rPr>
          <w:rFonts w:ascii="Times New Roman" w:eastAsiaTheme="minorEastAsia" w:hAnsi="Times New Roman" w:cs="Times New Roman"/>
          <w:sz w:val="24"/>
          <w:szCs w:val="24"/>
        </w:rPr>
        <w:t xml:space="preserve"> Whole data fitted plot by ARMA (1,0)-APARCH (1,1) model</w:t>
      </w:r>
    </w:p>
    <w:p w14:paraId="2D60C2C0"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performance comparison between GARCH and asymmetric GARCH-type models for onion price of Lucknow market is presented in Table 10.</w:t>
      </w:r>
      <w:r w:rsidRPr="00457DA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Performance of different models in the model validation set is evaluated in terms of RMSE, MAE and MAPE, as reported in Table 10, which suggests that at least two criteria indicate the out-performance of the </w:t>
      </w:r>
      <w:r w:rsidRPr="00196C77">
        <w:rPr>
          <w:rFonts w:ascii="Times New Roman" w:eastAsiaTheme="minorEastAsia" w:hAnsi="Times New Roman" w:cs="Times New Roman"/>
          <w:sz w:val="24"/>
          <w:szCs w:val="24"/>
        </w:rPr>
        <w:t>APARCH model as compared to the other competing asymmetric volatility models</w:t>
      </w:r>
      <w:r>
        <w:rPr>
          <w:rFonts w:ascii="Times New Roman" w:eastAsiaTheme="minorEastAsia" w:hAnsi="Times New Roman" w:cs="Times New Roman"/>
          <w:sz w:val="24"/>
          <w:szCs w:val="24"/>
        </w:rPr>
        <w:t xml:space="preserve"> in the model validation set. These forecasts represent percentage log returns. To convert these back to original scale, a reverse transformation is applied. The seasonal components are then reintegrated, resulting in the final forecast values for the original series.</w:t>
      </w:r>
    </w:p>
    <w:p w14:paraId="741C08F4"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10: </w:t>
      </w:r>
      <w:r w:rsidRPr="004750E7">
        <w:rPr>
          <w:rFonts w:ascii="Times New Roman" w:eastAsiaTheme="minorEastAsia" w:hAnsi="Times New Roman" w:cs="Times New Roman"/>
          <w:sz w:val="24"/>
          <w:szCs w:val="24"/>
        </w:rPr>
        <w:t>Forecasting performance of the selected GARCH and asymmetric GARCH-type of models in the model validation set of Lucknow markets</w:t>
      </w:r>
    </w:p>
    <w:tbl>
      <w:tblPr>
        <w:tblStyle w:val="TableGrid"/>
        <w:tblW w:w="0" w:type="auto"/>
        <w:jc w:val="center"/>
        <w:tblLook w:val="04A0" w:firstRow="1" w:lastRow="0" w:firstColumn="1" w:lastColumn="0" w:noHBand="0" w:noVBand="1"/>
      </w:tblPr>
      <w:tblGrid>
        <w:gridCol w:w="1430"/>
        <w:gridCol w:w="3310"/>
        <w:gridCol w:w="996"/>
        <w:gridCol w:w="996"/>
        <w:gridCol w:w="923"/>
      </w:tblGrid>
      <w:tr w:rsidR="0012044A" w14:paraId="3E1CE5E8" w14:textId="77777777" w:rsidTr="00B4378C">
        <w:trPr>
          <w:jc w:val="center"/>
        </w:trPr>
        <w:tc>
          <w:tcPr>
            <w:tcW w:w="0" w:type="auto"/>
          </w:tcPr>
          <w:p w14:paraId="7290643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Commodity</w:t>
            </w:r>
          </w:p>
        </w:tc>
        <w:tc>
          <w:tcPr>
            <w:tcW w:w="0" w:type="auto"/>
          </w:tcPr>
          <w:p w14:paraId="28624BB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Model</w:t>
            </w:r>
          </w:p>
        </w:tc>
        <w:tc>
          <w:tcPr>
            <w:tcW w:w="0" w:type="auto"/>
          </w:tcPr>
          <w:p w14:paraId="5DFF269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RMSE</w:t>
            </w:r>
          </w:p>
        </w:tc>
        <w:tc>
          <w:tcPr>
            <w:tcW w:w="0" w:type="auto"/>
          </w:tcPr>
          <w:p w14:paraId="20790FE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MAE</w:t>
            </w:r>
          </w:p>
        </w:tc>
        <w:tc>
          <w:tcPr>
            <w:tcW w:w="0" w:type="auto"/>
          </w:tcPr>
          <w:p w14:paraId="5F64EE75"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3F7E9F">
              <w:rPr>
                <w:rFonts w:ascii="Times New Roman" w:eastAsiaTheme="minorEastAsia" w:hAnsi="Times New Roman" w:cs="Times New Roman"/>
                <w:b/>
                <w:bCs/>
                <w:sz w:val="24"/>
                <w:szCs w:val="24"/>
              </w:rPr>
              <w:t>MAPE</w:t>
            </w:r>
          </w:p>
        </w:tc>
      </w:tr>
      <w:tr w:rsidR="0012044A" w14:paraId="2CAE8F18" w14:textId="77777777" w:rsidTr="00B4378C">
        <w:trPr>
          <w:trHeight w:val="633"/>
          <w:jc w:val="center"/>
        </w:trPr>
        <w:tc>
          <w:tcPr>
            <w:tcW w:w="0" w:type="auto"/>
            <w:vMerge w:val="restart"/>
          </w:tcPr>
          <w:p w14:paraId="75ACC23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Onion</w:t>
            </w:r>
          </w:p>
        </w:tc>
        <w:tc>
          <w:tcPr>
            <w:tcW w:w="0" w:type="auto"/>
          </w:tcPr>
          <w:p w14:paraId="7FA4402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(1,0)-GARCH (1,1)</w:t>
            </w:r>
          </w:p>
        </w:tc>
        <w:tc>
          <w:tcPr>
            <w:tcW w:w="0" w:type="auto"/>
          </w:tcPr>
          <w:p w14:paraId="5B3EEA2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245.911</w:t>
            </w:r>
          </w:p>
        </w:tc>
        <w:tc>
          <w:tcPr>
            <w:tcW w:w="0" w:type="auto"/>
          </w:tcPr>
          <w:p w14:paraId="17AA5C26"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126.383</w:t>
            </w:r>
          </w:p>
        </w:tc>
        <w:tc>
          <w:tcPr>
            <w:tcW w:w="0" w:type="auto"/>
          </w:tcPr>
          <w:p w14:paraId="7D9DE030"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9.727</w:t>
            </w:r>
          </w:p>
        </w:tc>
      </w:tr>
      <w:tr w:rsidR="0012044A" w14:paraId="290D3EEB" w14:textId="77777777" w:rsidTr="00B4378C">
        <w:trPr>
          <w:jc w:val="center"/>
        </w:trPr>
        <w:tc>
          <w:tcPr>
            <w:tcW w:w="0" w:type="auto"/>
            <w:vMerge/>
          </w:tcPr>
          <w:p w14:paraId="3FB456B9"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046FCA3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(1,0)-EGARCH (1,1)</w:t>
            </w:r>
          </w:p>
        </w:tc>
        <w:tc>
          <w:tcPr>
            <w:tcW w:w="0" w:type="auto"/>
          </w:tcPr>
          <w:p w14:paraId="4FADF6C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246.969</w:t>
            </w:r>
          </w:p>
        </w:tc>
        <w:tc>
          <w:tcPr>
            <w:tcW w:w="0" w:type="auto"/>
          </w:tcPr>
          <w:p w14:paraId="5FE1E73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126.873</w:t>
            </w:r>
          </w:p>
        </w:tc>
        <w:tc>
          <w:tcPr>
            <w:tcW w:w="0" w:type="auto"/>
          </w:tcPr>
          <w:p w14:paraId="78712E61"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9.725</w:t>
            </w:r>
          </w:p>
        </w:tc>
      </w:tr>
      <w:tr w:rsidR="0012044A" w14:paraId="1C6C2959" w14:textId="77777777" w:rsidTr="00B4378C">
        <w:trPr>
          <w:trHeight w:val="563"/>
          <w:jc w:val="center"/>
        </w:trPr>
        <w:tc>
          <w:tcPr>
            <w:tcW w:w="0" w:type="auto"/>
            <w:vMerge/>
          </w:tcPr>
          <w:p w14:paraId="7C3384A0"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5F73E45C"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ARMA (1,0)-GJRGARCH (1,1)</w:t>
            </w:r>
          </w:p>
        </w:tc>
        <w:tc>
          <w:tcPr>
            <w:tcW w:w="0" w:type="auto"/>
          </w:tcPr>
          <w:p w14:paraId="7C0C8F89"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245.773</w:t>
            </w:r>
          </w:p>
        </w:tc>
        <w:tc>
          <w:tcPr>
            <w:tcW w:w="0" w:type="auto"/>
          </w:tcPr>
          <w:p w14:paraId="08EB6D1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126.068</w:t>
            </w:r>
          </w:p>
        </w:tc>
        <w:tc>
          <w:tcPr>
            <w:tcW w:w="0" w:type="auto"/>
          </w:tcPr>
          <w:p w14:paraId="4AC5AC34"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9.658</w:t>
            </w:r>
          </w:p>
        </w:tc>
      </w:tr>
      <w:tr w:rsidR="0012044A" w14:paraId="1C737C46" w14:textId="77777777" w:rsidTr="00B4378C">
        <w:trPr>
          <w:jc w:val="center"/>
        </w:trPr>
        <w:tc>
          <w:tcPr>
            <w:tcW w:w="0" w:type="auto"/>
            <w:vMerge/>
          </w:tcPr>
          <w:p w14:paraId="7C7B08BB"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p>
        </w:tc>
        <w:tc>
          <w:tcPr>
            <w:tcW w:w="0" w:type="auto"/>
          </w:tcPr>
          <w:p w14:paraId="170AE021"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sidRPr="00B06DA6">
              <w:rPr>
                <w:rFonts w:ascii="Times New Roman" w:eastAsiaTheme="minorEastAsia" w:hAnsi="Times New Roman" w:cs="Times New Roman"/>
                <w:b/>
                <w:bCs/>
                <w:sz w:val="24"/>
                <w:szCs w:val="24"/>
              </w:rPr>
              <w:t>ARMA (1,0)-APARCH (1,1)</w:t>
            </w:r>
          </w:p>
        </w:tc>
        <w:tc>
          <w:tcPr>
            <w:tcW w:w="0" w:type="auto"/>
          </w:tcPr>
          <w:p w14:paraId="1744FE93"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245.920</w:t>
            </w:r>
          </w:p>
        </w:tc>
        <w:tc>
          <w:tcPr>
            <w:tcW w:w="0" w:type="auto"/>
          </w:tcPr>
          <w:p w14:paraId="4CE703CD"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125.944</w:t>
            </w:r>
          </w:p>
        </w:tc>
        <w:tc>
          <w:tcPr>
            <w:tcW w:w="0" w:type="auto"/>
          </w:tcPr>
          <w:p w14:paraId="5589A45E" w14:textId="77777777" w:rsidR="0012044A" w:rsidRDefault="0012044A" w:rsidP="00B4378C">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9.553</w:t>
            </w:r>
          </w:p>
        </w:tc>
      </w:tr>
    </w:tbl>
    <w:p w14:paraId="15733FE8" w14:textId="77777777" w:rsidR="0012044A" w:rsidRPr="00195D17" w:rsidRDefault="0012044A" w:rsidP="0012044A">
      <w:pPr>
        <w:pStyle w:val="ListParagraph"/>
        <w:spacing w:line="360" w:lineRule="auto"/>
        <w:ind w:left="0"/>
        <w:jc w:val="both"/>
        <w:rPr>
          <w:rFonts w:ascii="Times New Roman" w:eastAsiaTheme="minorEastAsia" w:hAnsi="Times New Roman" w:cs="Times New Roman"/>
          <w:sz w:val="24"/>
          <w:szCs w:val="24"/>
        </w:rPr>
      </w:pPr>
    </w:p>
    <w:p w14:paraId="01675CC9" w14:textId="77777777" w:rsidR="0012044A" w:rsidRPr="00D14157"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Each model has been tested under student’s </w:t>
      </w:r>
      <w:r w:rsidRPr="00910A73">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-distribution assumptions specifically applied to the residual of the GARCH model. The Pearson’s Goodness of fit test (with </w:t>
      </w:r>
      <w:r w:rsidRPr="00977060">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-value in parentheses) has been performed to evaluate the adequacy of the assumed Student’s </w:t>
      </w:r>
      <w:r w:rsidRPr="00910A73">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-distribution for the residuals. Result shows that Lucknow market for onion met the assumptions related to student’s </w:t>
      </w:r>
      <w:r w:rsidRPr="00910A73">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-distribution. </w:t>
      </w:r>
    </w:p>
    <w:p w14:paraId="755F32A7" w14:textId="77777777" w:rsidR="0012044A" w:rsidRPr="00D73F89" w:rsidRDefault="0012044A" w:rsidP="0012044A">
      <w:pPr>
        <w:pStyle w:val="ListParagraph"/>
        <w:spacing w:line="360" w:lineRule="auto"/>
        <w:ind w:left="0"/>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11: </w:t>
      </w:r>
      <w:r w:rsidRPr="004750E7">
        <w:rPr>
          <w:rFonts w:ascii="Times New Roman" w:eastAsiaTheme="minorEastAsia" w:hAnsi="Times New Roman" w:cs="Times New Roman"/>
          <w:sz w:val="24"/>
          <w:szCs w:val="24"/>
        </w:rPr>
        <w:t>Optimal ARMA-GARCH type best model for percentage log returns series with Residual Diagnostics</w:t>
      </w:r>
    </w:p>
    <w:tbl>
      <w:tblPr>
        <w:tblStyle w:val="TableGrid"/>
        <w:tblW w:w="0" w:type="auto"/>
        <w:tblLook w:val="04A0" w:firstRow="1" w:lastRow="0" w:firstColumn="1" w:lastColumn="0" w:noHBand="0" w:noVBand="1"/>
      </w:tblPr>
      <w:tblGrid>
        <w:gridCol w:w="1363"/>
        <w:gridCol w:w="1718"/>
        <w:gridCol w:w="1726"/>
        <w:gridCol w:w="1495"/>
        <w:gridCol w:w="1353"/>
        <w:gridCol w:w="1361"/>
      </w:tblGrid>
      <w:tr w:rsidR="0012044A" w14:paraId="1DAA4E67" w14:textId="77777777" w:rsidTr="00B4378C">
        <w:trPr>
          <w:trHeight w:val="2070"/>
        </w:trPr>
        <w:tc>
          <w:tcPr>
            <w:tcW w:w="0" w:type="auto"/>
          </w:tcPr>
          <w:p w14:paraId="6027343E"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Commodity</w:t>
            </w:r>
          </w:p>
        </w:tc>
        <w:tc>
          <w:tcPr>
            <w:tcW w:w="0" w:type="auto"/>
          </w:tcPr>
          <w:p w14:paraId="5B0C1267"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Optimal-ARMA-GARCH TYPE Model</w:t>
            </w:r>
          </w:p>
        </w:tc>
        <w:tc>
          <w:tcPr>
            <w:tcW w:w="0" w:type="auto"/>
          </w:tcPr>
          <w:p w14:paraId="792AD820"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Distribution Assumed</w:t>
            </w:r>
          </w:p>
        </w:tc>
        <w:tc>
          <w:tcPr>
            <w:tcW w:w="0" w:type="auto"/>
          </w:tcPr>
          <w:p w14:paraId="7BB2343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Pearson Goodness of fit test</w:t>
            </w:r>
          </w:p>
        </w:tc>
        <w:tc>
          <w:tcPr>
            <w:tcW w:w="0" w:type="auto"/>
          </w:tcPr>
          <w:p w14:paraId="7E8B08A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Ljung-Box Test</w:t>
            </w:r>
          </w:p>
        </w:tc>
        <w:tc>
          <w:tcPr>
            <w:tcW w:w="0" w:type="auto"/>
          </w:tcPr>
          <w:p w14:paraId="36D82904"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Residual ARCH-LM Test</w:t>
            </w:r>
          </w:p>
        </w:tc>
      </w:tr>
      <w:tr w:rsidR="0012044A" w14:paraId="4E9366B5" w14:textId="77777777" w:rsidTr="00B4378C">
        <w:trPr>
          <w:trHeight w:val="2070"/>
        </w:trPr>
        <w:tc>
          <w:tcPr>
            <w:tcW w:w="0" w:type="auto"/>
          </w:tcPr>
          <w:p w14:paraId="298E97FE"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Onion</w:t>
            </w:r>
          </w:p>
        </w:tc>
        <w:tc>
          <w:tcPr>
            <w:tcW w:w="0" w:type="auto"/>
          </w:tcPr>
          <w:p w14:paraId="5E69A531"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ARMA (1,0)-APARCH (1,1)</w:t>
            </w:r>
          </w:p>
        </w:tc>
        <w:tc>
          <w:tcPr>
            <w:tcW w:w="0" w:type="auto"/>
          </w:tcPr>
          <w:p w14:paraId="15F3324D"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Student-t</w:t>
            </w:r>
          </w:p>
        </w:tc>
        <w:tc>
          <w:tcPr>
            <w:tcW w:w="0" w:type="auto"/>
          </w:tcPr>
          <w:p w14:paraId="2DDD8439"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17.55 (0.55)</w:t>
            </w:r>
          </w:p>
        </w:tc>
        <w:tc>
          <w:tcPr>
            <w:tcW w:w="0" w:type="auto"/>
          </w:tcPr>
          <w:p w14:paraId="262646CA"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0.27 (0.99)</w:t>
            </w:r>
          </w:p>
        </w:tc>
        <w:tc>
          <w:tcPr>
            <w:tcW w:w="0" w:type="auto"/>
          </w:tcPr>
          <w:p w14:paraId="2576832F" w14:textId="77777777" w:rsidR="0012044A" w:rsidRDefault="0012044A" w:rsidP="00B4378C">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0.96 (0.32)</w:t>
            </w:r>
          </w:p>
        </w:tc>
      </w:tr>
    </w:tbl>
    <w:p w14:paraId="07D81648" w14:textId="77777777" w:rsidR="0012044A" w:rsidRDefault="0012044A" w:rsidP="0012044A">
      <w:pPr>
        <w:pStyle w:val="ListParagraph"/>
        <w:spacing w:line="360" w:lineRule="auto"/>
        <w:ind w:left="0"/>
        <w:rPr>
          <w:rFonts w:ascii="Times New Roman" w:eastAsiaTheme="minorEastAsia" w:hAnsi="Times New Roman" w:cs="Times New Roman"/>
          <w:sz w:val="24"/>
          <w:szCs w:val="24"/>
        </w:rPr>
      </w:pPr>
    </w:p>
    <w:p w14:paraId="07DB8A8C" w14:textId="77777777" w:rsidR="0012044A"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Residual diagnostics, including Ljung-Box and ARCH-LM tests, have been performed on the standardized residuals of optimal ARMA-GARCH model. For Lucknow market, the Ljung-Box test (with </w:t>
      </w:r>
      <w:r w:rsidRPr="00977060">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-value in parentheses) confirmed the absence of significant autocorrelation, and the ARCH-LM test revealed no ARCH effect, indicating that residuals are free from serial autocorrelation and conditional heteroscedasticity. This suggests that the optimal ARMA-GARCH model has effectively captured the dependencies within this price series.</w:t>
      </w:r>
    </w:p>
    <w:p w14:paraId="0C5ECDCB"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4. </w:t>
      </w:r>
      <w:r w:rsidRPr="00431EF5">
        <w:rPr>
          <w:rFonts w:ascii="Times New Roman" w:eastAsiaTheme="minorEastAsia" w:hAnsi="Times New Roman" w:cs="Times New Roman"/>
          <w:b/>
          <w:bCs/>
          <w:sz w:val="24"/>
          <w:szCs w:val="24"/>
        </w:rPr>
        <w:t>Conclusion</w:t>
      </w:r>
    </w:p>
    <w:p w14:paraId="45771E30" w14:textId="65DECF2A" w:rsidR="007E3B92" w:rsidRPr="009440AD" w:rsidRDefault="0012044A" w:rsidP="0012044A">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study aimed to model and forecast the asymmetric volatility present in the monthly price data of onion for Lucknow market, which is major consumers market in Uttar Pradesh.  In this study, asymmetric price volatility of onion for Lucknow market have been examined and its presence has been confirmed. ARMA (1,0)-APARCH (1,1) model exhibits more impact on volatility due to negative shocks than the impact of positive shocks. Moreover, the size of the asymmetric volatility is -0.36. The proposed model can be used by the stakeholders of onion production, consumption, and marketing for their planning and budgetary allocations. This </w:t>
      </w:r>
      <w:r>
        <w:rPr>
          <w:rFonts w:ascii="Times New Roman" w:eastAsiaTheme="minorEastAsia" w:hAnsi="Times New Roman" w:cs="Times New Roman"/>
          <w:sz w:val="24"/>
          <w:szCs w:val="24"/>
        </w:rPr>
        <w:lastRenderedPageBreak/>
        <w:t>asymmetric volatility model will also help the governments to anticipate the future prices and make policies in favour of farmers’ involved in the onion production and marketing.</w:t>
      </w:r>
    </w:p>
    <w:p w14:paraId="4D441618" w14:textId="77777777" w:rsidR="007E3B92" w:rsidRPr="007E3B92" w:rsidRDefault="007E3B92" w:rsidP="007E3B92">
      <w:pPr>
        <w:spacing w:after="200" w:line="276" w:lineRule="auto"/>
        <w:rPr>
          <w:rFonts w:ascii="Arial" w:eastAsia="Times New Roman" w:hAnsi="Arial" w:cs="Arial"/>
          <w:b/>
          <w:bCs/>
          <w:kern w:val="0"/>
          <w:lang w:val="en-GB" w:eastAsia="en-GB"/>
          <w14:ligatures w14:val="none"/>
        </w:rPr>
      </w:pPr>
      <w:r w:rsidRPr="007E3B92">
        <w:rPr>
          <w:rFonts w:ascii="Arial" w:eastAsia="Times New Roman" w:hAnsi="Arial" w:cs="Arial"/>
          <w:b/>
          <w:bCs/>
          <w:kern w:val="0"/>
          <w:lang w:val="en-GB" w:eastAsia="en-GB"/>
          <w14:ligatures w14:val="none"/>
        </w:rPr>
        <w:t>COMPETING INTERESTS DISCLAIMER:</w:t>
      </w:r>
    </w:p>
    <w:p w14:paraId="48106BB0" w14:textId="77777777" w:rsidR="007E3B92" w:rsidRPr="007E3B92" w:rsidRDefault="007E3B92" w:rsidP="007E3B92">
      <w:pPr>
        <w:spacing w:after="200" w:line="276" w:lineRule="auto"/>
        <w:rPr>
          <w:rFonts w:ascii="Calibri" w:eastAsia="Times New Roman" w:hAnsi="Calibri" w:cs="Times New Roman"/>
          <w:kern w:val="0"/>
          <w:lang w:val="en-GB" w:eastAsia="en-GB"/>
          <w14:ligatures w14:val="none"/>
        </w:rPr>
      </w:pPr>
      <w:r w:rsidRPr="007E3B92">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2F810BA" w14:textId="77777777" w:rsidR="001B5AEC" w:rsidRPr="00CA3906" w:rsidRDefault="001B5AEC" w:rsidP="001B5AEC">
      <w:pPr>
        <w:rPr>
          <w:b/>
          <w:highlight w:val="yellow"/>
        </w:rPr>
      </w:pPr>
      <w:r w:rsidRPr="00CA3906">
        <w:rPr>
          <w:b/>
          <w:highlight w:val="yellow"/>
        </w:rPr>
        <w:t>Disclaimer (Artificial intelligence)</w:t>
      </w:r>
    </w:p>
    <w:p w14:paraId="7589D662" w14:textId="35A818D9" w:rsidR="0012044A" w:rsidRPr="009440AD" w:rsidRDefault="001B5AEC" w:rsidP="009440A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3F2645D" w14:textId="77777777" w:rsidR="0012044A" w:rsidRDefault="0012044A" w:rsidP="0012044A">
      <w:pPr>
        <w:pStyle w:val="ListParagraph"/>
        <w:spacing w:line="360" w:lineRule="auto"/>
        <w:ind w:left="0"/>
        <w:jc w:val="both"/>
        <w:rPr>
          <w:rFonts w:ascii="Times New Roman" w:eastAsiaTheme="minorEastAsia" w:hAnsi="Times New Roman" w:cs="Times New Roman"/>
          <w:b/>
          <w:bCs/>
          <w:sz w:val="24"/>
          <w:szCs w:val="24"/>
        </w:rPr>
      </w:pPr>
      <w:r w:rsidRPr="00DD4171">
        <w:rPr>
          <w:rFonts w:ascii="Times New Roman" w:eastAsiaTheme="minorEastAsia" w:hAnsi="Times New Roman" w:cs="Times New Roman"/>
          <w:b/>
          <w:bCs/>
          <w:sz w:val="24"/>
          <w:szCs w:val="24"/>
        </w:rPr>
        <w:t>References</w:t>
      </w:r>
    </w:p>
    <w:p w14:paraId="4BDC1EA1" w14:textId="38B906A7" w:rsidR="003465CA" w:rsidRPr="00705890" w:rsidRDefault="003465CA" w:rsidP="00705890">
      <w:pPr>
        <w:pStyle w:val="ListParagraph"/>
        <w:numPr>
          <w:ilvl w:val="0"/>
          <w:numId w:val="8"/>
        </w:numPr>
        <w:spacing w:line="360" w:lineRule="auto"/>
        <w:jc w:val="both"/>
        <w:rPr>
          <w:rFonts w:ascii="Times New Roman" w:eastAsiaTheme="minorEastAsia" w:hAnsi="Times New Roman" w:cs="Times New Roman"/>
          <w:sz w:val="24"/>
          <w:szCs w:val="24"/>
        </w:rPr>
      </w:pPr>
      <w:proofErr w:type="spellStart"/>
      <w:r w:rsidRPr="00705890">
        <w:rPr>
          <w:rFonts w:ascii="Times New Roman" w:eastAsiaTheme="minorEastAsia" w:hAnsi="Times New Roman" w:cs="Times New Roman"/>
          <w:sz w:val="24"/>
          <w:szCs w:val="24"/>
        </w:rPr>
        <w:t>Agmarknet</w:t>
      </w:r>
      <w:proofErr w:type="spellEnd"/>
      <w:r w:rsidRPr="00705890">
        <w:rPr>
          <w:rFonts w:ascii="Times New Roman" w:eastAsiaTheme="minorEastAsia" w:hAnsi="Times New Roman" w:cs="Times New Roman"/>
          <w:sz w:val="24"/>
          <w:szCs w:val="24"/>
        </w:rPr>
        <w:t xml:space="preserve">. Available online: </w:t>
      </w:r>
      <w:hyperlink r:id="rId17" w:history="1">
        <w:r w:rsidRPr="00705890">
          <w:rPr>
            <w:rStyle w:val="Hyperlink"/>
            <w:rFonts w:ascii="Times New Roman" w:eastAsiaTheme="minorEastAsia" w:hAnsi="Times New Roman" w:cs="Times New Roman"/>
            <w:sz w:val="24"/>
            <w:szCs w:val="24"/>
          </w:rPr>
          <w:t>https://agmarknet.gov.in/Price &amp; Arrivals/Commodity Daily MarketWise.aspx</w:t>
        </w:r>
      </w:hyperlink>
    </w:p>
    <w:p w14:paraId="450119E1" w14:textId="0B81A8CB"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 xml:space="preserve">Bollerslev, T. (1986). Generalized autoregressive conditional heteroskedasticity. </w:t>
      </w:r>
      <w:r w:rsidRPr="00705890">
        <w:rPr>
          <w:rFonts w:ascii="Times New Roman" w:eastAsiaTheme="minorEastAsia" w:hAnsi="Times New Roman" w:cs="Times New Roman"/>
          <w:i/>
          <w:iCs/>
          <w:sz w:val="24"/>
          <w:szCs w:val="24"/>
        </w:rPr>
        <w:t>J</w:t>
      </w:r>
      <w:r w:rsidR="00943A91" w:rsidRPr="00705890">
        <w:rPr>
          <w:rFonts w:ascii="Times New Roman" w:eastAsiaTheme="minorEastAsia" w:hAnsi="Times New Roman" w:cs="Times New Roman"/>
          <w:i/>
          <w:iCs/>
          <w:sz w:val="24"/>
          <w:szCs w:val="24"/>
        </w:rPr>
        <w:t>ournal of Econometrics</w:t>
      </w:r>
      <w:r w:rsidRPr="00705890">
        <w:rPr>
          <w:rFonts w:ascii="Times New Roman" w:eastAsiaTheme="minorEastAsia" w:hAnsi="Times New Roman" w:cs="Times New Roman"/>
          <w:sz w:val="24"/>
          <w:szCs w:val="24"/>
        </w:rPr>
        <w:t>, 31(3), 307-327.</w:t>
      </w:r>
    </w:p>
    <w:p w14:paraId="564A9B43" w14:textId="06206DF5"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Box, G.E.P., Jenkins</w:t>
      </w:r>
      <w:r w:rsidR="0099332D" w:rsidRPr="00705890">
        <w:rPr>
          <w:rFonts w:ascii="Times New Roman" w:eastAsiaTheme="minorEastAsia" w:hAnsi="Times New Roman" w:cs="Times New Roman"/>
          <w:sz w:val="24"/>
          <w:szCs w:val="24"/>
        </w:rPr>
        <w:t xml:space="preserve"> G.M.</w:t>
      </w:r>
      <w:r w:rsidRPr="00705890">
        <w:rPr>
          <w:rFonts w:ascii="Times New Roman" w:eastAsiaTheme="minorEastAsia" w:hAnsi="Times New Roman" w:cs="Times New Roman"/>
          <w:sz w:val="24"/>
          <w:szCs w:val="24"/>
        </w:rPr>
        <w:t>, Reinsel</w:t>
      </w:r>
      <w:r w:rsidR="0099332D" w:rsidRPr="00705890">
        <w:rPr>
          <w:rFonts w:ascii="Times New Roman" w:eastAsiaTheme="minorEastAsia" w:hAnsi="Times New Roman" w:cs="Times New Roman"/>
          <w:sz w:val="24"/>
          <w:szCs w:val="24"/>
        </w:rPr>
        <w:t xml:space="preserve"> G.C., &amp;</w:t>
      </w:r>
      <w:r w:rsidRPr="00705890">
        <w:rPr>
          <w:rFonts w:ascii="Times New Roman" w:eastAsiaTheme="minorEastAsia" w:hAnsi="Times New Roman" w:cs="Times New Roman"/>
          <w:sz w:val="24"/>
          <w:szCs w:val="24"/>
        </w:rPr>
        <w:t xml:space="preserve"> Ljung</w:t>
      </w:r>
      <w:r w:rsidR="0099332D" w:rsidRPr="00705890">
        <w:rPr>
          <w:rFonts w:ascii="Times New Roman" w:eastAsiaTheme="minorEastAsia" w:hAnsi="Times New Roman" w:cs="Times New Roman"/>
          <w:sz w:val="24"/>
          <w:szCs w:val="24"/>
        </w:rPr>
        <w:t xml:space="preserve"> G.M.</w:t>
      </w:r>
      <w:r w:rsidRPr="00705890">
        <w:rPr>
          <w:rFonts w:ascii="Times New Roman" w:eastAsiaTheme="minorEastAsia" w:hAnsi="Times New Roman" w:cs="Times New Roman"/>
          <w:sz w:val="24"/>
          <w:szCs w:val="24"/>
        </w:rPr>
        <w:t xml:space="preserve"> (2015), </w:t>
      </w:r>
      <w:r w:rsidRPr="00705890">
        <w:rPr>
          <w:rFonts w:ascii="Times New Roman" w:eastAsiaTheme="minorEastAsia" w:hAnsi="Times New Roman" w:cs="Times New Roman"/>
          <w:i/>
          <w:iCs/>
          <w:sz w:val="24"/>
          <w:szCs w:val="24"/>
        </w:rPr>
        <w:t>Time-Series Analysis: Forecasting and Control</w:t>
      </w:r>
      <w:r w:rsidRPr="00705890">
        <w:rPr>
          <w:rFonts w:ascii="Times New Roman" w:eastAsiaTheme="minorEastAsia" w:hAnsi="Times New Roman" w:cs="Times New Roman"/>
          <w:sz w:val="24"/>
          <w:szCs w:val="24"/>
        </w:rPr>
        <w:t>, 5th Edition. John Wiley &amp; Sons, Inc., New Jersey, U.S.A.</w:t>
      </w:r>
    </w:p>
    <w:p w14:paraId="073340F8" w14:textId="33EC4E39"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proofErr w:type="spellStart"/>
      <w:r w:rsidRPr="00705890">
        <w:rPr>
          <w:rFonts w:ascii="Times New Roman" w:eastAsiaTheme="minorEastAsia" w:hAnsi="Times New Roman" w:cs="Times New Roman"/>
          <w:sz w:val="24"/>
          <w:szCs w:val="24"/>
        </w:rPr>
        <w:t>Broock</w:t>
      </w:r>
      <w:proofErr w:type="spellEnd"/>
      <w:r w:rsidRPr="00705890">
        <w:rPr>
          <w:rFonts w:ascii="Times New Roman" w:eastAsiaTheme="minorEastAsia" w:hAnsi="Times New Roman" w:cs="Times New Roman"/>
          <w:sz w:val="24"/>
          <w:szCs w:val="24"/>
        </w:rPr>
        <w:t xml:space="preserve">, W.A., </w:t>
      </w:r>
      <w:proofErr w:type="spellStart"/>
      <w:r w:rsidRPr="00705890">
        <w:rPr>
          <w:rFonts w:ascii="Times New Roman" w:eastAsiaTheme="minorEastAsia" w:hAnsi="Times New Roman" w:cs="Times New Roman"/>
          <w:sz w:val="24"/>
          <w:szCs w:val="24"/>
        </w:rPr>
        <w:t>Scheinkman</w:t>
      </w:r>
      <w:proofErr w:type="spellEnd"/>
      <w:r w:rsidR="00442304" w:rsidRPr="00705890">
        <w:rPr>
          <w:rFonts w:ascii="Times New Roman" w:eastAsiaTheme="minorEastAsia" w:hAnsi="Times New Roman" w:cs="Times New Roman"/>
          <w:sz w:val="24"/>
          <w:szCs w:val="24"/>
        </w:rPr>
        <w:t xml:space="preserve"> J.A.</w:t>
      </w:r>
      <w:r w:rsidRPr="00705890">
        <w:rPr>
          <w:rFonts w:ascii="Times New Roman" w:eastAsiaTheme="minorEastAsia" w:hAnsi="Times New Roman" w:cs="Times New Roman"/>
          <w:sz w:val="24"/>
          <w:szCs w:val="24"/>
        </w:rPr>
        <w:t>, Dechert</w:t>
      </w:r>
      <w:r w:rsidR="00442304" w:rsidRPr="00705890">
        <w:rPr>
          <w:rFonts w:ascii="Times New Roman" w:eastAsiaTheme="minorEastAsia" w:hAnsi="Times New Roman" w:cs="Times New Roman"/>
          <w:sz w:val="24"/>
          <w:szCs w:val="24"/>
        </w:rPr>
        <w:t xml:space="preserve"> W.D., &amp;</w:t>
      </w:r>
      <w:r w:rsidRPr="00705890">
        <w:rPr>
          <w:rFonts w:ascii="Times New Roman" w:eastAsiaTheme="minorEastAsia" w:hAnsi="Times New Roman" w:cs="Times New Roman"/>
          <w:sz w:val="24"/>
          <w:szCs w:val="24"/>
        </w:rPr>
        <w:t xml:space="preserve"> LeBaron</w:t>
      </w:r>
      <w:r w:rsidR="00442304" w:rsidRPr="00705890">
        <w:rPr>
          <w:rFonts w:ascii="Times New Roman" w:eastAsiaTheme="minorEastAsia" w:hAnsi="Times New Roman" w:cs="Times New Roman"/>
          <w:sz w:val="24"/>
          <w:szCs w:val="24"/>
        </w:rPr>
        <w:t xml:space="preserve"> B.</w:t>
      </w:r>
      <w:r w:rsidRPr="00705890">
        <w:rPr>
          <w:rFonts w:ascii="Times New Roman" w:eastAsiaTheme="minorEastAsia" w:hAnsi="Times New Roman" w:cs="Times New Roman"/>
          <w:sz w:val="24"/>
          <w:szCs w:val="24"/>
        </w:rPr>
        <w:t xml:space="preserve"> (1996). A test for independence based on the correlation dimension. </w:t>
      </w:r>
      <w:r w:rsidRPr="00705890">
        <w:rPr>
          <w:rFonts w:ascii="Times New Roman" w:eastAsiaTheme="minorEastAsia" w:hAnsi="Times New Roman" w:cs="Times New Roman"/>
          <w:i/>
          <w:iCs/>
          <w:sz w:val="24"/>
          <w:szCs w:val="24"/>
        </w:rPr>
        <w:t>Econometric Reviews</w:t>
      </w:r>
      <w:r w:rsidR="00FB3CCA" w:rsidRPr="00705890">
        <w:rPr>
          <w:rFonts w:ascii="Times New Roman" w:eastAsiaTheme="minorEastAsia" w:hAnsi="Times New Roman" w:cs="Times New Roman"/>
          <w:sz w:val="24"/>
          <w:szCs w:val="24"/>
        </w:rPr>
        <w:t>,</w:t>
      </w:r>
      <w:r w:rsidRPr="00705890">
        <w:rPr>
          <w:rFonts w:ascii="Times New Roman" w:eastAsiaTheme="minorEastAsia" w:hAnsi="Times New Roman" w:cs="Times New Roman"/>
          <w:sz w:val="24"/>
          <w:szCs w:val="24"/>
        </w:rPr>
        <w:t xml:space="preserve"> 15(3), 197-235.</w:t>
      </w:r>
    </w:p>
    <w:p w14:paraId="54502596" w14:textId="78AD58B5" w:rsidR="0012044A"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Cleveland, R.B., Cleveland</w:t>
      </w:r>
      <w:r w:rsidR="00FB3CCA" w:rsidRPr="00FB3CCA">
        <w:rPr>
          <w:rFonts w:ascii="Times New Roman" w:eastAsiaTheme="minorEastAsia" w:hAnsi="Times New Roman" w:cs="Times New Roman"/>
          <w:sz w:val="24"/>
          <w:szCs w:val="24"/>
        </w:rPr>
        <w:t xml:space="preserve"> </w:t>
      </w:r>
      <w:r w:rsidR="00FB3CCA">
        <w:rPr>
          <w:rFonts w:ascii="Times New Roman" w:eastAsiaTheme="minorEastAsia" w:hAnsi="Times New Roman" w:cs="Times New Roman"/>
          <w:sz w:val="24"/>
          <w:szCs w:val="24"/>
        </w:rPr>
        <w:t>W.S.</w:t>
      </w:r>
      <w:r>
        <w:rPr>
          <w:rFonts w:ascii="Times New Roman" w:eastAsiaTheme="minorEastAsia" w:hAnsi="Times New Roman" w:cs="Times New Roman"/>
          <w:sz w:val="24"/>
          <w:szCs w:val="24"/>
        </w:rPr>
        <w:t>, McRae</w:t>
      </w:r>
      <w:r w:rsidR="00FB3CCA" w:rsidRPr="00FB3CCA">
        <w:rPr>
          <w:rFonts w:ascii="Times New Roman" w:eastAsiaTheme="minorEastAsia" w:hAnsi="Times New Roman" w:cs="Times New Roman"/>
          <w:sz w:val="24"/>
          <w:szCs w:val="24"/>
        </w:rPr>
        <w:t xml:space="preserve"> </w:t>
      </w:r>
      <w:r w:rsidR="00FB3CCA">
        <w:rPr>
          <w:rFonts w:ascii="Times New Roman" w:eastAsiaTheme="minorEastAsia" w:hAnsi="Times New Roman" w:cs="Times New Roman"/>
          <w:sz w:val="24"/>
          <w:szCs w:val="24"/>
        </w:rPr>
        <w:t>J.E.,</w:t>
      </w:r>
      <w:r>
        <w:rPr>
          <w:rFonts w:ascii="Times New Roman" w:eastAsiaTheme="minorEastAsia" w:hAnsi="Times New Roman" w:cs="Times New Roman"/>
          <w:sz w:val="24"/>
          <w:szCs w:val="24"/>
        </w:rPr>
        <w:t xml:space="preserve"> </w:t>
      </w:r>
      <w:r w:rsidR="00FB3CCA">
        <w:rPr>
          <w:rFonts w:ascii="Times New Roman" w:eastAsiaTheme="minorEastAsia" w:hAnsi="Times New Roman" w:cs="Times New Roman"/>
          <w:sz w:val="24"/>
          <w:szCs w:val="24"/>
        </w:rPr>
        <w:t>&amp;</w:t>
      </w:r>
      <w:r>
        <w:rPr>
          <w:rFonts w:ascii="Times New Roman" w:eastAsiaTheme="minorEastAsia" w:hAnsi="Times New Roman" w:cs="Times New Roman"/>
          <w:sz w:val="24"/>
          <w:szCs w:val="24"/>
        </w:rPr>
        <w:t xml:space="preserve"> Terpenning</w:t>
      </w:r>
      <w:r w:rsidR="00FB3CCA" w:rsidRPr="00FB3CCA">
        <w:rPr>
          <w:rFonts w:ascii="Times New Roman" w:eastAsiaTheme="minorEastAsia" w:hAnsi="Times New Roman" w:cs="Times New Roman"/>
          <w:sz w:val="24"/>
          <w:szCs w:val="24"/>
        </w:rPr>
        <w:t xml:space="preserve"> </w:t>
      </w:r>
      <w:r w:rsidR="00FB3CCA">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 (1990). STL: A seasonal-trend decomposition procedure based on Loess. </w:t>
      </w:r>
      <w:r w:rsidRPr="00724492">
        <w:rPr>
          <w:rFonts w:ascii="Times New Roman" w:eastAsiaTheme="minorEastAsia" w:hAnsi="Times New Roman" w:cs="Times New Roman"/>
          <w:i/>
          <w:iCs/>
          <w:sz w:val="24"/>
          <w:szCs w:val="24"/>
        </w:rPr>
        <w:t>J</w:t>
      </w:r>
      <w:r w:rsidR="00FB3CCA">
        <w:rPr>
          <w:rFonts w:ascii="Times New Roman" w:eastAsiaTheme="minorEastAsia" w:hAnsi="Times New Roman" w:cs="Times New Roman"/>
          <w:i/>
          <w:iCs/>
          <w:sz w:val="24"/>
          <w:szCs w:val="24"/>
        </w:rPr>
        <w:t>ournal of</w:t>
      </w:r>
      <w:r w:rsidRPr="00724492">
        <w:rPr>
          <w:rFonts w:ascii="Times New Roman" w:eastAsiaTheme="minorEastAsia" w:hAnsi="Times New Roman" w:cs="Times New Roman"/>
          <w:i/>
          <w:iCs/>
          <w:sz w:val="24"/>
          <w:szCs w:val="24"/>
        </w:rPr>
        <w:t xml:space="preserve"> </w:t>
      </w:r>
      <w:r w:rsidR="00FB3CCA" w:rsidRPr="00724492">
        <w:rPr>
          <w:rFonts w:ascii="Times New Roman" w:eastAsiaTheme="minorEastAsia" w:hAnsi="Times New Roman" w:cs="Times New Roman"/>
          <w:i/>
          <w:iCs/>
          <w:sz w:val="24"/>
          <w:szCs w:val="24"/>
        </w:rPr>
        <w:t>Off</w:t>
      </w:r>
      <w:r w:rsidR="00FB3CCA">
        <w:rPr>
          <w:rFonts w:ascii="Times New Roman" w:eastAsiaTheme="minorEastAsia" w:hAnsi="Times New Roman" w:cs="Times New Roman"/>
          <w:i/>
          <w:iCs/>
          <w:sz w:val="24"/>
          <w:szCs w:val="24"/>
        </w:rPr>
        <w:t>icial Statistics</w:t>
      </w:r>
      <w:r w:rsidR="00FB3CC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FB3CCA">
        <w:rPr>
          <w:rFonts w:ascii="Times New Roman" w:eastAsiaTheme="minorEastAsia" w:hAnsi="Times New Roman" w:cs="Times New Roman"/>
          <w:sz w:val="24"/>
          <w:szCs w:val="24"/>
        </w:rPr>
        <w:t>6(1),</w:t>
      </w:r>
      <w:r>
        <w:rPr>
          <w:rFonts w:ascii="Times New Roman" w:eastAsiaTheme="minorEastAsia" w:hAnsi="Times New Roman" w:cs="Times New Roman"/>
          <w:sz w:val="24"/>
          <w:szCs w:val="24"/>
        </w:rPr>
        <w:t xml:space="preserve"> 3-73.</w:t>
      </w:r>
    </w:p>
    <w:p w14:paraId="21BECDE0" w14:textId="1891710B"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 xml:space="preserve">Dickey, D. A., </w:t>
      </w:r>
      <w:r w:rsidR="00625D4A"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Fuller</w:t>
      </w:r>
      <w:r w:rsidR="00625D4A" w:rsidRPr="00705890">
        <w:rPr>
          <w:rFonts w:ascii="Times New Roman" w:eastAsiaTheme="minorEastAsia" w:hAnsi="Times New Roman" w:cs="Times New Roman"/>
          <w:sz w:val="24"/>
          <w:szCs w:val="24"/>
        </w:rPr>
        <w:t xml:space="preserve"> W.A.</w:t>
      </w:r>
      <w:r w:rsidRPr="00705890">
        <w:rPr>
          <w:rFonts w:ascii="Times New Roman" w:eastAsiaTheme="minorEastAsia" w:hAnsi="Times New Roman" w:cs="Times New Roman"/>
          <w:sz w:val="24"/>
          <w:szCs w:val="24"/>
        </w:rPr>
        <w:t xml:space="preserve"> (1979). Distribution of the estimators for autoregressive time series with a unit root. </w:t>
      </w:r>
      <w:r w:rsidRPr="00705890">
        <w:rPr>
          <w:rFonts w:ascii="Times New Roman" w:eastAsiaTheme="minorEastAsia" w:hAnsi="Times New Roman" w:cs="Times New Roman"/>
          <w:i/>
          <w:iCs/>
          <w:sz w:val="24"/>
          <w:szCs w:val="24"/>
        </w:rPr>
        <w:t>J</w:t>
      </w:r>
      <w:r w:rsidR="00625D4A" w:rsidRPr="00705890">
        <w:rPr>
          <w:rFonts w:ascii="Times New Roman" w:eastAsiaTheme="minorEastAsia" w:hAnsi="Times New Roman" w:cs="Times New Roman"/>
          <w:i/>
          <w:iCs/>
          <w:sz w:val="24"/>
          <w:szCs w:val="24"/>
        </w:rPr>
        <w:t>ournal of the</w:t>
      </w:r>
      <w:r w:rsidRPr="00705890">
        <w:rPr>
          <w:rFonts w:ascii="Times New Roman" w:eastAsiaTheme="minorEastAsia" w:hAnsi="Times New Roman" w:cs="Times New Roman"/>
          <w:i/>
          <w:iCs/>
          <w:sz w:val="24"/>
          <w:szCs w:val="24"/>
        </w:rPr>
        <w:t xml:space="preserve"> Amer</w:t>
      </w:r>
      <w:r w:rsidR="00625D4A" w:rsidRPr="00705890">
        <w:rPr>
          <w:rFonts w:ascii="Times New Roman" w:eastAsiaTheme="minorEastAsia" w:hAnsi="Times New Roman" w:cs="Times New Roman"/>
          <w:i/>
          <w:iCs/>
          <w:sz w:val="24"/>
          <w:szCs w:val="24"/>
        </w:rPr>
        <w:t>ican</w:t>
      </w:r>
      <w:r w:rsidRPr="00705890">
        <w:rPr>
          <w:rFonts w:ascii="Times New Roman" w:eastAsiaTheme="minorEastAsia" w:hAnsi="Times New Roman" w:cs="Times New Roman"/>
          <w:i/>
          <w:iCs/>
          <w:sz w:val="24"/>
          <w:szCs w:val="24"/>
        </w:rPr>
        <w:t xml:space="preserve"> Stat</w:t>
      </w:r>
      <w:r w:rsidR="00625D4A" w:rsidRPr="00705890">
        <w:rPr>
          <w:rFonts w:ascii="Times New Roman" w:eastAsiaTheme="minorEastAsia" w:hAnsi="Times New Roman" w:cs="Times New Roman"/>
          <w:i/>
          <w:iCs/>
          <w:sz w:val="24"/>
          <w:szCs w:val="24"/>
        </w:rPr>
        <w:t>istical</w:t>
      </w:r>
      <w:r w:rsidRPr="00705890">
        <w:rPr>
          <w:rFonts w:ascii="Times New Roman" w:eastAsiaTheme="minorEastAsia" w:hAnsi="Times New Roman" w:cs="Times New Roman"/>
          <w:i/>
          <w:iCs/>
          <w:sz w:val="24"/>
          <w:szCs w:val="24"/>
        </w:rPr>
        <w:t xml:space="preserve"> Assoc</w:t>
      </w:r>
      <w:r w:rsidR="00625D4A" w:rsidRPr="00705890">
        <w:rPr>
          <w:rFonts w:ascii="Times New Roman" w:eastAsiaTheme="minorEastAsia" w:hAnsi="Times New Roman" w:cs="Times New Roman"/>
          <w:i/>
          <w:iCs/>
          <w:sz w:val="24"/>
          <w:szCs w:val="24"/>
        </w:rPr>
        <w:t>iation</w:t>
      </w:r>
      <w:r w:rsidRPr="00705890">
        <w:rPr>
          <w:rFonts w:ascii="Times New Roman" w:eastAsiaTheme="minorEastAsia" w:hAnsi="Times New Roman" w:cs="Times New Roman"/>
          <w:sz w:val="24"/>
          <w:szCs w:val="24"/>
        </w:rPr>
        <w:t>, 74(366a), 427-431.</w:t>
      </w:r>
    </w:p>
    <w:p w14:paraId="2FECD0CF" w14:textId="2BC86131"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Ding, Z., Granger</w:t>
      </w:r>
      <w:r w:rsidR="00C92E3C" w:rsidRPr="00705890">
        <w:rPr>
          <w:rFonts w:ascii="Times New Roman" w:eastAsiaTheme="minorEastAsia" w:hAnsi="Times New Roman" w:cs="Times New Roman"/>
          <w:sz w:val="24"/>
          <w:szCs w:val="24"/>
        </w:rPr>
        <w:t xml:space="preserve"> C.W.,</w:t>
      </w:r>
      <w:r w:rsidRPr="00705890">
        <w:rPr>
          <w:rFonts w:ascii="Times New Roman" w:eastAsiaTheme="minorEastAsia" w:hAnsi="Times New Roman" w:cs="Times New Roman"/>
          <w:sz w:val="24"/>
          <w:szCs w:val="24"/>
        </w:rPr>
        <w:t xml:space="preserve"> </w:t>
      </w:r>
      <w:r w:rsidR="00C92E3C"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Engle</w:t>
      </w:r>
      <w:r w:rsidR="00C92E3C" w:rsidRPr="00705890">
        <w:rPr>
          <w:rFonts w:ascii="Times New Roman" w:eastAsiaTheme="minorEastAsia" w:hAnsi="Times New Roman" w:cs="Times New Roman"/>
          <w:sz w:val="24"/>
          <w:szCs w:val="24"/>
        </w:rPr>
        <w:t xml:space="preserve"> R.F.</w:t>
      </w:r>
      <w:r w:rsidRPr="00705890">
        <w:rPr>
          <w:rFonts w:ascii="Times New Roman" w:eastAsiaTheme="minorEastAsia" w:hAnsi="Times New Roman" w:cs="Times New Roman"/>
          <w:sz w:val="24"/>
          <w:szCs w:val="24"/>
        </w:rPr>
        <w:t xml:space="preserve"> (1993). A long memory property of stock market returns and a new model. </w:t>
      </w:r>
      <w:r w:rsidRPr="00705890">
        <w:rPr>
          <w:rFonts w:ascii="Times New Roman" w:eastAsiaTheme="minorEastAsia" w:hAnsi="Times New Roman" w:cs="Times New Roman"/>
          <w:i/>
          <w:iCs/>
          <w:sz w:val="24"/>
          <w:szCs w:val="24"/>
        </w:rPr>
        <w:t>J</w:t>
      </w:r>
      <w:r w:rsidR="00C92E3C" w:rsidRPr="00705890">
        <w:rPr>
          <w:rFonts w:ascii="Times New Roman" w:eastAsiaTheme="minorEastAsia" w:hAnsi="Times New Roman" w:cs="Times New Roman"/>
          <w:i/>
          <w:iCs/>
          <w:sz w:val="24"/>
          <w:szCs w:val="24"/>
        </w:rPr>
        <w:t>ournal of</w:t>
      </w:r>
      <w:r w:rsidRPr="00705890">
        <w:rPr>
          <w:rFonts w:ascii="Times New Roman" w:eastAsiaTheme="minorEastAsia" w:hAnsi="Times New Roman" w:cs="Times New Roman"/>
          <w:i/>
          <w:iCs/>
          <w:sz w:val="24"/>
          <w:szCs w:val="24"/>
        </w:rPr>
        <w:t xml:space="preserve"> Emp</w:t>
      </w:r>
      <w:r w:rsidR="00C92E3C" w:rsidRPr="00705890">
        <w:rPr>
          <w:rFonts w:ascii="Times New Roman" w:eastAsiaTheme="minorEastAsia" w:hAnsi="Times New Roman" w:cs="Times New Roman"/>
          <w:i/>
          <w:iCs/>
          <w:sz w:val="24"/>
          <w:szCs w:val="24"/>
        </w:rPr>
        <w:t>irical</w:t>
      </w:r>
      <w:r w:rsidRPr="00705890">
        <w:rPr>
          <w:rFonts w:ascii="Times New Roman" w:eastAsiaTheme="minorEastAsia" w:hAnsi="Times New Roman" w:cs="Times New Roman"/>
          <w:i/>
          <w:iCs/>
          <w:sz w:val="24"/>
          <w:szCs w:val="24"/>
        </w:rPr>
        <w:t xml:space="preserve"> Finan</w:t>
      </w:r>
      <w:r w:rsidR="00C92E3C" w:rsidRPr="00705890">
        <w:rPr>
          <w:rFonts w:ascii="Times New Roman" w:eastAsiaTheme="minorEastAsia" w:hAnsi="Times New Roman" w:cs="Times New Roman"/>
          <w:i/>
          <w:iCs/>
          <w:sz w:val="24"/>
          <w:szCs w:val="24"/>
        </w:rPr>
        <w:t>ce</w:t>
      </w:r>
      <w:r w:rsidRPr="00705890">
        <w:rPr>
          <w:rFonts w:ascii="Times New Roman" w:eastAsiaTheme="minorEastAsia" w:hAnsi="Times New Roman" w:cs="Times New Roman"/>
          <w:sz w:val="24"/>
          <w:szCs w:val="24"/>
        </w:rPr>
        <w:t>, 1(1), 83-106.</w:t>
      </w:r>
    </w:p>
    <w:p w14:paraId="2B136526" w14:textId="6F35320C"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 xml:space="preserve">Engle, R.F. (1982). Autoregressive conditional heteroscedasticity with estimates of the variance of United Kingdom inflation. </w:t>
      </w:r>
      <w:proofErr w:type="spellStart"/>
      <w:r w:rsidRPr="00705890">
        <w:rPr>
          <w:rFonts w:ascii="Times New Roman" w:eastAsiaTheme="minorEastAsia" w:hAnsi="Times New Roman" w:cs="Times New Roman"/>
          <w:i/>
          <w:iCs/>
          <w:sz w:val="24"/>
          <w:szCs w:val="24"/>
        </w:rPr>
        <w:t>Econometrica</w:t>
      </w:r>
      <w:proofErr w:type="spellEnd"/>
      <w:r w:rsidRPr="00705890">
        <w:rPr>
          <w:rFonts w:ascii="Times New Roman" w:eastAsiaTheme="minorEastAsia" w:hAnsi="Times New Roman" w:cs="Times New Roman"/>
          <w:sz w:val="24"/>
          <w:szCs w:val="24"/>
        </w:rPr>
        <w:t>, 50(4), 987-1007.</w:t>
      </w:r>
      <w:r w:rsidR="002125B3" w:rsidRPr="002125B3">
        <w:t xml:space="preserve"> </w:t>
      </w:r>
      <w:hyperlink r:id="rId18" w:history="1">
        <w:r w:rsidR="002125B3" w:rsidRPr="00705890">
          <w:rPr>
            <w:rStyle w:val="Hyperlink"/>
            <w:rFonts w:ascii="Times New Roman" w:eastAsiaTheme="minorEastAsia" w:hAnsi="Times New Roman" w:cs="Times New Roman"/>
            <w:sz w:val="24"/>
            <w:szCs w:val="24"/>
          </w:rPr>
          <w:t>https://doi.org/10.2307/1912773</w:t>
        </w:r>
      </w:hyperlink>
    </w:p>
    <w:p w14:paraId="221C3561" w14:textId="33FE6A1B"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Ghosh, H., Paul</w:t>
      </w:r>
      <w:r w:rsidR="009A5D7C" w:rsidRPr="00705890">
        <w:rPr>
          <w:rFonts w:ascii="Times New Roman" w:eastAsiaTheme="minorEastAsia" w:hAnsi="Times New Roman" w:cs="Times New Roman"/>
          <w:sz w:val="24"/>
          <w:szCs w:val="24"/>
        </w:rPr>
        <w:t xml:space="preserve"> R.K.,</w:t>
      </w:r>
      <w:r w:rsidRPr="00705890">
        <w:rPr>
          <w:rFonts w:ascii="Times New Roman" w:eastAsiaTheme="minorEastAsia" w:hAnsi="Times New Roman" w:cs="Times New Roman"/>
          <w:sz w:val="24"/>
          <w:szCs w:val="24"/>
        </w:rPr>
        <w:t xml:space="preserve"> </w:t>
      </w:r>
      <w:r w:rsidR="009A5D7C"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w:t>
      </w:r>
      <w:proofErr w:type="spellStart"/>
      <w:r w:rsidRPr="00705890">
        <w:rPr>
          <w:rFonts w:ascii="Times New Roman" w:eastAsiaTheme="minorEastAsia" w:hAnsi="Times New Roman" w:cs="Times New Roman"/>
          <w:sz w:val="24"/>
          <w:szCs w:val="24"/>
        </w:rPr>
        <w:t>Prajneshu</w:t>
      </w:r>
      <w:proofErr w:type="spellEnd"/>
      <w:r w:rsidRPr="00705890">
        <w:rPr>
          <w:rFonts w:ascii="Times New Roman" w:eastAsiaTheme="minorEastAsia" w:hAnsi="Times New Roman" w:cs="Times New Roman"/>
          <w:sz w:val="24"/>
          <w:szCs w:val="24"/>
        </w:rPr>
        <w:t xml:space="preserve"> (2010</w:t>
      </w:r>
      <w:r w:rsidR="009A5D7C" w:rsidRPr="00705890">
        <w:rPr>
          <w:rFonts w:ascii="Times New Roman" w:eastAsiaTheme="minorEastAsia" w:hAnsi="Times New Roman" w:cs="Times New Roman"/>
          <w:sz w:val="24"/>
          <w:szCs w:val="24"/>
        </w:rPr>
        <w:t>b</w:t>
      </w:r>
      <w:r w:rsidRPr="00705890">
        <w:rPr>
          <w:rFonts w:ascii="Times New Roman" w:eastAsiaTheme="minorEastAsia" w:hAnsi="Times New Roman" w:cs="Times New Roman"/>
          <w:sz w:val="24"/>
          <w:szCs w:val="24"/>
        </w:rPr>
        <w:t xml:space="preserve">). The GARCH and EGARCH Non-Linear Time Series Models for Volatile Data: An Application. </w:t>
      </w:r>
      <w:r w:rsidRPr="00705890">
        <w:rPr>
          <w:rFonts w:ascii="Times New Roman" w:eastAsiaTheme="minorEastAsia" w:hAnsi="Times New Roman" w:cs="Times New Roman"/>
          <w:i/>
          <w:iCs/>
          <w:sz w:val="24"/>
          <w:szCs w:val="24"/>
        </w:rPr>
        <w:t>J</w:t>
      </w:r>
      <w:r w:rsidR="009A5D7C" w:rsidRPr="00705890">
        <w:rPr>
          <w:rFonts w:ascii="Times New Roman" w:eastAsiaTheme="minorEastAsia" w:hAnsi="Times New Roman" w:cs="Times New Roman"/>
          <w:i/>
          <w:iCs/>
          <w:sz w:val="24"/>
          <w:szCs w:val="24"/>
        </w:rPr>
        <w:t>ournal of</w:t>
      </w:r>
      <w:r w:rsidRPr="00705890">
        <w:rPr>
          <w:rFonts w:ascii="Times New Roman" w:eastAsiaTheme="minorEastAsia" w:hAnsi="Times New Roman" w:cs="Times New Roman"/>
          <w:i/>
          <w:iCs/>
          <w:sz w:val="24"/>
          <w:szCs w:val="24"/>
        </w:rPr>
        <w:t xml:space="preserve"> Stat</w:t>
      </w:r>
      <w:r w:rsidR="009A5D7C" w:rsidRPr="00705890">
        <w:rPr>
          <w:rFonts w:ascii="Times New Roman" w:eastAsiaTheme="minorEastAsia" w:hAnsi="Times New Roman" w:cs="Times New Roman"/>
          <w:i/>
          <w:iCs/>
          <w:sz w:val="24"/>
          <w:szCs w:val="24"/>
        </w:rPr>
        <w:t>istics and</w:t>
      </w:r>
      <w:r w:rsidRPr="00705890">
        <w:rPr>
          <w:rFonts w:ascii="Times New Roman" w:eastAsiaTheme="minorEastAsia" w:hAnsi="Times New Roman" w:cs="Times New Roman"/>
          <w:i/>
          <w:iCs/>
          <w:sz w:val="24"/>
          <w:szCs w:val="24"/>
        </w:rPr>
        <w:t xml:space="preserve"> Appl</w:t>
      </w:r>
      <w:r w:rsidR="009A5D7C" w:rsidRPr="00705890">
        <w:rPr>
          <w:rFonts w:ascii="Times New Roman" w:eastAsiaTheme="minorEastAsia" w:hAnsi="Times New Roman" w:cs="Times New Roman"/>
          <w:i/>
          <w:iCs/>
          <w:sz w:val="24"/>
          <w:szCs w:val="24"/>
        </w:rPr>
        <w:t>ications</w:t>
      </w:r>
      <w:r w:rsidRPr="00705890">
        <w:rPr>
          <w:rFonts w:ascii="Times New Roman" w:eastAsiaTheme="minorEastAsia" w:hAnsi="Times New Roman" w:cs="Times New Roman"/>
          <w:sz w:val="24"/>
          <w:szCs w:val="24"/>
        </w:rPr>
        <w:t>, 5(2), 177-193.</w:t>
      </w:r>
    </w:p>
    <w:p w14:paraId="2F388429" w14:textId="29309DDF"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proofErr w:type="spellStart"/>
      <w:r w:rsidRPr="00705890">
        <w:rPr>
          <w:rFonts w:ascii="Times New Roman" w:eastAsiaTheme="minorEastAsia" w:hAnsi="Times New Roman" w:cs="Times New Roman"/>
          <w:sz w:val="24"/>
          <w:szCs w:val="24"/>
        </w:rPr>
        <w:lastRenderedPageBreak/>
        <w:t>Glosten</w:t>
      </w:r>
      <w:proofErr w:type="spellEnd"/>
      <w:r w:rsidRPr="00705890">
        <w:rPr>
          <w:rFonts w:ascii="Times New Roman" w:eastAsiaTheme="minorEastAsia" w:hAnsi="Times New Roman" w:cs="Times New Roman"/>
          <w:sz w:val="24"/>
          <w:szCs w:val="24"/>
        </w:rPr>
        <w:t>, L.R., Jagannathan</w:t>
      </w:r>
      <w:r w:rsidR="003D3E88" w:rsidRPr="00705890">
        <w:rPr>
          <w:rFonts w:ascii="Times New Roman" w:eastAsiaTheme="minorEastAsia" w:hAnsi="Times New Roman" w:cs="Times New Roman"/>
          <w:sz w:val="24"/>
          <w:szCs w:val="24"/>
        </w:rPr>
        <w:t xml:space="preserve"> R.,</w:t>
      </w:r>
      <w:r w:rsidRPr="00705890">
        <w:rPr>
          <w:rFonts w:ascii="Times New Roman" w:eastAsiaTheme="minorEastAsia" w:hAnsi="Times New Roman" w:cs="Times New Roman"/>
          <w:sz w:val="24"/>
          <w:szCs w:val="24"/>
        </w:rPr>
        <w:t xml:space="preserve"> </w:t>
      </w:r>
      <w:r w:rsidR="003D3E88"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Runkle</w:t>
      </w:r>
      <w:r w:rsidR="003D3E88" w:rsidRPr="00705890">
        <w:rPr>
          <w:rFonts w:ascii="Times New Roman" w:eastAsiaTheme="minorEastAsia" w:hAnsi="Times New Roman" w:cs="Times New Roman"/>
          <w:sz w:val="24"/>
          <w:szCs w:val="24"/>
        </w:rPr>
        <w:t xml:space="preserve"> D.E.</w:t>
      </w:r>
      <w:r w:rsidRPr="00705890">
        <w:rPr>
          <w:rFonts w:ascii="Times New Roman" w:eastAsiaTheme="minorEastAsia" w:hAnsi="Times New Roman" w:cs="Times New Roman"/>
          <w:sz w:val="24"/>
          <w:szCs w:val="24"/>
        </w:rPr>
        <w:t xml:space="preserve"> (1993). On the Relation between the Expected Value and the Volatility of the Nominal Excess Return on Stocks.</w:t>
      </w:r>
      <w:r w:rsidR="00A12859" w:rsidRPr="00705890">
        <w:rPr>
          <w:rFonts w:ascii="Times New Roman" w:eastAsiaTheme="minorEastAsia" w:hAnsi="Times New Roman" w:cs="Times New Roman"/>
          <w:sz w:val="24"/>
          <w:szCs w:val="24"/>
        </w:rPr>
        <w:t xml:space="preserve"> </w:t>
      </w:r>
      <w:r w:rsidR="003D3E88" w:rsidRPr="00705890">
        <w:rPr>
          <w:rFonts w:ascii="Times New Roman" w:eastAsiaTheme="minorEastAsia" w:hAnsi="Times New Roman" w:cs="Times New Roman"/>
          <w:i/>
          <w:iCs/>
          <w:sz w:val="24"/>
          <w:szCs w:val="24"/>
        </w:rPr>
        <w:t>The</w:t>
      </w:r>
      <w:r w:rsidR="003D3E88" w:rsidRPr="00705890">
        <w:rPr>
          <w:rFonts w:ascii="Times New Roman" w:eastAsiaTheme="minorEastAsia" w:hAnsi="Times New Roman" w:cs="Times New Roman"/>
          <w:sz w:val="24"/>
          <w:szCs w:val="24"/>
        </w:rPr>
        <w:t xml:space="preserve"> </w:t>
      </w:r>
      <w:r w:rsidRPr="00705890">
        <w:rPr>
          <w:rFonts w:ascii="Times New Roman" w:eastAsiaTheme="minorEastAsia" w:hAnsi="Times New Roman" w:cs="Times New Roman"/>
          <w:i/>
          <w:iCs/>
          <w:sz w:val="24"/>
          <w:szCs w:val="24"/>
        </w:rPr>
        <w:t>J</w:t>
      </w:r>
      <w:r w:rsidR="007863D9" w:rsidRPr="00705890">
        <w:rPr>
          <w:rFonts w:ascii="Times New Roman" w:eastAsiaTheme="minorEastAsia" w:hAnsi="Times New Roman" w:cs="Times New Roman"/>
          <w:i/>
          <w:iCs/>
          <w:sz w:val="24"/>
          <w:szCs w:val="24"/>
        </w:rPr>
        <w:t>ournal of</w:t>
      </w:r>
      <w:r w:rsidRPr="00705890">
        <w:rPr>
          <w:rFonts w:ascii="Times New Roman" w:eastAsiaTheme="minorEastAsia" w:hAnsi="Times New Roman" w:cs="Times New Roman"/>
          <w:i/>
          <w:iCs/>
          <w:sz w:val="24"/>
          <w:szCs w:val="24"/>
        </w:rPr>
        <w:t xml:space="preserve"> Fin</w:t>
      </w:r>
      <w:r w:rsidR="007863D9" w:rsidRPr="00705890">
        <w:rPr>
          <w:rFonts w:ascii="Times New Roman" w:eastAsiaTheme="minorEastAsia" w:hAnsi="Times New Roman" w:cs="Times New Roman"/>
          <w:sz w:val="24"/>
          <w:szCs w:val="24"/>
        </w:rPr>
        <w:t>ance</w:t>
      </w:r>
      <w:r w:rsidRPr="00705890">
        <w:rPr>
          <w:rFonts w:ascii="Times New Roman" w:eastAsiaTheme="minorEastAsia" w:hAnsi="Times New Roman" w:cs="Times New Roman"/>
          <w:sz w:val="24"/>
          <w:szCs w:val="24"/>
        </w:rPr>
        <w:t>, 48(5), 1779-1801.</w:t>
      </w:r>
    </w:p>
    <w:p w14:paraId="2632DC08" w14:textId="1B5B6CD0" w:rsidR="0012044A"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Jarque, C.M., </w:t>
      </w:r>
      <w:r w:rsidR="00A52F6F">
        <w:rPr>
          <w:rFonts w:ascii="Times New Roman" w:eastAsiaTheme="minorEastAsia" w:hAnsi="Times New Roman" w:cs="Times New Roman"/>
          <w:sz w:val="24"/>
          <w:szCs w:val="24"/>
        </w:rPr>
        <w:t>&amp;</w:t>
      </w:r>
      <w:r>
        <w:rPr>
          <w:rFonts w:ascii="Times New Roman" w:eastAsiaTheme="minorEastAsia" w:hAnsi="Times New Roman" w:cs="Times New Roman"/>
          <w:sz w:val="24"/>
          <w:szCs w:val="24"/>
        </w:rPr>
        <w:t xml:space="preserve"> Bera</w:t>
      </w:r>
      <w:r w:rsidR="00A52F6F" w:rsidRPr="00A52F6F">
        <w:rPr>
          <w:rFonts w:ascii="Times New Roman" w:eastAsiaTheme="minorEastAsia" w:hAnsi="Times New Roman" w:cs="Times New Roman"/>
          <w:sz w:val="24"/>
          <w:szCs w:val="24"/>
        </w:rPr>
        <w:t xml:space="preserve"> </w:t>
      </w:r>
      <w:r w:rsidR="00A52F6F">
        <w:rPr>
          <w:rFonts w:ascii="Times New Roman" w:eastAsiaTheme="minorEastAsia" w:hAnsi="Times New Roman" w:cs="Times New Roman"/>
          <w:sz w:val="24"/>
          <w:szCs w:val="24"/>
        </w:rPr>
        <w:t>A.K.</w:t>
      </w:r>
      <w:r>
        <w:rPr>
          <w:rFonts w:ascii="Times New Roman" w:eastAsiaTheme="minorEastAsia" w:hAnsi="Times New Roman" w:cs="Times New Roman"/>
          <w:sz w:val="24"/>
          <w:szCs w:val="24"/>
        </w:rPr>
        <w:t xml:space="preserve"> (1987). A test for normality of observations and regression residuals. </w:t>
      </w:r>
      <w:r w:rsidRPr="005A7ADA">
        <w:rPr>
          <w:rFonts w:ascii="Times New Roman" w:eastAsiaTheme="minorEastAsia" w:hAnsi="Times New Roman" w:cs="Times New Roman"/>
          <w:i/>
          <w:iCs/>
          <w:sz w:val="24"/>
          <w:szCs w:val="24"/>
        </w:rPr>
        <w:t>Int</w:t>
      </w:r>
      <w:r w:rsidR="00A52F6F">
        <w:rPr>
          <w:rFonts w:ascii="Times New Roman" w:eastAsiaTheme="minorEastAsia" w:hAnsi="Times New Roman" w:cs="Times New Roman"/>
          <w:i/>
          <w:iCs/>
          <w:sz w:val="24"/>
          <w:szCs w:val="24"/>
        </w:rPr>
        <w:t>ernational</w:t>
      </w:r>
      <w:r w:rsidRPr="005A7ADA">
        <w:rPr>
          <w:rFonts w:ascii="Times New Roman" w:eastAsiaTheme="minorEastAsia" w:hAnsi="Times New Roman" w:cs="Times New Roman"/>
          <w:i/>
          <w:iCs/>
          <w:sz w:val="24"/>
          <w:szCs w:val="24"/>
        </w:rPr>
        <w:t xml:space="preserve"> Stat</w:t>
      </w:r>
      <w:r w:rsidR="00A52F6F">
        <w:rPr>
          <w:rFonts w:ascii="Times New Roman" w:eastAsiaTheme="minorEastAsia" w:hAnsi="Times New Roman" w:cs="Times New Roman"/>
          <w:i/>
          <w:iCs/>
          <w:sz w:val="24"/>
          <w:szCs w:val="24"/>
        </w:rPr>
        <w:t>istical</w:t>
      </w:r>
      <w:r w:rsidRPr="005A7ADA">
        <w:rPr>
          <w:rFonts w:ascii="Times New Roman" w:eastAsiaTheme="minorEastAsia" w:hAnsi="Times New Roman" w:cs="Times New Roman"/>
          <w:i/>
          <w:iCs/>
          <w:sz w:val="24"/>
          <w:szCs w:val="24"/>
        </w:rPr>
        <w:t xml:space="preserve"> Rev</w:t>
      </w:r>
      <w:r w:rsidR="00A52F6F">
        <w:rPr>
          <w:rFonts w:ascii="Times New Roman" w:eastAsiaTheme="minorEastAsia" w:hAnsi="Times New Roman" w:cs="Times New Roman"/>
          <w:i/>
          <w:iCs/>
          <w:sz w:val="24"/>
          <w:szCs w:val="24"/>
        </w:rPr>
        <w:t>iews</w:t>
      </w:r>
      <w:r>
        <w:rPr>
          <w:rFonts w:ascii="Times New Roman" w:eastAsiaTheme="minorEastAsia" w:hAnsi="Times New Roman" w:cs="Times New Roman"/>
          <w:sz w:val="24"/>
          <w:szCs w:val="24"/>
        </w:rPr>
        <w:t xml:space="preserve">, </w:t>
      </w:r>
      <w:r w:rsidRPr="00A52F6F">
        <w:rPr>
          <w:rFonts w:ascii="Times New Roman" w:eastAsiaTheme="minorEastAsia" w:hAnsi="Times New Roman" w:cs="Times New Roman"/>
          <w:sz w:val="24"/>
          <w:szCs w:val="24"/>
        </w:rPr>
        <w:t>55(2),</w:t>
      </w:r>
      <w:r>
        <w:rPr>
          <w:rFonts w:ascii="Times New Roman" w:eastAsiaTheme="minorEastAsia" w:hAnsi="Times New Roman" w:cs="Times New Roman"/>
          <w:sz w:val="24"/>
          <w:szCs w:val="24"/>
        </w:rPr>
        <w:t xml:space="preserve"> 163-172.</w:t>
      </w:r>
    </w:p>
    <w:p w14:paraId="082FEF28" w14:textId="61292CF0" w:rsidR="0012044A"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Kruskal, W. H., </w:t>
      </w:r>
      <w:r w:rsidR="00BB2CA1">
        <w:rPr>
          <w:rFonts w:ascii="Times New Roman" w:eastAsiaTheme="minorEastAsia" w:hAnsi="Times New Roman" w:cs="Times New Roman"/>
          <w:sz w:val="24"/>
          <w:szCs w:val="24"/>
        </w:rPr>
        <w:t>&amp;</w:t>
      </w:r>
      <w:r>
        <w:rPr>
          <w:rFonts w:ascii="Times New Roman" w:eastAsiaTheme="minorEastAsia" w:hAnsi="Times New Roman" w:cs="Times New Roman"/>
          <w:sz w:val="24"/>
          <w:szCs w:val="24"/>
        </w:rPr>
        <w:t xml:space="preserve"> Wallis</w:t>
      </w:r>
      <w:r w:rsidR="00BB2CA1" w:rsidRPr="00BB2CA1">
        <w:rPr>
          <w:rFonts w:ascii="Times New Roman" w:eastAsiaTheme="minorEastAsia" w:hAnsi="Times New Roman" w:cs="Times New Roman"/>
          <w:sz w:val="24"/>
          <w:szCs w:val="24"/>
        </w:rPr>
        <w:t xml:space="preserve"> </w:t>
      </w:r>
      <w:r w:rsidR="00BB2CA1">
        <w:rPr>
          <w:rFonts w:ascii="Times New Roman" w:eastAsiaTheme="minorEastAsia" w:hAnsi="Times New Roman" w:cs="Times New Roman"/>
          <w:sz w:val="24"/>
          <w:szCs w:val="24"/>
        </w:rPr>
        <w:t>W. A.</w:t>
      </w:r>
      <w:r>
        <w:rPr>
          <w:rFonts w:ascii="Times New Roman" w:eastAsiaTheme="minorEastAsia" w:hAnsi="Times New Roman" w:cs="Times New Roman"/>
          <w:sz w:val="24"/>
          <w:szCs w:val="24"/>
        </w:rPr>
        <w:t xml:space="preserve"> (1952). Use of ranks in one-criterion variance analysis. </w:t>
      </w:r>
      <w:r w:rsidRPr="00724492">
        <w:rPr>
          <w:rFonts w:ascii="Times New Roman" w:eastAsiaTheme="minorEastAsia" w:hAnsi="Times New Roman" w:cs="Times New Roman"/>
          <w:i/>
          <w:iCs/>
          <w:sz w:val="24"/>
          <w:szCs w:val="24"/>
        </w:rPr>
        <w:t>J</w:t>
      </w:r>
      <w:r w:rsidR="00BB2CA1">
        <w:rPr>
          <w:rFonts w:ascii="Times New Roman" w:eastAsiaTheme="minorEastAsia" w:hAnsi="Times New Roman" w:cs="Times New Roman"/>
          <w:i/>
          <w:iCs/>
          <w:sz w:val="24"/>
          <w:szCs w:val="24"/>
        </w:rPr>
        <w:t>ournal of the</w:t>
      </w:r>
      <w:r w:rsidRPr="00724492">
        <w:rPr>
          <w:rFonts w:ascii="Times New Roman" w:eastAsiaTheme="minorEastAsia" w:hAnsi="Times New Roman" w:cs="Times New Roman"/>
          <w:i/>
          <w:iCs/>
          <w:sz w:val="24"/>
          <w:szCs w:val="24"/>
        </w:rPr>
        <w:t xml:space="preserve"> Amer</w:t>
      </w:r>
      <w:r w:rsidR="00BB2CA1">
        <w:rPr>
          <w:rFonts w:ascii="Times New Roman" w:eastAsiaTheme="minorEastAsia" w:hAnsi="Times New Roman" w:cs="Times New Roman"/>
          <w:i/>
          <w:iCs/>
          <w:sz w:val="24"/>
          <w:szCs w:val="24"/>
        </w:rPr>
        <w:t>ican</w:t>
      </w:r>
      <w:r w:rsidRPr="00724492">
        <w:rPr>
          <w:rFonts w:ascii="Times New Roman" w:eastAsiaTheme="minorEastAsia" w:hAnsi="Times New Roman" w:cs="Times New Roman"/>
          <w:i/>
          <w:iCs/>
          <w:sz w:val="24"/>
          <w:szCs w:val="24"/>
        </w:rPr>
        <w:t xml:space="preserve"> </w:t>
      </w:r>
      <w:r w:rsidR="0099036C" w:rsidRPr="00724492">
        <w:rPr>
          <w:rFonts w:ascii="Times New Roman" w:eastAsiaTheme="minorEastAsia" w:hAnsi="Times New Roman" w:cs="Times New Roman"/>
          <w:i/>
          <w:iCs/>
          <w:sz w:val="24"/>
          <w:szCs w:val="24"/>
        </w:rPr>
        <w:t>S</w:t>
      </w:r>
      <w:r w:rsidRPr="00724492">
        <w:rPr>
          <w:rFonts w:ascii="Times New Roman" w:eastAsiaTheme="minorEastAsia" w:hAnsi="Times New Roman" w:cs="Times New Roman"/>
          <w:i/>
          <w:iCs/>
          <w:sz w:val="24"/>
          <w:szCs w:val="24"/>
        </w:rPr>
        <w:t>tat</w:t>
      </w:r>
      <w:r w:rsidR="00BB2CA1">
        <w:rPr>
          <w:rFonts w:ascii="Times New Roman" w:eastAsiaTheme="minorEastAsia" w:hAnsi="Times New Roman" w:cs="Times New Roman"/>
          <w:i/>
          <w:iCs/>
          <w:sz w:val="24"/>
          <w:szCs w:val="24"/>
        </w:rPr>
        <w:t>istical</w:t>
      </w:r>
      <w:r w:rsidRPr="00724492">
        <w:rPr>
          <w:rFonts w:ascii="Times New Roman" w:eastAsiaTheme="minorEastAsia" w:hAnsi="Times New Roman" w:cs="Times New Roman"/>
          <w:i/>
          <w:iCs/>
          <w:sz w:val="24"/>
          <w:szCs w:val="24"/>
        </w:rPr>
        <w:t xml:space="preserve"> Assoc</w:t>
      </w:r>
      <w:r w:rsidR="00BB2CA1">
        <w:rPr>
          <w:rFonts w:ascii="Times New Roman" w:eastAsiaTheme="minorEastAsia" w:hAnsi="Times New Roman" w:cs="Times New Roman"/>
          <w:i/>
          <w:iCs/>
          <w:sz w:val="24"/>
          <w:szCs w:val="24"/>
        </w:rPr>
        <w:t>iation</w:t>
      </w:r>
      <w:r>
        <w:rPr>
          <w:rFonts w:ascii="Times New Roman" w:eastAsiaTheme="minorEastAsia" w:hAnsi="Times New Roman" w:cs="Times New Roman"/>
          <w:sz w:val="24"/>
          <w:szCs w:val="24"/>
        </w:rPr>
        <w:t xml:space="preserve">, </w:t>
      </w:r>
      <w:r w:rsidRPr="00BB2CA1">
        <w:rPr>
          <w:rFonts w:ascii="Times New Roman" w:eastAsiaTheme="minorEastAsia" w:hAnsi="Times New Roman" w:cs="Times New Roman"/>
          <w:sz w:val="24"/>
          <w:szCs w:val="24"/>
        </w:rPr>
        <w:t>47(260),</w:t>
      </w:r>
      <w:r>
        <w:rPr>
          <w:rFonts w:ascii="Times New Roman" w:eastAsiaTheme="minorEastAsia" w:hAnsi="Times New Roman" w:cs="Times New Roman"/>
          <w:sz w:val="24"/>
          <w:szCs w:val="24"/>
        </w:rPr>
        <w:t xml:space="preserve"> 583-621.</w:t>
      </w:r>
    </w:p>
    <w:p w14:paraId="31F6999D" w14:textId="318723C5" w:rsidR="0012044A"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Kwiatkowski, D., Phillips</w:t>
      </w:r>
      <w:r w:rsidR="00BB2CA1" w:rsidRPr="00BB2CA1">
        <w:rPr>
          <w:rFonts w:ascii="Times New Roman" w:eastAsiaTheme="minorEastAsia" w:hAnsi="Times New Roman" w:cs="Times New Roman"/>
          <w:sz w:val="24"/>
          <w:szCs w:val="24"/>
        </w:rPr>
        <w:t xml:space="preserve"> </w:t>
      </w:r>
      <w:r w:rsidR="00BB2CA1">
        <w:rPr>
          <w:rFonts w:ascii="Times New Roman" w:eastAsiaTheme="minorEastAsia" w:hAnsi="Times New Roman" w:cs="Times New Roman"/>
          <w:sz w:val="24"/>
          <w:szCs w:val="24"/>
        </w:rPr>
        <w:t>P. C.</w:t>
      </w:r>
      <w:r>
        <w:rPr>
          <w:rFonts w:ascii="Times New Roman" w:eastAsiaTheme="minorEastAsia" w:hAnsi="Times New Roman" w:cs="Times New Roman"/>
          <w:sz w:val="24"/>
          <w:szCs w:val="24"/>
        </w:rPr>
        <w:t>, Schmidt</w:t>
      </w:r>
      <w:r w:rsidR="00BB2CA1" w:rsidRPr="00BB2CA1">
        <w:rPr>
          <w:rFonts w:ascii="Times New Roman" w:eastAsiaTheme="minorEastAsia" w:hAnsi="Times New Roman" w:cs="Times New Roman"/>
          <w:sz w:val="24"/>
          <w:szCs w:val="24"/>
        </w:rPr>
        <w:t xml:space="preserve"> </w:t>
      </w:r>
      <w:r w:rsidR="00BB2CA1">
        <w:rPr>
          <w:rFonts w:ascii="Times New Roman" w:eastAsiaTheme="minorEastAsia" w:hAnsi="Times New Roman" w:cs="Times New Roman"/>
          <w:sz w:val="24"/>
          <w:szCs w:val="24"/>
        </w:rPr>
        <w:t>P., &amp;</w:t>
      </w:r>
      <w:r>
        <w:rPr>
          <w:rFonts w:ascii="Times New Roman" w:eastAsiaTheme="minorEastAsia" w:hAnsi="Times New Roman" w:cs="Times New Roman"/>
          <w:sz w:val="24"/>
          <w:szCs w:val="24"/>
        </w:rPr>
        <w:t xml:space="preserve"> Shin</w:t>
      </w:r>
      <w:r w:rsidR="00BB2CA1" w:rsidRPr="00BB2CA1">
        <w:rPr>
          <w:rFonts w:ascii="Times New Roman" w:eastAsiaTheme="minorEastAsia" w:hAnsi="Times New Roman" w:cs="Times New Roman"/>
          <w:sz w:val="24"/>
          <w:szCs w:val="24"/>
        </w:rPr>
        <w:t xml:space="preserve"> </w:t>
      </w:r>
      <w:r w:rsidR="00BB2CA1">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 xml:space="preserve"> (1992). Testing the null hypothesis of stationary against the alternative of a unit root: How sure are we that economic time series have a unit root? </w:t>
      </w:r>
      <w:r w:rsidRPr="00724492">
        <w:rPr>
          <w:rFonts w:ascii="Times New Roman" w:eastAsiaTheme="minorEastAsia" w:hAnsi="Times New Roman" w:cs="Times New Roman"/>
          <w:i/>
          <w:iCs/>
          <w:sz w:val="24"/>
          <w:szCs w:val="24"/>
        </w:rPr>
        <w:t>J</w:t>
      </w:r>
      <w:r w:rsidR="00BB2CA1">
        <w:rPr>
          <w:rFonts w:ascii="Times New Roman" w:eastAsiaTheme="minorEastAsia" w:hAnsi="Times New Roman" w:cs="Times New Roman"/>
          <w:i/>
          <w:iCs/>
          <w:sz w:val="24"/>
          <w:szCs w:val="24"/>
        </w:rPr>
        <w:t>ournal of</w:t>
      </w:r>
      <w:r w:rsidRPr="00724492">
        <w:rPr>
          <w:rFonts w:ascii="Times New Roman" w:eastAsiaTheme="minorEastAsia" w:hAnsi="Times New Roman" w:cs="Times New Roman"/>
          <w:i/>
          <w:iCs/>
          <w:sz w:val="24"/>
          <w:szCs w:val="24"/>
        </w:rPr>
        <w:t xml:space="preserve"> Econ</w:t>
      </w:r>
      <w:r w:rsidR="00BB2CA1">
        <w:rPr>
          <w:rFonts w:ascii="Times New Roman" w:eastAsiaTheme="minorEastAsia" w:hAnsi="Times New Roman" w:cs="Times New Roman"/>
          <w:i/>
          <w:iCs/>
          <w:sz w:val="24"/>
          <w:szCs w:val="24"/>
        </w:rPr>
        <w:t>ometrics</w:t>
      </w:r>
      <w:r>
        <w:rPr>
          <w:rFonts w:ascii="Times New Roman" w:eastAsiaTheme="minorEastAsia" w:hAnsi="Times New Roman" w:cs="Times New Roman"/>
          <w:sz w:val="24"/>
          <w:szCs w:val="24"/>
        </w:rPr>
        <w:t xml:space="preserve">, </w:t>
      </w:r>
      <w:r w:rsidRPr="00BB2CA1">
        <w:rPr>
          <w:rFonts w:ascii="Times New Roman" w:eastAsiaTheme="minorEastAsia" w:hAnsi="Times New Roman" w:cs="Times New Roman"/>
          <w:sz w:val="24"/>
          <w:szCs w:val="24"/>
        </w:rPr>
        <w:t>54(1-3),</w:t>
      </w:r>
      <w:r>
        <w:rPr>
          <w:rFonts w:ascii="Times New Roman" w:eastAsiaTheme="minorEastAsia" w:hAnsi="Times New Roman" w:cs="Times New Roman"/>
          <w:sz w:val="24"/>
          <w:szCs w:val="24"/>
        </w:rPr>
        <w:t xml:space="preserve"> 159-178.</w:t>
      </w:r>
    </w:p>
    <w:p w14:paraId="5C6FEBD5" w14:textId="1FCB06B8"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 xml:space="preserve">Moritz, S., </w:t>
      </w:r>
      <w:r w:rsidR="009D1804"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w:t>
      </w:r>
      <w:proofErr w:type="spellStart"/>
      <w:r w:rsidRPr="00705890">
        <w:rPr>
          <w:rFonts w:ascii="Times New Roman" w:eastAsiaTheme="minorEastAsia" w:hAnsi="Times New Roman" w:cs="Times New Roman"/>
          <w:sz w:val="24"/>
          <w:szCs w:val="24"/>
        </w:rPr>
        <w:t>Bartz-Beielstein</w:t>
      </w:r>
      <w:proofErr w:type="spellEnd"/>
      <w:r w:rsidR="009D1804" w:rsidRPr="00705890">
        <w:rPr>
          <w:rFonts w:ascii="Times New Roman" w:eastAsiaTheme="minorEastAsia" w:hAnsi="Times New Roman" w:cs="Times New Roman"/>
          <w:sz w:val="24"/>
          <w:szCs w:val="24"/>
        </w:rPr>
        <w:t xml:space="preserve"> T.</w:t>
      </w:r>
      <w:r w:rsidRPr="00705890">
        <w:rPr>
          <w:rFonts w:ascii="Times New Roman" w:eastAsiaTheme="minorEastAsia" w:hAnsi="Times New Roman" w:cs="Times New Roman"/>
          <w:sz w:val="24"/>
          <w:szCs w:val="24"/>
        </w:rPr>
        <w:t xml:space="preserve"> (2017). Impute TS: Time series missing value imputation in R. </w:t>
      </w:r>
      <w:r w:rsidRPr="00705890">
        <w:rPr>
          <w:rFonts w:ascii="Times New Roman" w:eastAsiaTheme="minorEastAsia" w:hAnsi="Times New Roman" w:cs="Times New Roman"/>
          <w:i/>
          <w:iCs/>
          <w:sz w:val="24"/>
          <w:szCs w:val="24"/>
        </w:rPr>
        <w:t>R Journal</w:t>
      </w:r>
      <w:r w:rsidRPr="00705890">
        <w:rPr>
          <w:rFonts w:ascii="Times New Roman" w:eastAsiaTheme="minorEastAsia" w:hAnsi="Times New Roman" w:cs="Times New Roman"/>
          <w:sz w:val="24"/>
          <w:szCs w:val="24"/>
        </w:rPr>
        <w:t>, 9(1), 207-218.</w:t>
      </w:r>
    </w:p>
    <w:p w14:paraId="4CB73560" w14:textId="5866D27E"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 xml:space="preserve">Nelson, D.B. (1991). Conditional heteroskedasticity in asset returns: A new approach. </w:t>
      </w:r>
      <w:proofErr w:type="spellStart"/>
      <w:r w:rsidRPr="00705890">
        <w:rPr>
          <w:rFonts w:ascii="Times New Roman" w:eastAsiaTheme="minorEastAsia" w:hAnsi="Times New Roman" w:cs="Times New Roman"/>
          <w:i/>
          <w:iCs/>
          <w:sz w:val="24"/>
          <w:szCs w:val="24"/>
        </w:rPr>
        <w:t>Econometrica</w:t>
      </w:r>
      <w:proofErr w:type="spellEnd"/>
      <w:r w:rsidRPr="00705890">
        <w:rPr>
          <w:rFonts w:ascii="Times New Roman" w:eastAsiaTheme="minorEastAsia" w:hAnsi="Times New Roman" w:cs="Times New Roman"/>
          <w:sz w:val="24"/>
          <w:szCs w:val="24"/>
        </w:rPr>
        <w:t>, 59(2), 347-370.</w:t>
      </w:r>
    </w:p>
    <w:p w14:paraId="2B878C67" w14:textId="3BC3D96E" w:rsidR="0012044A"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Phillips, P. C., </w:t>
      </w:r>
      <w:r w:rsidR="0036779F">
        <w:rPr>
          <w:rFonts w:ascii="Times New Roman" w:eastAsiaTheme="minorEastAsia" w:hAnsi="Times New Roman" w:cs="Times New Roman"/>
          <w:sz w:val="24"/>
          <w:szCs w:val="24"/>
        </w:rPr>
        <w:t>&amp;</w:t>
      </w:r>
      <w:r>
        <w:rPr>
          <w:rFonts w:ascii="Times New Roman" w:eastAsiaTheme="minorEastAsia" w:hAnsi="Times New Roman" w:cs="Times New Roman"/>
          <w:sz w:val="24"/>
          <w:szCs w:val="24"/>
        </w:rPr>
        <w:t xml:space="preserve"> Perron</w:t>
      </w:r>
      <w:r w:rsidR="0036779F" w:rsidRPr="0036779F">
        <w:rPr>
          <w:rFonts w:ascii="Times New Roman" w:eastAsiaTheme="minorEastAsia" w:hAnsi="Times New Roman" w:cs="Times New Roman"/>
          <w:sz w:val="24"/>
          <w:szCs w:val="24"/>
        </w:rPr>
        <w:t xml:space="preserve"> </w:t>
      </w:r>
      <w:r w:rsidR="0036779F">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 (1988). Testing for a unit root in time series regression. </w:t>
      </w:r>
      <w:proofErr w:type="spellStart"/>
      <w:r w:rsidRPr="00A26264">
        <w:rPr>
          <w:rFonts w:ascii="Times New Roman" w:eastAsiaTheme="minorEastAsia" w:hAnsi="Times New Roman" w:cs="Times New Roman"/>
          <w:i/>
          <w:iCs/>
          <w:sz w:val="24"/>
          <w:szCs w:val="24"/>
        </w:rPr>
        <w:t>Biometrika</w:t>
      </w:r>
      <w:proofErr w:type="spellEnd"/>
      <w:r>
        <w:rPr>
          <w:rFonts w:ascii="Times New Roman" w:eastAsiaTheme="minorEastAsia" w:hAnsi="Times New Roman" w:cs="Times New Roman"/>
          <w:sz w:val="24"/>
          <w:szCs w:val="24"/>
        </w:rPr>
        <w:t xml:space="preserve">, </w:t>
      </w:r>
      <w:r w:rsidRPr="0036779F">
        <w:rPr>
          <w:rFonts w:ascii="Times New Roman" w:eastAsiaTheme="minorEastAsia" w:hAnsi="Times New Roman" w:cs="Times New Roman"/>
          <w:sz w:val="24"/>
          <w:szCs w:val="24"/>
        </w:rPr>
        <w:t>75(2),</w:t>
      </w:r>
      <w:r>
        <w:rPr>
          <w:rFonts w:ascii="Times New Roman" w:eastAsiaTheme="minorEastAsia" w:hAnsi="Times New Roman" w:cs="Times New Roman"/>
          <w:sz w:val="24"/>
          <w:szCs w:val="24"/>
        </w:rPr>
        <w:t xml:space="preserve"> 335-346.</w:t>
      </w:r>
    </w:p>
    <w:p w14:paraId="0A220DCF" w14:textId="126392EC" w:rsidR="0012044A" w:rsidRPr="00705890" w:rsidRDefault="0012044A" w:rsidP="00705890">
      <w:pPr>
        <w:pStyle w:val="ListParagraph"/>
        <w:numPr>
          <w:ilvl w:val="0"/>
          <w:numId w:val="8"/>
        </w:numPr>
        <w:spacing w:line="360" w:lineRule="auto"/>
        <w:jc w:val="both"/>
        <w:rPr>
          <w:rFonts w:ascii="Times New Roman" w:eastAsiaTheme="minorEastAsia" w:hAnsi="Times New Roman" w:cs="Times New Roman"/>
          <w:sz w:val="24"/>
          <w:szCs w:val="24"/>
        </w:rPr>
      </w:pPr>
      <w:r w:rsidRPr="00705890">
        <w:rPr>
          <w:rFonts w:ascii="Times New Roman" w:eastAsiaTheme="minorEastAsia" w:hAnsi="Times New Roman" w:cs="Times New Roman"/>
          <w:sz w:val="24"/>
          <w:szCs w:val="24"/>
        </w:rPr>
        <w:t xml:space="preserve">Rakshit, D., </w:t>
      </w:r>
      <w:r w:rsidR="00307E84"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Paul</w:t>
      </w:r>
      <w:r w:rsidR="00307E84" w:rsidRPr="00705890">
        <w:rPr>
          <w:rFonts w:ascii="Times New Roman" w:eastAsiaTheme="minorEastAsia" w:hAnsi="Times New Roman" w:cs="Times New Roman"/>
          <w:sz w:val="24"/>
          <w:szCs w:val="24"/>
        </w:rPr>
        <w:t xml:space="preserve"> R.K.</w:t>
      </w:r>
      <w:r w:rsidRPr="00705890">
        <w:rPr>
          <w:rFonts w:ascii="Times New Roman" w:eastAsiaTheme="minorEastAsia" w:hAnsi="Times New Roman" w:cs="Times New Roman"/>
          <w:sz w:val="24"/>
          <w:szCs w:val="24"/>
        </w:rPr>
        <w:t xml:space="preserve"> (2024). Modelling time series with asymmetric volatility and long memory. </w:t>
      </w:r>
      <w:r w:rsidRPr="00705890">
        <w:rPr>
          <w:rFonts w:ascii="Times New Roman" w:eastAsiaTheme="minorEastAsia" w:hAnsi="Times New Roman" w:cs="Times New Roman"/>
          <w:i/>
          <w:iCs/>
          <w:sz w:val="24"/>
          <w:szCs w:val="24"/>
        </w:rPr>
        <w:t>Ind</w:t>
      </w:r>
      <w:r w:rsidR="00307E84" w:rsidRPr="00705890">
        <w:rPr>
          <w:rFonts w:ascii="Times New Roman" w:eastAsiaTheme="minorEastAsia" w:hAnsi="Times New Roman" w:cs="Times New Roman"/>
          <w:i/>
          <w:iCs/>
          <w:sz w:val="24"/>
          <w:szCs w:val="24"/>
        </w:rPr>
        <w:t>ian</w:t>
      </w:r>
      <w:r w:rsidRPr="00705890">
        <w:rPr>
          <w:rFonts w:ascii="Times New Roman" w:eastAsiaTheme="minorEastAsia" w:hAnsi="Times New Roman" w:cs="Times New Roman"/>
          <w:i/>
          <w:iCs/>
          <w:sz w:val="24"/>
          <w:szCs w:val="24"/>
        </w:rPr>
        <w:t xml:space="preserve"> J</w:t>
      </w:r>
      <w:r w:rsidR="00307E84" w:rsidRPr="00705890">
        <w:rPr>
          <w:rFonts w:ascii="Times New Roman" w:eastAsiaTheme="minorEastAsia" w:hAnsi="Times New Roman" w:cs="Times New Roman"/>
          <w:i/>
          <w:iCs/>
          <w:sz w:val="24"/>
          <w:szCs w:val="24"/>
        </w:rPr>
        <w:t>ournal of Agricultural</w:t>
      </w:r>
      <w:r w:rsidRPr="00705890">
        <w:rPr>
          <w:rFonts w:ascii="Times New Roman" w:eastAsiaTheme="minorEastAsia" w:hAnsi="Times New Roman" w:cs="Times New Roman"/>
          <w:i/>
          <w:iCs/>
          <w:sz w:val="24"/>
          <w:szCs w:val="24"/>
        </w:rPr>
        <w:t xml:space="preserve"> Econ</w:t>
      </w:r>
      <w:r w:rsidR="00307E84" w:rsidRPr="00705890">
        <w:rPr>
          <w:rFonts w:ascii="Times New Roman" w:eastAsiaTheme="minorEastAsia" w:hAnsi="Times New Roman" w:cs="Times New Roman"/>
          <w:i/>
          <w:iCs/>
          <w:sz w:val="24"/>
          <w:szCs w:val="24"/>
        </w:rPr>
        <w:t>omics</w:t>
      </w:r>
      <w:r w:rsidRPr="00705890">
        <w:rPr>
          <w:rFonts w:ascii="Times New Roman" w:eastAsiaTheme="minorEastAsia" w:hAnsi="Times New Roman" w:cs="Times New Roman"/>
          <w:sz w:val="24"/>
          <w:szCs w:val="24"/>
        </w:rPr>
        <w:t>, 79(2), 231-244.</w:t>
      </w:r>
    </w:p>
    <w:p w14:paraId="57786F20" w14:textId="52EF0B43" w:rsidR="0012044A" w:rsidRPr="00705890" w:rsidRDefault="0012044A" w:rsidP="00705890">
      <w:pPr>
        <w:pStyle w:val="ListParagraph"/>
        <w:numPr>
          <w:ilvl w:val="0"/>
          <w:numId w:val="8"/>
        </w:numPr>
        <w:spacing w:line="360" w:lineRule="auto"/>
        <w:rPr>
          <w:rFonts w:ascii="Times New Roman" w:hAnsi="Times New Roman" w:cs="Times New Roman"/>
          <w:sz w:val="24"/>
          <w:szCs w:val="24"/>
        </w:rPr>
      </w:pPr>
      <w:r w:rsidRPr="00705890">
        <w:rPr>
          <w:rFonts w:ascii="Times New Roman" w:hAnsi="Times New Roman" w:cs="Times New Roman"/>
          <w:sz w:val="24"/>
          <w:szCs w:val="24"/>
        </w:rPr>
        <w:t>Rakshit, D., Paul</w:t>
      </w:r>
      <w:r w:rsidR="00307E84" w:rsidRPr="00705890">
        <w:rPr>
          <w:rFonts w:ascii="Times New Roman" w:hAnsi="Times New Roman" w:cs="Times New Roman"/>
          <w:sz w:val="24"/>
          <w:szCs w:val="24"/>
        </w:rPr>
        <w:t xml:space="preserve"> R. K.</w:t>
      </w:r>
      <w:r w:rsidR="00301D2A" w:rsidRPr="00705890">
        <w:rPr>
          <w:rFonts w:ascii="Times New Roman" w:hAnsi="Times New Roman" w:cs="Times New Roman"/>
          <w:sz w:val="24"/>
          <w:szCs w:val="24"/>
        </w:rPr>
        <w:t>,</w:t>
      </w:r>
      <w:r w:rsidRPr="00705890">
        <w:rPr>
          <w:rFonts w:ascii="Times New Roman" w:hAnsi="Times New Roman" w:cs="Times New Roman"/>
          <w:sz w:val="24"/>
          <w:szCs w:val="24"/>
        </w:rPr>
        <w:t xml:space="preserve"> </w:t>
      </w:r>
      <w:r w:rsidR="00307E84" w:rsidRPr="00705890">
        <w:rPr>
          <w:rFonts w:ascii="Times New Roman" w:hAnsi="Times New Roman" w:cs="Times New Roman"/>
          <w:sz w:val="24"/>
          <w:szCs w:val="24"/>
        </w:rPr>
        <w:t>&amp;</w:t>
      </w:r>
      <w:r w:rsidRPr="00705890">
        <w:rPr>
          <w:rFonts w:ascii="Times New Roman" w:hAnsi="Times New Roman" w:cs="Times New Roman"/>
          <w:sz w:val="24"/>
          <w:szCs w:val="24"/>
        </w:rPr>
        <w:t xml:space="preserve"> Panwar</w:t>
      </w:r>
      <w:r w:rsidR="00307E84" w:rsidRPr="00705890">
        <w:rPr>
          <w:rFonts w:ascii="Times New Roman" w:hAnsi="Times New Roman" w:cs="Times New Roman"/>
          <w:sz w:val="24"/>
          <w:szCs w:val="24"/>
        </w:rPr>
        <w:t xml:space="preserve"> S.</w:t>
      </w:r>
      <w:r w:rsidRPr="00705890">
        <w:rPr>
          <w:rFonts w:ascii="Times New Roman" w:hAnsi="Times New Roman" w:cs="Times New Roman"/>
          <w:sz w:val="24"/>
          <w:szCs w:val="24"/>
        </w:rPr>
        <w:t xml:space="preserve"> (2024). Asymmetric Price Volatility of Onion in India. </w:t>
      </w:r>
      <w:r w:rsidR="00307E84" w:rsidRPr="00705890">
        <w:rPr>
          <w:rFonts w:ascii="Times New Roman" w:eastAsiaTheme="minorEastAsia" w:hAnsi="Times New Roman" w:cs="Times New Roman"/>
          <w:i/>
          <w:iCs/>
          <w:sz w:val="24"/>
          <w:szCs w:val="24"/>
        </w:rPr>
        <w:t>Indian Journal of Agricultural Economics</w:t>
      </w:r>
      <w:r w:rsidRPr="00705890">
        <w:rPr>
          <w:rFonts w:ascii="Times New Roman" w:hAnsi="Times New Roman" w:cs="Times New Roman"/>
          <w:sz w:val="24"/>
          <w:szCs w:val="24"/>
        </w:rPr>
        <w:t>, 76(2), 245-260.</w:t>
      </w:r>
    </w:p>
    <w:p w14:paraId="14ED61B8" w14:textId="378FF11E" w:rsidR="006F0591" w:rsidRDefault="0012044A" w:rsidP="00705890">
      <w:pPr>
        <w:pStyle w:val="ListParagraph"/>
        <w:numPr>
          <w:ilvl w:val="0"/>
          <w:numId w:val="8"/>
        </w:numPr>
        <w:spacing w:line="360" w:lineRule="auto"/>
      </w:pPr>
      <w:r w:rsidRPr="00705890">
        <w:rPr>
          <w:rFonts w:ascii="Times New Roman" w:eastAsiaTheme="minorEastAsia" w:hAnsi="Times New Roman" w:cs="Times New Roman"/>
          <w:sz w:val="24"/>
          <w:szCs w:val="24"/>
        </w:rPr>
        <w:t xml:space="preserve">Shapiro, S.S., </w:t>
      </w:r>
      <w:r w:rsidR="00301D2A" w:rsidRPr="00705890">
        <w:rPr>
          <w:rFonts w:ascii="Times New Roman" w:eastAsiaTheme="minorEastAsia" w:hAnsi="Times New Roman" w:cs="Times New Roman"/>
          <w:sz w:val="24"/>
          <w:szCs w:val="24"/>
        </w:rPr>
        <w:t>&amp;</w:t>
      </w:r>
      <w:r w:rsidRPr="00705890">
        <w:rPr>
          <w:rFonts w:ascii="Times New Roman" w:eastAsiaTheme="minorEastAsia" w:hAnsi="Times New Roman" w:cs="Times New Roman"/>
          <w:sz w:val="24"/>
          <w:szCs w:val="24"/>
        </w:rPr>
        <w:t xml:space="preserve"> Wilk</w:t>
      </w:r>
      <w:r w:rsidR="00301D2A" w:rsidRPr="00705890">
        <w:rPr>
          <w:rFonts w:ascii="Times New Roman" w:eastAsiaTheme="minorEastAsia" w:hAnsi="Times New Roman" w:cs="Times New Roman"/>
          <w:sz w:val="24"/>
          <w:szCs w:val="24"/>
        </w:rPr>
        <w:t xml:space="preserve"> M.B.</w:t>
      </w:r>
      <w:r w:rsidRPr="00705890">
        <w:rPr>
          <w:rFonts w:ascii="Times New Roman" w:eastAsiaTheme="minorEastAsia" w:hAnsi="Times New Roman" w:cs="Times New Roman"/>
          <w:sz w:val="24"/>
          <w:szCs w:val="24"/>
        </w:rPr>
        <w:t xml:space="preserve"> (1965). An analysis of variance test for normality (complete samples). </w:t>
      </w:r>
      <w:proofErr w:type="spellStart"/>
      <w:r w:rsidRPr="00705890">
        <w:rPr>
          <w:rFonts w:ascii="Times New Roman" w:eastAsiaTheme="minorEastAsia" w:hAnsi="Times New Roman" w:cs="Times New Roman"/>
          <w:i/>
          <w:iCs/>
          <w:sz w:val="24"/>
          <w:szCs w:val="24"/>
        </w:rPr>
        <w:t>Biometrika</w:t>
      </w:r>
      <w:proofErr w:type="spellEnd"/>
      <w:r w:rsidRPr="00705890">
        <w:rPr>
          <w:rFonts w:ascii="Times New Roman" w:eastAsiaTheme="minorEastAsia" w:hAnsi="Times New Roman" w:cs="Times New Roman"/>
          <w:sz w:val="24"/>
          <w:szCs w:val="24"/>
        </w:rPr>
        <w:t>, 52(3), 591-611.</w:t>
      </w:r>
    </w:p>
    <w:sectPr w:rsidR="006F059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88DF6" w14:textId="77777777" w:rsidR="007126CD" w:rsidRDefault="007126CD" w:rsidP="00285D2A">
      <w:pPr>
        <w:spacing w:after="0" w:line="240" w:lineRule="auto"/>
      </w:pPr>
      <w:r>
        <w:separator/>
      </w:r>
    </w:p>
  </w:endnote>
  <w:endnote w:type="continuationSeparator" w:id="0">
    <w:p w14:paraId="143D1961" w14:textId="77777777" w:rsidR="007126CD" w:rsidRDefault="007126CD" w:rsidP="0028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E2E7" w14:textId="77777777" w:rsidR="000C4500" w:rsidRDefault="000C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063B" w14:textId="77777777" w:rsidR="000C4500" w:rsidRDefault="000C4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1FAC" w14:textId="77777777" w:rsidR="000C4500" w:rsidRDefault="000C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C63BA" w14:textId="77777777" w:rsidR="007126CD" w:rsidRDefault="007126CD" w:rsidP="00285D2A">
      <w:pPr>
        <w:spacing w:after="0" w:line="240" w:lineRule="auto"/>
      </w:pPr>
      <w:r>
        <w:separator/>
      </w:r>
    </w:p>
  </w:footnote>
  <w:footnote w:type="continuationSeparator" w:id="0">
    <w:p w14:paraId="11445884" w14:textId="77777777" w:rsidR="007126CD" w:rsidRDefault="007126CD" w:rsidP="0028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0581" w14:textId="3200824F" w:rsidR="000C4500" w:rsidRDefault="007126CD">
    <w:pPr>
      <w:pStyle w:val="Header"/>
    </w:pPr>
    <w:r>
      <w:rPr>
        <w:noProof/>
      </w:rPr>
      <w:pict w14:anchorId="7B882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06001" o:spid="_x0000_s2050" type="#_x0000_t136" style="position:absolute;margin-left:0;margin-top:0;width:451.2pt;height:85.05pt;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B19D" w14:textId="05F5CBCF" w:rsidR="000C4500" w:rsidRDefault="007126CD">
    <w:pPr>
      <w:pStyle w:val="Header"/>
    </w:pPr>
    <w:r>
      <w:rPr>
        <w:noProof/>
      </w:rPr>
      <w:pict w14:anchorId="17D29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06002" o:spid="_x0000_s2051" type="#_x0000_t136" style="position:absolute;margin-left:0;margin-top:0;width:451.2pt;height:85.05pt;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7335" w14:textId="549028FD" w:rsidR="000C4500" w:rsidRDefault="007126CD">
    <w:pPr>
      <w:pStyle w:val="Header"/>
    </w:pPr>
    <w:r>
      <w:rPr>
        <w:noProof/>
      </w:rPr>
      <w:pict w14:anchorId="31CB0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06000" o:spid="_x0000_s2049" type="#_x0000_t136" style="position:absolute;margin-left:0;margin-top:0;width:451.2pt;height:85.05pt;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FB4"/>
    <w:multiLevelType w:val="hybridMultilevel"/>
    <w:tmpl w:val="45EAA46E"/>
    <w:lvl w:ilvl="0" w:tplc="FBE8B6E2">
      <w:start w:val="1"/>
      <w:numFmt w:val="lowerRoman"/>
      <w:lvlText w:val="%1."/>
      <w:lvlJc w:val="left"/>
      <w:pPr>
        <w:ind w:left="8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AB45A1"/>
    <w:multiLevelType w:val="multilevel"/>
    <w:tmpl w:val="D4EA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9314C"/>
    <w:multiLevelType w:val="multilevel"/>
    <w:tmpl w:val="FDF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B16A1"/>
    <w:multiLevelType w:val="hybridMultilevel"/>
    <w:tmpl w:val="37DC810A"/>
    <w:lvl w:ilvl="0" w:tplc="FBE8B6E2">
      <w:start w:val="1"/>
      <w:numFmt w:val="lowerRoman"/>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57D132B6"/>
    <w:multiLevelType w:val="hybridMultilevel"/>
    <w:tmpl w:val="7C6248A4"/>
    <w:lvl w:ilvl="0" w:tplc="5E5099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9B58D2"/>
    <w:multiLevelType w:val="multilevel"/>
    <w:tmpl w:val="504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0537C"/>
    <w:multiLevelType w:val="hybridMultilevel"/>
    <w:tmpl w:val="29946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654BFE"/>
    <w:multiLevelType w:val="hybridMultilevel"/>
    <w:tmpl w:val="99B08D0A"/>
    <w:lvl w:ilvl="0" w:tplc="FBE8B6E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MzYxMzMzsDQ3MDRR0lEKTi0uzszPAykwrAUAN6ZchiwAAAA="/>
  </w:docVars>
  <w:rsids>
    <w:rsidRoot w:val="00C9028F"/>
    <w:rsid w:val="00043117"/>
    <w:rsid w:val="00052602"/>
    <w:rsid w:val="000676C9"/>
    <w:rsid w:val="000716A6"/>
    <w:rsid w:val="000874AB"/>
    <w:rsid w:val="000C2FED"/>
    <w:rsid w:val="000C4500"/>
    <w:rsid w:val="000F19C9"/>
    <w:rsid w:val="00103FEB"/>
    <w:rsid w:val="0012044A"/>
    <w:rsid w:val="001346F1"/>
    <w:rsid w:val="001B5AEC"/>
    <w:rsid w:val="001D0194"/>
    <w:rsid w:val="001D1D5B"/>
    <w:rsid w:val="001E7A1C"/>
    <w:rsid w:val="001F2F0E"/>
    <w:rsid w:val="001F509C"/>
    <w:rsid w:val="00202242"/>
    <w:rsid w:val="002125B3"/>
    <w:rsid w:val="0021437D"/>
    <w:rsid w:val="00242430"/>
    <w:rsid w:val="00285D2A"/>
    <w:rsid w:val="0028648D"/>
    <w:rsid w:val="002B1E47"/>
    <w:rsid w:val="002E08D9"/>
    <w:rsid w:val="002F5A33"/>
    <w:rsid w:val="00301D2A"/>
    <w:rsid w:val="00307E84"/>
    <w:rsid w:val="00314937"/>
    <w:rsid w:val="00337076"/>
    <w:rsid w:val="003465CA"/>
    <w:rsid w:val="00353C48"/>
    <w:rsid w:val="0036779F"/>
    <w:rsid w:val="00382DE5"/>
    <w:rsid w:val="003D3E88"/>
    <w:rsid w:val="003E1B1B"/>
    <w:rsid w:val="004139B0"/>
    <w:rsid w:val="00424A86"/>
    <w:rsid w:val="00442304"/>
    <w:rsid w:val="00456807"/>
    <w:rsid w:val="004606BB"/>
    <w:rsid w:val="00463655"/>
    <w:rsid w:val="004803F9"/>
    <w:rsid w:val="004B5E58"/>
    <w:rsid w:val="00502877"/>
    <w:rsid w:val="00507C3B"/>
    <w:rsid w:val="00516A70"/>
    <w:rsid w:val="00552C81"/>
    <w:rsid w:val="0056515B"/>
    <w:rsid w:val="0057513F"/>
    <w:rsid w:val="005813E9"/>
    <w:rsid w:val="0059079F"/>
    <w:rsid w:val="005A196E"/>
    <w:rsid w:val="005D32C4"/>
    <w:rsid w:val="005E6BBB"/>
    <w:rsid w:val="005F184C"/>
    <w:rsid w:val="00625D4A"/>
    <w:rsid w:val="006538FA"/>
    <w:rsid w:val="00655442"/>
    <w:rsid w:val="00670CB0"/>
    <w:rsid w:val="006F0591"/>
    <w:rsid w:val="0070279F"/>
    <w:rsid w:val="00705890"/>
    <w:rsid w:val="0070722E"/>
    <w:rsid w:val="00711E51"/>
    <w:rsid w:val="007126CD"/>
    <w:rsid w:val="00723547"/>
    <w:rsid w:val="0072719C"/>
    <w:rsid w:val="007276A2"/>
    <w:rsid w:val="007863D9"/>
    <w:rsid w:val="007B1265"/>
    <w:rsid w:val="007B6017"/>
    <w:rsid w:val="007C40CA"/>
    <w:rsid w:val="007D035C"/>
    <w:rsid w:val="007D738B"/>
    <w:rsid w:val="007E3B92"/>
    <w:rsid w:val="008034D0"/>
    <w:rsid w:val="00882FB9"/>
    <w:rsid w:val="008F0209"/>
    <w:rsid w:val="00910A73"/>
    <w:rsid w:val="00916A7A"/>
    <w:rsid w:val="00943A91"/>
    <w:rsid w:val="009440AD"/>
    <w:rsid w:val="00957CE8"/>
    <w:rsid w:val="0099036C"/>
    <w:rsid w:val="0099332D"/>
    <w:rsid w:val="009A5D7C"/>
    <w:rsid w:val="009D1804"/>
    <w:rsid w:val="009F232F"/>
    <w:rsid w:val="00A028F4"/>
    <w:rsid w:val="00A12859"/>
    <w:rsid w:val="00A52F6F"/>
    <w:rsid w:val="00A53DA0"/>
    <w:rsid w:val="00A60730"/>
    <w:rsid w:val="00A60B21"/>
    <w:rsid w:val="00A64994"/>
    <w:rsid w:val="00A916F5"/>
    <w:rsid w:val="00AB5A80"/>
    <w:rsid w:val="00AD7194"/>
    <w:rsid w:val="00B0190C"/>
    <w:rsid w:val="00B2083C"/>
    <w:rsid w:val="00B418D8"/>
    <w:rsid w:val="00B53F84"/>
    <w:rsid w:val="00B70100"/>
    <w:rsid w:val="00BB2CA1"/>
    <w:rsid w:val="00BE2E0C"/>
    <w:rsid w:val="00C01693"/>
    <w:rsid w:val="00C2081D"/>
    <w:rsid w:val="00C57BEF"/>
    <w:rsid w:val="00C67C47"/>
    <w:rsid w:val="00C805E0"/>
    <w:rsid w:val="00C9028F"/>
    <w:rsid w:val="00C91B2D"/>
    <w:rsid w:val="00C92E3C"/>
    <w:rsid w:val="00CE10E6"/>
    <w:rsid w:val="00CF0F07"/>
    <w:rsid w:val="00CF33F8"/>
    <w:rsid w:val="00D0215E"/>
    <w:rsid w:val="00D4611F"/>
    <w:rsid w:val="00D94D29"/>
    <w:rsid w:val="00E075D9"/>
    <w:rsid w:val="00E271E1"/>
    <w:rsid w:val="00E36873"/>
    <w:rsid w:val="00E55134"/>
    <w:rsid w:val="00E64BF5"/>
    <w:rsid w:val="00E863B7"/>
    <w:rsid w:val="00E86C3F"/>
    <w:rsid w:val="00E92605"/>
    <w:rsid w:val="00ED1E61"/>
    <w:rsid w:val="00F11D69"/>
    <w:rsid w:val="00F32843"/>
    <w:rsid w:val="00F56B4E"/>
    <w:rsid w:val="00F8303C"/>
    <w:rsid w:val="00F85156"/>
    <w:rsid w:val="00F8656D"/>
    <w:rsid w:val="00FB3C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4CD64"/>
  <w15:chartTrackingRefBased/>
  <w15:docId w15:val="{A9693C0D-1F85-4BD9-9500-2BA42B21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44A"/>
  </w:style>
  <w:style w:type="paragraph" w:styleId="Heading1">
    <w:name w:val="heading 1"/>
    <w:basedOn w:val="Normal"/>
    <w:next w:val="Normal"/>
    <w:link w:val="Heading1Char"/>
    <w:uiPriority w:val="9"/>
    <w:qFormat/>
    <w:rsid w:val="00C90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8F"/>
    <w:rPr>
      <w:rFonts w:eastAsiaTheme="majorEastAsia" w:cstheme="majorBidi"/>
      <w:color w:val="272727" w:themeColor="text1" w:themeTint="D8"/>
    </w:rPr>
  </w:style>
  <w:style w:type="paragraph" w:styleId="Title">
    <w:name w:val="Title"/>
    <w:basedOn w:val="Normal"/>
    <w:next w:val="Normal"/>
    <w:link w:val="TitleChar"/>
    <w:uiPriority w:val="10"/>
    <w:qFormat/>
    <w:rsid w:val="00C90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8F"/>
    <w:pPr>
      <w:spacing w:before="160"/>
      <w:jc w:val="center"/>
    </w:pPr>
    <w:rPr>
      <w:i/>
      <w:iCs/>
      <w:color w:val="404040" w:themeColor="text1" w:themeTint="BF"/>
    </w:rPr>
  </w:style>
  <w:style w:type="character" w:customStyle="1" w:styleId="QuoteChar">
    <w:name w:val="Quote Char"/>
    <w:basedOn w:val="DefaultParagraphFont"/>
    <w:link w:val="Quote"/>
    <w:uiPriority w:val="29"/>
    <w:rsid w:val="00C9028F"/>
    <w:rPr>
      <w:i/>
      <w:iCs/>
      <w:color w:val="404040" w:themeColor="text1" w:themeTint="BF"/>
    </w:rPr>
  </w:style>
  <w:style w:type="paragraph" w:styleId="ListParagraph">
    <w:name w:val="List Paragraph"/>
    <w:basedOn w:val="Normal"/>
    <w:uiPriority w:val="34"/>
    <w:qFormat/>
    <w:rsid w:val="00C9028F"/>
    <w:pPr>
      <w:ind w:left="720"/>
      <w:contextualSpacing/>
    </w:pPr>
  </w:style>
  <w:style w:type="character" w:styleId="IntenseEmphasis">
    <w:name w:val="Intense Emphasis"/>
    <w:basedOn w:val="DefaultParagraphFont"/>
    <w:uiPriority w:val="21"/>
    <w:qFormat/>
    <w:rsid w:val="00C9028F"/>
    <w:rPr>
      <w:i/>
      <w:iCs/>
      <w:color w:val="2F5496" w:themeColor="accent1" w:themeShade="BF"/>
    </w:rPr>
  </w:style>
  <w:style w:type="paragraph" w:styleId="IntenseQuote">
    <w:name w:val="Intense Quote"/>
    <w:basedOn w:val="Normal"/>
    <w:next w:val="Normal"/>
    <w:link w:val="IntenseQuoteChar"/>
    <w:uiPriority w:val="30"/>
    <w:qFormat/>
    <w:rsid w:val="00C90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28F"/>
    <w:rPr>
      <w:i/>
      <w:iCs/>
      <w:color w:val="2F5496" w:themeColor="accent1" w:themeShade="BF"/>
    </w:rPr>
  </w:style>
  <w:style w:type="character" w:styleId="IntenseReference">
    <w:name w:val="Intense Reference"/>
    <w:basedOn w:val="DefaultParagraphFont"/>
    <w:uiPriority w:val="32"/>
    <w:qFormat/>
    <w:rsid w:val="00C9028F"/>
    <w:rPr>
      <w:b/>
      <w:bCs/>
      <w:smallCaps/>
      <w:color w:val="2F5496" w:themeColor="accent1" w:themeShade="BF"/>
      <w:spacing w:val="5"/>
    </w:rPr>
  </w:style>
  <w:style w:type="character" w:styleId="Hyperlink">
    <w:name w:val="Hyperlink"/>
    <w:basedOn w:val="DefaultParagraphFont"/>
    <w:uiPriority w:val="99"/>
    <w:unhideWhenUsed/>
    <w:rsid w:val="0012044A"/>
    <w:rPr>
      <w:color w:val="0563C1" w:themeColor="hyperlink"/>
      <w:u w:val="single"/>
    </w:rPr>
  </w:style>
  <w:style w:type="character" w:styleId="UnresolvedMention">
    <w:name w:val="Unresolved Mention"/>
    <w:basedOn w:val="DefaultParagraphFont"/>
    <w:uiPriority w:val="99"/>
    <w:semiHidden/>
    <w:unhideWhenUsed/>
    <w:rsid w:val="0012044A"/>
    <w:rPr>
      <w:color w:val="605E5C"/>
      <w:shd w:val="clear" w:color="auto" w:fill="E1DFDD"/>
    </w:rPr>
  </w:style>
  <w:style w:type="character" w:styleId="PlaceholderText">
    <w:name w:val="Placeholder Text"/>
    <w:basedOn w:val="DefaultParagraphFont"/>
    <w:uiPriority w:val="99"/>
    <w:semiHidden/>
    <w:rsid w:val="0012044A"/>
    <w:rPr>
      <w:color w:val="666666"/>
    </w:rPr>
  </w:style>
  <w:style w:type="table" w:styleId="TableGrid">
    <w:name w:val="Table Grid"/>
    <w:basedOn w:val="TableNormal"/>
    <w:uiPriority w:val="39"/>
    <w:rsid w:val="0012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44A"/>
  </w:style>
  <w:style w:type="paragraph" w:styleId="Footer">
    <w:name w:val="footer"/>
    <w:basedOn w:val="Normal"/>
    <w:link w:val="FooterChar"/>
    <w:uiPriority w:val="99"/>
    <w:unhideWhenUsed/>
    <w:rsid w:val="0012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6428">
      <w:bodyDiv w:val="1"/>
      <w:marLeft w:val="0"/>
      <w:marRight w:val="0"/>
      <w:marTop w:val="0"/>
      <w:marBottom w:val="0"/>
      <w:divBdr>
        <w:top w:val="none" w:sz="0" w:space="0" w:color="auto"/>
        <w:left w:val="none" w:sz="0" w:space="0" w:color="auto"/>
        <w:bottom w:val="none" w:sz="0" w:space="0" w:color="auto"/>
        <w:right w:val="none" w:sz="0" w:space="0" w:color="auto"/>
      </w:divBdr>
    </w:div>
    <w:div w:id="186144549">
      <w:bodyDiv w:val="1"/>
      <w:marLeft w:val="0"/>
      <w:marRight w:val="0"/>
      <w:marTop w:val="0"/>
      <w:marBottom w:val="0"/>
      <w:divBdr>
        <w:top w:val="none" w:sz="0" w:space="0" w:color="auto"/>
        <w:left w:val="none" w:sz="0" w:space="0" w:color="auto"/>
        <w:bottom w:val="none" w:sz="0" w:space="0" w:color="auto"/>
        <w:right w:val="none" w:sz="0" w:space="0" w:color="auto"/>
      </w:divBdr>
    </w:div>
    <w:div w:id="322202174">
      <w:bodyDiv w:val="1"/>
      <w:marLeft w:val="0"/>
      <w:marRight w:val="0"/>
      <w:marTop w:val="0"/>
      <w:marBottom w:val="0"/>
      <w:divBdr>
        <w:top w:val="none" w:sz="0" w:space="0" w:color="auto"/>
        <w:left w:val="none" w:sz="0" w:space="0" w:color="auto"/>
        <w:bottom w:val="none" w:sz="0" w:space="0" w:color="auto"/>
        <w:right w:val="none" w:sz="0" w:space="0" w:color="auto"/>
      </w:divBdr>
    </w:div>
    <w:div w:id="340742225">
      <w:bodyDiv w:val="1"/>
      <w:marLeft w:val="0"/>
      <w:marRight w:val="0"/>
      <w:marTop w:val="0"/>
      <w:marBottom w:val="0"/>
      <w:divBdr>
        <w:top w:val="none" w:sz="0" w:space="0" w:color="auto"/>
        <w:left w:val="none" w:sz="0" w:space="0" w:color="auto"/>
        <w:bottom w:val="none" w:sz="0" w:space="0" w:color="auto"/>
        <w:right w:val="none" w:sz="0" w:space="0" w:color="auto"/>
      </w:divBdr>
    </w:div>
    <w:div w:id="428815075">
      <w:bodyDiv w:val="1"/>
      <w:marLeft w:val="0"/>
      <w:marRight w:val="0"/>
      <w:marTop w:val="0"/>
      <w:marBottom w:val="0"/>
      <w:divBdr>
        <w:top w:val="none" w:sz="0" w:space="0" w:color="auto"/>
        <w:left w:val="none" w:sz="0" w:space="0" w:color="auto"/>
        <w:bottom w:val="none" w:sz="0" w:space="0" w:color="auto"/>
        <w:right w:val="none" w:sz="0" w:space="0" w:color="auto"/>
      </w:divBdr>
    </w:div>
    <w:div w:id="574246149">
      <w:bodyDiv w:val="1"/>
      <w:marLeft w:val="0"/>
      <w:marRight w:val="0"/>
      <w:marTop w:val="0"/>
      <w:marBottom w:val="0"/>
      <w:divBdr>
        <w:top w:val="none" w:sz="0" w:space="0" w:color="auto"/>
        <w:left w:val="none" w:sz="0" w:space="0" w:color="auto"/>
        <w:bottom w:val="none" w:sz="0" w:space="0" w:color="auto"/>
        <w:right w:val="none" w:sz="0" w:space="0" w:color="auto"/>
      </w:divBdr>
    </w:div>
    <w:div w:id="630477331">
      <w:bodyDiv w:val="1"/>
      <w:marLeft w:val="0"/>
      <w:marRight w:val="0"/>
      <w:marTop w:val="0"/>
      <w:marBottom w:val="0"/>
      <w:divBdr>
        <w:top w:val="none" w:sz="0" w:space="0" w:color="auto"/>
        <w:left w:val="none" w:sz="0" w:space="0" w:color="auto"/>
        <w:bottom w:val="none" w:sz="0" w:space="0" w:color="auto"/>
        <w:right w:val="none" w:sz="0" w:space="0" w:color="auto"/>
      </w:divBdr>
    </w:div>
    <w:div w:id="765544240">
      <w:bodyDiv w:val="1"/>
      <w:marLeft w:val="0"/>
      <w:marRight w:val="0"/>
      <w:marTop w:val="0"/>
      <w:marBottom w:val="0"/>
      <w:divBdr>
        <w:top w:val="none" w:sz="0" w:space="0" w:color="auto"/>
        <w:left w:val="none" w:sz="0" w:space="0" w:color="auto"/>
        <w:bottom w:val="none" w:sz="0" w:space="0" w:color="auto"/>
        <w:right w:val="none" w:sz="0" w:space="0" w:color="auto"/>
      </w:divBdr>
    </w:div>
    <w:div w:id="810445229">
      <w:bodyDiv w:val="1"/>
      <w:marLeft w:val="0"/>
      <w:marRight w:val="0"/>
      <w:marTop w:val="0"/>
      <w:marBottom w:val="0"/>
      <w:divBdr>
        <w:top w:val="none" w:sz="0" w:space="0" w:color="auto"/>
        <w:left w:val="none" w:sz="0" w:space="0" w:color="auto"/>
        <w:bottom w:val="none" w:sz="0" w:space="0" w:color="auto"/>
        <w:right w:val="none" w:sz="0" w:space="0" w:color="auto"/>
      </w:divBdr>
    </w:div>
    <w:div w:id="894583089">
      <w:bodyDiv w:val="1"/>
      <w:marLeft w:val="0"/>
      <w:marRight w:val="0"/>
      <w:marTop w:val="0"/>
      <w:marBottom w:val="0"/>
      <w:divBdr>
        <w:top w:val="none" w:sz="0" w:space="0" w:color="auto"/>
        <w:left w:val="none" w:sz="0" w:space="0" w:color="auto"/>
        <w:bottom w:val="none" w:sz="0" w:space="0" w:color="auto"/>
        <w:right w:val="none" w:sz="0" w:space="0" w:color="auto"/>
      </w:divBdr>
    </w:div>
    <w:div w:id="1272199811">
      <w:bodyDiv w:val="1"/>
      <w:marLeft w:val="0"/>
      <w:marRight w:val="0"/>
      <w:marTop w:val="0"/>
      <w:marBottom w:val="0"/>
      <w:divBdr>
        <w:top w:val="none" w:sz="0" w:space="0" w:color="auto"/>
        <w:left w:val="none" w:sz="0" w:space="0" w:color="auto"/>
        <w:bottom w:val="none" w:sz="0" w:space="0" w:color="auto"/>
        <w:right w:val="none" w:sz="0" w:space="0" w:color="auto"/>
      </w:divBdr>
    </w:div>
    <w:div w:id="1335450556">
      <w:bodyDiv w:val="1"/>
      <w:marLeft w:val="0"/>
      <w:marRight w:val="0"/>
      <w:marTop w:val="0"/>
      <w:marBottom w:val="0"/>
      <w:divBdr>
        <w:top w:val="none" w:sz="0" w:space="0" w:color="auto"/>
        <w:left w:val="none" w:sz="0" w:space="0" w:color="auto"/>
        <w:bottom w:val="none" w:sz="0" w:space="0" w:color="auto"/>
        <w:right w:val="none" w:sz="0" w:space="0" w:color="auto"/>
      </w:divBdr>
    </w:div>
    <w:div w:id="1430270066">
      <w:bodyDiv w:val="1"/>
      <w:marLeft w:val="0"/>
      <w:marRight w:val="0"/>
      <w:marTop w:val="0"/>
      <w:marBottom w:val="0"/>
      <w:divBdr>
        <w:top w:val="none" w:sz="0" w:space="0" w:color="auto"/>
        <w:left w:val="none" w:sz="0" w:space="0" w:color="auto"/>
        <w:bottom w:val="none" w:sz="0" w:space="0" w:color="auto"/>
        <w:right w:val="none" w:sz="0" w:space="0" w:color="auto"/>
      </w:divBdr>
    </w:div>
    <w:div w:id="1839730487">
      <w:bodyDiv w:val="1"/>
      <w:marLeft w:val="0"/>
      <w:marRight w:val="0"/>
      <w:marTop w:val="0"/>
      <w:marBottom w:val="0"/>
      <w:divBdr>
        <w:top w:val="none" w:sz="0" w:space="0" w:color="auto"/>
        <w:left w:val="none" w:sz="0" w:space="0" w:color="auto"/>
        <w:bottom w:val="none" w:sz="0" w:space="0" w:color="auto"/>
        <w:right w:val="none" w:sz="0" w:space="0" w:color="auto"/>
      </w:divBdr>
    </w:div>
    <w:div w:id="1859653847">
      <w:bodyDiv w:val="1"/>
      <w:marLeft w:val="0"/>
      <w:marRight w:val="0"/>
      <w:marTop w:val="0"/>
      <w:marBottom w:val="0"/>
      <w:divBdr>
        <w:top w:val="none" w:sz="0" w:space="0" w:color="auto"/>
        <w:left w:val="none" w:sz="0" w:space="0" w:color="auto"/>
        <w:bottom w:val="none" w:sz="0" w:space="0" w:color="auto"/>
        <w:right w:val="none" w:sz="0" w:space="0" w:color="auto"/>
      </w:divBdr>
    </w:div>
    <w:div w:id="20277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hyperlink" Target="https://doi.org/10.2307/191277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hyperlink" Target="https://agmarknet.gov.in/Price%20&amp;%20Arrivals/Commodity%20Daily%20MarketWise.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8C3F5E-1DE6-426C-8EB6-D704B00DB5D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N"/>
        </a:p>
      </dgm:t>
    </dgm:pt>
    <dgm:pt modelId="{18E3EDCB-0F66-4835-8583-DF0CEB2342F1}">
      <dgm:prSet phldrT="[Text]"/>
      <dgm:spPr/>
      <dgm:t>
        <a:bodyPr/>
        <a:lstStyle/>
        <a:p>
          <a:r>
            <a:rPr lang="en-IN"/>
            <a:t>Time-series data</a:t>
          </a:r>
        </a:p>
      </dgm:t>
    </dgm:pt>
    <dgm:pt modelId="{93EE8D79-7602-48B0-9CC7-93B3D59E51FC}" type="parTrans" cxnId="{5788550D-7395-4D74-B4DB-35A56978BECC}">
      <dgm:prSet/>
      <dgm:spPr/>
      <dgm:t>
        <a:bodyPr/>
        <a:lstStyle/>
        <a:p>
          <a:endParaRPr lang="en-IN"/>
        </a:p>
      </dgm:t>
    </dgm:pt>
    <dgm:pt modelId="{B4E005A3-5580-4ED0-9DBD-4BE21B42A068}" type="sibTrans" cxnId="{5788550D-7395-4D74-B4DB-35A56978BECC}">
      <dgm:prSet/>
      <dgm:spPr/>
      <dgm:t>
        <a:bodyPr/>
        <a:lstStyle/>
        <a:p>
          <a:endParaRPr lang="en-IN"/>
        </a:p>
      </dgm:t>
    </dgm:pt>
    <dgm:pt modelId="{B6043958-3DE4-4D0C-88E4-49177CB89649}">
      <dgm:prSet phldrT="[Text]"/>
      <dgm:spPr/>
      <dgm:t>
        <a:bodyPr/>
        <a:lstStyle/>
        <a:p>
          <a:r>
            <a:rPr lang="en-IN"/>
            <a:t>Linear component</a:t>
          </a:r>
        </a:p>
      </dgm:t>
    </dgm:pt>
    <dgm:pt modelId="{8EF91D53-6767-42AD-A1C9-EB60FD91EC9C}" type="parTrans" cxnId="{BA9C48D6-C5F3-4399-8354-F759A3B3F439}">
      <dgm:prSet/>
      <dgm:spPr/>
      <dgm:t>
        <a:bodyPr/>
        <a:lstStyle/>
        <a:p>
          <a:endParaRPr lang="en-IN"/>
        </a:p>
      </dgm:t>
    </dgm:pt>
    <dgm:pt modelId="{D73833BE-665F-413B-A5DB-C80B31DC8453}" type="sibTrans" cxnId="{BA9C48D6-C5F3-4399-8354-F759A3B3F439}">
      <dgm:prSet/>
      <dgm:spPr/>
      <dgm:t>
        <a:bodyPr/>
        <a:lstStyle/>
        <a:p>
          <a:endParaRPr lang="en-IN"/>
        </a:p>
      </dgm:t>
    </dgm:pt>
    <dgm:pt modelId="{B75191B5-99AA-4501-BD19-0F3826258F22}">
      <dgm:prSet phldrT="[Text]"/>
      <dgm:spPr/>
      <dgm:t>
        <a:bodyPr/>
        <a:lstStyle/>
        <a:p>
          <a:r>
            <a:rPr lang="en-IN"/>
            <a:t>ARMA model</a:t>
          </a:r>
        </a:p>
      </dgm:t>
    </dgm:pt>
    <dgm:pt modelId="{6F54FC16-E1B8-4B26-A505-F7EB23E7D115}" type="parTrans" cxnId="{55089AAB-B2D9-4139-B597-E54C35602D36}">
      <dgm:prSet/>
      <dgm:spPr/>
      <dgm:t>
        <a:bodyPr/>
        <a:lstStyle/>
        <a:p>
          <a:endParaRPr lang="en-IN"/>
        </a:p>
      </dgm:t>
    </dgm:pt>
    <dgm:pt modelId="{732C6DA2-C750-44BD-875B-00D74B13AFCA}" type="sibTrans" cxnId="{55089AAB-B2D9-4139-B597-E54C35602D36}">
      <dgm:prSet/>
      <dgm:spPr/>
      <dgm:t>
        <a:bodyPr/>
        <a:lstStyle/>
        <a:p>
          <a:endParaRPr lang="en-IN"/>
        </a:p>
      </dgm:t>
    </dgm:pt>
    <dgm:pt modelId="{9BCD5FB8-A41E-4599-BB03-5A96280CCA7A}">
      <dgm:prSet phldrT="[Text]"/>
      <dgm:spPr/>
      <dgm:t>
        <a:bodyPr/>
        <a:lstStyle/>
        <a:p>
          <a:r>
            <a:rPr lang="en-IN"/>
            <a:t>Non-linear component</a:t>
          </a:r>
        </a:p>
      </dgm:t>
    </dgm:pt>
    <dgm:pt modelId="{43445A3B-C0AF-4C8B-976B-718F6D354DDD}" type="parTrans" cxnId="{6BF4182D-C4B3-4B35-AB90-6DCB17B6C47B}">
      <dgm:prSet/>
      <dgm:spPr/>
      <dgm:t>
        <a:bodyPr/>
        <a:lstStyle/>
        <a:p>
          <a:endParaRPr lang="en-IN"/>
        </a:p>
      </dgm:t>
    </dgm:pt>
    <dgm:pt modelId="{7729C710-5A32-4ECB-9899-762AE9E2D44F}" type="sibTrans" cxnId="{6BF4182D-C4B3-4B35-AB90-6DCB17B6C47B}">
      <dgm:prSet/>
      <dgm:spPr/>
      <dgm:t>
        <a:bodyPr/>
        <a:lstStyle/>
        <a:p>
          <a:endParaRPr lang="en-IN"/>
        </a:p>
      </dgm:t>
    </dgm:pt>
    <dgm:pt modelId="{EDE4A7FE-6407-4BA8-A6A7-2E347C232B0F}">
      <dgm:prSet phldrT="[Text]"/>
      <dgm:spPr/>
      <dgm:t>
        <a:bodyPr/>
        <a:lstStyle/>
        <a:p>
          <a:r>
            <a:rPr lang="en-IN"/>
            <a:t>GARCH type model</a:t>
          </a:r>
        </a:p>
      </dgm:t>
    </dgm:pt>
    <dgm:pt modelId="{9A87C7AE-B146-4818-A5F0-835CE8FFDBBB}" type="parTrans" cxnId="{54525D91-CE9A-4942-A5A5-BE5CD5960F79}">
      <dgm:prSet/>
      <dgm:spPr/>
      <dgm:t>
        <a:bodyPr/>
        <a:lstStyle/>
        <a:p>
          <a:endParaRPr lang="en-IN"/>
        </a:p>
      </dgm:t>
    </dgm:pt>
    <dgm:pt modelId="{BE5395B1-020F-4863-9F6C-8B9CFF67B395}" type="sibTrans" cxnId="{54525D91-CE9A-4942-A5A5-BE5CD5960F79}">
      <dgm:prSet/>
      <dgm:spPr/>
      <dgm:t>
        <a:bodyPr/>
        <a:lstStyle/>
        <a:p>
          <a:endParaRPr lang="en-IN"/>
        </a:p>
      </dgm:t>
    </dgm:pt>
    <dgm:pt modelId="{0DABA827-487B-4659-80BB-2F2578860ABA}">
      <dgm:prSet phldrT="[Text]"/>
      <dgm:spPr/>
      <dgm:t>
        <a:bodyPr/>
        <a:lstStyle/>
        <a:p>
          <a:r>
            <a:rPr lang="en-IN"/>
            <a:t>Sum of Forecast</a:t>
          </a:r>
        </a:p>
      </dgm:t>
    </dgm:pt>
    <dgm:pt modelId="{D5A82F7A-80ED-4143-9A87-434DF7F8DECD}" type="parTrans" cxnId="{4C70766B-C8CA-43C3-874A-83FF2E60FA3E}">
      <dgm:prSet/>
      <dgm:spPr/>
      <dgm:t>
        <a:bodyPr/>
        <a:lstStyle/>
        <a:p>
          <a:endParaRPr lang="en-IN"/>
        </a:p>
      </dgm:t>
    </dgm:pt>
    <dgm:pt modelId="{DFCFFB36-A238-47BF-9DB9-A82A044BF5DD}" type="sibTrans" cxnId="{4C70766B-C8CA-43C3-874A-83FF2E60FA3E}">
      <dgm:prSet/>
      <dgm:spPr/>
      <dgm:t>
        <a:bodyPr/>
        <a:lstStyle/>
        <a:p>
          <a:endParaRPr lang="en-IN"/>
        </a:p>
      </dgm:t>
    </dgm:pt>
    <dgm:pt modelId="{81A2E225-E4A2-4318-B27C-160E350195ED}">
      <dgm:prSet phldrT="[Text]"/>
      <dgm:spPr/>
      <dgm:t>
        <a:bodyPr/>
        <a:lstStyle/>
        <a:p>
          <a:r>
            <a:rPr lang="en-IN"/>
            <a:t>Final forecast</a:t>
          </a:r>
        </a:p>
      </dgm:t>
    </dgm:pt>
    <dgm:pt modelId="{EA953DF0-CAE6-42CB-8419-65C07A01C09C}" type="parTrans" cxnId="{FC78F4E9-4AD6-43C7-8963-A3BC14DF5D68}">
      <dgm:prSet/>
      <dgm:spPr/>
      <dgm:t>
        <a:bodyPr/>
        <a:lstStyle/>
        <a:p>
          <a:endParaRPr lang="en-IN"/>
        </a:p>
      </dgm:t>
    </dgm:pt>
    <dgm:pt modelId="{0ED157D7-A793-496A-9E32-670E0A5AA6D9}" type="sibTrans" cxnId="{FC78F4E9-4AD6-43C7-8963-A3BC14DF5D68}">
      <dgm:prSet/>
      <dgm:spPr/>
      <dgm:t>
        <a:bodyPr/>
        <a:lstStyle/>
        <a:p>
          <a:endParaRPr lang="en-IN"/>
        </a:p>
      </dgm:t>
    </dgm:pt>
    <dgm:pt modelId="{E6093FCA-2C4B-45A0-A77D-E954DA92BBB5}">
      <dgm:prSet phldrT="[Text]"/>
      <dgm:spPr/>
      <dgm:t>
        <a:bodyPr/>
        <a:lstStyle/>
        <a:p>
          <a:r>
            <a:rPr lang="en-IN"/>
            <a:t>Sum of forecast</a:t>
          </a:r>
        </a:p>
      </dgm:t>
    </dgm:pt>
    <dgm:pt modelId="{08F841B8-66C3-4610-BB35-61B51F36870C}" type="parTrans" cxnId="{7297F270-B3BC-4CF2-87FC-51FCAB4E7AEE}">
      <dgm:prSet/>
      <dgm:spPr/>
      <dgm:t>
        <a:bodyPr/>
        <a:lstStyle/>
        <a:p>
          <a:endParaRPr lang="en-IN"/>
        </a:p>
      </dgm:t>
    </dgm:pt>
    <dgm:pt modelId="{91F47002-678F-465E-B45D-ECCF516CB787}" type="sibTrans" cxnId="{7297F270-B3BC-4CF2-87FC-51FCAB4E7AEE}">
      <dgm:prSet/>
      <dgm:spPr/>
      <dgm:t>
        <a:bodyPr/>
        <a:lstStyle/>
        <a:p>
          <a:endParaRPr lang="en-IN"/>
        </a:p>
      </dgm:t>
    </dgm:pt>
    <dgm:pt modelId="{BCC33371-5610-40E9-BB30-3ED0F7FA1B66}" type="pres">
      <dgm:prSet presAssocID="{788C3F5E-1DE6-426C-8EB6-D704B00DB5DE}" presName="diagram" presStyleCnt="0">
        <dgm:presLayoutVars>
          <dgm:chPref val="1"/>
          <dgm:dir/>
          <dgm:animOne val="branch"/>
          <dgm:animLvl val="lvl"/>
          <dgm:resizeHandles val="exact"/>
        </dgm:presLayoutVars>
      </dgm:prSet>
      <dgm:spPr/>
    </dgm:pt>
    <dgm:pt modelId="{DDDE9811-F1A2-40D4-8255-80AA52A34E92}" type="pres">
      <dgm:prSet presAssocID="{18E3EDCB-0F66-4835-8583-DF0CEB2342F1}" presName="root1" presStyleCnt="0"/>
      <dgm:spPr/>
    </dgm:pt>
    <dgm:pt modelId="{91620EF2-F2C2-4316-A6E3-701D7D1FF2D2}" type="pres">
      <dgm:prSet presAssocID="{18E3EDCB-0F66-4835-8583-DF0CEB2342F1}" presName="LevelOneTextNode" presStyleLbl="node0" presStyleIdx="0" presStyleCnt="1">
        <dgm:presLayoutVars>
          <dgm:chPref val="3"/>
        </dgm:presLayoutVars>
      </dgm:prSet>
      <dgm:spPr/>
    </dgm:pt>
    <dgm:pt modelId="{279BAB53-49B7-4509-B7BF-F5C3FC270A67}" type="pres">
      <dgm:prSet presAssocID="{18E3EDCB-0F66-4835-8583-DF0CEB2342F1}" presName="level2hierChild" presStyleCnt="0"/>
      <dgm:spPr/>
    </dgm:pt>
    <dgm:pt modelId="{BA6B10FF-69CD-4F47-93F7-F254B0DB8C1B}" type="pres">
      <dgm:prSet presAssocID="{8EF91D53-6767-42AD-A1C9-EB60FD91EC9C}" presName="conn2-1" presStyleLbl="parChTrans1D2" presStyleIdx="0" presStyleCnt="2"/>
      <dgm:spPr/>
    </dgm:pt>
    <dgm:pt modelId="{B471A580-2BE1-4EB4-B65B-361A520128B6}" type="pres">
      <dgm:prSet presAssocID="{8EF91D53-6767-42AD-A1C9-EB60FD91EC9C}" presName="connTx" presStyleLbl="parChTrans1D2" presStyleIdx="0" presStyleCnt="2"/>
      <dgm:spPr/>
    </dgm:pt>
    <dgm:pt modelId="{DDFBF9A4-CA94-4E24-98F5-BDEFEAFF29D2}" type="pres">
      <dgm:prSet presAssocID="{B6043958-3DE4-4D0C-88E4-49177CB89649}" presName="root2" presStyleCnt="0"/>
      <dgm:spPr/>
    </dgm:pt>
    <dgm:pt modelId="{670CA52B-3518-4539-B459-655F42E0A2DE}" type="pres">
      <dgm:prSet presAssocID="{B6043958-3DE4-4D0C-88E4-49177CB89649}" presName="LevelTwoTextNode" presStyleLbl="node2" presStyleIdx="0" presStyleCnt="2">
        <dgm:presLayoutVars>
          <dgm:chPref val="3"/>
        </dgm:presLayoutVars>
      </dgm:prSet>
      <dgm:spPr/>
    </dgm:pt>
    <dgm:pt modelId="{DB503CA7-5A96-4F32-B5AB-53F7FA3C3F7B}" type="pres">
      <dgm:prSet presAssocID="{B6043958-3DE4-4D0C-88E4-49177CB89649}" presName="level3hierChild" presStyleCnt="0"/>
      <dgm:spPr/>
    </dgm:pt>
    <dgm:pt modelId="{37824817-CDCC-4784-B5F6-7C692D11742F}" type="pres">
      <dgm:prSet presAssocID="{6F54FC16-E1B8-4B26-A505-F7EB23E7D115}" presName="conn2-1" presStyleLbl="parChTrans1D3" presStyleIdx="0" presStyleCnt="2"/>
      <dgm:spPr/>
    </dgm:pt>
    <dgm:pt modelId="{97571086-90C6-4D69-A370-CCE6692FED72}" type="pres">
      <dgm:prSet presAssocID="{6F54FC16-E1B8-4B26-A505-F7EB23E7D115}" presName="connTx" presStyleLbl="parChTrans1D3" presStyleIdx="0" presStyleCnt="2"/>
      <dgm:spPr/>
    </dgm:pt>
    <dgm:pt modelId="{3EB4AE48-ACD9-4381-ACF4-2F23CEC4D24F}" type="pres">
      <dgm:prSet presAssocID="{B75191B5-99AA-4501-BD19-0F3826258F22}" presName="root2" presStyleCnt="0"/>
      <dgm:spPr/>
    </dgm:pt>
    <dgm:pt modelId="{FE0AE132-4B86-4887-A5D8-6DCC3FFCDBDB}" type="pres">
      <dgm:prSet presAssocID="{B75191B5-99AA-4501-BD19-0F3826258F22}" presName="LevelTwoTextNode" presStyleLbl="node3" presStyleIdx="0" presStyleCnt="2">
        <dgm:presLayoutVars>
          <dgm:chPref val="3"/>
        </dgm:presLayoutVars>
      </dgm:prSet>
      <dgm:spPr/>
    </dgm:pt>
    <dgm:pt modelId="{3F5764F1-0844-485E-BA3E-F6AF3D19BA5D}" type="pres">
      <dgm:prSet presAssocID="{B75191B5-99AA-4501-BD19-0F3826258F22}" presName="level3hierChild" presStyleCnt="0"/>
      <dgm:spPr/>
    </dgm:pt>
    <dgm:pt modelId="{EB53FF8D-3AF1-40D6-87D3-922E221D4927}" type="pres">
      <dgm:prSet presAssocID="{D5A82F7A-80ED-4143-9A87-434DF7F8DECD}" presName="conn2-1" presStyleLbl="parChTrans1D4" presStyleIdx="0" presStyleCnt="3"/>
      <dgm:spPr/>
    </dgm:pt>
    <dgm:pt modelId="{31AB0577-D89D-42BC-AEE6-770A312819A2}" type="pres">
      <dgm:prSet presAssocID="{D5A82F7A-80ED-4143-9A87-434DF7F8DECD}" presName="connTx" presStyleLbl="parChTrans1D4" presStyleIdx="0" presStyleCnt="3"/>
      <dgm:spPr/>
    </dgm:pt>
    <dgm:pt modelId="{28767166-2EE0-4BC7-8F3A-0ECE4C8BA16C}" type="pres">
      <dgm:prSet presAssocID="{0DABA827-487B-4659-80BB-2F2578860ABA}" presName="root2" presStyleCnt="0"/>
      <dgm:spPr/>
    </dgm:pt>
    <dgm:pt modelId="{BD7640BE-AD21-4ADC-B284-2CB4C1F82E41}" type="pres">
      <dgm:prSet presAssocID="{0DABA827-487B-4659-80BB-2F2578860ABA}" presName="LevelTwoTextNode" presStyleLbl="node4" presStyleIdx="0" presStyleCnt="3" custLinFactNeighborX="-6964" custLinFactNeighborY="56652">
        <dgm:presLayoutVars>
          <dgm:chPref val="3"/>
        </dgm:presLayoutVars>
      </dgm:prSet>
      <dgm:spPr/>
    </dgm:pt>
    <dgm:pt modelId="{1D170BE8-15EE-4DA5-AD00-20FE31E34178}" type="pres">
      <dgm:prSet presAssocID="{0DABA827-487B-4659-80BB-2F2578860ABA}" presName="level3hierChild" presStyleCnt="0"/>
      <dgm:spPr/>
    </dgm:pt>
    <dgm:pt modelId="{F11AC243-BDAA-4A49-B930-12B69679C649}" type="pres">
      <dgm:prSet presAssocID="{EA953DF0-CAE6-42CB-8419-65C07A01C09C}" presName="conn2-1" presStyleLbl="parChTrans1D4" presStyleIdx="1" presStyleCnt="3"/>
      <dgm:spPr/>
    </dgm:pt>
    <dgm:pt modelId="{9B093C0D-43FD-4CA7-B0EB-9C9916A23677}" type="pres">
      <dgm:prSet presAssocID="{EA953DF0-CAE6-42CB-8419-65C07A01C09C}" presName="connTx" presStyleLbl="parChTrans1D4" presStyleIdx="1" presStyleCnt="3"/>
      <dgm:spPr/>
    </dgm:pt>
    <dgm:pt modelId="{A707EACB-9A7C-4798-B10C-0835E3048BBD}" type="pres">
      <dgm:prSet presAssocID="{81A2E225-E4A2-4318-B27C-160E350195ED}" presName="root2" presStyleCnt="0"/>
      <dgm:spPr/>
    </dgm:pt>
    <dgm:pt modelId="{132FB4C3-32A8-4FB0-B011-9BD96C240B3F}" type="pres">
      <dgm:prSet presAssocID="{81A2E225-E4A2-4318-B27C-160E350195ED}" presName="LevelTwoTextNode" presStyleLbl="node4" presStyleIdx="1" presStyleCnt="3" custLinFactNeighborX="377" custLinFactNeighborY="55190">
        <dgm:presLayoutVars>
          <dgm:chPref val="3"/>
        </dgm:presLayoutVars>
      </dgm:prSet>
      <dgm:spPr/>
    </dgm:pt>
    <dgm:pt modelId="{B952D7A4-8386-42BE-8420-CC82E45622F0}" type="pres">
      <dgm:prSet presAssocID="{81A2E225-E4A2-4318-B27C-160E350195ED}" presName="level3hierChild" presStyleCnt="0"/>
      <dgm:spPr/>
    </dgm:pt>
    <dgm:pt modelId="{5E51B4D5-8F29-495C-9075-19FC1A0E5F27}" type="pres">
      <dgm:prSet presAssocID="{43445A3B-C0AF-4C8B-976B-718F6D354DDD}" presName="conn2-1" presStyleLbl="parChTrans1D2" presStyleIdx="1" presStyleCnt="2"/>
      <dgm:spPr/>
    </dgm:pt>
    <dgm:pt modelId="{6C6C901B-B3F7-4EE9-8AF9-69CF7A39D006}" type="pres">
      <dgm:prSet presAssocID="{43445A3B-C0AF-4C8B-976B-718F6D354DDD}" presName="connTx" presStyleLbl="parChTrans1D2" presStyleIdx="1" presStyleCnt="2"/>
      <dgm:spPr/>
    </dgm:pt>
    <dgm:pt modelId="{DE53E5BC-BA0F-4EBB-B00E-3AD936182495}" type="pres">
      <dgm:prSet presAssocID="{9BCD5FB8-A41E-4599-BB03-5A96280CCA7A}" presName="root2" presStyleCnt="0"/>
      <dgm:spPr/>
    </dgm:pt>
    <dgm:pt modelId="{06CDEAE6-C999-4FE1-9724-581C59B16919}" type="pres">
      <dgm:prSet presAssocID="{9BCD5FB8-A41E-4599-BB03-5A96280CCA7A}" presName="LevelTwoTextNode" presStyleLbl="node2" presStyleIdx="1" presStyleCnt="2">
        <dgm:presLayoutVars>
          <dgm:chPref val="3"/>
        </dgm:presLayoutVars>
      </dgm:prSet>
      <dgm:spPr/>
    </dgm:pt>
    <dgm:pt modelId="{8231A1E5-EBFF-4687-9AE0-84CA6F932E02}" type="pres">
      <dgm:prSet presAssocID="{9BCD5FB8-A41E-4599-BB03-5A96280CCA7A}" presName="level3hierChild" presStyleCnt="0"/>
      <dgm:spPr/>
    </dgm:pt>
    <dgm:pt modelId="{83A77DFD-E903-4924-A9FF-5B84F98DBD4D}" type="pres">
      <dgm:prSet presAssocID="{9A87C7AE-B146-4818-A5F0-835CE8FFDBBB}" presName="conn2-1" presStyleLbl="parChTrans1D3" presStyleIdx="1" presStyleCnt="2"/>
      <dgm:spPr/>
    </dgm:pt>
    <dgm:pt modelId="{E053E7F4-CB3C-445C-A92E-87D12EC28F6D}" type="pres">
      <dgm:prSet presAssocID="{9A87C7AE-B146-4818-A5F0-835CE8FFDBBB}" presName="connTx" presStyleLbl="parChTrans1D3" presStyleIdx="1" presStyleCnt="2"/>
      <dgm:spPr/>
    </dgm:pt>
    <dgm:pt modelId="{5E37B965-FA97-4F06-B216-E26C93C4FAA5}" type="pres">
      <dgm:prSet presAssocID="{EDE4A7FE-6407-4BA8-A6A7-2E347C232B0F}" presName="root2" presStyleCnt="0"/>
      <dgm:spPr/>
    </dgm:pt>
    <dgm:pt modelId="{3666DBC0-103E-46BA-991A-9A10267D0B57}" type="pres">
      <dgm:prSet presAssocID="{EDE4A7FE-6407-4BA8-A6A7-2E347C232B0F}" presName="LevelTwoTextNode" presStyleLbl="node3" presStyleIdx="1" presStyleCnt="2">
        <dgm:presLayoutVars>
          <dgm:chPref val="3"/>
        </dgm:presLayoutVars>
      </dgm:prSet>
      <dgm:spPr/>
    </dgm:pt>
    <dgm:pt modelId="{55A83217-A260-4A57-B481-8DC64EC8ECAC}" type="pres">
      <dgm:prSet presAssocID="{EDE4A7FE-6407-4BA8-A6A7-2E347C232B0F}" presName="level3hierChild" presStyleCnt="0"/>
      <dgm:spPr/>
    </dgm:pt>
    <dgm:pt modelId="{88660442-2440-49CC-BA01-C4645ADB449C}" type="pres">
      <dgm:prSet presAssocID="{08F841B8-66C3-4610-BB35-61B51F36870C}" presName="conn2-1" presStyleLbl="parChTrans1D4" presStyleIdx="2" presStyleCnt="3"/>
      <dgm:spPr/>
    </dgm:pt>
    <dgm:pt modelId="{1E266DEE-BEB4-42C9-9299-6C5BEF475015}" type="pres">
      <dgm:prSet presAssocID="{08F841B8-66C3-4610-BB35-61B51F36870C}" presName="connTx" presStyleLbl="parChTrans1D4" presStyleIdx="2" presStyleCnt="3"/>
      <dgm:spPr/>
    </dgm:pt>
    <dgm:pt modelId="{614167D6-7DA8-4F87-8FAD-B6CAD49F426F}" type="pres">
      <dgm:prSet presAssocID="{E6093FCA-2C4B-45A0-A77D-E954DA92BBB5}" presName="root2" presStyleCnt="0"/>
      <dgm:spPr/>
    </dgm:pt>
    <dgm:pt modelId="{97DFFA6E-2CC3-4D4A-80F8-040336B7206B}" type="pres">
      <dgm:prSet presAssocID="{E6093FCA-2C4B-45A0-A77D-E954DA92BBB5}" presName="LevelTwoTextNode" presStyleLbl="node4" presStyleIdx="2" presStyleCnt="3" custLinFactNeighborX="-7154" custLinFactNeighborY="-57234">
        <dgm:presLayoutVars>
          <dgm:chPref val="3"/>
        </dgm:presLayoutVars>
      </dgm:prSet>
      <dgm:spPr/>
    </dgm:pt>
    <dgm:pt modelId="{60635C9E-6E4A-4BD8-AD31-D241A8938641}" type="pres">
      <dgm:prSet presAssocID="{E6093FCA-2C4B-45A0-A77D-E954DA92BBB5}" presName="level3hierChild" presStyleCnt="0"/>
      <dgm:spPr/>
    </dgm:pt>
  </dgm:ptLst>
  <dgm:cxnLst>
    <dgm:cxn modelId="{5788550D-7395-4D74-B4DB-35A56978BECC}" srcId="{788C3F5E-1DE6-426C-8EB6-D704B00DB5DE}" destId="{18E3EDCB-0F66-4835-8583-DF0CEB2342F1}" srcOrd="0" destOrd="0" parTransId="{93EE8D79-7602-48B0-9CC7-93B3D59E51FC}" sibTransId="{B4E005A3-5580-4ED0-9DBD-4BE21B42A068}"/>
    <dgm:cxn modelId="{6E794E18-82D9-48E2-98AE-CBB6D51CCF2C}" type="presOf" srcId="{B75191B5-99AA-4501-BD19-0F3826258F22}" destId="{FE0AE132-4B86-4887-A5D8-6DCC3FFCDBDB}" srcOrd="0" destOrd="0" presId="urn:microsoft.com/office/officeart/2005/8/layout/hierarchy2"/>
    <dgm:cxn modelId="{3889B420-E8A3-437C-9786-8D8A7FD217ED}" type="presOf" srcId="{0DABA827-487B-4659-80BB-2F2578860ABA}" destId="{BD7640BE-AD21-4ADC-B284-2CB4C1F82E41}" srcOrd="0" destOrd="0" presId="urn:microsoft.com/office/officeart/2005/8/layout/hierarchy2"/>
    <dgm:cxn modelId="{6BF4182D-C4B3-4B35-AB90-6DCB17B6C47B}" srcId="{18E3EDCB-0F66-4835-8583-DF0CEB2342F1}" destId="{9BCD5FB8-A41E-4599-BB03-5A96280CCA7A}" srcOrd="1" destOrd="0" parTransId="{43445A3B-C0AF-4C8B-976B-718F6D354DDD}" sibTransId="{7729C710-5A32-4ECB-9899-762AE9E2D44F}"/>
    <dgm:cxn modelId="{AD99E52F-A323-4EA6-AB98-4EC72898346B}" type="presOf" srcId="{EA953DF0-CAE6-42CB-8419-65C07A01C09C}" destId="{9B093C0D-43FD-4CA7-B0EB-9C9916A23677}" srcOrd="1" destOrd="0" presId="urn:microsoft.com/office/officeart/2005/8/layout/hierarchy2"/>
    <dgm:cxn modelId="{B4E40B31-8216-4CAC-9286-D2DBD8D49BA6}" type="presOf" srcId="{8EF91D53-6767-42AD-A1C9-EB60FD91EC9C}" destId="{B471A580-2BE1-4EB4-B65B-361A520128B6}" srcOrd="1" destOrd="0" presId="urn:microsoft.com/office/officeart/2005/8/layout/hierarchy2"/>
    <dgm:cxn modelId="{A6D1D937-33FF-4899-8658-805948ECB081}" type="presOf" srcId="{D5A82F7A-80ED-4143-9A87-434DF7F8DECD}" destId="{EB53FF8D-3AF1-40D6-87D3-922E221D4927}" srcOrd="0" destOrd="0" presId="urn:microsoft.com/office/officeart/2005/8/layout/hierarchy2"/>
    <dgm:cxn modelId="{E6BC6060-2062-49E9-9384-3D525B0F582E}" type="presOf" srcId="{B6043958-3DE4-4D0C-88E4-49177CB89649}" destId="{670CA52B-3518-4539-B459-655F42E0A2DE}" srcOrd="0" destOrd="0" presId="urn:microsoft.com/office/officeart/2005/8/layout/hierarchy2"/>
    <dgm:cxn modelId="{498BB060-7C80-46C1-9192-87B3C3F787DC}" type="presOf" srcId="{D5A82F7A-80ED-4143-9A87-434DF7F8DECD}" destId="{31AB0577-D89D-42BC-AEE6-770A312819A2}" srcOrd="1" destOrd="0" presId="urn:microsoft.com/office/officeart/2005/8/layout/hierarchy2"/>
    <dgm:cxn modelId="{4C70766B-C8CA-43C3-874A-83FF2E60FA3E}" srcId="{B75191B5-99AA-4501-BD19-0F3826258F22}" destId="{0DABA827-487B-4659-80BB-2F2578860ABA}" srcOrd="0" destOrd="0" parTransId="{D5A82F7A-80ED-4143-9A87-434DF7F8DECD}" sibTransId="{DFCFFB36-A238-47BF-9DB9-A82A044BF5DD}"/>
    <dgm:cxn modelId="{7297F270-B3BC-4CF2-87FC-51FCAB4E7AEE}" srcId="{EDE4A7FE-6407-4BA8-A6A7-2E347C232B0F}" destId="{E6093FCA-2C4B-45A0-A77D-E954DA92BBB5}" srcOrd="0" destOrd="0" parTransId="{08F841B8-66C3-4610-BB35-61B51F36870C}" sibTransId="{91F47002-678F-465E-B45D-ECCF516CB787}"/>
    <dgm:cxn modelId="{D36F8671-DEF5-4CE2-9367-BEBB0A66900F}" type="presOf" srcId="{EDE4A7FE-6407-4BA8-A6A7-2E347C232B0F}" destId="{3666DBC0-103E-46BA-991A-9A10267D0B57}" srcOrd="0" destOrd="0" presId="urn:microsoft.com/office/officeart/2005/8/layout/hierarchy2"/>
    <dgm:cxn modelId="{3C677B55-D321-48BB-A1E4-66D54DFAC1AD}" type="presOf" srcId="{6F54FC16-E1B8-4B26-A505-F7EB23E7D115}" destId="{97571086-90C6-4D69-A370-CCE6692FED72}" srcOrd="1" destOrd="0" presId="urn:microsoft.com/office/officeart/2005/8/layout/hierarchy2"/>
    <dgm:cxn modelId="{DC995B7A-30F0-4D3C-91EF-6F090AA6AF23}" type="presOf" srcId="{788C3F5E-1DE6-426C-8EB6-D704B00DB5DE}" destId="{BCC33371-5610-40E9-BB30-3ED0F7FA1B66}" srcOrd="0" destOrd="0" presId="urn:microsoft.com/office/officeart/2005/8/layout/hierarchy2"/>
    <dgm:cxn modelId="{2476D35A-4B26-49FD-BD24-8858DB69229F}" type="presOf" srcId="{9A87C7AE-B146-4818-A5F0-835CE8FFDBBB}" destId="{83A77DFD-E903-4924-A9FF-5B84F98DBD4D}" srcOrd="0" destOrd="0" presId="urn:microsoft.com/office/officeart/2005/8/layout/hierarchy2"/>
    <dgm:cxn modelId="{54525D91-CE9A-4942-A5A5-BE5CD5960F79}" srcId="{9BCD5FB8-A41E-4599-BB03-5A96280CCA7A}" destId="{EDE4A7FE-6407-4BA8-A6A7-2E347C232B0F}" srcOrd="0" destOrd="0" parTransId="{9A87C7AE-B146-4818-A5F0-835CE8FFDBBB}" sibTransId="{BE5395B1-020F-4863-9F6C-8B9CFF67B395}"/>
    <dgm:cxn modelId="{E9062CA1-4ED8-4934-87EE-6FC8D371378B}" type="presOf" srcId="{9A87C7AE-B146-4818-A5F0-835CE8FFDBBB}" destId="{E053E7F4-CB3C-445C-A92E-87D12EC28F6D}" srcOrd="1" destOrd="0" presId="urn:microsoft.com/office/officeart/2005/8/layout/hierarchy2"/>
    <dgm:cxn modelId="{8DC152A1-B507-4680-917E-AE743E891D16}" type="presOf" srcId="{81A2E225-E4A2-4318-B27C-160E350195ED}" destId="{132FB4C3-32A8-4FB0-B011-9BD96C240B3F}" srcOrd="0" destOrd="0" presId="urn:microsoft.com/office/officeart/2005/8/layout/hierarchy2"/>
    <dgm:cxn modelId="{55089AAB-B2D9-4139-B597-E54C35602D36}" srcId="{B6043958-3DE4-4D0C-88E4-49177CB89649}" destId="{B75191B5-99AA-4501-BD19-0F3826258F22}" srcOrd="0" destOrd="0" parTransId="{6F54FC16-E1B8-4B26-A505-F7EB23E7D115}" sibTransId="{732C6DA2-C750-44BD-875B-00D74B13AFCA}"/>
    <dgm:cxn modelId="{9388C7C9-F53A-4A2F-9C69-04E639A538E1}" type="presOf" srcId="{43445A3B-C0AF-4C8B-976B-718F6D354DDD}" destId="{6C6C901B-B3F7-4EE9-8AF9-69CF7A39D006}" srcOrd="1" destOrd="0" presId="urn:microsoft.com/office/officeart/2005/8/layout/hierarchy2"/>
    <dgm:cxn modelId="{BA9C48D6-C5F3-4399-8354-F759A3B3F439}" srcId="{18E3EDCB-0F66-4835-8583-DF0CEB2342F1}" destId="{B6043958-3DE4-4D0C-88E4-49177CB89649}" srcOrd="0" destOrd="0" parTransId="{8EF91D53-6767-42AD-A1C9-EB60FD91EC9C}" sibTransId="{D73833BE-665F-413B-A5DB-C80B31DC8453}"/>
    <dgm:cxn modelId="{121C44DE-D6A1-488D-8CC5-E0E17518C3BD}" type="presOf" srcId="{8EF91D53-6767-42AD-A1C9-EB60FD91EC9C}" destId="{BA6B10FF-69CD-4F47-93F7-F254B0DB8C1B}" srcOrd="0" destOrd="0" presId="urn:microsoft.com/office/officeart/2005/8/layout/hierarchy2"/>
    <dgm:cxn modelId="{044351E7-8DAC-461B-948E-9E359CE50005}" type="presOf" srcId="{9BCD5FB8-A41E-4599-BB03-5A96280CCA7A}" destId="{06CDEAE6-C999-4FE1-9724-581C59B16919}" srcOrd="0" destOrd="0" presId="urn:microsoft.com/office/officeart/2005/8/layout/hierarchy2"/>
    <dgm:cxn modelId="{CDCAF3E7-8980-491A-8D4A-DCFB8E39999C}" type="presOf" srcId="{08F841B8-66C3-4610-BB35-61B51F36870C}" destId="{1E266DEE-BEB4-42C9-9299-6C5BEF475015}" srcOrd="1" destOrd="0" presId="urn:microsoft.com/office/officeart/2005/8/layout/hierarchy2"/>
    <dgm:cxn modelId="{FC78F4E9-4AD6-43C7-8963-A3BC14DF5D68}" srcId="{0DABA827-487B-4659-80BB-2F2578860ABA}" destId="{81A2E225-E4A2-4318-B27C-160E350195ED}" srcOrd="0" destOrd="0" parTransId="{EA953DF0-CAE6-42CB-8419-65C07A01C09C}" sibTransId="{0ED157D7-A793-496A-9E32-670E0A5AA6D9}"/>
    <dgm:cxn modelId="{A17A13EA-5E17-480F-A493-E6F94C086061}" type="presOf" srcId="{08F841B8-66C3-4610-BB35-61B51F36870C}" destId="{88660442-2440-49CC-BA01-C4645ADB449C}" srcOrd="0" destOrd="0" presId="urn:microsoft.com/office/officeart/2005/8/layout/hierarchy2"/>
    <dgm:cxn modelId="{4C3818EF-C0A9-4955-B68B-F5A3DDD70C9D}" type="presOf" srcId="{6F54FC16-E1B8-4B26-A505-F7EB23E7D115}" destId="{37824817-CDCC-4784-B5F6-7C692D11742F}" srcOrd="0" destOrd="0" presId="urn:microsoft.com/office/officeart/2005/8/layout/hierarchy2"/>
    <dgm:cxn modelId="{7189D3F2-F994-4E0D-A3CA-324AC4484499}" type="presOf" srcId="{E6093FCA-2C4B-45A0-A77D-E954DA92BBB5}" destId="{97DFFA6E-2CC3-4D4A-80F8-040336B7206B}" srcOrd="0" destOrd="0" presId="urn:microsoft.com/office/officeart/2005/8/layout/hierarchy2"/>
    <dgm:cxn modelId="{796348F4-5625-450D-9211-33A38D7EE62A}" type="presOf" srcId="{43445A3B-C0AF-4C8B-976B-718F6D354DDD}" destId="{5E51B4D5-8F29-495C-9075-19FC1A0E5F27}" srcOrd="0" destOrd="0" presId="urn:microsoft.com/office/officeart/2005/8/layout/hierarchy2"/>
    <dgm:cxn modelId="{08E92EFC-B168-46CB-A128-4121098CAC2F}" type="presOf" srcId="{EA953DF0-CAE6-42CB-8419-65C07A01C09C}" destId="{F11AC243-BDAA-4A49-B930-12B69679C649}" srcOrd="0" destOrd="0" presId="urn:microsoft.com/office/officeart/2005/8/layout/hierarchy2"/>
    <dgm:cxn modelId="{41FBFCFE-E68E-4E71-97E3-FCF391EDFC07}" type="presOf" srcId="{18E3EDCB-0F66-4835-8583-DF0CEB2342F1}" destId="{91620EF2-F2C2-4316-A6E3-701D7D1FF2D2}" srcOrd="0" destOrd="0" presId="urn:microsoft.com/office/officeart/2005/8/layout/hierarchy2"/>
    <dgm:cxn modelId="{2D520DC4-B306-4D73-9F89-379621F2C5D1}" type="presParOf" srcId="{BCC33371-5610-40E9-BB30-3ED0F7FA1B66}" destId="{DDDE9811-F1A2-40D4-8255-80AA52A34E92}" srcOrd="0" destOrd="0" presId="urn:microsoft.com/office/officeart/2005/8/layout/hierarchy2"/>
    <dgm:cxn modelId="{4BA78A33-E761-4796-8DD0-7735331A8A55}" type="presParOf" srcId="{DDDE9811-F1A2-40D4-8255-80AA52A34E92}" destId="{91620EF2-F2C2-4316-A6E3-701D7D1FF2D2}" srcOrd="0" destOrd="0" presId="urn:microsoft.com/office/officeart/2005/8/layout/hierarchy2"/>
    <dgm:cxn modelId="{4FB78327-5E9D-42EA-809E-1E46E869C0B5}" type="presParOf" srcId="{DDDE9811-F1A2-40D4-8255-80AA52A34E92}" destId="{279BAB53-49B7-4509-B7BF-F5C3FC270A67}" srcOrd="1" destOrd="0" presId="urn:microsoft.com/office/officeart/2005/8/layout/hierarchy2"/>
    <dgm:cxn modelId="{AF6C7117-782E-46E7-B973-5D4DB4156C17}" type="presParOf" srcId="{279BAB53-49B7-4509-B7BF-F5C3FC270A67}" destId="{BA6B10FF-69CD-4F47-93F7-F254B0DB8C1B}" srcOrd="0" destOrd="0" presId="urn:microsoft.com/office/officeart/2005/8/layout/hierarchy2"/>
    <dgm:cxn modelId="{D5904F57-53F8-49D2-9627-EEBBE316E2FC}" type="presParOf" srcId="{BA6B10FF-69CD-4F47-93F7-F254B0DB8C1B}" destId="{B471A580-2BE1-4EB4-B65B-361A520128B6}" srcOrd="0" destOrd="0" presId="urn:microsoft.com/office/officeart/2005/8/layout/hierarchy2"/>
    <dgm:cxn modelId="{EE576AB7-D187-4B73-9276-1A894489A32B}" type="presParOf" srcId="{279BAB53-49B7-4509-B7BF-F5C3FC270A67}" destId="{DDFBF9A4-CA94-4E24-98F5-BDEFEAFF29D2}" srcOrd="1" destOrd="0" presId="urn:microsoft.com/office/officeart/2005/8/layout/hierarchy2"/>
    <dgm:cxn modelId="{593898A5-CA51-4296-A376-1ED3676CD995}" type="presParOf" srcId="{DDFBF9A4-CA94-4E24-98F5-BDEFEAFF29D2}" destId="{670CA52B-3518-4539-B459-655F42E0A2DE}" srcOrd="0" destOrd="0" presId="urn:microsoft.com/office/officeart/2005/8/layout/hierarchy2"/>
    <dgm:cxn modelId="{7CE388F5-7577-4B2D-B921-7C27C5C577F7}" type="presParOf" srcId="{DDFBF9A4-CA94-4E24-98F5-BDEFEAFF29D2}" destId="{DB503CA7-5A96-4F32-B5AB-53F7FA3C3F7B}" srcOrd="1" destOrd="0" presId="urn:microsoft.com/office/officeart/2005/8/layout/hierarchy2"/>
    <dgm:cxn modelId="{78C3EE0F-F217-42E6-AA3F-D1C97663375E}" type="presParOf" srcId="{DB503CA7-5A96-4F32-B5AB-53F7FA3C3F7B}" destId="{37824817-CDCC-4784-B5F6-7C692D11742F}" srcOrd="0" destOrd="0" presId="urn:microsoft.com/office/officeart/2005/8/layout/hierarchy2"/>
    <dgm:cxn modelId="{E1EFFDF0-282A-4FCC-807C-E64097A933F0}" type="presParOf" srcId="{37824817-CDCC-4784-B5F6-7C692D11742F}" destId="{97571086-90C6-4D69-A370-CCE6692FED72}" srcOrd="0" destOrd="0" presId="urn:microsoft.com/office/officeart/2005/8/layout/hierarchy2"/>
    <dgm:cxn modelId="{041AA85B-7981-4880-AAF4-3091B1A3E20A}" type="presParOf" srcId="{DB503CA7-5A96-4F32-B5AB-53F7FA3C3F7B}" destId="{3EB4AE48-ACD9-4381-ACF4-2F23CEC4D24F}" srcOrd="1" destOrd="0" presId="urn:microsoft.com/office/officeart/2005/8/layout/hierarchy2"/>
    <dgm:cxn modelId="{F81A86AA-F970-41B0-B681-DE54EC899F2A}" type="presParOf" srcId="{3EB4AE48-ACD9-4381-ACF4-2F23CEC4D24F}" destId="{FE0AE132-4B86-4887-A5D8-6DCC3FFCDBDB}" srcOrd="0" destOrd="0" presId="urn:microsoft.com/office/officeart/2005/8/layout/hierarchy2"/>
    <dgm:cxn modelId="{009DCA62-5083-414E-A259-BB2CF3A12D31}" type="presParOf" srcId="{3EB4AE48-ACD9-4381-ACF4-2F23CEC4D24F}" destId="{3F5764F1-0844-485E-BA3E-F6AF3D19BA5D}" srcOrd="1" destOrd="0" presId="urn:microsoft.com/office/officeart/2005/8/layout/hierarchy2"/>
    <dgm:cxn modelId="{72B29073-05A3-43B8-9BA4-9D50FF498CB7}" type="presParOf" srcId="{3F5764F1-0844-485E-BA3E-F6AF3D19BA5D}" destId="{EB53FF8D-3AF1-40D6-87D3-922E221D4927}" srcOrd="0" destOrd="0" presId="urn:microsoft.com/office/officeart/2005/8/layout/hierarchy2"/>
    <dgm:cxn modelId="{A87768A9-A14C-41D8-9A77-4CCF0A7203BC}" type="presParOf" srcId="{EB53FF8D-3AF1-40D6-87D3-922E221D4927}" destId="{31AB0577-D89D-42BC-AEE6-770A312819A2}" srcOrd="0" destOrd="0" presId="urn:microsoft.com/office/officeart/2005/8/layout/hierarchy2"/>
    <dgm:cxn modelId="{44A0ADFE-4922-4C7C-9B83-7E4447DE1B2A}" type="presParOf" srcId="{3F5764F1-0844-485E-BA3E-F6AF3D19BA5D}" destId="{28767166-2EE0-4BC7-8F3A-0ECE4C8BA16C}" srcOrd="1" destOrd="0" presId="urn:microsoft.com/office/officeart/2005/8/layout/hierarchy2"/>
    <dgm:cxn modelId="{3F537502-1BDC-4646-968E-F69C5A50F4F3}" type="presParOf" srcId="{28767166-2EE0-4BC7-8F3A-0ECE4C8BA16C}" destId="{BD7640BE-AD21-4ADC-B284-2CB4C1F82E41}" srcOrd="0" destOrd="0" presId="urn:microsoft.com/office/officeart/2005/8/layout/hierarchy2"/>
    <dgm:cxn modelId="{CC4B9C9C-B575-4545-A6F8-8B3F8C349B12}" type="presParOf" srcId="{28767166-2EE0-4BC7-8F3A-0ECE4C8BA16C}" destId="{1D170BE8-15EE-4DA5-AD00-20FE31E34178}" srcOrd="1" destOrd="0" presId="urn:microsoft.com/office/officeart/2005/8/layout/hierarchy2"/>
    <dgm:cxn modelId="{CC228D64-820E-4340-A979-3C16AB6CE0FB}" type="presParOf" srcId="{1D170BE8-15EE-4DA5-AD00-20FE31E34178}" destId="{F11AC243-BDAA-4A49-B930-12B69679C649}" srcOrd="0" destOrd="0" presId="urn:microsoft.com/office/officeart/2005/8/layout/hierarchy2"/>
    <dgm:cxn modelId="{7C4E95A2-E623-4C88-9894-564527659DEE}" type="presParOf" srcId="{F11AC243-BDAA-4A49-B930-12B69679C649}" destId="{9B093C0D-43FD-4CA7-B0EB-9C9916A23677}" srcOrd="0" destOrd="0" presId="urn:microsoft.com/office/officeart/2005/8/layout/hierarchy2"/>
    <dgm:cxn modelId="{E0C2BFAD-E97D-4B96-9418-4FEA24B90E8E}" type="presParOf" srcId="{1D170BE8-15EE-4DA5-AD00-20FE31E34178}" destId="{A707EACB-9A7C-4798-B10C-0835E3048BBD}" srcOrd="1" destOrd="0" presId="urn:microsoft.com/office/officeart/2005/8/layout/hierarchy2"/>
    <dgm:cxn modelId="{A4B15C31-B0C9-40ED-8F7A-A0B64437A36E}" type="presParOf" srcId="{A707EACB-9A7C-4798-B10C-0835E3048BBD}" destId="{132FB4C3-32A8-4FB0-B011-9BD96C240B3F}" srcOrd="0" destOrd="0" presId="urn:microsoft.com/office/officeart/2005/8/layout/hierarchy2"/>
    <dgm:cxn modelId="{02F2363B-F483-40D3-893C-00AA4D3DEE26}" type="presParOf" srcId="{A707EACB-9A7C-4798-B10C-0835E3048BBD}" destId="{B952D7A4-8386-42BE-8420-CC82E45622F0}" srcOrd="1" destOrd="0" presId="urn:microsoft.com/office/officeart/2005/8/layout/hierarchy2"/>
    <dgm:cxn modelId="{19D03ADC-EF1A-4752-9314-E0D23CBE184A}" type="presParOf" srcId="{279BAB53-49B7-4509-B7BF-F5C3FC270A67}" destId="{5E51B4D5-8F29-495C-9075-19FC1A0E5F27}" srcOrd="2" destOrd="0" presId="urn:microsoft.com/office/officeart/2005/8/layout/hierarchy2"/>
    <dgm:cxn modelId="{5C26B569-E466-48D2-915A-153D04D57401}" type="presParOf" srcId="{5E51B4D5-8F29-495C-9075-19FC1A0E5F27}" destId="{6C6C901B-B3F7-4EE9-8AF9-69CF7A39D006}" srcOrd="0" destOrd="0" presId="urn:microsoft.com/office/officeart/2005/8/layout/hierarchy2"/>
    <dgm:cxn modelId="{0D0A96B7-FB31-4F88-9699-5A20389D1B88}" type="presParOf" srcId="{279BAB53-49B7-4509-B7BF-F5C3FC270A67}" destId="{DE53E5BC-BA0F-4EBB-B00E-3AD936182495}" srcOrd="3" destOrd="0" presId="urn:microsoft.com/office/officeart/2005/8/layout/hierarchy2"/>
    <dgm:cxn modelId="{682B3D41-1FB3-4C75-8364-E0637A8FF0AC}" type="presParOf" srcId="{DE53E5BC-BA0F-4EBB-B00E-3AD936182495}" destId="{06CDEAE6-C999-4FE1-9724-581C59B16919}" srcOrd="0" destOrd="0" presId="urn:microsoft.com/office/officeart/2005/8/layout/hierarchy2"/>
    <dgm:cxn modelId="{5D33672B-384D-4B1B-8DDB-74DD7440973E}" type="presParOf" srcId="{DE53E5BC-BA0F-4EBB-B00E-3AD936182495}" destId="{8231A1E5-EBFF-4687-9AE0-84CA6F932E02}" srcOrd="1" destOrd="0" presId="urn:microsoft.com/office/officeart/2005/8/layout/hierarchy2"/>
    <dgm:cxn modelId="{88E284D0-54A8-47D2-B851-3DD8A15C4F7D}" type="presParOf" srcId="{8231A1E5-EBFF-4687-9AE0-84CA6F932E02}" destId="{83A77DFD-E903-4924-A9FF-5B84F98DBD4D}" srcOrd="0" destOrd="0" presId="urn:microsoft.com/office/officeart/2005/8/layout/hierarchy2"/>
    <dgm:cxn modelId="{705DFF40-3993-49EE-AA7A-15944494CA5D}" type="presParOf" srcId="{83A77DFD-E903-4924-A9FF-5B84F98DBD4D}" destId="{E053E7F4-CB3C-445C-A92E-87D12EC28F6D}" srcOrd="0" destOrd="0" presId="urn:microsoft.com/office/officeart/2005/8/layout/hierarchy2"/>
    <dgm:cxn modelId="{EE8A196E-6988-426F-8D26-57391C4EB523}" type="presParOf" srcId="{8231A1E5-EBFF-4687-9AE0-84CA6F932E02}" destId="{5E37B965-FA97-4F06-B216-E26C93C4FAA5}" srcOrd="1" destOrd="0" presId="urn:microsoft.com/office/officeart/2005/8/layout/hierarchy2"/>
    <dgm:cxn modelId="{1A6863A3-E37C-488D-B19B-53A61AF36599}" type="presParOf" srcId="{5E37B965-FA97-4F06-B216-E26C93C4FAA5}" destId="{3666DBC0-103E-46BA-991A-9A10267D0B57}" srcOrd="0" destOrd="0" presId="urn:microsoft.com/office/officeart/2005/8/layout/hierarchy2"/>
    <dgm:cxn modelId="{48A667B9-6EBC-4B7A-B1A8-0BDA3175D9C6}" type="presParOf" srcId="{5E37B965-FA97-4F06-B216-E26C93C4FAA5}" destId="{55A83217-A260-4A57-B481-8DC64EC8ECAC}" srcOrd="1" destOrd="0" presId="urn:microsoft.com/office/officeart/2005/8/layout/hierarchy2"/>
    <dgm:cxn modelId="{8854CB85-402D-4076-9B8A-91F967A560A7}" type="presParOf" srcId="{55A83217-A260-4A57-B481-8DC64EC8ECAC}" destId="{88660442-2440-49CC-BA01-C4645ADB449C}" srcOrd="0" destOrd="0" presId="urn:microsoft.com/office/officeart/2005/8/layout/hierarchy2"/>
    <dgm:cxn modelId="{76054794-3DE1-41E5-A4CD-501DA6B345CC}" type="presParOf" srcId="{88660442-2440-49CC-BA01-C4645ADB449C}" destId="{1E266DEE-BEB4-42C9-9299-6C5BEF475015}" srcOrd="0" destOrd="0" presId="urn:microsoft.com/office/officeart/2005/8/layout/hierarchy2"/>
    <dgm:cxn modelId="{BCCD2F44-F481-436E-833A-DC58501281EE}" type="presParOf" srcId="{55A83217-A260-4A57-B481-8DC64EC8ECAC}" destId="{614167D6-7DA8-4F87-8FAD-B6CAD49F426F}" srcOrd="1" destOrd="0" presId="urn:microsoft.com/office/officeart/2005/8/layout/hierarchy2"/>
    <dgm:cxn modelId="{20C9AA21-3160-4348-ABCC-B8548DFA3BEC}" type="presParOf" srcId="{614167D6-7DA8-4F87-8FAD-B6CAD49F426F}" destId="{97DFFA6E-2CC3-4D4A-80F8-040336B7206B}" srcOrd="0" destOrd="0" presId="urn:microsoft.com/office/officeart/2005/8/layout/hierarchy2"/>
    <dgm:cxn modelId="{1E1F48CA-2385-4CB7-84AE-878EEF48645A}" type="presParOf" srcId="{614167D6-7DA8-4F87-8FAD-B6CAD49F426F}" destId="{60635C9E-6E4A-4BD8-AD31-D241A8938641}"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620EF2-F2C2-4316-A6E3-701D7D1FF2D2}">
      <dsp:nvSpPr>
        <dsp:cNvPr id="0" name=""/>
        <dsp:cNvSpPr/>
      </dsp:nvSpPr>
      <dsp:spPr>
        <a:xfrm>
          <a:off x="702" y="758718"/>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Time-series data</a:t>
          </a:r>
        </a:p>
      </dsp:txBody>
      <dsp:txXfrm>
        <a:off x="12723" y="770739"/>
        <a:ext cx="796804" cy="386381"/>
      </dsp:txXfrm>
    </dsp:sp>
    <dsp:sp modelId="{BA6B10FF-69CD-4F47-93F7-F254B0DB8C1B}">
      <dsp:nvSpPr>
        <dsp:cNvPr id="0" name=""/>
        <dsp:cNvSpPr/>
      </dsp:nvSpPr>
      <dsp:spPr>
        <a:xfrm rot="19457599">
          <a:off x="783542" y="826773"/>
          <a:ext cx="404350" cy="38320"/>
        </a:xfrm>
        <a:custGeom>
          <a:avLst/>
          <a:gdLst/>
          <a:ahLst/>
          <a:cxnLst/>
          <a:rect l="0" t="0" r="0" b="0"/>
          <a:pathLst>
            <a:path>
              <a:moveTo>
                <a:pt x="0" y="19160"/>
              </a:moveTo>
              <a:lnTo>
                <a:pt x="404350" y="19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975609" y="835824"/>
        <a:ext cx="20217" cy="20217"/>
      </dsp:txXfrm>
    </dsp:sp>
    <dsp:sp modelId="{670CA52B-3518-4539-B459-655F42E0A2DE}">
      <dsp:nvSpPr>
        <dsp:cNvPr id="0" name=""/>
        <dsp:cNvSpPr/>
      </dsp:nvSpPr>
      <dsp:spPr>
        <a:xfrm>
          <a:off x="1149887" y="522724"/>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Linear component</a:t>
          </a:r>
        </a:p>
      </dsp:txBody>
      <dsp:txXfrm>
        <a:off x="1161908" y="534745"/>
        <a:ext cx="796804" cy="386381"/>
      </dsp:txXfrm>
    </dsp:sp>
    <dsp:sp modelId="{37824817-CDCC-4784-B5F6-7C692D11742F}">
      <dsp:nvSpPr>
        <dsp:cNvPr id="0" name=""/>
        <dsp:cNvSpPr/>
      </dsp:nvSpPr>
      <dsp:spPr>
        <a:xfrm>
          <a:off x="1970734" y="708776"/>
          <a:ext cx="328338" cy="38320"/>
        </a:xfrm>
        <a:custGeom>
          <a:avLst/>
          <a:gdLst/>
          <a:ahLst/>
          <a:cxnLst/>
          <a:rect l="0" t="0" r="0" b="0"/>
          <a:pathLst>
            <a:path>
              <a:moveTo>
                <a:pt x="0" y="19160"/>
              </a:moveTo>
              <a:lnTo>
                <a:pt x="328338"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26694" y="719728"/>
        <a:ext cx="16416" cy="16416"/>
      </dsp:txXfrm>
    </dsp:sp>
    <dsp:sp modelId="{FE0AE132-4B86-4887-A5D8-6DCC3FFCDBDB}">
      <dsp:nvSpPr>
        <dsp:cNvPr id="0" name=""/>
        <dsp:cNvSpPr/>
      </dsp:nvSpPr>
      <dsp:spPr>
        <a:xfrm>
          <a:off x="2299072" y="522724"/>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ARMA model</a:t>
          </a:r>
        </a:p>
      </dsp:txBody>
      <dsp:txXfrm>
        <a:off x="2311093" y="534745"/>
        <a:ext cx="796804" cy="386381"/>
      </dsp:txXfrm>
    </dsp:sp>
    <dsp:sp modelId="{EB53FF8D-3AF1-40D6-87D3-922E221D4927}">
      <dsp:nvSpPr>
        <dsp:cNvPr id="0" name=""/>
        <dsp:cNvSpPr/>
      </dsp:nvSpPr>
      <dsp:spPr>
        <a:xfrm rot="2436643">
          <a:off x="3076902" y="825032"/>
          <a:ext cx="357208" cy="38320"/>
        </a:xfrm>
        <a:custGeom>
          <a:avLst/>
          <a:gdLst/>
          <a:ahLst/>
          <a:cxnLst/>
          <a:rect l="0" t="0" r="0" b="0"/>
          <a:pathLst>
            <a:path>
              <a:moveTo>
                <a:pt x="0" y="19160"/>
              </a:moveTo>
              <a:lnTo>
                <a:pt x="357208"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46576" y="835262"/>
        <a:ext cx="17860" cy="17860"/>
      </dsp:txXfrm>
    </dsp:sp>
    <dsp:sp modelId="{BD7640BE-AD21-4ADC-B284-2CB4C1F82E41}">
      <dsp:nvSpPr>
        <dsp:cNvPr id="0" name=""/>
        <dsp:cNvSpPr/>
      </dsp:nvSpPr>
      <dsp:spPr>
        <a:xfrm>
          <a:off x="3391094" y="755237"/>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Sum of Forecast</a:t>
          </a:r>
        </a:p>
      </dsp:txBody>
      <dsp:txXfrm>
        <a:off x="3403115" y="767258"/>
        <a:ext cx="796804" cy="386381"/>
      </dsp:txXfrm>
    </dsp:sp>
    <dsp:sp modelId="{F11AC243-BDAA-4A49-B930-12B69679C649}">
      <dsp:nvSpPr>
        <dsp:cNvPr id="0" name=""/>
        <dsp:cNvSpPr/>
      </dsp:nvSpPr>
      <dsp:spPr>
        <a:xfrm rot="21546593">
          <a:off x="4211917" y="938289"/>
          <a:ext cx="386251" cy="38320"/>
        </a:xfrm>
        <a:custGeom>
          <a:avLst/>
          <a:gdLst/>
          <a:ahLst/>
          <a:cxnLst/>
          <a:rect l="0" t="0" r="0" b="0"/>
          <a:pathLst>
            <a:path>
              <a:moveTo>
                <a:pt x="0" y="19160"/>
              </a:moveTo>
              <a:lnTo>
                <a:pt x="386251"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395386" y="947793"/>
        <a:ext cx="19312" cy="19312"/>
      </dsp:txXfrm>
    </dsp:sp>
    <dsp:sp modelId="{132FB4C3-32A8-4FB0-B011-9BD96C240B3F}">
      <dsp:nvSpPr>
        <dsp:cNvPr id="0" name=""/>
        <dsp:cNvSpPr/>
      </dsp:nvSpPr>
      <dsp:spPr>
        <a:xfrm>
          <a:off x="4598145" y="749237"/>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Final forecast</a:t>
          </a:r>
        </a:p>
      </dsp:txBody>
      <dsp:txXfrm>
        <a:off x="4610166" y="761258"/>
        <a:ext cx="796804" cy="386381"/>
      </dsp:txXfrm>
    </dsp:sp>
    <dsp:sp modelId="{5E51B4D5-8F29-495C-9075-19FC1A0E5F27}">
      <dsp:nvSpPr>
        <dsp:cNvPr id="0" name=""/>
        <dsp:cNvSpPr/>
      </dsp:nvSpPr>
      <dsp:spPr>
        <a:xfrm rot="2142401">
          <a:off x="783542" y="1062766"/>
          <a:ext cx="404350" cy="38320"/>
        </a:xfrm>
        <a:custGeom>
          <a:avLst/>
          <a:gdLst/>
          <a:ahLst/>
          <a:cxnLst/>
          <a:rect l="0" t="0" r="0" b="0"/>
          <a:pathLst>
            <a:path>
              <a:moveTo>
                <a:pt x="0" y="19160"/>
              </a:moveTo>
              <a:lnTo>
                <a:pt x="404350" y="19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975609" y="1071817"/>
        <a:ext cx="20217" cy="20217"/>
      </dsp:txXfrm>
    </dsp:sp>
    <dsp:sp modelId="{06CDEAE6-C999-4FE1-9724-581C59B16919}">
      <dsp:nvSpPr>
        <dsp:cNvPr id="0" name=""/>
        <dsp:cNvSpPr/>
      </dsp:nvSpPr>
      <dsp:spPr>
        <a:xfrm>
          <a:off x="1149887" y="994711"/>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Non-linear component</a:t>
          </a:r>
        </a:p>
      </dsp:txBody>
      <dsp:txXfrm>
        <a:off x="1161908" y="1006732"/>
        <a:ext cx="796804" cy="386381"/>
      </dsp:txXfrm>
    </dsp:sp>
    <dsp:sp modelId="{83A77DFD-E903-4924-A9FF-5B84F98DBD4D}">
      <dsp:nvSpPr>
        <dsp:cNvPr id="0" name=""/>
        <dsp:cNvSpPr/>
      </dsp:nvSpPr>
      <dsp:spPr>
        <a:xfrm>
          <a:off x="1970734" y="1180763"/>
          <a:ext cx="328338" cy="38320"/>
        </a:xfrm>
        <a:custGeom>
          <a:avLst/>
          <a:gdLst/>
          <a:ahLst/>
          <a:cxnLst/>
          <a:rect l="0" t="0" r="0" b="0"/>
          <a:pathLst>
            <a:path>
              <a:moveTo>
                <a:pt x="0" y="19160"/>
              </a:moveTo>
              <a:lnTo>
                <a:pt x="328338"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126694" y="1191714"/>
        <a:ext cx="16416" cy="16416"/>
      </dsp:txXfrm>
    </dsp:sp>
    <dsp:sp modelId="{3666DBC0-103E-46BA-991A-9A10267D0B57}">
      <dsp:nvSpPr>
        <dsp:cNvPr id="0" name=""/>
        <dsp:cNvSpPr/>
      </dsp:nvSpPr>
      <dsp:spPr>
        <a:xfrm>
          <a:off x="2299072" y="994711"/>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GARCH type model</a:t>
          </a:r>
        </a:p>
      </dsp:txBody>
      <dsp:txXfrm>
        <a:off x="2311093" y="1006732"/>
        <a:ext cx="796804" cy="386381"/>
      </dsp:txXfrm>
    </dsp:sp>
    <dsp:sp modelId="{88660442-2440-49CC-BA01-C4645ADB449C}">
      <dsp:nvSpPr>
        <dsp:cNvPr id="0" name=""/>
        <dsp:cNvSpPr/>
      </dsp:nvSpPr>
      <dsp:spPr>
        <a:xfrm rot="19136164">
          <a:off x="3075931" y="1063312"/>
          <a:ext cx="357590" cy="38320"/>
        </a:xfrm>
        <a:custGeom>
          <a:avLst/>
          <a:gdLst/>
          <a:ahLst/>
          <a:cxnLst/>
          <a:rect l="0" t="0" r="0" b="0"/>
          <a:pathLst>
            <a:path>
              <a:moveTo>
                <a:pt x="0" y="19160"/>
              </a:moveTo>
              <a:lnTo>
                <a:pt x="357590" y="191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245787" y="1073532"/>
        <a:ext cx="17879" cy="17879"/>
      </dsp:txXfrm>
    </dsp:sp>
    <dsp:sp modelId="{97DFFA6E-2CC3-4D4A-80F8-040336B7206B}">
      <dsp:nvSpPr>
        <dsp:cNvPr id="0" name=""/>
        <dsp:cNvSpPr/>
      </dsp:nvSpPr>
      <dsp:spPr>
        <a:xfrm>
          <a:off x="3389534" y="759810"/>
          <a:ext cx="820846" cy="410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N" sz="1300" kern="1200"/>
            <a:t>Sum of forecast</a:t>
          </a:r>
        </a:p>
      </dsp:txBody>
      <dsp:txXfrm>
        <a:off x="3401555" y="771831"/>
        <a:ext cx="796804" cy="3863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23</Pages>
  <Words>6398</Words>
  <Characters>36475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Kumar</dc:creator>
  <cp:keywords/>
  <dc:description/>
  <cp:lastModifiedBy>SDI 1020</cp:lastModifiedBy>
  <cp:revision>128</cp:revision>
  <dcterms:created xsi:type="dcterms:W3CDTF">2025-06-15T18:40:00Z</dcterms:created>
  <dcterms:modified xsi:type="dcterms:W3CDTF">2026-03-28T09:28:00Z</dcterms:modified>
</cp:coreProperties>
</file>