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3DAF" w14:textId="55B01AD1" w:rsidR="00BB2642" w:rsidRDefault="00BB2642" w:rsidP="009628B5">
      <w:pPr>
        <w:spacing w:line="360" w:lineRule="auto"/>
        <w:rPr>
          <w:rFonts w:ascii="Arial" w:hAnsi="Arial" w:cs="Arial"/>
          <w:b/>
          <w:bCs/>
          <w:sz w:val="22"/>
          <w:szCs w:val="22"/>
        </w:rPr>
      </w:pPr>
      <w:r w:rsidRPr="00FD2E66">
        <w:rPr>
          <w:rFonts w:ascii="Arial" w:hAnsi="Arial" w:cs="Arial"/>
          <w:b/>
          <w:bCs/>
          <w:sz w:val="22"/>
          <w:szCs w:val="22"/>
        </w:rPr>
        <w:t>Effect of Dietary Supplementation of Mushroom (</w:t>
      </w:r>
      <w:r w:rsidRPr="00FD2E66">
        <w:rPr>
          <w:rFonts w:ascii="Arial" w:hAnsi="Arial" w:cs="Arial"/>
          <w:b/>
          <w:bCs/>
          <w:i/>
          <w:iCs/>
          <w:sz w:val="22"/>
          <w:szCs w:val="22"/>
        </w:rPr>
        <w:t>Agaricus bisporus)</w:t>
      </w:r>
      <w:r w:rsidRPr="00FD2E66">
        <w:rPr>
          <w:rFonts w:ascii="Arial" w:hAnsi="Arial" w:cs="Arial"/>
          <w:b/>
          <w:bCs/>
          <w:sz w:val="22"/>
          <w:szCs w:val="22"/>
        </w:rPr>
        <w:t xml:space="preserve"> Fruiting Body Waste Powder on Growth Performance, Nutrient Utilization and Feed Cost Economics of Broiler Chicken</w:t>
      </w:r>
    </w:p>
    <w:p w14:paraId="6001A375" w14:textId="77777777" w:rsidR="009628B5" w:rsidRPr="003D4161" w:rsidRDefault="009628B5" w:rsidP="009628B5">
      <w:pPr>
        <w:spacing w:line="360" w:lineRule="auto"/>
        <w:rPr>
          <w:rFonts w:ascii="Arial" w:hAnsi="Arial" w:cs="Arial"/>
          <w:i/>
        </w:rPr>
      </w:pPr>
    </w:p>
    <w:p w14:paraId="10680592" w14:textId="77777777" w:rsidR="00BB2642" w:rsidRPr="00D8727F" w:rsidRDefault="00BB2642" w:rsidP="00D8727F">
      <w:pPr>
        <w:spacing w:line="360" w:lineRule="auto"/>
        <w:rPr>
          <w:rFonts w:ascii="Arial" w:hAnsi="Arial" w:cs="Arial"/>
          <w:b/>
          <w:bCs/>
          <w:sz w:val="22"/>
          <w:szCs w:val="22"/>
        </w:rPr>
      </w:pPr>
      <w:r w:rsidRPr="00D8727F">
        <w:rPr>
          <w:rFonts w:ascii="Arial" w:hAnsi="Arial" w:cs="Arial"/>
          <w:b/>
          <w:bCs/>
          <w:sz w:val="22"/>
          <w:szCs w:val="22"/>
        </w:rPr>
        <w:t>ABSTRACT</w:t>
      </w:r>
    </w:p>
    <w:p w14:paraId="01AA5EDA" w14:textId="36070ECE" w:rsidR="00BB2642" w:rsidRPr="003D4161" w:rsidRDefault="00BB2642" w:rsidP="00733078">
      <w:pPr>
        <w:pBdr>
          <w:top w:val="single" w:sz="4" w:space="1" w:color="auto"/>
          <w:left w:val="single" w:sz="4" w:space="4" w:color="auto"/>
          <w:bottom w:val="single" w:sz="4" w:space="0" w:color="auto"/>
          <w:right w:val="single" w:sz="4" w:space="0" w:color="auto"/>
        </w:pBdr>
        <w:spacing w:line="360" w:lineRule="auto"/>
        <w:jc w:val="both"/>
        <w:rPr>
          <w:rFonts w:ascii="Arial" w:hAnsi="Arial" w:cs="Arial"/>
          <w:sz w:val="20"/>
          <w:szCs w:val="20"/>
        </w:rPr>
      </w:pPr>
      <w:r w:rsidRPr="003D4161">
        <w:rPr>
          <w:rFonts w:ascii="Arial" w:eastAsia="Calibri" w:hAnsi="Arial" w:cs="Arial"/>
          <w:sz w:val="20"/>
          <w:szCs w:val="20"/>
        </w:rPr>
        <w:t xml:space="preserve">A feeding trial was carried out in Instructional Poultry Farm (IPF), Nagla, College of Veterinary and Animal Sciences, G.B. Pant University of Agriculture and Technology, </w:t>
      </w:r>
      <w:proofErr w:type="spellStart"/>
      <w:r w:rsidRPr="003D4161">
        <w:rPr>
          <w:rFonts w:ascii="Arial" w:eastAsia="Calibri" w:hAnsi="Arial" w:cs="Arial"/>
          <w:sz w:val="20"/>
          <w:szCs w:val="20"/>
        </w:rPr>
        <w:t>Pantnagar</w:t>
      </w:r>
      <w:proofErr w:type="spellEnd"/>
      <w:r w:rsidRPr="003D4161">
        <w:rPr>
          <w:rFonts w:ascii="Arial" w:eastAsia="Calibri" w:hAnsi="Arial" w:cs="Arial"/>
          <w:sz w:val="20"/>
          <w:szCs w:val="20"/>
        </w:rPr>
        <w:t xml:space="preserve">, during May, 2025 to June, 2025 (42 days), to evaluate the effect of dietary supplementation of mushroom </w:t>
      </w:r>
      <w:r w:rsidRPr="003D4161">
        <w:rPr>
          <w:rFonts w:ascii="Arial" w:eastAsia="Calibri" w:hAnsi="Arial" w:cs="Arial"/>
          <w:i/>
          <w:iCs/>
          <w:sz w:val="20"/>
          <w:szCs w:val="20"/>
        </w:rPr>
        <w:t>(Agaricus bisporus)</w:t>
      </w:r>
      <w:r w:rsidRPr="003D4161">
        <w:rPr>
          <w:rFonts w:ascii="Arial" w:eastAsia="Calibri" w:hAnsi="Arial" w:cs="Arial"/>
          <w:sz w:val="20"/>
          <w:szCs w:val="20"/>
        </w:rPr>
        <w:t xml:space="preserve"> fruiting body waste powder on growth performance, nutrient utilization and feed cost economics of broiler chicken. In the feeding trial, a total of 120-day-old broiler chicks</w:t>
      </w:r>
      <w:r w:rsidR="00646E7D">
        <w:rPr>
          <w:rFonts w:ascii="Arial" w:eastAsia="Calibri" w:hAnsi="Arial" w:cs="Arial"/>
          <w:sz w:val="20"/>
          <w:szCs w:val="20"/>
        </w:rPr>
        <w:t xml:space="preserve"> (cobb 430)</w:t>
      </w:r>
      <w:r w:rsidRPr="003D4161">
        <w:rPr>
          <w:rFonts w:ascii="Arial" w:eastAsia="Calibri" w:hAnsi="Arial" w:cs="Arial"/>
          <w:sz w:val="20"/>
          <w:szCs w:val="20"/>
        </w:rPr>
        <w:t xml:space="preserve"> were randomly distributed in a Completely Randomized Design into four treatment groups, with 30 chicks per treatment and three replicates of ten chicks each. T1 group served as control in which standard diet without any supplementation was fed, while T2, T3 and T4 treatment groups were supplemented with 1%, 2% and 3% mushroom fruiting body powder, respectively. Body weight, feed intake, feed conversion ratio and performance index were recorded weekly. Metabolism trial was conducted to assess nutrient utilization. Feed cost economics were also calculated. Dietary supplementation of mushroom fruiting body waste powder significantly (P &lt; .05) influenced growth performance, nutrient utilization and economics of broiler chickens. Birds fed 2.0% mushroom fruiting body waste powder exhibited significantly higher body weight gain, improved feed conversion ratio, and the highest performance index compared to other treatments (P &lt; 0.05</w:t>
      </w:r>
      <w:r w:rsidRPr="003D4161">
        <w:rPr>
          <w:rFonts w:ascii="Arial" w:eastAsia="Calibri" w:hAnsi="Arial" w:cs="Arial"/>
          <w:color w:val="000000" w:themeColor="text1"/>
          <w:sz w:val="20"/>
          <w:szCs w:val="20"/>
        </w:rPr>
        <w:t xml:space="preserve">). Dry matter and crude protein digestibility were also significantly improved (P &lt; 0.05) in mushroom fruiting body waste supplemented groups. </w:t>
      </w:r>
      <w:r w:rsidRPr="003D4161">
        <w:rPr>
          <w:rFonts w:ascii="Arial" w:hAnsi="Arial" w:cs="Arial"/>
          <w:color w:val="000000" w:themeColor="text1"/>
          <w:sz w:val="20"/>
          <w:szCs w:val="20"/>
        </w:rPr>
        <w:t>Overall, T3 and T4 emerged as the most economical treatment, as it recorded the lowest cost per kilogram body weight gain along with significantly higher net profit.</w:t>
      </w:r>
      <w:r w:rsidRPr="003D4161">
        <w:rPr>
          <w:rFonts w:ascii="Arial" w:eastAsia="Calibri" w:hAnsi="Arial" w:cs="Arial"/>
          <w:sz w:val="20"/>
          <w:szCs w:val="20"/>
        </w:rPr>
        <w:t xml:space="preserve"> Dietary supplementation of mushroom fruiting body waste powder at 2.0% inclusion level improved growth performance, nutrient utilization, and economics of Broiler chicks, suggesting its potential as a safe and sustainable phytogenic feed additive in broiler production.</w:t>
      </w:r>
    </w:p>
    <w:p w14:paraId="6CB5C471" w14:textId="3DB72C2F" w:rsidR="00BB2642" w:rsidRPr="00733078" w:rsidRDefault="003E7F37" w:rsidP="00BB2642">
      <w:pPr>
        <w:spacing w:line="360" w:lineRule="auto"/>
        <w:jc w:val="both"/>
        <w:rPr>
          <w:rFonts w:ascii="Arial" w:hAnsi="Arial" w:cs="Arial"/>
          <w:sz w:val="20"/>
          <w:szCs w:val="20"/>
        </w:rPr>
      </w:pPr>
      <w:r w:rsidRPr="00733078">
        <w:rPr>
          <w:rFonts w:ascii="Arial" w:hAnsi="Arial" w:cs="Arial"/>
          <w:sz w:val="20"/>
          <w:szCs w:val="20"/>
        </w:rPr>
        <w:t>K</w:t>
      </w:r>
      <w:r w:rsidR="00BB2642" w:rsidRPr="00733078">
        <w:rPr>
          <w:rFonts w:ascii="Arial" w:hAnsi="Arial" w:cs="Arial"/>
          <w:sz w:val="20"/>
          <w:szCs w:val="20"/>
        </w:rPr>
        <w:t>eywords</w:t>
      </w:r>
      <w:r w:rsidR="00BB2642" w:rsidRPr="00733078">
        <w:rPr>
          <w:rFonts w:ascii="Arial" w:hAnsi="Arial" w:cs="Arial"/>
          <w:i/>
          <w:iCs/>
          <w:sz w:val="20"/>
          <w:szCs w:val="20"/>
        </w:rPr>
        <w:t>: mushroom fruiting body; broiler chicken; feed conversion ratio; growth performance; nutrient utilisation</w:t>
      </w:r>
    </w:p>
    <w:p w14:paraId="00686B6D" w14:textId="47FD03B1" w:rsidR="00B841A5" w:rsidRPr="00B91EAC" w:rsidRDefault="005F166B" w:rsidP="000004F3">
      <w:pPr>
        <w:spacing w:line="360" w:lineRule="auto"/>
        <w:jc w:val="both"/>
        <w:rPr>
          <w:rFonts w:ascii="Arial" w:hAnsi="Arial" w:cs="Arial"/>
          <w:b/>
          <w:bCs/>
          <w:sz w:val="22"/>
          <w:szCs w:val="22"/>
        </w:rPr>
      </w:pPr>
      <w:r w:rsidRPr="00B91EAC">
        <w:rPr>
          <w:rFonts w:ascii="Arial" w:hAnsi="Arial" w:cs="Arial"/>
          <w:b/>
          <w:bCs/>
          <w:sz w:val="22"/>
          <w:szCs w:val="22"/>
        </w:rPr>
        <w:t>1.</w:t>
      </w:r>
      <w:r w:rsidR="005C1A6D" w:rsidRPr="00B91EAC">
        <w:rPr>
          <w:rFonts w:ascii="Arial" w:hAnsi="Arial" w:cs="Arial"/>
          <w:b/>
          <w:bCs/>
          <w:sz w:val="22"/>
          <w:szCs w:val="22"/>
        </w:rPr>
        <w:t xml:space="preserve">  </w:t>
      </w:r>
      <w:r w:rsidR="00086028" w:rsidRPr="00B91EAC">
        <w:rPr>
          <w:rFonts w:ascii="Arial" w:hAnsi="Arial" w:cs="Arial"/>
          <w:b/>
          <w:bCs/>
          <w:sz w:val="22"/>
          <w:szCs w:val="22"/>
        </w:rPr>
        <w:t>INTRODUCTION</w:t>
      </w:r>
    </w:p>
    <w:p w14:paraId="3F348A44" w14:textId="00195B56" w:rsidR="0041579D" w:rsidRPr="003D4161" w:rsidRDefault="00086028" w:rsidP="000004F3">
      <w:pPr>
        <w:spacing w:line="360" w:lineRule="auto"/>
        <w:jc w:val="both"/>
        <w:rPr>
          <w:rFonts w:ascii="Arial" w:hAnsi="Arial" w:cs="Arial"/>
          <w:sz w:val="20"/>
          <w:szCs w:val="20"/>
        </w:rPr>
      </w:pPr>
      <w:r w:rsidRPr="003D4161">
        <w:rPr>
          <w:rFonts w:ascii="Arial" w:hAnsi="Arial" w:cs="Arial"/>
          <w:sz w:val="20"/>
          <w:szCs w:val="20"/>
        </w:rPr>
        <w:t>The poultry industry in India represents a major pillar of the national food and agricultural economy, contributing significantly to the production of chicken meat, table eggs, and associated value-added products. Over the last few decades, the sector has experienced remarkable growth supported by favourable government policies, market liberalization, and rapid socioeconomic development.</w:t>
      </w:r>
      <w:r w:rsidR="0041579D" w:rsidRPr="0041579D">
        <w:t xml:space="preserve"> </w:t>
      </w:r>
      <w:r w:rsidR="0041579D" w:rsidRPr="0041579D">
        <w:rPr>
          <w:rFonts w:ascii="Arial" w:hAnsi="Arial" w:cs="Arial"/>
          <w:sz w:val="20"/>
          <w:szCs w:val="20"/>
        </w:rPr>
        <w:t xml:space="preserve">(Nanda </w:t>
      </w:r>
      <w:proofErr w:type="spellStart"/>
      <w:r w:rsidR="0041579D" w:rsidRPr="0041579D">
        <w:rPr>
          <w:rFonts w:ascii="Arial" w:hAnsi="Arial" w:cs="Arial"/>
          <w:sz w:val="20"/>
          <w:szCs w:val="20"/>
        </w:rPr>
        <w:t>Kuppan</w:t>
      </w:r>
      <w:proofErr w:type="spellEnd"/>
      <w:r w:rsidR="0041579D" w:rsidRPr="0041579D">
        <w:rPr>
          <w:rFonts w:ascii="Arial" w:hAnsi="Arial" w:cs="Arial"/>
          <w:sz w:val="20"/>
          <w:szCs w:val="20"/>
        </w:rPr>
        <w:t xml:space="preserve"> et al., 2024).</w:t>
      </w:r>
      <w:r w:rsidRPr="003D4161">
        <w:rPr>
          <w:rFonts w:ascii="Arial" w:hAnsi="Arial" w:cs="Arial"/>
          <w:sz w:val="20"/>
          <w:szCs w:val="20"/>
        </w:rPr>
        <w:t xml:space="preserve"> Increasing urbanization, expansion of the middle-class population, and changing dietary preferences have collectively increased the demand for high-quality animal protein. Simultaneously, the adoption of advanced production technologies, including improved housing systems, scientific feeding practices, genetic improvement programmes, and precision farm </w:t>
      </w:r>
      <w:r w:rsidRPr="003D4161">
        <w:rPr>
          <w:rFonts w:ascii="Arial" w:hAnsi="Arial" w:cs="Arial"/>
          <w:sz w:val="20"/>
          <w:szCs w:val="20"/>
        </w:rPr>
        <w:lastRenderedPageBreak/>
        <w:t xml:space="preserve">management, has enhanced productivity and efficiency. Growing consumer awareness regarding food safety, sustainability, and human health has further increased interest in organic, antibiotic-free, and free-range poultry </w:t>
      </w:r>
      <w:r w:rsidR="0041579D" w:rsidRPr="003D4161">
        <w:rPr>
          <w:rFonts w:ascii="Arial" w:hAnsi="Arial" w:cs="Arial"/>
          <w:sz w:val="20"/>
          <w:szCs w:val="20"/>
        </w:rPr>
        <w:t>products.</w:t>
      </w:r>
      <w:r w:rsidR="0041579D" w:rsidRPr="0041579D">
        <w:rPr>
          <w:rFonts w:ascii="Arial" w:hAnsi="Arial" w:cs="Arial"/>
          <w:sz w:val="20"/>
          <w:szCs w:val="20"/>
        </w:rPr>
        <w:t xml:space="preserve"> These developments indicate that the Indian poultry sector is strategically positioned for continued expansion, driven by evolving dietary habits, increasing per capita consumption, and national priorities focused on food and nutritional security (Department of Animal Husbandry and Dairying, 2023).</w:t>
      </w:r>
    </w:p>
    <w:p w14:paraId="7A554043" w14:textId="0C13F9F9"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Among the agricultural subsectors in India, poultry production is recognized as one of the fastest expanding enterprises. While crop production has increased only modestly at approximately 1.5–2% annually, egg and broiler production has exhibited growth rates of 8–10% per year (DAHD, 2023 Annual Report). This rapid rise has been associated with increasing disposable income, a gradual shift towards protein-rich diets, expanding urban markets, and improvements in management and biosecurity measures. However, the projected increase in India’s population to nearly 1,639 million by 2050 (Ram and Ram, 2021) is expected to exert tremendous pressure on poultry production systems. The current per capita intake of poultry meat and eggs remains substantially below recommended nutritional standards, indicating the necessity for intensification. Estimates suggest that a fivefold expansion of the layer industry and a tenfold increase in broiler production will be required to meet future demand. Achieving this scale of growth is highly dependent on the availability and affordability of feed ingredients, as feed cost represents the largest share of poultry production expenditure. Currently, more than 90% of the approximately 28 million tonnes of poultry feed is produced by organized feed mills, with the remainder supplied by the unorganized sector. Projections indicate that poultry feed demand could rise to nearly 77 million tonnes by 2050, which may place further strain on conventional feed resources. Additional challenges arise due to the diversion of key feed ingredients such as maize and soybean meal towards human consumption and export markets. These constraints highlight the urgent need to identify economical, nutritionally efficient and locally available alternative feed resources, while simultaneously improving feed utilization efficiency.</w:t>
      </w:r>
    </w:p>
    <w:p w14:paraId="338F3EDB"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Globally, the long-term dependence of poultry production systems on sub-therapeutic antibiotics for growth promotion and disease prevention has faced increasing scrutiny due to the rapid rise of antimicrobial resistance. This issue is now recognized as a major public health threat and has resulted in regulatory restrictions and bans on antibiotic growth promoters in several countries. Consequently, there is an increasing demand for safe, natural, and effective alternatives that can maintain productivity without compromising human health. Various feed additives including essential oils, </w:t>
      </w:r>
      <w:proofErr w:type="spellStart"/>
      <w:r w:rsidRPr="003D4161">
        <w:rPr>
          <w:rFonts w:ascii="Arial" w:hAnsi="Arial" w:cs="Arial"/>
          <w:sz w:val="20"/>
          <w:szCs w:val="20"/>
        </w:rPr>
        <w:t>phytobiotics</w:t>
      </w:r>
      <w:proofErr w:type="spellEnd"/>
      <w:r w:rsidRPr="003D4161">
        <w:rPr>
          <w:rFonts w:ascii="Arial" w:hAnsi="Arial" w:cs="Arial"/>
          <w:sz w:val="20"/>
          <w:szCs w:val="20"/>
        </w:rPr>
        <w:t xml:space="preserve">, enzymes, probiotics, and prebiotics have been investigated as alternatives, with variable degrees of success. Among these, medicinal mushrooms have gained increasing attention due to their documented immunomodulatory, antioxidant, antimicrobial, and growth-promoting properties (Fard </w:t>
      </w:r>
      <w:r w:rsidRPr="003D4161">
        <w:rPr>
          <w:rFonts w:ascii="Arial" w:hAnsi="Arial" w:cs="Arial"/>
          <w:i/>
          <w:iCs/>
          <w:sz w:val="20"/>
          <w:szCs w:val="20"/>
        </w:rPr>
        <w:t>et al.,</w:t>
      </w:r>
      <w:r w:rsidRPr="003D4161">
        <w:rPr>
          <w:rFonts w:ascii="Arial" w:hAnsi="Arial" w:cs="Arial"/>
          <w:sz w:val="20"/>
          <w:szCs w:val="20"/>
        </w:rPr>
        <w:t xml:space="preserve"> 2014).</w:t>
      </w:r>
    </w:p>
    <w:p w14:paraId="196B1C6C"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Among cultivated mushroom species, button mushroom </w:t>
      </w:r>
      <w:r w:rsidRPr="003D4161">
        <w:rPr>
          <w:rFonts w:ascii="Arial" w:hAnsi="Arial" w:cs="Arial"/>
          <w:i/>
          <w:iCs/>
          <w:sz w:val="20"/>
          <w:szCs w:val="20"/>
        </w:rPr>
        <w:t>(Agaricus bisporus)</w:t>
      </w:r>
      <w:r w:rsidRPr="003D4161">
        <w:rPr>
          <w:rFonts w:ascii="Arial" w:hAnsi="Arial" w:cs="Arial"/>
          <w:sz w:val="20"/>
          <w:szCs w:val="20"/>
        </w:rPr>
        <w:t xml:space="preserve">, oyster mushroom </w:t>
      </w:r>
      <w:r w:rsidRPr="003D4161">
        <w:rPr>
          <w:rFonts w:ascii="Arial" w:hAnsi="Arial" w:cs="Arial"/>
          <w:i/>
          <w:iCs/>
          <w:sz w:val="20"/>
          <w:szCs w:val="20"/>
        </w:rPr>
        <w:t>(Pleurotus ostreatus)</w:t>
      </w:r>
      <w:r w:rsidRPr="003D4161">
        <w:rPr>
          <w:rFonts w:ascii="Arial" w:hAnsi="Arial" w:cs="Arial"/>
          <w:sz w:val="20"/>
          <w:szCs w:val="20"/>
        </w:rPr>
        <w:t xml:space="preserve">, and paddy straw mushroom </w:t>
      </w:r>
      <w:r w:rsidRPr="003D4161">
        <w:rPr>
          <w:rFonts w:ascii="Arial" w:hAnsi="Arial" w:cs="Arial"/>
          <w:i/>
          <w:iCs/>
          <w:sz w:val="20"/>
          <w:szCs w:val="20"/>
        </w:rPr>
        <w:t>(</w:t>
      </w:r>
      <w:proofErr w:type="spellStart"/>
      <w:r w:rsidRPr="003D4161">
        <w:rPr>
          <w:rFonts w:ascii="Arial" w:hAnsi="Arial" w:cs="Arial"/>
          <w:i/>
          <w:iCs/>
          <w:sz w:val="20"/>
          <w:szCs w:val="20"/>
        </w:rPr>
        <w:t>Volvariella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volvacea</w:t>
      </w:r>
      <w:proofErr w:type="spellEnd"/>
      <w:r w:rsidRPr="003D4161">
        <w:rPr>
          <w:rFonts w:ascii="Arial" w:hAnsi="Arial" w:cs="Arial"/>
          <w:i/>
          <w:iCs/>
          <w:sz w:val="20"/>
          <w:szCs w:val="20"/>
        </w:rPr>
        <w:t>)</w:t>
      </w:r>
      <w:r w:rsidRPr="003D4161">
        <w:rPr>
          <w:rFonts w:ascii="Arial" w:hAnsi="Arial" w:cs="Arial"/>
          <w:sz w:val="20"/>
          <w:szCs w:val="20"/>
        </w:rPr>
        <w:t xml:space="preserve"> are widely produced and utilized in India and globally. </w:t>
      </w:r>
      <w:r w:rsidRPr="003D4161">
        <w:rPr>
          <w:rFonts w:ascii="Arial" w:hAnsi="Arial" w:cs="Arial"/>
          <w:i/>
          <w:iCs/>
          <w:sz w:val="20"/>
          <w:szCs w:val="20"/>
        </w:rPr>
        <w:t>Agaricus bisporus</w:t>
      </w:r>
      <w:r w:rsidRPr="003D4161">
        <w:rPr>
          <w:rFonts w:ascii="Arial" w:hAnsi="Arial" w:cs="Arial"/>
          <w:sz w:val="20"/>
          <w:szCs w:val="20"/>
        </w:rPr>
        <w:t xml:space="preserve"> is among the most extensively cultivated and studied species, valued for both its nutritional quality and potential therapeutic properties. Mushrooms contain </w:t>
      </w:r>
      <w:r w:rsidRPr="003D4161">
        <w:rPr>
          <w:rFonts w:ascii="Arial" w:hAnsi="Arial" w:cs="Arial"/>
          <w:sz w:val="20"/>
          <w:szCs w:val="20"/>
        </w:rPr>
        <w:lastRenderedPageBreak/>
        <w:t xml:space="preserve">a wide range of biologically active compounds, including polysaccharides, β-glucans, phenolic compounds, terpenoids, sterols, and peptides. These compounds are present in both fruiting bodies and mycelial structures. Mushroom polysaccharides, particularly β-glucans, have been reported to stimulate cytokine production, improve immune organ development, and modulate both innate and adaptive immune responses (Yin </w:t>
      </w:r>
      <w:r w:rsidRPr="003D4161">
        <w:rPr>
          <w:rFonts w:ascii="Arial" w:hAnsi="Arial" w:cs="Arial"/>
          <w:i/>
          <w:iCs/>
          <w:sz w:val="20"/>
          <w:szCs w:val="20"/>
        </w:rPr>
        <w:t>et al.,</w:t>
      </w:r>
      <w:r w:rsidRPr="003D4161">
        <w:rPr>
          <w:rFonts w:ascii="Arial" w:hAnsi="Arial" w:cs="Arial"/>
          <w:sz w:val="20"/>
          <w:szCs w:val="20"/>
        </w:rPr>
        <w:t xml:space="preserve"> 2010; Yan </w:t>
      </w:r>
      <w:r w:rsidRPr="003D4161">
        <w:rPr>
          <w:rFonts w:ascii="Arial" w:hAnsi="Arial" w:cs="Arial"/>
          <w:i/>
          <w:iCs/>
          <w:sz w:val="20"/>
          <w:szCs w:val="20"/>
        </w:rPr>
        <w:t>et al.,</w:t>
      </w:r>
      <w:r w:rsidRPr="003D4161">
        <w:rPr>
          <w:rFonts w:ascii="Arial" w:hAnsi="Arial" w:cs="Arial"/>
          <w:sz w:val="20"/>
          <w:szCs w:val="20"/>
        </w:rPr>
        <w:t xml:space="preserve"> 2014). Such findings support the potential of mushrooms as natural growth promoters and immunostimulants in poultry feeding systems.</w:t>
      </w:r>
    </w:p>
    <w:p w14:paraId="3D2E0BF0"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The global shortage of feedstuffs for animal production has intensified in the post-COVID-19 period due to disruptions in crop production, harvesting, transportation, and international trade. In this context, the use of agro-industrial by-products, including mushroom waste, has received increasing attention. Mushroom waste comprises spent mushroom substrate, stalks, peelings, and rejected fruiting bodies, and represents an abundant but underutilized resource. Previous studies have reported that mushroom by-products contain appreciable levels of proteins, vitamins, minerals, polysaccharides, and antioxidants, and their utilization can offer an environmentally sustainable waste disposal strategy by reducing pollution associated with agro-industrial residues (Roy and Fahim, 2019; </w:t>
      </w:r>
      <w:proofErr w:type="spellStart"/>
      <w:r w:rsidRPr="003D4161">
        <w:rPr>
          <w:rFonts w:ascii="Arial" w:hAnsi="Arial" w:cs="Arial"/>
          <w:sz w:val="20"/>
          <w:szCs w:val="20"/>
        </w:rPr>
        <w:t>Mutlag</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2017; </w:t>
      </w:r>
      <w:proofErr w:type="spellStart"/>
      <w:r w:rsidRPr="003D4161">
        <w:rPr>
          <w:rFonts w:ascii="Arial" w:hAnsi="Arial" w:cs="Arial"/>
          <w:sz w:val="20"/>
          <w:szCs w:val="20"/>
        </w:rPr>
        <w:t>Pourhossein</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2015). In addition, mushroom-derived supplements have demonstrated several pharmacological activities including antioxidant, antimicrobial, hepatoprotective, and immunostimulatory effects (Zhang </w:t>
      </w:r>
      <w:r w:rsidRPr="003D4161">
        <w:rPr>
          <w:rFonts w:ascii="Arial" w:hAnsi="Arial" w:cs="Arial"/>
          <w:i/>
          <w:iCs/>
          <w:sz w:val="20"/>
          <w:szCs w:val="20"/>
        </w:rPr>
        <w:t>et al.,</w:t>
      </w:r>
      <w:r w:rsidRPr="003D4161">
        <w:rPr>
          <w:rFonts w:ascii="Arial" w:hAnsi="Arial" w:cs="Arial"/>
          <w:sz w:val="20"/>
          <w:szCs w:val="20"/>
        </w:rPr>
        <w:t xml:space="preserve"> 2015),</w:t>
      </w:r>
      <w:r w:rsidRPr="003D4161">
        <w:rPr>
          <w:rFonts w:ascii="Arial" w:hAnsi="Arial" w:cs="Arial"/>
          <w:b/>
          <w:bCs/>
          <w:sz w:val="20"/>
          <w:szCs w:val="20"/>
        </w:rPr>
        <w:t xml:space="preserve"> </w:t>
      </w:r>
      <w:r w:rsidRPr="003D4161">
        <w:rPr>
          <w:rFonts w:ascii="Arial" w:hAnsi="Arial" w:cs="Arial"/>
          <w:sz w:val="20"/>
          <w:szCs w:val="20"/>
        </w:rPr>
        <w:t>indicating their suitability as functional feed additives.</w:t>
      </w:r>
    </w:p>
    <w:p w14:paraId="2A8CD293"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Empirical evidence in poultry nutrition suggests that mushroom polysaccharides can enhance immune competence, improve organ function, and support overall growth performance and productivity (Guo </w:t>
      </w:r>
      <w:r w:rsidRPr="003D4161">
        <w:rPr>
          <w:rFonts w:ascii="Arial" w:hAnsi="Arial" w:cs="Arial"/>
          <w:i/>
          <w:iCs/>
          <w:sz w:val="20"/>
          <w:szCs w:val="20"/>
        </w:rPr>
        <w:t>et al.,</w:t>
      </w:r>
      <w:r w:rsidRPr="003D4161">
        <w:rPr>
          <w:rFonts w:ascii="Arial" w:hAnsi="Arial" w:cs="Arial"/>
          <w:sz w:val="20"/>
          <w:szCs w:val="20"/>
        </w:rPr>
        <w:t xml:space="preserve"> 2003; Al-Kalifa, 2015). Despite these promising findings, research investigating the inclusion of mushroom waste in poultry feed remains limited, and significant knowledge gaps exist regarding its influence on growth performance, feed efficiency, health biomarkers, immune responses, carcass traits, and meat quality. Considering the comprehensive nutritional profile of mushrooms, which includes carbohydrates, dietary fibre, high-quality proteins, essential amino acids, B-complex vitamins, and minerals (</w:t>
      </w:r>
      <w:proofErr w:type="spellStart"/>
      <w:r w:rsidRPr="003D4161">
        <w:rPr>
          <w:rFonts w:ascii="Arial" w:hAnsi="Arial" w:cs="Arial"/>
          <w:sz w:val="20"/>
          <w:szCs w:val="20"/>
        </w:rPr>
        <w:t>Smiderle</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2008; Kim </w:t>
      </w:r>
      <w:r w:rsidRPr="003D4161">
        <w:rPr>
          <w:rFonts w:ascii="Arial" w:hAnsi="Arial" w:cs="Arial"/>
          <w:i/>
          <w:iCs/>
          <w:sz w:val="20"/>
          <w:szCs w:val="20"/>
        </w:rPr>
        <w:t>et al.,</w:t>
      </w:r>
      <w:r w:rsidRPr="003D4161">
        <w:rPr>
          <w:rFonts w:ascii="Arial" w:hAnsi="Arial" w:cs="Arial"/>
          <w:sz w:val="20"/>
          <w:szCs w:val="20"/>
        </w:rPr>
        <w:t xml:space="preserve"> 2009), their application as alternative feed resources holds strong potential. Furthermore, mushrooms are recognized as rich sources of vitamin E and selenium, which contribute to antioxidant defence mechanisms (Bederska </w:t>
      </w:r>
      <w:r w:rsidRPr="003D4161">
        <w:rPr>
          <w:rFonts w:ascii="Arial" w:hAnsi="Arial" w:cs="Arial"/>
          <w:i/>
          <w:iCs/>
          <w:sz w:val="20"/>
          <w:szCs w:val="20"/>
        </w:rPr>
        <w:t>et al.,</w:t>
      </w:r>
      <w:r w:rsidRPr="003D4161">
        <w:rPr>
          <w:rFonts w:ascii="Arial" w:hAnsi="Arial" w:cs="Arial"/>
          <w:sz w:val="20"/>
          <w:szCs w:val="20"/>
        </w:rPr>
        <w:t xml:space="preserve"> 2017). Certain species, such as </w:t>
      </w:r>
      <w:r w:rsidRPr="003D4161">
        <w:rPr>
          <w:rFonts w:ascii="Arial" w:hAnsi="Arial" w:cs="Arial"/>
          <w:i/>
          <w:iCs/>
          <w:sz w:val="20"/>
          <w:szCs w:val="20"/>
        </w:rPr>
        <w:t xml:space="preserve">Cordyceps </w:t>
      </w:r>
      <w:proofErr w:type="spellStart"/>
      <w:r w:rsidRPr="003D4161">
        <w:rPr>
          <w:rFonts w:ascii="Arial" w:hAnsi="Arial" w:cs="Arial"/>
          <w:i/>
          <w:iCs/>
          <w:sz w:val="20"/>
          <w:szCs w:val="20"/>
        </w:rPr>
        <w:t>sobolifera</w:t>
      </w:r>
      <w:proofErr w:type="spellEnd"/>
      <w:r w:rsidRPr="003D4161">
        <w:rPr>
          <w:rFonts w:ascii="Arial" w:hAnsi="Arial" w:cs="Arial"/>
          <w:sz w:val="20"/>
          <w:szCs w:val="20"/>
        </w:rPr>
        <w:t xml:space="preserve"> (Ascomycetes), have also been reported to possess strong antioxidant activity (Lin </w:t>
      </w:r>
      <w:r w:rsidRPr="003D4161">
        <w:rPr>
          <w:rFonts w:ascii="Arial" w:hAnsi="Arial" w:cs="Arial"/>
          <w:i/>
          <w:iCs/>
          <w:sz w:val="20"/>
          <w:szCs w:val="20"/>
        </w:rPr>
        <w:t>et al.,</w:t>
      </w:r>
      <w:r w:rsidRPr="003D4161">
        <w:rPr>
          <w:rFonts w:ascii="Arial" w:hAnsi="Arial" w:cs="Arial"/>
          <w:sz w:val="20"/>
          <w:szCs w:val="20"/>
        </w:rPr>
        <w:t xml:space="preserve"> 2018),</w:t>
      </w:r>
      <w:r w:rsidRPr="003D4161">
        <w:rPr>
          <w:rFonts w:ascii="Arial" w:hAnsi="Arial" w:cs="Arial"/>
          <w:b/>
          <w:bCs/>
          <w:sz w:val="20"/>
          <w:szCs w:val="20"/>
        </w:rPr>
        <w:t xml:space="preserve"> </w:t>
      </w:r>
      <w:r w:rsidRPr="003D4161">
        <w:rPr>
          <w:rFonts w:ascii="Arial" w:hAnsi="Arial" w:cs="Arial"/>
          <w:sz w:val="20"/>
          <w:szCs w:val="20"/>
        </w:rPr>
        <w:t>suggesting that mushroom-based supplements may play a role in mitigating oxidative stress under intensive poultry production systems.</w:t>
      </w:r>
    </w:p>
    <w:p w14:paraId="5D5752DE" w14:textId="0AA2E580" w:rsidR="001A72E0"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Given the increasing competition for feed resources between humans and livestock in the post-pandemic era, the identification of low-cost, locally available, nutritionally valuable, and environmentally sustainable alternative feed resources is essential. Mushroom waste, being a by-product of a rapidly expanding agro-industry, fits this profile and warrants systematic scientific evaluation. Its potential to improve poultry performance, enhance feed utilization, and support physiological health may represent an important advancement for both commercial and small-scale poultry production systems.</w:t>
      </w:r>
    </w:p>
    <w:p w14:paraId="7CB0C310" w14:textId="36AD692D" w:rsidR="00625E9D" w:rsidRPr="00E6213B" w:rsidRDefault="00652F73" w:rsidP="000004F3">
      <w:pPr>
        <w:pStyle w:val="AbstHead"/>
        <w:spacing w:after="0" w:line="360" w:lineRule="auto"/>
        <w:jc w:val="both"/>
        <w:rPr>
          <w:rFonts w:ascii="Arial" w:hAnsi="Arial" w:cs="Arial"/>
          <w:szCs w:val="22"/>
        </w:rPr>
      </w:pPr>
      <w:r w:rsidRPr="00E6213B">
        <w:rPr>
          <w:rFonts w:ascii="Arial" w:hAnsi="Arial" w:cs="Arial"/>
          <w:szCs w:val="22"/>
        </w:rPr>
        <w:t xml:space="preserve">2. </w:t>
      </w:r>
      <w:r w:rsidR="00625E9D" w:rsidRPr="00E6213B">
        <w:rPr>
          <w:rFonts w:ascii="Arial" w:hAnsi="Arial" w:cs="Arial"/>
          <w:szCs w:val="22"/>
        </w:rPr>
        <w:t>mATERIAL meTHOD</w:t>
      </w:r>
    </w:p>
    <w:p w14:paraId="562BD6D9" w14:textId="42C6145C" w:rsidR="00625E9D" w:rsidRPr="008A2349" w:rsidRDefault="00652F73" w:rsidP="000004F3">
      <w:pPr>
        <w:spacing w:line="360" w:lineRule="auto"/>
        <w:rPr>
          <w:rFonts w:ascii="Arial" w:hAnsi="Arial" w:cs="Arial"/>
          <w:b/>
          <w:bCs/>
          <w:sz w:val="22"/>
          <w:szCs w:val="22"/>
        </w:rPr>
      </w:pPr>
      <w:r w:rsidRPr="008A2349">
        <w:rPr>
          <w:rFonts w:ascii="Arial" w:hAnsi="Arial" w:cs="Arial"/>
          <w:b/>
          <w:bCs/>
          <w:sz w:val="22"/>
          <w:szCs w:val="22"/>
        </w:rPr>
        <w:t xml:space="preserve">2.1 </w:t>
      </w:r>
      <w:r w:rsidR="00625E9D" w:rsidRPr="008A2349">
        <w:rPr>
          <w:rFonts w:ascii="Arial" w:hAnsi="Arial" w:cs="Arial"/>
          <w:b/>
          <w:bCs/>
          <w:sz w:val="22"/>
          <w:szCs w:val="22"/>
        </w:rPr>
        <w:t>Experimental Birds and Design</w:t>
      </w:r>
    </w:p>
    <w:p w14:paraId="5D991C24" w14:textId="12AC1012" w:rsidR="005F5937" w:rsidRDefault="009F41D8" w:rsidP="009C4E01">
      <w:pPr>
        <w:spacing w:line="360" w:lineRule="auto"/>
        <w:jc w:val="both"/>
        <w:rPr>
          <w:rFonts w:ascii="Arial" w:hAnsi="Arial" w:cs="Arial"/>
          <w:color w:val="000000" w:themeColor="text1"/>
          <w:sz w:val="20"/>
          <w:szCs w:val="20"/>
          <w:lang w:val="en-US"/>
        </w:rPr>
      </w:pPr>
      <w:r w:rsidRPr="003D4161">
        <w:rPr>
          <w:rFonts w:ascii="Arial" w:eastAsia="Calibri" w:hAnsi="Arial" w:cs="Arial"/>
          <w:sz w:val="20"/>
          <w:szCs w:val="20"/>
        </w:rPr>
        <w:lastRenderedPageBreak/>
        <w:t xml:space="preserve">A feeding trial was carried out in Instructional Poultry Farm (IPF), Nagla, College of Veterinary and Animal Sciences, G.B. Pant University of Agriculture and Technology, </w:t>
      </w:r>
      <w:proofErr w:type="spellStart"/>
      <w:r w:rsidRPr="003D4161">
        <w:rPr>
          <w:rFonts w:ascii="Arial" w:eastAsia="Calibri" w:hAnsi="Arial" w:cs="Arial"/>
          <w:sz w:val="20"/>
          <w:szCs w:val="20"/>
        </w:rPr>
        <w:t>Pantnagar</w:t>
      </w:r>
      <w:proofErr w:type="spellEnd"/>
      <w:r w:rsidRPr="003D4161">
        <w:rPr>
          <w:rFonts w:ascii="Arial" w:eastAsia="Calibri" w:hAnsi="Arial" w:cs="Arial"/>
          <w:sz w:val="20"/>
          <w:szCs w:val="20"/>
        </w:rPr>
        <w:t xml:space="preserve">, </w:t>
      </w:r>
      <w:r>
        <w:rPr>
          <w:rFonts w:ascii="Arial" w:eastAsia="Calibri" w:hAnsi="Arial" w:cs="Arial"/>
          <w:sz w:val="20"/>
          <w:szCs w:val="20"/>
        </w:rPr>
        <w:t xml:space="preserve">and </w:t>
      </w:r>
      <w:r w:rsidR="005F5937" w:rsidRPr="003D4161">
        <w:rPr>
          <w:rFonts w:ascii="Arial" w:hAnsi="Arial" w:cs="Arial"/>
          <w:color w:val="000000" w:themeColor="text1"/>
          <w:sz w:val="20"/>
          <w:szCs w:val="20"/>
          <w:lang w:val="en-US"/>
        </w:rPr>
        <w:t xml:space="preserve">was conducted during May to July 2025 (42 days). For the feeding trial, </w:t>
      </w:r>
      <w:r w:rsidR="002A1ADE" w:rsidRPr="003D4161">
        <w:rPr>
          <w:rFonts w:ascii="Arial" w:hAnsi="Arial" w:cs="Arial"/>
          <w:color w:val="000000" w:themeColor="text1"/>
          <w:sz w:val="20"/>
          <w:szCs w:val="20"/>
          <w:lang w:val="en-US"/>
        </w:rPr>
        <w:t>120-day-old</w:t>
      </w:r>
      <w:r w:rsidR="005F5937" w:rsidRPr="003D4161">
        <w:rPr>
          <w:rFonts w:ascii="Arial" w:hAnsi="Arial" w:cs="Arial"/>
          <w:color w:val="000000" w:themeColor="text1"/>
          <w:sz w:val="20"/>
          <w:szCs w:val="20"/>
          <w:lang w:val="en-US"/>
        </w:rPr>
        <w:t xml:space="preserve"> broiler chicks </w:t>
      </w:r>
      <w:r w:rsidR="00646E7D">
        <w:rPr>
          <w:rFonts w:ascii="Arial" w:eastAsia="Calibri" w:hAnsi="Arial" w:cs="Arial"/>
          <w:sz w:val="20"/>
          <w:szCs w:val="20"/>
        </w:rPr>
        <w:t xml:space="preserve">(cobb 430) </w:t>
      </w:r>
      <w:r w:rsidR="005F5937" w:rsidRPr="003D4161">
        <w:rPr>
          <w:rFonts w:ascii="Arial" w:hAnsi="Arial" w:cs="Arial"/>
          <w:color w:val="000000" w:themeColor="text1"/>
          <w:sz w:val="20"/>
          <w:szCs w:val="20"/>
          <w:lang w:val="en-US"/>
        </w:rPr>
        <w:t>were procured and reared at the Instructional Poultry Farm. All the birds were individually weighed and were randomly allocated into four different treatment groups, each with three replicates of ten broiler chicks. The first group served as the</w:t>
      </w:r>
      <w:r w:rsidR="00B33D78" w:rsidRPr="003D4161">
        <w:rPr>
          <w:rFonts w:ascii="Arial" w:hAnsi="Arial" w:cs="Arial"/>
          <w:color w:val="000000" w:themeColor="text1"/>
          <w:sz w:val="20"/>
          <w:szCs w:val="20"/>
          <w:lang w:val="en-US"/>
        </w:rPr>
        <w:t xml:space="preserve"> (</w:t>
      </w:r>
      <w:r w:rsidR="005F5937" w:rsidRPr="003D4161">
        <w:rPr>
          <w:rFonts w:ascii="Arial" w:hAnsi="Arial" w:cs="Arial"/>
          <w:color w:val="000000" w:themeColor="text1"/>
          <w:sz w:val="20"/>
          <w:szCs w:val="20"/>
          <w:lang w:val="en-US"/>
        </w:rPr>
        <w:t>control</w:t>
      </w:r>
      <w:r w:rsidR="00B33D78" w:rsidRPr="003D4161">
        <w:rPr>
          <w:rFonts w:ascii="Arial" w:hAnsi="Arial" w:cs="Arial"/>
          <w:color w:val="000000" w:themeColor="text1"/>
          <w:sz w:val="20"/>
          <w:szCs w:val="20"/>
          <w:lang w:val="en-US"/>
        </w:rPr>
        <w:t>)</w:t>
      </w:r>
      <w:r w:rsidR="005F5937" w:rsidRPr="003D4161">
        <w:rPr>
          <w:rFonts w:ascii="Arial" w:hAnsi="Arial" w:cs="Arial"/>
          <w:color w:val="000000" w:themeColor="text1"/>
          <w:sz w:val="20"/>
          <w:szCs w:val="20"/>
          <w:lang w:val="en-US"/>
        </w:rPr>
        <w:t xml:space="preserve">, in which a standard diet as per BIS (2007) without any supplementation was fed. In treatment groups T2, T3, and T4, standard diets incorporated with 1%, 2%, and 3% mushroom fruiting body waste powder, respectively, were fed. </w:t>
      </w:r>
      <w:r w:rsidR="009B3DD0" w:rsidRPr="009B3DD0">
        <w:rPr>
          <w:rFonts w:ascii="Arial" w:hAnsi="Arial" w:cs="Arial"/>
          <w:color w:val="000000" w:themeColor="text1"/>
          <w:sz w:val="20"/>
          <w:szCs w:val="20"/>
        </w:rPr>
        <w:t>The inclusion levels of mushroom fruiting body waste powder (1%, 2%, and 3%) were selected based on earlier studies which reported that dietary supplementation of edible mushroom powder at low levels generally ranging between 0.5% and 3% improves growth performance, nutrient utilization, and physiological responses in broiler chickens without negatively affecting feed palatability or nutrient balance</w:t>
      </w:r>
      <w:r w:rsidR="009B3DD0">
        <w:rPr>
          <w:rFonts w:ascii="Arial" w:hAnsi="Arial" w:cs="Arial"/>
          <w:color w:val="000000" w:themeColor="text1"/>
          <w:sz w:val="20"/>
          <w:szCs w:val="20"/>
        </w:rPr>
        <w:t xml:space="preserve"> </w:t>
      </w:r>
      <w:r w:rsidR="009B3DD0" w:rsidRPr="009B3DD0">
        <w:rPr>
          <w:rFonts w:ascii="Arial" w:hAnsi="Arial" w:cs="Arial"/>
          <w:color w:val="000000" w:themeColor="text1"/>
          <w:sz w:val="20"/>
          <w:szCs w:val="20"/>
        </w:rPr>
        <w:t xml:space="preserve">(Shamsi et al., 2015; </w:t>
      </w:r>
      <w:proofErr w:type="spellStart"/>
      <w:r w:rsidR="009B3DD0" w:rsidRPr="009B3DD0">
        <w:rPr>
          <w:rFonts w:ascii="Arial" w:hAnsi="Arial" w:cs="Arial"/>
          <w:color w:val="000000" w:themeColor="text1"/>
          <w:sz w:val="20"/>
          <w:szCs w:val="20"/>
        </w:rPr>
        <w:t>Giannenas</w:t>
      </w:r>
      <w:proofErr w:type="spellEnd"/>
      <w:r w:rsidR="009B3DD0" w:rsidRPr="009B3DD0">
        <w:rPr>
          <w:rFonts w:ascii="Arial" w:hAnsi="Arial" w:cs="Arial"/>
          <w:color w:val="000000" w:themeColor="text1"/>
          <w:sz w:val="20"/>
          <w:szCs w:val="20"/>
        </w:rPr>
        <w:t xml:space="preserve"> et al., 2011). </w:t>
      </w:r>
      <w:r w:rsidR="009B3DD0" w:rsidRPr="003D4161">
        <w:rPr>
          <w:rFonts w:ascii="Arial" w:hAnsi="Arial" w:cs="Arial"/>
          <w:color w:val="000000" w:themeColor="text1"/>
          <w:sz w:val="20"/>
          <w:szCs w:val="20"/>
          <w:lang w:val="en-US"/>
        </w:rPr>
        <w:t>Daily</w:t>
      </w:r>
      <w:r w:rsidR="005F5937" w:rsidRPr="003D4161">
        <w:rPr>
          <w:rFonts w:ascii="Arial" w:hAnsi="Arial" w:cs="Arial"/>
          <w:color w:val="000000" w:themeColor="text1"/>
          <w:sz w:val="20"/>
          <w:szCs w:val="20"/>
          <w:lang w:val="en-US"/>
        </w:rPr>
        <w:t xml:space="preserve"> feed intake, body weight gain, and the effect of dietary treatments on nutrient utilization were recorded. A metabolic trial was conducted during the last week of the feeding trial.</w:t>
      </w:r>
    </w:p>
    <w:p w14:paraId="6DF14D51" w14:textId="1249BEF6" w:rsidR="00F76BDB" w:rsidRPr="003D4161" w:rsidRDefault="00F76BDB" w:rsidP="009C4E01">
      <w:pPr>
        <w:spacing w:line="360" w:lineRule="auto"/>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Chart </w:t>
      </w:r>
      <w:proofErr w:type="gramStart"/>
      <w:r>
        <w:rPr>
          <w:rFonts w:ascii="Arial" w:hAnsi="Arial" w:cs="Arial"/>
          <w:color w:val="000000" w:themeColor="text1"/>
          <w:sz w:val="20"/>
          <w:szCs w:val="20"/>
          <w:lang w:val="en-US"/>
        </w:rPr>
        <w:t>1 :</w:t>
      </w:r>
      <w:proofErr w:type="gramEnd"/>
      <w:r>
        <w:rPr>
          <w:rFonts w:ascii="Arial" w:hAnsi="Arial" w:cs="Arial"/>
          <w:color w:val="000000" w:themeColor="text1"/>
          <w:sz w:val="20"/>
          <w:szCs w:val="20"/>
          <w:lang w:val="en-US"/>
        </w:rPr>
        <w:t xml:space="preserve"> </w:t>
      </w:r>
      <w:r w:rsidRPr="00F76BDB">
        <w:rPr>
          <w:rFonts w:ascii="Arial" w:hAnsi="Arial" w:cs="Arial"/>
          <w:color w:val="000000" w:themeColor="text1"/>
          <w:sz w:val="20"/>
          <w:szCs w:val="20"/>
          <w:lang w:val="en-US"/>
        </w:rPr>
        <w:t>Treatment Details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65"/>
        <w:gridCol w:w="2504"/>
        <w:gridCol w:w="3944"/>
      </w:tblGrid>
      <w:tr w:rsidR="005F5937" w:rsidRPr="003D4161" w14:paraId="0CAC91F9" w14:textId="77777777" w:rsidTr="003D4161">
        <w:tc>
          <w:tcPr>
            <w:tcW w:w="672" w:type="pct"/>
            <w:tcBorders>
              <w:top w:val="single" w:sz="4" w:space="0" w:color="auto"/>
              <w:bottom w:val="single" w:sz="4" w:space="0" w:color="auto"/>
            </w:tcBorders>
            <w:hideMark/>
          </w:tcPr>
          <w:p w14:paraId="6024CDE4"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Treatment</w:t>
            </w:r>
          </w:p>
        </w:tc>
        <w:tc>
          <w:tcPr>
            <w:tcW w:w="756" w:type="pct"/>
            <w:tcBorders>
              <w:top w:val="single" w:sz="4" w:space="0" w:color="auto"/>
              <w:bottom w:val="single" w:sz="4" w:space="0" w:color="auto"/>
            </w:tcBorders>
            <w:hideMark/>
          </w:tcPr>
          <w:p w14:paraId="7EFB8754"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No. of Birds</w:t>
            </w:r>
          </w:p>
        </w:tc>
        <w:tc>
          <w:tcPr>
            <w:tcW w:w="1387" w:type="pct"/>
            <w:tcBorders>
              <w:top w:val="single" w:sz="4" w:space="0" w:color="auto"/>
              <w:bottom w:val="single" w:sz="4" w:space="0" w:color="auto"/>
            </w:tcBorders>
            <w:hideMark/>
          </w:tcPr>
          <w:p w14:paraId="1283AA1D"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No. of Replicates</w:t>
            </w:r>
          </w:p>
        </w:tc>
        <w:tc>
          <w:tcPr>
            <w:tcW w:w="2185" w:type="pct"/>
            <w:tcBorders>
              <w:top w:val="single" w:sz="4" w:space="0" w:color="auto"/>
              <w:bottom w:val="single" w:sz="4" w:space="0" w:color="auto"/>
            </w:tcBorders>
            <w:hideMark/>
          </w:tcPr>
          <w:p w14:paraId="6021D31B"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Treatment Details</w:t>
            </w:r>
          </w:p>
        </w:tc>
      </w:tr>
      <w:tr w:rsidR="005F5937" w:rsidRPr="003D4161" w14:paraId="239780EB" w14:textId="77777777" w:rsidTr="003D4161">
        <w:tc>
          <w:tcPr>
            <w:tcW w:w="672" w:type="pct"/>
            <w:tcBorders>
              <w:top w:val="single" w:sz="4" w:space="0" w:color="auto"/>
            </w:tcBorders>
            <w:hideMark/>
          </w:tcPr>
          <w:p w14:paraId="5368A4CB"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₁</w:t>
            </w:r>
          </w:p>
        </w:tc>
        <w:tc>
          <w:tcPr>
            <w:tcW w:w="756" w:type="pct"/>
            <w:tcBorders>
              <w:top w:val="single" w:sz="4" w:space="0" w:color="auto"/>
            </w:tcBorders>
            <w:hideMark/>
          </w:tcPr>
          <w:p w14:paraId="7086E772"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tcBorders>
              <w:top w:val="single" w:sz="4" w:space="0" w:color="auto"/>
            </w:tcBorders>
            <w:hideMark/>
          </w:tcPr>
          <w:p w14:paraId="0269E93E"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tcBorders>
              <w:top w:val="single" w:sz="4" w:space="0" w:color="auto"/>
            </w:tcBorders>
            <w:hideMark/>
          </w:tcPr>
          <w:p w14:paraId="3425A77F"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Control (Standard ration)</w:t>
            </w:r>
          </w:p>
        </w:tc>
      </w:tr>
      <w:tr w:rsidR="005F5937" w:rsidRPr="003D4161" w14:paraId="52AF42CB" w14:textId="77777777" w:rsidTr="003D4161">
        <w:tc>
          <w:tcPr>
            <w:tcW w:w="672" w:type="pct"/>
            <w:hideMark/>
          </w:tcPr>
          <w:p w14:paraId="06397052"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₂</w:t>
            </w:r>
          </w:p>
        </w:tc>
        <w:tc>
          <w:tcPr>
            <w:tcW w:w="756" w:type="pct"/>
            <w:hideMark/>
          </w:tcPr>
          <w:p w14:paraId="6496AF10"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03C6D846"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7E63B8A3"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1.0% Mushroom fruiting body waste powder</w:t>
            </w:r>
          </w:p>
        </w:tc>
      </w:tr>
      <w:tr w:rsidR="005F5937" w:rsidRPr="003D4161" w14:paraId="145B8736" w14:textId="77777777" w:rsidTr="003D4161">
        <w:tc>
          <w:tcPr>
            <w:tcW w:w="672" w:type="pct"/>
            <w:hideMark/>
          </w:tcPr>
          <w:p w14:paraId="28A25012"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₃</w:t>
            </w:r>
          </w:p>
        </w:tc>
        <w:tc>
          <w:tcPr>
            <w:tcW w:w="756" w:type="pct"/>
            <w:hideMark/>
          </w:tcPr>
          <w:p w14:paraId="75E692B6"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29973798"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293C9637"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2.0% Mushroom fruiting body waste powder</w:t>
            </w:r>
          </w:p>
        </w:tc>
      </w:tr>
      <w:tr w:rsidR="005F5937" w:rsidRPr="003D4161" w14:paraId="7902E9A9" w14:textId="77777777" w:rsidTr="003D4161">
        <w:tc>
          <w:tcPr>
            <w:tcW w:w="672" w:type="pct"/>
            <w:hideMark/>
          </w:tcPr>
          <w:p w14:paraId="165EE42F"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₄</w:t>
            </w:r>
          </w:p>
        </w:tc>
        <w:tc>
          <w:tcPr>
            <w:tcW w:w="756" w:type="pct"/>
            <w:hideMark/>
          </w:tcPr>
          <w:p w14:paraId="51649014"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19F8212A"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5F1D1030"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3.0% Mushroom fruiting body waste powder</w:t>
            </w:r>
          </w:p>
        </w:tc>
      </w:tr>
      <w:tr w:rsidR="005F5937" w:rsidRPr="003D4161" w14:paraId="50DC5238" w14:textId="77777777" w:rsidTr="003D4161">
        <w:tc>
          <w:tcPr>
            <w:tcW w:w="672" w:type="pct"/>
            <w:hideMark/>
          </w:tcPr>
          <w:p w14:paraId="7FCAEBA1"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Total</w:t>
            </w:r>
          </w:p>
        </w:tc>
        <w:tc>
          <w:tcPr>
            <w:tcW w:w="756" w:type="pct"/>
            <w:hideMark/>
          </w:tcPr>
          <w:p w14:paraId="26BE8DC7"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120</w:t>
            </w:r>
          </w:p>
        </w:tc>
        <w:tc>
          <w:tcPr>
            <w:tcW w:w="1387" w:type="pct"/>
            <w:hideMark/>
          </w:tcPr>
          <w:p w14:paraId="7751E2BB" w14:textId="77777777" w:rsidR="005F5937" w:rsidRPr="003D4161" w:rsidRDefault="005F5937" w:rsidP="00AC5A90">
            <w:pPr>
              <w:spacing w:after="160" w:line="276" w:lineRule="auto"/>
              <w:jc w:val="center"/>
              <w:rPr>
                <w:rFonts w:ascii="Arial" w:hAnsi="Arial" w:cs="Arial"/>
                <w:b/>
                <w:bCs/>
                <w:color w:val="000000" w:themeColor="text1"/>
                <w:sz w:val="20"/>
                <w:szCs w:val="20"/>
              </w:rPr>
            </w:pPr>
          </w:p>
        </w:tc>
        <w:tc>
          <w:tcPr>
            <w:tcW w:w="2185" w:type="pct"/>
            <w:noWrap/>
            <w:hideMark/>
          </w:tcPr>
          <w:p w14:paraId="1B741F2A" w14:textId="77777777" w:rsidR="005F5937" w:rsidRPr="003D4161" w:rsidRDefault="005F5937" w:rsidP="00AC5A90">
            <w:pPr>
              <w:spacing w:after="160" w:line="276" w:lineRule="auto"/>
              <w:jc w:val="center"/>
              <w:rPr>
                <w:rFonts w:ascii="Arial" w:hAnsi="Arial" w:cs="Arial"/>
                <w:color w:val="000000" w:themeColor="text1"/>
                <w:sz w:val="20"/>
                <w:szCs w:val="20"/>
              </w:rPr>
            </w:pPr>
          </w:p>
        </w:tc>
      </w:tr>
    </w:tbl>
    <w:p w14:paraId="2F4AFE85" w14:textId="77777777" w:rsidR="005F5937" w:rsidRPr="003D4161" w:rsidRDefault="005F5937" w:rsidP="000004F3">
      <w:pPr>
        <w:spacing w:line="360" w:lineRule="auto"/>
        <w:jc w:val="both"/>
        <w:rPr>
          <w:rFonts w:ascii="Arial" w:hAnsi="Arial" w:cs="Arial"/>
          <w:color w:val="000000" w:themeColor="text1"/>
          <w:sz w:val="20"/>
          <w:szCs w:val="20"/>
          <w:lang w:val="en-US"/>
        </w:rPr>
      </w:pPr>
    </w:p>
    <w:p w14:paraId="03D8980B" w14:textId="46888070" w:rsidR="005F5937" w:rsidRPr="003068E2" w:rsidRDefault="003068E2" w:rsidP="000004F3">
      <w:pPr>
        <w:spacing w:line="360" w:lineRule="auto"/>
        <w:jc w:val="both"/>
        <w:rPr>
          <w:rFonts w:ascii="Arial" w:hAnsi="Arial" w:cs="Arial"/>
          <w:b/>
          <w:bCs/>
          <w:sz w:val="22"/>
          <w:szCs w:val="22"/>
        </w:rPr>
      </w:pPr>
      <w:r w:rsidRPr="003068E2">
        <w:rPr>
          <w:rFonts w:ascii="Arial" w:hAnsi="Arial" w:cs="Arial"/>
          <w:b/>
          <w:bCs/>
          <w:sz w:val="22"/>
          <w:szCs w:val="22"/>
        </w:rPr>
        <w:t xml:space="preserve">2.2 </w:t>
      </w:r>
      <w:r w:rsidR="005F5937" w:rsidRPr="003068E2">
        <w:rPr>
          <w:rFonts w:ascii="Arial" w:hAnsi="Arial" w:cs="Arial"/>
          <w:b/>
          <w:bCs/>
          <w:sz w:val="22"/>
          <w:szCs w:val="22"/>
        </w:rPr>
        <w:t xml:space="preserve">Collection and processing of mushroom </w:t>
      </w:r>
      <w:r w:rsidR="005F5937" w:rsidRPr="003068E2">
        <w:rPr>
          <w:rFonts w:ascii="Arial" w:hAnsi="Arial" w:cs="Arial"/>
          <w:b/>
          <w:bCs/>
          <w:i/>
          <w:iCs/>
          <w:sz w:val="22"/>
          <w:szCs w:val="22"/>
        </w:rPr>
        <w:t>(Agaricus bisporus)</w:t>
      </w:r>
      <w:r w:rsidR="005F5937" w:rsidRPr="003068E2">
        <w:rPr>
          <w:rFonts w:ascii="Arial" w:hAnsi="Arial" w:cs="Arial"/>
          <w:b/>
          <w:bCs/>
          <w:sz w:val="22"/>
          <w:szCs w:val="22"/>
        </w:rPr>
        <w:t xml:space="preserve"> fruiting body waste</w:t>
      </w:r>
    </w:p>
    <w:p w14:paraId="7CEB533E" w14:textId="6F4206A6" w:rsidR="00652F73" w:rsidRDefault="005F5937" w:rsidP="00652F73">
      <w:pPr>
        <w:spacing w:line="360" w:lineRule="auto"/>
        <w:jc w:val="both"/>
        <w:rPr>
          <w:rFonts w:ascii="Arial" w:hAnsi="Arial" w:cs="Arial"/>
          <w:sz w:val="20"/>
          <w:szCs w:val="20"/>
        </w:rPr>
      </w:pPr>
      <w:r w:rsidRPr="003D4161">
        <w:rPr>
          <w:rFonts w:ascii="Arial" w:hAnsi="Arial" w:cs="Arial"/>
          <w:sz w:val="20"/>
          <w:szCs w:val="20"/>
        </w:rPr>
        <w:t xml:space="preserve">Mushroom fruiting body waste were collected from </w:t>
      </w:r>
      <w:proofErr w:type="spellStart"/>
      <w:r w:rsidRPr="003D4161">
        <w:rPr>
          <w:rFonts w:ascii="Arial" w:hAnsi="Arial" w:cs="Arial"/>
          <w:sz w:val="20"/>
          <w:szCs w:val="20"/>
        </w:rPr>
        <w:t>Halduchaur</w:t>
      </w:r>
      <w:proofErr w:type="spellEnd"/>
      <w:r w:rsidRPr="003D4161">
        <w:rPr>
          <w:rFonts w:ascii="Arial" w:hAnsi="Arial" w:cs="Arial"/>
          <w:sz w:val="20"/>
          <w:szCs w:val="20"/>
        </w:rPr>
        <w:t>, Nainital, Uttarakhand, .Mushroom fruiting body waste were shade-dried in a well-ventilated area for 5–6 days to minimize nutrient loss, followed by oven drying at 60 °C for 4–6 h</w:t>
      </w:r>
      <w:r w:rsidR="0008226F" w:rsidRPr="003D4161">
        <w:rPr>
          <w:rFonts w:ascii="Arial" w:hAnsi="Arial" w:cs="Arial"/>
          <w:sz w:val="20"/>
          <w:szCs w:val="20"/>
        </w:rPr>
        <w:t>rs</w:t>
      </w:r>
      <w:r w:rsidRPr="003D4161">
        <w:rPr>
          <w:rFonts w:ascii="Arial" w:hAnsi="Arial" w:cs="Arial"/>
          <w:sz w:val="20"/>
          <w:szCs w:val="20"/>
        </w:rPr>
        <w:t xml:space="preserve">, and then ground into a fine powder using an electric grinder (Willey mill). The prepared </w:t>
      </w:r>
      <w:r w:rsidR="0008226F" w:rsidRPr="003D4161">
        <w:rPr>
          <w:rFonts w:ascii="Arial" w:hAnsi="Arial" w:cs="Arial"/>
          <w:sz w:val="20"/>
          <w:szCs w:val="20"/>
        </w:rPr>
        <w:t xml:space="preserve">mushroom </w:t>
      </w:r>
      <w:r w:rsidRPr="003D4161">
        <w:rPr>
          <w:rFonts w:ascii="Arial" w:hAnsi="Arial" w:cs="Arial"/>
          <w:sz w:val="20"/>
          <w:szCs w:val="20"/>
        </w:rPr>
        <w:t xml:space="preserve">powder </w:t>
      </w:r>
      <w:r w:rsidR="0008226F" w:rsidRPr="003D4161">
        <w:rPr>
          <w:rFonts w:ascii="Arial" w:hAnsi="Arial" w:cs="Arial"/>
          <w:sz w:val="20"/>
          <w:szCs w:val="20"/>
        </w:rPr>
        <w:t>was</w:t>
      </w:r>
      <w:r w:rsidRPr="003D4161">
        <w:rPr>
          <w:rFonts w:ascii="Arial" w:hAnsi="Arial" w:cs="Arial"/>
          <w:sz w:val="20"/>
          <w:szCs w:val="20"/>
        </w:rPr>
        <w:t xml:space="preserve"> stored in airtight polythene bags at room temperature until </w:t>
      </w:r>
      <w:r w:rsidR="0008226F" w:rsidRPr="003D4161">
        <w:rPr>
          <w:rFonts w:ascii="Arial" w:hAnsi="Arial" w:cs="Arial"/>
          <w:sz w:val="20"/>
          <w:szCs w:val="20"/>
        </w:rPr>
        <w:t xml:space="preserve">supplementation </w:t>
      </w:r>
      <w:r w:rsidRPr="003D4161">
        <w:rPr>
          <w:rFonts w:ascii="Arial" w:hAnsi="Arial" w:cs="Arial"/>
          <w:sz w:val="20"/>
          <w:szCs w:val="20"/>
        </w:rPr>
        <w:t xml:space="preserve">into the experimental diets of </w:t>
      </w:r>
      <w:r w:rsidR="0008226F" w:rsidRPr="003D4161">
        <w:rPr>
          <w:rFonts w:ascii="Arial" w:hAnsi="Arial" w:cs="Arial"/>
          <w:sz w:val="20"/>
          <w:szCs w:val="20"/>
        </w:rPr>
        <w:t>Broiler chicks</w:t>
      </w:r>
      <w:r w:rsidRPr="003D4161">
        <w:rPr>
          <w:rFonts w:ascii="Arial" w:hAnsi="Arial" w:cs="Arial"/>
          <w:sz w:val="20"/>
          <w:szCs w:val="20"/>
        </w:rPr>
        <w:t>.</w:t>
      </w:r>
    </w:p>
    <w:p w14:paraId="36747CC2" w14:textId="77777777" w:rsidR="00430ECD" w:rsidRDefault="00430ECD" w:rsidP="00652F73">
      <w:pPr>
        <w:spacing w:line="360" w:lineRule="auto"/>
        <w:jc w:val="both"/>
        <w:rPr>
          <w:rFonts w:ascii="Arial" w:hAnsi="Arial" w:cs="Arial"/>
          <w:sz w:val="20"/>
          <w:szCs w:val="20"/>
        </w:rPr>
      </w:pPr>
    </w:p>
    <w:p w14:paraId="3562110E" w14:textId="2FD17D7B" w:rsidR="00430ECD" w:rsidRPr="003D4161" w:rsidRDefault="00430ECD" w:rsidP="00652F73">
      <w:pPr>
        <w:spacing w:line="360" w:lineRule="auto"/>
        <w:jc w:val="both"/>
        <w:rPr>
          <w:rFonts w:ascii="Arial" w:hAnsi="Arial" w:cs="Arial"/>
          <w:sz w:val="20"/>
          <w:szCs w:val="20"/>
        </w:rPr>
      </w:pPr>
      <w:r w:rsidRPr="003D4161">
        <w:rPr>
          <w:rFonts w:ascii="Arial" w:hAnsi="Arial" w:cs="Arial"/>
          <w:noProof/>
          <w:sz w:val="20"/>
          <w:szCs w:val="20"/>
        </w:rPr>
        <w:lastRenderedPageBreak/>
        <w:drawing>
          <wp:anchor distT="0" distB="0" distL="114300" distR="114300" simplePos="0" relativeHeight="251673600" behindDoc="0" locked="0" layoutInCell="1" allowOverlap="1" wp14:anchorId="0E22768B" wp14:editId="73C800C0">
            <wp:simplePos x="0" y="0"/>
            <wp:positionH relativeFrom="margin">
              <wp:posOffset>4005943</wp:posOffset>
            </wp:positionH>
            <wp:positionV relativeFrom="paragraph">
              <wp:posOffset>0</wp:posOffset>
            </wp:positionV>
            <wp:extent cx="1835393" cy="1664335"/>
            <wp:effectExtent l="0" t="0" r="0" b="0"/>
            <wp:wrapNone/>
            <wp:docPr id="1093235181" name="Picture 10">
              <a:extLst xmlns:a="http://schemas.openxmlformats.org/drawingml/2006/main">
                <a:ext uri="{FF2B5EF4-FFF2-40B4-BE49-F238E27FC236}">
                  <a16:creationId xmlns:a16="http://schemas.microsoft.com/office/drawing/2014/main" id="{6DF12F40-4BF5-EB6D-C09B-3619A64FD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DF12F40-4BF5-EB6D-C09B-3619A64FD18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5393" cy="1664335"/>
                    </a:xfrm>
                    <a:prstGeom prst="rect">
                      <a:avLst/>
                    </a:prstGeom>
                  </pic:spPr>
                </pic:pic>
              </a:graphicData>
            </a:graphic>
            <wp14:sizeRelH relativeFrom="margin">
              <wp14:pctWidth>0</wp14:pctWidth>
            </wp14:sizeRelH>
            <wp14:sizeRelV relativeFrom="margin">
              <wp14:pctHeight>0</wp14:pctHeight>
            </wp14:sizeRelV>
          </wp:anchor>
        </w:drawing>
      </w:r>
      <w:r w:rsidRPr="003D4161">
        <w:rPr>
          <w:rFonts w:ascii="Arial" w:hAnsi="Arial" w:cs="Arial"/>
          <w:noProof/>
          <w:sz w:val="20"/>
          <w:szCs w:val="20"/>
        </w:rPr>
        <w:drawing>
          <wp:anchor distT="0" distB="0" distL="114300" distR="114300" simplePos="0" relativeHeight="251671552" behindDoc="0" locked="0" layoutInCell="1" allowOverlap="1" wp14:anchorId="10933BB2" wp14:editId="66E408EE">
            <wp:simplePos x="0" y="0"/>
            <wp:positionH relativeFrom="margin">
              <wp:align>center</wp:align>
            </wp:positionH>
            <wp:positionV relativeFrom="paragraph">
              <wp:posOffset>7257</wp:posOffset>
            </wp:positionV>
            <wp:extent cx="1828165" cy="1644015"/>
            <wp:effectExtent l="0" t="0" r="635" b="0"/>
            <wp:wrapNone/>
            <wp:docPr id="2074226427" name="Picture 8">
              <a:extLst xmlns:a="http://schemas.openxmlformats.org/drawingml/2006/main">
                <a:ext uri="{FF2B5EF4-FFF2-40B4-BE49-F238E27FC236}">
                  <a16:creationId xmlns:a16="http://schemas.microsoft.com/office/drawing/2014/main" id="{0328299A-1BFC-41FF-048E-69753AE31F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328299A-1BFC-41FF-048E-69753AE31FB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165" cy="1644015"/>
                    </a:xfrm>
                    <a:prstGeom prst="rect">
                      <a:avLst/>
                    </a:prstGeom>
                  </pic:spPr>
                </pic:pic>
              </a:graphicData>
            </a:graphic>
            <wp14:sizeRelH relativeFrom="margin">
              <wp14:pctWidth>0</wp14:pctWidth>
            </wp14:sizeRelH>
            <wp14:sizeRelV relativeFrom="margin">
              <wp14:pctHeight>0</wp14:pctHeight>
            </wp14:sizeRelV>
          </wp:anchor>
        </w:drawing>
      </w:r>
      <w:r w:rsidRPr="003D4161">
        <w:rPr>
          <w:rFonts w:ascii="Arial" w:hAnsi="Arial" w:cs="Arial"/>
          <w:noProof/>
          <w:sz w:val="20"/>
          <w:szCs w:val="20"/>
        </w:rPr>
        <w:drawing>
          <wp:inline distT="0" distB="0" distL="0" distR="0" wp14:anchorId="184B32F2" wp14:editId="3DA7178A">
            <wp:extent cx="1765069" cy="1664335"/>
            <wp:effectExtent l="0" t="0" r="6985" b="0"/>
            <wp:docPr id="1164721064" name="Content Placeholder 4">
              <a:extLst xmlns:a="http://schemas.openxmlformats.org/drawingml/2006/main">
                <a:ext uri="{FF2B5EF4-FFF2-40B4-BE49-F238E27FC236}">
                  <a16:creationId xmlns:a16="http://schemas.microsoft.com/office/drawing/2014/main" id="{16B37F67-6439-EC0D-D3E8-3011BA5AC75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6B37F67-6439-EC0D-D3E8-3011BA5AC757}"/>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3814" cy="1710298"/>
                    </a:xfrm>
                    <a:prstGeom prst="rect">
                      <a:avLst/>
                    </a:prstGeom>
                  </pic:spPr>
                </pic:pic>
              </a:graphicData>
            </a:graphic>
          </wp:inline>
        </w:drawing>
      </w:r>
    </w:p>
    <w:p w14:paraId="0283CE62" w14:textId="77777777" w:rsidR="00430ECD" w:rsidRPr="003D4161" w:rsidRDefault="00430ECD" w:rsidP="00430ECD">
      <w:pPr>
        <w:spacing w:line="360" w:lineRule="auto"/>
        <w:jc w:val="center"/>
        <w:rPr>
          <w:rFonts w:ascii="Arial" w:hAnsi="Arial" w:cs="Arial"/>
          <w:b/>
          <w:bCs/>
          <w:sz w:val="20"/>
          <w:szCs w:val="20"/>
        </w:rPr>
      </w:pPr>
      <w:r w:rsidRPr="003D4161">
        <w:rPr>
          <w:rFonts w:ascii="Arial" w:hAnsi="Arial" w:cs="Arial"/>
          <w:b/>
          <w:bCs/>
          <w:sz w:val="20"/>
          <w:szCs w:val="20"/>
        </w:rPr>
        <w:t>Image 1. Preparation of Mushroom fruiting body waste powder</w:t>
      </w:r>
    </w:p>
    <w:p w14:paraId="1DB3D094" w14:textId="1EF336E1" w:rsidR="0008226F" w:rsidRPr="00BA10D5" w:rsidRDefault="00BA10D5" w:rsidP="000004F3">
      <w:pPr>
        <w:spacing w:line="360" w:lineRule="auto"/>
        <w:jc w:val="both"/>
        <w:rPr>
          <w:rFonts w:ascii="Arial" w:hAnsi="Arial" w:cs="Arial"/>
          <w:sz w:val="22"/>
          <w:szCs w:val="22"/>
        </w:rPr>
      </w:pPr>
      <w:r w:rsidRPr="00BA10D5">
        <w:rPr>
          <w:rFonts w:ascii="Arial" w:hAnsi="Arial" w:cs="Arial"/>
          <w:b/>
          <w:bCs/>
          <w:sz w:val="22"/>
          <w:szCs w:val="22"/>
        </w:rPr>
        <w:t>2.3</w:t>
      </w:r>
      <w:r w:rsidR="005F5937" w:rsidRPr="00BA10D5">
        <w:rPr>
          <w:rFonts w:ascii="Arial" w:hAnsi="Arial" w:cs="Arial"/>
          <w:b/>
          <w:bCs/>
          <w:sz w:val="22"/>
          <w:szCs w:val="22"/>
        </w:rPr>
        <w:t xml:space="preserve"> </w:t>
      </w:r>
      <w:r w:rsidR="0008226F" w:rsidRPr="00BA10D5">
        <w:rPr>
          <w:rFonts w:ascii="Arial" w:hAnsi="Arial" w:cs="Arial"/>
          <w:b/>
          <w:bCs/>
          <w:sz w:val="22"/>
          <w:szCs w:val="22"/>
        </w:rPr>
        <w:t>Formulation and Composition of Experimental Diets</w:t>
      </w:r>
    </w:p>
    <w:p w14:paraId="34AF270D" w14:textId="1FAA7F80" w:rsidR="0008226F" w:rsidRDefault="0008226F" w:rsidP="00652F73">
      <w:pPr>
        <w:spacing w:line="360" w:lineRule="auto"/>
        <w:jc w:val="both"/>
        <w:rPr>
          <w:rFonts w:ascii="Arial" w:hAnsi="Arial" w:cs="Arial"/>
          <w:color w:val="000000" w:themeColor="text1"/>
          <w:sz w:val="20"/>
          <w:szCs w:val="20"/>
          <w:lang w:val="en-US"/>
        </w:rPr>
      </w:pPr>
      <w:r w:rsidRPr="003D4161">
        <w:rPr>
          <w:rFonts w:ascii="Arial" w:hAnsi="Arial" w:cs="Arial"/>
          <w:color w:val="000000" w:themeColor="text1"/>
          <w:sz w:val="20"/>
          <w:szCs w:val="20"/>
          <w:lang w:val="en-US"/>
        </w:rPr>
        <w:t xml:space="preserve">Three types of basal diets, namely broiler pre-starter (0-7 days), starter (7-21 days), and finisher diets (21-45 days), were prepared to meet the nutrient requirements of broiler birds as per </w:t>
      </w:r>
      <w:r w:rsidRPr="003D4161">
        <w:rPr>
          <w:rFonts w:ascii="Arial" w:hAnsi="Arial" w:cs="Arial"/>
          <w:bCs/>
          <w:color w:val="000000" w:themeColor="text1"/>
          <w:sz w:val="20"/>
          <w:szCs w:val="20"/>
          <w:lang w:val="en-US"/>
        </w:rPr>
        <w:t>BIS (2007)</w:t>
      </w:r>
      <w:r w:rsidRPr="003D4161">
        <w:rPr>
          <w:rFonts w:ascii="Arial" w:hAnsi="Arial" w:cs="Arial"/>
          <w:color w:val="000000" w:themeColor="text1"/>
          <w:sz w:val="20"/>
          <w:szCs w:val="20"/>
          <w:lang w:val="en-US"/>
        </w:rPr>
        <w:t xml:space="preserve"> specifications.</w:t>
      </w:r>
    </w:p>
    <w:p w14:paraId="5B342B22" w14:textId="6421D312" w:rsidR="00646E7D" w:rsidRPr="00646E7D" w:rsidRDefault="00646E7D" w:rsidP="00646E7D">
      <w:pPr>
        <w:spacing w:line="360" w:lineRule="auto"/>
        <w:rPr>
          <w:rFonts w:ascii="Arial" w:hAnsi="Arial" w:cs="Arial"/>
          <w:color w:val="000000" w:themeColor="text1"/>
          <w:sz w:val="20"/>
          <w:szCs w:val="20"/>
        </w:rPr>
      </w:pPr>
      <w:r w:rsidRPr="00646E7D">
        <w:rPr>
          <w:rFonts w:ascii="Arial" w:hAnsi="Arial" w:cs="Arial"/>
          <w:b/>
          <w:bCs/>
          <w:color w:val="000000" w:themeColor="text1"/>
          <w:sz w:val="22"/>
          <w:szCs w:val="22"/>
          <w:lang w:val="en-US"/>
        </w:rPr>
        <w:t xml:space="preserve">2.4 Statistical method </w:t>
      </w:r>
      <w:bookmarkStart w:id="0" w:name="_GoBack"/>
      <w:bookmarkEnd w:id="0"/>
      <w:r w:rsidRPr="00646E7D">
        <w:rPr>
          <w:rFonts w:ascii="Arial" w:hAnsi="Arial" w:cs="Arial"/>
          <w:color w:val="000000" w:themeColor="text1"/>
          <w:sz w:val="20"/>
          <w:szCs w:val="20"/>
          <w:lang w:val="en-US"/>
        </w:rPr>
        <w:br/>
        <w:t>Analysis of Variance (ANOVA) followed by Duncan’s New Multiple Range Test (DMRT) at 5% level of significance, as per Snedecor and Cochran (1994).</w:t>
      </w:r>
    </w:p>
    <w:p w14:paraId="5D515365" w14:textId="77777777" w:rsidR="00646E7D" w:rsidRPr="003D4161" w:rsidRDefault="00646E7D" w:rsidP="00652F73">
      <w:pPr>
        <w:spacing w:line="360" w:lineRule="auto"/>
        <w:jc w:val="both"/>
        <w:rPr>
          <w:rFonts w:ascii="Arial" w:hAnsi="Arial" w:cs="Arial"/>
          <w:color w:val="000000" w:themeColor="text1"/>
          <w:sz w:val="20"/>
          <w:szCs w:val="20"/>
          <w:lang w:val="en-US"/>
        </w:rPr>
      </w:pPr>
    </w:p>
    <w:p w14:paraId="74C67D98" w14:textId="794AA957" w:rsidR="009C4E01" w:rsidRPr="0010789F" w:rsidRDefault="009C4E01" w:rsidP="0010789F">
      <w:pPr>
        <w:spacing w:line="360" w:lineRule="auto"/>
        <w:rPr>
          <w:rFonts w:ascii="Arial" w:hAnsi="Arial" w:cs="Arial"/>
          <w:b/>
          <w:bCs/>
          <w:sz w:val="22"/>
          <w:szCs w:val="22"/>
        </w:rPr>
      </w:pPr>
      <w:r w:rsidRPr="0010789F">
        <w:rPr>
          <w:rFonts w:ascii="Arial" w:hAnsi="Arial" w:cs="Arial"/>
          <w:b/>
          <w:bCs/>
          <w:sz w:val="22"/>
          <w:szCs w:val="22"/>
        </w:rPr>
        <w:t xml:space="preserve">Table 1. Ingredient composition (Kg/100Kg) of broiler chicks (pre-starter, starter and </w:t>
      </w:r>
      <w:r w:rsidR="0010789F">
        <w:rPr>
          <w:rFonts w:ascii="Arial" w:hAnsi="Arial" w:cs="Arial"/>
          <w:b/>
          <w:bCs/>
          <w:sz w:val="22"/>
          <w:szCs w:val="22"/>
        </w:rPr>
        <w:t xml:space="preserve">     </w:t>
      </w:r>
      <w:r w:rsidRPr="0010789F">
        <w:rPr>
          <w:rFonts w:ascii="Arial" w:hAnsi="Arial" w:cs="Arial"/>
          <w:b/>
          <w:bCs/>
          <w:sz w:val="22"/>
          <w:szCs w:val="22"/>
        </w:rPr>
        <w:t>finisher)</w:t>
      </w:r>
      <w:r w:rsidR="0010789F" w:rsidRPr="0010789F">
        <w:rPr>
          <w:rFonts w:ascii="Arial" w:hAnsi="Arial" w:cs="Arial"/>
          <w:b/>
          <w:bCs/>
          <w:sz w:val="22"/>
          <w:szCs w:val="22"/>
        </w:rPr>
        <w:t xml:space="preserve"> </w:t>
      </w:r>
      <w:r w:rsidRPr="0010789F">
        <w:rPr>
          <w:rFonts w:ascii="Arial" w:hAnsi="Arial" w:cs="Arial"/>
          <w:b/>
          <w:bCs/>
          <w:sz w:val="22"/>
          <w:szCs w:val="22"/>
        </w:rPr>
        <w:t>basal diets</w:t>
      </w:r>
    </w:p>
    <w:tbl>
      <w:tblPr>
        <w:tblStyle w:val="TableGrid"/>
        <w:tblpPr w:leftFromText="180" w:rightFromText="180" w:vertAnchor="text" w:horzAnchor="margin" w:tblpXSpec="center" w:tblpY="73"/>
        <w:tblOverlap w:val="never"/>
        <w:tblW w:w="578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2198"/>
        <w:gridCol w:w="2255"/>
        <w:gridCol w:w="2065"/>
      </w:tblGrid>
      <w:tr w:rsidR="009C4E01" w:rsidRPr="003D4161" w14:paraId="742F244F" w14:textId="77777777" w:rsidTr="0047177E">
        <w:trPr>
          <w:trHeight w:val="620"/>
        </w:trPr>
        <w:tc>
          <w:tcPr>
            <w:tcW w:w="1878" w:type="pct"/>
            <w:tcBorders>
              <w:top w:val="single" w:sz="4" w:space="0" w:color="auto"/>
              <w:bottom w:val="single" w:sz="4" w:space="0" w:color="auto"/>
            </w:tcBorders>
            <w:hideMark/>
          </w:tcPr>
          <w:p w14:paraId="7DCD1897"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Ingredients</w:t>
            </w:r>
          </w:p>
        </w:tc>
        <w:tc>
          <w:tcPr>
            <w:tcW w:w="1053" w:type="pct"/>
            <w:tcBorders>
              <w:top w:val="single" w:sz="4" w:space="0" w:color="auto"/>
              <w:bottom w:val="single" w:sz="4" w:space="0" w:color="auto"/>
            </w:tcBorders>
            <w:hideMark/>
          </w:tcPr>
          <w:p w14:paraId="40355A1B"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Pre-starter Ration (0-7 days) Kg</w:t>
            </w:r>
          </w:p>
        </w:tc>
        <w:tc>
          <w:tcPr>
            <w:tcW w:w="1080" w:type="pct"/>
            <w:tcBorders>
              <w:top w:val="single" w:sz="4" w:space="0" w:color="auto"/>
              <w:bottom w:val="single" w:sz="4" w:space="0" w:color="auto"/>
            </w:tcBorders>
            <w:hideMark/>
          </w:tcPr>
          <w:p w14:paraId="59CEA462"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 xml:space="preserve">Starter Ration </w:t>
            </w:r>
          </w:p>
          <w:p w14:paraId="678536FD"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(7-21 days) Kg</w:t>
            </w:r>
          </w:p>
        </w:tc>
        <w:tc>
          <w:tcPr>
            <w:tcW w:w="989" w:type="pct"/>
            <w:tcBorders>
              <w:top w:val="single" w:sz="4" w:space="0" w:color="auto"/>
              <w:bottom w:val="single" w:sz="4" w:space="0" w:color="auto"/>
            </w:tcBorders>
            <w:hideMark/>
          </w:tcPr>
          <w:p w14:paraId="7C9B7D9E"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Finisher Ration (21-45 days) Kg</w:t>
            </w:r>
          </w:p>
        </w:tc>
      </w:tr>
      <w:tr w:rsidR="009C4E01" w:rsidRPr="003D4161" w14:paraId="49E0CC78" w14:textId="77777777" w:rsidTr="0047177E">
        <w:trPr>
          <w:trHeight w:val="347"/>
        </w:trPr>
        <w:tc>
          <w:tcPr>
            <w:tcW w:w="1878" w:type="pct"/>
            <w:tcBorders>
              <w:top w:val="single" w:sz="4" w:space="0" w:color="auto"/>
            </w:tcBorders>
            <w:hideMark/>
          </w:tcPr>
          <w:p w14:paraId="4F90EC1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Yellow Maize</w:t>
            </w:r>
          </w:p>
        </w:tc>
        <w:tc>
          <w:tcPr>
            <w:tcW w:w="1053" w:type="pct"/>
            <w:tcBorders>
              <w:top w:val="single" w:sz="4" w:space="0" w:color="auto"/>
            </w:tcBorders>
            <w:vAlign w:val="bottom"/>
            <w:hideMark/>
          </w:tcPr>
          <w:p w14:paraId="05BE6F9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56.5</w:t>
            </w:r>
          </w:p>
        </w:tc>
        <w:tc>
          <w:tcPr>
            <w:tcW w:w="1080" w:type="pct"/>
            <w:tcBorders>
              <w:top w:val="single" w:sz="4" w:space="0" w:color="auto"/>
            </w:tcBorders>
            <w:vAlign w:val="bottom"/>
            <w:hideMark/>
          </w:tcPr>
          <w:p w14:paraId="75CC055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57</w:t>
            </w:r>
          </w:p>
        </w:tc>
        <w:tc>
          <w:tcPr>
            <w:tcW w:w="989" w:type="pct"/>
            <w:tcBorders>
              <w:top w:val="single" w:sz="4" w:space="0" w:color="auto"/>
            </w:tcBorders>
            <w:vAlign w:val="bottom"/>
            <w:hideMark/>
          </w:tcPr>
          <w:p w14:paraId="2EF6B74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60</w:t>
            </w:r>
          </w:p>
        </w:tc>
      </w:tr>
      <w:tr w:rsidR="009C4E01" w:rsidRPr="003D4161" w14:paraId="66071FC7" w14:textId="77777777" w:rsidTr="0047177E">
        <w:trPr>
          <w:trHeight w:val="347"/>
        </w:trPr>
        <w:tc>
          <w:tcPr>
            <w:tcW w:w="1878" w:type="pct"/>
            <w:hideMark/>
          </w:tcPr>
          <w:p w14:paraId="5010F69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De-oiled Rice Polish</w:t>
            </w:r>
          </w:p>
        </w:tc>
        <w:tc>
          <w:tcPr>
            <w:tcW w:w="1053" w:type="pct"/>
            <w:vAlign w:val="bottom"/>
            <w:hideMark/>
          </w:tcPr>
          <w:p w14:paraId="35D1581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4</w:t>
            </w:r>
          </w:p>
        </w:tc>
        <w:tc>
          <w:tcPr>
            <w:tcW w:w="1080" w:type="pct"/>
            <w:vAlign w:val="bottom"/>
            <w:hideMark/>
          </w:tcPr>
          <w:p w14:paraId="3B2C9A7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w:t>
            </w:r>
          </w:p>
        </w:tc>
        <w:tc>
          <w:tcPr>
            <w:tcW w:w="989" w:type="pct"/>
            <w:vAlign w:val="bottom"/>
            <w:hideMark/>
          </w:tcPr>
          <w:p w14:paraId="392F48C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w:t>
            </w:r>
          </w:p>
        </w:tc>
      </w:tr>
      <w:tr w:rsidR="009C4E01" w:rsidRPr="003D4161" w14:paraId="2A013CAE" w14:textId="77777777" w:rsidTr="0047177E">
        <w:trPr>
          <w:trHeight w:val="359"/>
        </w:trPr>
        <w:tc>
          <w:tcPr>
            <w:tcW w:w="1878" w:type="pct"/>
            <w:hideMark/>
          </w:tcPr>
          <w:p w14:paraId="3A5B055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De-oiled Soybean Meal</w:t>
            </w:r>
          </w:p>
        </w:tc>
        <w:tc>
          <w:tcPr>
            <w:tcW w:w="1053" w:type="pct"/>
            <w:vAlign w:val="bottom"/>
            <w:hideMark/>
          </w:tcPr>
          <w:p w14:paraId="50E796BE"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22.225</w:t>
            </w:r>
          </w:p>
        </w:tc>
        <w:tc>
          <w:tcPr>
            <w:tcW w:w="1080" w:type="pct"/>
            <w:vAlign w:val="bottom"/>
            <w:hideMark/>
          </w:tcPr>
          <w:p w14:paraId="5F8ED83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22.500</w:t>
            </w:r>
          </w:p>
        </w:tc>
        <w:tc>
          <w:tcPr>
            <w:tcW w:w="989" w:type="pct"/>
            <w:vAlign w:val="bottom"/>
            <w:hideMark/>
          </w:tcPr>
          <w:p w14:paraId="0609334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17.1</w:t>
            </w:r>
          </w:p>
        </w:tc>
      </w:tr>
      <w:tr w:rsidR="009C4E01" w:rsidRPr="003D4161" w14:paraId="529BB500" w14:textId="77777777" w:rsidTr="0047177E">
        <w:trPr>
          <w:trHeight w:val="518"/>
        </w:trPr>
        <w:tc>
          <w:tcPr>
            <w:tcW w:w="1878" w:type="pct"/>
            <w:hideMark/>
          </w:tcPr>
          <w:p w14:paraId="0C81ABC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Groundnut Cake (Solvent Extracted)</w:t>
            </w:r>
          </w:p>
        </w:tc>
        <w:tc>
          <w:tcPr>
            <w:tcW w:w="1053" w:type="pct"/>
            <w:vAlign w:val="bottom"/>
            <w:hideMark/>
          </w:tcPr>
          <w:p w14:paraId="65A8304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14</w:t>
            </w:r>
          </w:p>
        </w:tc>
        <w:tc>
          <w:tcPr>
            <w:tcW w:w="1080" w:type="pct"/>
            <w:vAlign w:val="bottom"/>
            <w:hideMark/>
          </w:tcPr>
          <w:p w14:paraId="00513A7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10.725</w:t>
            </w:r>
          </w:p>
        </w:tc>
        <w:tc>
          <w:tcPr>
            <w:tcW w:w="989" w:type="pct"/>
            <w:vAlign w:val="bottom"/>
            <w:hideMark/>
          </w:tcPr>
          <w:p w14:paraId="473B8CF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11.1</w:t>
            </w:r>
          </w:p>
        </w:tc>
      </w:tr>
      <w:tr w:rsidR="009C4E01" w:rsidRPr="003D4161" w14:paraId="1F4D8EBA" w14:textId="77777777" w:rsidTr="0047177E">
        <w:trPr>
          <w:trHeight w:val="257"/>
        </w:trPr>
        <w:tc>
          <w:tcPr>
            <w:tcW w:w="1878" w:type="pct"/>
            <w:hideMark/>
          </w:tcPr>
          <w:p w14:paraId="3A7B9DF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Vegetable Oil</w:t>
            </w:r>
          </w:p>
        </w:tc>
        <w:tc>
          <w:tcPr>
            <w:tcW w:w="1053" w:type="pct"/>
            <w:vAlign w:val="bottom"/>
            <w:hideMark/>
          </w:tcPr>
          <w:p w14:paraId="3368B65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1080" w:type="pct"/>
            <w:vAlign w:val="bottom"/>
            <w:hideMark/>
          </w:tcPr>
          <w:p w14:paraId="53283A1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2.5</w:t>
            </w:r>
          </w:p>
        </w:tc>
        <w:tc>
          <w:tcPr>
            <w:tcW w:w="989" w:type="pct"/>
            <w:vAlign w:val="bottom"/>
            <w:hideMark/>
          </w:tcPr>
          <w:p w14:paraId="4949625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4</w:t>
            </w:r>
          </w:p>
        </w:tc>
      </w:tr>
      <w:tr w:rsidR="009C4E01" w:rsidRPr="003D4161" w14:paraId="183B8DAB" w14:textId="77777777" w:rsidTr="0047177E">
        <w:trPr>
          <w:trHeight w:val="431"/>
        </w:trPr>
        <w:tc>
          <w:tcPr>
            <w:tcW w:w="1878" w:type="pct"/>
            <w:hideMark/>
          </w:tcPr>
          <w:p w14:paraId="7D692C1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Di-Calcium Phosphate</w:t>
            </w:r>
          </w:p>
        </w:tc>
        <w:tc>
          <w:tcPr>
            <w:tcW w:w="1053" w:type="pct"/>
            <w:vAlign w:val="bottom"/>
            <w:hideMark/>
          </w:tcPr>
          <w:p w14:paraId="46CE5DB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1080" w:type="pct"/>
            <w:vAlign w:val="bottom"/>
            <w:hideMark/>
          </w:tcPr>
          <w:p w14:paraId="75EE98E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989" w:type="pct"/>
            <w:vAlign w:val="bottom"/>
            <w:hideMark/>
          </w:tcPr>
          <w:p w14:paraId="5D6C210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1.4</w:t>
            </w:r>
          </w:p>
        </w:tc>
      </w:tr>
      <w:tr w:rsidR="009C4E01" w:rsidRPr="003D4161" w14:paraId="2D6A71C4" w14:textId="77777777" w:rsidTr="0047177E">
        <w:trPr>
          <w:trHeight w:val="300"/>
        </w:trPr>
        <w:tc>
          <w:tcPr>
            <w:tcW w:w="1878" w:type="pct"/>
            <w:hideMark/>
          </w:tcPr>
          <w:p w14:paraId="3FB68C3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Lysine</w:t>
            </w:r>
          </w:p>
        </w:tc>
        <w:tc>
          <w:tcPr>
            <w:tcW w:w="1053" w:type="pct"/>
            <w:vAlign w:val="bottom"/>
            <w:hideMark/>
          </w:tcPr>
          <w:p w14:paraId="592E3BE6"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c>
          <w:tcPr>
            <w:tcW w:w="1080" w:type="pct"/>
            <w:vAlign w:val="bottom"/>
            <w:hideMark/>
          </w:tcPr>
          <w:p w14:paraId="5DBCD48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c>
          <w:tcPr>
            <w:tcW w:w="989" w:type="pct"/>
            <w:vAlign w:val="bottom"/>
            <w:hideMark/>
          </w:tcPr>
          <w:p w14:paraId="3032F19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r>
      <w:tr w:rsidR="009C4E01" w:rsidRPr="003D4161" w14:paraId="08C3D502" w14:textId="77777777" w:rsidTr="0047177E">
        <w:trPr>
          <w:trHeight w:val="392"/>
        </w:trPr>
        <w:tc>
          <w:tcPr>
            <w:tcW w:w="1878" w:type="pct"/>
            <w:hideMark/>
          </w:tcPr>
          <w:p w14:paraId="679B2C1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DL-Methionine</w:t>
            </w:r>
          </w:p>
        </w:tc>
        <w:tc>
          <w:tcPr>
            <w:tcW w:w="1053" w:type="pct"/>
            <w:vAlign w:val="bottom"/>
            <w:hideMark/>
          </w:tcPr>
          <w:p w14:paraId="46F8526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1080" w:type="pct"/>
            <w:vAlign w:val="bottom"/>
            <w:hideMark/>
          </w:tcPr>
          <w:p w14:paraId="3F7E8C5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989" w:type="pct"/>
            <w:vAlign w:val="bottom"/>
            <w:hideMark/>
          </w:tcPr>
          <w:p w14:paraId="74DACBA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r>
      <w:tr w:rsidR="009C4E01" w:rsidRPr="003D4161" w14:paraId="03CD8AEE" w14:textId="77777777" w:rsidTr="0047177E">
        <w:trPr>
          <w:trHeight w:val="329"/>
        </w:trPr>
        <w:tc>
          <w:tcPr>
            <w:tcW w:w="1878" w:type="pct"/>
            <w:hideMark/>
          </w:tcPr>
          <w:p w14:paraId="5BCF73A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Choline Chloride</w:t>
            </w:r>
          </w:p>
        </w:tc>
        <w:tc>
          <w:tcPr>
            <w:tcW w:w="1053" w:type="pct"/>
            <w:vAlign w:val="bottom"/>
            <w:hideMark/>
          </w:tcPr>
          <w:p w14:paraId="4093F9C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1080" w:type="pct"/>
            <w:vAlign w:val="bottom"/>
            <w:hideMark/>
          </w:tcPr>
          <w:p w14:paraId="07E103CF"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989" w:type="pct"/>
            <w:vAlign w:val="bottom"/>
            <w:hideMark/>
          </w:tcPr>
          <w:p w14:paraId="5E5BD37F"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r>
      <w:tr w:rsidR="009C4E01" w:rsidRPr="003D4161" w14:paraId="2FD0920F" w14:textId="77777777" w:rsidTr="0047177E">
        <w:trPr>
          <w:trHeight w:val="440"/>
        </w:trPr>
        <w:tc>
          <w:tcPr>
            <w:tcW w:w="1878" w:type="pct"/>
            <w:hideMark/>
          </w:tcPr>
          <w:p w14:paraId="7F576D20" w14:textId="77777777" w:rsidR="009C4E01" w:rsidRPr="003D4161" w:rsidRDefault="009C4E01" w:rsidP="003D4161">
            <w:pPr>
              <w:spacing w:after="160" w:line="276" w:lineRule="auto"/>
              <w:rPr>
                <w:rFonts w:ascii="Arial" w:hAnsi="Arial" w:cs="Arial"/>
                <w:color w:val="000000" w:themeColor="text1"/>
                <w:sz w:val="20"/>
                <w:szCs w:val="20"/>
              </w:rPr>
            </w:pPr>
            <w:proofErr w:type="spellStart"/>
            <w:r w:rsidRPr="003D4161">
              <w:rPr>
                <w:rFonts w:ascii="Arial" w:hAnsi="Arial" w:cs="Arial"/>
                <w:color w:val="000000" w:themeColor="text1"/>
                <w:sz w:val="20"/>
                <w:szCs w:val="20"/>
              </w:rPr>
              <w:t>Hepatocare</w:t>
            </w:r>
            <w:proofErr w:type="spellEnd"/>
          </w:p>
        </w:tc>
        <w:tc>
          <w:tcPr>
            <w:tcW w:w="1053" w:type="pct"/>
            <w:vAlign w:val="bottom"/>
            <w:hideMark/>
          </w:tcPr>
          <w:p w14:paraId="58026C5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c>
          <w:tcPr>
            <w:tcW w:w="1080" w:type="pct"/>
            <w:vAlign w:val="bottom"/>
            <w:hideMark/>
          </w:tcPr>
          <w:p w14:paraId="70025DD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c>
          <w:tcPr>
            <w:tcW w:w="989" w:type="pct"/>
            <w:vAlign w:val="bottom"/>
            <w:hideMark/>
          </w:tcPr>
          <w:p w14:paraId="25D6784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r>
      <w:tr w:rsidR="009C4E01" w:rsidRPr="003D4161" w14:paraId="54BF6E29" w14:textId="77777777" w:rsidTr="0047177E">
        <w:trPr>
          <w:trHeight w:val="266"/>
        </w:trPr>
        <w:tc>
          <w:tcPr>
            <w:tcW w:w="1878" w:type="pct"/>
            <w:hideMark/>
          </w:tcPr>
          <w:p w14:paraId="6F801C9E"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Common Salt</w:t>
            </w:r>
          </w:p>
        </w:tc>
        <w:tc>
          <w:tcPr>
            <w:tcW w:w="1053" w:type="pct"/>
            <w:vAlign w:val="bottom"/>
            <w:hideMark/>
          </w:tcPr>
          <w:p w14:paraId="20D6CB1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1080" w:type="pct"/>
            <w:vAlign w:val="bottom"/>
            <w:hideMark/>
          </w:tcPr>
          <w:p w14:paraId="6B3913C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989" w:type="pct"/>
            <w:vAlign w:val="bottom"/>
            <w:hideMark/>
          </w:tcPr>
          <w:p w14:paraId="07B8B9E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r>
      <w:tr w:rsidR="009C4E01" w:rsidRPr="003D4161" w14:paraId="7DF7166B" w14:textId="77777777" w:rsidTr="0047177E">
        <w:trPr>
          <w:trHeight w:val="359"/>
        </w:trPr>
        <w:tc>
          <w:tcPr>
            <w:tcW w:w="1878" w:type="pct"/>
            <w:hideMark/>
          </w:tcPr>
          <w:p w14:paraId="4EF2060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Mineral Mixture</w:t>
            </w:r>
          </w:p>
        </w:tc>
        <w:tc>
          <w:tcPr>
            <w:tcW w:w="1053" w:type="pct"/>
            <w:vAlign w:val="bottom"/>
            <w:hideMark/>
          </w:tcPr>
          <w:p w14:paraId="35DEA41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c>
          <w:tcPr>
            <w:tcW w:w="1080" w:type="pct"/>
            <w:vAlign w:val="bottom"/>
            <w:hideMark/>
          </w:tcPr>
          <w:p w14:paraId="394A0D3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c>
          <w:tcPr>
            <w:tcW w:w="989" w:type="pct"/>
            <w:vAlign w:val="bottom"/>
            <w:hideMark/>
          </w:tcPr>
          <w:p w14:paraId="68EA421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r>
      <w:tr w:rsidR="009C4E01" w:rsidRPr="003D4161" w14:paraId="2F48467F" w14:textId="77777777" w:rsidTr="0047177E">
        <w:trPr>
          <w:trHeight w:val="377"/>
        </w:trPr>
        <w:tc>
          <w:tcPr>
            <w:tcW w:w="1878" w:type="pct"/>
            <w:hideMark/>
          </w:tcPr>
          <w:p w14:paraId="0B23F67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lastRenderedPageBreak/>
              <w:t>Vitamin Premix</w:t>
            </w:r>
          </w:p>
        </w:tc>
        <w:tc>
          <w:tcPr>
            <w:tcW w:w="1053" w:type="pct"/>
            <w:vAlign w:val="bottom"/>
            <w:hideMark/>
          </w:tcPr>
          <w:p w14:paraId="7DB2125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c>
          <w:tcPr>
            <w:tcW w:w="1080" w:type="pct"/>
            <w:vAlign w:val="bottom"/>
            <w:hideMark/>
          </w:tcPr>
          <w:p w14:paraId="33772DF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c>
          <w:tcPr>
            <w:tcW w:w="989" w:type="pct"/>
            <w:vAlign w:val="bottom"/>
            <w:hideMark/>
          </w:tcPr>
          <w:p w14:paraId="7E2A13D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r>
      <w:tr w:rsidR="009C4E01" w:rsidRPr="003D4161" w14:paraId="6A6FCC3E" w14:textId="77777777" w:rsidTr="0047177E">
        <w:trPr>
          <w:trHeight w:val="413"/>
        </w:trPr>
        <w:tc>
          <w:tcPr>
            <w:tcW w:w="1878" w:type="pct"/>
            <w:tcBorders>
              <w:bottom w:val="single" w:sz="4" w:space="0" w:color="auto"/>
            </w:tcBorders>
            <w:hideMark/>
          </w:tcPr>
          <w:p w14:paraId="02C547E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Coccidiostat</w:t>
            </w:r>
          </w:p>
        </w:tc>
        <w:tc>
          <w:tcPr>
            <w:tcW w:w="1053" w:type="pct"/>
            <w:tcBorders>
              <w:bottom w:val="single" w:sz="4" w:space="0" w:color="auto"/>
            </w:tcBorders>
            <w:vAlign w:val="bottom"/>
            <w:hideMark/>
          </w:tcPr>
          <w:p w14:paraId="65638975"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1080" w:type="pct"/>
            <w:tcBorders>
              <w:bottom w:val="single" w:sz="4" w:space="0" w:color="auto"/>
            </w:tcBorders>
            <w:vAlign w:val="bottom"/>
            <w:hideMark/>
          </w:tcPr>
          <w:p w14:paraId="369D3DF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989" w:type="pct"/>
            <w:tcBorders>
              <w:bottom w:val="single" w:sz="4" w:space="0" w:color="auto"/>
            </w:tcBorders>
            <w:vAlign w:val="bottom"/>
            <w:hideMark/>
          </w:tcPr>
          <w:p w14:paraId="495F5C96"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r>
      <w:tr w:rsidR="009C4E01" w:rsidRPr="003D4161" w14:paraId="3E58FDD2" w14:textId="77777777" w:rsidTr="0047177E">
        <w:trPr>
          <w:trHeight w:val="300"/>
        </w:trPr>
        <w:tc>
          <w:tcPr>
            <w:tcW w:w="1878" w:type="pct"/>
            <w:tcBorders>
              <w:top w:val="single" w:sz="4" w:space="0" w:color="auto"/>
              <w:bottom w:val="single" w:sz="4" w:space="0" w:color="auto"/>
            </w:tcBorders>
            <w:hideMark/>
          </w:tcPr>
          <w:p w14:paraId="5DFB59F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Total</w:t>
            </w:r>
          </w:p>
        </w:tc>
        <w:tc>
          <w:tcPr>
            <w:tcW w:w="1053" w:type="pct"/>
            <w:tcBorders>
              <w:top w:val="single" w:sz="4" w:space="0" w:color="auto"/>
              <w:bottom w:val="single" w:sz="4" w:space="0" w:color="auto"/>
            </w:tcBorders>
            <w:hideMark/>
          </w:tcPr>
          <w:p w14:paraId="0EB8153B"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c>
          <w:tcPr>
            <w:tcW w:w="1080" w:type="pct"/>
            <w:tcBorders>
              <w:top w:val="single" w:sz="4" w:space="0" w:color="auto"/>
              <w:bottom w:val="single" w:sz="4" w:space="0" w:color="auto"/>
            </w:tcBorders>
            <w:hideMark/>
          </w:tcPr>
          <w:p w14:paraId="47133580"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c>
          <w:tcPr>
            <w:tcW w:w="989" w:type="pct"/>
            <w:tcBorders>
              <w:top w:val="single" w:sz="4" w:space="0" w:color="auto"/>
              <w:bottom w:val="single" w:sz="4" w:space="0" w:color="auto"/>
            </w:tcBorders>
            <w:hideMark/>
          </w:tcPr>
          <w:p w14:paraId="46F84AC3"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r>
    </w:tbl>
    <w:p w14:paraId="400FF582" w14:textId="77777777" w:rsidR="00AC5A90" w:rsidRPr="003D4161" w:rsidRDefault="00AC5A90" w:rsidP="000004F3">
      <w:pPr>
        <w:spacing w:line="360" w:lineRule="auto"/>
        <w:jc w:val="both"/>
        <w:rPr>
          <w:rFonts w:ascii="Arial" w:hAnsi="Arial" w:cs="Arial"/>
          <w:b/>
          <w:bCs/>
          <w:sz w:val="20"/>
          <w:szCs w:val="20"/>
        </w:rPr>
      </w:pPr>
    </w:p>
    <w:p w14:paraId="659E964D" w14:textId="1EA7A7BD" w:rsidR="00D51E79" w:rsidRPr="007C5BF5" w:rsidRDefault="00D51E79" w:rsidP="007C5BF5">
      <w:pPr>
        <w:pStyle w:val="NoSpacing"/>
        <w:rPr>
          <w:rFonts w:ascii="Arial" w:hAnsi="Arial" w:cs="Arial"/>
          <w:b/>
          <w:bCs/>
          <w:sz w:val="22"/>
          <w:szCs w:val="22"/>
        </w:rPr>
      </w:pPr>
      <w:r w:rsidRPr="007C5BF5">
        <w:rPr>
          <w:rFonts w:ascii="Arial" w:hAnsi="Arial" w:cs="Arial"/>
          <w:b/>
          <w:bCs/>
          <w:sz w:val="22"/>
          <w:szCs w:val="22"/>
        </w:rPr>
        <w:t xml:space="preserve">Table </w:t>
      </w:r>
      <w:r w:rsidR="00E013AA" w:rsidRPr="007C5BF5">
        <w:rPr>
          <w:rFonts w:ascii="Arial" w:hAnsi="Arial" w:cs="Arial"/>
          <w:b/>
          <w:bCs/>
          <w:sz w:val="22"/>
          <w:szCs w:val="22"/>
        </w:rPr>
        <w:t>2</w:t>
      </w:r>
      <w:r w:rsidRPr="007C5BF5">
        <w:rPr>
          <w:rFonts w:ascii="Arial" w:hAnsi="Arial" w:cs="Arial"/>
          <w:b/>
          <w:bCs/>
          <w:sz w:val="22"/>
          <w:szCs w:val="22"/>
        </w:rPr>
        <w:t xml:space="preserve">. Chemical composition (% dry matter basis) of </w:t>
      </w:r>
      <w:r w:rsidR="00E013AA" w:rsidRPr="007C5BF5">
        <w:rPr>
          <w:rFonts w:ascii="Arial" w:hAnsi="Arial" w:cs="Arial"/>
          <w:b/>
          <w:bCs/>
          <w:sz w:val="22"/>
          <w:szCs w:val="22"/>
        </w:rPr>
        <w:t xml:space="preserve">basal diet for broiler pre-             starter, starter and finisher </w:t>
      </w:r>
    </w:p>
    <w:tbl>
      <w:tblPr>
        <w:tblW w:w="10530" w:type="dxa"/>
        <w:tblInd w:w="-810" w:type="dxa"/>
        <w:tblLook w:val="04A0" w:firstRow="1" w:lastRow="0" w:firstColumn="1" w:lastColumn="0" w:noHBand="0" w:noVBand="1"/>
      </w:tblPr>
      <w:tblGrid>
        <w:gridCol w:w="3960"/>
        <w:gridCol w:w="2160"/>
        <w:gridCol w:w="2155"/>
        <w:gridCol w:w="2255"/>
      </w:tblGrid>
      <w:tr w:rsidR="003D4161" w:rsidRPr="003D4161" w14:paraId="04A79C94" w14:textId="77777777" w:rsidTr="0047177E">
        <w:trPr>
          <w:trHeight w:val="290"/>
        </w:trPr>
        <w:tc>
          <w:tcPr>
            <w:tcW w:w="3960" w:type="dxa"/>
            <w:tcBorders>
              <w:top w:val="single" w:sz="4" w:space="0" w:color="auto"/>
              <w:bottom w:val="single" w:sz="4" w:space="0" w:color="auto"/>
            </w:tcBorders>
            <w:noWrap/>
            <w:vAlign w:val="bottom"/>
            <w:hideMark/>
          </w:tcPr>
          <w:p w14:paraId="40910338"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Nutrients (%)</w:t>
            </w:r>
          </w:p>
        </w:tc>
        <w:tc>
          <w:tcPr>
            <w:tcW w:w="2160" w:type="dxa"/>
            <w:tcBorders>
              <w:top w:val="single" w:sz="4" w:space="0" w:color="auto"/>
              <w:bottom w:val="single" w:sz="4" w:space="0" w:color="auto"/>
            </w:tcBorders>
            <w:noWrap/>
            <w:vAlign w:val="bottom"/>
            <w:hideMark/>
          </w:tcPr>
          <w:p w14:paraId="16355E67" w14:textId="47F66A5C"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Pre-starter</w:t>
            </w:r>
          </w:p>
          <w:p w14:paraId="18734DD7"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(0-7 days)</w:t>
            </w:r>
          </w:p>
        </w:tc>
        <w:tc>
          <w:tcPr>
            <w:tcW w:w="2155" w:type="dxa"/>
            <w:tcBorders>
              <w:top w:val="single" w:sz="4" w:space="0" w:color="auto"/>
              <w:bottom w:val="single" w:sz="4" w:space="0" w:color="auto"/>
            </w:tcBorders>
            <w:noWrap/>
            <w:vAlign w:val="bottom"/>
            <w:hideMark/>
          </w:tcPr>
          <w:p w14:paraId="1A7E0255" w14:textId="535B213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Starter</w:t>
            </w:r>
          </w:p>
          <w:p w14:paraId="6F2C2675"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(7-21 days)</w:t>
            </w:r>
          </w:p>
        </w:tc>
        <w:tc>
          <w:tcPr>
            <w:tcW w:w="2255" w:type="dxa"/>
            <w:tcBorders>
              <w:top w:val="single" w:sz="4" w:space="0" w:color="auto"/>
              <w:bottom w:val="single" w:sz="4" w:space="0" w:color="auto"/>
            </w:tcBorders>
            <w:noWrap/>
            <w:vAlign w:val="bottom"/>
            <w:hideMark/>
          </w:tcPr>
          <w:p w14:paraId="0BCC3D75"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Finisher</w:t>
            </w:r>
          </w:p>
          <w:p w14:paraId="355E7B29" w14:textId="6A1613FE"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(21-42 days)</w:t>
            </w:r>
          </w:p>
        </w:tc>
      </w:tr>
      <w:tr w:rsidR="003D4161" w:rsidRPr="003D4161" w14:paraId="5E7EE26C" w14:textId="77777777" w:rsidTr="0047177E">
        <w:trPr>
          <w:trHeight w:val="290"/>
        </w:trPr>
        <w:tc>
          <w:tcPr>
            <w:tcW w:w="3960" w:type="dxa"/>
            <w:tcBorders>
              <w:top w:val="single" w:sz="4" w:space="0" w:color="auto"/>
            </w:tcBorders>
            <w:noWrap/>
            <w:vAlign w:val="bottom"/>
            <w:hideMark/>
          </w:tcPr>
          <w:p w14:paraId="2D2E949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Organic matter</w:t>
            </w:r>
          </w:p>
        </w:tc>
        <w:tc>
          <w:tcPr>
            <w:tcW w:w="2160" w:type="dxa"/>
            <w:tcBorders>
              <w:top w:val="single" w:sz="4" w:space="0" w:color="auto"/>
            </w:tcBorders>
            <w:noWrap/>
            <w:vAlign w:val="bottom"/>
            <w:hideMark/>
          </w:tcPr>
          <w:p w14:paraId="6F07088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93.43</w:t>
            </w:r>
          </w:p>
        </w:tc>
        <w:tc>
          <w:tcPr>
            <w:tcW w:w="2155" w:type="dxa"/>
            <w:tcBorders>
              <w:top w:val="single" w:sz="4" w:space="0" w:color="auto"/>
            </w:tcBorders>
            <w:noWrap/>
            <w:vAlign w:val="bottom"/>
            <w:hideMark/>
          </w:tcPr>
          <w:p w14:paraId="7BDEC1D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93.37</w:t>
            </w:r>
          </w:p>
        </w:tc>
        <w:tc>
          <w:tcPr>
            <w:tcW w:w="2255" w:type="dxa"/>
            <w:tcBorders>
              <w:top w:val="single" w:sz="4" w:space="0" w:color="auto"/>
            </w:tcBorders>
            <w:noWrap/>
            <w:vAlign w:val="bottom"/>
            <w:hideMark/>
          </w:tcPr>
          <w:p w14:paraId="2BBF21C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93.22</w:t>
            </w:r>
          </w:p>
        </w:tc>
      </w:tr>
      <w:tr w:rsidR="003D4161" w:rsidRPr="003D4161" w14:paraId="2D7F659A" w14:textId="77777777" w:rsidTr="0047177E">
        <w:trPr>
          <w:trHeight w:val="290"/>
        </w:trPr>
        <w:tc>
          <w:tcPr>
            <w:tcW w:w="3960" w:type="dxa"/>
            <w:noWrap/>
            <w:vAlign w:val="bottom"/>
            <w:hideMark/>
          </w:tcPr>
          <w:p w14:paraId="44C125F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Crude protein</w:t>
            </w:r>
          </w:p>
        </w:tc>
        <w:tc>
          <w:tcPr>
            <w:tcW w:w="2160" w:type="dxa"/>
            <w:noWrap/>
            <w:vAlign w:val="bottom"/>
            <w:hideMark/>
          </w:tcPr>
          <w:p w14:paraId="40DB7C8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23.09</w:t>
            </w:r>
          </w:p>
        </w:tc>
        <w:tc>
          <w:tcPr>
            <w:tcW w:w="2155" w:type="dxa"/>
            <w:noWrap/>
            <w:vAlign w:val="bottom"/>
            <w:hideMark/>
          </w:tcPr>
          <w:p w14:paraId="3F453F87"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21.92</w:t>
            </w:r>
          </w:p>
        </w:tc>
        <w:tc>
          <w:tcPr>
            <w:tcW w:w="2255" w:type="dxa"/>
            <w:noWrap/>
            <w:vAlign w:val="bottom"/>
            <w:hideMark/>
          </w:tcPr>
          <w:p w14:paraId="5EA2FAE1"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19.85</w:t>
            </w:r>
          </w:p>
        </w:tc>
      </w:tr>
      <w:tr w:rsidR="003D4161" w:rsidRPr="003D4161" w14:paraId="6ECFC35D" w14:textId="77777777" w:rsidTr="0047177E">
        <w:trPr>
          <w:trHeight w:val="290"/>
        </w:trPr>
        <w:tc>
          <w:tcPr>
            <w:tcW w:w="3960" w:type="dxa"/>
            <w:noWrap/>
            <w:vAlign w:val="bottom"/>
            <w:hideMark/>
          </w:tcPr>
          <w:p w14:paraId="0B6992F3"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Ether extract</w:t>
            </w:r>
          </w:p>
        </w:tc>
        <w:tc>
          <w:tcPr>
            <w:tcW w:w="2160" w:type="dxa"/>
            <w:noWrap/>
            <w:vAlign w:val="bottom"/>
            <w:hideMark/>
          </w:tcPr>
          <w:p w14:paraId="6C372B1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3.23</w:t>
            </w:r>
          </w:p>
        </w:tc>
        <w:tc>
          <w:tcPr>
            <w:tcW w:w="2155" w:type="dxa"/>
            <w:noWrap/>
            <w:vAlign w:val="bottom"/>
            <w:hideMark/>
          </w:tcPr>
          <w:p w14:paraId="1B7E42F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3.75</w:t>
            </w:r>
          </w:p>
        </w:tc>
        <w:tc>
          <w:tcPr>
            <w:tcW w:w="2255" w:type="dxa"/>
            <w:noWrap/>
            <w:vAlign w:val="bottom"/>
            <w:hideMark/>
          </w:tcPr>
          <w:p w14:paraId="55DBDD90"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4.32</w:t>
            </w:r>
          </w:p>
        </w:tc>
      </w:tr>
      <w:tr w:rsidR="003D4161" w:rsidRPr="003D4161" w14:paraId="7E14120F" w14:textId="77777777" w:rsidTr="0047177E">
        <w:trPr>
          <w:trHeight w:val="290"/>
        </w:trPr>
        <w:tc>
          <w:tcPr>
            <w:tcW w:w="3960" w:type="dxa"/>
            <w:noWrap/>
            <w:vAlign w:val="bottom"/>
            <w:hideMark/>
          </w:tcPr>
          <w:p w14:paraId="3386AFC3"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Crude fibre</w:t>
            </w:r>
          </w:p>
        </w:tc>
        <w:tc>
          <w:tcPr>
            <w:tcW w:w="2160" w:type="dxa"/>
            <w:noWrap/>
            <w:vAlign w:val="bottom"/>
            <w:hideMark/>
          </w:tcPr>
          <w:p w14:paraId="511191B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4.15</w:t>
            </w:r>
          </w:p>
        </w:tc>
        <w:tc>
          <w:tcPr>
            <w:tcW w:w="2155" w:type="dxa"/>
            <w:noWrap/>
            <w:vAlign w:val="bottom"/>
            <w:hideMark/>
          </w:tcPr>
          <w:p w14:paraId="2A113849"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4.28</w:t>
            </w:r>
          </w:p>
        </w:tc>
        <w:tc>
          <w:tcPr>
            <w:tcW w:w="2255" w:type="dxa"/>
            <w:noWrap/>
            <w:vAlign w:val="bottom"/>
            <w:hideMark/>
          </w:tcPr>
          <w:p w14:paraId="71A9119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4.36</w:t>
            </w:r>
          </w:p>
        </w:tc>
      </w:tr>
      <w:tr w:rsidR="003D4161" w:rsidRPr="003D4161" w14:paraId="3979BF50" w14:textId="77777777" w:rsidTr="0047177E">
        <w:trPr>
          <w:trHeight w:val="290"/>
        </w:trPr>
        <w:tc>
          <w:tcPr>
            <w:tcW w:w="3960" w:type="dxa"/>
            <w:noWrap/>
            <w:vAlign w:val="bottom"/>
            <w:hideMark/>
          </w:tcPr>
          <w:p w14:paraId="6305CBB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Total ash</w:t>
            </w:r>
          </w:p>
        </w:tc>
        <w:tc>
          <w:tcPr>
            <w:tcW w:w="2160" w:type="dxa"/>
            <w:noWrap/>
            <w:vAlign w:val="bottom"/>
            <w:hideMark/>
          </w:tcPr>
          <w:p w14:paraId="706659CA"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6.26</w:t>
            </w:r>
          </w:p>
        </w:tc>
        <w:tc>
          <w:tcPr>
            <w:tcW w:w="2155" w:type="dxa"/>
            <w:noWrap/>
            <w:vAlign w:val="bottom"/>
            <w:hideMark/>
          </w:tcPr>
          <w:p w14:paraId="218FA0CE"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7.04</w:t>
            </w:r>
          </w:p>
        </w:tc>
        <w:tc>
          <w:tcPr>
            <w:tcW w:w="2255" w:type="dxa"/>
            <w:noWrap/>
            <w:vAlign w:val="bottom"/>
            <w:hideMark/>
          </w:tcPr>
          <w:p w14:paraId="1E18D39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7.67</w:t>
            </w:r>
          </w:p>
        </w:tc>
      </w:tr>
      <w:tr w:rsidR="003D4161" w:rsidRPr="003D4161" w14:paraId="08AAB6A4" w14:textId="77777777" w:rsidTr="0047177E">
        <w:trPr>
          <w:trHeight w:val="290"/>
        </w:trPr>
        <w:tc>
          <w:tcPr>
            <w:tcW w:w="3960" w:type="dxa"/>
            <w:noWrap/>
            <w:vAlign w:val="bottom"/>
            <w:hideMark/>
          </w:tcPr>
          <w:p w14:paraId="0EAD452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Acid insoluble ash</w:t>
            </w:r>
          </w:p>
        </w:tc>
        <w:tc>
          <w:tcPr>
            <w:tcW w:w="2160" w:type="dxa"/>
            <w:noWrap/>
            <w:vAlign w:val="bottom"/>
            <w:hideMark/>
          </w:tcPr>
          <w:p w14:paraId="28425131"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2.35</w:t>
            </w:r>
          </w:p>
        </w:tc>
        <w:tc>
          <w:tcPr>
            <w:tcW w:w="2155" w:type="dxa"/>
            <w:noWrap/>
            <w:vAlign w:val="bottom"/>
            <w:hideMark/>
          </w:tcPr>
          <w:p w14:paraId="133199D9"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2.38</w:t>
            </w:r>
          </w:p>
        </w:tc>
        <w:tc>
          <w:tcPr>
            <w:tcW w:w="2255" w:type="dxa"/>
            <w:noWrap/>
            <w:vAlign w:val="bottom"/>
            <w:hideMark/>
          </w:tcPr>
          <w:p w14:paraId="70E7D38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2.43</w:t>
            </w:r>
          </w:p>
        </w:tc>
      </w:tr>
      <w:tr w:rsidR="003D4161" w:rsidRPr="003D4161" w14:paraId="15AC6927" w14:textId="77777777" w:rsidTr="0047177E">
        <w:trPr>
          <w:trHeight w:val="290"/>
        </w:trPr>
        <w:tc>
          <w:tcPr>
            <w:tcW w:w="3960" w:type="dxa"/>
            <w:noWrap/>
            <w:vAlign w:val="bottom"/>
            <w:hideMark/>
          </w:tcPr>
          <w:p w14:paraId="182D67E7"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Nitrogen-free extract</w:t>
            </w:r>
          </w:p>
        </w:tc>
        <w:tc>
          <w:tcPr>
            <w:tcW w:w="2160" w:type="dxa"/>
            <w:noWrap/>
            <w:vAlign w:val="bottom"/>
            <w:hideMark/>
          </w:tcPr>
          <w:p w14:paraId="20F7D6D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67.17</w:t>
            </w:r>
          </w:p>
        </w:tc>
        <w:tc>
          <w:tcPr>
            <w:tcW w:w="2155" w:type="dxa"/>
            <w:noWrap/>
            <w:vAlign w:val="bottom"/>
            <w:hideMark/>
          </w:tcPr>
          <w:p w14:paraId="5EF9F2B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67.67</w:t>
            </w:r>
          </w:p>
        </w:tc>
        <w:tc>
          <w:tcPr>
            <w:tcW w:w="2255" w:type="dxa"/>
            <w:noWrap/>
            <w:vAlign w:val="bottom"/>
            <w:hideMark/>
          </w:tcPr>
          <w:p w14:paraId="35E10C94"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69.04</w:t>
            </w:r>
          </w:p>
        </w:tc>
      </w:tr>
      <w:tr w:rsidR="003D4161" w:rsidRPr="003D4161" w14:paraId="03035695" w14:textId="77777777" w:rsidTr="0047177E">
        <w:trPr>
          <w:trHeight w:val="290"/>
        </w:trPr>
        <w:tc>
          <w:tcPr>
            <w:tcW w:w="3960" w:type="dxa"/>
            <w:noWrap/>
            <w:vAlign w:val="bottom"/>
            <w:hideMark/>
          </w:tcPr>
          <w:p w14:paraId="124AB96A"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Total carbohydrate</w:t>
            </w:r>
          </w:p>
        </w:tc>
        <w:tc>
          <w:tcPr>
            <w:tcW w:w="2160" w:type="dxa"/>
            <w:noWrap/>
            <w:vAlign w:val="bottom"/>
            <w:hideMark/>
          </w:tcPr>
          <w:p w14:paraId="57B7CC7B"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71.32</w:t>
            </w:r>
          </w:p>
        </w:tc>
        <w:tc>
          <w:tcPr>
            <w:tcW w:w="2155" w:type="dxa"/>
            <w:noWrap/>
            <w:vAlign w:val="bottom"/>
            <w:hideMark/>
          </w:tcPr>
          <w:p w14:paraId="412C74A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71.95</w:t>
            </w:r>
          </w:p>
        </w:tc>
        <w:tc>
          <w:tcPr>
            <w:tcW w:w="2255" w:type="dxa"/>
            <w:noWrap/>
            <w:vAlign w:val="bottom"/>
            <w:hideMark/>
          </w:tcPr>
          <w:p w14:paraId="61833E8B"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73.4</w:t>
            </w:r>
          </w:p>
        </w:tc>
      </w:tr>
      <w:tr w:rsidR="003D4161" w:rsidRPr="003D4161" w14:paraId="6734FD5F" w14:textId="77777777" w:rsidTr="0047177E">
        <w:trPr>
          <w:trHeight w:val="290"/>
        </w:trPr>
        <w:tc>
          <w:tcPr>
            <w:tcW w:w="3960" w:type="dxa"/>
            <w:tcBorders>
              <w:bottom w:val="single" w:sz="4" w:space="0" w:color="auto"/>
            </w:tcBorders>
            <w:noWrap/>
            <w:vAlign w:val="bottom"/>
            <w:hideMark/>
          </w:tcPr>
          <w:p w14:paraId="321D3DD0"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ME (Kcal/kg, calculated)</w:t>
            </w:r>
          </w:p>
        </w:tc>
        <w:tc>
          <w:tcPr>
            <w:tcW w:w="2160" w:type="dxa"/>
            <w:tcBorders>
              <w:bottom w:val="single" w:sz="4" w:space="0" w:color="auto"/>
            </w:tcBorders>
            <w:noWrap/>
            <w:vAlign w:val="bottom"/>
            <w:hideMark/>
          </w:tcPr>
          <w:p w14:paraId="26D92A6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3022.35</w:t>
            </w:r>
          </w:p>
        </w:tc>
        <w:tc>
          <w:tcPr>
            <w:tcW w:w="2155" w:type="dxa"/>
            <w:tcBorders>
              <w:bottom w:val="single" w:sz="4" w:space="0" w:color="auto"/>
            </w:tcBorders>
            <w:noWrap/>
            <w:vAlign w:val="bottom"/>
            <w:hideMark/>
          </w:tcPr>
          <w:p w14:paraId="743DB4F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3096.3</w:t>
            </w:r>
          </w:p>
        </w:tc>
        <w:tc>
          <w:tcPr>
            <w:tcW w:w="2255" w:type="dxa"/>
            <w:tcBorders>
              <w:bottom w:val="single" w:sz="4" w:space="0" w:color="auto"/>
            </w:tcBorders>
            <w:noWrap/>
            <w:vAlign w:val="bottom"/>
            <w:hideMark/>
          </w:tcPr>
          <w:p w14:paraId="7E5392D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3182.9</w:t>
            </w:r>
          </w:p>
        </w:tc>
      </w:tr>
    </w:tbl>
    <w:p w14:paraId="76E9196C" w14:textId="77777777" w:rsidR="003D4161" w:rsidRPr="0047177E" w:rsidRDefault="003D4161" w:rsidP="007C5BF5">
      <w:pPr>
        <w:spacing w:before="120" w:after="120" w:line="240" w:lineRule="auto"/>
        <w:rPr>
          <w:rFonts w:ascii="Arial" w:hAnsi="Arial" w:cs="Arial"/>
          <w:b/>
          <w:sz w:val="22"/>
          <w:szCs w:val="22"/>
        </w:rPr>
      </w:pPr>
    </w:p>
    <w:p w14:paraId="6781445C" w14:textId="77777777" w:rsidR="003D4161" w:rsidRPr="007C5BF5" w:rsidRDefault="003D4161" w:rsidP="007C5BF5">
      <w:pPr>
        <w:pStyle w:val="NoSpacing"/>
        <w:rPr>
          <w:rFonts w:ascii="Arial" w:hAnsi="Arial" w:cs="Arial"/>
          <w:b/>
          <w:bCs/>
          <w:sz w:val="22"/>
          <w:szCs w:val="22"/>
        </w:rPr>
      </w:pPr>
      <w:r w:rsidRPr="007C5BF5">
        <w:rPr>
          <w:rFonts w:ascii="Arial" w:hAnsi="Arial" w:cs="Arial"/>
          <w:b/>
          <w:bCs/>
          <w:sz w:val="22"/>
          <w:szCs w:val="22"/>
        </w:rPr>
        <w:t>Table 3. Chemical composition (% dry matter basis) of mushroom (</w:t>
      </w:r>
      <w:r w:rsidRPr="007C5BF5">
        <w:rPr>
          <w:rFonts w:ascii="Arial" w:hAnsi="Arial" w:cs="Arial"/>
          <w:b/>
          <w:bCs/>
          <w:i/>
          <w:sz w:val="22"/>
          <w:szCs w:val="22"/>
        </w:rPr>
        <w:t>Agaricus bisporus</w:t>
      </w:r>
      <w:r w:rsidRPr="007C5BF5">
        <w:rPr>
          <w:rFonts w:ascii="Arial" w:hAnsi="Arial" w:cs="Arial"/>
          <w:b/>
          <w:bCs/>
          <w:sz w:val="22"/>
          <w:szCs w:val="22"/>
        </w:rPr>
        <w:t>) fruiting body waste</w:t>
      </w:r>
    </w:p>
    <w:tbl>
      <w:tblPr>
        <w:tblW w:w="5449" w:type="pct"/>
        <w:jc w:val="center"/>
        <w:tblLook w:val="04A0" w:firstRow="1" w:lastRow="0" w:firstColumn="1" w:lastColumn="0" w:noHBand="0" w:noVBand="1"/>
      </w:tblPr>
      <w:tblGrid>
        <w:gridCol w:w="5703"/>
        <w:gridCol w:w="4134"/>
      </w:tblGrid>
      <w:tr w:rsidR="003D4161" w:rsidRPr="003D4161" w14:paraId="5ABB955D" w14:textId="77777777" w:rsidTr="003D4161">
        <w:trPr>
          <w:trHeight w:val="288"/>
          <w:jc w:val="center"/>
        </w:trPr>
        <w:tc>
          <w:tcPr>
            <w:tcW w:w="2899" w:type="pct"/>
            <w:tcBorders>
              <w:top w:val="single" w:sz="4" w:space="0" w:color="auto"/>
              <w:bottom w:val="single" w:sz="4" w:space="0" w:color="auto"/>
            </w:tcBorders>
            <w:noWrap/>
            <w:vAlign w:val="bottom"/>
            <w:hideMark/>
          </w:tcPr>
          <w:p w14:paraId="65286EA3" w14:textId="77777777" w:rsidR="003D4161" w:rsidRPr="003D4161" w:rsidRDefault="003D4161" w:rsidP="003D4161">
            <w:pPr>
              <w:spacing w:before="120" w:after="120" w:line="240"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Nutrients (%)</w:t>
            </w:r>
          </w:p>
        </w:tc>
        <w:tc>
          <w:tcPr>
            <w:tcW w:w="2101" w:type="pct"/>
            <w:tcBorders>
              <w:top w:val="single" w:sz="4" w:space="0" w:color="auto"/>
              <w:bottom w:val="single" w:sz="4" w:space="0" w:color="auto"/>
            </w:tcBorders>
            <w:noWrap/>
            <w:vAlign w:val="bottom"/>
            <w:hideMark/>
          </w:tcPr>
          <w:p w14:paraId="5B294EA9" w14:textId="77777777" w:rsidR="003D4161" w:rsidRPr="003D4161" w:rsidRDefault="003D4161" w:rsidP="003D4161">
            <w:pPr>
              <w:spacing w:before="120" w:after="120" w:line="240"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Mushroom Waste</w:t>
            </w:r>
          </w:p>
        </w:tc>
      </w:tr>
      <w:tr w:rsidR="003D4161" w:rsidRPr="003D4161" w14:paraId="32F57CD8" w14:textId="77777777" w:rsidTr="003D4161">
        <w:trPr>
          <w:trHeight w:val="288"/>
          <w:jc w:val="center"/>
        </w:trPr>
        <w:tc>
          <w:tcPr>
            <w:tcW w:w="2899" w:type="pct"/>
            <w:noWrap/>
            <w:vAlign w:val="bottom"/>
            <w:hideMark/>
          </w:tcPr>
          <w:p w14:paraId="695E072B"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Crude Protein</w:t>
            </w:r>
          </w:p>
        </w:tc>
        <w:tc>
          <w:tcPr>
            <w:tcW w:w="2101" w:type="pct"/>
            <w:noWrap/>
            <w:vAlign w:val="bottom"/>
            <w:hideMark/>
          </w:tcPr>
          <w:p w14:paraId="5745FC86"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13.2</w:t>
            </w:r>
          </w:p>
        </w:tc>
      </w:tr>
      <w:tr w:rsidR="003D4161" w:rsidRPr="003D4161" w14:paraId="3A8D3E7C" w14:textId="77777777" w:rsidTr="003D4161">
        <w:trPr>
          <w:trHeight w:val="288"/>
          <w:jc w:val="center"/>
        </w:trPr>
        <w:tc>
          <w:tcPr>
            <w:tcW w:w="2899" w:type="pct"/>
            <w:noWrap/>
            <w:vAlign w:val="bottom"/>
            <w:hideMark/>
          </w:tcPr>
          <w:p w14:paraId="0EC32DFC"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Ether Extract</w:t>
            </w:r>
          </w:p>
        </w:tc>
        <w:tc>
          <w:tcPr>
            <w:tcW w:w="2101" w:type="pct"/>
            <w:noWrap/>
            <w:vAlign w:val="bottom"/>
            <w:hideMark/>
          </w:tcPr>
          <w:p w14:paraId="70C7C2E8"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2.7</w:t>
            </w:r>
          </w:p>
        </w:tc>
      </w:tr>
      <w:tr w:rsidR="003D4161" w:rsidRPr="003D4161" w14:paraId="123ABDEA" w14:textId="77777777" w:rsidTr="003D4161">
        <w:trPr>
          <w:trHeight w:val="288"/>
          <w:jc w:val="center"/>
        </w:trPr>
        <w:tc>
          <w:tcPr>
            <w:tcW w:w="2899" w:type="pct"/>
            <w:noWrap/>
            <w:vAlign w:val="bottom"/>
            <w:hideMark/>
          </w:tcPr>
          <w:p w14:paraId="57A2ECCB"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Crude Fibre</w:t>
            </w:r>
          </w:p>
        </w:tc>
        <w:tc>
          <w:tcPr>
            <w:tcW w:w="2101" w:type="pct"/>
            <w:noWrap/>
            <w:vAlign w:val="bottom"/>
            <w:hideMark/>
          </w:tcPr>
          <w:p w14:paraId="2063081B"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10.5</w:t>
            </w:r>
          </w:p>
        </w:tc>
      </w:tr>
      <w:tr w:rsidR="003D4161" w:rsidRPr="003D4161" w14:paraId="35352556" w14:textId="77777777" w:rsidTr="003D4161">
        <w:trPr>
          <w:trHeight w:val="288"/>
          <w:jc w:val="center"/>
        </w:trPr>
        <w:tc>
          <w:tcPr>
            <w:tcW w:w="2899" w:type="pct"/>
            <w:noWrap/>
            <w:vAlign w:val="bottom"/>
            <w:hideMark/>
          </w:tcPr>
          <w:p w14:paraId="72948622"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Total Ash</w:t>
            </w:r>
          </w:p>
        </w:tc>
        <w:tc>
          <w:tcPr>
            <w:tcW w:w="2101" w:type="pct"/>
            <w:noWrap/>
            <w:vAlign w:val="bottom"/>
            <w:hideMark/>
          </w:tcPr>
          <w:p w14:paraId="46EAB52C"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11.6</w:t>
            </w:r>
          </w:p>
        </w:tc>
      </w:tr>
      <w:tr w:rsidR="003D4161" w:rsidRPr="003D4161" w14:paraId="662CAD39" w14:textId="77777777" w:rsidTr="003D4161">
        <w:trPr>
          <w:trHeight w:val="288"/>
          <w:jc w:val="center"/>
        </w:trPr>
        <w:tc>
          <w:tcPr>
            <w:tcW w:w="2899" w:type="pct"/>
            <w:tcBorders>
              <w:bottom w:val="single" w:sz="4" w:space="0" w:color="auto"/>
            </w:tcBorders>
            <w:noWrap/>
            <w:vAlign w:val="bottom"/>
            <w:hideMark/>
          </w:tcPr>
          <w:p w14:paraId="52E6319A"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Nitrogen Free Extract</w:t>
            </w:r>
          </w:p>
        </w:tc>
        <w:tc>
          <w:tcPr>
            <w:tcW w:w="2101" w:type="pct"/>
            <w:tcBorders>
              <w:bottom w:val="single" w:sz="4" w:space="0" w:color="auto"/>
            </w:tcBorders>
            <w:noWrap/>
            <w:vAlign w:val="bottom"/>
            <w:hideMark/>
          </w:tcPr>
          <w:p w14:paraId="6409C738"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62</w:t>
            </w:r>
          </w:p>
        </w:tc>
      </w:tr>
    </w:tbl>
    <w:p w14:paraId="760EBD0E" w14:textId="77777777" w:rsidR="003D4161" w:rsidRPr="003D4161" w:rsidRDefault="003D4161" w:rsidP="000004F3">
      <w:pPr>
        <w:spacing w:line="360" w:lineRule="auto"/>
        <w:jc w:val="both"/>
        <w:rPr>
          <w:rFonts w:ascii="Arial" w:hAnsi="Arial" w:cs="Arial"/>
          <w:b/>
          <w:bCs/>
          <w:sz w:val="20"/>
          <w:szCs w:val="20"/>
        </w:rPr>
      </w:pPr>
    </w:p>
    <w:p w14:paraId="6CD5F8F4" w14:textId="71C03719" w:rsidR="0008226F" w:rsidRPr="00DA6706" w:rsidRDefault="00652F73" w:rsidP="00DA6706">
      <w:pPr>
        <w:spacing w:line="360" w:lineRule="auto"/>
        <w:rPr>
          <w:rFonts w:ascii="Arial" w:hAnsi="Arial" w:cs="Arial"/>
          <w:b/>
          <w:bCs/>
          <w:sz w:val="22"/>
          <w:szCs w:val="22"/>
        </w:rPr>
      </w:pPr>
      <w:r w:rsidRPr="00DA6706">
        <w:rPr>
          <w:rFonts w:ascii="Arial" w:hAnsi="Arial" w:cs="Arial"/>
          <w:b/>
          <w:bCs/>
          <w:sz w:val="22"/>
          <w:szCs w:val="22"/>
        </w:rPr>
        <w:t>3</w:t>
      </w:r>
      <w:r w:rsidR="00987EF0" w:rsidRPr="00DA6706">
        <w:rPr>
          <w:rFonts w:ascii="Arial" w:hAnsi="Arial" w:cs="Arial"/>
          <w:b/>
          <w:bCs/>
          <w:sz w:val="22"/>
          <w:szCs w:val="22"/>
        </w:rPr>
        <w:t xml:space="preserve">. </w:t>
      </w:r>
      <w:r w:rsidR="0008226F" w:rsidRPr="00DA6706">
        <w:rPr>
          <w:rFonts w:ascii="Arial" w:hAnsi="Arial" w:cs="Arial"/>
          <w:b/>
          <w:bCs/>
          <w:sz w:val="22"/>
          <w:szCs w:val="22"/>
        </w:rPr>
        <w:t>Production Parameters</w:t>
      </w:r>
    </w:p>
    <w:p w14:paraId="7B5204B8" w14:textId="351140E3"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3.1 </w:t>
      </w:r>
      <w:r w:rsidR="0008226F" w:rsidRPr="00DA6706">
        <w:rPr>
          <w:rFonts w:ascii="Arial" w:hAnsi="Arial" w:cs="Arial"/>
          <w:b/>
          <w:bCs/>
          <w:sz w:val="22"/>
          <w:szCs w:val="22"/>
        </w:rPr>
        <w:t>Feed intake</w:t>
      </w:r>
    </w:p>
    <w:p w14:paraId="583CA875" w14:textId="46F1F314"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Feed offered to each treatment group was recorded daily, and fresh feed was supplied each morning at 07:00 h. Feed refusals from each replicate were collected and weighed on a weekly basis. Weekly feed intake was calculated by subtracting the quantity of residual feed from the total feed offered during the corresponding period. Feed intake was expressed as grams per bird per week by dividing the total weekly feed intake by the number of birds in each replicate.</w:t>
      </w:r>
    </w:p>
    <w:p w14:paraId="2A176DDE" w14:textId="395345BE"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3.2 </w:t>
      </w:r>
      <w:r w:rsidR="0008226F" w:rsidRPr="00DA6706">
        <w:rPr>
          <w:rFonts w:ascii="Arial" w:hAnsi="Arial" w:cs="Arial"/>
          <w:b/>
          <w:bCs/>
          <w:sz w:val="22"/>
          <w:szCs w:val="22"/>
        </w:rPr>
        <w:t>Body weight gain</w:t>
      </w:r>
    </w:p>
    <w:p w14:paraId="7A4F74D3" w14:textId="507C45F5"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Growth performance was assessed by recording individual body weights of Broiler chicks at the beginning of the experiment and subsequently at weekly intervals using a digital electronic balance. </w:t>
      </w:r>
      <w:r w:rsidRPr="003D4161">
        <w:rPr>
          <w:rFonts w:ascii="Arial" w:hAnsi="Arial" w:cs="Arial"/>
          <w:sz w:val="20"/>
          <w:szCs w:val="20"/>
        </w:rPr>
        <w:lastRenderedPageBreak/>
        <w:t>Weekly body weight gain was calculated as the difference between successive body weight recordings, while overall body weight gain was determined from the difference between initial and final body weights at the end of the experimental period.</w:t>
      </w:r>
    </w:p>
    <w:p w14:paraId="5541C8D9" w14:textId="704DA301"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3.3 </w:t>
      </w:r>
      <w:r w:rsidR="0008226F" w:rsidRPr="00DA6706">
        <w:rPr>
          <w:rFonts w:ascii="Arial" w:hAnsi="Arial" w:cs="Arial"/>
          <w:b/>
          <w:bCs/>
          <w:sz w:val="22"/>
          <w:szCs w:val="22"/>
        </w:rPr>
        <w:t>Feed conversion ratio</w:t>
      </w:r>
    </w:p>
    <w:p w14:paraId="57C312F5" w14:textId="77777777"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Feed conversion ratio (FCR) was calculated as the ratio of feed consumed (kg) to body weight gain (kg) for each replicate during different phases of the experiment.</w:t>
      </w:r>
    </w:p>
    <w:p w14:paraId="35519BFE" w14:textId="6BDADAB1"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FCR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 xml:space="preserve">Feed consumed </m:t>
              </m:r>
            </m:num>
            <m:den>
              <m:r>
                <w:rPr>
                  <w:rFonts w:ascii="Cambria Math" w:eastAsiaTheme="minorEastAsia" w:hAnsi="Cambria Math" w:cs="Arial"/>
                  <w:sz w:val="20"/>
                  <w:szCs w:val="20"/>
                </w:rPr>
                <m:t>Weight gain</m:t>
              </m:r>
            </m:den>
          </m:f>
        </m:oMath>
      </m:oMathPara>
    </w:p>
    <w:p w14:paraId="16DA1E4A" w14:textId="5398EF0E"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3.4 </w:t>
      </w:r>
      <w:r w:rsidR="0008226F" w:rsidRPr="00DA6706">
        <w:rPr>
          <w:rFonts w:ascii="Arial" w:hAnsi="Arial" w:cs="Arial"/>
          <w:b/>
          <w:bCs/>
          <w:sz w:val="22"/>
          <w:szCs w:val="22"/>
        </w:rPr>
        <w:t>Performance index</w:t>
      </w:r>
    </w:p>
    <w:p w14:paraId="48C8CD81" w14:textId="4E50C32F"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The performance index (PI) for </w:t>
      </w:r>
      <w:r w:rsidR="00DB6CF5" w:rsidRPr="003D4161">
        <w:rPr>
          <w:rFonts w:ascii="Arial" w:hAnsi="Arial" w:cs="Arial"/>
          <w:sz w:val="20"/>
          <w:szCs w:val="20"/>
        </w:rPr>
        <w:t>Broiler chicks</w:t>
      </w:r>
      <w:r w:rsidRPr="003D4161">
        <w:rPr>
          <w:rFonts w:ascii="Arial" w:hAnsi="Arial" w:cs="Arial"/>
          <w:sz w:val="20"/>
          <w:szCs w:val="20"/>
        </w:rPr>
        <w:t xml:space="preserve"> during different growth phases was calculated according to the formula proposed by Bird (1995).</w:t>
      </w:r>
    </w:p>
    <w:p w14:paraId="3AAA6C46" w14:textId="6AC03C6C"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Performance index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 xml:space="preserve">Body weight gain (g) </m:t>
              </m:r>
            </m:num>
            <m:den>
              <m:r>
                <w:rPr>
                  <w:rFonts w:ascii="Cambria Math" w:eastAsiaTheme="minorEastAsia" w:hAnsi="Cambria Math" w:cs="Arial"/>
                  <w:sz w:val="20"/>
                  <w:szCs w:val="20"/>
                </w:rPr>
                <m:t>FCR</m:t>
              </m:r>
            </m:den>
          </m:f>
        </m:oMath>
      </m:oMathPara>
    </w:p>
    <w:p w14:paraId="37089059" w14:textId="2A0C6281"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3.5 </w:t>
      </w:r>
      <w:r w:rsidR="0008226F" w:rsidRPr="00DA6706">
        <w:rPr>
          <w:rFonts w:ascii="Arial" w:hAnsi="Arial" w:cs="Arial"/>
          <w:b/>
          <w:bCs/>
          <w:sz w:val="22"/>
          <w:szCs w:val="22"/>
        </w:rPr>
        <w:t>Metabolic Trial and Nutrient Utilization</w:t>
      </w:r>
    </w:p>
    <w:p w14:paraId="5E9674C8" w14:textId="15735E76"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To evaluate nutrient utilization, a seven-day metabolic trial was conducted during the sixth week of the feeding experiment. </w:t>
      </w:r>
      <w:r w:rsidR="00DB6CF5" w:rsidRPr="003D4161">
        <w:rPr>
          <w:rFonts w:ascii="Arial" w:hAnsi="Arial" w:cs="Arial"/>
          <w:sz w:val="20"/>
          <w:szCs w:val="20"/>
        </w:rPr>
        <w:t>Twelve</w:t>
      </w:r>
      <w:r w:rsidRPr="003D4161">
        <w:rPr>
          <w:rFonts w:ascii="Arial" w:hAnsi="Arial" w:cs="Arial"/>
          <w:sz w:val="20"/>
          <w:szCs w:val="20"/>
        </w:rPr>
        <w:t xml:space="preserve"> birds (t</w:t>
      </w:r>
      <w:r w:rsidR="00DB6CF5" w:rsidRPr="003D4161">
        <w:rPr>
          <w:rFonts w:ascii="Arial" w:hAnsi="Arial" w:cs="Arial"/>
          <w:sz w:val="20"/>
          <w:szCs w:val="20"/>
        </w:rPr>
        <w:t>hree</w:t>
      </w:r>
      <w:r w:rsidRPr="003D4161">
        <w:rPr>
          <w:rFonts w:ascii="Arial" w:hAnsi="Arial" w:cs="Arial"/>
          <w:sz w:val="20"/>
          <w:szCs w:val="20"/>
        </w:rPr>
        <w:t xml:space="preserve"> birds per treatment) were randomly selected and housed individually in metabolic cages. The trial consisted of a four-day adaptation period followed by a three-day collection period. Faecal trays were lined with polythene sheets to facilitate complete and uncontaminated excreta collection.</w:t>
      </w:r>
    </w:p>
    <w:p w14:paraId="4D0AFD50" w14:textId="77777777"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During the collection period, a measured quantity of feed was offered daily, and feed residues were weighed the following morning at a fixed time. Excreta voided by each bird were collected and weighed daily. Representative samples of feed and excreta were dried in a hot-air oven, ground, and analysed for proximate principles, including dry matter, ether extract, crude fibre, nitrogen-free extract, and total ash on a dry matter basis following AOAC (2023) procedures. For nitrogen estimation, fresh excreta samples were preserved with a few drops of 25% sulphuric acid (v/v) in airtight containers and analysed on a wet matter basis.</w:t>
      </w:r>
    </w:p>
    <w:p w14:paraId="341A37A8" w14:textId="4604A1E0"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 xml:space="preserve">Nutrient utilization </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m:t>
              </m:r>
            </m:e>
          </m:d>
          <m:r>
            <m:rPr>
              <m:sty m:val="p"/>
            </m:rP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Nutrient intake in feed - Nutrient loss in excreta</m:t>
              </m:r>
            </m:num>
            <m:den>
              <m:r>
                <w:rPr>
                  <w:rFonts w:ascii="Cambria Math" w:eastAsiaTheme="minorEastAsia" w:hAnsi="Cambria Math" w:cs="Arial"/>
                  <w:sz w:val="20"/>
                  <w:szCs w:val="20"/>
                </w:rPr>
                <m:t>Nutrient intake in feed</m:t>
              </m:r>
            </m:den>
          </m:f>
          <m:r>
            <w:rPr>
              <w:rFonts w:ascii="Cambria Math" w:eastAsiaTheme="minorEastAsia" w:hAnsi="Cambria Math" w:cs="Arial"/>
              <w:sz w:val="20"/>
              <w:szCs w:val="20"/>
            </w:rPr>
            <m:t>x 100</m:t>
          </m:r>
        </m:oMath>
      </m:oMathPara>
    </w:p>
    <w:p w14:paraId="081878A8" w14:textId="4AA7D87A" w:rsidR="00B841A5" w:rsidRPr="00DA6706" w:rsidRDefault="00DA6706" w:rsidP="000004F3">
      <w:pPr>
        <w:spacing w:line="360" w:lineRule="auto"/>
        <w:rPr>
          <w:rFonts w:ascii="Arial" w:hAnsi="Arial" w:cs="Arial"/>
          <w:b/>
          <w:bCs/>
          <w:sz w:val="22"/>
          <w:szCs w:val="22"/>
        </w:rPr>
      </w:pPr>
      <w:r>
        <w:rPr>
          <w:rFonts w:ascii="Arial" w:hAnsi="Arial" w:cs="Arial"/>
          <w:b/>
          <w:bCs/>
          <w:sz w:val="22"/>
          <w:szCs w:val="22"/>
        </w:rPr>
        <w:t>4</w:t>
      </w:r>
      <w:r w:rsidR="007E5DF3" w:rsidRPr="00DA6706">
        <w:rPr>
          <w:rFonts w:ascii="Arial" w:hAnsi="Arial" w:cs="Arial"/>
          <w:b/>
          <w:bCs/>
          <w:sz w:val="22"/>
          <w:szCs w:val="22"/>
        </w:rPr>
        <w:t xml:space="preserve">. </w:t>
      </w:r>
      <w:r w:rsidR="00B841A5" w:rsidRPr="00DA6706">
        <w:rPr>
          <w:rFonts w:ascii="Arial" w:hAnsi="Arial" w:cs="Arial"/>
          <w:b/>
          <w:bCs/>
          <w:sz w:val="22"/>
          <w:szCs w:val="22"/>
        </w:rPr>
        <w:t>RESULTS AND DISCUSSION</w:t>
      </w:r>
    </w:p>
    <w:p w14:paraId="2DD9797C" w14:textId="5A11486B" w:rsidR="00B841A5" w:rsidRPr="00E913C4" w:rsidRDefault="00E913C4" w:rsidP="000004F3">
      <w:pPr>
        <w:spacing w:line="360" w:lineRule="auto"/>
        <w:rPr>
          <w:rFonts w:ascii="Arial" w:hAnsi="Arial" w:cs="Arial"/>
          <w:b/>
          <w:bCs/>
          <w:sz w:val="22"/>
          <w:szCs w:val="22"/>
        </w:rPr>
      </w:pPr>
      <w:r w:rsidRPr="00E913C4">
        <w:rPr>
          <w:rFonts w:ascii="Arial" w:hAnsi="Arial" w:cs="Arial"/>
          <w:b/>
          <w:bCs/>
          <w:sz w:val="22"/>
          <w:szCs w:val="22"/>
        </w:rPr>
        <w:t xml:space="preserve">4.1 </w:t>
      </w:r>
      <w:r w:rsidR="00B841A5" w:rsidRPr="00E913C4">
        <w:rPr>
          <w:rFonts w:ascii="Arial" w:hAnsi="Arial" w:cs="Arial"/>
          <w:b/>
          <w:bCs/>
          <w:sz w:val="22"/>
          <w:szCs w:val="22"/>
        </w:rPr>
        <w:t>Growth performance</w:t>
      </w:r>
    </w:p>
    <w:p w14:paraId="0B164339" w14:textId="46CD0959" w:rsidR="00B841A5"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During the starter phase (0–21 days), there was no significant (</w:t>
      </w:r>
      <w:r w:rsidR="00DB6CF5" w:rsidRPr="003D4161">
        <w:rPr>
          <w:rFonts w:ascii="Arial" w:hAnsi="Arial" w:cs="Arial"/>
          <w:sz w:val="20"/>
          <w:szCs w:val="20"/>
        </w:rPr>
        <w:t>P</w:t>
      </w:r>
      <w:r w:rsidR="008414C5" w:rsidRPr="003D4161">
        <w:rPr>
          <w:rFonts w:ascii="Arial" w:hAnsi="Arial" w:cs="Arial"/>
          <w:sz w:val="20"/>
          <w:szCs w:val="20"/>
        </w:rPr>
        <w:t xml:space="preserve"> </w:t>
      </w:r>
      <w:r w:rsidRPr="003D4161">
        <w:rPr>
          <w:rFonts w:ascii="Arial" w:hAnsi="Arial" w:cs="Arial"/>
          <w:sz w:val="20"/>
          <w:szCs w:val="20"/>
        </w:rPr>
        <w:t>&gt;</w:t>
      </w:r>
      <w:r w:rsidR="008414C5" w:rsidRPr="003D4161">
        <w:rPr>
          <w:rFonts w:ascii="Arial" w:hAnsi="Arial" w:cs="Arial"/>
          <w:sz w:val="20"/>
          <w:szCs w:val="20"/>
        </w:rPr>
        <w:t xml:space="preserve"> </w:t>
      </w:r>
      <w:r w:rsidRPr="003D4161">
        <w:rPr>
          <w:rFonts w:ascii="Arial" w:hAnsi="Arial" w:cs="Arial"/>
          <w:sz w:val="20"/>
          <w:szCs w:val="20"/>
        </w:rPr>
        <w:t>0.05) difference in final body weight, body weight gain, feed intake and feed conversion ratio among treatment groups. However, performance index differed significantly (</w:t>
      </w:r>
      <w:r w:rsidR="00DB6CF5" w:rsidRPr="003D4161">
        <w:rPr>
          <w:rFonts w:ascii="Arial" w:hAnsi="Arial" w:cs="Arial"/>
          <w:sz w:val="20"/>
          <w:szCs w:val="20"/>
        </w:rPr>
        <w:t xml:space="preserve">P </w:t>
      </w:r>
      <w:r w:rsidRPr="003D4161">
        <w:rPr>
          <w:rFonts w:ascii="Arial" w:hAnsi="Arial" w:cs="Arial"/>
          <w:sz w:val="20"/>
          <w:szCs w:val="20"/>
        </w:rPr>
        <w:t>&lt;</w:t>
      </w:r>
      <w:r w:rsidR="00DB6CF5" w:rsidRPr="003D4161">
        <w:rPr>
          <w:rFonts w:ascii="Arial" w:hAnsi="Arial" w:cs="Arial"/>
          <w:sz w:val="20"/>
          <w:szCs w:val="20"/>
        </w:rPr>
        <w:t xml:space="preserve"> </w:t>
      </w:r>
      <w:r w:rsidRPr="003D4161">
        <w:rPr>
          <w:rFonts w:ascii="Arial" w:hAnsi="Arial" w:cs="Arial"/>
          <w:sz w:val="20"/>
          <w:szCs w:val="20"/>
        </w:rPr>
        <w:t xml:space="preserve">0.001), with highest value recorded in T3 followed by T4 and T2, while lowest value was observed in control group. Similar improvement in performance index </w:t>
      </w:r>
      <w:r w:rsidRPr="003D4161">
        <w:rPr>
          <w:rFonts w:ascii="Arial" w:hAnsi="Arial" w:cs="Arial"/>
          <w:sz w:val="20"/>
          <w:szCs w:val="20"/>
        </w:rPr>
        <w:lastRenderedPageBreak/>
        <w:t>with mushroom supplementation has been reported earlier, which may be due to improved nutrient utilization and better gut environment.</w:t>
      </w:r>
    </w:p>
    <w:p w14:paraId="701D8585" w14:textId="3FAE0580" w:rsidR="00B841A5"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During finisher phase (21–42 days), body weight gain increased significantly (</w:t>
      </w:r>
      <w:r w:rsidR="00DB6CF5" w:rsidRPr="003D4161">
        <w:rPr>
          <w:rFonts w:ascii="Arial" w:hAnsi="Arial" w:cs="Arial"/>
          <w:sz w:val="20"/>
          <w:szCs w:val="20"/>
        </w:rPr>
        <w:t>P</w:t>
      </w:r>
      <w:r w:rsidR="008414C5" w:rsidRPr="003D4161">
        <w:rPr>
          <w:rFonts w:ascii="Arial" w:hAnsi="Arial" w:cs="Arial"/>
          <w:sz w:val="20"/>
          <w:szCs w:val="20"/>
        </w:rPr>
        <w:t xml:space="preserve"> </w:t>
      </w:r>
      <w:r w:rsidRPr="003D4161">
        <w:rPr>
          <w:rFonts w:ascii="Arial" w:hAnsi="Arial" w:cs="Arial"/>
          <w:sz w:val="20"/>
          <w:szCs w:val="20"/>
        </w:rPr>
        <w:t>&lt;</w:t>
      </w:r>
      <w:r w:rsidR="008414C5" w:rsidRPr="003D4161">
        <w:rPr>
          <w:rFonts w:ascii="Arial" w:hAnsi="Arial" w:cs="Arial"/>
          <w:sz w:val="20"/>
          <w:szCs w:val="20"/>
        </w:rPr>
        <w:t xml:space="preserve"> </w:t>
      </w:r>
      <w:r w:rsidRPr="003D4161">
        <w:rPr>
          <w:rFonts w:ascii="Arial" w:hAnsi="Arial" w:cs="Arial"/>
          <w:sz w:val="20"/>
          <w:szCs w:val="20"/>
        </w:rPr>
        <w:t>0.05) in T3 and T4 compared to control. Feed intake did not differ significantly (</w:t>
      </w:r>
      <w:r w:rsidR="00936C46" w:rsidRPr="003D4161">
        <w:rPr>
          <w:rFonts w:ascii="Arial" w:hAnsi="Arial" w:cs="Arial"/>
          <w:sz w:val="20"/>
          <w:szCs w:val="20"/>
        </w:rPr>
        <w:t xml:space="preserve">P </w:t>
      </w:r>
      <w:r w:rsidRPr="003D4161">
        <w:rPr>
          <w:rFonts w:ascii="Arial" w:hAnsi="Arial" w:cs="Arial"/>
          <w:sz w:val="20"/>
          <w:szCs w:val="20"/>
        </w:rPr>
        <w:t>&gt;</w:t>
      </w:r>
      <w:r w:rsidR="00936C46" w:rsidRPr="003D4161">
        <w:rPr>
          <w:rFonts w:ascii="Arial" w:hAnsi="Arial" w:cs="Arial"/>
          <w:sz w:val="20"/>
          <w:szCs w:val="20"/>
        </w:rPr>
        <w:t xml:space="preserve"> </w:t>
      </w:r>
      <w:r w:rsidRPr="003D4161">
        <w:rPr>
          <w:rFonts w:ascii="Arial" w:hAnsi="Arial" w:cs="Arial"/>
          <w:sz w:val="20"/>
          <w:szCs w:val="20"/>
        </w:rPr>
        <w:t>0.05) among treatments. Feed conversion ratio improved significantly (</w:t>
      </w:r>
      <w:r w:rsidR="00936C46" w:rsidRPr="003D4161">
        <w:rPr>
          <w:rFonts w:ascii="Arial" w:hAnsi="Arial" w:cs="Arial"/>
          <w:sz w:val="20"/>
          <w:szCs w:val="20"/>
        </w:rPr>
        <w:t xml:space="preserve">P </w:t>
      </w:r>
      <w:r w:rsidRPr="003D4161">
        <w:rPr>
          <w:rFonts w:ascii="Arial" w:hAnsi="Arial" w:cs="Arial"/>
          <w:sz w:val="20"/>
          <w:szCs w:val="20"/>
        </w:rPr>
        <w:t>&lt;</w:t>
      </w:r>
      <w:r w:rsidR="00936C46" w:rsidRPr="003D4161">
        <w:rPr>
          <w:rFonts w:ascii="Arial" w:hAnsi="Arial" w:cs="Arial"/>
          <w:sz w:val="20"/>
          <w:szCs w:val="20"/>
        </w:rPr>
        <w:t xml:space="preserve"> </w:t>
      </w:r>
      <w:r w:rsidRPr="003D4161">
        <w:rPr>
          <w:rFonts w:ascii="Arial" w:hAnsi="Arial" w:cs="Arial"/>
          <w:sz w:val="20"/>
          <w:szCs w:val="20"/>
        </w:rPr>
        <w:t xml:space="preserve">0.05) with best value in T3, indicating improved feed efficiency at 2% mushroom waste supplementation. These results </w:t>
      </w:r>
      <w:proofErr w:type="gramStart"/>
      <w:r w:rsidRPr="003D4161">
        <w:rPr>
          <w:rFonts w:ascii="Arial" w:hAnsi="Arial" w:cs="Arial"/>
          <w:sz w:val="20"/>
          <w:szCs w:val="20"/>
        </w:rPr>
        <w:t>are in agreement</w:t>
      </w:r>
      <w:proofErr w:type="gramEnd"/>
      <w:r w:rsidRPr="003D4161">
        <w:rPr>
          <w:rFonts w:ascii="Arial" w:hAnsi="Arial" w:cs="Arial"/>
          <w:sz w:val="20"/>
          <w:szCs w:val="20"/>
        </w:rPr>
        <w:t xml:space="preserve"> with earlier reports where inclusion of mushroom by-products improved growth performance and feed conversion efficiency in broiler chickens, which may be attributed to the presence of bioactive polysaccharides and antioxidant compounds that enhance intestinal health and nutrient absorption.</w:t>
      </w:r>
    </w:p>
    <w:p w14:paraId="11813438" w14:textId="37F81FB9" w:rsidR="008060F1"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Overall (0–42 days), final body weight and cumulative body weight gain were significantly higher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0.05) in T3 and T4 compared to</w:t>
      </w:r>
      <w:r w:rsidR="00C07322" w:rsidRPr="003D4161">
        <w:rPr>
          <w:rFonts w:ascii="Arial" w:hAnsi="Arial" w:cs="Arial"/>
          <w:sz w:val="20"/>
          <w:szCs w:val="20"/>
        </w:rPr>
        <w:t xml:space="preserve"> T1</w:t>
      </w:r>
      <w:r w:rsidRPr="003D4161">
        <w:rPr>
          <w:rFonts w:ascii="Arial" w:hAnsi="Arial" w:cs="Arial"/>
          <w:sz w:val="20"/>
          <w:szCs w:val="20"/>
        </w:rPr>
        <w:t xml:space="preserve"> </w:t>
      </w:r>
      <w:r w:rsidR="00C07322" w:rsidRPr="003D4161">
        <w:rPr>
          <w:rFonts w:ascii="Arial" w:hAnsi="Arial" w:cs="Arial"/>
          <w:sz w:val="20"/>
          <w:szCs w:val="20"/>
        </w:rPr>
        <w:t>(</w:t>
      </w:r>
      <w:r w:rsidRPr="003D4161">
        <w:rPr>
          <w:rFonts w:ascii="Arial" w:hAnsi="Arial" w:cs="Arial"/>
          <w:sz w:val="20"/>
          <w:szCs w:val="20"/>
        </w:rPr>
        <w:t>control</w:t>
      </w:r>
      <w:r w:rsidR="00C07322" w:rsidRPr="003D4161">
        <w:rPr>
          <w:rFonts w:ascii="Arial" w:hAnsi="Arial" w:cs="Arial"/>
          <w:sz w:val="20"/>
          <w:szCs w:val="20"/>
        </w:rPr>
        <w:t>)</w:t>
      </w:r>
      <w:r w:rsidR="009922D2" w:rsidRPr="003D4161">
        <w:rPr>
          <w:rFonts w:ascii="Arial" w:hAnsi="Arial" w:cs="Arial"/>
          <w:sz w:val="20"/>
          <w:szCs w:val="20"/>
        </w:rPr>
        <w:t>.</w:t>
      </w:r>
      <w:r w:rsidRPr="003D4161">
        <w:rPr>
          <w:rFonts w:ascii="Arial" w:hAnsi="Arial" w:cs="Arial"/>
          <w:sz w:val="20"/>
          <w:szCs w:val="20"/>
        </w:rPr>
        <w:t xml:space="preserve"> Feed intake remained similar among treatments. Feed conversion ratio improved significantly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0.05), with best value recorded in T3. Performance index differed significantly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0.001) and was highest in T3. These findings indicate that supplementation of mushroom fruiting body waste powder at moderate inclusion level (2%) improves broiler growth performance without affecting feed intake.</w:t>
      </w:r>
    </w:p>
    <w:p w14:paraId="03470E6F" w14:textId="2E0CE16F" w:rsidR="003B2F40" w:rsidRPr="003D4161" w:rsidRDefault="003B2F40" w:rsidP="00E913C4">
      <w:pPr>
        <w:spacing w:before="120" w:after="120" w:line="360" w:lineRule="auto"/>
        <w:jc w:val="both"/>
        <w:rPr>
          <w:rFonts w:ascii="Arial" w:hAnsi="Arial" w:cs="Arial"/>
          <w:sz w:val="20"/>
          <w:szCs w:val="20"/>
        </w:rPr>
      </w:pPr>
      <w:r w:rsidRPr="003D4161">
        <w:rPr>
          <w:rFonts w:ascii="Arial" w:hAnsi="Arial" w:cs="Arial"/>
          <w:sz w:val="20"/>
          <w:szCs w:val="20"/>
        </w:rPr>
        <w:t xml:space="preserve">The present findings </w:t>
      </w:r>
      <w:proofErr w:type="gramStart"/>
      <w:r w:rsidRPr="003D4161">
        <w:rPr>
          <w:rFonts w:ascii="Arial" w:hAnsi="Arial" w:cs="Arial"/>
          <w:sz w:val="20"/>
          <w:szCs w:val="20"/>
        </w:rPr>
        <w:t>are in agreement</w:t>
      </w:r>
      <w:proofErr w:type="gramEnd"/>
      <w:r w:rsidRPr="003D4161">
        <w:rPr>
          <w:rFonts w:ascii="Arial" w:hAnsi="Arial" w:cs="Arial"/>
          <w:sz w:val="20"/>
          <w:szCs w:val="20"/>
        </w:rPr>
        <w:t xml:space="preserve"> with the observations of </w:t>
      </w:r>
      <w:proofErr w:type="spellStart"/>
      <w:r w:rsidRPr="003D4161">
        <w:rPr>
          <w:rFonts w:ascii="Arial" w:hAnsi="Arial" w:cs="Arial"/>
          <w:bCs/>
          <w:sz w:val="20"/>
          <w:szCs w:val="20"/>
        </w:rPr>
        <w:t>Giannenas</w:t>
      </w:r>
      <w:proofErr w:type="spellEnd"/>
      <w:r w:rsidRPr="003D4161">
        <w:rPr>
          <w:rFonts w:ascii="Arial" w:hAnsi="Arial" w:cs="Arial"/>
          <w:bCs/>
          <w:i/>
          <w:sz w:val="20"/>
          <w:szCs w:val="20"/>
        </w:rPr>
        <w:t xml:space="preserve"> et al. </w:t>
      </w:r>
      <w:r w:rsidRPr="003D4161">
        <w:rPr>
          <w:rFonts w:ascii="Arial" w:hAnsi="Arial" w:cs="Arial"/>
          <w:bCs/>
          <w:sz w:val="20"/>
          <w:szCs w:val="20"/>
        </w:rPr>
        <w:t>(2011),</w:t>
      </w:r>
      <w:r w:rsidRPr="003D4161">
        <w:rPr>
          <w:rFonts w:ascii="Arial" w:hAnsi="Arial" w:cs="Arial"/>
          <w:sz w:val="20"/>
          <w:szCs w:val="20"/>
        </w:rPr>
        <w:t xml:space="preserve"> who reported that dietary inclusion of </w:t>
      </w:r>
      <w:r w:rsidRPr="003D4161">
        <w:rPr>
          <w:rFonts w:ascii="Arial" w:hAnsi="Arial" w:cs="Arial"/>
          <w:i/>
          <w:sz w:val="20"/>
          <w:szCs w:val="20"/>
        </w:rPr>
        <w:t xml:space="preserve">Agaricus bisporus </w:t>
      </w:r>
      <w:r w:rsidRPr="003D4161">
        <w:rPr>
          <w:rFonts w:ascii="Arial" w:hAnsi="Arial" w:cs="Arial"/>
          <w:sz w:val="20"/>
          <w:szCs w:val="20"/>
        </w:rPr>
        <w:t xml:space="preserve">significantly (P &lt; 0.05) enhanced body weight gain in turkey poults. Comparable results were documented by Shamsi </w:t>
      </w:r>
      <w:r w:rsidRPr="003D4161">
        <w:rPr>
          <w:rFonts w:ascii="Arial" w:hAnsi="Arial" w:cs="Arial"/>
          <w:i/>
          <w:sz w:val="20"/>
          <w:szCs w:val="20"/>
        </w:rPr>
        <w:t xml:space="preserve">et al. </w:t>
      </w:r>
      <w:r w:rsidRPr="003D4161">
        <w:rPr>
          <w:rFonts w:ascii="Arial" w:hAnsi="Arial" w:cs="Arial"/>
          <w:sz w:val="20"/>
          <w:szCs w:val="20"/>
        </w:rPr>
        <w:t xml:space="preserve">(2015), who observed improved weight gain in broiler chickens fed diets supplemented with </w:t>
      </w:r>
      <w:r w:rsidRPr="003D4161">
        <w:rPr>
          <w:rFonts w:ascii="Arial" w:hAnsi="Arial" w:cs="Arial"/>
          <w:i/>
          <w:sz w:val="20"/>
          <w:szCs w:val="20"/>
        </w:rPr>
        <w:t xml:space="preserve">Agaricus bisporus </w:t>
      </w:r>
      <w:r w:rsidRPr="003D4161">
        <w:rPr>
          <w:rFonts w:ascii="Arial" w:hAnsi="Arial" w:cs="Arial"/>
          <w:sz w:val="20"/>
          <w:szCs w:val="20"/>
        </w:rPr>
        <w:t xml:space="preserve">in combination with flavophospholipol. Similarly, </w:t>
      </w:r>
      <w:r w:rsidRPr="003D4161">
        <w:rPr>
          <w:rFonts w:ascii="Arial" w:hAnsi="Arial" w:cs="Arial"/>
          <w:bCs/>
          <w:sz w:val="20"/>
          <w:szCs w:val="20"/>
        </w:rPr>
        <w:t xml:space="preserve">Shang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demonstrated a significant increase (P &lt; 0.01) in average daily gain of broilers when Hericium caput medusae mushroom was incorporated into the diet. Similarly, </w:t>
      </w:r>
      <w:r w:rsidRPr="003D4161">
        <w:rPr>
          <w:rFonts w:ascii="Arial" w:hAnsi="Arial" w:cs="Arial"/>
          <w:bCs/>
          <w:sz w:val="20"/>
          <w:szCs w:val="20"/>
        </w:rPr>
        <w:t xml:space="preserve">Qaisrani </w:t>
      </w:r>
      <w:r w:rsidRPr="003D4161">
        <w:rPr>
          <w:rFonts w:ascii="Arial" w:hAnsi="Arial" w:cs="Arial"/>
          <w:bCs/>
          <w:i/>
          <w:sz w:val="20"/>
          <w:szCs w:val="20"/>
        </w:rPr>
        <w:t xml:space="preserve">et al. </w:t>
      </w:r>
      <w:r w:rsidRPr="003D4161">
        <w:rPr>
          <w:rFonts w:ascii="Arial" w:hAnsi="Arial" w:cs="Arial"/>
          <w:bCs/>
          <w:sz w:val="20"/>
          <w:szCs w:val="20"/>
        </w:rPr>
        <w:t>(2021)</w:t>
      </w:r>
      <w:r w:rsidRPr="003D4161">
        <w:rPr>
          <w:rFonts w:ascii="Arial" w:hAnsi="Arial" w:cs="Arial"/>
          <w:sz w:val="20"/>
          <w:szCs w:val="20"/>
        </w:rPr>
        <w:t xml:space="preserve"> investigated mushroom spent substrate supplementation in broilers chicks. As a </w:t>
      </w:r>
      <w:r w:rsidR="00652F73" w:rsidRPr="003D4161">
        <w:rPr>
          <w:rFonts w:ascii="Arial" w:hAnsi="Arial" w:cs="Arial"/>
          <w:sz w:val="20"/>
          <w:szCs w:val="20"/>
        </w:rPr>
        <w:t>result,</w:t>
      </w:r>
      <w:r w:rsidRPr="003D4161">
        <w:rPr>
          <w:rFonts w:ascii="Arial" w:hAnsi="Arial" w:cs="Arial"/>
          <w:sz w:val="20"/>
          <w:szCs w:val="20"/>
        </w:rPr>
        <w:t xml:space="preserve"> growth performance was improved, with higher body weight gain and lower feed conversion ratio recorded in birds receiving mushroom spent substrate.</w:t>
      </w:r>
      <w:r w:rsidR="00164F5D" w:rsidRPr="00164F5D">
        <w:t xml:space="preserve"> </w:t>
      </w:r>
      <w:r w:rsidR="00164F5D" w:rsidRPr="00164F5D">
        <w:rPr>
          <w:rFonts w:ascii="Arial" w:hAnsi="Arial" w:cs="Arial"/>
          <w:sz w:val="20"/>
          <w:szCs w:val="20"/>
        </w:rPr>
        <w:t xml:space="preserve">Dietary inclusion of dried edible mushrooms has also been reported to enhance broiler growth performance. Kumar et al. (2023) observed that supplementation of dried mushroom in broiler diets significantly improved body weight gain and feed conversion efficiency compared with birds fed the basal diet alone. </w:t>
      </w:r>
      <w:r w:rsidRPr="003D4161">
        <w:rPr>
          <w:rFonts w:ascii="Arial" w:hAnsi="Arial" w:cs="Arial"/>
          <w:sz w:val="20"/>
          <w:szCs w:val="20"/>
        </w:rPr>
        <w:t xml:space="preserve"> Comparable results were observed from the study conducted by </w:t>
      </w:r>
      <w:proofErr w:type="spellStart"/>
      <w:r w:rsidRPr="003D4161">
        <w:rPr>
          <w:rFonts w:ascii="Arial" w:hAnsi="Arial" w:cs="Arial"/>
          <w:bCs/>
          <w:sz w:val="20"/>
          <w:szCs w:val="20"/>
        </w:rPr>
        <w:t>Rebh</w:t>
      </w:r>
      <w:proofErr w:type="spellEnd"/>
      <w:r w:rsidRPr="003D4161">
        <w:rPr>
          <w:rFonts w:ascii="Arial" w:hAnsi="Arial" w:cs="Arial"/>
          <w:bCs/>
          <w:sz w:val="20"/>
          <w:szCs w:val="20"/>
        </w:rPr>
        <w:t xml:space="preserve"> </w:t>
      </w:r>
      <w:r w:rsidRPr="003D4161">
        <w:rPr>
          <w:rFonts w:ascii="Arial" w:hAnsi="Arial" w:cs="Arial"/>
          <w:bCs/>
          <w:i/>
          <w:sz w:val="20"/>
          <w:szCs w:val="20"/>
        </w:rPr>
        <w:t xml:space="preserve">et al. </w:t>
      </w:r>
      <w:r w:rsidRPr="003D4161">
        <w:rPr>
          <w:rFonts w:ascii="Arial" w:hAnsi="Arial" w:cs="Arial"/>
          <w:bCs/>
          <w:sz w:val="20"/>
          <w:szCs w:val="20"/>
        </w:rPr>
        <w:t>(2023),</w:t>
      </w:r>
      <w:r w:rsidRPr="003D4161">
        <w:rPr>
          <w:rFonts w:ascii="Arial" w:hAnsi="Arial" w:cs="Arial"/>
          <w:b/>
          <w:sz w:val="20"/>
          <w:szCs w:val="20"/>
        </w:rPr>
        <w:t xml:space="preserve"> </w:t>
      </w:r>
      <w:r w:rsidRPr="003D4161">
        <w:rPr>
          <w:rFonts w:ascii="Arial" w:hAnsi="Arial" w:cs="Arial"/>
          <w:sz w:val="20"/>
          <w:szCs w:val="20"/>
        </w:rPr>
        <w:t xml:space="preserve">who evaluated a combination of oyster mushroom </w:t>
      </w:r>
      <w:r w:rsidRPr="003D4161">
        <w:rPr>
          <w:rFonts w:ascii="Arial" w:hAnsi="Arial" w:cs="Arial"/>
          <w:i/>
          <w:sz w:val="20"/>
          <w:szCs w:val="20"/>
        </w:rPr>
        <w:t>(Pleurotus ostreatus)</w:t>
      </w:r>
      <w:r w:rsidRPr="003D4161">
        <w:rPr>
          <w:rFonts w:ascii="Arial" w:hAnsi="Arial" w:cs="Arial"/>
          <w:sz w:val="20"/>
          <w:szCs w:val="20"/>
        </w:rPr>
        <w:t xml:space="preserve"> and beta-glucan as a </w:t>
      </w:r>
      <w:proofErr w:type="spellStart"/>
      <w:r w:rsidRPr="003D4161">
        <w:rPr>
          <w:rFonts w:ascii="Arial" w:hAnsi="Arial" w:cs="Arial"/>
          <w:sz w:val="20"/>
          <w:szCs w:val="20"/>
        </w:rPr>
        <w:t>synbiotic</w:t>
      </w:r>
      <w:proofErr w:type="spellEnd"/>
      <w:r w:rsidRPr="003D4161">
        <w:rPr>
          <w:rFonts w:ascii="Arial" w:hAnsi="Arial" w:cs="Arial"/>
          <w:sz w:val="20"/>
          <w:szCs w:val="20"/>
        </w:rPr>
        <w:t xml:space="preserve"> supplement for broilers under heat stress. The supplemented groups showed significant (P &lt; 0.05) improvements in body weight, weight gain, feed conversion efficiency, and survivability.</w:t>
      </w:r>
    </w:p>
    <w:p w14:paraId="38135258" w14:textId="5E93AB91" w:rsidR="008060F1" w:rsidRPr="003D4161" w:rsidRDefault="003B2F40" w:rsidP="00E913C4">
      <w:pPr>
        <w:spacing w:before="120" w:after="120" w:line="360" w:lineRule="auto"/>
        <w:jc w:val="both"/>
        <w:rPr>
          <w:rFonts w:ascii="Arial" w:hAnsi="Arial" w:cs="Arial"/>
          <w:sz w:val="20"/>
          <w:szCs w:val="20"/>
        </w:rPr>
      </w:pPr>
      <w:r w:rsidRPr="003D4161">
        <w:rPr>
          <w:rFonts w:ascii="Arial" w:hAnsi="Arial" w:cs="Arial"/>
          <w:sz w:val="20"/>
          <w:szCs w:val="20"/>
        </w:rPr>
        <w:t xml:space="preserve">In contrast, </w:t>
      </w:r>
      <w:proofErr w:type="spellStart"/>
      <w:r w:rsidRPr="003D4161">
        <w:rPr>
          <w:rFonts w:ascii="Arial" w:hAnsi="Arial" w:cs="Arial"/>
          <w:bCs/>
          <w:sz w:val="20"/>
          <w:szCs w:val="20"/>
        </w:rPr>
        <w:t>Giannenas</w:t>
      </w:r>
      <w:proofErr w:type="spellEnd"/>
      <w:r w:rsidRPr="003D4161">
        <w:rPr>
          <w:rFonts w:ascii="Arial" w:hAnsi="Arial" w:cs="Arial"/>
          <w:bCs/>
          <w:sz w:val="20"/>
          <w:szCs w:val="20"/>
        </w:rPr>
        <w:t xml:space="preserve"> </w:t>
      </w:r>
      <w:r w:rsidRPr="003D4161">
        <w:rPr>
          <w:rFonts w:ascii="Arial" w:hAnsi="Arial" w:cs="Arial"/>
          <w:bCs/>
          <w:i/>
          <w:sz w:val="20"/>
          <w:szCs w:val="20"/>
        </w:rPr>
        <w:t xml:space="preserve">et al. </w:t>
      </w:r>
      <w:r w:rsidRPr="003D4161">
        <w:rPr>
          <w:rFonts w:ascii="Arial" w:hAnsi="Arial" w:cs="Arial"/>
          <w:bCs/>
          <w:sz w:val="20"/>
          <w:szCs w:val="20"/>
        </w:rPr>
        <w:t xml:space="preserve">(2010) and Natsir </w:t>
      </w:r>
      <w:r w:rsidRPr="003D4161">
        <w:rPr>
          <w:rFonts w:ascii="Arial" w:hAnsi="Arial" w:cs="Arial"/>
          <w:bCs/>
          <w:i/>
          <w:sz w:val="20"/>
          <w:szCs w:val="20"/>
        </w:rPr>
        <w:t xml:space="preserve">et al. </w:t>
      </w:r>
      <w:r w:rsidRPr="003D4161">
        <w:rPr>
          <w:rFonts w:ascii="Arial" w:hAnsi="Arial" w:cs="Arial"/>
          <w:bCs/>
          <w:sz w:val="20"/>
          <w:szCs w:val="20"/>
        </w:rPr>
        <w:t>(2020)</w:t>
      </w:r>
      <w:r w:rsidRPr="003D4161">
        <w:rPr>
          <w:rFonts w:ascii="Arial" w:hAnsi="Arial" w:cs="Arial"/>
          <w:sz w:val="20"/>
          <w:szCs w:val="20"/>
        </w:rPr>
        <w:t xml:space="preserve"> reported that supplementation of </w:t>
      </w:r>
      <w:r w:rsidRPr="003D4161">
        <w:rPr>
          <w:rFonts w:ascii="Arial" w:hAnsi="Arial" w:cs="Arial"/>
          <w:i/>
          <w:sz w:val="20"/>
          <w:szCs w:val="20"/>
        </w:rPr>
        <w:t xml:space="preserve">Agaricus bisporus </w:t>
      </w:r>
      <w:r w:rsidRPr="003D4161">
        <w:rPr>
          <w:rFonts w:ascii="Arial" w:hAnsi="Arial" w:cs="Arial"/>
          <w:sz w:val="20"/>
          <w:szCs w:val="20"/>
        </w:rPr>
        <w:t xml:space="preserve">in broiler diets did not influence body weight, with birds maintaining comparable weights throughout the experimental period. Supporting these findings, </w:t>
      </w:r>
      <w:proofErr w:type="spellStart"/>
      <w:r w:rsidRPr="003D4161">
        <w:rPr>
          <w:rFonts w:ascii="Arial" w:hAnsi="Arial" w:cs="Arial"/>
          <w:sz w:val="20"/>
          <w:szCs w:val="20"/>
        </w:rPr>
        <w:t>Maheri</w:t>
      </w:r>
      <w:proofErr w:type="spellEnd"/>
      <w:r w:rsidRPr="003D4161">
        <w:rPr>
          <w:rFonts w:ascii="Arial" w:hAnsi="Arial" w:cs="Arial"/>
          <w:sz w:val="20"/>
          <w:szCs w:val="20"/>
        </w:rPr>
        <w:t xml:space="preserve"> </w:t>
      </w:r>
      <w:r w:rsidRPr="003D4161">
        <w:rPr>
          <w:rFonts w:ascii="Arial" w:hAnsi="Arial" w:cs="Arial"/>
          <w:i/>
          <w:sz w:val="20"/>
          <w:szCs w:val="20"/>
        </w:rPr>
        <w:t xml:space="preserve">et al. </w:t>
      </w:r>
      <w:r w:rsidRPr="003D4161">
        <w:rPr>
          <w:rFonts w:ascii="Arial" w:hAnsi="Arial" w:cs="Arial"/>
          <w:sz w:val="20"/>
          <w:szCs w:val="20"/>
        </w:rPr>
        <w:t xml:space="preserve">(2017) observed no significant effect on weight gain in Japanese quail fed mushroom-based dietary treatments. Likewise, </w:t>
      </w:r>
      <w:r w:rsidRPr="003D4161">
        <w:rPr>
          <w:rFonts w:ascii="Arial" w:hAnsi="Arial" w:cs="Arial"/>
          <w:bCs/>
          <w:sz w:val="20"/>
          <w:szCs w:val="20"/>
        </w:rPr>
        <w:t xml:space="preserve">Mahfuz </w:t>
      </w:r>
      <w:r w:rsidRPr="003D4161">
        <w:rPr>
          <w:rFonts w:ascii="Arial" w:hAnsi="Arial" w:cs="Arial"/>
          <w:bCs/>
          <w:i/>
          <w:sz w:val="20"/>
          <w:szCs w:val="20"/>
        </w:rPr>
        <w:t xml:space="preserve">et al. </w:t>
      </w:r>
      <w:r w:rsidRPr="003D4161">
        <w:rPr>
          <w:rFonts w:ascii="Arial" w:hAnsi="Arial" w:cs="Arial"/>
          <w:bCs/>
          <w:sz w:val="20"/>
          <w:szCs w:val="20"/>
        </w:rPr>
        <w:t>(2019)</w:t>
      </w:r>
      <w:r w:rsidRPr="003D4161">
        <w:rPr>
          <w:rFonts w:ascii="Arial" w:hAnsi="Arial" w:cs="Arial"/>
          <w:sz w:val="20"/>
          <w:szCs w:val="20"/>
        </w:rPr>
        <w:t xml:space="preserve"> found no significant variation in live body weight during the experimental period in laying hens receiving diets containing </w:t>
      </w:r>
      <w:proofErr w:type="spellStart"/>
      <w:r w:rsidRPr="003D4161">
        <w:rPr>
          <w:rFonts w:ascii="Arial" w:hAnsi="Arial" w:cs="Arial"/>
          <w:i/>
          <w:sz w:val="20"/>
          <w:szCs w:val="20"/>
        </w:rPr>
        <w:t>Flammulina</w:t>
      </w:r>
      <w:proofErr w:type="spellEnd"/>
      <w:r w:rsidRPr="003D4161">
        <w:rPr>
          <w:rFonts w:ascii="Arial" w:hAnsi="Arial" w:cs="Arial"/>
          <w:i/>
          <w:sz w:val="20"/>
          <w:szCs w:val="20"/>
        </w:rPr>
        <w:t xml:space="preserve"> </w:t>
      </w:r>
      <w:proofErr w:type="spellStart"/>
      <w:r w:rsidRPr="003D4161">
        <w:rPr>
          <w:rFonts w:ascii="Arial" w:hAnsi="Arial" w:cs="Arial"/>
          <w:i/>
          <w:sz w:val="20"/>
          <w:szCs w:val="20"/>
        </w:rPr>
        <w:t>velutipes</w:t>
      </w:r>
      <w:proofErr w:type="spellEnd"/>
      <w:r w:rsidRPr="003D4161">
        <w:rPr>
          <w:rFonts w:ascii="Arial" w:hAnsi="Arial" w:cs="Arial"/>
          <w:sz w:val="20"/>
          <w:szCs w:val="20"/>
        </w:rPr>
        <w:t xml:space="preserve"> stem waste. </w:t>
      </w:r>
      <w:r w:rsidRPr="003D4161">
        <w:rPr>
          <w:rFonts w:ascii="Arial" w:hAnsi="Arial" w:cs="Arial"/>
          <w:bCs/>
          <w:sz w:val="20"/>
          <w:szCs w:val="20"/>
        </w:rPr>
        <w:t>Prasad (2022)</w:t>
      </w:r>
      <w:r w:rsidRPr="003D4161">
        <w:rPr>
          <w:rFonts w:ascii="Arial" w:hAnsi="Arial" w:cs="Arial"/>
          <w:b/>
          <w:sz w:val="20"/>
          <w:szCs w:val="20"/>
        </w:rPr>
        <w:t xml:space="preserve"> </w:t>
      </w:r>
      <w:r w:rsidRPr="003D4161">
        <w:rPr>
          <w:rFonts w:ascii="Arial" w:hAnsi="Arial" w:cs="Arial"/>
          <w:sz w:val="20"/>
          <w:szCs w:val="20"/>
        </w:rPr>
        <w:t xml:space="preserve">also reported non-significant (P &gt; 0.05) differences in body weight gain of Rhode Island Red laying hens when mushroom waste was used to partially replace </w:t>
      </w:r>
      <w:proofErr w:type="spellStart"/>
      <w:r w:rsidRPr="003D4161">
        <w:rPr>
          <w:rFonts w:ascii="Arial" w:hAnsi="Arial" w:cs="Arial"/>
          <w:sz w:val="20"/>
          <w:szCs w:val="20"/>
        </w:rPr>
        <w:t>deoiled</w:t>
      </w:r>
      <w:proofErr w:type="spellEnd"/>
      <w:r w:rsidRPr="003D4161">
        <w:rPr>
          <w:rFonts w:ascii="Arial" w:hAnsi="Arial" w:cs="Arial"/>
          <w:sz w:val="20"/>
          <w:szCs w:val="20"/>
        </w:rPr>
        <w:t xml:space="preserve"> rice bran. Furthermore, </w:t>
      </w:r>
      <w:r w:rsidRPr="003D4161">
        <w:rPr>
          <w:rFonts w:ascii="Arial" w:hAnsi="Arial" w:cs="Arial"/>
          <w:bCs/>
          <w:sz w:val="20"/>
          <w:szCs w:val="20"/>
        </w:rPr>
        <w:t xml:space="preserve">Yousefi </w:t>
      </w:r>
      <w:r w:rsidRPr="003D4161">
        <w:rPr>
          <w:rFonts w:ascii="Arial" w:hAnsi="Arial" w:cs="Arial"/>
          <w:bCs/>
          <w:i/>
          <w:sz w:val="20"/>
          <w:szCs w:val="20"/>
        </w:rPr>
        <w:t xml:space="preserve">et al. </w:t>
      </w:r>
      <w:r w:rsidRPr="003D4161">
        <w:rPr>
          <w:rFonts w:ascii="Arial" w:hAnsi="Arial" w:cs="Arial"/>
          <w:bCs/>
          <w:sz w:val="20"/>
          <w:szCs w:val="20"/>
        </w:rPr>
        <w:t xml:space="preserve">(2022) </w:t>
      </w:r>
      <w:r w:rsidRPr="003D4161">
        <w:rPr>
          <w:rFonts w:ascii="Arial" w:hAnsi="Arial" w:cs="Arial"/>
          <w:sz w:val="20"/>
          <w:szCs w:val="20"/>
        </w:rPr>
        <w:lastRenderedPageBreak/>
        <w:t xml:space="preserve">noted that incorporation of </w:t>
      </w:r>
      <w:r w:rsidRPr="003D4161">
        <w:rPr>
          <w:rFonts w:ascii="Arial" w:hAnsi="Arial" w:cs="Arial"/>
          <w:i/>
          <w:sz w:val="20"/>
          <w:szCs w:val="20"/>
        </w:rPr>
        <w:t xml:space="preserve">Agaricus bisporus </w:t>
      </w:r>
      <w:r w:rsidRPr="003D4161">
        <w:rPr>
          <w:rFonts w:ascii="Arial" w:hAnsi="Arial" w:cs="Arial"/>
          <w:sz w:val="20"/>
          <w:szCs w:val="20"/>
        </w:rPr>
        <w:t>substrate in the diets of growing lambs did not alter average daily gain or body weight across treatment groups.</w:t>
      </w:r>
    </w:p>
    <w:p w14:paraId="07B61148"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4.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0 to 21 days</w:t>
      </w:r>
    </w:p>
    <w:tbl>
      <w:tblPr>
        <w:tblW w:w="5890" w:type="pct"/>
        <w:jc w:val="center"/>
        <w:tblLayout w:type="fixed"/>
        <w:tblLook w:val="04A0" w:firstRow="1" w:lastRow="0" w:firstColumn="1" w:lastColumn="0" w:noHBand="0" w:noVBand="1"/>
      </w:tblPr>
      <w:tblGrid>
        <w:gridCol w:w="2435"/>
        <w:gridCol w:w="1703"/>
        <w:gridCol w:w="1893"/>
        <w:gridCol w:w="1712"/>
        <w:gridCol w:w="1803"/>
        <w:gridCol w:w="1087"/>
      </w:tblGrid>
      <w:tr w:rsidR="00E35CE1" w:rsidRPr="003D4161" w14:paraId="68E435E3" w14:textId="77777777" w:rsidTr="00A60740">
        <w:trPr>
          <w:trHeight w:val="269"/>
          <w:jc w:val="center"/>
        </w:trPr>
        <w:tc>
          <w:tcPr>
            <w:tcW w:w="1145" w:type="pct"/>
            <w:vMerge w:val="restart"/>
            <w:tcBorders>
              <w:top w:val="single" w:sz="4" w:space="0" w:color="auto"/>
              <w:bottom w:val="single" w:sz="4" w:space="0" w:color="auto"/>
            </w:tcBorders>
            <w:noWrap/>
            <w:vAlign w:val="center"/>
            <w:hideMark/>
          </w:tcPr>
          <w:p w14:paraId="6EC1BE4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344" w:type="pct"/>
            <w:gridSpan w:val="4"/>
            <w:tcBorders>
              <w:top w:val="single" w:sz="4" w:space="0" w:color="auto"/>
              <w:bottom w:val="single" w:sz="4" w:space="0" w:color="auto"/>
            </w:tcBorders>
            <w:noWrap/>
            <w:vAlign w:val="center"/>
            <w:hideMark/>
          </w:tcPr>
          <w:p w14:paraId="19ACF8A5"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511" w:type="pct"/>
            <w:vMerge w:val="restart"/>
            <w:tcBorders>
              <w:top w:val="single" w:sz="4" w:space="0" w:color="auto"/>
              <w:bottom w:val="single" w:sz="4" w:space="0" w:color="auto"/>
            </w:tcBorders>
            <w:noWrap/>
            <w:vAlign w:val="center"/>
            <w:hideMark/>
          </w:tcPr>
          <w:p w14:paraId="1BCB7F6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BC724E4" w14:textId="77777777" w:rsidTr="00A60740">
        <w:trPr>
          <w:trHeight w:val="80"/>
          <w:jc w:val="center"/>
        </w:trPr>
        <w:tc>
          <w:tcPr>
            <w:tcW w:w="1145" w:type="pct"/>
            <w:vMerge/>
            <w:tcBorders>
              <w:top w:val="single" w:sz="4" w:space="0" w:color="auto"/>
              <w:bottom w:val="single" w:sz="4" w:space="0" w:color="auto"/>
            </w:tcBorders>
            <w:noWrap/>
            <w:vAlign w:val="center"/>
            <w:hideMark/>
          </w:tcPr>
          <w:p w14:paraId="15F435A3"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01" w:type="pct"/>
            <w:tcBorders>
              <w:top w:val="single" w:sz="4" w:space="0" w:color="auto"/>
              <w:bottom w:val="single" w:sz="4" w:space="0" w:color="auto"/>
            </w:tcBorders>
            <w:noWrap/>
            <w:vAlign w:val="center"/>
            <w:hideMark/>
          </w:tcPr>
          <w:p w14:paraId="54BA5E7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90" w:type="pct"/>
            <w:tcBorders>
              <w:top w:val="single" w:sz="4" w:space="0" w:color="auto"/>
              <w:bottom w:val="single" w:sz="4" w:space="0" w:color="auto"/>
            </w:tcBorders>
            <w:noWrap/>
            <w:vAlign w:val="center"/>
            <w:hideMark/>
          </w:tcPr>
          <w:p w14:paraId="0CC6FA89"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05" w:type="pct"/>
            <w:tcBorders>
              <w:top w:val="single" w:sz="4" w:space="0" w:color="auto"/>
              <w:bottom w:val="single" w:sz="4" w:space="0" w:color="auto"/>
            </w:tcBorders>
            <w:noWrap/>
            <w:vAlign w:val="center"/>
            <w:hideMark/>
          </w:tcPr>
          <w:p w14:paraId="4886248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48" w:type="pct"/>
            <w:tcBorders>
              <w:top w:val="single" w:sz="4" w:space="0" w:color="auto"/>
              <w:bottom w:val="single" w:sz="4" w:space="0" w:color="auto"/>
            </w:tcBorders>
            <w:noWrap/>
            <w:vAlign w:val="center"/>
            <w:hideMark/>
          </w:tcPr>
          <w:p w14:paraId="5D34F35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511" w:type="pct"/>
            <w:vMerge/>
            <w:tcBorders>
              <w:top w:val="single" w:sz="4" w:space="0" w:color="auto"/>
              <w:bottom w:val="single" w:sz="4" w:space="0" w:color="auto"/>
            </w:tcBorders>
            <w:noWrap/>
            <w:vAlign w:val="center"/>
            <w:hideMark/>
          </w:tcPr>
          <w:p w14:paraId="53681A56"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547ED5D6" w14:textId="77777777" w:rsidTr="00A60740">
        <w:trPr>
          <w:trHeight w:val="312"/>
          <w:jc w:val="center"/>
        </w:trPr>
        <w:tc>
          <w:tcPr>
            <w:tcW w:w="1145" w:type="pct"/>
            <w:tcBorders>
              <w:top w:val="single" w:sz="4" w:space="0" w:color="auto"/>
              <w:bottom w:val="single" w:sz="4" w:space="0" w:color="auto"/>
            </w:tcBorders>
            <w:noWrap/>
            <w:hideMark/>
          </w:tcPr>
          <w:p w14:paraId="01DF1BE5" w14:textId="01C8F840"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r w:rsidR="00A0710C">
              <w:rPr>
                <w:rFonts w:ascii="Arial" w:eastAsia="Times New Roman" w:hAnsi="Arial" w:cs="Arial"/>
                <w:b/>
                <w:color w:val="000000"/>
                <w:sz w:val="20"/>
                <w:szCs w:val="20"/>
              </w:rPr>
              <w:t>/bird</w:t>
            </w:r>
            <w:r w:rsidRPr="003D4161">
              <w:rPr>
                <w:rFonts w:ascii="Arial" w:eastAsia="Times New Roman" w:hAnsi="Arial" w:cs="Arial"/>
                <w:b/>
                <w:color w:val="000000"/>
                <w:sz w:val="20"/>
                <w:szCs w:val="20"/>
              </w:rPr>
              <w:t>)</w:t>
            </w:r>
          </w:p>
        </w:tc>
        <w:tc>
          <w:tcPr>
            <w:tcW w:w="801" w:type="pct"/>
            <w:tcBorders>
              <w:top w:val="single" w:sz="4" w:space="0" w:color="auto"/>
              <w:bottom w:val="single" w:sz="4" w:space="0" w:color="auto"/>
            </w:tcBorders>
            <w:noWrap/>
            <w:hideMark/>
          </w:tcPr>
          <w:p w14:paraId="673DC43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890" w:type="pct"/>
            <w:tcBorders>
              <w:top w:val="single" w:sz="4" w:space="0" w:color="auto"/>
              <w:bottom w:val="single" w:sz="4" w:space="0" w:color="auto"/>
            </w:tcBorders>
            <w:noWrap/>
            <w:hideMark/>
          </w:tcPr>
          <w:p w14:paraId="479DF37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805" w:type="pct"/>
            <w:tcBorders>
              <w:top w:val="single" w:sz="4" w:space="0" w:color="auto"/>
              <w:bottom w:val="single" w:sz="4" w:space="0" w:color="auto"/>
            </w:tcBorders>
            <w:noWrap/>
            <w:hideMark/>
          </w:tcPr>
          <w:p w14:paraId="1190DEA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848" w:type="pct"/>
            <w:tcBorders>
              <w:top w:val="single" w:sz="4" w:space="0" w:color="auto"/>
              <w:bottom w:val="single" w:sz="4" w:space="0" w:color="auto"/>
            </w:tcBorders>
            <w:noWrap/>
            <w:hideMark/>
          </w:tcPr>
          <w:p w14:paraId="7DBAE477"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±0.74</w:t>
            </w:r>
          </w:p>
        </w:tc>
        <w:tc>
          <w:tcPr>
            <w:tcW w:w="511" w:type="pct"/>
            <w:tcBorders>
              <w:top w:val="single" w:sz="4" w:space="0" w:color="auto"/>
              <w:bottom w:val="single" w:sz="4" w:space="0" w:color="auto"/>
            </w:tcBorders>
            <w:noWrap/>
            <w:hideMark/>
          </w:tcPr>
          <w:p w14:paraId="05DB98B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13D0CE65" w14:textId="77777777" w:rsidTr="00A60740">
        <w:trPr>
          <w:trHeight w:val="312"/>
          <w:jc w:val="center"/>
        </w:trPr>
        <w:tc>
          <w:tcPr>
            <w:tcW w:w="1145" w:type="pct"/>
            <w:tcBorders>
              <w:top w:val="single" w:sz="4" w:space="0" w:color="auto"/>
              <w:bottom w:val="single" w:sz="4" w:space="0" w:color="auto"/>
            </w:tcBorders>
            <w:noWrap/>
            <w:hideMark/>
          </w:tcPr>
          <w:p w14:paraId="20DE4A69" w14:textId="530A3699"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Final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01" w:type="pct"/>
            <w:tcBorders>
              <w:top w:val="single" w:sz="4" w:space="0" w:color="auto"/>
              <w:bottom w:val="single" w:sz="4" w:space="0" w:color="auto"/>
            </w:tcBorders>
            <w:noWrap/>
            <w:hideMark/>
          </w:tcPr>
          <w:p w14:paraId="0AD965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643.82 ± 5.92</w:t>
            </w:r>
          </w:p>
        </w:tc>
        <w:tc>
          <w:tcPr>
            <w:tcW w:w="890" w:type="pct"/>
            <w:tcBorders>
              <w:top w:val="single" w:sz="4" w:space="0" w:color="auto"/>
              <w:bottom w:val="single" w:sz="4" w:space="0" w:color="auto"/>
            </w:tcBorders>
            <w:noWrap/>
            <w:hideMark/>
          </w:tcPr>
          <w:p w14:paraId="5119B00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653.05 ± 6.31</w:t>
            </w:r>
          </w:p>
        </w:tc>
        <w:tc>
          <w:tcPr>
            <w:tcW w:w="805" w:type="pct"/>
            <w:tcBorders>
              <w:top w:val="single" w:sz="4" w:space="0" w:color="auto"/>
              <w:bottom w:val="single" w:sz="4" w:space="0" w:color="auto"/>
            </w:tcBorders>
            <w:noWrap/>
            <w:hideMark/>
          </w:tcPr>
          <w:p w14:paraId="61830CA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665.32 ± 6.06</w:t>
            </w:r>
          </w:p>
        </w:tc>
        <w:tc>
          <w:tcPr>
            <w:tcW w:w="848" w:type="pct"/>
            <w:tcBorders>
              <w:top w:val="single" w:sz="4" w:space="0" w:color="auto"/>
              <w:bottom w:val="single" w:sz="4" w:space="0" w:color="auto"/>
            </w:tcBorders>
            <w:noWrap/>
            <w:hideMark/>
          </w:tcPr>
          <w:p w14:paraId="7B8861A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660.27 ± 6.75</w:t>
            </w:r>
          </w:p>
        </w:tc>
        <w:tc>
          <w:tcPr>
            <w:tcW w:w="511" w:type="pct"/>
            <w:tcBorders>
              <w:top w:val="single" w:sz="4" w:space="0" w:color="auto"/>
              <w:bottom w:val="single" w:sz="4" w:space="0" w:color="auto"/>
            </w:tcBorders>
            <w:noWrap/>
            <w:hideMark/>
          </w:tcPr>
          <w:p w14:paraId="3A16B2A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0.163</w:t>
            </w:r>
          </w:p>
        </w:tc>
      </w:tr>
      <w:tr w:rsidR="00E35CE1" w:rsidRPr="003D4161" w14:paraId="2C7D928E" w14:textId="77777777" w:rsidTr="00A60740">
        <w:trPr>
          <w:trHeight w:val="312"/>
          <w:jc w:val="center"/>
        </w:trPr>
        <w:tc>
          <w:tcPr>
            <w:tcW w:w="1145" w:type="pct"/>
            <w:tcBorders>
              <w:top w:val="single" w:sz="4" w:space="0" w:color="auto"/>
              <w:bottom w:val="single" w:sz="4" w:space="0" w:color="auto"/>
            </w:tcBorders>
            <w:noWrap/>
            <w:hideMark/>
          </w:tcPr>
          <w:p w14:paraId="4C8AB9BB" w14:textId="0BD37984"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Weight gain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01" w:type="pct"/>
            <w:tcBorders>
              <w:top w:val="single" w:sz="4" w:space="0" w:color="auto"/>
              <w:bottom w:val="single" w:sz="4" w:space="0" w:color="auto"/>
            </w:tcBorders>
            <w:noWrap/>
            <w:hideMark/>
          </w:tcPr>
          <w:p w14:paraId="010407E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593.73 ± 5.95</w:t>
            </w:r>
          </w:p>
        </w:tc>
        <w:tc>
          <w:tcPr>
            <w:tcW w:w="890" w:type="pct"/>
            <w:tcBorders>
              <w:top w:val="single" w:sz="4" w:space="0" w:color="auto"/>
              <w:bottom w:val="single" w:sz="4" w:space="0" w:color="auto"/>
            </w:tcBorders>
            <w:noWrap/>
            <w:hideMark/>
          </w:tcPr>
          <w:p w14:paraId="12AF57D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602.63 ± 5.55</w:t>
            </w:r>
          </w:p>
        </w:tc>
        <w:tc>
          <w:tcPr>
            <w:tcW w:w="805" w:type="pct"/>
            <w:tcBorders>
              <w:top w:val="single" w:sz="4" w:space="0" w:color="auto"/>
              <w:bottom w:val="single" w:sz="4" w:space="0" w:color="auto"/>
            </w:tcBorders>
            <w:noWrap/>
            <w:hideMark/>
          </w:tcPr>
          <w:p w14:paraId="6BC9E52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614.72 ± 5.63</w:t>
            </w:r>
          </w:p>
        </w:tc>
        <w:tc>
          <w:tcPr>
            <w:tcW w:w="848" w:type="pct"/>
            <w:tcBorders>
              <w:top w:val="single" w:sz="4" w:space="0" w:color="auto"/>
              <w:bottom w:val="single" w:sz="4" w:space="0" w:color="auto"/>
            </w:tcBorders>
            <w:noWrap/>
            <w:hideMark/>
          </w:tcPr>
          <w:p w14:paraId="3B687C1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609.84 ± 6.02</w:t>
            </w:r>
          </w:p>
        </w:tc>
        <w:tc>
          <w:tcPr>
            <w:tcW w:w="511" w:type="pct"/>
            <w:tcBorders>
              <w:top w:val="single" w:sz="4" w:space="0" w:color="auto"/>
              <w:bottom w:val="single" w:sz="4" w:space="0" w:color="auto"/>
            </w:tcBorders>
            <w:noWrap/>
            <w:hideMark/>
          </w:tcPr>
          <w:p w14:paraId="326D771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0.135</w:t>
            </w:r>
          </w:p>
        </w:tc>
      </w:tr>
      <w:tr w:rsidR="00E35CE1" w:rsidRPr="003D4161" w14:paraId="541D5794" w14:textId="77777777" w:rsidTr="00A60740">
        <w:trPr>
          <w:trHeight w:val="312"/>
          <w:jc w:val="center"/>
        </w:trPr>
        <w:tc>
          <w:tcPr>
            <w:tcW w:w="1145" w:type="pct"/>
            <w:tcBorders>
              <w:top w:val="single" w:sz="4" w:space="0" w:color="auto"/>
              <w:bottom w:val="single" w:sz="4" w:space="0" w:color="auto"/>
            </w:tcBorders>
            <w:noWrap/>
            <w:hideMark/>
          </w:tcPr>
          <w:p w14:paraId="686C2115" w14:textId="04948E6B"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Feed intake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01" w:type="pct"/>
            <w:tcBorders>
              <w:top w:val="single" w:sz="4" w:space="0" w:color="auto"/>
              <w:bottom w:val="single" w:sz="4" w:space="0" w:color="auto"/>
            </w:tcBorders>
            <w:noWrap/>
            <w:hideMark/>
          </w:tcPr>
          <w:p w14:paraId="173E181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900.29 ± 15.46</w:t>
            </w:r>
          </w:p>
        </w:tc>
        <w:tc>
          <w:tcPr>
            <w:tcW w:w="890" w:type="pct"/>
            <w:tcBorders>
              <w:top w:val="single" w:sz="4" w:space="0" w:color="auto"/>
              <w:bottom w:val="single" w:sz="4" w:space="0" w:color="auto"/>
            </w:tcBorders>
            <w:noWrap/>
            <w:hideMark/>
          </w:tcPr>
          <w:p w14:paraId="4430098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902.86 ± 13.02</w:t>
            </w:r>
          </w:p>
        </w:tc>
        <w:tc>
          <w:tcPr>
            <w:tcW w:w="805" w:type="pct"/>
            <w:tcBorders>
              <w:top w:val="single" w:sz="4" w:space="0" w:color="auto"/>
              <w:bottom w:val="single" w:sz="4" w:space="0" w:color="auto"/>
            </w:tcBorders>
            <w:noWrap/>
            <w:hideMark/>
          </w:tcPr>
          <w:p w14:paraId="01EB00C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905.08 ± 12.72</w:t>
            </w:r>
          </w:p>
        </w:tc>
        <w:tc>
          <w:tcPr>
            <w:tcW w:w="848" w:type="pct"/>
            <w:tcBorders>
              <w:top w:val="single" w:sz="4" w:space="0" w:color="auto"/>
              <w:bottom w:val="single" w:sz="4" w:space="0" w:color="auto"/>
            </w:tcBorders>
            <w:noWrap/>
            <w:hideMark/>
          </w:tcPr>
          <w:p w14:paraId="2F8884C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907.78 ± 16.30</w:t>
            </w:r>
          </w:p>
        </w:tc>
        <w:tc>
          <w:tcPr>
            <w:tcW w:w="511" w:type="pct"/>
            <w:tcBorders>
              <w:top w:val="single" w:sz="4" w:space="0" w:color="auto"/>
              <w:bottom w:val="single" w:sz="4" w:space="0" w:color="auto"/>
            </w:tcBorders>
            <w:noWrap/>
            <w:hideMark/>
          </w:tcPr>
          <w:p w14:paraId="235A23D5"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0.985</w:t>
            </w:r>
          </w:p>
        </w:tc>
      </w:tr>
      <w:tr w:rsidR="00E35CE1" w:rsidRPr="003D4161" w14:paraId="0CBF569B" w14:textId="77777777" w:rsidTr="00A60740">
        <w:trPr>
          <w:trHeight w:val="312"/>
          <w:jc w:val="center"/>
        </w:trPr>
        <w:tc>
          <w:tcPr>
            <w:tcW w:w="1145" w:type="pct"/>
            <w:tcBorders>
              <w:top w:val="single" w:sz="4" w:space="0" w:color="auto"/>
              <w:bottom w:val="single" w:sz="4" w:space="0" w:color="auto"/>
            </w:tcBorders>
            <w:noWrap/>
            <w:hideMark/>
          </w:tcPr>
          <w:p w14:paraId="04B5A14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01" w:type="pct"/>
            <w:tcBorders>
              <w:top w:val="single" w:sz="4" w:space="0" w:color="auto"/>
              <w:bottom w:val="single" w:sz="4" w:space="0" w:color="auto"/>
            </w:tcBorders>
            <w:noWrap/>
            <w:hideMark/>
          </w:tcPr>
          <w:p w14:paraId="46F8284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1.51 ± 0.010</w:t>
            </w:r>
          </w:p>
        </w:tc>
        <w:tc>
          <w:tcPr>
            <w:tcW w:w="890" w:type="pct"/>
            <w:tcBorders>
              <w:top w:val="single" w:sz="4" w:space="0" w:color="auto"/>
              <w:bottom w:val="single" w:sz="4" w:space="0" w:color="auto"/>
            </w:tcBorders>
            <w:noWrap/>
            <w:hideMark/>
          </w:tcPr>
          <w:p w14:paraId="392F358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1.49 ± 0.008</w:t>
            </w:r>
          </w:p>
        </w:tc>
        <w:tc>
          <w:tcPr>
            <w:tcW w:w="805" w:type="pct"/>
            <w:tcBorders>
              <w:top w:val="single" w:sz="4" w:space="0" w:color="auto"/>
              <w:bottom w:val="single" w:sz="4" w:space="0" w:color="auto"/>
            </w:tcBorders>
            <w:noWrap/>
            <w:hideMark/>
          </w:tcPr>
          <w:p w14:paraId="6325DCF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1.47 ± 0.007</w:t>
            </w:r>
          </w:p>
        </w:tc>
        <w:tc>
          <w:tcPr>
            <w:tcW w:w="848" w:type="pct"/>
            <w:tcBorders>
              <w:top w:val="single" w:sz="4" w:space="0" w:color="auto"/>
              <w:bottom w:val="single" w:sz="4" w:space="0" w:color="auto"/>
            </w:tcBorders>
            <w:noWrap/>
            <w:hideMark/>
          </w:tcPr>
          <w:p w14:paraId="3E9B479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1.48 ± 0.012</w:t>
            </w:r>
          </w:p>
        </w:tc>
        <w:tc>
          <w:tcPr>
            <w:tcW w:w="511" w:type="pct"/>
            <w:tcBorders>
              <w:top w:val="single" w:sz="4" w:space="0" w:color="auto"/>
              <w:bottom w:val="single" w:sz="4" w:space="0" w:color="auto"/>
            </w:tcBorders>
            <w:noWrap/>
            <w:hideMark/>
          </w:tcPr>
          <w:p w14:paraId="66169E2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0.068</w:t>
            </w:r>
          </w:p>
        </w:tc>
      </w:tr>
      <w:tr w:rsidR="00E35CE1" w:rsidRPr="003D4161" w14:paraId="1A4CE89C" w14:textId="77777777" w:rsidTr="00A60740">
        <w:trPr>
          <w:trHeight w:val="312"/>
          <w:jc w:val="center"/>
        </w:trPr>
        <w:tc>
          <w:tcPr>
            <w:tcW w:w="1145" w:type="pct"/>
            <w:tcBorders>
              <w:top w:val="single" w:sz="4" w:space="0" w:color="auto"/>
              <w:bottom w:val="single" w:sz="4" w:space="0" w:color="auto"/>
            </w:tcBorders>
            <w:noWrap/>
            <w:hideMark/>
          </w:tcPr>
          <w:p w14:paraId="236A3082" w14:textId="77777777" w:rsidR="00E35CE1" w:rsidRPr="003D4161" w:rsidRDefault="00E35CE1" w:rsidP="003D4161">
            <w:pPr>
              <w:spacing w:before="120" w:after="120" w:line="276" w:lineRule="auto"/>
              <w:rPr>
                <w:rFonts w:ascii="Arial" w:eastAsia="Times New Roman" w:hAnsi="Arial" w:cs="Arial"/>
                <w:b/>
                <w:sz w:val="20"/>
                <w:szCs w:val="20"/>
              </w:rPr>
            </w:pPr>
            <w:r w:rsidRPr="003D4161">
              <w:rPr>
                <w:rFonts w:ascii="Arial" w:eastAsia="Times New Roman" w:hAnsi="Arial" w:cs="Arial"/>
                <w:b/>
                <w:sz w:val="20"/>
                <w:szCs w:val="20"/>
              </w:rPr>
              <w:t>Performance index*</w:t>
            </w:r>
          </w:p>
        </w:tc>
        <w:tc>
          <w:tcPr>
            <w:tcW w:w="801" w:type="pct"/>
            <w:tcBorders>
              <w:top w:val="single" w:sz="4" w:space="0" w:color="auto"/>
              <w:bottom w:val="single" w:sz="4" w:space="0" w:color="auto"/>
            </w:tcBorders>
            <w:noWrap/>
            <w:hideMark/>
          </w:tcPr>
          <w:p w14:paraId="3BD3A78B"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396.44 ± 1.14</w:t>
            </w:r>
            <w:r w:rsidRPr="003D4161">
              <w:rPr>
                <w:rFonts w:ascii="Arial" w:hAnsi="Arial" w:cs="Arial"/>
                <w:sz w:val="20"/>
                <w:szCs w:val="20"/>
                <w:vertAlign w:val="superscript"/>
              </w:rPr>
              <w:t>a</w:t>
            </w:r>
          </w:p>
        </w:tc>
        <w:tc>
          <w:tcPr>
            <w:tcW w:w="890" w:type="pct"/>
            <w:tcBorders>
              <w:top w:val="single" w:sz="4" w:space="0" w:color="auto"/>
              <w:bottom w:val="single" w:sz="4" w:space="0" w:color="auto"/>
            </w:tcBorders>
            <w:noWrap/>
            <w:hideMark/>
          </w:tcPr>
          <w:p w14:paraId="41CF61CD"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407.21 ± 1.73</w:t>
            </w:r>
            <w:r w:rsidRPr="003D4161">
              <w:rPr>
                <w:rFonts w:ascii="Arial" w:hAnsi="Arial" w:cs="Arial"/>
                <w:sz w:val="20"/>
                <w:szCs w:val="20"/>
                <w:vertAlign w:val="superscript"/>
              </w:rPr>
              <w:t>b</w:t>
            </w:r>
          </w:p>
        </w:tc>
        <w:tc>
          <w:tcPr>
            <w:tcW w:w="805" w:type="pct"/>
            <w:tcBorders>
              <w:top w:val="single" w:sz="4" w:space="0" w:color="auto"/>
              <w:bottom w:val="single" w:sz="4" w:space="0" w:color="auto"/>
            </w:tcBorders>
            <w:noWrap/>
            <w:hideMark/>
          </w:tcPr>
          <w:p w14:paraId="4BE7DB4D"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423.46 ± 1.83</w:t>
            </w:r>
            <w:r w:rsidRPr="003D4161">
              <w:rPr>
                <w:rFonts w:ascii="Arial" w:hAnsi="Arial" w:cs="Arial"/>
                <w:sz w:val="20"/>
                <w:szCs w:val="20"/>
                <w:vertAlign w:val="superscript"/>
              </w:rPr>
              <w:t>d</w:t>
            </w:r>
          </w:p>
        </w:tc>
        <w:tc>
          <w:tcPr>
            <w:tcW w:w="848" w:type="pct"/>
            <w:tcBorders>
              <w:top w:val="single" w:sz="4" w:space="0" w:color="auto"/>
              <w:bottom w:val="single" w:sz="4" w:space="0" w:color="auto"/>
            </w:tcBorders>
            <w:noWrap/>
            <w:hideMark/>
          </w:tcPr>
          <w:p w14:paraId="18D4ED0B"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414.75 ± 0.58</w:t>
            </w:r>
            <w:r w:rsidRPr="003D4161">
              <w:rPr>
                <w:rFonts w:ascii="Arial" w:hAnsi="Arial" w:cs="Arial"/>
                <w:sz w:val="20"/>
                <w:szCs w:val="20"/>
                <w:vertAlign w:val="superscript"/>
              </w:rPr>
              <w:t>c</w:t>
            </w:r>
          </w:p>
        </w:tc>
        <w:tc>
          <w:tcPr>
            <w:tcW w:w="511" w:type="pct"/>
            <w:tcBorders>
              <w:top w:val="single" w:sz="4" w:space="0" w:color="auto"/>
              <w:bottom w:val="single" w:sz="4" w:space="0" w:color="auto"/>
            </w:tcBorders>
            <w:noWrap/>
            <w:hideMark/>
          </w:tcPr>
          <w:p w14:paraId="3B969131"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13845A0D"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Mean values bearing different alphabets (a, b, c and d) in superscript in a row differ significantly, *(P &lt; 0.05)</w:t>
      </w:r>
    </w:p>
    <w:p w14:paraId="577F7319"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T1: -Basal diet, T2: -Basal diet + 1% Mushroom fruiting body waste, T3: -Basal diet + 2% Mushroom fruiting body waste, T</w:t>
      </w:r>
      <w:proofErr w:type="gramStart"/>
      <w:r w:rsidRPr="002A1205">
        <w:rPr>
          <w:rFonts w:ascii="Arial" w:hAnsi="Arial" w:cs="Arial"/>
          <w:sz w:val="18"/>
          <w:szCs w:val="18"/>
        </w:rPr>
        <w:t>4:-</w:t>
      </w:r>
      <w:proofErr w:type="gramEnd"/>
      <w:r w:rsidRPr="002A1205">
        <w:rPr>
          <w:rFonts w:ascii="Arial" w:hAnsi="Arial" w:cs="Arial"/>
          <w:sz w:val="18"/>
          <w:szCs w:val="18"/>
        </w:rPr>
        <w:t>Basal diet + 3% Mushroom fruiting body waste</w:t>
      </w:r>
    </w:p>
    <w:p w14:paraId="4F6F5FC5"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5.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21 to 42 days</w:t>
      </w:r>
    </w:p>
    <w:tbl>
      <w:tblPr>
        <w:tblW w:w="5933" w:type="pct"/>
        <w:jc w:val="center"/>
        <w:tblLayout w:type="fixed"/>
        <w:tblLook w:val="04A0" w:firstRow="1" w:lastRow="0" w:firstColumn="1" w:lastColumn="0" w:noHBand="0" w:noVBand="1"/>
      </w:tblPr>
      <w:tblGrid>
        <w:gridCol w:w="2430"/>
        <w:gridCol w:w="1801"/>
        <w:gridCol w:w="1799"/>
        <w:gridCol w:w="1799"/>
        <w:gridCol w:w="1891"/>
        <w:gridCol w:w="990"/>
      </w:tblGrid>
      <w:tr w:rsidR="00E35CE1" w:rsidRPr="003D4161" w14:paraId="501AC380" w14:textId="77777777" w:rsidTr="00A60740">
        <w:trPr>
          <w:trHeight w:val="288"/>
          <w:jc w:val="center"/>
        </w:trPr>
        <w:tc>
          <w:tcPr>
            <w:tcW w:w="1134" w:type="pct"/>
            <w:vMerge w:val="restart"/>
            <w:tcBorders>
              <w:top w:val="single" w:sz="4" w:space="0" w:color="auto"/>
              <w:bottom w:val="single" w:sz="4" w:space="0" w:color="auto"/>
            </w:tcBorders>
            <w:noWrap/>
            <w:vAlign w:val="center"/>
          </w:tcPr>
          <w:p w14:paraId="7EB9F2A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403" w:type="pct"/>
            <w:gridSpan w:val="4"/>
            <w:tcBorders>
              <w:top w:val="single" w:sz="4" w:space="0" w:color="auto"/>
              <w:bottom w:val="single" w:sz="4" w:space="0" w:color="auto"/>
            </w:tcBorders>
            <w:noWrap/>
            <w:vAlign w:val="center"/>
          </w:tcPr>
          <w:p w14:paraId="3E9F4564" w14:textId="77777777" w:rsidR="00E35CE1" w:rsidRPr="003D4161" w:rsidRDefault="00E35CE1" w:rsidP="003D4161">
            <w:pPr>
              <w:spacing w:before="80" w:after="8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62" w:type="pct"/>
            <w:vMerge w:val="restart"/>
            <w:tcBorders>
              <w:top w:val="single" w:sz="4" w:space="0" w:color="auto"/>
              <w:bottom w:val="single" w:sz="4" w:space="0" w:color="auto"/>
            </w:tcBorders>
            <w:noWrap/>
            <w:vAlign w:val="center"/>
          </w:tcPr>
          <w:p w14:paraId="7F35DAE0"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796B815" w14:textId="77777777" w:rsidTr="00A60740">
        <w:trPr>
          <w:trHeight w:val="300"/>
          <w:jc w:val="center"/>
        </w:trPr>
        <w:tc>
          <w:tcPr>
            <w:tcW w:w="1134" w:type="pct"/>
            <w:vMerge/>
            <w:tcBorders>
              <w:top w:val="single" w:sz="4" w:space="0" w:color="auto"/>
              <w:bottom w:val="single" w:sz="4" w:space="0" w:color="auto"/>
            </w:tcBorders>
            <w:noWrap/>
            <w:vAlign w:val="center"/>
          </w:tcPr>
          <w:p w14:paraId="2DCAF6B8" w14:textId="77777777" w:rsidR="00E35CE1" w:rsidRPr="003D4161" w:rsidRDefault="00E35CE1" w:rsidP="003D4161">
            <w:pPr>
              <w:spacing w:before="80" w:after="80" w:line="276" w:lineRule="auto"/>
              <w:rPr>
                <w:rFonts w:ascii="Arial" w:eastAsia="Times New Roman" w:hAnsi="Arial" w:cs="Arial"/>
                <w:b/>
                <w:color w:val="000000"/>
                <w:sz w:val="20"/>
                <w:szCs w:val="20"/>
              </w:rPr>
            </w:pPr>
          </w:p>
        </w:tc>
        <w:tc>
          <w:tcPr>
            <w:tcW w:w="841" w:type="pct"/>
            <w:tcBorders>
              <w:top w:val="single" w:sz="4" w:space="0" w:color="auto"/>
              <w:bottom w:val="single" w:sz="4" w:space="0" w:color="auto"/>
            </w:tcBorders>
            <w:noWrap/>
            <w:vAlign w:val="center"/>
          </w:tcPr>
          <w:p w14:paraId="5E67B5E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40" w:type="pct"/>
            <w:tcBorders>
              <w:top w:val="single" w:sz="4" w:space="0" w:color="auto"/>
              <w:bottom w:val="single" w:sz="4" w:space="0" w:color="auto"/>
            </w:tcBorders>
            <w:noWrap/>
            <w:vAlign w:val="center"/>
          </w:tcPr>
          <w:p w14:paraId="4BBB311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40" w:type="pct"/>
            <w:tcBorders>
              <w:top w:val="single" w:sz="4" w:space="0" w:color="auto"/>
              <w:bottom w:val="single" w:sz="4" w:space="0" w:color="auto"/>
            </w:tcBorders>
            <w:noWrap/>
            <w:vAlign w:val="center"/>
          </w:tcPr>
          <w:p w14:paraId="67564F8F"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83" w:type="pct"/>
            <w:tcBorders>
              <w:top w:val="single" w:sz="4" w:space="0" w:color="auto"/>
              <w:bottom w:val="single" w:sz="4" w:space="0" w:color="auto"/>
            </w:tcBorders>
            <w:noWrap/>
            <w:vAlign w:val="center"/>
          </w:tcPr>
          <w:p w14:paraId="753720D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62" w:type="pct"/>
            <w:vMerge/>
            <w:tcBorders>
              <w:top w:val="single" w:sz="4" w:space="0" w:color="auto"/>
              <w:bottom w:val="single" w:sz="4" w:space="0" w:color="auto"/>
            </w:tcBorders>
            <w:noWrap/>
            <w:vAlign w:val="center"/>
          </w:tcPr>
          <w:p w14:paraId="5EF4275B" w14:textId="77777777" w:rsidR="00E35CE1" w:rsidRPr="003D4161" w:rsidRDefault="00E35CE1" w:rsidP="003D4161">
            <w:pPr>
              <w:spacing w:before="80" w:after="80" w:line="276" w:lineRule="auto"/>
              <w:rPr>
                <w:rFonts w:ascii="Arial" w:eastAsia="Times New Roman" w:hAnsi="Arial" w:cs="Arial"/>
                <w:b/>
                <w:color w:val="000000"/>
                <w:sz w:val="20"/>
                <w:szCs w:val="20"/>
              </w:rPr>
            </w:pPr>
          </w:p>
        </w:tc>
      </w:tr>
      <w:tr w:rsidR="00E35CE1" w:rsidRPr="003D4161" w14:paraId="2555D4AA" w14:textId="77777777" w:rsidTr="00A60740">
        <w:trPr>
          <w:trHeight w:val="312"/>
          <w:jc w:val="center"/>
        </w:trPr>
        <w:tc>
          <w:tcPr>
            <w:tcW w:w="1134" w:type="pct"/>
            <w:tcBorders>
              <w:top w:val="single" w:sz="4" w:space="0" w:color="auto"/>
              <w:bottom w:val="single" w:sz="4" w:space="0" w:color="auto"/>
            </w:tcBorders>
            <w:noWrap/>
          </w:tcPr>
          <w:p w14:paraId="4C20D84B" w14:textId="1BC1D9CB"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Initial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41" w:type="pct"/>
            <w:tcBorders>
              <w:top w:val="single" w:sz="4" w:space="0" w:color="auto"/>
              <w:bottom w:val="single" w:sz="4" w:space="0" w:color="auto"/>
            </w:tcBorders>
            <w:noWrap/>
          </w:tcPr>
          <w:p w14:paraId="231686D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643.82 ± 5.92</w:t>
            </w:r>
          </w:p>
        </w:tc>
        <w:tc>
          <w:tcPr>
            <w:tcW w:w="840" w:type="pct"/>
            <w:tcBorders>
              <w:top w:val="single" w:sz="4" w:space="0" w:color="auto"/>
              <w:bottom w:val="single" w:sz="4" w:space="0" w:color="auto"/>
            </w:tcBorders>
            <w:noWrap/>
          </w:tcPr>
          <w:p w14:paraId="323FDEE4"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653.05 ± 6.31</w:t>
            </w:r>
          </w:p>
        </w:tc>
        <w:tc>
          <w:tcPr>
            <w:tcW w:w="840" w:type="pct"/>
            <w:tcBorders>
              <w:top w:val="single" w:sz="4" w:space="0" w:color="auto"/>
              <w:bottom w:val="single" w:sz="4" w:space="0" w:color="auto"/>
            </w:tcBorders>
            <w:noWrap/>
          </w:tcPr>
          <w:p w14:paraId="5756A32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665.32 ± 6.06</w:t>
            </w:r>
          </w:p>
        </w:tc>
        <w:tc>
          <w:tcPr>
            <w:tcW w:w="883" w:type="pct"/>
            <w:tcBorders>
              <w:top w:val="single" w:sz="4" w:space="0" w:color="auto"/>
              <w:bottom w:val="single" w:sz="4" w:space="0" w:color="auto"/>
            </w:tcBorders>
            <w:noWrap/>
          </w:tcPr>
          <w:p w14:paraId="31BEC0B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660.27 ± 6.75</w:t>
            </w:r>
          </w:p>
        </w:tc>
        <w:tc>
          <w:tcPr>
            <w:tcW w:w="462" w:type="pct"/>
            <w:tcBorders>
              <w:top w:val="single" w:sz="4" w:space="0" w:color="auto"/>
              <w:bottom w:val="single" w:sz="4" w:space="0" w:color="auto"/>
            </w:tcBorders>
            <w:noWrap/>
          </w:tcPr>
          <w:p w14:paraId="7DF46F1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0.163</w:t>
            </w:r>
          </w:p>
        </w:tc>
      </w:tr>
      <w:tr w:rsidR="00E35CE1" w:rsidRPr="003D4161" w14:paraId="0C048A87" w14:textId="77777777" w:rsidTr="00A60740">
        <w:trPr>
          <w:trHeight w:val="341"/>
          <w:jc w:val="center"/>
        </w:trPr>
        <w:tc>
          <w:tcPr>
            <w:tcW w:w="1134" w:type="pct"/>
            <w:tcBorders>
              <w:top w:val="single" w:sz="4" w:space="0" w:color="auto"/>
              <w:bottom w:val="single" w:sz="4" w:space="0" w:color="auto"/>
            </w:tcBorders>
            <w:noWrap/>
          </w:tcPr>
          <w:p w14:paraId="68CC5067" w14:textId="38AC16C5"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Final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w:t>
            </w:r>
            <w:proofErr w:type="gramStart"/>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r w:rsidRPr="003D4161">
              <w:rPr>
                <w:rFonts w:ascii="Arial" w:eastAsia="Times New Roman" w:hAnsi="Arial" w:cs="Arial"/>
                <w:b/>
                <w:color w:val="000000"/>
                <w:sz w:val="20"/>
                <w:szCs w:val="20"/>
              </w:rPr>
              <w:t>*</w:t>
            </w:r>
            <w:proofErr w:type="gramEnd"/>
          </w:p>
        </w:tc>
        <w:tc>
          <w:tcPr>
            <w:tcW w:w="841" w:type="pct"/>
            <w:tcBorders>
              <w:top w:val="single" w:sz="4" w:space="0" w:color="auto"/>
              <w:bottom w:val="single" w:sz="4" w:space="0" w:color="auto"/>
            </w:tcBorders>
            <w:noWrap/>
          </w:tcPr>
          <w:p w14:paraId="013566A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±10.56</w:t>
            </w:r>
            <w:r w:rsidRPr="003D4161">
              <w:rPr>
                <w:rFonts w:ascii="Arial" w:eastAsia="Times New Roman" w:hAnsi="Arial" w:cs="Arial"/>
                <w:color w:val="000000"/>
                <w:sz w:val="20"/>
                <w:szCs w:val="20"/>
                <w:vertAlign w:val="superscript"/>
              </w:rPr>
              <w:t>a</w:t>
            </w:r>
          </w:p>
        </w:tc>
        <w:tc>
          <w:tcPr>
            <w:tcW w:w="840" w:type="pct"/>
            <w:tcBorders>
              <w:top w:val="single" w:sz="4" w:space="0" w:color="auto"/>
              <w:bottom w:val="single" w:sz="4" w:space="0" w:color="auto"/>
            </w:tcBorders>
            <w:noWrap/>
          </w:tcPr>
          <w:p w14:paraId="78B0937F"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r w:rsidRPr="003D4161">
              <w:rPr>
                <w:rFonts w:ascii="Arial" w:eastAsia="Times New Roman" w:hAnsi="Arial" w:cs="Arial"/>
                <w:color w:val="000000"/>
                <w:sz w:val="20"/>
                <w:szCs w:val="20"/>
                <w:vertAlign w:val="superscript"/>
              </w:rPr>
              <w:t>ab</w:t>
            </w:r>
          </w:p>
        </w:tc>
        <w:tc>
          <w:tcPr>
            <w:tcW w:w="840" w:type="pct"/>
            <w:tcBorders>
              <w:top w:val="single" w:sz="4" w:space="0" w:color="auto"/>
              <w:bottom w:val="single" w:sz="4" w:space="0" w:color="auto"/>
            </w:tcBorders>
            <w:noWrap/>
          </w:tcPr>
          <w:p w14:paraId="291766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r w:rsidRPr="003D4161">
              <w:rPr>
                <w:rFonts w:ascii="Arial" w:eastAsia="Times New Roman" w:hAnsi="Arial" w:cs="Arial"/>
                <w:color w:val="000000"/>
                <w:sz w:val="20"/>
                <w:szCs w:val="20"/>
                <w:vertAlign w:val="superscript"/>
              </w:rPr>
              <w:t>b</w:t>
            </w:r>
          </w:p>
        </w:tc>
        <w:tc>
          <w:tcPr>
            <w:tcW w:w="883" w:type="pct"/>
            <w:tcBorders>
              <w:top w:val="single" w:sz="4" w:space="0" w:color="auto"/>
              <w:bottom w:val="single" w:sz="4" w:space="0" w:color="auto"/>
            </w:tcBorders>
            <w:noWrap/>
          </w:tcPr>
          <w:p w14:paraId="01B5A9B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tcPr>
          <w:p w14:paraId="313CFEB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90A1745" w14:textId="77777777" w:rsidTr="00A60740">
        <w:trPr>
          <w:trHeight w:val="312"/>
          <w:jc w:val="center"/>
        </w:trPr>
        <w:tc>
          <w:tcPr>
            <w:tcW w:w="1134" w:type="pct"/>
            <w:tcBorders>
              <w:top w:val="single" w:sz="4" w:space="0" w:color="auto"/>
              <w:bottom w:val="single" w:sz="4" w:space="0" w:color="auto"/>
            </w:tcBorders>
            <w:noWrap/>
          </w:tcPr>
          <w:p w14:paraId="25431192" w14:textId="23DFAD8C"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Weight gain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w:t>
            </w:r>
            <w:proofErr w:type="gramStart"/>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r w:rsidRPr="003D4161">
              <w:rPr>
                <w:rFonts w:ascii="Arial" w:eastAsia="Times New Roman" w:hAnsi="Arial" w:cs="Arial"/>
                <w:b/>
                <w:color w:val="000000"/>
                <w:sz w:val="20"/>
                <w:szCs w:val="20"/>
              </w:rPr>
              <w:t>*</w:t>
            </w:r>
            <w:proofErr w:type="gramEnd"/>
          </w:p>
        </w:tc>
        <w:tc>
          <w:tcPr>
            <w:tcW w:w="841" w:type="pct"/>
            <w:tcBorders>
              <w:top w:val="single" w:sz="4" w:space="0" w:color="auto"/>
              <w:bottom w:val="single" w:sz="4" w:space="0" w:color="auto"/>
            </w:tcBorders>
            <w:noWrap/>
          </w:tcPr>
          <w:p w14:paraId="1905CE2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1603.41 ± 4.78</w:t>
            </w:r>
            <w:r w:rsidRPr="003D4161">
              <w:rPr>
                <w:rFonts w:ascii="Arial" w:eastAsia="Times New Roman" w:hAnsi="Arial" w:cs="Arial"/>
                <w:color w:val="000000"/>
                <w:sz w:val="20"/>
                <w:szCs w:val="20"/>
                <w:vertAlign w:val="superscript"/>
              </w:rPr>
              <w:t>a</w:t>
            </w:r>
          </w:p>
        </w:tc>
        <w:tc>
          <w:tcPr>
            <w:tcW w:w="840" w:type="pct"/>
            <w:tcBorders>
              <w:top w:val="single" w:sz="4" w:space="0" w:color="auto"/>
              <w:bottom w:val="single" w:sz="4" w:space="0" w:color="auto"/>
            </w:tcBorders>
            <w:noWrap/>
          </w:tcPr>
          <w:p w14:paraId="0EC380C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1616.4 ± 5.92</w:t>
            </w:r>
            <w:r w:rsidRPr="003D4161">
              <w:rPr>
                <w:rFonts w:ascii="Arial" w:eastAsia="Times New Roman" w:hAnsi="Arial" w:cs="Arial"/>
                <w:color w:val="000000"/>
                <w:sz w:val="20"/>
                <w:szCs w:val="20"/>
                <w:vertAlign w:val="superscript"/>
              </w:rPr>
              <w:t>ab</w:t>
            </w:r>
          </w:p>
        </w:tc>
        <w:tc>
          <w:tcPr>
            <w:tcW w:w="840" w:type="pct"/>
            <w:tcBorders>
              <w:top w:val="single" w:sz="4" w:space="0" w:color="auto"/>
              <w:bottom w:val="single" w:sz="4" w:space="0" w:color="auto"/>
            </w:tcBorders>
            <w:noWrap/>
          </w:tcPr>
          <w:p w14:paraId="7D2FD90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1639.46 ± 7.73</w:t>
            </w:r>
            <w:r w:rsidRPr="003D4161">
              <w:rPr>
                <w:rFonts w:ascii="Arial" w:eastAsia="Times New Roman" w:hAnsi="Arial" w:cs="Arial"/>
                <w:color w:val="000000"/>
                <w:sz w:val="20"/>
                <w:szCs w:val="20"/>
                <w:vertAlign w:val="superscript"/>
              </w:rPr>
              <w:t>c</w:t>
            </w:r>
          </w:p>
        </w:tc>
        <w:tc>
          <w:tcPr>
            <w:tcW w:w="883" w:type="pct"/>
            <w:tcBorders>
              <w:top w:val="single" w:sz="4" w:space="0" w:color="auto"/>
              <w:bottom w:val="single" w:sz="4" w:space="0" w:color="auto"/>
            </w:tcBorders>
            <w:noWrap/>
          </w:tcPr>
          <w:p w14:paraId="2FA6157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1632.13 ± 6.38</w:t>
            </w:r>
            <w:r w:rsidRPr="003D4161">
              <w:rPr>
                <w:rFonts w:ascii="Arial" w:eastAsia="Times New Roman" w:hAnsi="Arial" w:cs="Arial"/>
                <w:color w:val="000000"/>
                <w:sz w:val="20"/>
                <w:szCs w:val="20"/>
                <w:vertAlign w:val="superscript"/>
              </w:rPr>
              <w:t>bc</w:t>
            </w:r>
          </w:p>
        </w:tc>
        <w:tc>
          <w:tcPr>
            <w:tcW w:w="462" w:type="pct"/>
            <w:tcBorders>
              <w:top w:val="single" w:sz="4" w:space="0" w:color="auto"/>
              <w:bottom w:val="single" w:sz="4" w:space="0" w:color="auto"/>
            </w:tcBorders>
            <w:noWrap/>
          </w:tcPr>
          <w:p w14:paraId="119194E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0.015</w:t>
            </w:r>
          </w:p>
        </w:tc>
      </w:tr>
      <w:tr w:rsidR="00E35CE1" w:rsidRPr="003D4161" w14:paraId="3865FCC5" w14:textId="77777777" w:rsidTr="00A60740">
        <w:trPr>
          <w:trHeight w:val="312"/>
          <w:jc w:val="center"/>
        </w:trPr>
        <w:tc>
          <w:tcPr>
            <w:tcW w:w="1134" w:type="pct"/>
            <w:tcBorders>
              <w:top w:val="single" w:sz="4" w:space="0" w:color="auto"/>
              <w:bottom w:val="single" w:sz="4" w:space="0" w:color="auto"/>
            </w:tcBorders>
            <w:noWrap/>
          </w:tcPr>
          <w:p w14:paraId="332B7222" w14:textId="3A196F00"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Feed intake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41" w:type="pct"/>
            <w:tcBorders>
              <w:top w:val="single" w:sz="4" w:space="0" w:color="auto"/>
              <w:bottom w:val="single" w:sz="4" w:space="0" w:color="auto"/>
            </w:tcBorders>
            <w:noWrap/>
          </w:tcPr>
          <w:p w14:paraId="24C6417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2880.66 ± 19.34</w:t>
            </w:r>
          </w:p>
        </w:tc>
        <w:tc>
          <w:tcPr>
            <w:tcW w:w="840" w:type="pct"/>
            <w:tcBorders>
              <w:top w:val="single" w:sz="4" w:space="0" w:color="auto"/>
              <w:bottom w:val="single" w:sz="4" w:space="0" w:color="auto"/>
            </w:tcBorders>
            <w:noWrap/>
          </w:tcPr>
          <w:p w14:paraId="64C963A4"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2886.44 ± 26.17</w:t>
            </w:r>
          </w:p>
        </w:tc>
        <w:tc>
          <w:tcPr>
            <w:tcW w:w="840" w:type="pct"/>
            <w:tcBorders>
              <w:top w:val="single" w:sz="4" w:space="0" w:color="auto"/>
              <w:bottom w:val="single" w:sz="4" w:space="0" w:color="auto"/>
            </w:tcBorders>
            <w:noWrap/>
          </w:tcPr>
          <w:p w14:paraId="1D00716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2866.39 ± 27.62</w:t>
            </w:r>
          </w:p>
        </w:tc>
        <w:tc>
          <w:tcPr>
            <w:tcW w:w="883" w:type="pct"/>
            <w:tcBorders>
              <w:top w:val="single" w:sz="4" w:space="0" w:color="auto"/>
              <w:bottom w:val="single" w:sz="4" w:space="0" w:color="auto"/>
            </w:tcBorders>
            <w:noWrap/>
          </w:tcPr>
          <w:p w14:paraId="350A782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2879.91 ± 22.27</w:t>
            </w:r>
          </w:p>
        </w:tc>
        <w:tc>
          <w:tcPr>
            <w:tcW w:w="462" w:type="pct"/>
            <w:tcBorders>
              <w:top w:val="single" w:sz="4" w:space="0" w:color="auto"/>
              <w:bottom w:val="single" w:sz="4" w:space="0" w:color="auto"/>
            </w:tcBorders>
            <w:noWrap/>
          </w:tcPr>
          <w:p w14:paraId="6DB0F2F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0.943</w:t>
            </w:r>
          </w:p>
        </w:tc>
      </w:tr>
      <w:tr w:rsidR="00E35CE1" w:rsidRPr="003D4161" w14:paraId="3670D1D0" w14:textId="77777777" w:rsidTr="00A60740">
        <w:trPr>
          <w:trHeight w:val="312"/>
          <w:jc w:val="center"/>
        </w:trPr>
        <w:tc>
          <w:tcPr>
            <w:tcW w:w="1134" w:type="pct"/>
            <w:tcBorders>
              <w:top w:val="single" w:sz="4" w:space="0" w:color="auto"/>
              <w:bottom w:val="single" w:sz="4" w:space="0" w:color="auto"/>
            </w:tcBorders>
            <w:noWrap/>
          </w:tcPr>
          <w:p w14:paraId="3B9EE1F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41" w:type="pct"/>
            <w:tcBorders>
              <w:top w:val="single" w:sz="4" w:space="0" w:color="auto"/>
              <w:bottom w:val="single" w:sz="4" w:space="0" w:color="auto"/>
            </w:tcBorders>
            <w:noWrap/>
          </w:tcPr>
          <w:p w14:paraId="594F96BF"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1.79 ± 0.006</w:t>
            </w:r>
            <w:r w:rsidRPr="003D4161">
              <w:rPr>
                <w:rFonts w:ascii="Arial" w:eastAsia="Times New Roman" w:hAnsi="Arial" w:cs="Arial"/>
                <w:color w:val="000000"/>
                <w:sz w:val="20"/>
                <w:szCs w:val="20"/>
                <w:vertAlign w:val="superscript"/>
              </w:rPr>
              <w:t>c</w:t>
            </w:r>
          </w:p>
        </w:tc>
        <w:tc>
          <w:tcPr>
            <w:tcW w:w="840" w:type="pct"/>
            <w:tcBorders>
              <w:top w:val="single" w:sz="4" w:space="0" w:color="auto"/>
              <w:bottom w:val="single" w:sz="4" w:space="0" w:color="auto"/>
            </w:tcBorders>
            <w:noWrap/>
          </w:tcPr>
          <w:p w14:paraId="5D570B4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1.78 ± 0.009</w:t>
            </w:r>
            <w:r w:rsidRPr="003D4161">
              <w:rPr>
                <w:rFonts w:ascii="Arial" w:eastAsia="Times New Roman" w:hAnsi="Arial" w:cs="Arial"/>
                <w:color w:val="000000"/>
                <w:sz w:val="20"/>
                <w:szCs w:val="20"/>
                <w:vertAlign w:val="superscript"/>
              </w:rPr>
              <w:t>bc</w:t>
            </w:r>
          </w:p>
        </w:tc>
        <w:tc>
          <w:tcPr>
            <w:tcW w:w="840" w:type="pct"/>
            <w:tcBorders>
              <w:top w:val="single" w:sz="4" w:space="0" w:color="auto"/>
              <w:bottom w:val="single" w:sz="4" w:space="0" w:color="auto"/>
            </w:tcBorders>
            <w:noWrap/>
          </w:tcPr>
          <w:p w14:paraId="6F599B1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1.74 ± 0.008</w:t>
            </w:r>
            <w:r w:rsidRPr="003D4161">
              <w:rPr>
                <w:rFonts w:ascii="Arial" w:eastAsia="Times New Roman" w:hAnsi="Arial" w:cs="Arial"/>
                <w:color w:val="000000"/>
                <w:sz w:val="20"/>
                <w:szCs w:val="20"/>
                <w:vertAlign w:val="superscript"/>
              </w:rPr>
              <w:t>a</w:t>
            </w:r>
          </w:p>
        </w:tc>
        <w:tc>
          <w:tcPr>
            <w:tcW w:w="883" w:type="pct"/>
            <w:tcBorders>
              <w:top w:val="single" w:sz="4" w:space="0" w:color="auto"/>
              <w:bottom w:val="single" w:sz="4" w:space="0" w:color="auto"/>
            </w:tcBorders>
            <w:noWrap/>
          </w:tcPr>
          <w:p w14:paraId="5B9F561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1.76 ± 0.006</w:t>
            </w:r>
            <w:r w:rsidRPr="003D4161">
              <w:rPr>
                <w:rFonts w:ascii="Arial" w:eastAsia="Times New Roman" w:hAnsi="Arial" w:cs="Arial"/>
                <w:color w:val="000000"/>
                <w:sz w:val="20"/>
                <w:szCs w:val="20"/>
                <w:vertAlign w:val="superscript"/>
              </w:rPr>
              <w:t>ab</w:t>
            </w:r>
          </w:p>
        </w:tc>
        <w:tc>
          <w:tcPr>
            <w:tcW w:w="462" w:type="pct"/>
            <w:tcBorders>
              <w:top w:val="single" w:sz="4" w:space="0" w:color="auto"/>
              <w:bottom w:val="single" w:sz="4" w:space="0" w:color="auto"/>
            </w:tcBorders>
            <w:noWrap/>
          </w:tcPr>
          <w:p w14:paraId="0AB7562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0.012</w:t>
            </w:r>
          </w:p>
        </w:tc>
      </w:tr>
      <w:tr w:rsidR="00E35CE1" w:rsidRPr="003D4161" w14:paraId="57E393C3" w14:textId="77777777" w:rsidTr="00A60740">
        <w:trPr>
          <w:trHeight w:val="312"/>
          <w:jc w:val="center"/>
        </w:trPr>
        <w:tc>
          <w:tcPr>
            <w:tcW w:w="1134" w:type="pct"/>
            <w:tcBorders>
              <w:top w:val="single" w:sz="4" w:space="0" w:color="auto"/>
              <w:bottom w:val="single" w:sz="4" w:space="0" w:color="auto"/>
            </w:tcBorders>
            <w:noWrap/>
          </w:tcPr>
          <w:p w14:paraId="212DE285" w14:textId="77777777" w:rsidR="00E35CE1" w:rsidRPr="003D4161" w:rsidRDefault="00E35CE1" w:rsidP="003D4161">
            <w:pPr>
              <w:spacing w:before="80" w:after="80" w:line="276" w:lineRule="auto"/>
              <w:rPr>
                <w:rFonts w:ascii="Arial" w:eastAsia="Times New Roman" w:hAnsi="Arial" w:cs="Arial"/>
                <w:b/>
                <w:sz w:val="20"/>
                <w:szCs w:val="20"/>
              </w:rPr>
            </w:pPr>
            <w:r w:rsidRPr="003D4161">
              <w:rPr>
                <w:rFonts w:ascii="Arial" w:eastAsia="Times New Roman" w:hAnsi="Arial" w:cs="Arial"/>
                <w:b/>
                <w:sz w:val="20"/>
                <w:szCs w:val="20"/>
              </w:rPr>
              <w:t>Performance index*</w:t>
            </w:r>
          </w:p>
        </w:tc>
        <w:tc>
          <w:tcPr>
            <w:tcW w:w="841" w:type="pct"/>
            <w:tcBorders>
              <w:top w:val="single" w:sz="4" w:space="0" w:color="auto"/>
              <w:bottom w:val="single" w:sz="4" w:space="0" w:color="auto"/>
            </w:tcBorders>
            <w:noWrap/>
          </w:tcPr>
          <w:p w14:paraId="7857C681"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892.79 ± 0.90</w:t>
            </w:r>
            <w:r w:rsidRPr="003D4161">
              <w:rPr>
                <w:rFonts w:ascii="Arial" w:hAnsi="Arial" w:cs="Arial"/>
                <w:sz w:val="20"/>
                <w:szCs w:val="20"/>
                <w:vertAlign w:val="superscript"/>
              </w:rPr>
              <w:t>a</w:t>
            </w:r>
          </w:p>
        </w:tc>
        <w:tc>
          <w:tcPr>
            <w:tcW w:w="840" w:type="pct"/>
            <w:tcBorders>
              <w:top w:val="single" w:sz="4" w:space="0" w:color="auto"/>
              <w:bottom w:val="single" w:sz="4" w:space="0" w:color="auto"/>
            </w:tcBorders>
            <w:noWrap/>
          </w:tcPr>
          <w:p w14:paraId="5A6739EC"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905.60 ± 1.57</w:t>
            </w:r>
            <w:r w:rsidRPr="003D4161">
              <w:rPr>
                <w:rFonts w:ascii="Arial" w:hAnsi="Arial" w:cs="Arial"/>
                <w:sz w:val="20"/>
                <w:szCs w:val="20"/>
                <w:vertAlign w:val="superscript"/>
              </w:rPr>
              <w:t>b</w:t>
            </w:r>
          </w:p>
        </w:tc>
        <w:tc>
          <w:tcPr>
            <w:tcW w:w="840" w:type="pct"/>
            <w:tcBorders>
              <w:top w:val="single" w:sz="4" w:space="0" w:color="auto"/>
              <w:bottom w:val="single" w:sz="4" w:space="0" w:color="auto"/>
            </w:tcBorders>
            <w:noWrap/>
          </w:tcPr>
          <w:p w14:paraId="452604B3"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938.24 ± 0.29</w:t>
            </w:r>
            <w:r w:rsidRPr="003D4161">
              <w:rPr>
                <w:rFonts w:ascii="Arial" w:hAnsi="Arial" w:cs="Arial"/>
                <w:sz w:val="20"/>
                <w:szCs w:val="20"/>
                <w:vertAlign w:val="superscript"/>
              </w:rPr>
              <w:t>d</w:t>
            </w:r>
          </w:p>
        </w:tc>
        <w:tc>
          <w:tcPr>
            <w:tcW w:w="883" w:type="pct"/>
            <w:tcBorders>
              <w:top w:val="single" w:sz="4" w:space="0" w:color="auto"/>
              <w:bottom w:val="single" w:sz="4" w:space="0" w:color="auto"/>
            </w:tcBorders>
            <w:noWrap/>
          </w:tcPr>
          <w:p w14:paraId="5E8F2B6E"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925.32 ± 0.31</w:t>
            </w:r>
            <w:r w:rsidRPr="003D4161">
              <w:rPr>
                <w:rFonts w:ascii="Arial" w:hAnsi="Arial" w:cs="Arial"/>
                <w:sz w:val="20"/>
                <w:szCs w:val="20"/>
                <w:vertAlign w:val="superscript"/>
              </w:rPr>
              <w:t>c</w:t>
            </w:r>
          </w:p>
        </w:tc>
        <w:tc>
          <w:tcPr>
            <w:tcW w:w="462" w:type="pct"/>
            <w:tcBorders>
              <w:top w:val="single" w:sz="4" w:space="0" w:color="auto"/>
              <w:bottom w:val="single" w:sz="4" w:space="0" w:color="auto"/>
            </w:tcBorders>
            <w:noWrap/>
          </w:tcPr>
          <w:p w14:paraId="35820416"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50A87C87"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Mean values bearing different alphabets (a, b, c and d) in superscript in a row differ significantly, *(P &lt; 0.05)</w:t>
      </w:r>
    </w:p>
    <w:p w14:paraId="19374457" w14:textId="753FCC49" w:rsidR="00E35CE1" w:rsidRPr="002A1205" w:rsidRDefault="00E35CE1" w:rsidP="002A1205">
      <w:pPr>
        <w:spacing w:before="120" w:after="120" w:line="240" w:lineRule="auto"/>
        <w:rPr>
          <w:rFonts w:ascii="Arial" w:hAnsi="Arial" w:cs="Arial"/>
          <w:sz w:val="18"/>
          <w:szCs w:val="18"/>
        </w:rPr>
      </w:pPr>
      <w:r w:rsidRPr="002A1205">
        <w:rPr>
          <w:rFonts w:ascii="Arial" w:hAnsi="Arial" w:cs="Arial"/>
          <w:sz w:val="18"/>
          <w:szCs w:val="18"/>
        </w:rPr>
        <w:t>T1: -Basal diet, T2: -Basal diet + 1% Mushroom fruiting body waste, T3: -Basal diet + 2% Mushroom fruiting body waste, T4: -Basal diet + 3% Mushroom fruiting body waste</w:t>
      </w:r>
    </w:p>
    <w:p w14:paraId="784573B3"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6.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0 to 42 days</w:t>
      </w:r>
    </w:p>
    <w:tbl>
      <w:tblPr>
        <w:tblW w:w="6043" w:type="pct"/>
        <w:jc w:val="center"/>
        <w:tblBorders>
          <w:bottom w:val="single" w:sz="4" w:space="0" w:color="auto"/>
        </w:tblBorders>
        <w:tblLayout w:type="fixed"/>
        <w:tblLook w:val="04A0" w:firstRow="1" w:lastRow="0" w:firstColumn="1" w:lastColumn="0" w:noHBand="0" w:noVBand="1"/>
      </w:tblPr>
      <w:tblGrid>
        <w:gridCol w:w="2520"/>
        <w:gridCol w:w="1900"/>
        <w:gridCol w:w="1896"/>
        <w:gridCol w:w="1785"/>
        <w:gridCol w:w="1800"/>
        <w:gridCol w:w="1008"/>
      </w:tblGrid>
      <w:tr w:rsidR="00E35CE1" w:rsidRPr="003D4161" w14:paraId="3CE8EFA6" w14:textId="77777777" w:rsidTr="00A60740">
        <w:trPr>
          <w:trHeight w:val="288"/>
          <w:jc w:val="center"/>
        </w:trPr>
        <w:tc>
          <w:tcPr>
            <w:tcW w:w="1155" w:type="pct"/>
            <w:vMerge w:val="restart"/>
            <w:tcBorders>
              <w:top w:val="single" w:sz="4" w:space="0" w:color="auto"/>
              <w:bottom w:val="single" w:sz="4" w:space="0" w:color="auto"/>
            </w:tcBorders>
            <w:noWrap/>
            <w:vAlign w:val="center"/>
            <w:hideMark/>
          </w:tcPr>
          <w:p w14:paraId="1B749FC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lastRenderedPageBreak/>
              <w:t>Parameters</w:t>
            </w:r>
          </w:p>
        </w:tc>
        <w:tc>
          <w:tcPr>
            <w:tcW w:w="3383" w:type="pct"/>
            <w:gridSpan w:val="4"/>
            <w:tcBorders>
              <w:top w:val="single" w:sz="4" w:space="0" w:color="auto"/>
              <w:bottom w:val="single" w:sz="4" w:space="0" w:color="auto"/>
            </w:tcBorders>
            <w:noWrap/>
            <w:vAlign w:val="center"/>
            <w:hideMark/>
          </w:tcPr>
          <w:p w14:paraId="6422519C" w14:textId="77777777" w:rsidR="00E35CE1" w:rsidRPr="003D4161" w:rsidRDefault="00E35CE1" w:rsidP="003D4161">
            <w:pPr>
              <w:spacing w:before="80" w:after="8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62" w:type="pct"/>
            <w:vMerge w:val="restart"/>
            <w:tcBorders>
              <w:top w:val="single" w:sz="4" w:space="0" w:color="auto"/>
              <w:bottom w:val="single" w:sz="4" w:space="0" w:color="auto"/>
            </w:tcBorders>
            <w:noWrap/>
            <w:vAlign w:val="center"/>
            <w:hideMark/>
          </w:tcPr>
          <w:p w14:paraId="13A1AFF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069814F8" w14:textId="77777777" w:rsidTr="00A60740">
        <w:trPr>
          <w:trHeight w:val="300"/>
          <w:jc w:val="center"/>
        </w:trPr>
        <w:tc>
          <w:tcPr>
            <w:tcW w:w="1155" w:type="pct"/>
            <w:vMerge/>
            <w:tcBorders>
              <w:top w:val="single" w:sz="4" w:space="0" w:color="auto"/>
              <w:bottom w:val="single" w:sz="4" w:space="0" w:color="auto"/>
            </w:tcBorders>
            <w:noWrap/>
            <w:vAlign w:val="center"/>
            <w:hideMark/>
          </w:tcPr>
          <w:p w14:paraId="4F3E8760" w14:textId="77777777" w:rsidR="00E35CE1" w:rsidRPr="003D4161" w:rsidRDefault="00E35CE1" w:rsidP="003D4161">
            <w:pPr>
              <w:spacing w:before="80" w:after="80" w:line="276" w:lineRule="auto"/>
              <w:rPr>
                <w:rFonts w:ascii="Arial" w:eastAsia="Times New Roman" w:hAnsi="Arial" w:cs="Arial"/>
                <w:b/>
                <w:color w:val="000000"/>
                <w:sz w:val="20"/>
                <w:szCs w:val="20"/>
              </w:rPr>
            </w:pPr>
          </w:p>
        </w:tc>
        <w:tc>
          <w:tcPr>
            <w:tcW w:w="871" w:type="pct"/>
            <w:tcBorders>
              <w:top w:val="single" w:sz="4" w:space="0" w:color="auto"/>
              <w:bottom w:val="single" w:sz="4" w:space="0" w:color="auto"/>
            </w:tcBorders>
            <w:noWrap/>
            <w:vAlign w:val="center"/>
            <w:hideMark/>
          </w:tcPr>
          <w:p w14:paraId="2CDC4013"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69" w:type="pct"/>
            <w:tcBorders>
              <w:top w:val="single" w:sz="4" w:space="0" w:color="auto"/>
              <w:bottom w:val="single" w:sz="4" w:space="0" w:color="auto"/>
            </w:tcBorders>
            <w:noWrap/>
            <w:vAlign w:val="center"/>
            <w:hideMark/>
          </w:tcPr>
          <w:p w14:paraId="1892D65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18" w:type="pct"/>
            <w:tcBorders>
              <w:top w:val="single" w:sz="4" w:space="0" w:color="auto"/>
              <w:bottom w:val="single" w:sz="4" w:space="0" w:color="auto"/>
            </w:tcBorders>
            <w:noWrap/>
            <w:vAlign w:val="center"/>
            <w:hideMark/>
          </w:tcPr>
          <w:p w14:paraId="5435C5B5"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25" w:type="pct"/>
            <w:tcBorders>
              <w:top w:val="single" w:sz="4" w:space="0" w:color="auto"/>
              <w:bottom w:val="single" w:sz="4" w:space="0" w:color="auto"/>
            </w:tcBorders>
            <w:noWrap/>
            <w:vAlign w:val="center"/>
            <w:hideMark/>
          </w:tcPr>
          <w:p w14:paraId="2DEEA57E"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62" w:type="pct"/>
            <w:vMerge/>
            <w:tcBorders>
              <w:top w:val="single" w:sz="4" w:space="0" w:color="auto"/>
              <w:bottom w:val="single" w:sz="4" w:space="0" w:color="auto"/>
            </w:tcBorders>
            <w:noWrap/>
            <w:vAlign w:val="center"/>
            <w:hideMark/>
          </w:tcPr>
          <w:p w14:paraId="374FAC77" w14:textId="77777777" w:rsidR="00E35CE1" w:rsidRPr="003D4161" w:rsidRDefault="00E35CE1" w:rsidP="003D4161">
            <w:pPr>
              <w:spacing w:before="80" w:after="80" w:line="276" w:lineRule="auto"/>
              <w:rPr>
                <w:rFonts w:ascii="Arial" w:eastAsia="Times New Roman" w:hAnsi="Arial" w:cs="Arial"/>
                <w:b/>
                <w:color w:val="000000"/>
                <w:sz w:val="20"/>
                <w:szCs w:val="20"/>
              </w:rPr>
            </w:pPr>
          </w:p>
        </w:tc>
      </w:tr>
      <w:tr w:rsidR="00E35CE1" w:rsidRPr="003D4161" w14:paraId="45A5FF91" w14:textId="77777777" w:rsidTr="00A60740">
        <w:trPr>
          <w:trHeight w:val="312"/>
          <w:jc w:val="center"/>
        </w:trPr>
        <w:tc>
          <w:tcPr>
            <w:tcW w:w="1155" w:type="pct"/>
            <w:tcBorders>
              <w:top w:val="single" w:sz="4" w:space="0" w:color="auto"/>
              <w:bottom w:val="single" w:sz="4" w:space="0" w:color="auto"/>
            </w:tcBorders>
            <w:noWrap/>
            <w:hideMark/>
          </w:tcPr>
          <w:p w14:paraId="1369295D" w14:textId="431D4EAD"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Initial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71" w:type="pct"/>
            <w:tcBorders>
              <w:top w:val="single" w:sz="4" w:space="0" w:color="auto"/>
              <w:bottom w:val="single" w:sz="4" w:space="0" w:color="auto"/>
            </w:tcBorders>
            <w:noWrap/>
            <w:hideMark/>
          </w:tcPr>
          <w:p w14:paraId="4464A243"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869" w:type="pct"/>
            <w:tcBorders>
              <w:top w:val="single" w:sz="4" w:space="0" w:color="auto"/>
              <w:bottom w:val="single" w:sz="4" w:space="0" w:color="auto"/>
            </w:tcBorders>
            <w:noWrap/>
            <w:hideMark/>
          </w:tcPr>
          <w:p w14:paraId="63B1B72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818" w:type="pct"/>
            <w:tcBorders>
              <w:top w:val="single" w:sz="4" w:space="0" w:color="auto"/>
              <w:bottom w:val="single" w:sz="4" w:space="0" w:color="auto"/>
            </w:tcBorders>
            <w:noWrap/>
            <w:hideMark/>
          </w:tcPr>
          <w:p w14:paraId="33CB888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825" w:type="pct"/>
            <w:tcBorders>
              <w:top w:val="single" w:sz="4" w:space="0" w:color="auto"/>
              <w:bottom w:val="single" w:sz="4" w:space="0" w:color="auto"/>
            </w:tcBorders>
            <w:noWrap/>
            <w:hideMark/>
          </w:tcPr>
          <w:p w14:paraId="2241F34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0.74</w:t>
            </w:r>
          </w:p>
        </w:tc>
        <w:tc>
          <w:tcPr>
            <w:tcW w:w="462" w:type="pct"/>
            <w:tcBorders>
              <w:top w:val="single" w:sz="4" w:space="0" w:color="auto"/>
              <w:bottom w:val="single" w:sz="4" w:space="0" w:color="auto"/>
            </w:tcBorders>
            <w:noWrap/>
            <w:hideMark/>
          </w:tcPr>
          <w:p w14:paraId="571E6F7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74067E2C" w14:textId="77777777" w:rsidTr="00A60740">
        <w:trPr>
          <w:trHeight w:val="341"/>
          <w:jc w:val="center"/>
        </w:trPr>
        <w:tc>
          <w:tcPr>
            <w:tcW w:w="1155" w:type="pct"/>
            <w:tcBorders>
              <w:top w:val="single" w:sz="4" w:space="0" w:color="auto"/>
              <w:bottom w:val="single" w:sz="4" w:space="0" w:color="auto"/>
            </w:tcBorders>
            <w:noWrap/>
            <w:hideMark/>
          </w:tcPr>
          <w:p w14:paraId="0C4A3C63" w14:textId="07E80BF4"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Final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w:t>
            </w:r>
            <w:proofErr w:type="gramStart"/>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r w:rsidRPr="003D4161">
              <w:rPr>
                <w:rFonts w:ascii="Arial" w:eastAsia="Times New Roman" w:hAnsi="Arial" w:cs="Arial"/>
                <w:b/>
                <w:color w:val="000000"/>
                <w:sz w:val="20"/>
                <w:szCs w:val="20"/>
              </w:rPr>
              <w:t>*</w:t>
            </w:r>
            <w:proofErr w:type="gramEnd"/>
          </w:p>
        </w:tc>
        <w:tc>
          <w:tcPr>
            <w:tcW w:w="871" w:type="pct"/>
            <w:tcBorders>
              <w:top w:val="single" w:sz="4" w:space="0" w:color="auto"/>
              <w:bottom w:val="single" w:sz="4" w:space="0" w:color="auto"/>
            </w:tcBorders>
            <w:noWrap/>
            <w:hideMark/>
          </w:tcPr>
          <w:p w14:paraId="16FB6C39"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 10.56</w:t>
            </w:r>
            <w:r w:rsidRPr="003D4161">
              <w:rPr>
                <w:rFonts w:ascii="Arial" w:eastAsia="Times New Roman" w:hAnsi="Arial" w:cs="Arial"/>
                <w:color w:val="000000"/>
                <w:sz w:val="20"/>
                <w:szCs w:val="20"/>
                <w:vertAlign w:val="superscript"/>
              </w:rPr>
              <w:t>a</w:t>
            </w:r>
          </w:p>
        </w:tc>
        <w:tc>
          <w:tcPr>
            <w:tcW w:w="869" w:type="pct"/>
            <w:tcBorders>
              <w:top w:val="single" w:sz="4" w:space="0" w:color="auto"/>
              <w:bottom w:val="single" w:sz="4" w:space="0" w:color="auto"/>
            </w:tcBorders>
            <w:noWrap/>
            <w:hideMark/>
          </w:tcPr>
          <w:p w14:paraId="46737A6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r w:rsidRPr="003D4161">
              <w:rPr>
                <w:rFonts w:ascii="Arial" w:eastAsia="Times New Roman" w:hAnsi="Arial" w:cs="Arial"/>
                <w:color w:val="000000"/>
                <w:sz w:val="20"/>
                <w:szCs w:val="20"/>
                <w:vertAlign w:val="superscript"/>
              </w:rPr>
              <w:t>ab</w:t>
            </w:r>
          </w:p>
        </w:tc>
        <w:tc>
          <w:tcPr>
            <w:tcW w:w="818" w:type="pct"/>
            <w:tcBorders>
              <w:top w:val="single" w:sz="4" w:space="0" w:color="auto"/>
              <w:bottom w:val="single" w:sz="4" w:space="0" w:color="auto"/>
            </w:tcBorders>
            <w:noWrap/>
            <w:hideMark/>
          </w:tcPr>
          <w:p w14:paraId="572BCE5B"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r w:rsidRPr="003D4161">
              <w:rPr>
                <w:rFonts w:ascii="Arial" w:eastAsia="Times New Roman" w:hAnsi="Arial" w:cs="Arial"/>
                <w:color w:val="000000"/>
                <w:sz w:val="20"/>
                <w:szCs w:val="20"/>
                <w:vertAlign w:val="superscript"/>
              </w:rPr>
              <w:t>b</w:t>
            </w:r>
          </w:p>
        </w:tc>
        <w:tc>
          <w:tcPr>
            <w:tcW w:w="825" w:type="pct"/>
            <w:tcBorders>
              <w:top w:val="single" w:sz="4" w:space="0" w:color="auto"/>
              <w:bottom w:val="single" w:sz="4" w:space="0" w:color="auto"/>
            </w:tcBorders>
            <w:noWrap/>
            <w:hideMark/>
          </w:tcPr>
          <w:p w14:paraId="46986C73"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hideMark/>
          </w:tcPr>
          <w:p w14:paraId="608547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6470014" w14:textId="77777777" w:rsidTr="00A60740">
        <w:trPr>
          <w:trHeight w:val="312"/>
          <w:jc w:val="center"/>
        </w:trPr>
        <w:tc>
          <w:tcPr>
            <w:tcW w:w="1155" w:type="pct"/>
            <w:tcBorders>
              <w:top w:val="single" w:sz="4" w:space="0" w:color="auto"/>
              <w:bottom w:val="single" w:sz="4" w:space="0" w:color="auto"/>
            </w:tcBorders>
            <w:noWrap/>
            <w:hideMark/>
          </w:tcPr>
          <w:p w14:paraId="38235F3D" w14:textId="084B241C"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Weight gain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w:t>
            </w:r>
            <w:proofErr w:type="gramStart"/>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r w:rsidRPr="003D4161">
              <w:rPr>
                <w:rFonts w:ascii="Arial" w:eastAsia="Times New Roman" w:hAnsi="Arial" w:cs="Arial"/>
                <w:b/>
                <w:color w:val="000000"/>
                <w:sz w:val="20"/>
                <w:szCs w:val="20"/>
              </w:rPr>
              <w:t>*</w:t>
            </w:r>
            <w:proofErr w:type="gramEnd"/>
          </w:p>
        </w:tc>
        <w:tc>
          <w:tcPr>
            <w:tcW w:w="871" w:type="pct"/>
            <w:tcBorders>
              <w:top w:val="single" w:sz="4" w:space="0" w:color="auto"/>
              <w:bottom w:val="single" w:sz="4" w:space="0" w:color="auto"/>
            </w:tcBorders>
            <w:noWrap/>
            <w:hideMark/>
          </w:tcPr>
          <w:p w14:paraId="4009676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2197.14 ± 10.61</w:t>
            </w:r>
            <w:r w:rsidRPr="003D4161">
              <w:rPr>
                <w:rFonts w:ascii="Arial" w:eastAsia="Times New Roman" w:hAnsi="Arial" w:cs="Arial"/>
                <w:color w:val="000000"/>
                <w:sz w:val="20"/>
                <w:szCs w:val="20"/>
                <w:vertAlign w:val="superscript"/>
              </w:rPr>
              <w:t>a</w:t>
            </w:r>
          </w:p>
        </w:tc>
        <w:tc>
          <w:tcPr>
            <w:tcW w:w="869" w:type="pct"/>
            <w:tcBorders>
              <w:top w:val="single" w:sz="4" w:space="0" w:color="auto"/>
              <w:bottom w:val="single" w:sz="4" w:space="0" w:color="auto"/>
            </w:tcBorders>
            <w:noWrap/>
            <w:hideMark/>
          </w:tcPr>
          <w:p w14:paraId="43CF9AE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2219.08 ± 11.29</w:t>
            </w:r>
            <w:r w:rsidRPr="003D4161">
              <w:rPr>
                <w:rFonts w:ascii="Arial" w:eastAsia="Times New Roman" w:hAnsi="Arial" w:cs="Arial"/>
                <w:color w:val="000000"/>
                <w:sz w:val="20"/>
                <w:szCs w:val="20"/>
                <w:vertAlign w:val="superscript"/>
              </w:rPr>
              <w:t>ab</w:t>
            </w:r>
          </w:p>
        </w:tc>
        <w:tc>
          <w:tcPr>
            <w:tcW w:w="818" w:type="pct"/>
            <w:tcBorders>
              <w:top w:val="single" w:sz="4" w:space="0" w:color="auto"/>
              <w:bottom w:val="single" w:sz="4" w:space="0" w:color="auto"/>
            </w:tcBorders>
            <w:noWrap/>
            <w:hideMark/>
          </w:tcPr>
          <w:p w14:paraId="0E765F4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2254.18 ± 13.36</w:t>
            </w:r>
            <w:r w:rsidRPr="003D4161">
              <w:rPr>
                <w:rFonts w:ascii="Arial" w:eastAsia="Times New Roman" w:hAnsi="Arial" w:cs="Arial"/>
                <w:color w:val="000000"/>
                <w:sz w:val="20"/>
                <w:szCs w:val="20"/>
                <w:vertAlign w:val="superscript"/>
              </w:rPr>
              <w:t>b</w:t>
            </w:r>
          </w:p>
        </w:tc>
        <w:tc>
          <w:tcPr>
            <w:tcW w:w="825" w:type="pct"/>
            <w:tcBorders>
              <w:top w:val="single" w:sz="4" w:space="0" w:color="auto"/>
              <w:bottom w:val="single" w:sz="4" w:space="0" w:color="auto"/>
            </w:tcBorders>
            <w:noWrap/>
            <w:hideMark/>
          </w:tcPr>
          <w:p w14:paraId="6E319B4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2241.97 ± 12.40</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hideMark/>
          </w:tcPr>
          <w:p w14:paraId="001DE78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0.043</w:t>
            </w:r>
          </w:p>
        </w:tc>
      </w:tr>
      <w:tr w:rsidR="00E35CE1" w:rsidRPr="003D4161" w14:paraId="4203A49F" w14:textId="77777777" w:rsidTr="00A60740">
        <w:trPr>
          <w:trHeight w:val="312"/>
          <w:jc w:val="center"/>
        </w:trPr>
        <w:tc>
          <w:tcPr>
            <w:tcW w:w="1155" w:type="pct"/>
            <w:tcBorders>
              <w:top w:val="single" w:sz="4" w:space="0" w:color="auto"/>
              <w:bottom w:val="single" w:sz="4" w:space="0" w:color="auto"/>
            </w:tcBorders>
            <w:noWrap/>
            <w:hideMark/>
          </w:tcPr>
          <w:p w14:paraId="3CDACC4B" w14:textId="54EB269B"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Feed intake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71" w:type="pct"/>
            <w:tcBorders>
              <w:top w:val="single" w:sz="4" w:space="0" w:color="auto"/>
              <w:bottom w:val="single" w:sz="4" w:space="0" w:color="auto"/>
            </w:tcBorders>
            <w:noWrap/>
            <w:hideMark/>
          </w:tcPr>
          <w:p w14:paraId="30DC36F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3780.95 ± 34.73</w:t>
            </w:r>
          </w:p>
        </w:tc>
        <w:tc>
          <w:tcPr>
            <w:tcW w:w="869" w:type="pct"/>
            <w:tcBorders>
              <w:top w:val="single" w:sz="4" w:space="0" w:color="auto"/>
              <w:bottom w:val="single" w:sz="4" w:space="0" w:color="auto"/>
            </w:tcBorders>
            <w:noWrap/>
            <w:hideMark/>
          </w:tcPr>
          <w:p w14:paraId="0B3565F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3789.30 ± 38.99</w:t>
            </w:r>
          </w:p>
        </w:tc>
        <w:tc>
          <w:tcPr>
            <w:tcW w:w="818" w:type="pct"/>
            <w:tcBorders>
              <w:top w:val="single" w:sz="4" w:space="0" w:color="auto"/>
              <w:bottom w:val="single" w:sz="4" w:space="0" w:color="auto"/>
            </w:tcBorders>
            <w:noWrap/>
            <w:hideMark/>
          </w:tcPr>
          <w:p w14:paraId="1A9686F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3771.47 ± 40.33</w:t>
            </w:r>
          </w:p>
        </w:tc>
        <w:tc>
          <w:tcPr>
            <w:tcW w:w="825" w:type="pct"/>
            <w:tcBorders>
              <w:top w:val="single" w:sz="4" w:space="0" w:color="auto"/>
              <w:bottom w:val="single" w:sz="4" w:space="0" w:color="auto"/>
            </w:tcBorders>
            <w:noWrap/>
            <w:hideMark/>
          </w:tcPr>
          <w:p w14:paraId="1BC43C0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3787.70 ± 38.53</w:t>
            </w:r>
          </w:p>
        </w:tc>
        <w:tc>
          <w:tcPr>
            <w:tcW w:w="462" w:type="pct"/>
            <w:tcBorders>
              <w:top w:val="single" w:sz="4" w:space="0" w:color="auto"/>
              <w:bottom w:val="single" w:sz="4" w:space="0" w:color="auto"/>
            </w:tcBorders>
            <w:noWrap/>
            <w:hideMark/>
          </w:tcPr>
          <w:p w14:paraId="523E7B0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0.986</w:t>
            </w:r>
          </w:p>
        </w:tc>
      </w:tr>
      <w:tr w:rsidR="00E35CE1" w:rsidRPr="003D4161" w14:paraId="4B2F53F8" w14:textId="77777777" w:rsidTr="00A60740">
        <w:trPr>
          <w:trHeight w:val="312"/>
          <w:jc w:val="center"/>
        </w:trPr>
        <w:tc>
          <w:tcPr>
            <w:tcW w:w="1155" w:type="pct"/>
            <w:tcBorders>
              <w:top w:val="single" w:sz="4" w:space="0" w:color="auto"/>
              <w:bottom w:val="single" w:sz="4" w:space="0" w:color="auto"/>
            </w:tcBorders>
            <w:noWrap/>
            <w:hideMark/>
          </w:tcPr>
          <w:p w14:paraId="20CF4E1E"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71" w:type="pct"/>
            <w:tcBorders>
              <w:top w:val="single" w:sz="4" w:space="0" w:color="auto"/>
              <w:bottom w:val="single" w:sz="4" w:space="0" w:color="auto"/>
            </w:tcBorders>
            <w:noWrap/>
            <w:hideMark/>
          </w:tcPr>
          <w:p w14:paraId="4BF48D0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1.72 ± 0.007</w:t>
            </w:r>
            <w:r w:rsidRPr="003D4161">
              <w:rPr>
                <w:rFonts w:ascii="Arial" w:eastAsia="Times New Roman" w:hAnsi="Arial" w:cs="Arial"/>
                <w:color w:val="000000"/>
                <w:sz w:val="20"/>
                <w:szCs w:val="20"/>
                <w:vertAlign w:val="superscript"/>
              </w:rPr>
              <w:t>c</w:t>
            </w:r>
          </w:p>
        </w:tc>
        <w:tc>
          <w:tcPr>
            <w:tcW w:w="869" w:type="pct"/>
            <w:tcBorders>
              <w:top w:val="single" w:sz="4" w:space="0" w:color="auto"/>
              <w:bottom w:val="single" w:sz="4" w:space="0" w:color="auto"/>
            </w:tcBorders>
            <w:noWrap/>
            <w:hideMark/>
          </w:tcPr>
          <w:p w14:paraId="7FD2D48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1.70 ± 0.008</w:t>
            </w:r>
            <w:r w:rsidRPr="003D4161">
              <w:rPr>
                <w:rFonts w:ascii="Arial" w:eastAsia="Times New Roman" w:hAnsi="Arial" w:cs="Arial"/>
                <w:color w:val="000000"/>
                <w:sz w:val="20"/>
                <w:szCs w:val="20"/>
                <w:vertAlign w:val="superscript"/>
              </w:rPr>
              <w:t>bc</w:t>
            </w:r>
          </w:p>
        </w:tc>
        <w:tc>
          <w:tcPr>
            <w:tcW w:w="818" w:type="pct"/>
            <w:tcBorders>
              <w:top w:val="single" w:sz="4" w:space="0" w:color="auto"/>
              <w:bottom w:val="single" w:sz="4" w:space="0" w:color="auto"/>
            </w:tcBorders>
            <w:noWrap/>
            <w:hideMark/>
          </w:tcPr>
          <w:p w14:paraId="5630257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1.67 ± 0.007</w:t>
            </w:r>
            <w:r w:rsidRPr="003D4161">
              <w:rPr>
                <w:rFonts w:ascii="Arial" w:eastAsia="Times New Roman" w:hAnsi="Arial" w:cs="Arial"/>
                <w:color w:val="000000"/>
                <w:sz w:val="20"/>
                <w:szCs w:val="20"/>
                <w:vertAlign w:val="superscript"/>
              </w:rPr>
              <w:t>a</w:t>
            </w:r>
          </w:p>
        </w:tc>
        <w:tc>
          <w:tcPr>
            <w:tcW w:w="825" w:type="pct"/>
            <w:tcBorders>
              <w:top w:val="single" w:sz="4" w:space="0" w:color="auto"/>
              <w:bottom w:val="single" w:sz="4" w:space="0" w:color="auto"/>
            </w:tcBorders>
            <w:noWrap/>
            <w:hideMark/>
          </w:tcPr>
          <w:p w14:paraId="101A52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1.68 ± 0.007</w:t>
            </w:r>
            <w:r w:rsidRPr="003D4161">
              <w:rPr>
                <w:rFonts w:ascii="Arial" w:eastAsia="Times New Roman" w:hAnsi="Arial" w:cs="Arial"/>
                <w:color w:val="000000"/>
                <w:sz w:val="20"/>
                <w:szCs w:val="20"/>
                <w:vertAlign w:val="superscript"/>
              </w:rPr>
              <w:t>ab</w:t>
            </w:r>
          </w:p>
        </w:tc>
        <w:tc>
          <w:tcPr>
            <w:tcW w:w="462" w:type="pct"/>
            <w:tcBorders>
              <w:top w:val="single" w:sz="4" w:space="0" w:color="auto"/>
              <w:bottom w:val="single" w:sz="4" w:space="0" w:color="auto"/>
            </w:tcBorders>
            <w:noWrap/>
            <w:hideMark/>
          </w:tcPr>
          <w:p w14:paraId="5CCD4DD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0.014</w:t>
            </w:r>
          </w:p>
        </w:tc>
      </w:tr>
      <w:tr w:rsidR="00E35CE1" w:rsidRPr="003D4161" w14:paraId="165B1269" w14:textId="77777777" w:rsidTr="00A60740">
        <w:trPr>
          <w:trHeight w:val="312"/>
          <w:jc w:val="center"/>
        </w:trPr>
        <w:tc>
          <w:tcPr>
            <w:tcW w:w="1155" w:type="pct"/>
            <w:tcBorders>
              <w:top w:val="single" w:sz="4" w:space="0" w:color="auto"/>
            </w:tcBorders>
            <w:noWrap/>
            <w:hideMark/>
          </w:tcPr>
          <w:p w14:paraId="71B53366" w14:textId="77777777" w:rsidR="00E35CE1" w:rsidRPr="003D4161" w:rsidRDefault="00E35CE1" w:rsidP="003D4161">
            <w:pPr>
              <w:spacing w:before="80" w:after="80" w:line="276" w:lineRule="auto"/>
              <w:rPr>
                <w:rFonts w:ascii="Arial" w:eastAsia="Times New Roman" w:hAnsi="Arial" w:cs="Arial"/>
                <w:b/>
                <w:color w:val="FF0000"/>
                <w:sz w:val="20"/>
                <w:szCs w:val="20"/>
              </w:rPr>
            </w:pPr>
            <w:r w:rsidRPr="003D4161">
              <w:rPr>
                <w:rFonts w:ascii="Arial" w:eastAsia="Times New Roman" w:hAnsi="Arial" w:cs="Arial"/>
                <w:b/>
                <w:sz w:val="20"/>
                <w:szCs w:val="20"/>
              </w:rPr>
              <w:t>Performance index*</w:t>
            </w:r>
          </w:p>
        </w:tc>
        <w:tc>
          <w:tcPr>
            <w:tcW w:w="871" w:type="pct"/>
            <w:tcBorders>
              <w:top w:val="single" w:sz="4" w:space="0" w:color="auto"/>
            </w:tcBorders>
            <w:noWrap/>
            <w:hideMark/>
          </w:tcPr>
          <w:p w14:paraId="4F81B5E2"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1289.24 ± 0.24</w:t>
            </w:r>
            <w:r w:rsidRPr="003D4161">
              <w:rPr>
                <w:rFonts w:ascii="Arial" w:hAnsi="Arial" w:cs="Arial"/>
                <w:sz w:val="20"/>
                <w:szCs w:val="20"/>
                <w:vertAlign w:val="superscript"/>
              </w:rPr>
              <w:t>a</w:t>
            </w:r>
          </w:p>
        </w:tc>
        <w:tc>
          <w:tcPr>
            <w:tcW w:w="869" w:type="pct"/>
            <w:tcBorders>
              <w:top w:val="single" w:sz="4" w:space="0" w:color="auto"/>
            </w:tcBorders>
            <w:noWrap/>
            <w:hideMark/>
          </w:tcPr>
          <w:p w14:paraId="3E2B733F"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1312.81 ± 1.18</w:t>
            </w:r>
            <w:r w:rsidRPr="003D4161">
              <w:rPr>
                <w:rFonts w:ascii="Arial" w:hAnsi="Arial" w:cs="Arial"/>
                <w:sz w:val="20"/>
                <w:szCs w:val="20"/>
                <w:vertAlign w:val="superscript"/>
              </w:rPr>
              <w:t>b</w:t>
            </w:r>
          </w:p>
        </w:tc>
        <w:tc>
          <w:tcPr>
            <w:tcW w:w="818" w:type="pct"/>
            <w:tcBorders>
              <w:top w:val="single" w:sz="4" w:space="0" w:color="auto"/>
            </w:tcBorders>
            <w:noWrap/>
            <w:hideMark/>
          </w:tcPr>
          <w:p w14:paraId="23F1110E"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1361.71 ± 1.56</w:t>
            </w:r>
            <w:r w:rsidRPr="003D4161">
              <w:rPr>
                <w:rFonts w:ascii="Arial" w:hAnsi="Arial" w:cs="Arial"/>
                <w:sz w:val="20"/>
                <w:szCs w:val="20"/>
                <w:vertAlign w:val="superscript"/>
              </w:rPr>
              <w:t>d</w:t>
            </w:r>
          </w:p>
        </w:tc>
        <w:tc>
          <w:tcPr>
            <w:tcW w:w="825" w:type="pct"/>
            <w:tcBorders>
              <w:top w:val="single" w:sz="4" w:space="0" w:color="auto"/>
            </w:tcBorders>
            <w:noWrap/>
            <w:hideMark/>
          </w:tcPr>
          <w:p w14:paraId="7227FF67"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1340.08 ± 0.46</w:t>
            </w:r>
            <w:r w:rsidRPr="003D4161">
              <w:rPr>
                <w:rFonts w:ascii="Arial" w:hAnsi="Arial" w:cs="Arial"/>
                <w:sz w:val="20"/>
                <w:szCs w:val="20"/>
                <w:vertAlign w:val="superscript"/>
              </w:rPr>
              <w:t>c</w:t>
            </w:r>
          </w:p>
        </w:tc>
        <w:tc>
          <w:tcPr>
            <w:tcW w:w="462" w:type="pct"/>
            <w:tcBorders>
              <w:top w:val="single" w:sz="4" w:space="0" w:color="auto"/>
            </w:tcBorders>
            <w:noWrap/>
            <w:hideMark/>
          </w:tcPr>
          <w:p w14:paraId="037E10E7"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3EDE0B3B" w14:textId="77777777" w:rsidR="00E35CE1" w:rsidRPr="00E745AA" w:rsidRDefault="00E35CE1" w:rsidP="00E745AA">
      <w:pPr>
        <w:spacing w:after="0" w:line="240" w:lineRule="auto"/>
        <w:rPr>
          <w:rFonts w:ascii="Arial" w:hAnsi="Arial" w:cs="Arial"/>
          <w:sz w:val="18"/>
          <w:szCs w:val="18"/>
        </w:rPr>
      </w:pPr>
      <w:r w:rsidRPr="00E745AA">
        <w:rPr>
          <w:rFonts w:ascii="Arial" w:hAnsi="Arial" w:cs="Arial"/>
          <w:sz w:val="18"/>
          <w:szCs w:val="18"/>
        </w:rPr>
        <w:t>Mean values bearing different alphabets (a, b, c and d) in superscript in a row differ significantly, *(P &lt; 0.05)</w:t>
      </w:r>
    </w:p>
    <w:p w14:paraId="67619C0A" w14:textId="77777777" w:rsidR="00E35CE1" w:rsidRPr="00E745AA" w:rsidRDefault="00E35CE1" w:rsidP="00E745AA">
      <w:pPr>
        <w:spacing w:after="0" w:line="240" w:lineRule="auto"/>
        <w:rPr>
          <w:rFonts w:ascii="Arial" w:hAnsi="Arial" w:cs="Arial"/>
          <w:sz w:val="18"/>
          <w:szCs w:val="18"/>
        </w:rPr>
      </w:pPr>
      <w:r w:rsidRPr="00E745AA">
        <w:rPr>
          <w:rFonts w:ascii="Arial" w:hAnsi="Arial" w:cs="Arial"/>
          <w:sz w:val="18"/>
          <w:szCs w:val="18"/>
        </w:rPr>
        <w:t>T1: -Basal diet, T2: -Basal diet + 1% Mushroom fruiting body waste, T3: -Basal diet + 2% Mushroom fruiting body waste, T4: -Basal diet + 3% Mushroom fruiting body waste</w:t>
      </w:r>
    </w:p>
    <w:p w14:paraId="25757BAC" w14:textId="77777777" w:rsidR="00CC29DE" w:rsidRPr="003D4161" w:rsidRDefault="00CC29DE" w:rsidP="000004F3">
      <w:pPr>
        <w:spacing w:before="120" w:after="120" w:line="360" w:lineRule="auto"/>
        <w:jc w:val="both"/>
        <w:rPr>
          <w:rFonts w:ascii="Arial" w:hAnsi="Arial" w:cs="Arial"/>
          <w:b/>
          <w:sz w:val="20"/>
          <w:szCs w:val="20"/>
          <w:u w:val="single"/>
        </w:rPr>
      </w:pPr>
    </w:p>
    <w:p w14:paraId="389B979D"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rPr>
        <w:drawing>
          <wp:inline distT="0" distB="0" distL="0" distR="0" wp14:anchorId="25929DDC" wp14:editId="6E6CEB0E">
            <wp:extent cx="6056244" cy="2272748"/>
            <wp:effectExtent l="0" t="0" r="190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14337B" w14:textId="69BDD8AF" w:rsidR="00AF6532" w:rsidRPr="00575B86" w:rsidRDefault="00AF6532" w:rsidP="00575B86">
      <w:pPr>
        <w:spacing w:before="120" w:after="120" w:line="240" w:lineRule="auto"/>
        <w:rPr>
          <w:rFonts w:ascii="Arial" w:hAnsi="Arial" w:cs="Arial"/>
          <w:b/>
          <w:sz w:val="22"/>
          <w:szCs w:val="22"/>
        </w:rPr>
      </w:pPr>
      <w:r w:rsidRPr="00575B86">
        <w:rPr>
          <w:rFonts w:ascii="Arial" w:hAnsi="Arial" w:cs="Arial"/>
          <w:b/>
          <w:sz w:val="22"/>
          <w:szCs w:val="22"/>
        </w:rPr>
        <w:t xml:space="preserve">Fig. 1: Average feed intake (g) of broiler chicks fed diets supplemented with varying levels of mushroom </w:t>
      </w:r>
      <w:r w:rsidRPr="00575B86">
        <w:rPr>
          <w:rFonts w:ascii="Arial" w:hAnsi="Arial" w:cs="Arial"/>
          <w:b/>
          <w:i/>
          <w:sz w:val="22"/>
          <w:szCs w:val="22"/>
        </w:rPr>
        <w:t>(Agaricus bisporus)</w:t>
      </w:r>
      <w:r w:rsidRPr="00575B86">
        <w:rPr>
          <w:rFonts w:ascii="Arial" w:hAnsi="Arial" w:cs="Arial"/>
          <w:sz w:val="22"/>
          <w:szCs w:val="22"/>
        </w:rPr>
        <w:t xml:space="preserve"> </w:t>
      </w:r>
      <w:r w:rsidRPr="00575B86">
        <w:rPr>
          <w:rFonts w:ascii="Arial" w:hAnsi="Arial" w:cs="Arial"/>
          <w:b/>
          <w:sz w:val="22"/>
          <w:szCs w:val="22"/>
        </w:rPr>
        <w:t>fruiting body waste</w:t>
      </w:r>
    </w:p>
    <w:p w14:paraId="1D0DBEEA" w14:textId="77777777" w:rsidR="00CC29DE" w:rsidRPr="003D4161" w:rsidRDefault="00CC29DE" w:rsidP="000004F3">
      <w:pPr>
        <w:spacing w:before="120" w:after="120" w:line="360" w:lineRule="auto"/>
        <w:jc w:val="center"/>
        <w:rPr>
          <w:rFonts w:ascii="Arial" w:hAnsi="Arial" w:cs="Arial"/>
          <w:sz w:val="20"/>
          <w:szCs w:val="20"/>
        </w:rPr>
      </w:pPr>
    </w:p>
    <w:p w14:paraId="5607E088"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rPr>
        <w:drawing>
          <wp:inline distT="0" distB="0" distL="0" distR="0" wp14:anchorId="27378F65" wp14:editId="4EC63C95">
            <wp:extent cx="6075928" cy="2140227"/>
            <wp:effectExtent l="0" t="0" r="127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3D9C00" w14:textId="0E75278E" w:rsidR="00AF6532" w:rsidRPr="00575B86" w:rsidRDefault="00AF6532" w:rsidP="00575B86">
      <w:pPr>
        <w:spacing w:before="120" w:after="120" w:line="240" w:lineRule="auto"/>
        <w:rPr>
          <w:rFonts w:ascii="Arial" w:hAnsi="Arial" w:cs="Arial"/>
          <w:b/>
          <w:sz w:val="22"/>
          <w:szCs w:val="22"/>
        </w:rPr>
      </w:pPr>
      <w:r w:rsidRPr="00575B86">
        <w:rPr>
          <w:rFonts w:ascii="Arial" w:hAnsi="Arial" w:cs="Arial"/>
          <w:b/>
          <w:sz w:val="22"/>
          <w:szCs w:val="22"/>
        </w:rPr>
        <w:lastRenderedPageBreak/>
        <w:t xml:space="preserve">Fig. 2: Feed conversion ratio of broiler chicks fed diets supplemented with varying levels of mushroom </w:t>
      </w:r>
      <w:r w:rsidRPr="00575B86">
        <w:rPr>
          <w:rFonts w:ascii="Arial" w:hAnsi="Arial" w:cs="Arial"/>
          <w:b/>
          <w:i/>
          <w:sz w:val="22"/>
          <w:szCs w:val="22"/>
        </w:rPr>
        <w:t>(Agaricus bisporus)</w:t>
      </w:r>
      <w:r w:rsidRPr="00575B86">
        <w:rPr>
          <w:rFonts w:ascii="Arial" w:hAnsi="Arial" w:cs="Arial"/>
          <w:b/>
          <w:sz w:val="22"/>
          <w:szCs w:val="22"/>
        </w:rPr>
        <w:t xml:space="preserve"> fruiting body</w:t>
      </w:r>
      <w:r w:rsidRPr="00575B86">
        <w:rPr>
          <w:rFonts w:ascii="Arial" w:hAnsi="Arial" w:cs="Arial"/>
          <w:sz w:val="22"/>
          <w:szCs w:val="22"/>
        </w:rPr>
        <w:t xml:space="preserve"> </w:t>
      </w:r>
      <w:r w:rsidRPr="00575B86">
        <w:rPr>
          <w:rFonts w:ascii="Arial" w:hAnsi="Arial" w:cs="Arial"/>
          <w:b/>
          <w:sz w:val="22"/>
          <w:szCs w:val="22"/>
        </w:rPr>
        <w:t>waste</w:t>
      </w:r>
    </w:p>
    <w:p w14:paraId="4BBE3068" w14:textId="77777777" w:rsidR="00CC29DE" w:rsidRPr="003D4161" w:rsidRDefault="00CC29DE" w:rsidP="000004F3">
      <w:pPr>
        <w:spacing w:before="120" w:after="120" w:line="360" w:lineRule="auto"/>
        <w:jc w:val="center"/>
        <w:rPr>
          <w:rFonts w:ascii="Arial" w:hAnsi="Arial" w:cs="Arial"/>
          <w:sz w:val="20"/>
          <w:szCs w:val="20"/>
        </w:rPr>
      </w:pPr>
    </w:p>
    <w:p w14:paraId="61965043"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rPr>
        <w:drawing>
          <wp:inline distT="0" distB="0" distL="0" distR="0" wp14:anchorId="1A031BCF" wp14:editId="7AA3951E">
            <wp:extent cx="6115878" cy="2239618"/>
            <wp:effectExtent l="0" t="0" r="1841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92173E" w14:textId="582C9E83" w:rsidR="00AF6532" w:rsidRPr="00E745AA" w:rsidRDefault="00AF6532" w:rsidP="00E745AA">
      <w:pPr>
        <w:spacing w:before="120" w:after="120" w:line="240" w:lineRule="auto"/>
        <w:rPr>
          <w:rFonts w:ascii="Arial" w:hAnsi="Arial" w:cs="Arial"/>
          <w:b/>
          <w:sz w:val="22"/>
          <w:szCs w:val="22"/>
        </w:rPr>
      </w:pPr>
      <w:r w:rsidRPr="00E745AA">
        <w:rPr>
          <w:rFonts w:ascii="Arial" w:hAnsi="Arial" w:cs="Arial"/>
          <w:b/>
          <w:sz w:val="22"/>
          <w:szCs w:val="22"/>
        </w:rPr>
        <w:t xml:space="preserve">Fig. 3: Performance index of broiler chicks fed diets supplemented with varying levels of mushroom </w:t>
      </w:r>
      <w:r w:rsidRPr="00E745AA">
        <w:rPr>
          <w:rFonts w:ascii="Arial" w:hAnsi="Arial" w:cs="Arial"/>
          <w:b/>
          <w:i/>
          <w:sz w:val="22"/>
          <w:szCs w:val="22"/>
        </w:rPr>
        <w:t>(Agaricus bisporus)</w:t>
      </w:r>
      <w:r w:rsidRPr="00E745AA">
        <w:rPr>
          <w:rFonts w:ascii="Arial" w:hAnsi="Arial" w:cs="Arial"/>
          <w:b/>
          <w:sz w:val="22"/>
          <w:szCs w:val="22"/>
        </w:rPr>
        <w:t xml:space="preserve"> fruiting body</w:t>
      </w:r>
      <w:r w:rsidRPr="00E745AA">
        <w:rPr>
          <w:rFonts w:ascii="Arial" w:hAnsi="Arial" w:cs="Arial"/>
          <w:sz w:val="22"/>
          <w:szCs w:val="22"/>
        </w:rPr>
        <w:t xml:space="preserve"> </w:t>
      </w:r>
      <w:r w:rsidRPr="00E745AA">
        <w:rPr>
          <w:rFonts w:ascii="Arial" w:hAnsi="Arial" w:cs="Arial"/>
          <w:b/>
          <w:sz w:val="22"/>
          <w:szCs w:val="22"/>
        </w:rPr>
        <w:t>waste</w:t>
      </w:r>
    </w:p>
    <w:p w14:paraId="1BE46515" w14:textId="77777777" w:rsidR="001E6825" w:rsidRPr="003D4161" w:rsidRDefault="001E6825" w:rsidP="00AC5A90">
      <w:pPr>
        <w:spacing w:before="120" w:after="120" w:line="240" w:lineRule="auto"/>
        <w:jc w:val="center"/>
        <w:rPr>
          <w:rFonts w:ascii="Arial" w:hAnsi="Arial" w:cs="Arial"/>
          <w:b/>
          <w:sz w:val="20"/>
          <w:szCs w:val="20"/>
        </w:rPr>
      </w:pPr>
    </w:p>
    <w:p w14:paraId="2807C0ED" w14:textId="4FB3CBDF" w:rsidR="00B841A5" w:rsidRPr="00E745AA" w:rsidRDefault="00E745AA" w:rsidP="000004F3">
      <w:pPr>
        <w:spacing w:line="360" w:lineRule="auto"/>
        <w:rPr>
          <w:rFonts w:ascii="Arial" w:hAnsi="Arial" w:cs="Arial"/>
          <w:b/>
          <w:bCs/>
          <w:sz w:val="22"/>
          <w:szCs w:val="22"/>
        </w:rPr>
      </w:pPr>
      <w:r>
        <w:rPr>
          <w:rFonts w:ascii="Arial" w:hAnsi="Arial" w:cs="Arial"/>
          <w:b/>
          <w:bCs/>
          <w:sz w:val="22"/>
          <w:szCs w:val="22"/>
        </w:rPr>
        <w:t xml:space="preserve">5. </w:t>
      </w:r>
      <w:r w:rsidR="00B841A5" w:rsidRPr="00E745AA">
        <w:rPr>
          <w:rFonts w:ascii="Arial" w:hAnsi="Arial" w:cs="Arial"/>
          <w:b/>
          <w:bCs/>
          <w:sz w:val="22"/>
          <w:szCs w:val="22"/>
        </w:rPr>
        <w:t>Nutrient utilization</w:t>
      </w:r>
    </w:p>
    <w:p w14:paraId="4C81013D" w14:textId="09FB870B" w:rsidR="00B841A5" w:rsidRPr="003D4161" w:rsidRDefault="00B841A5" w:rsidP="00652F73">
      <w:pPr>
        <w:spacing w:line="360" w:lineRule="auto"/>
        <w:jc w:val="both"/>
        <w:rPr>
          <w:rFonts w:ascii="Arial" w:hAnsi="Arial" w:cs="Arial"/>
          <w:sz w:val="20"/>
          <w:szCs w:val="20"/>
        </w:rPr>
      </w:pPr>
      <w:r w:rsidRPr="003D4161">
        <w:rPr>
          <w:rFonts w:ascii="Arial" w:hAnsi="Arial" w:cs="Arial"/>
          <w:sz w:val="20"/>
          <w:szCs w:val="20"/>
        </w:rPr>
        <w:t>The nutrient utilization (%) of broiler chickens fed diets supplemented with mushroom fruiting body waste powder is presented in Table 4. Dry matter digestibility differed significantly (</w:t>
      </w:r>
      <w:r w:rsidR="001E0875" w:rsidRPr="003D4161">
        <w:rPr>
          <w:rFonts w:ascii="Arial" w:hAnsi="Arial" w:cs="Arial"/>
          <w:sz w:val="20"/>
          <w:szCs w:val="20"/>
        </w:rPr>
        <w:t xml:space="preserve">P </w:t>
      </w:r>
      <w:r w:rsidRPr="003D4161">
        <w:rPr>
          <w:rFonts w:ascii="Arial" w:hAnsi="Arial" w:cs="Arial"/>
          <w:sz w:val="20"/>
          <w:szCs w:val="20"/>
        </w:rPr>
        <w:t>&lt;</w:t>
      </w:r>
      <w:r w:rsidR="001E0875" w:rsidRPr="003D4161">
        <w:rPr>
          <w:rFonts w:ascii="Arial" w:hAnsi="Arial" w:cs="Arial"/>
          <w:sz w:val="20"/>
          <w:szCs w:val="20"/>
        </w:rPr>
        <w:t xml:space="preserve"> </w:t>
      </w:r>
      <w:r w:rsidRPr="003D4161">
        <w:rPr>
          <w:rFonts w:ascii="Arial" w:hAnsi="Arial" w:cs="Arial"/>
          <w:sz w:val="20"/>
          <w:szCs w:val="20"/>
        </w:rPr>
        <w:t>0.05) among treatment groups, with highest value recorded in T3 followed by T4 and T2 compared to control. Organic matter digestibility was significantly improved (</w:t>
      </w:r>
      <w:r w:rsidR="001E0875" w:rsidRPr="003D4161">
        <w:rPr>
          <w:rFonts w:ascii="Arial" w:hAnsi="Arial" w:cs="Arial"/>
          <w:sz w:val="20"/>
          <w:szCs w:val="20"/>
        </w:rPr>
        <w:t>P</w:t>
      </w:r>
      <w:r w:rsidR="00FC6E10" w:rsidRPr="003D4161">
        <w:rPr>
          <w:rFonts w:ascii="Arial" w:hAnsi="Arial" w:cs="Arial"/>
          <w:sz w:val="20"/>
          <w:szCs w:val="20"/>
        </w:rPr>
        <w:t xml:space="preserve"> </w:t>
      </w:r>
      <w:r w:rsidRPr="003D4161">
        <w:rPr>
          <w:rFonts w:ascii="Arial" w:hAnsi="Arial" w:cs="Arial"/>
          <w:sz w:val="20"/>
          <w:szCs w:val="20"/>
        </w:rPr>
        <w:t>&lt;</w:t>
      </w:r>
      <w:r w:rsidR="00FC6E10" w:rsidRPr="003D4161">
        <w:rPr>
          <w:rFonts w:ascii="Arial" w:hAnsi="Arial" w:cs="Arial"/>
          <w:sz w:val="20"/>
          <w:szCs w:val="20"/>
        </w:rPr>
        <w:t xml:space="preserve"> </w:t>
      </w:r>
      <w:r w:rsidRPr="003D4161">
        <w:rPr>
          <w:rFonts w:ascii="Arial" w:hAnsi="Arial" w:cs="Arial"/>
          <w:sz w:val="20"/>
          <w:szCs w:val="20"/>
        </w:rPr>
        <w:t>0.01), with highest value recorded in T4 and T3 compared to control. Crude protein digestibility also increased significantly (</w:t>
      </w:r>
      <w:r w:rsidR="00FC6E10" w:rsidRPr="003D4161">
        <w:rPr>
          <w:rFonts w:ascii="Arial" w:hAnsi="Arial" w:cs="Arial"/>
          <w:sz w:val="20"/>
          <w:szCs w:val="20"/>
        </w:rPr>
        <w:t xml:space="preserve">P </w:t>
      </w:r>
      <w:r w:rsidRPr="003D4161">
        <w:rPr>
          <w:rFonts w:ascii="Arial" w:hAnsi="Arial" w:cs="Arial"/>
          <w:sz w:val="20"/>
          <w:szCs w:val="20"/>
        </w:rPr>
        <w:t>&lt;</w:t>
      </w:r>
      <w:r w:rsidR="00FC6E10" w:rsidRPr="003D4161">
        <w:rPr>
          <w:rFonts w:ascii="Arial" w:hAnsi="Arial" w:cs="Arial"/>
          <w:sz w:val="20"/>
          <w:szCs w:val="20"/>
        </w:rPr>
        <w:t xml:space="preserve"> </w:t>
      </w:r>
      <w:r w:rsidRPr="003D4161">
        <w:rPr>
          <w:rFonts w:ascii="Arial" w:hAnsi="Arial" w:cs="Arial"/>
          <w:sz w:val="20"/>
          <w:szCs w:val="20"/>
        </w:rPr>
        <w:t>0.05), with highest digestibility observed in T3. Ether extract digestibility did not differ significantly (</w:t>
      </w:r>
      <w:r w:rsidR="00FC6E10" w:rsidRPr="003D4161">
        <w:rPr>
          <w:rFonts w:ascii="Arial" w:hAnsi="Arial" w:cs="Arial"/>
          <w:sz w:val="20"/>
          <w:szCs w:val="20"/>
        </w:rPr>
        <w:t xml:space="preserve">P </w:t>
      </w:r>
      <w:r w:rsidRPr="003D4161">
        <w:rPr>
          <w:rFonts w:ascii="Arial" w:hAnsi="Arial" w:cs="Arial"/>
          <w:sz w:val="20"/>
          <w:szCs w:val="20"/>
        </w:rPr>
        <w:t>&gt;</w:t>
      </w:r>
      <w:r w:rsidR="00FC6E10" w:rsidRPr="003D4161">
        <w:rPr>
          <w:rFonts w:ascii="Arial" w:hAnsi="Arial" w:cs="Arial"/>
          <w:sz w:val="20"/>
          <w:szCs w:val="20"/>
        </w:rPr>
        <w:t xml:space="preserve"> </w:t>
      </w:r>
      <w:r w:rsidRPr="003D4161">
        <w:rPr>
          <w:rFonts w:ascii="Arial" w:hAnsi="Arial" w:cs="Arial"/>
          <w:sz w:val="20"/>
          <w:szCs w:val="20"/>
        </w:rPr>
        <w:t>0.05) among treatment groups.</w:t>
      </w:r>
    </w:p>
    <w:p w14:paraId="0C196365" w14:textId="77777777" w:rsidR="00B841A5" w:rsidRDefault="00B841A5" w:rsidP="00652F73">
      <w:pPr>
        <w:spacing w:line="360" w:lineRule="auto"/>
        <w:jc w:val="both"/>
        <w:rPr>
          <w:rFonts w:ascii="Arial" w:hAnsi="Arial" w:cs="Arial"/>
          <w:sz w:val="20"/>
          <w:szCs w:val="20"/>
        </w:rPr>
      </w:pPr>
      <w:r w:rsidRPr="003D4161">
        <w:rPr>
          <w:rFonts w:ascii="Arial" w:hAnsi="Arial" w:cs="Arial"/>
          <w:sz w:val="20"/>
          <w:szCs w:val="20"/>
        </w:rPr>
        <w:t>Improved nutrient utilization in mushroom supplemented groups may be attributed to better intestinal microbial balance and enhanced digestive efficiency due to the presence of mushroom polysaccharides, β-glucans and fermentable fibre fractions. Similar improvement in nutrient digestibility with mushroom waste supplementation has been reported earlier in broiler chickens.</w:t>
      </w:r>
    </w:p>
    <w:p w14:paraId="0E78C4F5" w14:textId="12823632" w:rsidR="00164F5D" w:rsidRPr="003D4161" w:rsidRDefault="00164F5D" w:rsidP="00652F73">
      <w:pPr>
        <w:spacing w:line="360" w:lineRule="auto"/>
        <w:jc w:val="both"/>
        <w:rPr>
          <w:rFonts w:ascii="Arial" w:hAnsi="Arial" w:cs="Arial"/>
          <w:sz w:val="20"/>
          <w:szCs w:val="20"/>
        </w:rPr>
      </w:pPr>
      <w:r w:rsidRPr="00164F5D">
        <w:rPr>
          <w:rFonts w:ascii="Arial" w:hAnsi="Arial" w:cs="Arial"/>
          <w:sz w:val="20"/>
          <w:szCs w:val="20"/>
        </w:rPr>
        <w:t xml:space="preserve">Similar beneficial effects of mushroom supplementation on nutrient metabolism have been reported by Ayodele et al. (2025), who studied the effects of </w:t>
      </w:r>
      <w:proofErr w:type="spellStart"/>
      <w:r w:rsidRPr="00164F5D">
        <w:rPr>
          <w:rFonts w:ascii="Arial" w:hAnsi="Arial" w:cs="Arial"/>
          <w:sz w:val="20"/>
          <w:szCs w:val="20"/>
        </w:rPr>
        <w:t>Pleurotus</w:t>
      </w:r>
      <w:proofErr w:type="spellEnd"/>
      <w:r w:rsidRPr="00164F5D">
        <w:rPr>
          <w:rFonts w:ascii="Arial" w:hAnsi="Arial" w:cs="Arial"/>
          <w:sz w:val="20"/>
          <w:szCs w:val="20"/>
        </w:rPr>
        <w:t xml:space="preserve"> </w:t>
      </w:r>
      <w:proofErr w:type="spellStart"/>
      <w:r w:rsidRPr="00164F5D">
        <w:rPr>
          <w:rFonts w:ascii="Arial" w:hAnsi="Arial" w:cs="Arial"/>
          <w:sz w:val="20"/>
          <w:szCs w:val="20"/>
        </w:rPr>
        <w:t>tuberregium</w:t>
      </w:r>
      <w:proofErr w:type="spellEnd"/>
      <w:r w:rsidRPr="00164F5D">
        <w:rPr>
          <w:rFonts w:ascii="Arial" w:hAnsi="Arial" w:cs="Arial"/>
          <w:sz w:val="20"/>
          <w:szCs w:val="20"/>
        </w:rPr>
        <w:t xml:space="preserve"> sclerotia in broiler diets and observed improvements in body weight, carcass protein content, and lipid profile of broiler chickens.</w:t>
      </w:r>
    </w:p>
    <w:p w14:paraId="597B0974" w14:textId="77777777" w:rsidR="001B253E" w:rsidRPr="003D4161" w:rsidRDefault="001B253E" w:rsidP="00652F73">
      <w:pPr>
        <w:spacing w:before="120" w:after="120" w:line="360" w:lineRule="auto"/>
        <w:jc w:val="both"/>
        <w:rPr>
          <w:rFonts w:ascii="Arial" w:hAnsi="Arial" w:cs="Arial"/>
          <w:sz w:val="20"/>
          <w:szCs w:val="20"/>
        </w:rPr>
      </w:pPr>
      <w:r w:rsidRPr="003D4161">
        <w:rPr>
          <w:rFonts w:ascii="Arial" w:hAnsi="Arial" w:cs="Arial"/>
          <w:sz w:val="20"/>
          <w:szCs w:val="20"/>
        </w:rPr>
        <w:t xml:space="preserve">The results of the present study are consistent with the findings of </w:t>
      </w:r>
      <w:r w:rsidRPr="003D4161">
        <w:rPr>
          <w:rFonts w:ascii="Arial" w:hAnsi="Arial" w:cs="Arial"/>
          <w:bCs/>
          <w:sz w:val="20"/>
          <w:szCs w:val="20"/>
        </w:rPr>
        <w:t xml:space="preserve">Yang </w:t>
      </w:r>
      <w:r w:rsidRPr="003D4161">
        <w:rPr>
          <w:rFonts w:ascii="Arial" w:hAnsi="Arial" w:cs="Arial"/>
          <w:bCs/>
          <w:i/>
          <w:sz w:val="20"/>
          <w:szCs w:val="20"/>
        </w:rPr>
        <w:t xml:space="preserve">et al. </w:t>
      </w:r>
      <w:r w:rsidRPr="003D4161">
        <w:rPr>
          <w:rFonts w:ascii="Arial" w:hAnsi="Arial" w:cs="Arial"/>
          <w:bCs/>
          <w:sz w:val="20"/>
          <w:szCs w:val="20"/>
        </w:rPr>
        <w:t>(2021),</w:t>
      </w:r>
      <w:r w:rsidRPr="003D4161">
        <w:rPr>
          <w:rFonts w:ascii="Arial" w:hAnsi="Arial" w:cs="Arial"/>
          <w:sz w:val="20"/>
          <w:szCs w:val="20"/>
        </w:rPr>
        <w:t xml:space="preserve"> who reported a significantly higher (P &lt; 0.05) crude protein digestibility in hens fed diets containing </w:t>
      </w:r>
      <w:r w:rsidRPr="003D4161">
        <w:rPr>
          <w:rFonts w:ascii="Arial" w:hAnsi="Arial" w:cs="Arial"/>
          <w:i/>
          <w:sz w:val="20"/>
          <w:szCs w:val="20"/>
        </w:rPr>
        <w:t xml:space="preserve">Agaricus bisporus </w:t>
      </w:r>
      <w:r w:rsidRPr="003D4161">
        <w:rPr>
          <w:rFonts w:ascii="Arial" w:hAnsi="Arial" w:cs="Arial"/>
          <w:sz w:val="20"/>
          <w:szCs w:val="20"/>
        </w:rPr>
        <w:t xml:space="preserve">stem residue compared with the control group. This improvement may be attributed to the enhanced bioavailability of mushroom-derived proteins and carbohydrates, which are readily digestible and thus facilitate improved nutrient utilization in poultry. Supporting these observations, </w:t>
      </w:r>
      <w:r w:rsidRPr="003D4161">
        <w:rPr>
          <w:rFonts w:ascii="Arial" w:hAnsi="Arial" w:cs="Arial"/>
          <w:bCs/>
          <w:sz w:val="20"/>
          <w:szCs w:val="20"/>
        </w:rPr>
        <w:t xml:space="preserve">Abro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demonstrated significant (P &lt; 0.05) improvements in the digestibility of ether extract, organic matter, </w:t>
      </w:r>
      <w:r w:rsidRPr="003D4161">
        <w:rPr>
          <w:rFonts w:ascii="Arial" w:hAnsi="Arial" w:cs="Arial"/>
          <w:sz w:val="20"/>
          <w:szCs w:val="20"/>
        </w:rPr>
        <w:lastRenderedPageBreak/>
        <w:t xml:space="preserve">and crude protein in broiler chickens supplemented with </w:t>
      </w:r>
      <w:r w:rsidRPr="003D4161">
        <w:rPr>
          <w:rFonts w:ascii="Arial" w:hAnsi="Arial" w:cs="Arial"/>
          <w:i/>
          <w:sz w:val="20"/>
          <w:szCs w:val="20"/>
        </w:rPr>
        <w:t xml:space="preserve">Pleurotus ostreatus </w:t>
      </w:r>
      <w:r w:rsidRPr="003D4161">
        <w:rPr>
          <w:rFonts w:ascii="Arial" w:hAnsi="Arial" w:cs="Arial"/>
          <w:sz w:val="20"/>
          <w:szCs w:val="20"/>
        </w:rPr>
        <w:t xml:space="preserve">mushrooms. Similarly, </w:t>
      </w:r>
      <w:r w:rsidRPr="003D4161">
        <w:rPr>
          <w:rFonts w:ascii="Arial" w:hAnsi="Arial" w:cs="Arial"/>
          <w:bCs/>
          <w:sz w:val="20"/>
          <w:szCs w:val="20"/>
        </w:rPr>
        <w:t xml:space="preserve">Shang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observed a significant enhancement (P &lt; 0.01) in crude protein digestibility in broilers receiving diets containing Hericium caput-medusae. In addition, </w:t>
      </w:r>
      <w:proofErr w:type="spellStart"/>
      <w:r w:rsidRPr="003D4161">
        <w:rPr>
          <w:rFonts w:ascii="Arial" w:hAnsi="Arial" w:cs="Arial"/>
          <w:sz w:val="20"/>
          <w:szCs w:val="20"/>
        </w:rPr>
        <w:t>Chanjula</w:t>
      </w:r>
      <w:proofErr w:type="spellEnd"/>
      <w:r w:rsidRPr="003D4161">
        <w:rPr>
          <w:rFonts w:ascii="Arial" w:hAnsi="Arial" w:cs="Arial"/>
          <w:sz w:val="20"/>
          <w:szCs w:val="20"/>
        </w:rPr>
        <w:t xml:space="preserve"> and </w:t>
      </w:r>
      <w:proofErr w:type="spellStart"/>
      <w:r w:rsidRPr="003D4161">
        <w:rPr>
          <w:rFonts w:ascii="Arial" w:hAnsi="Arial" w:cs="Arial"/>
          <w:sz w:val="20"/>
          <w:szCs w:val="20"/>
        </w:rPr>
        <w:t>Cherdthong</w:t>
      </w:r>
      <w:proofErr w:type="spellEnd"/>
      <w:r w:rsidRPr="003D4161">
        <w:rPr>
          <w:rFonts w:ascii="Arial" w:hAnsi="Arial" w:cs="Arial"/>
          <w:b/>
          <w:sz w:val="20"/>
          <w:szCs w:val="20"/>
        </w:rPr>
        <w:t xml:space="preserve"> </w:t>
      </w:r>
      <w:r w:rsidRPr="003D4161">
        <w:rPr>
          <w:rFonts w:ascii="Arial" w:hAnsi="Arial" w:cs="Arial"/>
          <w:bCs/>
          <w:sz w:val="20"/>
          <w:szCs w:val="20"/>
        </w:rPr>
        <w:t>(2018)</w:t>
      </w:r>
      <w:r w:rsidRPr="003D4161">
        <w:rPr>
          <w:rFonts w:ascii="Arial" w:hAnsi="Arial" w:cs="Arial"/>
          <w:sz w:val="20"/>
          <w:szCs w:val="20"/>
        </w:rPr>
        <w:t xml:space="preserve"> reported significant improvements in the digestibility of dry matter, ether extract, organic matter, and crude protein in goats fed </w:t>
      </w:r>
      <w:r w:rsidRPr="003D4161">
        <w:rPr>
          <w:rFonts w:ascii="Arial" w:hAnsi="Arial" w:cs="Arial"/>
          <w:i/>
          <w:sz w:val="20"/>
          <w:szCs w:val="20"/>
        </w:rPr>
        <w:t>Cordyceps militaris</w:t>
      </w:r>
      <w:r w:rsidRPr="003D4161">
        <w:rPr>
          <w:rFonts w:ascii="Arial" w:hAnsi="Arial" w:cs="Arial"/>
          <w:sz w:val="20"/>
          <w:szCs w:val="20"/>
        </w:rPr>
        <w:t xml:space="preserve"> spent mushroom.</w:t>
      </w:r>
    </w:p>
    <w:p w14:paraId="0AA2355D" w14:textId="046BDC51" w:rsidR="00AC5A90" w:rsidRPr="003D4161" w:rsidRDefault="001B253E" w:rsidP="00652F73">
      <w:pPr>
        <w:spacing w:line="360" w:lineRule="auto"/>
        <w:jc w:val="both"/>
        <w:rPr>
          <w:rFonts w:ascii="Arial" w:hAnsi="Arial" w:cs="Arial"/>
          <w:sz w:val="20"/>
          <w:szCs w:val="20"/>
        </w:rPr>
      </w:pPr>
      <w:r w:rsidRPr="003D4161">
        <w:rPr>
          <w:rFonts w:ascii="Arial" w:hAnsi="Arial" w:cs="Arial"/>
          <w:sz w:val="20"/>
          <w:szCs w:val="20"/>
        </w:rPr>
        <w:t xml:space="preserve">In contrast, </w:t>
      </w:r>
      <w:proofErr w:type="spellStart"/>
      <w:r w:rsidRPr="003D4161">
        <w:rPr>
          <w:rFonts w:ascii="Arial" w:hAnsi="Arial" w:cs="Arial"/>
          <w:bCs/>
          <w:sz w:val="20"/>
          <w:szCs w:val="20"/>
        </w:rPr>
        <w:t>Bakshi</w:t>
      </w:r>
      <w:proofErr w:type="spellEnd"/>
      <w:r w:rsidRPr="003D4161">
        <w:rPr>
          <w:rFonts w:ascii="Arial" w:hAnsi="Arial" w:cs="Arial"/>
          <w:bCs/>
          <w:sz w:val="20"/>
          <w:szCs w:val="20"/>
        </w:rPr>
        <w:t xml:space="preserve"> and </w:t>
      </w:r>
      <w:proofErr w:type="spellStart"/>
      <w:r w:rsidRPr="003D4161">
        <w:rPr>
          <w:rFonts w:ascii="Arial" w:hAnsi="Arial" w:cs="Arial"/>
          <w:bCs/>
          <w:sz w:val="20"/>
          <w:szCs w:val="20"/>
        </w:rPr>
        <w:t>Langari</w:t>
      </w:r>
      <w:proofErr w:type="spellEnd"/>
      <w:r w:rsidRPr="003D4161">
        <w:rPr>
          <w:rFonts w:ascii="Arial" w:hAnsi="Arial" w:cs="Arial"/>
          <w:bCs/>
          <w:sz w:val="20"/>
          <w:szCs w:val="20"/>
        </w:rPr>
        <w:t xml:space="preserve"> (1985) </w:t>
      </w:r>
      <w:r w:rsidRPr="003D4161">
        <w:rPr>
          <w:rFonts w:ascii="Arial" w:hAnsi="Arial" w:cs="Arial"/>
          <w:sz w:val="20"/>
          <w:szCs w:val="20"/>
        </w:rPr>
        <w:t xml:space="preserve">reported no significant (P &gt; 0.05) differences in the digestibility of dry matter, ether extract, organic matter, or crude protein in buffaloes fed spent </w:t>
      </w:r>
      <w:r w:rsidRPr="003D4161">
        <w:rPr>
          <w:rFonts w:ascii="Arial" w:hAnsi="Arial" w:cs="Arial"/>
          <w:i/>
          <w:sz w:val="20"/>
          <w:szCs w:val="20"/>
        </w:rPr>
        <w:t>Agaricus bisporus</w:t>
      </w:r>
      <w:r w:rsidRPr="003D4161">
        <w:rPr>
          <w:rFonts w:ascii="Arial" w:hAnsi="Arial" w:cs="Arial"/>
          <w:sz w:val="20"/>
          <w:szCs w:val="20"/>
        </w:rPr>
        <w:t xml:space="preserve">. Likewise, </w:t>
      </w:r>
      <w:r w:rsidRPr="003D4161">
        <w:rPr>
          <w:rFonts w:ascii="Arial" w:hAnsi="Arial" w:cs="Arial"/>
          <w:bCs/>
          <w:sz w:val="20"/>
          <w:szCs w:val="20"/>
        </w:rPr>
        <w:t xml:space="preserve">Fazaeli and Masoodi (2006) </w:t>
      </w:r>
      <w:r w:rsidRPr="003D4161">
        <w:rPr>
          <w:rFonts w:ascii="Arial" w:hAnsi="Arial" w:cs="Arial"/>
          <w:sz w:val="20"/>
          <w:szCs w:val="20"/>
        </w:rPr>
        <w:t xml:space="preserve">noted that incorporation of </w:t>
      </w:r>
      <w:r w:rsidRPr="003D4161">
        <w:rPr>
          <w:rFonts w:ascii="Arial" w:hAnsi="Arial" w:cs="Arial"/>
          <w:i/>
          <w:sz w:val="20"/>
          <w:szCs w:val="20"/>
        </w:rPr>
        <w:t xml:space="preserve">Agaricus bisporus </w:t>
      </w:r>
      <w:r w:rsidRPr="003D4161">
        <w:rPr>
          <w:rFonts w:ascii="Arial" w:hAnsi="Arial" w:cs="Arial"/>
          <w:sz w:val="20"/>
          <w:szCs w:val="20"/>
        </w:rPr>
        <w:t xml:space="preserve">waste in ruminant diets did not result in any significant changes in nutrient digestibility. Comparable findings were reported by </w:t>
      </w:r>
      <w:r w:rsidRPr="003D4161">
        <w:rPr>
          <w:rFonts w:ascii="Arial" w:hAnsi="Arial" w:cs="Arial"/>
          <w:bCs/>
          <w:sz w:val="20"/>
          <w:szCs w:val="20"/>
        </w:rPr>
        <w:t xml:space="preserve">Yousefi </w:t>
      </w:r>
      <w:r w:rsidRPr="003D4161">
        <w:rPr>
          <w:rFonts w:ascii="Arial" w:hAnsi="Arial" w:cs="Arial"/>
          <w:bCs/>
          <w:i/>
          <w:sz w:val="20"/>
          <w:szCs w:val="20"/>
        </w:rPr>
        <w:t xml:space="preserve">et al. </w:t>
      </w:r>
      <w:r w:rsidRPr="003D4161">
        <w:rPr>
          <w:rFonts w:ascii="Arial" w:hAnsi="Arial" w:cs="Arial"/>
          <w:bCs/>
          <w:sz w:val="20"/>
          <w:szCs w:val="20"/>
        </w:rPr>
        <w:t>(2022),</w:t>
      </w:r>
      <w:r w:rsidRPr="003D4161">
        <w:rPr>
          <w:rFonts w:ascii="Arial" w:hAnsi="Arial" w:cs="Arial"/>
          <w:sz w:val="20"/>
          <w:szCs w:val="20"/>
        </w:rPr>
        <w:t xml:space="preserve"> who observed that dietary inclusion of </w:t>
      </w:r>
      <w:r w:rsidRPr="003D4161">
        <w:rPr>
          <w:rFonts w:ascii="Arial" w:hAnsi="Arial" w:cs="Arial"/>
          <w:i/>
          <w:sz w:val="20"/>
          <w:szCs w:val="20"/>
        </w:rPr>
        <w:t xml:space="preserve">Agaricus bisporus </w:t>
      </w:r>
      <w:r w:rsidRPr="003D4161">
        <w:rPr>
          <w:rFonts w:ascii="Arial" w:hAnsi="Arial" w:cs="Arial"/>
          <w:sz w:val="20"/>
          <w:szCs w:val="20"/>
        </w:rPr>
        <w:t>substrate did not significantly affect nutrient digestibility in growing lambs</w:t>
      </w:r>
      <w:r w:rsidR="001E6825" w:rsidRPr="003D4161">
        <w:rPr>
          <w:rFonts w:ascii="Arial" w:hAnsi="Arial" w:cs="Arial"/>
          <w:sz w:val="20"/>
          <w:szCs w:val="20"/>
        </w:rPr>
        <w:t>.</w:t>
      </w:r>
    </w:p>
    <w:p w14:paraId="0163A7DE"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7. Average values of Nutrient utilization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w:t>
      </w:r>
    </w:p>
    <w:tbl>
      <w:tblPr>
        <w:tblW w:w="5833" w:type="pct"/>
        <w:jc w:val="center"/>
        <w:tblLayout w:type="fixed"/>
        <w:tblLook w:val="04A0" w:firstRow="1" w:lastRow="0" w:firstColumn="1" w:lastColumn="0" w:noHBand="0" w:noVBand="1"/>
      </w:tblPr>
      <w:tblGrid>
        <w:gridCol w:w="2160"/>
        <w:gridCol w:w="1704"/>
        <w:gridCol w:w="2256"/>
        <w:gridCol w:w="1620"/>
        <w:gridCol w:w="1712"/>
        <w:gridCol w:w="1078"/>
      </w:tblGrid>
      <w:tr w:rsidR="00E35CE1" w:rsidRPr="003D4161" w14:paraId="0377320B" w14:textId="77777777" w:rsidTr="00A60740">
        <w:trPr>
          <w:trHeight w:val="395"/>
          <w:jc w:val="center"/>
        </w:trPr>
        <w:tc>
          <w:tcPr>
            <w:tcW w:w="1026" w:type="pct"/>
            <w:vMerge w:val="restart"/>
            <w:tcBorders>
              <w:top w:val="single" w:sz="4" w:space="0" w:color="auto"/>
            </w:tcBorders>
            <w:noWrap/>
            <w:vAlign w:val="center"/>
            <w:hideMark/>
          </w:tcPr>
          <w:p w14:paraId="672B91B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462" w:type="pct"/>
            <w:gridSpan w:val="4"/>
            <w:tcBorders>
              <w:top w:val="single" w:sz="4" w:space="0" w:color="auto"/>
              <w:bottom w:val="single" w:sz="4" w:space="0" w:color="auto"/>
            </w:tcBorders>
            <w:noWrap/>
            <w:vAlign w:val="center"/>
            <w:hideMark/>
          </w:tcPr>
          <w:p w14:paraId="0D82FDCE"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512" w:type="pct"/>
            <w:vMerge w:val="restart"/>
            <w:tcBorders>
              <w:top w:val="single" w:sz="4" w:space="0" w:color="auto"/>
            </w:tcBorders>
            <w:noWrap/>
            <w:vAlign w:val="center"/>
            <w:hideMark/>
          </w:tcPr>
          <w:p w14:paraId="754F6F8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DFEA3A1" w14:textId="77777777" w:rsidTr="00A60740">
        <w:trPr>
          <w:trHeight w:val="224"/>
          <w:jc w:val="center"/>
        </w:trPr>
        <w:tc>
          <w:tcPr>
            <w:tcW w:w="1026" w:type="pct"/>
            <w:vMerge/>
            <w:tcBorders>
              <w:bottom w:val="single" w:sz="4" w:space="0" w:color="auto"/>
            </w:tcBorders>
            <w:noWrap/>
            <w:vAlign w:val="center"/>
            <w:hideMark/>
          </w:tcPr>
          <w:p w14:paraId="0EC77DEE"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09" w:type="pct"/>
            <w:tcBorders>
              <w:top w:val="single" w:sz="4" w:space="0" w:color="auto"/>
              <w:bottom w:val="single" w:sz="4" w:space="0" w:color="auto"/>
            </w:tcBorders>
            <w:noWrap/>
            <w:vAlign w:val="center"/>
            <w:hideMark/>
          </w:tcPr>
          <w:p w14:paraId="1636D43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1071" w:type="pct"/>
            <w:tcBorders>
              <w:top w:val="single" w:sz="4" w:space="0" w:color="auto"/>
              <w:bottom w:val="single" w:sz="4" w:space="0" w:color="auto"/>
            </w:tcBorders>
            <w:noWrap/>
            <w:vAlign w:val="center"/>
            <w:hideMark/>
          </w:tcPr>
          <w:p w14:paraId="50777FF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769" w:type="pct"/>
            <w:tcBorders>
              <w:top w:val="single" w:sz="4" w:space="0" w:color="auto"/>
              <w:bottom w:val="single" w:sz="4" w:space="0" w:color="auto"/>
            </w:tcBorders>
            <w:noWrap/>
            <w:vAlign w:val="center"/>
            <w:hideMark/>
          </w:tcPr>
          <w:p w14:paraId="137525F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13" w:type="pct"/>
            <w:tcBorders>
              <w:top w:val="single" w:sz="4" w:space="0" w:color="auto"/>
              <w:bottom w:val="single" w:sz="4" w:space="0" w:color="auto"/>
            </w:tcBorders>
            <w:noWrap/>
            <w:vAlign w:val="center"/>
            <w:hideMark/>
          </w:tcPr>
          <w:p w14:paraId="103E122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512" w:type="pct"/>
            <w:vMerge/>
            <w:tcBorders>
              <w:bottom w:val="single" w:sz="4" w:space="0" w:color="auto"/>
            </w:tcBorders>
            <w:noWrap/>
            <w:vAlign w:val="center"/>
            <w:hideMark/>
          </w:tcPr>
          <w:p w14:paraId="384C30F3"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04F19ACA" w14:textId="77777777" w:rsidTr="00A60740">
        <w:trPr>
          <w:trHeight w:val="288"/>
          <w:jc w:val="center"/>
        </w:trPr>
        <w:tc>
          <w:tcPr>
            <w:tcW w:w="1026" w:type="pct"/>
            <w:tcBorders>
              <w:top w:val="single" w:sz="4" w:space="0" w:color="auto"/>
              <w:bottom w:val="single" w:sz="4" w:space="0" w:color="auto"/>
            </w:tcBorders>
            <w:noWrap/>
            <w:hideMark/>
          </w:tcPr>
          <w:p w14:paraId="0CD85107"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Dry matter*</w:t>
            </w:r>
          </w:p>
        </w:tc>
        <w:tc>
          <w:tcPr>
            <w:tcW w:w="809" w:type="pct"/>
            <w:tcBorders>
              <w:top w:val="single" w:sz="4" w:space="0" w:color="auto"/>
              <w:bottom w:val="single" w:sz="4" w:space="0" w:color="auto"/>
            </w:tcBorders>
            <w:noWrap/>
            <w:vAlign w:val="center"/>
            <w:hideMark/>
          </w:tcPr>
          <w:p w14:paraId="61A91E7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71.60 ± 0.38</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3003439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72.33 ± 0.30</w:t>
            </w:r>
            <w:r w:rsidRPr="003D4161">
              <w:rPr>
                <w:rFonts w:ascii="Arial" w:eastAsia="Times New Roman" w:hAnsi="Arial" w:cs="Arial"/>
                <w:color w:val="000000"/>
                <w:sz w:val="20"/>
                <w:szCs w:val="20"/>
                <w:vertAlign w:val="superscript"/>
              </w:rPr>
              <w:t>ab</w:t>
            </w:r>
          </w:p>
        </w:tc>
        <w:tc>
          <w:tcPr>
            <w:tcW w:w="769" w:type="pct"/>
            <w:tcBorders>
              <w:top w:val="single" w:sz="4" w:space="0" w:color="auto"/>
              <w:bottom w:val="single" w:sz="4" w:space="0" w:color="auto"/>
            </w:tcBorders>
            <w:noWrap/>
            <w:vAlign w:val="center"/>
            <w:hideMark/>
          </w:tcPr>
          <w:p w14:paraId="0844580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73.44 ± 0.31</w:t>
            </w:r>
            <w:r w:rsidRPr="003D4161">
              <w:rPr>
                <w:rFonts w:ascii="Arial" w:eastAsia="Times New Roman" w:hAnsi="Arial" w:cs="Arial"/>
                <w:color w:val="000000"/>
                <w:sz w:val="20"/>
                <w:szCs w:val="20"/>
                <w:vertAlign w:val="superscript"/>
              </w:rPr>
              <w:t>ab</w:t>
            </w:r>
          </w:p>
        </w:tc>
        <w:tc>
          <w:tcPr>
            <w:tcW w:w="813" w:type="pct"/>
            <w:tcBorders>
              <w:top w:val="single" w:sz="4" w:space="0" w:color="auto"/>
              <w:bottom w:val="single" w:sz="4" w:space="0" w:color="auto"/>
            </w:tcBorders>
            <w:noWrap/>
            <w:vAlign w:val="center"/>
            <w:hideMark/>
          </w:tcPr>
          <w:p w14:paraId="40F13D5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72.74 ± 0.35</w:t>
            </w:r>
            <w:r w:rsidRPr="003D4161">
              <w:rPr>
                <w:rFonts w:ascii="Arial" w:eastAsia="Times New Roman" w:hAnsi="Arial" w:cs="Arial"/>
                <w:color w:val="000000"/>
                <w:sz w:val="20"/>
                <w:szCs w:val="20"/>
                <w:vertAlign w:val="superscript"/>
              </w:rPr>
              <w:t>b</w:t>
            </w:r>
          </w:p>
        </w:tc>
        <w:tc>
          <w:tcPr>
            <w:tcW w:w="512" w:type="pct"/>
            <w:tcBorders>
              <w:top w:val="single" w:sz="4" w:space="0" w:color="auto"/>
              <w:bottom w:val="single" w:sz="4" w:space="0" w:color="auto"/>
            </w:tcBorders>
            <w:noWrap/>
            <w:hideMark/>
          </w:tcPr>
          <w:p w14:paraId="01CBDD3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0.028</w:t>
            </w:r>
          </w:p>
        </w:tc>
      </w:tr>
      <w:tr w:rsidR="00E35CE1" w:rsidRPr="003D4161" w14:paraId="2CF5C406" w14:textId="77777777" w:rsidTr="00A60740">
        <w:trPr>
          <w:trHeight w:val="395"/>
          <w:jc w:val="center"/>
        </w:trPr>
        <w:tc>
          <w:tcPr>
            <w:tcW w:w="1026" w:type="pct"/>
            <w:tcBorders>
              <w:top w:val="single" w:sz="4" w:space="0" w:color="auto"/>
              <w:bottom w:val="single" w:sz="4" w:space="0" w:color="auto"/>
            </w:tcBorders>
            <w:noWrap/>
            <w:hideMark/>
          </w:tcPr>
          <w:p w14:paraId="43CBDFC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Organic matter*</w:t>
            </w:r>
          </w:p>
        </w:tc>
        <w:tc>
          <w:tcPr>
            <w:tcW w:w="809" w:type="pct"/>
            <w:tcBorders>
              <w:top w:val="single" w:sz="4" w:space="0" w:color="auto"/>
              <w:bottom w:val="single" w:sz="4" w:space="0" w:color="auto"/>
            </w:tcBorders>
            <w:noWrap/>
            <w:vAlign w:val="center"/>
            <w:hideMark/>
          </w:tcPr>
          <w:p w14:paraId="7F5475B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73.10 ± 0.49</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6635441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74.68 ± 0.42</w:t>
            </w:r>
            <w:r w:rsidRPr="003D4161">
              <w:rPr>
                <w:rFonts w:ascii="Arial" w:eastAsia="Times New Roman" w:hAnsi="Arial" w:cs="Arial"/>
                <w:color w:val="000000"/>
                <w:sz w:val="20"/>
                <w:szCs w:val="20"/>
                <w:vertAlign w:val="superscript"/>
              </w:rPr>
              <w:t>b</w:t>
            </w:r>
          </w:p>
        </w:tc>
        <w:tc>
          <w:tcPr>
            <w:tcW w:w="769" w:type="pct"/>
            <w:tcBorders>
              <w:top w:val="single" w:sz="4" w:space="0" w:color="auto"/>
              <w:bottom w:val="single" w:sz="4" w:space="0" w:color="auto"/>
            </w:tcBorders>
            <w:noWrap/>
            <w:vAlign w:val="center"/>
            <w:hideMark/>
          </w:tcPr>
          <w:p w14:paraId="24816F2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76.07 ± 0.19</w:t>
            </w:r>
            <w:r w:rsidRPr="003D4161">
              <w:rPr>
                <w:rFonts w:ascii="Arial" w:eastAsia="Times New Roman" w:hAnsi="Arial" w:cs="Arial"/>
                <w:color w:val="000000"/>
                <w:sz w:val="20"/>
                <w:szCs w:val="20"/>
                <w:vertAlign w:val="superscript"/>
              </w:rPr>
              <w:t>bc</w:t>
            </w:r>
          </w:p>
        </w:tc>
        <w:tc>
          <w:tcPr>
            <w:tcW w:w="813" w:type="pct"/>
            <w:tcBorders>
              <w:top w:val="single" w:sz="4" w:space="0" w:color="auto"/>
              <w:bottom w:val="single" w:sz="4" w:space="0" w:color="auto"/>
            </w:tcBorders>
            <w:noWrap/>
            <w:vAlign w:val="center"/>
            <w:hideMark/>
          </w:tcPr>
          <w:p w14:paraId="14914A37"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76.70 ± 0.67</w:t>
            </w:r>
            <w:r w:rsidRPr="003D4161">
              <w:rPr>
                <w:rFonts w:ascii="Arial" w:eastAsia="Times New Roman" w:hAnsi="Arial" w:cs="Arial"/>
                <w:color w:val="000000"/>
                <w:sz w:val="20"/>
                <w:szCs w:val="20"/>
                <w:vertAlign w:val="superscript"/>
              </w:rPr>
              <w:t>c</w:t>
            </w:r>
          </w:p>
        </w:tc>
        <w:tc>
          <w:tcPr>
            <w:tcW w:w="512" w:type="pct"/>
            <w:tcBorders>
              <w:top w:val="single" w:sz="4" w:space="0" w:color="auto"/>
              <w:bottom w:val="single" w:sz="4" w:space="0" w:color="auto"/>
            </w:tcBorders>
            <w:noWrap/>
            <w:hideMark/>
          </w:tcPr>
          <w:p w14:paraId="24D8D1C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0.003</w:t>
            </w:r>
          </w:p>
        </w:tc>
      </w:tr>
      <w:tr w:rsidR="00E35CE1" w:rsidRPr="003D4161" w14:paraId="37871090" w14:textId="77777777" w:rsidTr="00A60740">
        <w:trPr>
          <w:trHeight w:val="288"/>
          <w:jc w:val="center"/>
        </w:trPr>
        <w:tc>
          <w:tcPr>
            <w:tcW w:w="1026" w:type="pct"/>
            <w:tcBorders>
              <w:top w:val="single" w:sz="4" w:space="0" w:color="auto"/>
              <w:bottom w:val="single" w:sz="4" w:space="0" w:color="auto"/>
            </w:tcBorders>
            <w:noWrap/>
            <w:hideMark/>
          </w:tcPr>
          <w:p w14:paraId="6B6DDB2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Crude protein*</w:t>
            </w:r>
          </w:p>
        </w:tc>
        <w:tc>
          <w:tcPr>
            <w:tcW w:w="809" w:type="pct"/>
            <w:tcBorders>
              <w:top w:val="single" w:sz="4" w:space="0" w:color="auto"/>
              <w:bottom w:val="single" w:sz="4" w:space="0" w:color="auto"/>
            </w:tcBorders>
            <w:noWrap/>
            <w:vAlign w:val="center"/>
            <w:hideMark/>
          </w:tcPr>
          <w:p w14:paraId="707CE0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71.35 ± 0.18</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01BA824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72.2 ± 0.28</w:t>
            </w:r>
            <w:r w:rsidRPr="003D4161">
              <w:rPr>
                <w:rFonts w:ascii="Arial" w:eastAsia="Times New Roman" w:hAnsi="Arial" w:cs="Arial"/>
                <w:color w:val="000000"/>
                <w:sz w:val="20"/>
                <w:szCs w:val="20"/>
                <w:vertAlign w:val="superscript"/>
              </w:rPr>
              <w:t>ab</w:t>
            </w:r>
          </w:p>
        </w:tc>
        <w:tc>
          <w:tcPr>
            <w:tcW w:w="769" w:type="pct"/>
            <w:tcBorders>
              <w:top w:val="single" w:sz="4" w:space="0" w:color="auto"/>
              <w:bottom w:val="single" w:sz="4" w:space="0" w:color="auto"/>
            </w:tcBorders>
            <w:noWrap/>
            <w:vAlign w:val="center"/>
            <w:hideMark/>
          </w:tcPr>
          <w:p w14:paraId="6B23A43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73.29 ± 0.39</w:t>
            </w:r>
            <w:r w:rsidRPr="003D4161">
              <w:rPr>
                <w:rFonts w:ascii="Arial" w:eastAsia="Times New Roman" w:hAnsi="Arial" w:cs="Arial"/>
                <w:color w:val="000000"/>
                <w:sz w:val="20"/>
                <w:szCs w:val="20"/>
                <w:vertAlign w:val="superscript"/>
              </w:rPr>
              <w:t>c</w:t>
            </w:r>
          </w:p>
        </w:tc>
        <w:tc>
          <w:tcPr>
            <w:tcW w:w="813" w:type="pct"/>
            <w:tcBorders>
              <w:top w:val="single" w:sz="4" w:space="0" w:color="auto"/>
              <w:bottom w:val="single" w:sz="4" w:space="0" w:color="auto"/>
            </w:tcBorders>
            <w:noWrap/>
            <w:vAlign w:val="center"/>
            <w:hideMark/>
          </w:tcPr>
          <w:p w14:paraId="515EEEE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72.73 ± 0.28</w:t>
            </w:r>
            <w:r w:rsidRPr="003D4161">
              <w:rPr>
                <w:rFonts w:ascii="Arial" w:eastAsia="Times New Roman" w:hAnsi="Arial" w:cs="Arial"/>
                <w:color w:val="000000"/>
                <w:sz w:val="20"/>
                <w:szCs w:val="20"/>
                <w:vertAlign w:val="superscript"/>
              </w:rPr>
              <w:t>bc</w:t>
            </w:r>
          </w:p>
        </w:tc>
        <w:tc>
          <w:tcPr>
            <w:tcW w:w="512" w:type="pct"/>
            <w:tcBorders>
              <w:top w:val="single" w:sz="4" w:space="0" w:color="auto"/>
              <w:bottom w:val="single" w:sz="4" w:space="0" w:color="auto"/>
            </w:tcBorders>
            <w:noWrap/>
            <w:hideMark/>
          </w:tcPr>
          <w:p w14:paraId="4200E61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0.009</w:t>
            </w:r>
          </w:p>
        </w:tc>
      </w:tr>
      <w:tr w:rsidR="00E35CE1" w:rsidRPr="003D4161" w14:paraId="69A3D4F9" w14:textId="77777777" w:rsidTr="00A60740">
        <w:trPr>
          <w:trHeight w:val="288"/>
          <w:jc w:val="center"/>
        </w:trPr>
        <w:tc>
          <w:tcPr>
            <w:tcW w:w="1026" w:type="pct"/>
            <w:tcBorders>
              <w:top w:val="single" w:sz="4" w:space="0" w:color="auto"/>
              <w:bottom w:val="single" w:sz="4" w:space="0" w:color="auto"/>
            </w:tcBorders>
            <w:noWrap/>
            <w:hideMark/>
          </w:tcPr>
          <w:p w14:paraId="53933DDA"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Ether extract</w:t>
            </w:r>
          </w:p>
        </w:tc>
        <w:tc>
          <w:tcPr>
            <w:tcW w:w="809" w:type="pct"/>
            <w:tcBorders>
              <w:top w:val="single" w:sz="4" w:space="0" w:color="auto"/>
              <w:bottom w:val="single" w:sz="4" w:space="0" w:color="auto"/>
            </w:tcBorders>
            <w:noWrap/>
            <w:vAlign w:val="center"/>
            <w:hideMark/>
          </w:tcPr>
          <w:p w14:paraId="52B8B05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70.83 ± 1.07</w:t>
            </w:r>
          </w:p>
        </w:tc>
        <w:tc>
          <w:tcPr>
            <w:tcW w:w="1071" w:type="pct"/>
            <w:tcBorders>
              <w:top w:val="single" w:sz="4" w:space="0" w:color="auto"/>
              <w:bottom w:val="single" w:sz="4" w:space="0" w:color="auto"/>
            </w:tcBorders>
            <w:noWrap/>
            <w:vAlign w:val="center"/>
            <w:hideMark/>
          </w:tcPr>
          <w:p w14:paraId="12527CE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72.70 ± 0.35</w:t>
            </w:r>
          </w:p>
        </w:tc>
        <w:tc>
          <w:tcPr>
            <w:tcW w:w="769" w:type="pct"/>
            <w:tcBorders>
              <w:top w:val="single" w:sz="4" w:space="0" w:color="auto"/>
              <w:bottom w:val="single" w:sz="4" w:space="0" w:color="auto"/>
            </w:tcBorders>
            <w:noWrap/>
            <w:vAlign w:val="center"/>
            <w:hideMark/>
          </w:tcPr>
          <w:p w14:paraId="018FA9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74.01 ± 1.54</w:t>
            </w:r>
          </w:p>
        </w:tc>
        <w:tc>
          <w:tcPr>
            <w:tcW w:w="813" w:type="pct"/>
            <w:tcBorders>
              <w:top w:val="single" w:sz="4" w:space="0" w:color="auto"/>
              <w:bottom w:val="single" w:sz="4" w:space="0" w:color="auto"/>
            </w:tcBorders>
            <w:noWrap/>
            <w:vAlign w:val="center"/>
            <w:hideMark/>
          </w:tcPr>
          <w:p w14:paraId="7F68600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72.77 ± 0.76</w:t>
            </w:r>
          </w:p>
        </w:tc>
        <w:tc>
          <w:tcPr>
            <w:tcW w:w="512" w:type="pct"/>
            <w:tcBorders>
              <w:top w:val="single" w:sz="4" w:space="0" w:color="auto"/>
              <w:bottom w:val="single" w:sz="4" w:space="0" w:color="auto"/>
            </w:tcBorders>
            <w:noWrap/>
            <w:hideMark/>
          </w:tcPr>
          <w:p w14:paraId="623A177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0.259</w:t>
            </w:r>
          </w:p>
        </w:tc>
      </w:tr>
    </w:tbl>
    <w:p w14:paraId="4D2E47FF" w14:textId="77777777" w:rsidR="00E35CE1" w:rsidRPr="007079C2" w:rsidRDefault="00E35CE1" w:rsidP="007079C2">
      <w:pPr>
        <w:spacing w:before="120" w:after="120" w:line="240" w:lineRule="auto"/>
        <w:rPr>
          <w:rFonts w:ascii="Arial" w:hAnsi="Arial" w:cs="Arial"/>
          <w:sz w:val="18"/>
          <w:szCs w:val="18"/>
        </w:rPr>
      </w:pPr>
      <w:r w:rsidRPr="007079C2">
        <w:rPr>
          <w:rFonts w:ascii="Arial" w:hAnsi="Arial" w:cs="Arial"/>
          <w:sz w:val="18"/>
          <w:szCs w:val="18"/>
        </w:rPr>
        <w:t>Mean values bearing different alphabets (a, b, c and d) in superscript in a row differ significantly, *(P &lt; 0.05)</w:t>
      </w:r>
    </w:p>
    <w:p w14:paraId="038CDEED" w14:textId="77777777" w:rsidR="00E35CE1" w:rsidRPr="007079C2" w:rsidRDefault="00E35CE1" w:rsidP="007079C2">
      <w:pPr>
        <w:spacing w:before="120" w:after="120" w:line="240" w:lineRule="auto"/>
        <w:rPr>
          <w:rFonts w:ascii="Arial" w:hAnsi="Arial" w:cs="Arial"/>
          <w:sz w:val="18"/>
          <w:szCs w:val="18"/>
        </w:rPr>
      </w:pPr>
      <w:r w:rsidRPr="007079C2">
        <w:rPr>
          <w:rFonts w:ascii="Arial" w:hAnsi="Arial" w:cs="Arial"/>
          <w:sz w:val="18"/>
          <w:szCs w:val="18"/>
        </w:rPr>
        <w:t>T1: -Basal diet, T2: -Basal diet + 1% Mushroom fruiting body waste, T3: -Basal diet + 2% Mushroom fruiting body waste, T4: -Basal diet + 3% Mushroom fruiting body waste</w:t>
      </w:r>
    </w:p>
    <w:p w14:paraId="56CCBA9A" w14:textId="77777777" w:rsidR="00FA20B0" w:rsidRPr="003D4161" w:rsidRDefault="00FA20B0" w:rsidP="000004F3">
      <w:pPr>
        <w:spacing w:before="120" w:after="120" w:line="360" w:lineRule="auto"/>
        <w:jc w:val="both"/>
        <w:rPr>
          <w:rFonts w:ascii="Arial" w:hAnsi="Arial" w:cs="Arial"/>
          <w:sz w:val="20"/>
          <w:szCs w:val="20"/>
        </w:rPr>
      </w:pPr>
    </w:p>
    <w:p w14:paraId="7F0545CF" w14:textId="77777777" w:rsidR="00FA20B0" w:rsidRPr="003D4161" w:rsidRDefault="00FA20B0" w:rsidP="000004F3">
      <w:pPr>
        <w:spacing w:before="120" w:after="120" w:line="360" w:lineRule="auto"/>
        <w:rPr>
          <w:rFonts w:ascii="Arial" w:hAnsi="Arial" w:cs="Arial"/>
          <w:sz w:val="20"/>
          <w:szCs w:val="20"/>
        </w:rPr>
      </w:pPr>
      <w:r w:rsidRPr="003D4161">
        <w:rPr>
          <w:rFonts w:ascii="Arial" w:hAnsi="Arial" w:cs="Arial"/>
          <w:noProof/>
          <w:sz w:val="20"/>
          <w:szCs w:val="20"/>
        </w:rPr>
        <w:drawing>
          <wp:inline distT="0" distB="0" distL="0" distR="0" wp14:anchorId="1AB318C6" wp14:editId="177F1A2E">
            <wp:extent cx="5870713" cy="2835965"/>
            <wp:effectExtent l="0" t="0" r="1587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540792" w14:textId="4E63375F" w:rsidR="00FA20B0" w:rsidRPr="007079C2" w:rsidRDefault="00FA20B0" w:rsidP="007079C2">
      <w:pPr>
        <w:pStyle w:val="NoSpacing"/>
        <w:rPr>
          <w:rFonts w:ascii="Arial" w:hAnsi="Arial" w:cs="Arial"/>
          <w:b/>
          <w:bCs/>
          <w:sz w:val="22"/>
          <w:szCs w:val="22"/>
        </w:rPr>
      </w:pPr>
      <w:r w:rsidRPr="007079C2">
        <w:rPr>
          <w:rFonts w:ascii="Arial" w:hAnsi="Arial" w:cs="Arial"/>
          <w:b/>
          <w:bCs/>
          <w:sz w:val="22"/>
          <w:szCs w:val="22"/>
        </w:rPr>
        <w:lastRenderedPageBreak/>
        <w:t>Fig.</w:t>
      </w:r>
      <w:r w:rsidR="00F14E7D" w:rsidRPr="007079C2">
        <w:rPr>
          <w:rFonts w:ascii="Arial" w:hAnsi="Arial" w:cs="Arial"/>
          <w:b/>
          <w:bCs/>
          <w:sz w:val="22"/>
          <w:szCs w:val="22"/>
        </w:rPr>
        <w:t xml:space="preserve"> </w:t>
      </w:r>
      <w:r w:rsidRPr="007079C2">
        <w:rPr>
          <w:rFonts w:ascii="Arial" w:hAnsi="Arial" w:cs="Arial"/>
          <w:b/>
          <w:bCs/>
          <w:sz w:val="22"/>
          <w:szCs w:val="22"/>
        </w:rPr>
        <w:t>4:  Average values of Nutrient utilization of broiler chicks fed diets supplemented with varying levels</w:t>
      </w:r>
      <w:r w:rsidR="00934BF9" w:rsidRPr="007079C2">
        <w:rPr>
          <w:rFonts w:ascii="Arial" w:hAnsi="Arial" w:cs="Arial"/>
          <w:b/>
          <w:bCs/>
          <w:sz w:val="22"/>
          <w:szCs w:val="22"/>
        </w:rPr>
        <w:t xml:space="preserve"> </w:t>
      </w:r>
      <w:r w:rsidRPr="007079C2">
        <w:rPr>
          <w:rFonts w:ascii="Arial" w:hAnsi="Arial" w:cs="Arial"/>
          <w:b/>
          <w:bCs/>
          <w:sz w:val="22"/>
          <w:szCs w:val="22"/>
        </w:rPr>
        <w:t xml:space="preserve">of mushroom </w:t>
      </w:r>
      <w:r w:rsidRPr="007079C2">
        <w:rPr>
          <w:rFonts w:ascii="Arial" w:hAnsi="Arial" w:cs="Arial"/>
          <w:b/>
          <w:bCs/>
          <w:i/>
          <w:sz w:val="22"/>
          <w:szCs w:val="22"/>
        </w:rPr>
        <w:t>(Agaricus bisporus)</w:t>
      </w:r>
      <w:r w:rsidRPr="007079C2">
        <w:rPr>
          <w:rFonts w:ascii="Arial" w:hAnsi="Arial" w:cs="Arial"/>
          <w:b/>
          <w:bCs/>
          <w:sz w:val="22"/>
          <w:szCs w:val="22"/>
        </w:rPr>
        <w:t xml:space="preserve"> fruiting body waste</w:t>
      </w:r>
    </w:p>
    <w:p w14:paraId="5C45417B" w14:textId="77777777" w:rsidR="00B766C7" w:rsidRPr="003D4161" w:rsidRDefault="00B766C7" w:rsidP="000004F3">
      <w:pPr>
        <w:spacing w:before="120" w:after="120" w:line="360" w:lineRule="auto"/>
        <w:jc w:val="center"/>
        <w:rPr>
          <w:rFonts w:ascii="Arial" w:hAnsi="Arial" w:cs="Arial"/>
          <w:b/>
          <w:sz w:val="20"/>
          <w:szCs w:val="20"/>
        </w:rPr>
      </w:pPr>
    </w:p>
    <w:p w14:paraId="198574DB" w14:textId="75CF30A5" w:rsidR="00FE1FB0" w:rsidRPr="00671AE0" w:rsidRDefault="00671AE0" w:rsidP="000004F3">
      <w:pPr>
        <w:spacing w:line="360" w:lineRule="auto"/>
        <w:rPr>
          <w:rFonts w:ascii="Arial" w:hAnsi="Arial" w:cs="Arial"/>
          <w:b/>
          <w:bCs/>
          <w:sz w:val="22"/>
          <w:szCs w:val="22"/>
        </w:rPr>
      </w:pPr>
      <w:r w:rsidRPr="00671AE0">
        <w:rPr>
          <w:rFonts w:ascii="Arial" w:hAnsi="Arial" w:cs="Arial"/>
          <w:b/>
          <w:bCs/>
          <w:sz w:val="22"/>
          <w:szCs w:val="22"/>
        </w:rPr>
        <w:t xml:space="preserve">6. </w:t>
      </w:r>
      <w:r w:rsidR="00FE1FB0" w:rsidRPr="00671AE0">
        <w:rPr>
          <w:rFonts w:ascii="Arial" w:hAnsi="Arial" w:cs="Arial"/>
          <w:b/>
          <w:bCs/>
          <w:sz w:val="22"/>
          <w:szCs w:val="22"/>
        </w:rPr>
        <w:t>Economics</w:t>
      </w:r>
    </w:p>
    <w:p w14:paraId="2D2ABA37" w14:textId="77777777" w:rsidR="001554B0" w:rsidRDefault="002557BC" w:rsidP="00652F73">
      <w:pPr>
        <w:spacing w:before="120" w:after="120" w:line="360" w:lineRule="auto"/>
        <w:rPr>
          <w:rFonts w:ascii="Arial" w:hAnsi="Arial" w:cs="Arial"/>
          <w:sz w:val="20"/>
          <w:szCs w:val="20"/>
        </w:rPr>
      </w:pPr>
      <w:r w:rsidRPr="003D4161">
        <w:rPr>
          <w:rFonts w:ascii="Arial" w:hAnsi="Arial" w:cs="Arial"/>
          <w:sz w:val="20"/>
          <w:szCs w:val="20"/>
        </w:rPr>
        <w:t>No significant differences (P &gt; 0.05) were noted in total feed cost (</w:t>
      </w:r>
      <w:r w:rsidR="00F515C1" w:rsidRPr="003D4161">
        <w:rPr>
          <w:rFonts w:ascii="Arial" w:hAnsi="Arial" w:cs="Arial"/>
          <w:sz w:val="20"/>
          <w:szCs w:val="20"/>
        </w:rPr>
        <w:t>₹</w:t>
      </w:r>
      <w:r w:rsidRPr="003D4161">
        <w:rPr>
          <w:rFonts w:ascii="Arial" w:hAnsi="Arial" w:cs="Arial"/>
          <w:sz w:val="20"/>
          <w:szCs w:val="20"/>
        </w:rPr>
        <w:t>)</w:t>
      </w:r>
      <w:r w:rsidR="00E5009B" w:rsidRPr="003D4161">
        <w:rPr>
          <w:rFonts w:ascii="Arial" w:hAnsi="Arial" w:cs="Arial"/>
          <w:b/>
          <w:sz w:val="20"/>
          <w:szCs w:val="20"/>
        </w:rPr>
        <w:t>.</w:t>
      </w:r>
      <w:r w:rsidR="001554B0" w:rsidRPr="003D4161">
        <w:rPr>
          <w:rFonts w:ascii="Arial" w:hAnsi="Arial" w:cs="Arial"/>
          <w:b/>
          <w:sz w:val="20"/>
          <w:szCs w:val="20"/>
        </w:rPr>
        <w:t xml:space="preserve"> </w:t>
      </w:r>
      <w:r w:rsidRPr="003D4161">
        <w:rPr>
          <w:rFonts w:ascii="Arial" w:hAnsi="Arial" w:cs="Arial"/>
          <w:sz w:val="20"/>
          <w:szCs w:val="20"/>
        </w:rPr>
        <w:t>Feed cost per kilogram of weight gain (</w:t>
      </w:r>
      <w:r w:rsidR="00F515C1" w:rsidRPr="003D4161">
        <w:rPr>
          <w:rFonts w:ascii="Arial" w:hAnsi="Arial" w:cs="Arial"/>
          <w:sz w:val="20"/>
          <w:szCs w:val="20"/>
        </w:rPr>
        <w:t>₹</w:t>
      </w:r>
      <w:r w:rsidRPr="003D4161">
        <w:rPr>
          <w:rFonts w:ascii="Arial" w:hAnsi="Arial" w:cs="Arial"/>
          <w:sz w:val="20"/>
          <w:szCs w:val="20"/>
        </w:rPr>
        <w:t>) showed highly significant (P &lt; 0.001) differences among treatments. The feed cost per kg weight gain was lowest in the T3 and T4 group, followed by T2 group while the T1 group showed the highest cost.</w:t>
      </w:r>
    </w:p>
    <w:p w14:paraId="1219B09A" w14:textId="7698209B" w:rsidR="00646E7D" w:rsidRPr="003D4161" w:rsidRDefault="00646E7D" w:rsidP="00652F73">
      <w:pPr>
        <w:spacing w:before="120" w:after="120" w:line="360" w:lineRule="auto"/>
        <w:rPr>
          <w:rFonts w:ascii="Arial" w:hAnsi="Arial" w:cs="Arial"/>
          <w:sz w:val="20"/>
          <w:szCs w:val="20"/>
        </w:rPr>
      </w:pPr>
      <w:r w:rsidRPr="00646E7D">
        <w:rPr>
          <w:rFonts w:ascii="Arial" w:hAnsi="Arial" w:cs="Arial"/>
          <w:sz w:val="20"/>
          <w:szCs w:val="20"/>
        </w:rPr>
        <w:t xml:space="preserve">These findings </w:t>
      </w:r>
      <w:proofErr w:type="gramStart"/>
      <w:r w:rsidRPr="00646E7D">
        <w:rPr>
          <w:rFonts w:ascii="Arial" w:hAnsi="Arial" w:cs="Arial"/>
          <w:sz w:val="20"/>
          <w:szCs w:val="20"/>
        </w:rPr>
        <w:t>are in agreement</w:t>
      </w:r>
      <w:proofErr w:type="gramEnd"/>
      <w:r w:rsidRPr="00646E7D">
        <w:rPr>
          <w:rFonts w:ascii="Arial" w:hAnsi="Arial" w:cs="Arial"/>
          <w:sz w:val="20"/>
          <w:szCs w:val="20"/>
        </w:rPr>
        <w:t xml:space="preserve"> with the conclusions of </w:t>
      </w:r>
      <w:proofErr w:type="spellStart"/>
      <w:r w:rsidRPr="00646E7D">
        <w:rPr>
          <w:rFonts w:ascii="Arial" w:hAnsi="Arial" w:cs="Arial"/>
          <w:sz w:val="20"/>
          <w:szCs w:val="20"/>
        </w:rPr>
        <w:t>Adentunji</w:t>
      </w:r>
      <w:proofErr w:type="spellEnd"/>
      <w:r w:rsidRPr="00646E7D">
        <w:rPr>
          <w:rFonts w:ascii="Arial" w:hAnsi="Arial" w:cs="Arial"/>
          <w:sz w:val="20"/>
          <w:szCs w:val="20"/>
        </w:rPr>
        <w:t xml:space="preserve"> and </w:t>
      </w:r>
      <w:proofErr w:type="spellStart"/>
      <w:r w:rsidRPr="00646E7D">
        <w:rPr>
          <w:rFonts w:ascii="Arial" w:hAnsi="Arial" w:cs="Arial"/>
          <w:sz w:val="20"/>
          <w:szCs w:val="20"/>
        </w:rPr>
        <w:t>Adejumo</w:t>
      </w:r>
      <w:proofErr w:type="spellEnd"/>
      <w:r w:rsidRPr="00646E7D">
        <w:rPr>
          <w:rFonts w:ascii="Arial" w:hAnsi="Arial" w:cs="Arial"/>
          <w:sz w:val="20"/>
          <w:szCs w:val="20"/>
        </w:rPr>
        <w:t xml:space="preserve"> (2019), who reported that incorporation of mushroom waste, particularly </w:t>
      </w:r>
      <w:proofErr w:type="spellStart"/>
      <w:r w:rsidRPr="00646E7D">
        <w:rPr>
          <w:rFonts w:ascii="Arial" w:hAnsi="Arial" w:cs="Arial"/>
          <w:sz w:val="20"/>
          <w:szCs w:val="20"/>
        </w:rPr>
        <w:t>Pleurotus</w:t>
      </w:r>
      <w:proofErr w:type="spellEnd"/>
      <w:r w:rsidRPr="00646E7D">
        <w:rPr>
          <w:rFonts w:ascii="Arial" w:hAnsi="Arial" w:cs="Arial"/>
          <w:sz w:val="20"/>
          <w:szCs w:val="20"/>
        </w:rPr>
        <w:t xml:space="preserve"> </w:t>
      </w:r>
      <w:proofErr w:type="spellStart"/>
      <w:r w:rsidRPr="00646E7D">
        <w:rPr>
          <w:rFonts w:ascii="Arial" w:hAnsi="Arial" w:cs="Arial"/>
          <w:sz w:val="20"/>
          <w:szCs w:val="20"/>
        </w:rPr>
        <w:t>sajor-caju</w:t>
      </w:r>
      <w:proofErr w:type="spellEnd"/>
      <w:r w:rsidRPr="00646E7D">
        <w:rPr>
          <w:rFonts w:ascii="Arial" w:hAnsi="Arial" w:cs="Arial"/>
          <w:sz w:val="20"/>
          <w:szCs w:val="20"/>
        </w:rPr>
        <w:t xml:space="preserve"> residue, offers a cost-effective alternative for broiler chick production</w:t>
      </w:r>
    </w:p>
    <w:p w14:paraId="138DB0E0" w14:textId="0E58B12A" w:rsidR="002557BC" w:rsidRPr="003D4161" w:rsidRDefault="002557BC" w:rsidP="00652F73">
      <w:pPr>
        <w:spacing w:before="120" w:after="120" w:line="360" w:lineRule="auto"/>
        <w:rPr>
          <w:rFonts w:ascii="Arial" w:hAnsi="Arial" w:cs="Arial"/>
          <w:b/>
          <w:sz w:val="20"/>
          <w:szCs w:val="20"/>
        </w:rPr>
      </w:pPr>
      <w:r w:rsidRPr="003D4161">
        <w:rPr>
          <w:rFonts w:ascii="Arial" w:hAnsi="Arial" w:cs="Arial"/>
          <w:sz w:val="20"/>
          <w:szCs w:val="20"/>
        </w:rPr>
        <w:t>This indicates a clear economic advantage associated with increasing levels of mushroom waste supplementation in broiler diets.</w:t>
      </w:r>
    </w:p>
    <w:p w14:paraId="7588A8B4" w14:textId="77777777" w:rsidR="00E35CE1" w:rsidRPr="00671AE0" w:rsidRDefault="00E35CE1" w:rsidP="00671AE0">
      <w:pPr>
        <w:pStyle w:val="NoSpacing"/>
        <w:rPr>
          <w:rFonts w:ascii="Arial" w:hAnsi="Arial" w:cs="Arial"/>
          <w:b/>
          <w:bCs/>
          <w:sz w:val="22"/>
          <w:szCs w:val="22"/>
        </w:rPr>
      </w:pPr>
      <w:r w:rsidRPr="00671AE0">
        <w:rPr>
          <w:rFonts w:ascii="Arial" w:hAnsi="Arial" w:cs="Arial"/>
          <w:b/>
          <w:bCs/>
          <w:sz w:val="22"/>
          <w:szCs w:val="22"/>
        </w:rPr>
        <w:t xml:space="preserve">Table 8. Economics of broiler chicks (0-6 weeks) fed diet supplemented with varying level of mushroom </w:t>
      </w:r>
      <w:r w:rsidRPr="00671AE0">
        <w:rPr>
          <w:rFonts w:ascii="Arial" w:hAnsi="Arial" w:cs="Arial"/>
          <w:b/>
          <w:bCs/>
          <w:i/>
          <w:sz w:val="22"/>
          <w:szCs w:val="22"/>
        </w:rPr>
        <w:t xml:space="preserve">(Agaricus bisporus) </w:t>
      </w:r>
      <w:r w:rsidRPr="00671AE0">
        <w:rPr>
          <w:rFonts w:ascii="Arial" w:hAnsi="Arial" w:cs="Arial"/>
          <w:b/>
          <w:bCs/>
          <w:sz w:val="22"/>
          <w:szCs w:val="22"/>
        </w:rPr>
        <w:t>fruiting body waste</w:t>
      </w:r>
    </w:p>
    <w:tbl>
      <w:tblPr>
        <w:tblW w:w="6331" w:type="pct"/>
        <w:jc w:val="center"/>
        <w:tblLayout w:type="fixed"/>
        <w:tblLook w:val="04A0" w:firstRow="1" w:lastRow="0" w:firstColumn="1" w:lastColumn="0" w:noHBand="0" w:noVBand="1"/>
      </w:tblPr>
      <w:tblGrid>
        <w:gridCol w:w="3151"/>
        <w:gridCol w:w="1890"/>
        <w:gridCol w:w="1799"/>
        <w:gridCol w:w="1801"/>
        <w:gridCol w:w="1803"/>
        <w:gridCol w:w="985"/>
      </w:tblGrid>
      <w:tr w:rsidR="00E35CE1" w:rsidRPr="003D4161" w14:paraId="5BC7771E" w14:textId="77777777" w:rsidTr="00A60740">
        <w:trPr>
          <w:trHeight w:val="288"/>
          <w:jc w:val="center"/>
        </w:trPr>
        <w:tc>
          <w:tcPr>
            <w:tcW w:w="1378" w:type="pct"/>
            <w:vMerge w:val="restart"/>
            <w:tcBorders>
              <w:top w:val="single" w:sz="4" w:space="0" w:color="auto"/>
              <w:bottom w:val="single" w:sz="4" w:space="0" w:color="auto"/>
            </w:tcBorders>
            <w:noWrap/>
            <w:vAlign w:val="center"/>
            <w:hideMark/>
          </w:tcPr>
          <w:p w14:paraId="16BCED8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191" w:type="pct"/>
            <w:gridSpan w:val="4"/>
            <w:tcBorders>
              <w:top w:val="single" w:sz="4" w:space="0" w:color="auto"/>
              <w:bottom w:val="single" w:sz="4" w:space="0" w:color="auto"/>
            </w:tcBorders>
            <w:noWrap/>
            <w:vAlign w:val="center"/>
            <w:hideMark/>
          </w:tcPr>
          <w:p w14:paraId="68F0989F"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32" w:type="pct"/>
            <w:vMerge w:val="restart"/>
            <w:tcBorders>
              <w:top w:val="single" w:sz="4" w:space="0" w:color="auto"/>
              <w:bottom w:val="single" w:sz="4" w:space="0" w:color="auto"/>
            </w:tcBorders>
            <w:noWrap/>
            <w:vAlign w:val="center"/>
            <w:hideMark/>
          </w:tcPr>
          <w:p w14:paraId="711C0A6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481B992A" w14:textId="77777777" w:rsidTr="00A60740">
        <w:trPr>
          <w:trHeight w:val="288"/>
          <w:jc w:val="center"/>
        </w:trPr>
        <w:tc>
          <w:tcPr>
            <w:tcW w:w="1378" w:type="pct"/>
            <w:vMerge/>
            <w:tcBorders>
              <w:top w:val="single" w:sz="4" w:space="0" w:color="auto"/>
              <w:bottom w:val="single" w:sz="4" w:space="0" w:color="auto"/>
            </w:tcBorders>
            <w:noWrap/>
            <w:vAlign w:val="center"/>
            <w:hideMark/>
          </w:tcPr>
          <w:p w14:paraId="0E319D2F"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27" w:type="pct"/>
            <w:tcBorders>
              <w:top w:val="single" w:sz="4" w:space="0" w:color="auto"/>
              <w:bottom w:val="single" w:sz="4" w:space="0" w:color="auto"/>
            </w:tcBorders>
            <w:noWrap/>
            <w:vAlign w:val="center"/>
            <w:hideMark/>
          </w:tcPr>
          <w:p w14:paraId="2067BB0A"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787" w:type="pct"/>
            <w:tcBorders>
              <w:top w:val="single" w:sz="4" w:space="0" w:color="auto"/>
              <w:bottom w:val="single" w:sz="4" w:space="0" w:color="auto"/>
            </w:tcBorders>
            <w:noWrap/>
            <w:vAlign w:val="center"/>
            <w:hideMark/>
          </w:tcPr>
          <w:p w14:paraId="467F337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788" w:type="pct"/>
            <w:tcBorders>
              <w:top w:val="single" w:sz="4" w:space="0" w:color="auto"/>
              <w:bottom w:val="single" w:sz="4" w:space="0" w:color="auto"/>
            </w:tcBorders>
            <w:noWrap/>
            <w:vAlign w:val="center"/>
            <w:hideMark/>
          </w:tcPr>
          <w:p w14:paraId="18E73FD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788" w:type="pct"/>
            <w:tcBorders>
              <w:top w:val="single" w:sz="4" w:space="0" w:color="auto"/>
              <w:bottom w:val="single" w:sz="4" w:space="0" w:color="auto"/>
            </w:tcBorders>
            <w:noWrap/>
            <w:vAlign w:val="center"/>
            <w:hideMark/>
          </w:tcPr>
          <w:p w14:paraId="7A88F77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32" w:type="pct"/>
            <w:vMerge/>
            <w:tcBorders>
              <w:top w:val="single" w:sz="4" w:space="0" w:color="auto"/>
              <w:bottom w:val="single" w:sz="4" w:space="0" w:color="auto"/>
            </w:tcBorders>
            <w:noWrap/>
            <w:vAlign w:val="center"/>
            <w:hideMark/>
          </w:tcPr>
          <w:p w14:paraId="738B7530"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33E5D75D" w14:textId="77777777" w:rsidTr="00A60740">
        <w:trPr>
          <w:trHeight w:val="288"/>
          <w:jc w:val="center"/>
        </w:trPr>
        <w:tc>
          <w:tcPr>
            <w:tcW w:w="1378" w:type="pct"/>
            <w:tcBorders>
              <w:top w:val="single" w:sz="4" w:space="0" w:color="auto"/>
              <w:bottom w:val="single" w:sz="4" w:space="0" w:color="auto"/>
            </w:tcBorders>
            <w:noWrap/>
            <w:vAlign w:val="center"/>
            <w:hideMark/>
          </w:tcPr>
          <w:p w14:paraId="65CFBB4B" w14:textId="5727EFCB"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Initial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27" w:type="pct"/>
            <w:tcBorders>
              <w:top w:val="single" w:sz="4" w:space="0" w:color="auto"/>
              <w:bottom w:val="single" w:sz="4" w:space="0" w:color="auto"/>
            </w:tcBorders>
            <w:noWrap/>
            <w:vAlign w:val="center"/>
            <w:hideMark/>
          </w:tcPr>
          <w:p w14:paraId="6D5120A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787" w:type="pct"/>
            <w:tcBorders>
              <w:top w:val="single" w:sz="4" w:space="0" w:color="auto"/>
              <w:bottom w:val="single" w:sz="4" w:space="0" w:color="auto"/>
            </w:tcBorders>
            <w:noWrap/>
            <w:vAlign w:val="center"/>
            <w:hideMark/>
          </w:tcPr>
          <w:p w14:paraId="5C5FBDC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788" w:type="pct"/>
            <w:tcBorders>
              <w:top w:val="single" w:sz="4" w:space="0" w:color="auto"/>
              <w:bottom w:val="single" w:sz="4" w:space="0" w:color="auto"/>
            </w:tcBorders>
            <w:noWrap/>
            <w:vAlign w:val="center"/>
            <w:hideMark/>
          </w:tcPr>
          <w:p w14:paraId="5FFF696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788" w:type="pct"/>
            <w:tcBorders>
              <w:top w:val="single" w:sz="4" w:space="0" w:color="auto"/>
              <w:bottom w:val="single" w:sz="4" w:space="0" w:color="auto"/>
            </w:tcBorders>
            <w:noWrap/>
            <w:vAlign w:val="center"/>
            <w:hideMark/>
          </w:tcPr>
          <w:p w14:paraId="647BA1E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0.74</w:t>
            </w:r>
          </w:p>
        </w:tc>
        <w:tc>
          <w:tcPr>
            <w:tcW w:w="432" w:type="pct"/>
            <w:tcBorders>
              <w:top w:val="single" w:sz="4" w:space="0" w:color="auto"/>
              <w:bottom w:val="single" w:sz="4" w:space="0" w:color="auto"/>
            </w:tcBorders>
            <w:noWrap/>
            <w:vAlign w:val="center"/>
            <w:hideMark/>
          </w:tcPr>
          <w:p w14:paraId="75FE328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20EE0EB8" w14:textId="77777777" w:rsidTr="00A60740">
        <w:trPr>
          <w:trHeight w:val="288"/>
          <w:jc w:val="center"/>
        </w:trPr>
        <w:tc>
          <w:tcPr>
            <w:tcW w:w="1378" w:type="pct"/>
            <w:tcBorders>
              <w:top w:val="single" w:sz="4" w:space="0" w:color="auto"/>
              <w:bottom w:val="single" w:sz="4" w:space="0" w:color="auto"/>
            </w:tcBorders>
            <w:noWrap/>
            <w:vAlign w:val="center"/>
            <w:hideMark/>
          </w:tcPr>
          <w:p w14:paraId="1383CEC0" w14:textId="7C1C6352" w:rsidR="00E35CE1" w:rsidRPr="00A0710C" w:rsidRDefault="00E35CE1" w:rsidP="003D4161">
            <w:pPr>
              <w:spacing w:before="120" w:after="120" w:line="276" w:lineRule="auto"/>
              <w:rPr>
                <w:rFonts w:ascii="Arial" w:eastAsia="Times New Roman" w:hAnsi="Arial" w:cs="Arial"/>
                <w:bCs/>
                <w:color w:val="000000"/>
                <w:sz w:val="20"/>
                <w:szCs w:val="20"/>
              </w:rPr>
            </w:pPr>
            <w:r w:rsidRPr="003D4161">
              <w:rPr>
                <w:rFonts w:ascii="Arial" w:eastAsia="Times New Roman" w:hAnsi="Arial" w:cs="Arial"/>
                <w:b/>
                <w:color w:val="000000"/>
                <w:sz w:val="20"/>
                <w:szCs w:val="20"/>
              </w:rPr>
              <w:t xml:space="preserve">Final body weight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27" w:type="pct"/>
            <w:tcBorders>
              <w:top w:val="single" w:sz="4" w:space="0" w:color="auto"/>
              <w:bottom w:val="single" w:sz="4" w:space="0" w:color="auto"/>
            </w:tcBorders>
            <w:noWrap/>
            <w:vAlign w:val="center"/>
            <w:hideMark/>
          </w:tcPr>
          <w:p w14:paraId="429F458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 10.56</w:t>
            </w:r>
          </w:p>
        </w:tc>
        <w:tc>
          <w:tcPr>
            <w:tcW w:w="787" w:type="pct"/>
            <w:tcBorders>
              <w:top w:val="single" w:sz="4" w:space="0" w:color="auto"/>
              <w:bottom w:val="single" w:sz="4" w:space="0" w:color="auto"/>
            </w:tcBorders>
            <w:noWrap/>
            <w:vAlign w:val="center"/>
            <w:hideMark/>
          </w:tcPr>
          <w:p w14:paraId="733C66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p>
        </w:tc>
        <w:tc>
          <w:tcPr>
            <w:tcW w:w="788" w:type="pct"/>
            <w:tcBorders>
              <w:top w:val="single" w:sz="4" w:space="0" w:color="auto"/>
              <w:bottom w:val="single" w:sz="4" w:space="0" w:color="auto"/>
            </w:tcBorders>
            <w:noWrap/>
            <w:vAlign w:val="center"/>
            <w:hideMark/>
          </w:tcPr>
          <w:p w14:paraId="6F32378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p>
        </w:tc>
        <w:tc>
          <w:tcPr>
            <w:tcW w:w="788" w:type="pct"/>
            <w:tcBorders>
              <w:top w:val="single" w:sz="4" w:space="0" w:color="auto"/>
              <w:bottom w:val="single" w:sz="4" w:space="0" w:color="auto"/>
            </w:tcBorders>
            <w:noWrap/>
            <w:vAlign w:val="center"/>
            <w:hideMark/>
          </w:tcPr>
          <w:p w14:paraId="7488AD9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p>
        </w:tc>
        <w:tc>
          <w:tcPr>
            <w:tcW w:w="432" w:type="pct"/>
            <w:tcBorders>
              <w:top w:val="single" w:sz="4" w:space="0" w:color="auto"/>
              <w:bottom w:val="single" w:sz="4" w:space="0" w:color="auto"/>
            </w:tcBorders>
            <w:noWrap/>
            <w:vAlign w:val="center"/>
            <w:hideMark/>
          </w:tcPr>
          <w:p w14:paraId="3A77CC86"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6E271AA" w14:textId="77777777" w:rsidTr="00A60740">
        <w:trPr>
          <w:trHeight w:val="288"/>
          <w:jc w:val="center"/>
        </w:trPr>
        <w:tc>
          <w:tcPr>
            <w:tcW w:w="1378" w:type="pct"/>
            <w:tcBorders>
              <w:top w:val="single" w:sz="4" w:space="0" w:color="auto"/>
              <w:bottom w:val="single" w:sz="4" w:space="0" w:color="auto"/>
            </w:tcBorders>
            <w:noWrap/>
            <w:vAlign w:val="center"/>
            <w:hideMark/>
          </w:tcPr>
          <w:p w14:paraId="67B75ABE" w14:textId="0EB27E3E"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Average body weight gain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w:t>
            </w:r>
            <w:proofErr w:type="gramStart"/>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r w:rsidRPr="003D4161">
              <w:rPr>
                <w:rFonts w:ascii="Arial" w:eastAsia="Times New Roman" w:hAnsi="Arial" w:cs="Arial"/>
                <w:b/>
                <w:color w:val="000000"/>
                <w:sz w:val="20"/>
                <w:szCs w:val="20"/>
              </w:rPr>
              <w:t>*</w:t>
            </w:r>
            <w:proofErr w:type="gramEnd"/>
          </w:p>
        </w:tc>
        <w:tc>
          <w:tcPr>
            <w:tcW w:w="827" w:type="pct"/>
            <w:tcBorders>
              <w:top w:val="single" w:sz="4" w:space="0" w:color="auto"/>
              <w:bottom w:val="single" w:sz="4" w:space="0" w:color="auto"/>
            </w:tcBorders>
            <w:noWrap/>
            <w:vAlign w:val="center"/>
            <w:hideMark/>
          </w:tcPr>
          <w:p w14:paraId="00212A2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2197.14 ± 10.61</w:t>
            </w:r>
            <w:r w:rsidRPr="003D4161">
              <w:rPr>
                <w:rFonts w:ascii="Arial" w:eastAsia="Times New Roman" w:hAnsi="Arial" w:cs="Arial"/>
                <w:color w:val="000000"/>
                <w:sz w:val="20"/>
                <w:szCs w:val="20"/>
                <w:vertAlign w:val="superscript"/>
              </w:rPr>
              <w:t>a</w:t>
            </w:r>
          </w:p>
        </w:tc>
        <w:tc>
          <w:tcPr>
            <w:tcW w:w="787" w:type="pct"/>
            <w:tcBorders>
              <w:top w:val="single" w:sz="4" w:space="0" w:color="auto"/>
              <w:bottom w:val="single" w:sz="4" w:space="0" w:color="auto"/>
            </w:tcBorders>
            <w:noWrap/>
            <w:vAlign w:val="center"/>
            <w:hideMark/>
          </w:tcPr>
          <w:p w14:paraId="135BE3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2219.08 ± 11.29</w:t>
            </w:r>
            <w:r w:rsidRPr="003D4161">
              <w:rPr>
                <w:rFonts w:ascii="Arial" w:eastAsia="Times New Roman" w:hAnsi="Arial" w:cs="Arial"/>
                <w:color w:val="000000"/>
                <w:sz w:val="20"/>
                <w:szCs w:val="20"/>
                <w:vertAlign w:val="superscript"/>
              </w:rPr>
              <w:t>ab</w:t>
            </w:r>
          </w:p>
        </w:tc>
        <w:tc>
          <w:tcPr>
            <w:tcW w:w="788" w:type="pct"/>
            <w:tcBorders>
              <w:top w:val="single" w:sz="4" w:space="0" w:color="auto"/>
              <w:bottom w:val="single" w:sz="4" w:space="0" w:color="auto"/>
            </w:tcBorders>
            <w:noWrap/>
            <w:vAlign w:val="center"/>
            <w:hideMark/>
          </w:tcPr>
          <w:p w14:paraId="473584F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2254.18 ± 13.36</w:t>
            </w:r>
            <w:r w:rsidRPr="003D4161">
              <w:rPr>
                <w:rFonts w:ascii="Arial" w:eastAsia="Times New Roman" w:hAnsi="Arial" w:cs="Arial"/>
                <w:color w:val="000000"/>
                <w:sz w:val="20"/>
                <w:szCs w:val="20"/>
                <w:vertAlign w:val="superscript"/>
              </w:rPr>
              <w:t>b</w:t>
            </w:r>
          </w:p>
        </w:tc>
        <w:tc>
          <w:tcPr>
            <w:tcW w:w="788" w:type="pct"/>
            <w:tcBorders>
              <w:top w:val="single" w:sz="4" w:space="0" w:color="auto"/>
              <w:bottom w:val="single" w:sz="4" w:space="0" w:color="auto"/>
            </w:tcBorders>
            <w:noWrap/>
            <w:vAlign w:val="center"/>
            <w:hideMark/>
          </w:tcPr>
          <w:p w14:paraId="6B3A0F4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2241.97 ± 12.40</w:t>
            </w:r>
            <w:r w:rsidRPr="003D4161">
              <w:rPr>
                <w:rFonts w:ascii="Arial" w:eastAsia="Times New Roman" w:hAnsi="Arial" w:cs="Arial"/>
                <w:color w:val="000000"/>
                <w:sz w:val="20"/>
                <w:szCs w:val="20"/>
                <w:vertAlign w:val="superscript"/>
              </w:rPr>
              <w:t>b</w:t>
            </w:r>
          </w:p>
        </w:tc>
        <w:tc>
          <w:tcPr>
            <w:tcW w:w="432" w:type="pct"/>
            <w:tcBorders>
              <w:top w:val="single" w:sz="4" w:space="0" w:color="auto"/>
              <w:bottom w:val="single" w:sz="4" w:space="0" w:color="auto"/>
            </w:tcBorders>
            <w:noWrap/>
            <w:vAlign w:val="center"/>
            <w:hideMark/>
          </w:tcPr>
          <w:p w14:paraId="2D68571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0.040</w:t>
            </w:r>
          </w:p>
        </w:tc>
      </w:tr>
      <w:tr w:rsidR="00E35CE1" w:rsidRPr="003D4161" w14:paraId="533F464B" w14:textId="77777777" w:rsidTr="00A60740">
        <w:trPr>
          <w:trHeight w:val="288"/>
          <w:jc w:val="center"/>
        </w:trPr>
        <w:tc>
          <w:tcPr>
            <w:tcW w:w="1378" w:type="pct"/>
            <w:tcBorders>
              <w:top w:val="single" w:sz="4" w:space="0" w:color="auto"/>
              <w:bottom w:val="single" w:sz="4" w:space="0" w:color="auto"/>
            </w:tcBorders>
            <w:noWrap/>
            <w:vAlign w:val="center"/>
            <w:hideMark/>
          </w:tcPr>
          <w:p w14:paraId="082F4BD8" w14:textId="69B3D0AE"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 xml:space="preserve">Average feed intake </w:t>
            </w:r>
            <w:r w:rsidR="00A0710C" w:rsidRPr="003D4161">
              <w:rPr>
                <w:rFonts w:ascii="Arial" w:eastAsia="Times New Roman" w:hAnsi="Arial" w:cs="Arial"/>
                <w:b/>
                <w:color w:val="000000"/>
                <w:sz w:val="20"/>
                <w:szCs w:val="20"/>
              </w:rPr>
              <w:t>(g</w:t>
            </w:r>
            <w:r w:rsidR="00A0710C">
              <w:rPr>
                <w:rFonts w:ascii="Arial" w:eastAsia="Times New Roman" w:hAnsi="Arial" w:cs="Arial"/>
                <w:b/>
                <w:color w:val="000000"/>
                <w:sz w:val="20"/>
                <w:szCs w:val="20"/>
              </w:rPr>
              <w:t>/bird</w:t>
            </w:r>
            <w:r w:rsidR="00A0710C" w:rsidRPr="003D4161">
              <w:rPr>
                <w:rFonts w:ascii="Arial" w:eastAsia="Times New Roman" w:hAnsi="Arial" w:cs="Arial"/>
                <w:b/>
                <w:color w:val="000000"/>
                <w:sz w:val="20"/>
                <w:szCs w:val="20"/>
              </w:rPr>
              <w:t>)</w:t>
            </w:r>
          </w:p>
        </w:tc>
        <w:tc>
          <w:tcPr>
            <w:tcW w:w="827" w:type="pct"/>
            <w:tcBorders>
              <w:top w:val="single" w:sz="4" w:space="0" w:color="auto"/>
              <w:bottom w:val="single" w:sz="4" w:space="0" w:color="auto"/>
            </w:tcBorders>
            <w:noWrap/>
            <w:vAlign w:val="center"/>
            <w:hideMark/>
          </w:tcPr>
          <w:p w14:paraId="197D631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3780.95 ± 34.73</w:t>
            </w:r>
          </w:p>
        </w:tc>
        <w:tc>
          <w:tcPr>
            <w:tcW w:w="787" w:type="pct"/>
            <w:tcBorders>
              <w:top w:val="single" w:sz="4" w:space="0" w:color="auto"/>
              <w:bottom w:val="single" w:sz="4" w:space="0" w:color="auto"/>
            </w:tcBorders>
            <w:noWrap/>
            <w:vAlign w:val="center"/>
            <w:hideMark/>
          </w:tcPr>
          <w:p w14:paraId="7A4EC64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3789.30 ± 38.99</w:t>
            </w:r>
          </w:p>
        </w:tc>
        <w:tc>
          <w:tcPr>
            <w:tcW w:w="788" w:type="pct"/>
            <w:tcBorders>
              <w:top w:val="single" w:sz="4" w:space="0" w:color="auto"/>
              <w:bottom w:val="single" w:sz="4" w:space="0" w:color="auto"/>
            </w:tcBorders>
            <w:noWrap/>
            <w:vAlign w:val="center"/>
            <w:hideMark/>
          </w:tcPr>
          <w:p w14:paraId="3B19DE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3771.47 ± 40.33</w:t>
            </w:r>
          </w:p>
        </w:tc>
        <w:tc>
          <w:tcPr>
            <w:tcW w:w="788" w:type="pct"/>
            <w:tcBorders>
              <w:top w:val="single" w:sz="4" w:space="0" w:color="auto"/>
              <w:bottom w:val="single" w:sz="4" w:space="0" w:color="auto"/>
            </w:tcBorders>
            <w:noWrap/>
            <w:vAlign w:val="center"/>
            <w:hideMark/>
          </w:tcPr>
          <w:p w14:paraId="6A76B17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3787.70 ± 38.53</w:t>
            </w:r>
          </w:p>
        </w:tc>
        <w:tc>
          <w:tcPr>
            <w:tcW w:w="432" w:type="pct"/>
            <w:tcBorders>
              <w:top w:val="single" w:sz="4" w:space="0" w:color="auto"/>
              <w:bottom w:val="single" w:sz="4" w:space="0" w:color="auto"/>
            </w:tcBorders>
            <w:noWrap/>
            <w:vAlign w:val="center"/>
            <w:hideMark/>
          </w:tcPr>
          <w:p w14:paraId="6683396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0.986</w:t>
            </w:r>
          </w:p>
        </w:tc>
      </w:tr>
      <w:tr w:rsidR="00E35CE1" w:rsidRPr="003D4161" w14:paraId="1AD8F1EE" w14:textId="77777777" w:rsidTr="00A60740">
        <w:trPr>
          <w:trHeight w:val="288"/>
          <w:jc w:val="center"/>
        </w:trPr>
        <w:tc>
          <w:tcPr>
            <w:tcW w:w="1378" w:type="pct"/>
            <w:tcBorders>
              <w:top w:val="single" w:sz="4" w:space="0" w:color="auto"/>
              <w:bottom w:val="single" w:sz="4" w:space="0" w:color="auto"/>
            </w:tcBorders>
            <w:noWrap/>
            <w:vAlign w:val="center"/>
            <w:hideMark/>
          </w:tcPr>
          <w:p w14:paraId="3D78857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Total feed cost (</w:t>
            </w:r>
            <w:r w:rsidRPr="003D4161">
              <w:rPr>
                <w:rFonts w:ascii="Arial" w:hAnsi="Arial" w:cs="Arial"/>
                <w:sz w:val="20"/>
                <w:szCs w:val="20"/>
              </w:rPr>
              <w:t>₹</w:t>
            </w:r>
            <w:r w:rsidRPr="003D4161">
              <w:rPr>
                <w:rFonts w:ascii="Arial" w:hAnsi="Arial" w:cs="Arial"/>
                <w:b/>
                <w:sz w:val="20"/>
                <w:szCs w:val="20"/>
              </w:rPr>
              <w:t>)</w:t>
            </w:r>
          </w:p>
        </w:tc>
        <w:tc>
          <w:tcPr>
            <w:tcW w:w="827" w:type="pct"/>
            <w:tcBorders>
              <w:top w:val="single" w:sz="4" w:space="0" w:color="auto"/>
              <w:bottom w:val="single" w:sz="4" w:space="0" w:color="auto"/>
            </w:tcBorders>
            <w:noWrap/>
            <w:vAlign w:val="center"/>
            <w:hideMark/>
          </w:tcPr>
          <w:p w14:paraId="53A4CE0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142.20 ± 1.30</w:t>
            </w:r>
          </w:p>
        </w:tc>
        <w:tc>
          <w:tcPr>
            <w:tcW w:w="787" w:type="pct"/>
            <w:tcBorders>
              <w:top w:val="single" w:sz="4" w:space="0" w:color="auto"/>
              <w:bottom w:val="single" w:sz="4" w:space="0" w:color="auto"/>
            </w:tcBorders>
            <w:noWrap/>
            <w:vAlign w:val="center"/>
            <w:hideMark/>
          </w:tcPr>
          <w:p w14:paraId="74805A9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141.11 ± 1.45</w:t>
            </w:r>
          </w:p>
        </w:tc>
        <w:tc>
          <w:tcPr>
            <w:tcW w:w="788" w:type="pct"/>
            <w:tcBorders>
              <w:top w:val="single" w:sz="4" w:space="0" w:color="auto"/>
              <w:bottom w:val="single" w:sz="4" w:space="0" w:color="auto"/>
            </w:tcBorders>
            <w:noWrap/>
            <w:vAlign w:val="center"/>
            <w:hideMark/>
          </w:tcPr>
          <w:p w14:paraId="7B20960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139.07 ± 1.48</w:t>
            </w:r>
          </w:p>
        </w:tc>
        <w:tc>
          <w:tcPr>
            <w:tcW w:w="788" w:type="pct"/>
            <w:tcBorders>
              <w:top w:val="single" w:sz="4" w:space="0" w:color="auto"/>
              <w:bottom w:val="single" w:sz="4" w:space="0" w:color="auto"/>
            </w:tcBorders>
            <w:noWrap/>
            <w:vAlign w:val="center"/>
            <w:hideMark/>
          </w:tcPr>
          <w:p w14:paraId="2C290495"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138.31 ± 1.40</w:t>
            </w:r>
          </w:p>
        </w:tc>
        <w:tc>
          <w:tcPr>
            <w:tcW w:w="432" w:type="pct"/>
            <w:tcBorders>
              <w:top w:val="single" w:sz="4" w:space="0" w:color="auto"/>
              <w:bottom w:val="single" w:sz="4" w:space="0" w:color="auto"/>
            </w:tcBorders>
            <w:noWrap/>
            <w:vAlign w:val="center"/>
            <w:hideMark/>
          </w:tcPr>
          <w:p w14:paraId="3CA180D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0.261</w:t>
            </w:r>
          </w:p>
        </w:tc>
      </w:tr>
      <w:tr w:rsidR="00E35CE1" w:rsidRPr="003D4161" w14:paraId="372E1EC1" w14:textId="77777777" w:rsidTr="00A60740">
        <w:trPr>
          <w:trHeight w:val="288"/>
          <w:jc w:val="center"/>
        </w:trPr>
        <w:tc>
          <w:tcPr>
            <w:tcW w:w="1378" w:type="pct"/>
            <w:tcBorders>
              <w:top w:val="single" w:sz="4" w:space="0" w:color="auto"/>
              <w:bottom w:val="single" w:sz="4" w:space="0" w:color="auto"/>
            </w:tcBorders>
            <w:noWrap/>
            <w:vAlign w:val="center"/>
            <w:hideMark/>
          </w:tcPr>
          <w:p w14:paraId="0FC5FCE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cost/kg weight gain (</w:t>
            </w:r>
            <w:proofErr w:type="gramStart"/>
            <w:r w:rsidRPr="003D4161">
              <w:rPr>
                <w:rFonts w:ascii="Arial" w:hAnsi="Arial" w:cs="Arial"/>
                <w:sz w:val="20"/>
                <w:szCs w:val="20"/>
              </w:rPr>
              <w:t>₹</w:t>
            </w:r>
            <w:r w:rsidRPr="003D4161">
              <w:rPr>
                <w:rFonts w:ascii="Arial" w:hAnsi="Arial" w:cs="Arial"/>
                <w:b/>
                <w:sz w:val="20"/>
                <w:szCs w:val="20"/>
              </w:rPr>
              <w:t>)*</w:t>
            </w:r>
            <w:proofErr w:type="gramEnd"/>
          </w:p>
        </w:tc>
        <w:tc>
          <w:tcPr>
            <w:tcW w:w="827" w:type="pct"/>
            <w:tcBorders>
              <w:top w:val="single" w:sz="4" w:space="0" w:color="auto"/>
              <w:bottom w:val="single" w:sz="4" w:space="0" w:color="auto"/>
            </w:tcBorders>
            <w:noWrap/>
            <w:vAlign w:val="center"/>
            <w:hideMark/>
          </w:tcPr>
          <w:p w14:paraId="3984ABD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64.72   ± 0.28</w:t>
            </w:r>
            <w:r w:rsidRPr="003D4161">
              <w:rPr>
                <w:rFonts w:ascii="Arial" w:eastAsia="Times New Roman" w:hAnsi="Arial" w:cs="Arial"/>
                <w:color w:val="000000"/>
                <w:sz w:val="20"/>
                <w:szCs w:val="20"/>
                <w:vertAlign w:val="superscript"/>
              </w:rPr>
              <w:t>c</w:t>
            </w:r>
          </w:p>
        </w:tc>
        <w:tc>
          <w:tcPr>
            <w:tcW w:w="787" w:type="pct"/>
            <w:tcBorders>
              <w:top w:val="single" w:sz="4" w:space="0" w:color="auto"/>
              <w:bottom w:val="single" w:sz="4" w:space="0" w:color="auto"/>
            </w:tcBorders>
            <w:noWrap/>
            <w:vAlign w:val="center"/>
            <w:hideMark/>
          </w:tcPr>
          <w:p w14:paraId="31C0791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63.58 ± 0.33</w:t>
            </w:r>
            <w:r w:rsidRPr="003D4161">
              <w:rPr>
                <w:rFonts w:ascii="Arial" w:eastAsia="Times New Roman" w:hAnsi="Arial" w:cs="Arial"/>
                <w:color w:val="000000"/>
                <w:sz w:val="20"/>
                <w:szCs w:val="20"/>
                <w:vertAlign w:val="superscript"/>
              </w:rPr>
              <w:t>b</w:t>
            </w:r>
          </w:p>
        </w:tc>
        <w:tc>
          <w:tcPr>
            <w:tcW w:w="788" w:type="pct"/>
            <w:tcBorders>
              <w:top w:val="single" w:sz="4" w:space="0" w:color="auto"/>
              <w:bottom w:val="single" w:sz="4" w:space="0" w:color="auto"/>
            </w:tcBorders>
            <w:noWrap/>
            <w:vAlign w:val="center"/>
            <w:hideMark/>
          </w:tcPr>
          <w:p w14:paraId="3FF182F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61.69 ± 0.29</w:t>
            </w:r>
            <w:r w:rsidRPr="003D4161">
              <w:rPr>
                <w:rFonts w:ascii="Arial" w:eastAsia="Times New Roman" w:hAnsi="Arial" w:cs="Arial"/>
                <w:color w:val="000000"/>
                <w:sz w:val="20"/>
                <w:szCs w:val="20"/>
                <w:vertAlign w:val="superscript"/>
              </w:rPr>
              <w:t>a</w:t>
            </w:r>
          </w:p>
        </w:tc>
        <w:tc>
          <w:tcPr>
            <w:tcW w:w="788" w:type="pct"/>
            <w:tcBorders>
              <w:top w:val="single" w:sz="4" w:space="0" w:color="auto"/>
              <w:bottom w:val="single" w:sz="4" w:space="0" w:color="auto"/>
            </w:tcBorders>
            <w:noWrap/>
            <w:vAlign w:val="center"/>
            <w:hideMark/>
          </w:tcPr>
          <w:p w14:paraId="2F39953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61.68 ± 0.28</w:t>
            </w:r>
            <w:r w:rsidRPr="003D4161">
              <w:rPr>
                <w:rFonts w:ascii="Arial" w:eastAsia="Times New Roman" w:hAnsi="Arial" w:cs="Arial"/>
                <w:color w:val="000000"/>
                <w:sz w:val="20"/>
                <w:szCs w:val="20"/>
                <w:vertAlign w:val="superscript"/>
              </w:rPr>
              <w:t>a</w:t>
            </w:r>
          </w:p>
        </w:tc>
        <w:tc>
          <w:tcPr>
            <w:tcW w:w="432" w:type="pct"/>
            <w:tcBorders>
              <w:top w:val="single" w:sz="4" w:space="0" w:color="auto"/>
              <w:bottom w:val="single" w:sz="4" w:space="0" w:color="auto"/>
            </w:tcBorders>
            <w:noWrap/>
            <w:vAlign w:val="center"/>
            <w:hideMark/>
          </w:tcPr>
          <w:p w14:paraId="4F1D6EB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&lt; 0.001</w:t>
            </w:r>
          </w:p>
        </w:tc>
      </w:tr>
    </w:tbl>
    <w:p w14:paraId="7F5EA0A2" w14:textId="77777777" w:rsidR="00E35CE1" w:rsidRPr="00417385" w:rsidRDefault="00E35CE1" w:rsidP="00417385">
      <w:pPr>
        <w:spacing w:before="120" w:after="120" w:line="240" w:lineRule="auto"/>
        <w:rPr>
          <w:rFonts w:ascii="Arial" w:hAnsi="Arial" w:cs="Arial"/>
          <w:sz w:val="18"/>
          <w:szCs w:val="18"/>
        </w:rPr>
      </w:pPr>
      <w:r w:rsidRPr="00417385">
        <w:rPr>
          <w:rFonts w:ascii="Arial" w:hAnsi="Arial" w:cs="Arial"/>
          <w:sz w:val="18"/>
          <w:szCs w:val="18"/>
        </w:rPr>
        <w:t>Mean values bearing different alphabets (a, b and c) in superscript in a row differ significantly, *(P &lt; 0.05)</w:t>
      </w:r>
    </w:p>
    <w:p w14:paraId="31BA53A1" w14:textId="0A9EAA8E" w:rsidR="00B841A5" w:rsidRDefault="00E35CE1" w:rsidP="006521A9">
      <w:pPr>
        <w:spacing w:before="120" w:after="120" w:line="240" w:lineRule="auto"/>
        <w:rPr>
          <w:rFonts w:ascii="Arial" w:hAnsi="Arial" w:cs="Arial"/>
          <w:sz w:val="18"/>
          <w:szCs w:val="18"/>
        </w:rPr>
      </w:pPr>
      <w:r w:rsidRPr="00417385">
        <w:rPr>
          <w:rFonts w:ascii="Arial" w:hAnsi="Arial" w:cs="Arial"/>
          <w:sz w:val="18"/>
          <w:szCs w:val="18"/>
        </w:rPr>
        <w:t>T1: -Basal diet, T2: -Basal diet + 1% Mushroom fruiting body waste, T3: -Basal diet + 2% Mushroom fruiting body waste, T4: -Basal diet + 3% Mushroom fruiting body waste</w:t>
      </w:r>
    </w:p>
    <w:p w14:paraId="4FED356F" w14:textId="77777777" w:rsidR="006521A9" w:rsidRPr="006521A9" w:rsidRDefault="006521A9" w:rsidP="006521A9">
      <w:pPr>
        <w:spacing w:before="120" w:after="120" w:line="240" w:lineRule="auto"/>
        <w:rPr>
          <w:rFonts w:ascii="Arial" w:hAnsi="Arial" w:cs="Arial"/>
          <w:sz w:val="22"/>
          <w:szCs w:val="22"/>
        </w:rPr>
      </w:pPr>
    </w:p>
    <w:p w14:paraId="5427194F" w14:textId="1108CEFC" w:rsidR="00B841A5" w:rsidRPr="006521A9" w:rsidRDefault="006521A9" w:rsidP="000004F3">
      <w:pPr>
        <w:spacing w:line="360" w:lineRule="auto"/>
        <w:rPr>
          <w:rFonts w:ascii="Arial" w:hAnsi="Arial" w:cs="Arial"/>
          <w:b/>
          <w:bCs/>
          <w:sz w:val="22"/>
          <w:szCs w:val="22"/>
        </w:rPr>
      </w:pPr>
      <w:r w:rsidRPr="006521A9">
        <w:rPr>
          <w:rFonts w:ascii="Arial" w:hAnsi="Arial" w:cs="Arial"/>
          <w:b/>
          <w:bCs/>
          <w:sz w:val="22"/>
          <w:szCs w:val="22"/>
        </w:rPr>
        <w:t xml:space="preserve">8. </w:t>
      </w:r>
      <w:r w:rsidR="00B841A5" w:rsidRPr="006521A9">
        <w:rPr>
          <w:rFonts w:ascii="Arial" w:hAnsi="Arial" w:cs="Arial"/>
          <w:b/>
          <w:bCs/>
          <w:sz w:val="22"/>
          <w:szCs w:val="22"/>
        </w:rPr>
        <w:t>CONCLUSION</w:t>
      </w:r>
    </w:p>
    <w:p w14:paraId="6BB4BF6C" w14:textId="77777777" w:rsidR="00E35CE1" w:rsidRPr="003D4161" w:rsidRDefault="00E35CE1" w:rsidP="00E35CE1">
      <w:pPr>
        <w:spacing w:line="360" w:lineRule="auto"/>
        <w:jc w:val="both"/>
        <w:rPr>
          <w:rFonts w:ascii="Arial" w:hAnsi="Arial" w:cs="Arial"/>
          <w:sz w:val="20"/>
          <w:szCs w:val="20"/>
        </w:rPr>
      </w:pPr>
      <w:r w:rsidRPr="003D4161">
        <w:rPr>
          <w:rFonts w:ascii="Arial" w:hAnsi="Arial" w:cs="Arial"/>
          <w:sz w:val="20"/>
          <w:szCs w:val="20"/>
        </w:rPr>
        <w:t xml:space="preserve">From the present study, it could be concluded that dietary supplementation of </w:t>
      </w:r>
      <w:r w:rsidRPr="003D4161">
        <w:rPr>
          <w:rFonts w:ascii="Arial" w:hAnsi="Arial" w:cs="Arial"/>
          <w:i/>
          <w:iCs/>
          <w:sz w:val="20"/>
          <w:szCs w:val="20"/>
        </w:rPr>
        <w:t>Agaricus bisporus</w:t>
      </w:r>
      <w:r w:rsidRPr="003D4161">
        <w:rPr>
          <w:rFonts w:ascii="Arial" w:hAnsi="Arial" w:cs="Arial"/>
          <w:sz w:val="20"/>
          <w:szCs w:val="20"/>
        </w:rPr>
        <w:t xml:space="preserve"> fruiting body waste powder improved growth performance and nutrient utilization in broiler chickens. Supplementation at 2 % level showed best improvement in body weight gain, feed conversion ratio, performance index and digestibility of dry matter, organic matter and crude protein.</w:t>
      </w:r>
    </w:p>
    <w:p w14:paraId="0F9BEBE1" w14:textId="7E99AADE" w:rsidR="00E35CE1" w:rsidRPr="003D4161" w:rsidRDefault="00E35CE1" w:rsidP="00E35CE1">
      <w:pPr>
        <w:spacing w:line="360" w:lineRule="auto"/>
        <w:jc w:val="both"/>
        <w:rPr>
          <w:rFonts w:ascii="Arial" w:hAnsi="Arial" w:cs="Arial"/>
          <w:sz w:val="20"/>
          <w:szCs w:val="20"/>
        </w:rPr>
      </w:pPr>
      <w:r w:rsidRPr="003D4161">
        <w:rPr>
          <w:rFonts w:ascii="Arial" w:hAnsi="Arial" w:cs="Arial"/>
          <w:sz w:val="20"/>
          <w:szCs w:val="20"/>
        </w:rPr>
        <w:lastRenderedPageBreak/>
        <w:t xml:space="preserve">Overall, 2 % and 3 % dietary inclusion emerged as the most economical treatment, as it recorded the lowest cost per kilogram body weight gain along with significantly higher net profit. Thus, using of </w:t>
      </w:r>
      <w:r w:rsidRPr="003D4161">
        <w:rPr>
          <w:rFonts w:ascii="Arial" w:hAnsi="Arial" w:cs="Arial"/>
          <w:i/>
          <w:iCs/>
          <w:sz w:val="20"/>
          <w:szCs w:val="20"/>
        </w:rPr>
        <w:t>Agaricus bisporus</w:t>
      </w:r>
      <w:r w:rsidRPr="003D4161">
        <w:rPr>
          <w:rFonts w:ascii="Arial" w:hAnsi="Arial" w:cs="Arial"/>
          <w:sz w:val="20"/>
          <w:szCs w:val="20"/>
        </w:rPr>
        <w:t xml:space="preserve"> fruiting body waste powder as a natural feed additive is effective for improving the nutritional value of feed given to Broiler chicks, with a 2 % dietary inclusion being the most effective in improving growth rates, feed efficiency, nutrient digestibility and economics of the birds.</w:t>
      </w:r>
    </w:p>
    <w:p w14:paraId="2EB68F75" w14:textId="77777777" w:rsidR="009628B5" w:rsidRDefault="009628B5" w:rsidP="004C45CC">
      <w:pPr>
        <w:spacing w:line="360" w:lineRule="auto"/>
        <w:rPr>
          <w:rFonts w:ascii="Arial" w:hAnsi="Arial" w:cs="Arial"/>
          <w:b/>
          <w:bCs/>
          <w:sz w:val="22"/>
          <w:szCs w:val="22"/>
        </w:rPr>
      </w:pPr>
    </w:p>
    <w:p w14:paraId="58B4625F" w14:textId="39E8B00C" w:rsidR="004C45CC" w:rsidRPr="0009205F" w:rsidRDefault="004C45CC" w:rsidP="004C45CC">
      <w:pPr>
        <w:spacing w:line="360" w:lineRule="auto"/>
        <w:rPr>
          <w:rFonts w:ascii="Arial" w:hAnsi="Arial" w:cs="Arial"/>
          <w:b/>
          <w:bCs/>
          <w:sz w:val="22"/>
          <w:szCs w:val="22"/>
        </w:rPr>
      </w:pPr>
      <w:r w:rsidRPr="0009205F">
        <w:rPr>
          <w:rFonts w:ascii="Arial" w:hAnsi="Arial" w:cs="Arial"/>
          <w:b/>
          <w:bCs/>
          <w:sz w:val="22"/>
          <w:szCs w:val="22"/>
        </w:rPr>
        <w:t>ETHICAL APPROVAL</w:t>
      </w:r>
    </w:p>
    <w:p w14:paraId="0B0A143A" w14:textId="7FA07C98" w:rsidR="003D4161" w:rsidRDefault="004C45CC" w:rsidP="0009205F">
      <w:pPr>
        <w:spacing w:line="360" w:lineRule="auto"/>
        <w:jc w:val="both"/>
        <w:rPr>
          <w:rFonts w:ascii="Arial" w:hAnsi="Arial" w:cs="Arial"/>
          <w:sz w:val="20"/>
          <w:szCs w:val="20"/>
        </w:rPr>
      </w:pPr>
      <w:r w:rsidRPr="003D4161">
        <w:rPr>
          <w:rFonts w:ascii="Arial" w:hAnsi="Arial" w:cs="Arial"/>
          <w:sz w:val="20"/>
          <w:szCs w:val="20"/>
        </w:rPr>
        <w:t xml:space="preserve">This experiment was conducted with strict compliance with the guidelines of the institutional animal ethics 322 committee (IAEC), Govind Ballabh Pant University of Agriculture and Technology, </w:t>
      </w:r>
      <w:proofErr w:type="spellStart"/>
      <w:r w:rsidRPr="003D4161">
        <w:rPr>
          <w:rFonts w:ascii="Arial" w:hAnsi="Arial" w:cs="Arial"/>
          <w:sz w:val="20"/>
          <w:szCs w:val="20"/>
        </w:rPr>
        <w:t>Pantnagar</w:t>
      </w:r>
      <w:proofErr w:type="spellEnd"/>
      <w:r w:rsidRPr="003D4161">
        <w:rPr>
          <w:rFonts w:ascii="Arial" w:hAnsi="Arial" w:cs="Arial"/>
          <w:sz w:val="20"/>
          <w:szCs w:val="20"/>
        </w:rPr>
        <w:t>, India. Ethical 323 approval number is IAEC/CVASC/ANN/57</w:t>
      </w:r>
      <w:r>
        <w:rPr>
          <w:rFonts w:ascii="Arial" w:hAnsi="Arial" w:cs="Arial"/>
          <w:sz w:val="20"/>
          <w:szCs w:val="20"/>
        </w:rPr>
        <w:t>9</w:t>
      </w:r>
      <w:r w:rsidRPr="003D4161">
        <w:rPr>
          <w:rFonts w:ascii="Arial" w:hAnsi="Arial" w:cs="Arial"/>
          <w:sz w:val="20"/>
          <w:szCs w:val="20"/>
        </w:rPr>
        <w:t xml:space="preserve"> dated on 25/01/2025.     </w:t>
      </w:r>
    </w:p>
    <w:p w14:paraId="77385633" w14:textId="77777777" w:rsidR="00DC3026" w:rsidRPr="00CA3906" w:rsidRDefault="00DC3026" w:rsidP="00DC3026">
      <w:pPr>
        <w:rPr>
          <w:b/>
          <w:highlight w:val="yellow"/>
        </w:rPr>
      </w:pPr>
      <w:r w:rsidRPr="00CA3906">
        <w:rPr>
          <w:b/>
          <w:highlight w:val="yellow"/>
        </w:rPr>
        <w:t>Disclaimer (Artificial intelligence)</w:t>
      </w:r>
    </w:p>
    <w:p w14:paraId="474FD7F1" w14:textId="77777777" w:rsidR="00DC3026" w:rsidRPr="00740879" w:rsidRDefault="00DC3026" w:rsidP="00DC302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AD8DC1D" w14:textId="77777777" w:rsidR="00DC3026" w:rsidRPr="0009205F" w:rsidRDefault="00DC3026" w:rsidP="0009205F">
      <w:pPr>
        <w:spacing w:line="360" w:lineRule="auto"/>
        <w:jc w:val="both"/>
        <w:rPr>
          <w:rFonts w:ascii="Arial" w:hAnsi="Arial" w:cs="Arial"/>
          <w:sz w:val="20"/>
          <w:szCs w:val="20"/>
        </w:rPr>
      </w:pPr>
    </w:p>
    <w:p w14:paraId="20E30253" w14:textId="45A496C5" w:rsidR="003A3012" w:rsidRPr="0009205F" w:rsidRDefault="009606B9" w:rsidP="003D4161">
      <w:pPr>
        <w:pStyle w:val="ReferHead"/>
        <w:spacing w:after="0" w:line="360" w:lineRule="auto"/>
        <w:jc w:val="both"/>
        <w:rPr>
          <w:rFonts w:ascii="Arial" w:hAnsi="Arial" w:cs="Arial"/>
          <w:szCs w:val="22"/>
        </w:rPr>
      </w:pPr>
      <w:r w:rsidRPr="0009205F">
        <w:rPr>
          <w:rFonts w:ascii="Arial" w:hAnsi="Arial" w:cs="Arial"/>
          <w:szCs w:val="22"/>
        </w:rPr>
        <w:t>References</w:t>
      </w:r>
    </w:p>
    <w:p w14:paraId="3FDCE978"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Abro, R., Changezi, G. A., Abro, S. H., Yasmin, A., Leghari, R. A., Rizwana, H. and </w:t>
      </w:r>
      <w:proofErr w:type="spellStart"/>
      <w:r w:rsidRPr="003D4161">
        <w:rPr>
          <w:rFonts w:ascii="Arial" w:hAnsi="Arial" w:cs="Arial"/>
          <w:sz w:val="20"/>
          <w:szCs w:val="20"/>
        </w:rPr>
        <w:t>Lochi</w:t>
      </w:r>
      <w:proofErr w:type="spellEnd"/>
      <w:r w:rsidRPr="003D4161">
        <w:rPr>
          <w:rFonts w:ascii="Arial" w:hAnsi="Arial" w:cs="Arial"/>
          <w:sz w:val="20"/>
          <w:szCs w:val="20"/>
        </w:rPr>
        <w:t xml:space="preserve">, G. M. 2016. Carcass and digestibility patterns fed different levels of mushroom </w:t>
      </w:r>
      <w:r w:rsidRPr="003D4161">
        <w:rPr>
          <w:rFonts w:ascii="Arial" w:hAnsi="Arial" w:cs="Arial"/>
          <w:i/>
          <w:iCs/>
          <w:sz w:val="20"/>
          <w:szCs w:val="20"/>
        </w:rPr>
        <w:t>(Pleurotus ostreatus)</w:t>
      </w:r>
      <w:r w:rsidRPr="003D4161">
        <w:rPr>
          <w:rFonts w:ascii="Arial" w:hAnsi="Arial" w:cs="Arial"/>
          <w:sz w:val="20"/>
          <w:szCs w:val="20"/>
        </w:rPr>
        <w:t xml:space="preserve"> in the diet of broiler. </w:t>
      </w:r>
      <w:r w:rsidRPr="003D4161">
        <w:rPr>
          <w:rFonts w:ascii="Arial" w:hAnsi="Arial" w:cs="Arial"/>
          <w:i/>
          <w:iCs/>
          <w:sz w:val="20"/>
          <w:szCs w:val="20"/>
        </w:rPr>
        <w:t>Sci. Int.,</w:t>
      </w:r>
      <w:r w:rsidRPr="003D4161">
        <w:rPr>
          <w:rFonts w:ascii="Arial" w:hAnsi="Arial" w:cs="Arial"/>
          <w:sz w:val="20"/>
          <w:szCs w:val="20"/>
        </w:rPr>
        <w:t xml:space="preserve"> 28(3): 2985-2988.</w:t>
      </w:r>
    </w:p>
    <w:p w14:paraId="605345EE" w14:textId="3F61241B" w:rsidR="007C5ABC" w:rsidRPr="007C5ABC" w:rsidRDefault="007C5ABC" w:rsidP="007C5ABC">
      <w:pPr>
        <w:pStyle w:val="NormalWeb"/>
        <w:spacing w:before="280" w:beforeAutospacing="0" w:after="120" w:afterAutospacing="0" w:line="324" w:lineRule="auto"/>
        <w:ind w:left="720" w:hanging="720"/>
        <w:jc w:val="both"/>
        <w:rPr>
          <w:rFonts w:ascii="Arial" w:hAnsi="Arial" w:cs="Arial"/>
          <w:bCs/>
          <w:sz w:val="20"/>
          <w:szCs w:val="20"/>
        </w:rPr>
      </w:pPr>
      <w:proofErr w:type="spellStart"/>
      <w:r w:rsidRPr="007C5ABC">
        <w:rPr>
          <w:rFonts w:ascii="Arial" w:hAnsi="Arial" w:cs="Arial"/>
          <w:bCs/>
          <w:sz w:val="20"/>
          <w:szCs w:val="20"/>
        </w:rPr>
        <w:t>Adentunji</w:t>
      </w:r>
      <w:proofErr w:type="spellEnd"/>
      <w:r w:rsidRPr="007C5ABC">
        <w:rPr>
          <w:rFonts w:ascii="Arial" w:hAnsi="Arial" w:cs="Arial"/>
          <w:bCs/>
          <w:sz w:val="20"/>
          <w:szCs w:val="20"/>
        </w:rPr>
        <w:t xml:space="preserve">, O. C. and Adejumo, 0. I. 2019. Potency of agricultural waste in mushroom </w:t>
      </w:r>
      <w:r w:rsidRPr="007C5ABC">
        <w:rPr>
          <w:rFonts w:ascii="Arial" w:hAnsi="Arial" w:cs="Arial"/>
          <w:bCs/>
          <w:i/>
          <w:sz w:val="20"/>
          <w:szCs w:val="20"/>
        </w:rPr>
        <w:t>(</w:t>
      </w:r>
      <w:proofErr w:type="spellStart"/>
      <w:r w:rsidRPr="007C5ABC">
        <w:rPr>
          <w:rFonts w:ascii="Arial" w:hAnsi="Arial" w:cs="Arial"/>
          <w:bCs/>
          <w:i/>
          <w:sz w:val="20"/>
          <w:szCs w:val="20"/>
        </w:rPr>
        <w:t>Pleurotus</w:t>
      </w:r>
      <w:proofErr w:type="spellEnd"/>
      <w:r w:rsidRPr="007C5ABC">
        <w:rPr>
          <w:rFonts w:ascii="Arial" w:hAnsi="Arial" w:cs="Arial"/>
          <w:bCs/>
          <w:i/>
          <w:sz w:val="20"/>
          <w:szCs w:val="20"/>
        </w:rPr>
        <w:t xml:space="preserve"> </w:t>
      </w:r>
      <w:proofErr w:type="spellStart"/>
      <w:r w:rsidRPr="007C5ABC">
        <w:rPr>
          <w:rFonts w:ascii="Arial" w:hAnsi="Arial" w:cs="Arial"/>
          <w:bCs/>
          <w:i/>
          <w:sz w:val="20"/>
          <w:szCs w:val="20"/>
        </w:rPr>
        <w:t>sajor-caju</w:t>
      </w:r>
      <w:proofErr w:type="spellEnd"/>
      <w:r w:rsidRPr="007C5ABC">
        <w:rPr>
          <w:rFonts w:ascii="Arial" w:hAnsi="Arial" w:cs="Arial"/>
          <w:bCs/>
          <w:i/>
          <w:sz w:val="20"/>
          <w:szCs w:val="20"/>
        </w:rPr>
        <w:t>)</w:t>
      </w:r>
      <w:r w:rsidRPr="007C5ABC">
        <w:rPr>
          <w:rFonts w:ascii="Arial" w:hAnsi="Arial" w:cs="Arial"/>
          <w:bCs/>
          <w:sz w:val="20"/>
          <w:szCs w:val="20"/>
        </w:rPr>
        <w:t xml:space="preserve"> biotechnology for feeding broiler chicks. </w:t>
      </w:r>
      <w:r w:rsidRPr="007C5ABC">
        <w:rPr>
          <w:rFonts w:ascii="Arial" w:hAnsi="Arial" w:cs="Arial"/>
          <w:bCs/>
          <w:i/>
          <w:sz w:val="20"/>
          <w:szCs w:val="20"/>
        </w:rPr>
        <w:t xml:space="preserve">Int. J. of </w:t>
      </w:r>
      <w:proofErr w:type="spellStart"/>
      <w:r w:rsidRPr="007C5ABC">
        <w:rPr>
          <w:rFonts w:ascii="Arial" w:hAnsi="Arial" w:cs="Arial"/>
          <w:bCs/>
          <w:i/>
          <w:sz w:val="20"/>
          <w:szCs w:val="20"/>
        </w:rPr>
        <w:t>Recycl</w:t>
      </w:r>
      <w:proofErr w:type="spellEnd"/>
      <w:r w:rsidRPr="007C5ABC">
        <w:rPr>
          <w:rFonts w:ascii="Arial" w:hAnsi="Arial" w:cs="Arial"/>
          <w:bCs/>
          <w:i/>
          <w:sz w:val="20"/>
          <w:szCs w:val="20"/>
        </w:rPr>
        <w:t>. Org.,</w:t>
      </w:r>
      <w:r w:rsidRPr="007C5ABC">
        <w:rPr>
          <w:rFonts w:ascii="Arial" w:hAnsi="Arial" w:cs="Arial"/>
          <w:bCs/>
          <w:sz w:val="20"/>
          <w:szCs w:val="20"/>
        </w:rPr>
        <w:t xml:space="preserve"> 8:37-45.</w:t>
      </w:r>
    </w:p>
    <w:p w14:paraId="18F566BB"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Al-Kalifa, H. 2015. Immunological techniques in avian studies</w:t>
      </w:r>
      <w:r w:rsidRPr="003D4161">
        <w:rPr>
          <w:rFonts w:ascii="Arial" w:hAnsi="Arial" w:cs="Arial"/>
          <w:i/>
          <w:iCs/>
          <w:sz w:val="20"/>
          <w:szCs w:val="20"/>
        </w:rPr>
        <w:t>. Worlds Poult. Sci. J.,</w:t>
      </w:r>
      <w:r w:rsidRPr="003D4161">
        <w:rPr>
          <w:rFonts w:ascii="Arial" w:hAnsi="Arial" w:cs="Arial"/>
          <w:sz w:val="20"/>
          <w:szCs w:val="20"/>
        </w:rPr>
        <w:t xml:space="preserve"> 72: 573-584.</w:t>
      </w:r>
    </w:p>
    <w:p w14:paraId="1972C803"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AOAC International, Rockville, MD. 2023. Official methods of analysis (22nd Ed.). AOAC International/Oxford University Press, Rockville, MD.</w:t>
      </w:r>
    </w:p>
    <w:p w14:paraId="216E8A22" w14:textId="6CC8EB3A" w:rsidR="00164F5D" w:rsidRPr="00164F5D" w:rsidRDefault="00164F5D" w:rsidP="000004F3">
      <w:pPr>
        <w:spacing w:line="360" w:lineRule="auto"/>
        <w:ind w:left="720" w:hanging="720"/>
        <w:jc w:val="both"/>
        <w:rPr>
          <w:rFonts w:ascii="Arial" w:hAnsi="Arial" w:cs="Arial"/>
          <w:sz w:val="20"/>
          <w:szCs w:val="20"/>
        </w:rPr>
      </w:pPr>
      <w:r w:rsidRPr="00164F5D">
        <w:rPr>
          <w:rFonts w:ascii="Arial" w:hAnsi="Arial" w:cs="Arial"/>
          <w:sz w:val="20"/>
          <w:szCs w:val="20"/>
          <w:lang w:val="en-GB"/>
        </w:rPr>
        <w:t xml:space="preserve">Ayodele, S. M., </w:t>
      </w:r>
      <w:proofErr w:type="spellStart"/>
      <w:r w:rsidRPr="00164F5D">
        <w:rPr>
          <w:rFonts w:ascii="Arial" w:hAnsi="Arial" w:cs="Arial"/>
          <w:sz w:val="20"/>
          <w:szCs w:val="20"/>
          <w:lang w:val="en-GB"/>
        </w:rPr>
        <w:t>Otunola</w:t>
      </w:r>
      <w:proofErr w:type="spellEnd"/>
      <w:r w:rsidRPr="00164F5D">
        <w:rPr>
          <w:rFonts w:ascii="Arial" w:hAnsi="Arial" w:cs="Arial"/>
          <w:sz w:val="20"/>
          <w:szCs w:val="20"/>
          <w:lang w:val="en-GB"/>
        </w:rPr>
        <w:t xml:space="preserve">, G. A., Ayodele, V. O., &amp; </w:t>
      </w:r>
      <w:proofErr w:type="spellStart"/>
      <w:r w:rsidRPr="00164F5D">
        <w:rPr>
          <w:rFonts w:ascii="Arial" w:hAnsi="Arial" w:cs="Arial"/>
          <w:sz w:val="20"/>
          <w:szCs w:val="20"/>
          <w:lang w:val="en-GB"/>
        </w:rPr>
        <w:t>Ekute</w:t>
      </w:r>
      <w:proofErr w:type="spellEnd"/>
      <w:r w:rsidRPr="00164F5D">
        <w:rPr>
          <w:rFonts w:ascii="Arial" w:hAnsi="Arial" w:cs="Arial"/>
          <w:sz w:val="20"/>
          <w:szCs w:val="20"/>
          <w:lang w:val="en-GB"/>
        </w:rPr>
        <w:t xml:space="preserve">, B. (2025). The Effect of </w:t>
      </w:r>
      <w:r w:rsidRPr="00164F5D">
        <w:rPr>
          <w:rFonts w:ascii="Arial" w:hAnsi="Arial" w:cs="Arial"/>
          <w:i/>
          <w:iCs/>
          <w:sz w:val="20"/>
          <w:szCs w:val="20"/>
          <w:lang w:val="en-GB"/>
        </w:rPr>
        <w:t>Pleurotus tuber regium</w:t>
      </w:r>
      <w:r w:rsidRPr="00164F5D">
        <w:rPr>
          <w:rFonts w:ascii="Arial" w:hAnsi="Arial" w:cs="Arial"/>
          <w:sz w:val="20"/>
          <w:szCs w:val="20"/>
          <w:lang w:val="en-GB"/>
        </w:rPr>
        <w:t xml:space="preserve"> (An Oyster Mushroom) Sclerotia on the Weight, Protein Content and Lipid Profile of Broiler Chickens. </w:t>
      </w:r>
      <w:r w:rsidRPr="00164F5D">
        <w:rPr>
          <w:rFonts w:ascii="Arial" w:hAnsi="Arial" w:cs="Arial"/>
          <w:i/>
          <w:iCs/>
          <w:sz w:val="20"/>
          <w:szCs w:val="20"/>
          <w:lang w:val="en-GB"/>
        </w:rPr>
        <w:t>Asian Food Science Journal,</w:t>
      </w:r>
      <w:r w:rsidRPr="00164F5D">
        <w:rPr>
          <w:rFonts w:ascii="Arial" w:hAnsi="Arial" w:cs="Arial"/>
          <w:sz w:val="20"/>
          <w:szCs w:val="20"/>
          <w:lang w:val="en-GB"/>
        </w:rPr>
        <w:t xml:space="preserve"> 24(12), 36–46.</w:t>
      </w:r>
    </w:p>
    <w:p w14:paraId="636FD7C8"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Bakshi, M. and </w:t>
      </w:r>
      <w:proofErr w:type="spellStart"/>
      <w:r w:rsidRPr="003D4161">
        <w:rPr>
          <w:rFonts w:ascii="Arial" w:hAnsi="Arial" w:cs="Arial"/>
          <w:sz w:val="20"/>
          <w:szCs w:val="20"/>
        </w:rPr>
        <w:t>Langari</w:t>
      </w:r>
      <w:proofErr w:type="spellEnd"/>
      <w:r w:rsidRPr="003D4161">
        <w:rPr>
          <w:rFonts w:ascii="Arial" w:hAnsi="Arial" w:cs="Arial"/>
          <w:sz w:val="20"/>
          <w:szCs w:val="20"/>
        </w:rPr>
        <w:t xml:space="preserve">. 1985. Utilization of </w:t>
      </w:r>
      <w:r w:rsidRPr="003D4161">
        <w:rPr>
          <w:rFonts w:ascii="Arial" w:hAnsi="Arial" w:cs="Arial"/>
          <w:i/>
          <w:iCs/>
          <w:sz w:val="20"/>
          <w:szCs w:val="20"/>
        </w:rPr>
        <w:t>Agaricus bisporus</w:t>
      </w:r>
      <w:r w:rsidRPr="003D4161">
        <w:rPr>
          <w:rFonts w:ascii="Arial" w:hAnsi="Arial" w:cs="Arial"/>
          <w:sz w:val="20"/>
          <w:szCs w:val="20"/>
        </w:rPr>
        <w:t xml:space="preserve"> harvested spent wheat straw in buffaloes. </w:t>
      </w:r>
      <w:r w:rsidRPr="003D4161">
        <w:rPr>
          <w:rFonts w:ascii="Arial" w:hAnsi="Arial" w:cs="Arial"/>
          <w:i/>
          <w:iCs/>
          <w:sz w:val="20"/>
          <w:szCs w:val="20"/>
        </w:rPr>
        <w:t>Ind. J. Anim. Sci.,</w:t>
      </w:r>
      <w:r w:rsidRPr="003D4161">
        <w:rPr>
          <w:rFonts w:ascii="Arial" w:hAnsi="Arial" w:cs="Arial"/>
          <w:sz w:val="20"/>
          <w:szCs w:val="20"/>
        </w:rPr>
        <w:t xml:space="preserve"> 55(12): 1060-1063.</w:t>
      </w:r>
    </w:p>
    <w:p w14:paraId="54B5F271"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Bederska</w:t>
      </w:r>
      <w:proofErr w:type="spellEnd"/>
      <w:r w:rsidRPr="003D4161">
        <w:rPr>
          <w:rFonts w:ascii="Arial" w:hAnsi="Arial" w:cs="Arial"/>
          <w:sz w:val="20"/>
          <w:szCs w:val="20"/>
        </w:rPr>
        <w:t xml:space="preserve">, L.D., </w:t>
      </w:r>
      <w:proofErr w:type="spellStart"/>
      <w:r w:rsidRPr="003D4161">
        <w:rPr>
          <w:rFonts w:ascii="Arial" w:hAnsi="Arial" w:cs="Arial"/>
          <w:sz w:val="20"/>
          <w:szCs w:val="20"/>
        </w:rPr>
        <w:t>Świątkiewicz</w:t>
      </w:r>
      <w:proofErr w:type="spellEnd"/>
      <w:r w:rsidRPr="003D4161">
        <w:rPr>
          <w:rFonts w:ascii="Arial" w:hAnsi="Arial" w:cs="Arial"/>
          <w:sz w:val="20"/>
          <w:szCs w:val="20"/>
        </w:rPr>
        <w:t xml:space="preserve">, S. and Muszyńska, B. 2017. The use of Basidiomycota mushrooms in poultry nutrition </w:t>
      </w:r>
      <w:r w:rsidRPr="003D4161">
        <w:rPr>
          <w:rFonts w:ascii="Arial" w:hAnsi="Arial" w:cs="Arial"/>
          <w:i/>
          <w:iCs/>
          <w:sz w:val="20"/>
          <w:szCs w:val="20"/>
        </w:rPr>
        <w:t>– A review. Anim. Feed Sci. Technol.,</w:t>
      </w:r>
      <w:r w:rsidRPr="003D4161">
        <w:rPr>
          <w:rFonts w:ascii="Arial" w:hAnsi="Arial" w:cs="Arial"/>
          <w:sz w:val="20"/>
          <w:szCs w:val="20"/>
        </w:rPr>
        <w:t xml:space="preserve"> 230: 59-69.</w:t>
      </w:r>
    </w:p>
    <w:p w14:paraId="6322AA4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Bird, H.R. 1995. Performance index of growing chickens. </w:t>
      </w:r>
      <w:r w:rsidRPr="003D4161">
        <w:rPr>
          <w:rFonts w:ascii="Arial" w:hAnsi="Arial" w:cs="Arial"/>
          <w:i/>
          <w:iCs/>
          <w:sz w:val="20"/>
          <w:szCs w:val="20"/>
        </w:rPr>
        <w:t>Poult. Sci.,</w:t>
      </w:r>
      <w:r w:rsidRPr="003D4161">
        <w:rPr>
          <w:rFonts w:ascii="Arial" w:hAnsi="Arial" w:cs="Arial"/>
          <w:sz w:val="20"/>
          <w:szCs w:val="20"/>
        </w:rPr>
        <w:t xml:space="preserve"> 34: 1163–1164.</w:t>
      </w:r>
    </w:p>
    <w:p w14:paraId="43EB155F"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lastRenderedPageBreak/>
        <w:t>BIS. 2007. Indian Standard: Poultry Feeds- Specification, IS-1374. Bureau of Indian Standard, 9, Bahadur Sah Zafar Marg, Manak Bhawan, New Delhi, India.</w:t>
      </w:r>
    </w:p>
    <w:p w14:paraId="2C9FC477"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Chanjula</w:t>
      </w:r>
      <w:proofErr w:type="spellEnd"/>
      <w:r w:rsidRPr="003D4161">
        <w:rPr>
          <w:rFonts w:ascii="Arial" w:hAnsi="Arial" w:cs="Arial"/>
          <w:sz w:val="20"/>
          <w:szCs w:val="20"/>
        </w:rPr>
        <w:t xml:space="preserve">, P. and </w:t>
      </w:r>
      <w:proofErr w:type="spellStart"/>
      <w:r w:rsidRPr="003D4161">
        <w:rPr>
          <w:rFonts w:ascii="Arial" w:hAnsi="Arial" w:cs="Arial"/>
          <w:sz w:val="20"/>
          <w:szCs w:val="20"/>
        </w:rPr>
        <w:t>Cherdthong</w:t>
      </w:r>
      <w:proofErr w:type="spellEnd"/>
      <w:r w:rsidRPr="003D4161">
        <w:rPr>
          <w:rFonts w:ascii="Arial" w:hAnsi="Arial" w:cs="Arial"/>
          <w:sz w:val="20"/>
          <w:szCs w:val="20"/>
        </w:rPr>
        <w:t xml:space="preserve">, A. 2018. Effects of spent mushroom </w:t>
      </w:r>
      <w:r w:rsidRPr="003D4161">
        <w:rPr>
          <w:rFonts w:ascii="Arial" w:hAnsi="Arial" w:cs="Arial"/>
          <w:i/>
          <w:iCs/>
          <w:sz w:val="20"/>
          <w:szCs w:val="20"/>
        </w:rPr>
        <w:t>Cordyceps militaris</w:t>
      </w:r>
      <w:r w:rsidRPr="003D4161">
        <w:rPr>
          <w:rFonts w:ascii="Arial" w:hAnsi="Arial" w:cs="Arial"/>
          <w:sz w:val="20"/>
          <w:szCs w:val="20"/>
        </w:rPr>
        <w:t xml:space="preserve"> supplementation on apparent digestibility, rumen fermentation, and blood metabolite parameters of goats. </w:t>
      </w:r>
      <w:r w:rsidRPr="003D4161">
        <w:rPr>
          <w:rFonts w:ascii="Arial" w:hAnsi="Arial" w:cs="Arial"/>
          <w:i/>
          <w:iCs/>
          <w:sz w:val="20"/>
          <w:szCs w:val="20"/>
        </w:rPr>
        <w:t>J. Anim. Sci.,</w:t>
      </w:r>
      <w:r w:rsidRPr="003D4161">
        <w:rPr>
          <w:rFonts w:ascii="Arial" w:hAnsi="Arial" w:cs="Arial"/>
          <w:sz w:val="20"/>
          <w:szCs w:val="20"/>
        </w:rPr>
        <w:t xml:space="preserve"> 96(3): 1150-1158.</w:t>
      </w:r>
    </w:p>
    <w:p w14:paraId="0840D2BD"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Department of Animal Husbandry and Dairying (DAHD). 2023. Annual Report 2022–23. Ministry of Fisheries, Animal Husbandry and Dairying, Government of India.</w:t>
      </w:r>
    </w:p>
    <w:p w14:paraId="39E15768"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Fard</w:t>
      </w:r>
      <w:proofErr w:type="spellEnd"/>
      <w:r w:rsidRPr="003D4161">
        <w:rPr>
          <w:rFonts w:ascii="Arial" w:hAnsi="Arial" w:cs="Arial"/>
          <w:sz w:val="20"/>
          <w:szCs w:val="20"/>
        </w:rPr>
        <w:t xml:space="preserve">, S.H., </w:t>
      </w:r>
      <w:proofErr w:type="spellStart"/>
      <w:r w:rsidRPr="003D4161">
        <w:rPr>
          <w:rFonts w:ascii="Arial" w:hAnsi="Arial" w:cs="Arial"/>
          <w:sz w:val="20"/>
          <w:szCs w:val="20"/>
        </w:rPr>
        <w:t>Toghyani</w:t>
      </w:r>
      <w:proofErr w:type="spellEnd"/>
      <w:r w:rsidRPr="003D4161">
        <w:rPr>
          <w:rFonts w:ascii="Arial" w:hAnsi="Arial" w:cs="Arial"/>
          <w:sz w:val="20"/>
          <w:szCs w:val="20"/>
        </w:rPr>
        <w:t xml:space="preserve">, M. and </w:t>
      </w:r>
      <w:proofErr w:type="spellStart"/>
      <w:r w:rsidRPr="003D4161">
        <w:rPr>
          <w:rFonts w:ascii="Arial" w:hAnsi="Arial" w:cs="Arial"/>
          <w:sz w:val="20"/>
          <w:szCs w:val="20"/>
        </w:rPr>
        <w:t>Tabeidian</w:t>
      </w:r>
      <w:proofErr w:type="spellEnd"/>
      <w:r w:rsidRPr="003D4161">
        <w:rPr>
          <w:rFonts w:ascii="Arial" w:hAnsi="Arial" w:cs="Arial"/>
          <w:sz w:val="20"/>
          <w:szCs w:val="20"/>
        </w:rPr>
        <w:t xml:space="preserve">, S.A. 2014. Effect of oyster mushroom wastes on performance, immune responses and intestinal morphology of broiler chickens. </w:t>
      </w:r>
      <w:r w:rsidRPr="003D4161">
        <w:rPr>
          <w:rFonts w:ascii="Arial" w:hAnsi="Arial" w:cs="Arial"/>
          <w:i/>
          <w:iCs/>
          <w:sz w:val="20"/>
          <w:szCs w:val="20"/>
        </w:rPr>
        <w:t xml:space="preserve">Int. J. </w:t>
      </w:r>
      <w:proofErr w:type="spellStart"/>
      <w:r w:rsidRPr="003D4161">
        <w:rPr>
          <w:rFonts w:ascii="Arial" w:hAnsi="Arial" w:cs="Arial"/>
          <w:i/>
          <w:iCs/>
          <w:sz w:val="20"/>
          <w:szCs w:val="20"/>
        </w:rPr>
        <w:t>Recycl</w:t>
      </w:r>
      <w:proofErr w:type="spellEnd"/>
      <w:r w:rsidRPr="003D4161">
        <w:rPr>
          <w:rFonts w:ascii="Arial" w:hAnsi="Arial" w:cs="Arial"/>
          <w:i/>
          <w:iCs/>
          <w:sz w:val="20"/>
          <w:szCs w:val="20"/>
        </w:rPr>
        <w:t>. Org. Waste Agric.,</w:t>
      </w:r>
      <w:r w:rsidRPr="003D4161">
        <w:rPr>
          <w:rFonts w:ascii="Arial" w:hAnsi="Arial" w:cs="Arial"/>
          <w:sz w:val="20"/>
          <w:szCs w:val="20"/>
        </w:rPr>
        <w:t xml:space="preserve"> 3(3): 141-146.</w:t>
      </w:r>
    </w:p>
    <w:p w14:paraId="14E2F3D8"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Fazaeli, H and Masoodi, A.R.T. 2006. Spent wheat straw compost of </w:t>
      </w:r>
      <w:r w:rsidRPr="003D4161">
        <w:rPr>
          <w:rFonts w:ascii="Arial" w:hAnsi="Arial" w:cs="Arial"/>
          <w:i/>
          <w:iCs/>
          <w:sz w:val="20"/>
          <w:szCs w:val="20"/>
        </w:rPr>
        <w:t>Agaricus bisporus</w:t>
      </w:r>
      <w:r w:rsidRPr="003D4161">
        <w:rPr>
          <w:rFonts w:ascii="Arial" w:hAnsi="Arial" w:cs="Arial"/>
          <w:sz w:val="20"/>
          <w:szCs w:val="20"/>
        </w:rPr>
        <w:t xml:space="preserve"> mushroom as ruminant feed. </w:t>
      </w:r>
      <w:r w:rsidRPr="003D4161">
        <w:rPr>
          <w:rFonts w:ascii="Arial" w:hAnsi="Arial" w:cs="Arial"/>
          <w:i/>
          <w:iCs/>
          <w:sz w:val="20"/>
          <w:szCs w:val="20"/>
        </w:rPr>
        <w:t>Asian-</w:t>
      </w:r>
      <w:proofErr w:type="spellStart"/>
      <w:r w:rsidRPr="003D4161">
        <w:rPr>
          <w:rFonts w:ascii="Arial" w:hAnsi="Arial" w:cs="Arial"/>
          <w:i/>
          <w:iCs/>
          <w:sz w:val="20"/>
          <w:szCs w:val="20"/>
        </w:rPr>
        <w:t>Australas</w:t>
      </w:r>
      <w:proofErr w:type="spellEnd"/>
      <w:r w:rsidRPr="003D4161">
        <w:rPr>
          <w:rFonts w:ascii="Arial" w:hAnsi="Arial" w:cs="Arial"/>
          <w:i/>
          <w:iCs/>
          <w:sz w:val="20"/>
          <w:szCs w:val="20"/>
        </w:rPr>
        <w:t>.</w:t>
      </w:r>
      <w:r w:rsidRPr="003D4161">
        <w:rPr>
          <w:rFonts w:ascii="Arial" w:hAnsi="Arial" w:cs="Arial"/>
          <w:sz w:val="20"/>
          <w:szCs w:val="20"/>
        </w:rPr>
        <w:t xml:space="preserve"> </w:t>
      </w:r>
      <w:r w:rsidRPr="003D4161">
        <w:rPr>
          <w:rFonts w:ascii="Arial" w:hAnsi="Arial" w:cs="Arial"/>
          <w:i/>
          <w:iCs/>
          <w:sz w:val="20"/>
          <w:szCs w:val="20"/>
        </w:rPr>
        <w:t xml:space="preserve">J. Anim. Sci., </w:t>
      </w:r>
      <w:r w:rsidRPr="003D4161">
        <w:rPr>
          <w:rFonts w:ascii="Arial" w:hAnsi="Arial" w:cs="Arial"/>
          <w:sz w:val="20"/>
          <w:szCs w:val="20"/>
        </w:rPr>
        <w:t>19(6): 845-851.</w:t>
      </w:r>
    </w:p>
    <w:p w14:paraId="61B16EBF"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Giannenas</w:t>
      </w:r>
      <w:proofErr w:type="spellEnd"/>
      <w:r w:rsidRPr="003D4161">
        <w:rPr>
          <w:rFonts w:ascii="Arial" w:hAnsi="Arial" w:cs="Arial"/>
          <w:sz w:val="20"/>
          <w:szCs w:val="20"/>
        </w:rPr>
        <w:t xml:space="preserve">, I., Pappas, S., Mavridis, G., Kontopidis, G., Skoufos, I. and </w:t>
      </w:r>
      <w:proofErr w:type="spellStart"/>
      <w:r w:rsidRPr="003D4161">
        <w:rPr>
          <w:rFonts w:ascii="Arial" w:hAnsi="Arial" w:cs="Arial"/>
          <w:sz w:val="20"/>
          <w:szCs w:val="20"/>
        </w:rPr>
        <w:t>Kyriazakis</w:t>
      </w:r>
      <w:proofErr w:type="spellEnd"/>
      <w:r w:rsidRPr="003D4161">
        <w:rPr>
          <w:rFonts w:ascii="Arial" w:hAnsi="Arial" w:cs="Arial"/>
          <w:sz w:val="20"/>
          <w:szCs w:val="20"/>
        </w:rPr>
        <w:t xml:space="preserve">, I. 2010. Performance and antioxidant status of broiler chickens supplemented with dried mushrooms </w:t>
      </w:r>
      <w:r w:rsidRPr="003D4161">
        <w:rPr>
          <w:rFonts w:ascii="Arial" w:hAnsi="Arial" w:cs="Arial"/>
          <w:i/>
          <w:iCs/>
          <w:sz w:val="20"/>
          <w:szCs w:val="20"/>
        </w:rPr>
        <w:t>(Agaricus bisporus)</w:t>
      </w:r>
      <w:r w:rsidRPr="003D4161">
        <w:rPr>
          <w:rFonts w:ascii="Arial" w:hAnsi="Arial" w:cs="Arial"/>
          <w:sz w:val="20"/>
          <w:szCs w:val="20"/>
        </w:rPr>
        <w:t xml:space="preserve"> in their diet. </w:t>
      </w:r>
      <w:r w:rsidRPr="003D4161">
        <w:rPr>
          <w:rFonts w:ascii="Arial" w:hAnsi="Arial" w:cs="Arial"/>
          <w:i/>
          <w:iCs/>
          <w:sz w:val="20"/>
          <w:szCs w:val="20"/>
        </w:rPr>
        <w:t xml:space="preserve">Poult. Sci., </w:t>
      </w:r>
      <w:r w:rsidRPr="003D4161">
        <w:rPr>
          <w:rFonts w:ascii="Arial" w:hAnsi="Arial" w:cs="Arial"/>
          <w:sz w:val="20"/>
          <w:szCs w:val="20"/>
        </w:rPr>
        <w:t>89(2): 303-311.</w:t>
      </w:r>
    </w:p>
    <w:p w14:paraId="6EF287F3"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Giannenas</w:t>
      </w:r>
      <w:proofErr w:type="spellEnd"/>
      <w:r w:rsidRPr="003D4161">
        <w:rPr>
          <w:rFonts w:ascii="Arial" w:hAnsi="Arial" w:cs="Arial"/>
          <w:sz w:val="20"/>
          <w:szCs w:val="20"/>
        </w:rPr>
        <w:t xml:space="preserve">, I., </w:t>
      </w:r>
      <w:proofErr w:type="spellStart"/>
      <w:r w:rsidRPr="003D4161">
        <w:rPr>
          <w:rFonts w:ascii="Arial" w:hAnsi="Arial" w:cs="Arial"/>
          <w:sz w:val="20"/>
          <w:szCs w:val="20"/>
        </w:rPr>
        <w:t>Tsalie</w:t>
      </w:r>
      <w:proofErr w:type="spellEnd"/>
      <w:r w:rsidRPr="003D4161">
        <w:rPr>
          <w:rFonts w:ascii="Arial" w:hAnsi="Arial" w:cs="Arial"/>
          <w:sz w:val="20"/>
          <w:szCs w:val="20"/>
        </w:rPr>
        <w:t xml:space="preserve">, E., Chronis, E.F., Mavridis, S., Tontis, D. and </w:t>
      </w:r>
      <w:proofErr w:type="spellStart"/>
      <w:r w:rsidRPr="003D4161">
        <w:rPr>
          <w:rFonts w:ascii="Arial" w:hAnsi="Arial" w:cs="Arial"/>
          <w:sz w:val="20"/>
          <w:szCs w:val="20"/>
        </w:rPr>
        <w:t>Kyriazakis</w:t>
      </w:r>
      <w:proofErr w:type="spellEnd"/>
      <w:r w:rsidRPr="003D4161">
        <w:rPr>
          <w:rFonts w:ascii="Arial" w:hAnsi="Arial" w:cs="Arial"/>
          <w:sz w:val="20"/>
          <w:szCs w:val="20"/>
        </w:rPr>
        <w:t xml:space="preserve">, I. 2011. Consumption of </w:t>
      </w:r>
      <w:r w:rsidRPr="003D4161">
        <w:rPr>
          <w:rFonts w:ascii="Arial" w:hAnsi="Arial" w:cs="Arial"/>
          <w:i/>
          <w:iCs/>
          <w:sz w:val="20"/>
          <w:szCs w:val="20"/>
        </w:rPr>
        <w:t>Agaricus bisporus</w:t>
      </w:r>
      <w:r w:rsidRPr="003D4161">
        <w:rPr>
          <w:rFonts w:ascii="Arial" w:hAnsi="Arial" w:cs="Arial"/>
          <w:sz w:val="20"/>
          <w:szCs w:val="20"/>
        </w:rPr>
        <w:t xml:space="preserve"> mushroom affects the performance, intestinal microbiota composition and morphology, and antioxidant status of turkey poults. </w:t>
      </w:r>
      <w:r w:rsidRPr="003D4161">
        <w:rPr>
          <w:rFonts w:ascii="Arial" w:hAnsi="Arial" w:cs="Arial"/>
          <w:i/>
          <w:iCs/>
          <w:sz w:val="20"/>
          <w:szCs w:val="20"/>
        </w:rPr>
        <w:t>Anim. Feed Sci. Technol.,</w:t>
      </w:r>
      <w:r w:rsidRPr="003D4161">
        <w:rPr>
          <w:rFonts w:ascii="Arial" w:hAnsi="Arial" w:cs="Arial"/>
          <w:sz w:val="20"/>
          <w:szCs w:val="20"/>
        </w:rPr>
        <w:t xml:space="preserve"> 165(3-4): 218-229.</w:t>
      </w:r>
    </w:p>
    <w:p w14:paraId="69566B1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Guo, F.C., </w:t>
      </w:r>
      <w:proofErr w:type="spellStart"/>
      <w:r w:rsidRPr="003D4161">
        <w:rPr>
          <w:rFonts w:ascii="Arial" w:hAnsi="Arial" w:cs="Arial"/>
          <w:sz w:val="20"/>
          <w:szCs w:val="20"/>
        </w:rPr>
        <w:t>Savelkoul</w:t>
      </w:r>
      <w:proofErr w:type="spellEnd"/>
      <w:r w:rsidRPr="003D4161">
        <w:rPr>
          <w:rFonts w:ascii="Arial" w:hAnsi="Arial" w:cs="Arial"/>
          <w:sz w:val="20"/>
          <w:szCs w:val="20"/>
        </w:rPr>
        <w:t xml:space="preserve">, H.F.J., </w:t>
      </w:r>
      <w:proofErr w:type="spellStart"/>
      <w:r w:rsidRPr="003D4161">
        <w:rPr>
          <w:rFonts w:ascii="Arial" w:hAnsi="Arial" w:cs="Arial"/>
          <w:sz w:val="20"/>
          <w:szCs w:val="20"/>
        </w:rPr>
        <w:t>Kwakkel</w:t>
      </w:r>
      <w:proofErr w:type="spellEnd"/>
      <w:r w:rsidRPr="003D4161">
        <w:rPr>
          <w:rFonts w:ascii="Arial" w:hAnsi="Arial" w:cs="Arial"/>
          <w:sz w:val="20"/>
          <w:szCs w:val="20"/>
        </w:rPr>
        <w:t xml:space="preserve">, R.P., Williams, B.A. and Verstegen, M.W.A. 2003. </w:t>
      </w:r>
      <w:proofErr w:type="spellStart"/>
      <w:r w:rsidRPr="003D4161">
        <w:rPr>
          <w:rFonts w:ascii="Arial" w:hAnsi="Arial" w:cs="Arial"/>
          <w:sz w:val="20"/>
          <w:szCs w:val="20"/>
        </w:rPr>
        <w:t>Immunoactive</w:t>
      </w:r>
      <w:proofErr w:type="spellEnd"/>
      <w:r w:rsidRPr="003D4161">
        <w:rPr>
          <w:rFonts w:ascii="Arial" w:hAnsi="Arial" w:cs="Arial"/>
          <w:sz w:val="20"/>
          <w:szCs w:val="20"/>
        </w:rPr>
        <w:t xml:space="preserve">, medicinal properties of mushroom and herb polysaccharides and their potential use in chicken diets. </w:t>
      </w:r>
      <w:r w:rsidRPr="003D4161">
        <w:rPr>
          <w:rFonts w:ascii="Arial" w:hAnsi="Arial" w:cs="Arial"/>
          <w:i/>
          <w:iCs/>
          <w:sz w:val="20"/>
          <w:szCs w:val="20"/>
        </w:rPr>
        <w:t>World's Poult. Sci. J.,</w:t>
      </w:r>
      <w:r w:rsidRPr="003D4161">
        <w:rPr>
          <w:rFonts w:ascii="Arial" w:hAnsi="Arial" w:cs="Arial"/>
          <w:sz w:val="20"/>
          <w:szCs w:val="20"/>
        </w:rPr>
        <w:t xml:space="preserve"> 59(4): 427-440.</w:t>
      </w:r>
    </w:p>
    <w:p w14:paraId="33563355"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Kim, M.Y., Lee, S.J., Ahn, J.K., Kim, E.H., Kim, M.J., Kim, S.L., Moon, H.L., Ro, H.M., Kang, E.Y. and Seo, S.H. 2009. Comparison of free amino acid, carbohydrates concentrations in Korean edible and medicinal mushrooms. </w:t>
      </w:r>
      <w:r w:rsidRPr="003D4161">
        <w:rPr>
          <w:rFonts w:ascii="Arial" w:hAnsi="Arial" w:cs="Arial"/>
          <w:i/>
          <w:iCs/>
          <w:sz w:val="20"/>
          <w:szCs w:val="20"/>
        </w:rPr>
        <w:t>Food Chem.,</w:t>
      </w:r>
      <w:r w:rsidRPr="003D4161">
        <w:rPr>
          <w:rFonts w:ascii="Arial" w:hAnsi="Arial" w:cs="Arial"/>
          <w:sz w:val="20"/>
          <w:szCs w:val="20"/>
        </w:rPr>
        <w:t xml:space="preserve"> 113(2): 386-393.</w:t>
      </w:r>
    </w:p>
    <w:p w14:paraId="22717A5A" w14:textId="766FA4EF" w:rsidR="00164F5D" w:rsidRPr="00164F5D" w:rsidRDefault="00164F5D" w:rsidP="000004F3">
      <w:pPr>
        <w:spacing w:line="360" w:lineRule="auto"/>
        <w:ind w:left="720" w:hanging="720"/>
        <w:jc w:val="both"/>
        <w:rPr>
          <w:rFonts w:ascii="Arial" w:hAnsi="Arial" w:cs="Arial"/>
          <w:sz w:val="20"/>
          <w:szCs w:val="20"/>
        </w:rPr>
      </w:pPr>
      <w:proofErr w:type="gramStart"/>
      <w:r w:rsidRPr="00164F5D">
        <w:rPr>
          <w:rFonts w:ascii="Arial" w:hAnsi="Arial" w:cs="Arial"/>
          <w:sz w:val="20"/>
          <w:szCs w:val="20"/>
          <w:lang w:val="en-GB"/>
        </w:rPr>
        <w:t>Kumar ,</w:t>
      </w:r>
      <w:proofErr w:type="gramEnd"/>
      <w:r w:rsidRPr="00164F5D">
        <w:rPr>
          <w:rFonts w:ascii="Arial" w:hAnsi="Arial" w:cs="Arial"/>
          <w:sz w:val="20"/>
          <w:szCs w:val="20"/>
          <w:lang w:val="en-GB"/>
        </w:rPr>
        <w:t xml:space="preserve"> K., Kumar , S., Kumar , V., Prakash , V., Singh , S., Singh , B., &amp; Rout , S. (2023). Performance of Broiler Chickens Supplemented with Dried Mushroom in Their Diet. </w:t>
      </w:r>
      <w:r w:rsidRPr="00164F5D">
        <w:rPr>
          <w:rFonts w:ascii="Arial" w:hAnsi="Arial" w:cs="Arial"/>
          <w:i/>
          <w:iCs/>
          <w:sz w:val="20"/>
          <w:szCs w:val="20"/>
          <w:lang w:val="en-GB"/>
        </w:rPr>
        <w:t xml:space="preserve">International Journal of Environment and Climate Change, </w:t>
      </w:r>
      <w:r w:rsidRPr="00164F5D">
        <w:rPr>
          <w:rFonts w:ascii="Arial" w:hAnsi="Arial" w:cs="Arial"/>
          <w:sz w:val="20"/>
          <w:szCs w:val="20"/>
          <w:lang w:val="en-GB"/>
        </w:rPr>
        <w:t>13(9), 356–364.</w:t>
      </w:r>
    </w:p>
    <w:p w14:paraId="0CFC1AA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Lin, Q.Y., Long, L.K., Zhuang, Z.H., Wu, L.L., Wu, S.L. and Zhang, W.M. 2018. Antioxidant activity of water extract from fermented mycelia of </w:t>
      </w:r>
      <w:r w:rsidRPr="003D4161">
        <w:rPr>
          <w:rFonts w:ascii="Arial" w:hAnsi="Arial" w:cs="Arial"/>
          <w:i/>
          <w:iCs/>
          <w:sz w:val="20"/>
          <w:szCs w:val="20"/>
        </w:rPr>
        <w:t xml:space="preserve">Cordyceps </w:t>
      </w:r>
      <w:proofErr w:type="spellStart"/>
      <w:r w:rsidRPr="003D4161">
        <w:rPr>
          <w:rFonts w:ascii="Arial" w:hAnsi="Arial" w:cs="Arial"/>
          <w:i/>
          <w:iCs/>
          <w:sz w:val="20"/>
          <w:szCs w:val="20"/>
        </w:rPr>
        <w:t>sobolifera</w:t>
      </w:r>
      <w:proofErr w:type="spellEnd"/>
      <w:r w:rsidRPr="003D4161">
        <w:rPr>
          <w:rFonts w:ascii="Arial" w:hAnsi="Arial" w:cs="Arial"/>
          <w:sz w:val="20"/>
          <w:szCs w:val="20"/>
        </w:rPr>
        <w:t xml:space="preserve"> (Ascomycetes) in </w:t>
      </w:r>
      <w:r w:rsidRPr="003D4161">
        <w:rPr>
          <w:rFonts w:ascii="Arial" w:hAnsi="Arial" w:cs="Arial"/>
          <w:i/>
          <w:iCs/>
          <w:sz w:val="20"/>
          <w:szCs w:val="20"/>
        </w:rPr>
        <w:t>Caenorhabditis elegans.</w:t>
      </w:r>
      <w:r w:rsidRPr="003D4161">
        <w:rPr>
          <w:rFonts w:ascii="Arial" w:hAnsi="Arial" w:cs="Arial"/>
          <w:sz w:val="20"/>
          <w:szCs w:val="20"/>
        </w:rPr>
        <w:t xml:space="preserve"> </w:t>
      </w:r>
      <w:r w:rsidRPr="003D4161">
        <w:rPr>
          <w:rFonts w:ascii="Arial" w:hAnsi="Arial" w:cs="Arial"/>
          <w:i/>
          <w:iCs/>
          <w:sz w:val="20"/>
          <w:szCs w:val="20"/>
        </w:rPr>
        <w:t>Int. J. Med. Mushrooms</w:t>
      </w:r>
      <w:r w:rsidRPr="003D4161">
        <w:rPr>
          <w:rFonts w:ascii="Arial" w:hAnsi="Arial" w:cs="Arial"/>
          <w:sz w:val="20"/>
          <w:szCs w:val="20"/>
        </w:rPr>
        <w:t>, 20: 61-70.</w:t>
      </w:r>
    </w:p>
    <w:p w14:paraId="3E9712D2"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Maheri</w:t>
      </w:r>
      <w:proofErr w:type="spellEnd"/>
      <w:r w:rsidRPr="003D4161">
        <w:rPr>
          <w:rFonts w:ascii="Arial" w:hAnsi="Arial" w:cs="Arial"/>
          <w:sz w:val="20"/>
          <w:szCs w:val="20"/>
        </w:rPr>
        <w:t xml:space="preserve">, N., Shahryar, H.A. and </w:t>
      </w:r>
      <w:proofErr w:type="spellStart"/>
      <w:r w:rsidRPr="003D4161">
        <w:rPr>
          <w:rFonts w:ascii="Arial" w:hAnsi="Arial" w:cs="Arial"/>
          <w:sz w:val="20"/>
          <w:szCs w:val="20"/>
        </w:rPr>
        <w:t>Dizaji</w:t>
      </w:r>
      <w:proofErr w:type="spellEnd"/>
      <w:r w:rsidRPr="003D4161">
        <w:rPr>
          <w:rFonts w:ascii="Arial" w:hAnsi="Arial" w:cs="Arial"/>
          <w:sz w:val="20"/>
          <w:szCs w:val="20"/>
        </w:rPr>
        <w:t xml:space="preserve">, A.A. 2017. Effect of levels of oyster mushroom </w:t>
      </w:r>
      <w:r w:rsidRPr="003D4161">
        <w:rPr>
          <w:rFonts w:ascii="Arial" w:hAnsi="Arial" w:cs="Arial"/>
          <w:i/>
          <w:iCs/>
          <w:sz w:val="20"/>
          <w:szCs w:val="20"/>
        </w:rPr>
        <w:t>(Pleurotus ostreatus)</w:t>
      </w:r>
      <w:r w:rsidRPr="003D4161">
        <w:rPr>
          <w:rFonts w:ascii="Arial" w:hAnsi="Arial" w:cs="Arial"/>
          <w:sz w:val="20"/>
          <w:szCs w:val="20"/>
        </w:rPr>
        <w:t xml:space="preserve"> on performance and blood biochemical characteristics in Japanese quails </w:t>
      </w:r>
      <w:r w:rsidRPr="003D4161">
        <w:rPr>
          <w:rFonts w:ascii="Arial" w:hAnsi="Arial" w:cs="Arial"/>
          <w:i/>
          <w:iCs/>
          <w:sz w:val="20"/>
          <w:szCs w:val="20"/>
        </w:rPr>
        <w:t>(Coturnix coturnix)</w:t>
      </w:r>
      <w:r w:rsidRPr="003D4161">
        <w:rPr>
          <w:rFonts w:ascii="Arial" w:hAnsi="Arial" w:cs="Arial"/>
          <w:sz w:val="20"/>
          <w:szCs w:val="20"/>
        </w:rPr>
        <w:t xml:space="preserve">. </w:t>
      </w:r>
      <w:r w:rsidRPr="003D4161">
        <w:rPr>
          <w:rFonts w:ascii="Arial" w:hAnsi="Arial" w:cs="Arial"/>
          <w:i/>
          <w:iCs/>
          <w:sz w:val="20"/>
          <w:szCs w:val="20"/>
        </w:rPr>
        <w:t>Iranian J. Appl. Anim. Sci.,</w:t>
      </w:r>
      <w:r w:rsidRPr="003D4161">
        <w:rPr>
          <w:rFonts w:ascii="Arial" w:hAnsi="Arial" w:cs="Arial"/>
          <w:sz w:val="20"/>
          <w:szCs w:val="20"/>
        </w:rPr>
        <w:t xml:space="preserve"> 19: 687-691.</w:t>
      </w:r>
    </w:p>
    <w:p w14:paraId="44B9C4D3"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lastRenderedPageBreak/>
        <w:t xml:space="preserve">Mahfuz, S., Song, H., Miao, Y. and Liu, Z. 2019. Dietary inclusion of mushroom </w:t>
      </w:r>
      <w:r w:rsidRPr="003D4161">
        <w:rPr>
          <w:rFonts w:ascii="Arial" w:hAnsi="Arial" w:cs="Arial"/>
          <w:i/>
          <w:iCs/>
          <w:sz w:val="20"/>
          <w:szCs w:val="20"/>
        </w:rPr>
        <w:t>(</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i/>
          <w:iCs/>
          <w:sz w:val="20"/>
          <w:szCs w:val="20"/>
        </w:rPr>
        <w:t>)</w:t>
      </w:r>
      <w:r w:rsidRPr="003D4161">
        <w:rPr>
          <w:rFonts w:ascii="Arial" w:hAnsi="Arial" w:cs="Arial"/>
          <w:sz w:val="20"/>
          <w:szCs w:val="20"/>
        </w:rPr>
        <w:t xml:space="preserve"> stem waste on growth performance and immune responses in growing layer hens. </w:t>
      </w:r>
      <w:r w:rsidRPr="003D4161">
        <w:rPr>
          <w:rFonts w:ascii="Arial" w:hAnsi="Arial" w:cs="Arial"/>
          <w:i/>
          <w:iCs/>
          <w:sz w:val="20"/>
          <w:szCs w:val="20"/>
        </w:rPr>
        <w:t>J. Sci. Food Agric</w:t>
      </w:r>
      <w:r w:rsidRPr="003D4161">
        <w:rPr>
          <w:rFonts w:ascii="Arial" w:hAnsi="Arial" w:cs="Arial"/>
          <w:sz w:val="20"/>
          <w:szCs w:val="20"/>
        </w:rPr>
        <w:t>., 99(2): 703-710.</w:t>
      </w:r>
    </w:p>
    <w:p w14:paraId="25C0B7E2"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Mutlag</w:t>
      </w:r>
      <w:proofErr w:type="spellEnd"/>
      <w:r w:rsidRPr="003D4161">
        <w:rPr>
          <w:rFonts w:ascii="Arial" w:hAnsi="Arial" w:cs="Arial"/>
          <w:sz w:val="20"/>
          <w:szCs w:val="20"/>
        </w:rPr>
        <w:t xml:space="preserve">, N. H., Al-Shukri, A. Y. and Hussein, A. M. 2017. Assessment of the addition of oyster mushroom </w:t>
      </w:r>
      <w:r w:rsidRPr="003D4161">
        <w:rPr>
          <w:rFonts w:ascii="Arial" w:hAnsi="Arial" w:cs="Arial"/>
          <w:i/>
          <w:iCs/>
          <w:sz w:val="20"/>
          <w:szCs w:val="20"/>
        </w:rPr>
        <w:t>(Pleurotus ostreatus)</w:t>
      </w:r>
      <w:r w:rsidRPr="003D4161">
        <w:rPr>
          <w:rFonts w:ascii="Arial" w:hAnsi="Arial" w:cs="Arial"/>
          <w:sz w:val="20"/>
          <w:szCs w:val="20"/>
        </w:rPr>
        <w:t xml:space="preserve"> on the weights sectors ratios and giblets weight of broiler chicken and microbial contents. </w:t>
      </w:r>
      <w:proofErr w:type="spellStart"/>
      <w:r w:rsidRPr="003D4161">
        <w:rPr>
          <w:rFonts w:ascii="Arial" w:hAnsi="Arial" w:cs="Arial"/>
          <w:i/>
          <w:iCs/>
          <w:sz w:val="20"/>
          <w:szCs w:val="20"/>
        </w:rPr>
        <w:t>Biochem</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Cell.Arch</w:t>
      </w:r>
      <w:proofErr w:type="spellEnd"/>
      <w:r w:rsidRPr="003D4161">
        <w:rPr>
          <w:rFonts w:ascii="Arial" w:hAnsi="Arial" w:cs="Arial"/>
          <w:i/>
          <w:iCs/>
          <w:sz w:val="20"/>
          <w:szCs w:val="20"/>
        </w:rPr>
        <w:t>.,</w:t>
      </w:r>
      <w:r w:rsidRPr="003D4161">
        <w:rPr>
          <w:rFonts w:ascii="Arial" w:hAnsi="Arial" w:cs="Arial"/>
          <w:sz w:val="20"/>
          <w:szCs w:val="20"/>
        </w:rPr>
        <w:t xml:space="preserve"> 17: 739-743.</w:t>
      </w:r>
    </w:p>
    <w:p w14:paraId="6D5B1BC9"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Natsir, M.H., Sjofjan, O. and </w:t>
      </w:r>
      <w:proofErr w:type="spellStart"/>
      <w:r w:rsidRPr="003D4161">
        <w:rPr>
          <w:rFonts w:ascii="Arial" w:hAnsi="Arial" w:cs="Arial"/>
          <w:sz w:val="20"/>
          <w:szCs w:val="20"/>
        </w:rPr>
        <w:t>Ardyansyah</w:t>
      </w:r>
      <w:proofErr w:type="spellEnd"/>
      <w:r w:rsidRPr="003D4161">
        <w:rPr>
          <w:rFonts w:ascii="Arial" w:hAnsi="Arial" w:cs="Arial"/>
          <w:sz w:val="20"/>
          <w:szCs w:val="20"/>
        </w:rPr>
        <w:t xml:space="preserve">, R.H. 2020. Effect of dietary </w:t>
      </w:r>
      <w:r w:rsidRPr="003D4161">
        <w:rPr>
          <w:rFonts w:ascii="Arial" w:hAnsi="Arial" w:cs="Arial"/>
          <w:i/>
          <w:iCs/>
          <w:sz w:val="20"/>
          <w:szCs w:val="20"/>
        </w:rPr>
        <w:t>Agaricus bisporus</w:t>
      </w:r>
      <w:r w:rsidRPr="003D4161">
        <w:rPr>
          <w:rFonts w:ascii="Arial" w:hAnsi="Arial" w:cs="Arial"/>
          <w:sz w:val="20"/>
          <w:szCs w:val="20"/>
        </w:rPr>
        <w:t xml:space="preserve"> and </w:t>
      </w:r>
      <w:r w:rsidRPr="003D4161">
        <w:rPr>
          <w:rFonts w:ascii="Arial" w:hAnsi="Arial" w:cs="Arial"/>
          <w:i/>
          <w:iCs/>
          <w:sz w:val="20"/>
          <w:szCs w:val="20"/>
        </w:rPr>
        <w:t>Auricularia auricula</w:t>
      </w:r>
      <w:r w:rsidRPr="003D4161">
        <w:rPr>
          <w:rFonts w:ascii="Arial" w:hAnsi="Arial" w:cs="Arial"/>
          <w:sz w:val="20"/>
          <w:szCs w:val="20"/>
        </w:rPr>
        <w:t xml:space="preserve"> crude extract supplementation on carcass quality of broiler. </w:t>
      </w:r>
      <w:r w:rsidRPr="003D4161">
        <w:rPr>
          <w:rFonts w:ascii="Arial" w:hAnsi="Arial" w:cs="Arial"/>
          <w:i/>
          <w:iCs/>
          <w:sz w:val="20"/>
          <w:szCs w:val="20"/>
        </w:rPr>
        <w:t xml:space="preserve">J. </w:t>
      </w:r>
      <w:proofErr w:type="spellStart"/>
      <w:r w:rsidRPr="003D4161">
        <w:rPr>
          <w:rFonts w:ascii="Arial" w:hAnsi="Arial" w:cs="Arial"/>
          <w:i/>
          <w:iCs/>
          <w:sz w:val="20"/>
          <w:szCs w:val="20"/>
        </w:rPr>
        <w:t>Ilmu</w:t>
      </w:r>
      <w:proofErr w:type="spellEnd"/>
      <w:r w:rsidRPr="003D4161">
        <w:rPr>
          <w:rFonts w:ascii="Arial" w:hAnsi="Arial" w:cs="Arial"/>
          <w:i/>
          <w:iCs/>
          <w:sz w:val="20"/>
          <w:szCs w:val="20"/>
        </w:rPr>
        <w:t xml:space="preserve"> dan </w:t>
      </w:r>
      <w:proofErr w:type="spellStart"/>
      <w:r w:rsidRPr="003D4161">
        <w:rPr>
          <w:rFonts w:ascii="Arial" w:hAnsi="Arial" w:cs="Arial"/>
          <w:i/>
          <w:iCs/>
          <w:sz w:val="20"/>
          <w:szCs w:val="20"/>
        </w:rPr>
        <w:t>Teknol</w:t>
      </w:r>
      <w:proofErr w:type="spellEnd"/>
      <w:r w:rsidRPr="003D4161">
        <w:rPr>
          <w:rFonts w:ascii="Arial" w:hAnsi="Arial" w:cs="Arial"/>
          <w:i/>
          <w:iCs/>
          <w:sz w:val="20"/>
          <w:szCs w:val="20"/>
        </w:rPr>
        <w:t>. Hasil Ternak,</w:t>
      </w:r>
      <w:r w:rsidRPr="003D4161">
        <w:rPr>
          <w:rFonts w:ascii="Arial" w:hAnsi="Arial" w:cs="Arial"/>
          <w:sz w:val="20"/>
          <w:szCs w:val="20"/>
        </w:rPr>
        <w:t xml:space="preserve"> 15: 183-193.</w:t>
      </w:r>
    </w:p>
    <w:p w14:paraId="02029157" w14:textId="03FB40E5" w:rsidR="0041579D" w:rsidRPr="003D4161" w:rsidRDefault="0041579D" w:rsidP="000004F3">
      <w:pPr>
        <w:spacing w:line="360" w:lineRule="auto"/>
        <w:ind w:left="720" w:hanging="720"/>
        <w:jc w:val="both"/>
        <w:rPr>
          <w:rFonts w:ascii="Arial" w:hAnsi="Arial" w:cs="Arial"/>
          <w:sz w:val="20"/>
          <w:szCs w:val="20"/>
        </w:rPr>
      </w:pPr>
      <w:r w:rsidRPr="0041579D">
        <w:rPr>
          <w:rFonts w:ascii="Arial" w:hAnsi="Arial" w:cs="Arial"/>
          <w:sz w:val="20"/>
          <w:szCs w:val="20"/>
        </w:rPr>
        <w:t xml:space="preserve">Nanda Kuppan, P., Suresh, A., and Kumar, A. 2024. Growth dynamics and export potential of India's poultry sector: A comprehensive analysis. </w:t>
      </w:r>
      <w:r w:rsidRPr="0041579D">
        <w:rPr>
          <w:rFonts w:ascii="Arial" w:hAnsi="Arial" w:cs="Arial"/>
          <w:i/>
          <w:iCs/>
          <w:sz w:val="20"/>
          <w:szCs w:val="20"/>
        </w:rPr>
        <w:t>Indian Journal of Agricultural Economics</w:t>
      </w:r>
      <w:r w:rsidRPr="0041579D">
        <w:rPr>
          <w:rFonts w:ascii="Arial" w:hAnsi="Arial" w:cs="Arial"/>
          <w:sz w:val="20"/>
          <w:szCs w:val="20"/>
        </w:rPr>
        <w:t>, 79(1): 45–58.</w:t>
      </w:r>
    </w:p>
    <w:p w14:paraId="5B45E12F"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Pourhossein</w:t>
      </w:r>
      <w:proofErr w:type="spellEnd"/>
      <w:r w:rsidRPr="003D4161">
        <w:rPr>
          <w:rFonts w:ascii="Arial" w:hAnsi="Arial" w:cs="Arial"/>
          <w:sz w:val="20"/>
          <w:szCs w:val="20"/>
        </w:rPr>
        <w:t xml:space="preserve">, Z., </w:t>
      </w:r>
      <w:proofErr w:type="spellStart"/>
      <w:r w:rsidRPr="003D4161">
        <w:rPr>
          <w:rFonts w:ascii="Arial" w:hAnsi="Arial" w:cs="Arial"/>
          <w:sz w:val="20"/>
          <w:szCs w:val="20"/>
        </w:rPr>
        <w:t>Qotbi</w:t>
      </w:r>
      <w:proofErr w:type="spellEnd"/>
      <w:r w:rsidRPr="003D4161">
        <w:rPr>
          <w:rFonts w:ascii="Arial" w:hAnsi="Arial" w:cs="Arial"/>
          <w:sz w:val="20"/>
          <w:szCs w:val="20"/>
        </w:rPr>
        <w:t xml:space="preserve">, A. A., </w:t>
      </w:r>
      <w:proofErr w:type="spellStart"/>
      <w:r w:rsidRPr="003D4161">
        <w:rPr>
          <w:rFonts w:ascii="Arial" w:hAnsi="Arial" w:cs="Arial"/>
          <w:sz w:val="20"/>
          <w:szCs w:val="20"/>
        </w:rPr>
        <w:t>Seidavi</w:t>
      </w:r>
      <w:proofErr w:type="spellEnd"/>
      <w:r w:rsidRPr="003D4161">
        <w:rPr>
          <w:rFonts w:ascii="Arial" w:hAnsi="Arial" w:cs="Arial"/>
          <w:sz w:val="20"/>
          <w:szCs w:val="20"/>
        </w:rPr>
        <w:t xml:space="preserve">, A., Laudadio, V., </w:t>
      </w:r>
      <w:proofErr w:type="spellStart"/>
      <w:r w:rsidRPr="003D4161">
        <w:rPr>
          <w:rFonts w:ascii="Arial" w:hAnsi="Arial" w:cs="Arial"/>
          <w:sz w:val="20"/>
          <w:szCs w:val="20"/>
        </w:rPr>
        <w:t>Centoducati</w:t>
      </w:r>
      <w:proofErr w:type="spellEnd"/>
      <w:r w:rsidRPr="003D4161">
        <w:rPr>
          <w:rFonts w:ascii="Arial" w:hAnsi="Arial" w:cs="Arial"/>
          <w:sz w:val="20"/>
          <w:szCs w:val="20"/>
        </w:rPr>
        <w:t xml:space="preserve">, G. and Tufarelli, V. 2015. Effect of different levels of dietary sweet orange </w:t>
      </w:r>
      <w:r w:rsidRPr="003D4161">
        <w:rPr>
          <w:rFonts w:ascii="Arial" w:hAnsi="Arial" w:cs="Arial"/>
          <w:i/>
          <w:iCs/>
          <w:sz w:val="20"/>
          <w:szCs w:val="20"/>
        </w:rPr>
        <w:t>(Citrus sinensis)</w:t>
      </w:r>
      <w:r w:rsidRPr="003D4161">
        <w:rPr>
          <w:rFonts w:ascii="Arial" w:hAnsi="Arial" w:cs="Arial"/>
          <w:sz w:val="20"/>
          <w:szCs w:val="20"/>
        </w:rPr>
        <w:t xml:space="preserve"> peel extract on humoral immune system responses in broiler chickens. </w:t>
      </w:r>
      <w:r w:rsidRPr="003D4161">
        <w:rPr>
          <w:rFonts w:ascii="Arial" w:hAnsi="Arial" w:cs="Arial"/>
          <w:i/>
          <w:iCs/>
          <w:sz w:val="20"/>
          <w:szCs w:val="20"/>
        </w:rPr>
        <w:t>Anim. Sci. J.,</w:t>
      </w:r>
      <w:r w:rsidRPr="003D4161">
        <w:rPr>
          <w:rFonts w:ascii="Arial" w:hAnsi="Arial" w:cs="Arial"/>
          <w:sz w:val="20"/>
          <w:szCs w:val="20"/>
        </w:rPr>
        <w:t xml:space="preserve"> 86: 105-110.</w:t>
      </w:r>
    </w:p>
    <w:p w14:paraId="22DCA8F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Prasad, S. 2022. Effect of replacing </w:t>
      </w:r>
      <w:proofErr w:type="spellStart"/>
      <w:r w:rsidRPr="003D4161">
        <w:rPr>
          <w:rFonts w:ascii="Arial" w:hAnsi="Arial" w:cs="Arial"/>
          <w:sz w:val="20"/>
          <w:szCs w:val="20"/>
        </w:rPr>
        <w:t>deoiled</w:t>
      </w:r>
      <w:proofErr w:type="spellEnd"/>
      <w:r w:rsidRPr="003D4161">
        <w:rPr>
          <w:rFonts w:ascii="Arial" w:hAnsi="Arial" w:cs="Arial"/>
          <w:sz w:val="20"/>
          <w:szCs w:val="20"/>
        </w:rPr>
        <w:t xml:space="preserve"> rice bran with mushroom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bisphorus</w:t>
      </w:r>
      <w:proofErr w:type="spellEnd"/>
      <w:r w:rsidRPr="003D4161">
        <w:rPr>
          <w:rFonts w:ascii="Arial" w:hAnsi="Arial" w:cs="Arial"/>
          <w:i/>
          <w:iCs/>
          <w:sz w:val="20"/>
          <w:szCs w:val="20"/>
        </w:rPr>
        <w:t>)</w:t>
      </w:r>
      <w:r w:rsidRPr="003D4161">
        <w:rPr>
          <w:rFonts w:ascii="Arial" w:hAnsi="Arial" w:cs="Arial"/>
          <w:sz w:val="20"/>
          <w:szCs w:val="20"/>
        </w:rPr>
        <w:t xml:space="preserve"> waste on the performance of Rhode Island Red Laying Hens. Thesis, </w:t>
      </w:r>
      <w:proofErr w:type="spellStart"/>
      <w:r w:rsidRPr="003D4161">
        <w:rPr>
          <w:rFonts w:ascii="Arial" w:hAnsi="Arial" w:cs="Arial"/>
          <w:sz w:val="20"/>
          <w:szCs w:val="20"/>
        </w:rPr>
        <w:t>M.V.Sc</w:t>
      </w:r>
      <w:proofErr w:type="spellEnd"/>
      <w:r w:rsidRPr="003D4161">
        <w:rPr>
          <w:rFonts w:ascii="Arial" w:hAnsi="Arial" w:cs="Arial"/>
          <w:sz w:val="20"/>
          <w:szCs w:val="20"/>
        </w:rPr>
        <w:t xml:space="preserve">., G.B. Pant University of Agriculture and Technology, </w:t>
      </w:r>
      <w:proofErr w:type="spellStart"/>
      <w:r w:rsidRPr="003D4161">
        <w:rPr>
          <w:rFonts w:ascii="Arial" w:hAnsi="Arial" w:cs="Arial"/>
          <w:sz w:val="20"/>
          <w:szCs w:val="20"/>
        </w:rPr>
        <w:t>Pantnagar</w:t>
      </w:r>
      <w:proofErr w:type="spellEnd"/>
      <w:r w:rsidRPr="003D4161">
        <w:rPr>
          <w:rFonts w:ascii="Arial" w:hAnsi="Arial" w:cs="Arial"/>
          <w:sz w:val="20"/>
          <w:szCs w:val="20"/>
        </w:rPr>
        <w:t>, Uttarakhand, India, 104 p.</w:t>
      </w:r>
    </w:p>
    <w:p w14:paraId="064A9387"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Qaisrani, S.N., Abbas, G., Khan, S.H., Yousaf, M.S. and Ashraf, M. 2021. Effect of feeding different levels of mushroom spent substrate on growth performance, carcass traits, immune status, and serum biochemistry of broilers. </w:t>
      </w:r>
      <w:r w:rsidRPr="003D4161">
        <w:rPr>
          <w:rFonts w:ascii="Arial" w:hAnsi="Arial" w:cs="Arial"/>
          <w:i/>
          <w:iCs/>
          <w:sz w:val="20"/>
          <w:szCs w:val="20"/>
        </w:rPr>
        <w:t>J. Appl. Poult. Res.,</w:t>
      </w:r>
      <w:r w:rsidRPr="003D4161">
        <w:rPr>
          <w:rFonts w:ascii="Arial" w:hAnsi="Arial" w:cs="Arial"/>
          <w:sz w:val="20"/>
          <w:szCs w:val="20"/>
        </w:rPr>
        <w:t xml:space="preserve"> 30(4): 101-112.</w:t>
      </w:r>
    </w:p>
    <w:p w14:paraId="760A5152"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Ram, U., and Ram, F. 2021. Demographic transition in India: insights into population growth, composition, and its major drivers. </w:t>
      </w:r>
      <w:r w:rsidRPr="003D4161">
        <w:rPr>
          <w:rFonts w:ascii="Arial" w:hAnsi="Arial" w:cs="Arial"/>
          <w:i/>
          <w:iCs/>
          <w:sz w:val="20"/>
          <w:szCs w:val="20"/>
        </w:rPr>
        <w:t xml:space="preserve">In Oxford Research </w:t>
      </w:r>
      <w:proofErr w:type="spellStart"/>
      <w:r w:rsidRPr="003D4161">
        <w:rPr>
          <w:rFonts w:ascii="Arial" w:hAnsi="Arial" w:cs="Arial"/>
          <w:i/>
          <w:iCs/>
          <w:sz w:val="20"/>
          <w:szCs w:val="20"/>
        </w:rPr>
        <w:t>Encyclopedia</w:t>
      </w:r>
      <w:proofErr w:type="spellEnd"/>
      <w:r w:rsidRPr="003D4161">
        <w:rPr>
          <w:rFonts w:ascii="Arial" w:hAnsi="Arial" w:cs="Arial"/>
          <w:i/>
          <w:iCs/>
          <w:sz w:val="20"/>
          <w:szCs w:val="20"/>
        </w:rPr>
        <w:t xml:space="preserve"> of Global Public Health.</w:t>
      </w:r>
    </w:p>
    <w:p w14:paraId="04DEA83C"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Rebh</w:t>
      </w:r>
      <w:proofErr w:type="spellEnd"/>
      <w:r w:rsidRPr="003D4161">
        <w:rPr>
          <w:rFonts w:ascii="Arial" w:hAnsi="Arial" w:cs="Arial"/>
          <w:sz w:val="20"/>
          <w:szCs w:val="20"/>
        </w:rPr>
        <w:t xml:space="preserve">, A.Y., </w:t>
      </w:r>
      <w:proofErr w:type="spellStart"/>
      <w:r w:rsidRPr="003D4161">
        <w:rPr>
          <w:rFonts w:ascii="Arial" w:hAnsi="Arial" w:cs="Arial"/>
          <w:sz w:val="20"/>
          <w:szCs w:val="20"/>
        </w:rPr>
        <w:t>Jassim</w:t>
      </w:r>
      <w:proofErr w:type="spellEnd"/>
      <w:r w:rsidRPr="003D4161">
        <w:rPr>
          <w:rFonts w:ascii="Arial" w:hAnsi="Arial" w:cs="Arial"/>
          <w:sz w:val="20"/>
          <w:szCs w:val="20"/>
        </w:rPr>
        <w:t xml:space="preserve">, J.M. and Alasadi, M.H.A. 2023. The effect of the synergistic mixture of oyster mushroom (Pleurotus ostreatus) and beta-glucan added to the diet on the productive performance of broilers under heat stress. </w:t>
      </w:r>
      <w:r w:rsidRPr="003D4161">
        <w:rPr>
          <w:rFonts w:ascii="Arial" w:hAnsi="Arial" w:cs="Arial"/>
          <w:i/>
          <w:iCs/>
          <w:sz w:val="20"/>
          <w:szCs w:val="20"/>
        </w:rPr>
        <w:t>GSC Adv. Res. Rev.,</w:t>
      </w:r>
      <w:r w:rsidRPr="003D4161">
        <w:rPr>
          <w:rFonts w:ascii="Arial" w:hAnsi="Arial" w:cs="Arial"/>
          <w:sz w:val="20"/>
          <w:szCs w:val="20"/>
        </w:rPr>
        <w:t xml:space="preserve"> 14: 179-186.</w:t>
      </w:r>
    </w:p>
    <w:p w14:paraId="6CE8B992"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Roy, D. and Fahim, A. 2019. The effect of different level of mushroom </w:t>
      </w:r>
      <w:r w:rsidRPr="003D4161">
        <w:rPr>
          <w:rFonts w:ascii="Arial" w:hAnsi="Arial" w:cs="Arial"/>
          <w:i/>
          <w:iCs/>
          <w:sz w:val="20"/>
          <w:szCs w:val="20"/>
        </w:rPr>
        <w:t>(Agaricus bisporus)</w:t>
      </w:r>
      <w:r w:rsidRPr="003D4161">
        <w:rPr>
          <w:rFonts w:ascii="Arial" w:hAnsi="Arial" w:cs="Arial"/>
          <w:sz w:val="20"/>
          <w:szCs w:val="20"/>
        </w:rPr>
        <w:t xml:space="preserve"> and probiotics </w:t>
      </w:r>
      <w:r w:rsidRPr="003D4161">
        <w:rPr>
          <w:rFonts w:ascii="Arial" w:hAnsi="Arial" w:cs="Arial"/>
          <w:i/>
          <w:iCs/>
          <w:sz w:val="20"/>
          <w:szCs w:val="20"/>
        </w:rPr>
        <w:t>(Saccharomyces cerevisiae)</w:t>
      </w:r>
      <w:r w:rsidRPr="003D4161">
        <w:rPr>
          <w:rFonts w:ascii="Arial" w:hAnsi="Arial" w:cs="Arial"/>
          <w:sz w:val="20"/>
          <w:szCs w:val="20"/>
        </w:rPr>
        <w:t xml:space="preserve"> on sensory evaluation of broiler meat. </w:t>
      </w:r>
      <w:r w:rsidRPr="003D4161">
        <w:rPr>
          <w:rFonts w:ascii="Arial" w:hAnsi="Arial" w:cs="Arial"/>
          <w:i/>
          <w:iCs/>
          <w:sz w:val="20"/>
          <w:szCs w:val="20"/>
        </w:rPr>
        <w:t xml:space="preserve">J. </w:t>
      </w:r>
      <w:proofErr w:type="spellStart"/>
      <w:r w:rsidRPr="003D4161">
        <w:rPr>
          <w:rFonts w:ascii="Arial" w:hAnsi="Arial" w:cs="Arial"/>
          <w:i/>
          <w:iCs/>
          <w:sz w:val="20"/>
          <w:szCs w:val="20"/>
        </w:rPr>
        <w:t>Entomol</w:t>
      </w:r>
      <w:proofErr w:type="spellEnd"/>
      <w:r w:rsidRPr="003D4161">
        <w:rPr>
          <w:rFonts w:ascii="Arial" w:hAnsi="Arial" w:cs="Arial"/>
          <w:i/>
          <w:iCs/>
          <w:sz w:val="20"/>
          <w:szCs w:val="20"/>
        </w:rPr>
        <w:t xml:space="preserve">. Zool. Stud., </w:t>
      </w:r>
      <w:r w:rsidRPr="003D4161">
        <w:rPr>
          <w:rFonts w:ascii="Arial" w:hAnsi="Arial" w:cs="Arial"/>
          <w:sz w:val="20"/>
          <w:szCs w:val="20"/>
        </w:rPr>
        <w:t>7: 347-349.</w:t>
      </w:r>
    </w:p>
    <w:p w14:paraId="273F6FBE" w14:textId="229D0E72" w:rsidR="009B3DD0" w:rsidRPr="003D4161" w:rsidRDefault="003A3012" w:rsidP="009B3DD0">
      <w:pPr>
        <w:spacing w:line="360" w:lineRule="auto"/>
        <w:ind w:left="720" w:hanging="720"/>
        <w:jc w:val="both"/>
        <w:rPr>
          <w:rFonts w:ascii="Arial" w:hAnsi="Arial" w:cs="Arial"/>
          <w:sz w:val="20"/>
          <w:szCs w:val="20"/>
        </w:rPr>
      </w:pPr>
      <w:r w:rsidRPr="003D4161">
        <w:rPr>
          <w:rFonts w:ascii="Arial" w:hAnsi="Arial" w:cs="Arial"/>
          <w:sz w:val="20"/>
          <w:szCs w:val="20"/>
        </w:rPr>
        <w:t xml:space="preserve">Shamsi, S., A. </w:t>
      </w:r>
      <w:proofErr w:type="spellStart"/>
      <w:r w:rsidRPr="003D4161">
        <w:rPr>
          <w:rFonts w:ascii="Arial" w:hAnsi="Arial" w:cs="Arial"/>
          <w:sz w:val="20"/>
          <w:szCs w:val="20"/>
        </w:rPr>
        <w:t>Seidavi</w:t>
      </w:r>
      <w:proofErr w:type="spellEnd"/>
      <w:r w:rsidRPr="003D4161">
        <w:rPr>
          <w:rFonts w:ascii="Arial" w:hAnsi="Arial" w:cs="Arial"/>
          <w:sz w:val="20"/>
          <w:szCs w:val="20"/>
        </w:rPr>
        <w:t xml:space="preserve">, M. </w:t>
      </w:r>
      <w:proofErr w:type="spellStart"/>
      <w:r w:rsidRPr="003D4161">
        <w:rPr>
          <w:rFonts w:ascii="Arial" w:hAnsi="Arial" w:cs="Arial"/>
          <w:sz w:val="20"/>
          <w:szCs w:val="20"/>
        </w:rPr>
        <w:t>Rahati</w:t>
      </w:r>
      <w:proofErr w:type="spellEnd"/>
      <w:r w:rsidRPr="003D4161">
        <w:rPr>
          <w:rFonts w:ascii="Arial" w:hAnsi="Arial" w:cs="Arial"/>
          <w:sz w:val="20"/>
          <w:szCs w:val="20"/>
        </w:rPr>
        <w:t xml:space="preserve"> and J.A.G. Nieto, 2015. Edible mushroom powder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bisporus</w:t>
      </w:r>
      <w:proofErr w:type="spellEnd"/>
      <w:r w:rsidRPr="003D4161">
        <w:rPr>
          <w:rFonts w:ascii="Arial" w:hAnsi="Arial" w:cs="Arial"/>
          <w:i/>
          <w:iCs/>
          <w:sz w:val="20"/>
          <w:szCs w:val="20"/>
        </w:rPr>
        <w:t>)</w:t>
      </w:r>
      <w:r w:rsidRPr="003D4161">
        <w:rPr>
          <w:rFonts w:ascii="Arial" w:hAnsi="Arial" w:cs="Arial"/>
          <w:sz w:val="20"/>
          <w:szCs w:val="20"/>
        </w:rPr>
        <w:t xml:space="preserve"> and </w:t>
      </w:r>
      <w:proofErr w:type="spellStart"/>
      <w:r w:rsidRPr="003D4161">
        <w:rPr>
          <w:rFonts w:ascii="Arial" w:hAnsi="Arial" w:cs="Arial"/>
          <w:sz w:val="20"/>
          <w:szCs w:val="20"/>
        </w:rPr>
        <w:t>flavor</w:t>
      </w:r>
      <w:proofErr w:type="spellEnd"/>
      <w:r w:rsidRPr="003D4161">
        <w:rPr>
          <w:rFonts w:ascii="Arial" w:hAnsi="Arial" w:cs="Arial"/>
          <w:sz w:val="20"/>
          <w:szCs w:val="20"/>
        </w:rPr>
        <w:t xml:space="preserve"> </w:t>
      </w:r>
      <w:proofErr w:type="spellStart"/>
      <w:r w:rsidRPr="003D4161">
        <w:rPr>
          <w:rFonts w:ascii="Arial" w:hAnsi="Arial" w:cs="Arial"/>
          <w:sz w:val="20"/>
          <w:szCs w:val="20"/>
        </w:rPr>
        <w:t>phospholipol</w:t>
      </w:r>
      <w:proofErr w:type="spellEnd"/>
      <w:r w:rsidRPr="003D4161">
        <w:rPr>
          <w:rFonts w:ascii="Arial" w:hAnsi="Arial" w:cs="Arial"/>
          <w:sz w:val="20"/>
          <w:szCs w:val="20"/>
        </w:rPr>
        <w:t xml:space="preserve"> improve performance and blood parameters of broilers. </w:t>
      </w:r>
      <w:r w:rsidRPr="003D4161">
        <w:rPr>
          <w:rFonts w:ascii="Arial" w:hAnsi="Arial" w:cs="Arial"/>
          <w:i/>
          <w:iCs/>
          <w:sz w:val="20"/>
          <w:szCs w:val="20"/>
        </w:rPr>
        <w:t xml:space="preserve">Rev Colombia </w:t>
      </w:r>
      <w:proofErr w:type="spellStart"/>
      <w:r w:rsidRPr="003D4161">
        <w:rPr>
          <w:rFonts w:ascii="Arial" w:hAnsi="Arial" w:cs="Arial"/>
          <w:i/>
          <w:iCs/>
          <w:sz w:val="20"/>
          <w:szCs w:val="20"/>
        </w:rPr>
        <w:t>Cienc</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Pecu</w:t>
      </w:r>
      <w:proofErr w:type="spellEnd"/>
      <w:r w:rsidRPr="003D4161">
        <w:rPr>
          <w:rFonts w:ascii="Arial" w:hAnsi="Arial" w:cs="Arial"/>
          <w:i/>
          <w:iCs/>
          <w:sz w:val="20"/>
          <w:szCs w:val="20"/>
        </w:rPr>
        <w:t>.</w:t>
      </w:r>
      <w:r w:rsidRPr="003D4161">
        <w:rPr>
          <w:rFonts w:ascii="Arial" w:hAnsi="Arial" w:cs="Arial"/>
          <w:sz w:val="20"/>
          <w:szCs w:val="20"/>
        </w:rPr>
        <w:t xml:space="preserve"> 28: 291-302.</w:t>
      </w:r>
    </w:p>
    <w:p w14:paraId="7BAA5A8B"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Shang, H.M., Song, Y.L., Xing, S.L., Niu, G.D., Ding, Y.Y. and Liang, F. 2016. Effects of dietary fermentation concentrate of </w:t>
      </w:r>
      <w:r w:rsidRPr="003D4161">
        <w:rPr>
          <w:rFonts w:ascii="Arial" w:hAnsi="Arial" w:cs="Arial"/>
          <w:i/>
          <w:iCs/>
          <w:sz w:val="20"/>
          <w:szCs w:val="20"/>
        </w:rPr>
        <w:t>Hericium caput Medusae</w:t>
      </w:r>
      <w:r w:rsidRPr="003D4161">
        <w:rPr>
          <w:rFonts w:ascii="Arial" w:hAnsi="Arial" w:cs="Arial"/>
          <w:sz w:val="20"/>
          <w:szCs w:val="20"/>
        </w:rPr>
        <w:t xml:space="preserve"> (Bull: Fr.) Pers. on growth performance, </w:t>
      </w:r>
      <w:r w:rsidRPr="003D4161">
        <w:rPr>
          <w:rFonts w:ascii="Arial" w:hAnsi="Arial" w:cs="Arial"/>
          <w:sz w:val="20"/>
          <w:szCs w:val="20"/>
        </w:rPr>
        <w:lastRenderedPageBreak/>
        <w:t xml:space="preserve">digestibility, and intestinal microbiology and morphology in broiler chickens. </w:t>
      </w:r>
      <w:r w:rsidRPr="003D4161">
        <w:rPr>
          <w:rFonts w:ascii="Arial" w:hAnsi="Arial" w:cs="Arial"/>
          <w:i/>
          <w:iCs/>
          <w:sz w:val="20"/>
          <w:szCs w:val="20"/>
        </w:rPr>
        <w:t>J. Sci. Food Agric.,</w:t>
      </w:r>
      <w:r w:rsidRPr="003D4161">
        <w:rPr>
          <w:rFonts w:ascii="Arial" w:hAnsi="Arial" w:cs="Arial"/>
          <w:sz w:val="20"/>
          <w:szCs w:val="20"/>
        </w:rPr>
        <w:t xml:space="preserve"> 96: 215-222.</w:t>
      </w:r>
    </w:p>
    <w:p w14:paraId="51608A85"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Smiderle, F.R., </w:t>
      </w:r>
      <w:proofErr w:type="spellStart"/>
      <w:r w:rsidRPr="003D4161">
        <w:rPr>
          <w:rFonts w:ascii="Arial" w:hAnsi="Arial" w:cs="Arial"/>
          <w:sz w:val="20"/>
          <w:szCs w:val="20"/>
        </w:rPr>
        <w:t>Carbonero</w:t>
      </w:r>
      <w:proofErr w:type="spellEnd"/>
      <w:r w:rsidRPr="003D4161">
        <w:rPr>
          <w:rFonts w:ascii="Arial" w:hAnsi="Arial" w:cs="Arial"/>
          <w:sz w:val="20"/>
          <w:szCs w:val="20"/>
        </w:rPr>
        <w:t xml:space="preserve">, E.R., </w:t>
      </w:r>
      <w:proofErr w:type="spellStart"/>
      <w:r w:rsidRPr="003D4161">
        <w:rPr>
          <w:rFonts w:ascii="Arial" w:hAnsi="Arial" w:cs="Arial"/>
          <w:sz w:val="20"/>
          <w:szCs w:val="20"/>
        </w:rPr>
        <w:t>Sassaki</w:t>
      </w:r>
      <w:proofErr w:type="spellEnd"/>
      <w:r w:rsidRPr="003D4161">
        <w:rPr>
          <w:rFonts w:ascii="Arial" w:hAnsi="Arial" w:cs="Arial"/>
          <w:sz w:val="20"/>
          <w:szCs w:val="20"/>
        </w:rPr>
        <w:t xml:space="preserve">, G.L., </w:t>
      </w:r>
      <w:proofErr w:type="spellStart"/>
      <w:r w:rsidRPr="003D4161">
        <w:rPr>
          <w:rFonts w:ascii="Arial" w:hAnsi="Arial" w:cs="Arial"/>
          <w:sz w:val="20"/>
          <w:szCs w:val="20"/>
        </w:rPr>
        <w:t>Gorin</w:t>
      </w:r>
      <w:proofErr w:type="spellEnd"/>
      <w:r w:rsidRPr="003D4161">
        <w:rPr>
          <w:rFonts w:ascii="Arial" w:hAnsi="Arial" w:cs="Arial"/>
          <w:sz w:val="20"/>
          <w:szCs w:val="20"/>
        </w:rPr>
        <w:t xml:space="preserve">, P.A.J. and Iacomini, M. 2008. Characterization of a </w:t>
      </w:r>
      <w:proofErr w:type="spellStart"/>
      <w:r w:rsidRPr="003D4161">
        <w:rPr>
          <w:rFonts w:ascii="Arial" w:hAnsi="Arial" w:cs="Arial"/>
          <w:sz w:val="20"/>
          <w:szCs w:val="20"/>
        </w:rPr>
        <w:t>heterogalactan</w:t>
      </w:r>
      <w:proofErr w:type="spellEnd"/>
      <w:r w:rsidRPr="003D4161">
        <w:rPr>
          <w:rFonts w:ascii="Arial" w:hAnsi="Arial" w:cs="Arial"/>
          <w:sz w:val="20"/>
          <w:szCs w:val="20"/>
        </w:rPr>
        <w:t xml:space="preserve">: Some nutritional values of the edible mushroom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w:t>
      </w:r>
      <w:r w:rsidRPr="003D4161">
        <w:rPr>
          <w:rFonts w:ascii="Arial" w:hAnsi="Arial" w:cs="Arial"/>
          <w:i/>
          <w:iCs/>
          <w:sz w:val="20"/>
          <w:szCs w:val="20"/>
        </w:rPr>
        <w:t>Food Chem.,</w:t>
      </w:r>
      <w:r w:rsidRPr="003D4161">
        <w:rPr>
          <w:rFonts w:ascii="Arial" w:hAnsi="Arial" w:cs="Arial"/>
          <w:sz w:val="20"/>
          <w:szCs w:val="20"/>
        </w:rPr>
        <w:t xml:space="preserve"> 108: 329-333.</w:t>
      </w:r>
    </w:p>
    <w:p w14:paraId="49464379" w14:textId="73DE76FA" w:rsidR="005B1760" w:rsidRPr="003D4161" w:rsidRDefault="005B1760" w:rsidP="000004F3">
      <w:pPr>
        <w:spacing w:line="360" w:lineRule="auto"/>
        <w:ind w:left="720" w:hanging="720"/>
        <w:jc w:val="both"/>
        <w:rPr>
          <w:rFonts w:ascii="Arial" w:hAnsi="Arial" w:cs="Arial"/>
          <w:sz w:val="20"/>
          <w:szCs w:val="20"/>
        </w:rPr>
      </w:pPr>
      <w:r w:rsidRPr="005B1760">
        <w:rPr>
          <w:rFonts w:ascii="Arial" w:hAnsi="Arial" w:cs="Arial"/>
          <w:sz w:val="20"/>
          <w:szCs w:val="20"/>
        </w:rPr>
        <w:t>Snedecor, G.W. and Cochran, W.G. 1994. Statistical methods (8th ed.). Iowa State Univ. Press.</w:t>
      </w:r>
    </w:p>
    <w:p w14:paraId="7FAEEC4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Yan, Z.F., Liu, N.X., Mao, X.X., Li, Y. and Li, C.T. 2014. Activation effects of polysaccharides of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mycorrhizae on the T lymphocyte immune function. </w:t>
      </w:r>
      <w:r w:rsidRPr="003D4161">
        <w:rPr>
          <w:rFonts w:ascii="Arial" w:hAnsi="Arial" w:cs="Arial"/>
          <w:i/>
          <w:iCs/>
          <w:sz w:val="20"/>
          <w:szCs w:val="20"/>
        </w:rPr>
        <w:t>J. Immunol. Res.,</w:t>
      </w:r>
      <w:r w:rsidRPr="003D4161">
        <w:rPr>
          <w:rFonts w:ascii="Arial" w:hAnsi="Arial" w:cs="Arial"/>
          <w:sz w:val="20"/>
          <w:szCs w:val="20"/>
        </w:rPr>
        <w:t xml:space="preserve"> 14: 285-421.</w:t>
      </w:r>
    </w:p>
    <w:p w14:paraId="74AA4E94"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Yang, B., Zhao, G., Wang, L., Liu, S. and Tang, J. 2021. Effects of the </w:t>
      </w:r>
      <w:r w:rsidRPr="003D4161">
        <w:rPr>
          <w:rFonts w:ascii="Arial" w:hAnsi="Arial" w:cs="Arial"/>
          <w:i/>
          <w:iCs/>
          <w:sz w:val="20"/>
          <w:szCs w:val="20"/>
        </w:rPr>
        <w:t>Agaricus bisporus</w:t>
      </w:r>
      <w:r w:rsidRPr="003D4161">
        <w:rPr>
          <w:rFonts w:ascii="Arial" w:hAnsi="Arial" w:cs="Arial"/>
          <w:sz w:val="20"/>
          <w:szCs w:val="20"/>
        </w:rPr>
        <w:t xml:space="preserve"> stem residue on performance, nutrients digestibility and antioxidant activity of laying hens and its effects on egg storage. </w:t>
      </w:r>
      <w:r w:rsidRPr="003D4161">
        <w:rPr>
          <w:rFonts w:ascii="Arial" w:hAnsi="Arial" w:cs="Arial"/>
          <w:i/>
          <w:iCs/>
          <w:sz w:val="20"/>
          <w:szCs w:val="20"/>
        </w:rPr>
        <w:t xml:space="preserve">Anim. </w:t>
      </w:r>
      <w:proofErr w:type="spellStart"/>
      <w:r w:rsidRPr="003D4161">
        <w:rPr>
          <w:rFonts w:ascii="Arial" w:hAnsi="Arial" w:cs="Arial"/>
          <w:i/>
          <w:iCs/>
          <w:sz w:val="20"/>
          <w:szCs w:val="20"/>
        </w:rPr>
        <w:t>Biosci</w:t>
      </w:r>
      <w:proofErr w:type="spellEnd"/>
      <w:r w:rsidRPr="003D4161">
        <w:rPr>
          <w:rFonts w:ascii="Arial" w:hAnsi="Arial" w:cs="Arial"/>
          <w:i/>
          <w:iCs/>
          <w:sz w:val="20"/>
          <w:szCs w:val="20"/>
        </w:rPr>
        <w:t>,</w:t>
      </w:r>
      <w:r w:rsidRPr="003D4161">
        <w:rPr>
          <w:rFonts w:ascii="Arial" w:hAnsi="Arial" w:cs="Arial"/>
          <w:sz w:val="20"/>
          <w:szCs w:val="20"/>
        </w:rPr>
        <w:t xml:space="preserve"> 34(2): 256-264.</w:t>
      </w:r>
    </w:p>
    <w:p w14:paraId="36DD93E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Yousefi, M., Malecky, M., Zaboli, K. and </w:t>
      </w:r>
      <w:proofErr w:type="spellStart"/>
      <w:r w:rsidRPr="003D4161">
        <w:rPr>
          <w:rFonts w:ascii="Arial" w:hAnsi="Arial" w:cs="Arial"/>
          <w:sz w:val="20"/>
          <w:szCs w:val="20"/>
        </w:rPr>
        <w:t>Najafabadi</w:t>
      </w:r>
      <w:proofErr w:type="spellEnd"/>
      <w:r w:rsidRPr="003D4161">
        <w:rPr>
          <w:rFonts w:ascii="Arial" w:hAnsi="Arial" w:cs="Arial"/>
          <w:sz w:val="20"/>
          <w:szCs w:val="20"/>
        </w:rPr>
        <w:t xml:space="preserve">, H. J. 2022. In vitro and in </w:t>
      </w:r>
      <w:proofErr w:type="spellStart"/>
      <w:r w:rsidRPr="003D4161">
        <w:rPr>
          <w:rFonts w:ascii="Arial" w:hAnsi="Arial" w:cs="Arial"/>
          <w:sz w:val="20"/>
          <w:szCs w:val="20"/>
        </w:rPr>
        <w:t>sacco</w:t>
      </w:r>
      <w:proofErr w:type="spellEnd"/>
      <w:r w:rsidRPr="003D4161">
        <w:rPr>
          <w:rFonts w:ascii="Arial" w:hAnsi="Arial" w:cs="Arial"/>
          <w:sz w:val="20"/>
          <w:szCs w:val="20"/>
        </w:rPr>
        <w:t xml:space="preserve"> determining the nutritive value of button mushroom stipe and its application in growing lambs' diet. </w:t>
      </w:r>
      <w:r w:rsidRPr="003D4161">
        <w:rPr>
          <w:rFonts w:ascii="Arial" w:hAnsi="Arial" w:cs="Arial"/>
          <w:i/>
          <w:iCs/>
          <w:sz w:val="20"/>
          <w:szCs w:val="20"/>
        </w:rPr>
        <w:t>Ind. J. Anim. Sci,</w:t>
      </w:r>
      <w:r w:rsidRPr="003D4161">
        <w:rPr>
          <w:rFonts w:ascii="Arial" w:hAnsi="Arial" w:cs="Arial"/>
          <w:sz w:val="20"/>
          <w:szCs w:val="20"/>
        </w:rPr>
        <w:t xml:space="preserve"> 21: 279-290.</w:t>
      </w:r>
    </w:p>
    <w:p w14:paraId="6D7ED35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Yin, H., Wang, Y., Wang, Y., Chen, T., Tang, H. and Wang, M. 2010. Purification, characterization and immuno-modulating properties of polysaccharides isolated from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mycelium. </w:t>
      </w:r>
      <w:r w:rsidRPr="003D4161">
        <w:rPr>
          <w:rFonts w:ascii="Arial" w:hAnsi="Arial" w:cs="Arial"/>
          <w:i/>
          <w:iCs/>
          <w:sz w:val="20"/>
          <w:szCs w:val="20"/>
        </w:rPr>
        <w:t>Am. J. Chin. Med.,</w:t>
      </w:r>
      <w:r w:rsidRPr="003D4161">
        <w:rPr>
          <w:rFonts w:ascii="Arial" w:hAnsi="Arial" w:cs="Arial"/>
          <w:sz w:val="20"/>
          <w:szCs w:val="20"/>
        </w:rPr>
        <w:t xml:space="preserve"> 38: 191-204.</w:t>
      </w:r>
    </w:p>
    <w:p w14:paraId="357E77B7"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Zhang, J., Liu, D., Wang, Y., Li, Y., Li, J., Wu, X. and Li, L. 2015. Effect of feeding spent mushroom substrate on the growth performance and immune function of broiler chickens. </w:t>
      </w:r>
      <w:r w:rsidRPr="003D4161">
        <w:rPr>
          <w:rFonts w:ascii="Arial" w:hAnsi="Arial" w:cs="Arial"/>
          <w:i/>
          <w:iCs/>
          <w:sz w:val="20"/>
          <w:szCs w:val="20"/>
        </w:rPr>
        <w:t>J. Sci. Food Agric.,</w:t>
      </w:r>
      <w:r w:rsidRPr="003D4161">
        <w:rPr>
          <w:rFonts w:ascii="Arial" w:hAnsi="Arial" w:cs="Arial"/>
          <w:sz w:val="20"/>
          <w:szCs w:val="20"/>
        </w:rPr>
        <w:t xml:space="preserve"> 95(14): 2984-2990.</w:t>
      </w:r>
    </w:p>
    <w:p w14:paraId="3838AEB0" w14:textId="77777777" w:rsidR="00D917E1" w:rsidRPr="003D4161" w:rsidRDefault="00D917E1" w:rsidP="000004F3">
      <w:pPr>
        <w:spacing w:line="360" w:lineRule="auto"/>
        <w:ind w:left="720" w:hanging="720"/>
        <w:jc w:val="both"/>
        <w:rPr>
          <w:rFonts w:ascii="Arial" w:hAnsi="Arial" w:cs="Arial"/>
          <w:sz w:val="20"/>
          <w:szCs w:val="20"/>
          <w:lang w:val="en-US"/>
        </w:rPr>
      </w:pPr>
    </w:p>
    <w:sectPr w:rsidR="00D917E1" w:rsidRPr="003D41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6FE2" w14:textId="77777777" w:rsidR="00090F4D" w:rsidRDefault="00090F4D" w:rsidP="009628B5">
      <w:pPr>
        <w:spacing w:after="0" w:line="240" w:lineRule="auto"/>
      </w:pPr>
      <w:r>
        <w:separator/>
      </w:r>
    </w:p>
  </w:endnote>
  <w:endnote w:type="continuationSeparator" w:id="0">
    <w:p w14:paraId="4147AE40" w14:textId="77777777" w:rsidR="00090F4D" w:rsidRDefault="00090F4D" w:rsidP="0096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FC6F" w14:textId="77777777" w:rsidR="009628B5" w:rsidRDefault="00962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EC2D" w14:textId="77777777" w:rsidR="009628B5" w:rsidRDefault="00962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614B" w14:textId="77777777" w:rsidR="009628B5" w:rsidRDefault="0096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091FB" w14:textId="77777777" w:rsidR="00090F4D" w:rsidRDefault="00090F4D" w:rsidP="009628B5">
      <w:pPr>
        <w:spacing w:after="0" w:line="240" w:lineRule="auto"/>
      </w:pPr>
      <w:r>
        <w:separator/>
      </w:r>
    </w:p>
  </w:footnote>
  <w:footnote w:type="continuationSeparator" w:id="0">
    <w:p w14:paraId="34588028" w14:textId="77777777" w:rsidR="00090F4D" w:rsidRDefault="00090F4D" w:rsidP="0096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AE45" w14:textId="549F2BC4" w:rsidR="009628B5" w:rsidRDefault="00090F4D">
    <w:pPr>
      <w:pStyle w:val="Header"/>
    </w:pPr>
    <w:r>
      <w:rPr>
        <w:noProof/>
      </w:rPr>
      <w:pict w14:anchorId="3AD33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DB" w14:textId="52DC0637" w:rsidR="009628B5" w:rsidRDefault="00090F4D">
    <w:pPr>
      <w:pStyle w:val="Header"/>
    </w:pPr>
    <w:r>
      <w:rPr>
        <w:noProof/>
      </w:rPr>
      <w:pict w14:anchorId="5E57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C53F" w14:textId="0C774B5E" w:rsidR="009628B5" w:rsidRDefault="00090F4D">
    <w:pPr>
      <w:pStyle w:val="Header"/>
    </w:pPr>
    <w:r>
      <w:rPr>
        <w:noProof/>
      </w:rPr>
      <w:pict w14:anchorId="36D46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37915"/>
    <w:multiLevelType w:val="multilevel"/>
    <w:tmpl w:val="DDA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15AA7"/>
    <w:multiLevelType w:val="hybridMultilevel"/>
    <w:tmpl w:val="135E7D5E"/>
    <w:lvl w:ilvl="0" w:tplc="1A882B68">
      <w:start w:val="1"/>
      <w:numFmt w:val="bullet"/>
      <w:lvlText w:val="•"/>
      <w:lvlJc w:val="left"/>
      <w:pPr>
        <w:tabs>
          <w:tab w:val="num" w:pos="720"/>
        </w:tabs>
        <w:ind w:left="720" w:hanging="360"/>
      </w:pPr>
      <w:rPr>
        <w:rFonts w:ascii="Arial" w:hAnsi="Arial" w:hint="default"/>
      </w:rPr>
    </w:lvl>
    <w:lvl w:ilvl="1" w:tplc="A8044C14" w:tentative="1">
      <w:start w:val="1"/>
      <w:numFmt w:val="bullet"/>
      <w:lvlText w:val="•"/>
      <w:lvlJc w:val="left"/>
      <w:pPr>
        <w:tabs>
          <w:tab w:val="num" w:pos="1440"/>
        </w:tabs>
        <w:ind w:left="1440" w:hanging="360"/>
      </w:pPr>
      <w:rPr>
        <w:rFonts w:ascii="Arial" w:hAnsi="Arial" w:hint="default"/>
      </w:rPr>
    </w:lvl>
    <w:lvl w:ilvl="2" w:tplc="FDB8268C" w:tentative="1">
      <w:start w:val="1"/>
      <w:numFmt w:val="bullet"/>
      <w:lvlText w:val="•"/>
      <w:lvlJc w:val="left"/>
      <w:pPr>
        <w:tabs>
          <w:tab w:val="num" w:pos="2160"/>
        </w:tabs>
        <w:ind w:left="2160" w:hanging="360"/>
      </w:pPr>
      <w:rPr>
        <w:rFonts w:ascii="Arial" w:hAnsi="Arial" w:hint="default"/>
      </w:rPr>
    </w:lvl>
    <w:lvl w:ilvl="3" w:tplc="399A33DE" w:tentative="1">
      <w:start w:val="1"/>
      <w:numFmt w:val="bullet"/>
      <w:lvlText w:val="•"/>
      <w:lvlJc w:val="left"/>
      <w:pPr>
        <w:tabs>
          <w:tab w:val="num" w:pos="2880"/>
        </w:tabs>
        <w:ind w:left="2880" w:hanging="360"/>
      </w:pPr>
      <w:rPr>
        <w:rFonts w:ascii="Arial" w:hAnsi="Arial" w:hint="default"/>
      </w:rPr>
    </w:lvl>
    <w:lvl w:ilvl="4" w:tplc="566CE6BE" w:tentative="1">
      <w:start w:val="1"/>
      <w:numFmt w:val="bullet"/>
      <w:lvlText w:val="•"/>
      <w:lvlJc w:val="left"/>
      <w:pPr>
        <w:tabs>
          <w:tab w:val="num" w:pos="3600"/>
        </w:tabs>
        <w:ind w:left="3600" w:hanging="360"/>
      </w:pPr>
      <w:rPr>
        <w:rFonts w:ascii="Arial" w:hAnsi="Arial" w:hint="default"/>
      </w:rPr>
    </w:lvl>
    <w:lvl w:ilvl="5" w:tplc="B0E61068" w:tentative="1">
      <w:start w:val="1"/>
      <w:numFmt w:val="bullet"/>
      <w:lvlText w:val="•"/>
      <w:lvlJc w:val="left"/>
      <w:pPr>
        <w:tabs>
          <w:tab w:val="num" w:pos="4320"/>
        </w:tabs>
        <w:ind w:left="4320" w:hanging="360"/>
      </w:pPr>
      <w:rPr>
        <w:rFonts w:ascii="Arial" w:hAnsi="Arial" w:hint="default"/>
      </w:rPr>
    </w:lvl>
    <w:lvl w:ilvl="6" w:tplc="E924AFD8" w:tentative="1">
      <w:start w:val="1"/>
      <w:numFmt w:val="bullet"/>
      <w:lvlText w:val="•"/>
      <w:lvlJc w:val="left"/>
      <w:pPr>
        <w:tabs>
          <w:tab w:val="num" w:pos="5040"/>
        </w:tabs>
        <w:ind w:left="5040" w:hanging="360"/>
      </w:pPr>
      <w:rPr>
        <w:rFonts w:ascii="Arial" w:hAnsi="Arial" w:hint="default"/>
      </w:rPr>
    </w:lvl>
    <w:lvl w:ilvl="7" w:tplc="8FC2A48A" w:tentative="1">
      <w:start w:val="1"/>
      <w:numFmt w:val="bullet"/>
      <w:lvlText w:val="•"/>
      <w:lvlJc w:val="left"/>
      <w:pPr>
        <w:tabs>
          <w:tab w:val="num" w:pos="5760"/>
        </w:tabs>
        <w:ind w:left="5760" w:hanging="360"/>
      </w:pPr>
      <w:rPr>
        <w:rFonts w:ascii="Arial" w:hAnsi="Arial" w:hint="default"/>
      </w:rPr>
    </w:lvl>
    <w:lvl w:ilvl="8" w:tplc="F52096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D2477F"/>
    <w:multiLevelType w:val="hybridMultilevel"/>
    <w:tmpl w:val="C89EF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NLEwNbWwMDIyMzJS0lEKTi0uzszPAykwrAUAFPYMniwAAAA="/>
  </w:docVars>
  <w:rsids>
    <w:rsidRoot w:val="00D917E1"/>
    <w:rsid w:val="000004F3"/>
    <w:rsid w:val="00032C18"/>
    <w:rsid w:val="000666B8"/>
    <w:rsid w:val="0008226F"/>
    <w:rsid w:val="00082385"/>
    <w:rsid w:val="00086028"/>
    <w:rsid w:val="0008691E"/>
    <w:rsid w:val="00090F4D"/>
    <w:rsid w:val="0009205F"/>
    <w:rsid w:val="000C0B6D"/>
    <w:rsid w:val="000D751B"/>
    <w:rsid w:val="000F7272"/>
    <w:rsid w:val="000F7B07"/>
    <w:rsid w:val="001047FA"/>
    <w:rsid w:val="0010789F"/>
    <w:rsid w:val="00110C38"/>
    <w:rsid w:val="00130F72"/>
    <w:rsid w:val="001554B0"/>
    <w:rsid w:val="00160037"/>
    <w:rsid w:val="0016114F"/>
    <w:rsid w:val="001625CA"/>
    <w:rsid w:val="00164F5D"/>
    <w:rsid w:val="001749AC"/>
    <w:rsid w:val="00177FE1"/>
    <w:rsid w:val="001A72E0"/>
    <w:rsid w:val="001B253E"/>
    <w:rsid w:val="001B70CB"/>
    <w:rsid w:val="001C4800"/>
    <w:rsid w:val="001C7B21"/>
    <w:rsid w:val="001D5886"/>
    <w:rsid w:val="001D6E59"/>
    <w:rsid w:val="001E0875"/>
    <w:rsid w:val="001E501A"/>
    <w:rsid w:val="001E6825"/>
    <w:rsid w:val="00233C07"/>
    <w:rsid w:val="002557BC"/>
    <w:rsid w:val="00255B86"/>
    <w:rsid w:val="00256C81"/>
    <w:rsid w:val="00261EE2"/>
    <w:rsid w:val="00262F68"/>
    <w:rsid w:val="00265270"/>
    <w:rsid w:val="00281943"/>
    <w:rsid w:val="002A1205"/>
    <w:rsid w:val="002A1ADE"/>
    <w:rsid w:val="002B6BE0"/>
    <w:rsid w:val="002E608F"/>
    <w:rsid w:val="003068E2"/>
    <w:rsid w:val="00306A25"/>
    <w:rsid w:val="003273C8"/>
    <w:rsid w:val="00332C43"/>
    <w:rsid w:val="0034156D"/>
    <w:rsid w:val="00356B4D"/>
    <w:rsid w:val="00390E77"/>
    <w:rsid w:val="003A0037"/>
    <w:rsid w:val="003A0315"/>
    <w:rsid w:val="003A3012"/>
    <w:rsid w:val="003B2F40"/>
    <w:rsid w:val="003D4161"/>
    <w:rsid w:val="003E0B7E"/>
    <w:rsid w:val="003E7F37"/>
    <w:rsid w:val="004030AE"/>
    <w:rsid w:val="00411B4C"/>
    <w:rsid w:val="0041579D"/>
    <w:rsid w:val="00417385"/>
    <w:rsid w:val="00430ECD"/>
    <w:rsid w:val="00440AE3"/>
    <w:rsid w:val="004673CA"/>
    <w:rsid w:val="0047177E"/>
    <w:rsid w:val="004847DF"/>
    <w:rsid w:val="0049576A"/>
    <w:rsid w:val="004A3681"/>
    <w:rsid w:val="004B7E53"/>
    <w:rsid w:val="004C45CC"/>
    <w:rsid w:val="004C5D06"/>
    <w:rsid w:val="004C70BF"/>
    <w:rsid w:val="00524675"/>
    <w:rsid w:val="0052753C"/>
    <w:rsid w:val="00535242"/>
    <w:rsid w:val="00544796"/>
    <w:rsid w:val="00574BD9"/>
    <w:rsid w:val="00575948"/>
    <w:rsid w:val="00575B86"/>
    <w:rsid w:val="005A72B7"/>
    <w:rsid w:val="005B1760"/>
    <w:rsid w:val="005B3682"/>
    <w:rsid w:val="005C1A6D"/>
    <w:rsid w:val="005C48C0"/>
    <w:rsid w:val="005C603B"/>
    <w:rsid w:val="005F166B"/>
    <w:rsid w:val="005F5937"/>
    <w:rsid w:val="005F64C2"/>
    <w:rsid w:val="006008A6"/>
    <w:rsid w:val="00625E9D"/>
    <w:rsid w:val="00646E7D"/>
    <w:rsid w:val="006521A9"/>
    <w:rsid w:val="00652F73"/>
    <w:rsid w:val="00653DF9"/>
    <w:rsid w:val="00656AFB"/>
    <w:rsid w:val="00663B94"/>
    <w:rsid w:val="00671558"/>
    <w:rsid w:val="00671AE0"/>
    <w:rsid w:val="00672917"/>
    <w:rsid w:val="006859BB"/>
    <w:rsid w:val="006D13F9"/>
    <w:rsid w:val="006D736E"/>
    <w:rsid w:val="007079C2"/>
    <w:rsid w:val="00733078"/>
    <w:rsid w:val="0075201A"/>
    <w:rsid w:val="007674FB"/>
    <w:rsid w:val="00775DAA"/>
    <w:rsid w:val="007B2252"/>
    <w:rsid w:val="007C14E2"/>
    <w:rsid w:val="007C5ABC"/>
    <w:rsid w:val="007C5BF5"/>
    <w:rsid w:val="007C79EA"/>
    <w:rsid w:val="007D31D3"/>
    <w:rsid w:val="007E5DF3"/>
    <w:rsid w:val="007E7DDF"/>
    <w:rsid w:val="007F6B68"/>
    <w:rsid w:val="008060F1"/>
    <w:rsid w:val="008328C2"/>
    <w:rsid w:val="008414C5"/>
    <w:rsid w:val="00887CB6"/>
    <w:rsid w:val="00897552"/>
    <w:rsid w:val="008A2349"/>
    <w:rsid w:val="008B046F"/>
    <w:rsid w:val="008B17C6"/>
    <w:rsid w:val="008E2A79"/>
    <w:rsid w:val="008E6C33"/>
    <w:rsid w:val="00910D54"/>
    <w:rsid w:val="00934BF9"/>
    <w:rsid w:val="00936C46"/>
    <w:rsid w:val="009606B9"/>
    <w:rsid w:val="009628B5"/>
    <w:rsid w:val="0096796A"/>
    <w:rsid w:val="009815A6"/>
    <w:rsid w:val="00987EF0"/>
    <w:rsid w:val="009922D2"/>
    <w:rsid w:val="009B1052"/>
    <w:rsid w:val="009B15CD"/>
    <w:rsid w:val="009B3DD0"/>
    <w:rsid w:val="009C4E01"/>
    <w:rsid w:val="009F41D8"/>
    <w:rsid w:val="00A0710C"/>
    <w:rsid w:val="00A216B7"/>
    <w:rsid w:val="00A433E9"/>
    <w:rsid w:val="00A51567"/>
    <w:rsid w:val="00A8314A"/>
    <w:rsid w:val="00A85D72"/>
    <w:rsid w:val="00A93210"/>
    <w:rsid w:val="00AA6AAF"/>
    <w:rsid w:val="00AC5A90"/>
    <w:rsid w:val="00AF6532"/>
    <w:rsid w:val="00B0330C"/>
    <w:rsid w:val="00B31F3F"/>
    <w:rsid w:val="00B33D78"/>
    <w:rsid w:val="00B63BD2"/>
    <w:rsid w:val="00B75A53"/>
    <w:rsid w:val="00B766C7"/>
    <w:rsid w:val="00B841A5"/>
    <w:rsid w:val="00B91EAC"/>
    <w:rsid w:val="00BA10D5"/>
    <w:rsid w:val="00BA2431"/>
    <w:rsid w:val="00BA76C5"/>
    <w:rsid w:val="00BB2642"/>
    <w:rsid w:val="00BD5491"/>
    <w:rsid w:val="00BE775E"/>
    <w:rsid w:val="00BF1680"/>
    <w:rsid w:val="00C00C40"/>
    <w:rsid w:val="00C07322"/>
    <w:rsid w:val="00C10F1E"/>
    <w:rsid w:val="00C41306"/>
    <w:rsid w:val="00C41CB9"/>
    <w:rsid w:val="00C631D2"/>
    <w:rsid w:val="00C95A5D"/>
    <w:rsid w:val="00CB151A"/>
    <w:rsid w:val="00CB1850"/>
    <w:rsid w:val="00CC29DE"/>
    <w:rsid w:val="00CE08EE"/>
    <w:rsid w:val="00CF52FF"/>
    <w:rsid w:val="00D030D7"/>
    <w:rsid w:val="00D37E2B"/>
    <w:rsid w:val="00D51E79"/>
    <w:rsid w:val="00D83052"/>
    <w:rsid w:val="00D8727F"/>
    <w:rsid w:val="00D917E1"/>
    <w:rsid w:val="00D94835"/>
    <w:rsid w:val="00DA6706"/>
    <w:rsid w:val="00DA6C58"/>
    <w:rsid w:val="00DB6CF5"/>
    <w:rsid w:val="00DC3026"/>
    <w:rsid w:val="00DF4CC0"/>
    <w:rsid w:val="00DF7EA4"/>
    <w:rsid w:val="00E013AA"/>
    <w:rsid w:val="00E33103"/>
    <w:rsid w:val="00E342BA"/>
    <w:rsid w:val="00E35CE1"/>
    <w:rsid w:val="00E5009B"/>
    <w:rsid w:val="00E6213B"/>
    <w:rsid w:val="00E745AA"/>
    <w:rsid w:val="00E913C4"/>
    <w:rsid w:val="00E96191"/>
    <w:rsid w:val="00EA3285"/>
    <w:rsid w:val="00EA3BEB"/>
    <w:rsid w:val="00EA6221"/>
    <w:rsid w:val="00F14E7D"/>
    <w:rsid w:val="00F515C1"/>
    <w:rsid w:val="00F55089"/>
    <w:rsid w:val="00F642B3"/>
    <w:rsid w:val="00F76BDB"/>
    <w:rsid w:val="00F76EBD"/>
    <w:rsid w:val="00F778D8"/>
    <w:rsid w:val="00F8312E"/>
    <w:rsid w:val="00FA20B0"/>
    <w:rsid w:val="00FC6E10"/>
    <w:rsid w:val="00FD2E66"/>
    <w:rsid w:val="00FD7D58"/>
    <w:rsid w:val="00FE1FB0"/>
    <w:rsid w:val="00FE455B"/>
    <w:rsid w:val="00FF0C5B"/>
    <w:rsid w:val="00FF4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B66CD5"/>
  <w15:chartTrackingRefBased/>
  <w15:docId w15:val="{11C2B606-C41E-4CD5-92C0-EF7C1629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7E1"/>
    <w:rPr>
      <w:rFonts w:eastAsiaTheme="majorEastAsia" w:cstheme="majorBidi"/>
      <w:color w:val="272727" w:themeColor="text1" w:themeTint="D8"/>
    </w:rPr>
  </w:style>
  <w:style w:type="paragraph" w:styleId="Title">
    <w:name w:val="Title"/>
    <w:basedOn w:val="Normal"/>
    <w:next w:val="Normal"/>
    <w:link w:val="TitleChar"/>
    <w:uiPriority w:val="10"/>
    <w:qFormat/>
    <w:rsid w:val="00D91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7E1"/>
    <w:pPr>
      <w:spacing w:before="160"/>
      <w:jc w:val="center"/>
    </w:pPr>
    <w:rPr>
      <w:i/>
      <w:iCs/>
      <w:color w:val="404040" w:themeColor="text1" w:themeTint="BF"/>
    </w:rPr>
  </w:style>
  <w:style w:type="character" w:customStyle="1" w:styleId="QuoteChar">
    <w:name w:val="Quote Char"/>
    <w:basedOn w:val="DefaultParagraphFont"/>
    <w:link w:val="Quote"/>
    <w:uiPriority w:val="29"/>
    <w:rsid w:val="00D917E1"/>
    <w:rPr>
      <w:i/>
      <w:iCs/>
      <w:color w:val="404040" w:themeColor="text1" w:themeTint="BF"/>
    </w:rPr>
  </w:style>
  <w:style w:type="paragraph" w:styleId="ListParagraph">
    <w:name w:val="List Paragraph"/>
    <w:basedOn w:val="Normal"/>
    <w:uiPriority w:val="34"/>
    <w:qFormat/>
    <w:rsid w:val="00D917E1"/>
    <w:pPr>
      <w:ind w:left="720"/>
      <w:contextualSpacing/>
    </w:pPr>
  </w:style>
  <w:style w:type="character" w:styleId="IntenseEmphasis">
    <w:name w:val="Intense Emphasis"/>
    <w:basedOn w:val="DefaultParagraphFont"/>
    <w:uiPriority w:val="21"/>
    <w:qFormat/>
    <w:rsid w:val="00D917E1"/>
    <w:rPr>
      <w:i/>
      <w:iCs/>
      <w:color w:val="0F4761" w:themeColor="accent1" w:themeShade="BF"/>
    </w:rPr>
  </w:style>
  <w:style w:type="paragraph" w:styleId="IntenseQuote">
    <w:name w:val="Intense Quote"/>
    <w:basedOn w:val="Normal"/>
    <w:next w:val="Normal"/>
    <w:link w:val="IntenseQuoteChar"/>
    <w:uiPriority w:val="30"/>
    <w:qFormat/>
    <w:rsid w:val="00D91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7E1"/>
    <w:rPr>
      <w:i/>
      <w:iCs/>
      <w:color w:val="0F4761" w:themeColor="accent1" w:themeShade="BF"/>
    </w:rPr>
  </w:style>
  <w:style w:type="character" w:styleId="IntenseReference">
    <w:name w:val="Intense Reference"/>
    <w:basedOn w:val="DefaultParagraphFont"/>
    <w:uiPriority w:val="32"/>
    <w:qFormat/>
    <w:rsid w:val="00D917E1"/>
    <w:rPr>
      <w:b/>
      <w:bCs/>
      <w:smallCaps/>
      <w:color w:val="0F4761" w:themeColor="accent1" w:themeShade="BF"/>
      <w:spacing w:val="5"/>
    </w:rPr>
  </w:style>
  <w:style w:type="paragraph" w:customStyle="1" w:styleId="Body">
    <w:name w:val="Body"/>
    <w:basedOn w:val="Normal"/>
    <w:rsid w:val="00082385"/>
    <w:pPr>
      <w:spacing w:after="240" w:line="240" w:lineRule="auto"/>
      <w:jc w:val="both"/>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08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25E9D"/>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Author">
    <w:name w:val="Author"/>
    <w:basedOn w:val="Normal"/>
    <w:rsid w:val="00032C18"/>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032C18"/>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D5491"/>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9606B9"/>
    <w:pPr>
      <w:keepNext/>
      <w:spacing w:after="240" w:line="240" w:lineRule="auto"/>
    </w:pPr>
    <w:rPr>
      <w:rFonts w:ascii="Helvetica" w:eastAsia="Times New Roman" w:hAnsi="Helvetica" w:cs="Times New Roman"/>
      <w:b/>
      <w:caps/>
      <w:kern w:val="0"/>
      <w:sz w:val="22"/>
      <w:szCs w:val="20"/>
      <w:lang w:val="en-US"/>
      <w14:ligatures w14:val="none"/>
    </w:rPr>
  </w:style>
  <w:style w:type="paragraph" w:styleId="NormalWeb">
    <w:name w:val="Normal (Web)"/>
    <w:basedOn w:val="Normal"/>
    <w:uiPriority w:val="99"/>
    <w:unhideWhenUsed/>
    <w:rsid w:val="007C5AB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Spacing">
    <w:name w:val="No Spacing"/>
    <w:uiPriority w:val="1"/>
    <w:qFormat/>
    <w:rsid w:val="007C5BF5"/>
    <w:pPr>
      <w:spacing w:after="0" w:line="240" w:lineRule="auto"/>
    </w:pPr>
  </w:style>
  <w:style w:type="character" w:styleId="Hyperlink">
    <w:name w:val="Hyperlink"/>
    <w:basedOn w:val="DefaultParagraphFont"/>
    <w:uiPriority w:val="99"/>
    <w:unhideWhenUsed/>
    <w:rsid w:val="0075201A"/>
    <w:rPr>
      <w:color w:val="467886" w:themeColor="hyperlink"/>
      <w:u w:val="single"/>
    </w:rPr>
  </w:style>
  <w:style w:type="character" w:styleId="UnresolvedMention">
    <w:name w:val="Unresolved Mention"/>
    <w:basedOn w:val="DefaultParagraphFont"/>
    <w:uiPriority w:val="99"/>
    <w:semiHidden/>
    <w:unhideWhenUsed/>
    <w:rsid w:val="0075201A"/>
    <w:rPr>
      <w:color w:val="605E5C"/>
      <w:shd w:val="clear" w:color="auto" w:fill="E1DFDD"/>
    </w:rPr>
  </w:style>
  <w:style w:type="paragraph" w:styleId="Header">
    <w:name w:val="header"/>
    <w:basedOn w:val="Normal"/>
    <w:link w:val="HeaderChar"/>
    <w:uiPriority w:val="99"/>
    <w:unhideWhenUsed/>
    <w:rsid w:val="00962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B5"/>
  </w:style>
  <w:style w:type="paragraph" w:styleId="Footer">
    <w:name w:val="footer"/>
    <w:basedOn w:val="Normal"/>
    <w:link w:val="FooterChar"/>
    <w:uiPriority w:val="99"/>
    <w:unhideWhenUsed/>
    <w:rsid w:val="00962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pc\Documents\synopsis%20and%20thesis\Nutrient%20utilization%20excel%20&amp;%20stats\NUTR.UTIL.EXCEL%20&amp;%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FEED</a:t>
            </a:r>
            <a:r>
              <a:rPr lang="en-US" baseline="0"/>
              <a:t> INTAKE</a:t>
            </a:r>
            <a:endParaRPr lang="en-US"/>
          </a:p>
        </c:rich>
      </c:tx>
      <c:overlay val="0"/>
    </c:title>
    <c:autoTitleDeleted val="0"/>
    <c:plotArea>
      <c:layout/>
      <c:barChart>
        <c:barDir val="col"/>
        <c:grouping val="clustered"/>
        <c:varyColors val="0"/>
        <c:ser>
          <c:idx val="0"/>
          <c:order val="0"/>
          <c:tx>
            <c:strRef>
              <c:f>'CUMM. DATA'!$U$53</c:f>
              <c:strCache>
                <c:ptCount val="1"/>
                <c:pt idx="0">
                  <c:v>0-21 DAY</c:v>
                </c:pt>
              </c:strCache>
            </c:strRef>
          </c:tx>
          <c:invertIfNegative val="0"/>
          <c:cat>
            <c:strRef>
              <c:f>'CUMM. DATA'!$T$54:$T$57</c:f>
              <c:strCache>
                <c:ptCount val="4"/>
                <c:pt idx="0">
                  <c:v>T1</c:v>
                </c:pt>
                <c:pt idx="1">
                  <c:v>T2</c:v>
                </c:pt>
                <c:pt idx="2">
                  <c:v>T3</c:v>
                </c:pt>
                <c:pt idx="3">
                  <c:v>T4</c:v>
                </c:pt>
              </c:strCache>
            </c:strRef>
          </c:cat>
          <c:val>
            <c:numRef>
              <c:f>'CUMM. DATA'!$U$54:$U$57</c:f>
              <c:numCache>
                <c:formatCode>General</c:formatCode>
                <c:ptCount val="4"/>
                <c:pt idx="0">
                  <c:v>900.29</c:v>
                </c:pt>
                <c:pt idx="1">
                  <c:v>902.86</c:v>
                </c:pt>
                <c:pt idx="2">
                  <c:v>905.08</c:v>
                </c:pt>
                <c:pt idx="3">
                  <c:v>907.78</c:v>
                </c:pt>
              </c:numCache>
            </c:numRef>
          </c:val>
          <c:extLst>
            <c:ext xmlns:c16="http://schemas.microsoft.com/office/drawing/2014/chart" uri="{C3380CC4-5D6E-409C-BE32-E72D297353CC}">
              <c16:uniqueId val="{00000000-E336-45DE-8FD0-49691872F663}"/>
            </c:ext>
          </c:extLst>
        </c:ser>
        <c:ser>
          <c:idx val="1"/>
          <c:order val="1"/>
          <c:tx>
            <c:strRef>
              <c:f>'CUMM. DATA'!$V$53</c:f>
              <c:strCache>
                <c:ptCount val="1"/>
                <c:pt idx="0">
                  <c:v>21-42 DAY</c:v>
                </c:pt>
              </c:strCache>
            </c:strRef>
          </c:tx>
          <c:invertIfNegative val="0"/>
          <c:cat>
            <c:strRef>
              <c:f>'CUMM. DATA'!$T$54:$T$57</c:f>
              <c:strCache>
                <c:ptCount val="4"/>
                <c:pt idx="0">
                  <c:v>T1</c:v>
                </c:pt>
                <c:pt idx="1">
                  <c:v>T2</c:v>
                </c:pt>
                <c:pt idx="2">
                  <c:v>T3</c:v>
                </c:pt>
                <c:pt idx="3">
                  <c:v>T4</c:v>
                </c:pt>
              </c:strCache>
            </c:strRef>
          </c:cat>
          <c:val>
            <c:numRef>
              <c:f>'CUMM. DATA'!$V$54:$V$57</c:f>
              <c:numCache>
                <c:formatCode>General</c:formatCode>
                <c:ptCount val="4"/>
                <c:pt idx="0">
                  <c:v>2880.66</c:v>
                </c:pt>
                <c:pt idx="1">
                  <c:v>2886.44</c:v>
                </c:pt>
                <c:pt idx="2">
                  <c:v>2866.39</c:v>
                </c:pt>
                <c:pt idx="3">
                  <c:v>2879.91</c:v>
                </c:pt>
              </c:numCache>
            </c:numRef>
          </c:val>
          <c:extLst>
            <c:ext xmlns:c16="http://schemas.microsoft.com/office/drawing/2014/chart" uri="{C3380CC4-5D6E-409C-BE32-E72D297353CC}">
              <c16:uniqueId val="{00000001-E336-45DE-8FD0-49691872F663}"/>
            </c:ext>
          </c:extLst>
        </c:ser>
        <c:ser>
          <c:idx val="2"/>
          <c:order val="2"/>
          <c:tx>
            <c:strRef>
              <c:f>'CUMM. DATA'!$W$53</c:f>
              <c:strCache>
                <c:ptCount val="1"/>
                <c:pt idx="0">
                  <c:v>0-42 DAY</c:v>
                </c:pt>
              </c:strCache>
            </c:strRef>
          </c:tx>
          <c:invertIfNegative val="0"/>
          <c:cat>
            <c:strRef>
              <c:f>'CUMM. DATA'!$T$54:$T$57</c:f>
              <c:strCache>
                <c:ptCount val="4"/>
                <c:pt idx="0">
                  <c:v>T1</c:v>
                </c:pt>
                <c:pt idx="1">
                  <c:v>T2</c:v>
                </c:pt>
                <c:pt idx="2">
                  <c:v>T3</c:v>
                </c:pt>
                <c:pt idx="3">
                  <c:v>T4</c:v>
                </c:pt>
              </c:strCache>
            </c:strRef>
          </c:cat>
          <c:val>
            <c:numRef>
              <c:f>'CUMM. DATA'!$W$54:$W$57</c:f>
              <c:numCache>
                <c:formatCode>General</c:formatCode>
                <c:ptCount val="4"/>
                <c:pt idx="0">
                  <c:v>3780.95</c:v>
                </c:pt>
                <c:pt idx="1">
                  <c:v>3789.3</c:v>
                </c:pt>
                <c:pt idx="2">
                  <c:v>3771.47</c:v>
                </c:pt>
                <c:pt idx="3">
                  <c:v>3787.7</c:v>
                </c:pt>
              </c:numCache>
            </c:numRef>
          </c:val>
          <c:extLst>
            <c:ext xmlns:c16="http://schemas.microsoft.com/office/drawing/2014/chart" uri="{C3380CC4-5D6E-409C-BE32-E72D297353CC}">
              <c16:uniqueId val="{00000002-E336-45DE-8FD0-49691872F663}"/>
            </c:ext>
          </c:extLst>
        </c:ser>
        <c:dLbls>
          <c:showLegendKey val="0"/>
          <c:showVal val="0"/>
          <c:showCatName val="0"/>
          <c:showSerName val="0"/>
          <c:showPercent val="0"/>
          <c:showBubbleSize val="0"/>
        </c:dLbls>
        <c:gapWidth val="150"/>
        <c:axId val="86110208"/>
        <c:axId val="109707648"/>
      </c:barChart>
      <c:catAx>
        <c:axId val="86110208"/>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2319192040158476"/>
              <c:y val="0.87256892206092107"/>
            </c:manualLayout>
          </c:layout>
          <c:overlay val="0"/>
        </c:title>
        <c:numFmt formatCode="General" sourceLinked="0"/>
        <c:majorTickMark val="none"/>
        <c:minorTickMark val="none"/>
        <c:tickLblPos val="nextTo"/>
        <c:crossAx val="109707648"/>
        <c:crosses val="autoZero"/>
        <c:auto val="1"/>
        <c:lblAlgn val="ctr"/>
        <c:lblOffset val="100"/>
        <c:noMultiLvlLbl val="0"/>
      </c:catAx>
      <c:valAx>
        <c:axId val="109707648"/>
        <c:scaling>
          <c:orientation val="minMax"/>
        </c:scaling>
        <c:delete val="0"/>
        <c:axPos val="l"/>
        <c:majorGridlines/>
        <c:title>
          <c:tx>
            <c:rich>
              <a:bodyPr/>
              <a:lstStyle/>
              <a:p>
                <a:pPr>
                  <a:defRPr/>
                </a:pPr>
                <a:r>
                  <a:rPr lang="en-US" sz="1100">
                    <a:latin typeface="+mn-lt"/>
                    <a:cs typeface="Times New Roman" pitchFamily="18" charset="0"/>
                  </a:rPr>
                  <a:t>Grams</a:t>
                </a:r>
              </a:p>
            </c:rich>
          </c:tx>
          <c:layout>
            <c:manualLayout>
              <c:xMode val="edge"/>
              <c:yMode val="edge"/>
              <c:x val="1.9011406844106463E-2"/>
              <c:y val="0.42315116937926184"/>
            </c:manualLayout>
          </c:layout>
          <c:overlay val="0"/>
        </c:title>
        <c:numFmt formatCode="General" sourceLinked="1"/>
        <c:majorTickMark val="out"/>
        <c:minorTickMark val="none"/>
        <c:tickLblPos val="nextTo"/>
        <c:crossAx val="86110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Feed</a:t>
            </a:r>
            <a:r>
              <a:rPr lang="en-US" baseline="0"/>
              <a:t> Conversion Ratio</a:t>
            </a:r>
            <a:endParaRPr lang="en-US"/>
          </a:p>
        </c:rich>
      </c:tx>
      <c:overlay val="0"/>
    </c:title>
    <c:autoTitleDeleted val="0"/>
    <c:plotArea>
      <c:layout/>
      <c:barChart>
        <c:barDir val="col"/>
        <c:grouping val="clustered"/>
        <c:varyColors val="0"/>
        <c:ser>
          <c:idx val="0"/>
          <c:order val="0"/>
          <c:tx>
            <c:strRef>
              <c:f>'CUMM. DATA'!$AA$53</c:f>
              <c:strCache>
                <c:ptCount val="1"/>
                <c:pt idx="0">
                  <c:v>0-21 DAY</c:v>
                </c:pt>
              </c:strCache>
            </c:strRef>
          </c:tx>
          <c:invertIfNegative val="0"/>
          <c:cat>
            <c:strRef>
              <c:f>'CUMM. DATA'!$Z$54:$Z$57</c:f>
              <c:strCache>
                <c:ptCount val="4"/>
                <c:pt idx="0">
                  <c:v>T1</c:v>
                </c:pt>
                <c:pt idx="1">
                  <c:v>T2</c:v>
                </c:pt>
                <c:pt idx="2">
                  <c:v>T3</c:v>
                </c:pt>
                <c:pt idx="3">
                  <c:v>T4</c:v>
                </c:pt>
              </c:strCache>
            </c:strRef>
          </c:cat>
          <c:val>
            <c:numRef>
              <c:f>'CUMM. DATA'!$AA$54:$AA$57</c:f>
              <c:numCache>
                <c:formatCode>General</c:formatCode>
                <c:ptCount val="4"/>
                <c:pt idx="0">
                  <c:v>1.51</c:v>
                </c:pt>
                <c:pt idx="1">
                  <c:v>1.49</c:v>
                </c:pt>
                <c:pt idx="2">
                  <c:v>1.47</c:v>
                </c:pt>
                <c:pt idx="3">
                  <c:v>1.48</c:v>
                </c:pt>
              </c:numCache>
            </c:numRef>
          </c:val>
          <c:extLst>
            <c:ext xmlns:c16="http://schemas.microsoft.com/office/drawing/2014/chart" uri="{C3380CC4-5D6E-409C-BE32-E72D297353CC}">
              <c16:uniqueId val="{00000000-F462-4B6B-9203-6F9DA0D15AC9}"/>
            </c:ext>
          </c:extLst>
        </c:ser>
        <c:ser>
          <c:idx val="1"/>
          <c:order val="1"/>
          <c:tx>
            <c:strRef>
              <c:f>'CUMM. DATA'!$AB$53</c:f>
              <c:strCache>
                <c:ptCount val="1"/>
                <c:pt idx="0">
                  <c:v>21-42 DAY</c:v>
                </c:pt>
              </c:strCache>
            </c:strRef>
          </c:tx>
          <c:invertIfNegative val="0"/>
          <c:cat>
            <c:strRef>
              <c:f>'CUMM. DATA'!$Z$54:$Z$57</c:f>
              <c:strCache>
                <c:ptCount val="4"/>
                <c:pt idx="0">
                  <c:v>T1</c:v>
                </c:pt>
                <c:pt idx="1">
                  <c:v>T2</c:v>
                </c:pt>
                <c:pt idx="2">
                  <c:v>T3</c:v>
                </c:pt>
                <c:pt idx="3">
                  <c:v>T4</c:v>
                </c:pt>
              </c:strCache>
            </c:strRef>
          </c:cat>
          <c:val>
            <c:numRef>
              <c:f>'CUMM. DATA'!$AB$54:$AB$57</c:f>
              <c:numCache>
                <c:formatCode>General</c:formatCode>
                <c:ptCount val="4"/>
                <c:pt idx="0">
                  <c:v>1.79</c:v>
                </c:pt>
                <c:pt idx="1">
                  <c:v>1.78</c:v>
                </c:pt>
                <c:pt idx="2">
                  <c:v>1.74</c:v>
                </c:pt>
                <c:pt idx="3">
                  <c:v>1.76</c:v>
                </c:pt>
              </c:numCache>
            </c:numRef>
          </c:val>
          <c:extLst>
            <c:ext xmlns:c16="http://schemas.microsoft.com/office/drawing/2014/chart" uri="{C3380CC4-5D6E-409C-BE32-E72D297353CC}">
              <c16:uniqueId val="{00000001-F462-4B6B-9203-6F9DA0D15AC9}"/>
            </c:ext>
          </c:extLst>
        </c:ser>
        <c:ser>
          <c:idx val="2"/>
          <c:order val="2"/>
          <c:tx>
            <c:strRef>
              <c:f>'CUMM. DATA'!$AC$53</c:f>
              <c:strCache>
                <c:ptCount val="1"/>
                <c:pt idx="0">
                  <c:v>0-42 DAY</c:v>
                </c:pt>
              </c:strCache>
            </c:strRef>
          </c:tx>
          <c:invertIfNegative val="0"/>
          <c:cat>
            <c:strRef>
              <c:f>'CUMM. DATA'!$Z$54:$Z$57</c:f>
              <c:strCache>
                <c:ptCount val="4"/>
                <c:pt idx="0">
                  <c:v>T1</c:v>
                </c:pt>
                <c:pt idx="1">
                  <c:v>T2</c:v>
                </c:pt>
                <c:pt idx="2">
                  <c:v>T3</c:v>
                </c:pt>
                <c:pt idx="3">
                  <c:v>T4</c:v>
                </c:pt>
              </c:strCache>
            </c:strRef>
          </c:cat>
          <c:val>
            <c:numRef>
              <c:f>'CUMM. DATA'!$AC$54:$AC$57</c:f>
              <c:numCache>
                <c:formatCode>General</c:formatCode>
                <c:ptCount val="4"/>
                <c:pt idx="0">
                  <c:v>1.72</c:v>
                </c:pt>
                <c:pt idx="1">
                  <c:v>1.7</c:v>
                </c:pt>
                <c:pt idx="2">
                  <c:v>1.67</c:v>
                </c:pt>
                <c:pt idx="3">
                  <c:v>1.68</c:v>
                </c:pt>
              </c:numCache>
            </c:numRef>
          </c:val>
          <c:extLst>
            <c:ext xmlns:c16="http://schemas.microsoft.com/office/drawing/2014/chart" uri="{C3380CC4-5D6E-409C-BE32-E72D297353CC}">
              <c16:uniqueId val="{00000002-F462-4B6B-9203-6F9DA0D15AC9}"/>
            </c:ext>
          </c:extLst>
        </c:ser>
        <c:dLbls>
          <c:showLegendKey val="0"/>
          <c:showVal val="0"/>
          <c:showCatName val="0"/>
          <c:showSerName val="0"/>
          <c:showPercent val="0"/>
          <c:showBubbleSize val="0"/>
        </c:dLbls>
        <c:gapWidth val="150"/>
        <c:axId val="159800704"/>
        <c:axId val="191675776"/>
      </c:barChart>
      <c:catAx>
        <c:axId val="159800704"/>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overlay val="0"/>
        </c:title>
        <c:numFmt formatCode="General" sourceLinked="0"/>
        <c:majorTickMark val="none"/>
        <c:minorTickMark val="none"/>
        <c:tickLblPos val="nextTo"/>
        <c:crossAx val="191675776"/>
        <c:crosses val="autoZero"/>
        <c:auto val="1"/>
        <c:lblAlgn val="ctr"/>
        <c:lblOffset val="100"/>
        <c:noMultiLvlLbl val="0"/>
      </c:catAx>
      <c:valAx>
        <c:axId val="191675776"/>
        <c:scaling>
          <c:orientation val="minMax"/>
        </c:scaling>
        <c:delete val="0"/>
        <c:axPos val="l"/>
        <c:majorGridlines/>
        <c:numFmt formatCode="General" sourceLinked="1"/>
        <c:majorTickMark val="out"/>
        <c:minorTickMark val="none"/>
        <c:tickLblPos val="nextTo"/>
        <c:crossAx val="159800704"/>
        <c:crosses val="autoZero"/>
        <c:crossBetween val="between"/>
      </c:valAx>
    </c:plotArea>
    <c:legend>
      <c:legendPos val="r"/>
      <c:overlay val="0"/>
      <c:txPr>
        <a:bodyPr/>
        <a:lstStyle/>
        <a:p>
          <a:pPr>
            <a:defRPr>
              <a:latin typeface="+mn-lt"/>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Performance Index</a:t>
            </a:r>
          </a:p>
        </c:rich>
      </c:tx>
      <c:overlay val="0"/>
    </c:title>
    <c:autoTitleDeleted val="0"/>
    <c:plotArea>
      <c:layout/>
      <c:barChart>
        <c:barDir val="col"/>
        <c:grouping val="clustered"/>
        <c:varyColors val="0"/>
        <c:ser>
          <c:idx val="0"/>
          <c:order val="0"/>
          <c:tx>
            <c:strRef>
              <c:f>'CUMM. DATA'!$AF$53</c:f>
              <c:strCache>
                <c:ptCount val="1"/>
                <c:pt idx="0">
                  <c:v>0-21 DAYS</c:v>
                </c:pt>
              </c:strCache>
            </c:strRef>
          </c:tx>
          <c:invertIfNegative val="0"/>
          <c:cat>
            <c:strRef>
              <c:f>'CUMM. DATA'!$AE$54:$AE$57</c:f>
              <c:strCache>
                <c:ptCount val="4"/>
                <c:pt idx="0">
                  <c:v>T1</c:v>
                </c:pt>
                <c:pt idx="1">
                  <c:v>T2</c:v>
                </c:pt>
                <c:pt idx="2">
                  <c:v>T3</c:v>
                </c:pt>
                <c:pt idx="3">
                  <c:v>T4</c:v>
                </c:pt>
              </c:strCache>
            </c:strRef>
          </c:cat>
          <c:val>
            <c:numRef>
              <c:f>'CUMM. DATA'!$AF$54:$AF$57</c:f>
              <c:numCache>
                <c:formatCode>General</c:formatCode>
                <c:ptCount val="4"/>
                <c:pt idx="0">
                  <c:v>396.44</c:v>
                </c:pt>
                <c:pt idx="1">
                  <c:v>407.21</c:v>
                </c:pt>
                <c:pt idx="2">
                  <c:v>423.46</c:v>
                </c:pt>
                <c:pt idx="3">
                  <c:v>414.75</c:v>
                </c:pt>
              </c:numCache>
            </c:numRef>
          </c:val>
          <c:extLst>
            <c:ext xmlns:c16="http://schemas.microsoft.com/office/drawing/2014/chart" uri="{C3380CC4-5D6E-409C-BE32-E72D297353CC}">
              <c16:uniqueId val="{00000000-CAE9-43F7-B88D-2A9D1A699FB7}"/>
            </c:ext>
          </c:extLst>
        </c:ser>
        <c:ser>
          <c:idx val="1"/>
          <c:order val="1"/>
          <c:tx>
            <c:strRef>
              <c:f>'CUMM. DATA'!$AG$53</c:f>
              <c:strCache>
                <c:ptCount val="1"/>
                <c:pt idx="0">
                  <c:v>21-42 DAY</c:v>
                </c:pt>
              </c:strCache>
            </c:strRef>
          </c:tx>
          <c:invertIfNegative val="0"/>
          <c:cat>
            <c:strRef>
              <c:f>'CUMM. DATA'!$AE$54:$AE$57</c:f>
              <c:strCache>
                <c:ptCount val="4"/>
                <c:pt idx="0">
                  <c:v>T1</c:v>
                </c:pt>
                <c:pt idx="1">
                  <c:v>T2</c:v>
                </c:pt>
                <c:pt idx="2">
                  <c:v>T3</c:v>
                </c:pt>
                <c:pt idx="3">
                  <c:v>T4</c:v>
                </c:pt>
              </c:strCache>
            </c:strRef>
          </c:cat>
          <c:val>
            <c:numRef>
              <c:f>'CUMM. DATA'!$AG$54:$AG$57</c:f>
              <c:numCache>
                <c:formatCode>General</c:formatCode>
                <c:ptCount val="4"/>
                <c:pt idx="0">
                  <c:v>892.79</c:v>
                </c:pt>
                <c:pt idx="1">
                  <c:v>905.6</c:v>
                </c:pt>
                <c:pt idx="2">
                  <c:v>938.24</c:v>
                </c:pt>
                <c:pt idx="3">
                  <c:v>925.32</c:v>
                </c:pt>
              </c:numCache>
            </c:numRef>
          </c:val>
          <c:extLst>
            <c:ext xmlns:c16="http://schemas.microsoft.com/office/drawing/2014/chart" uri="{C3380CC4-5D6E-409C-BE32-E72D297353CC}">
              <c16:uniqueId val="{00000001-CAE9-43F7-B88D-2A9D1A699FB7}"/>
            </c:ext>
          </c:extLst>
        </c:ser>
        <c:ser>
          <c:idx val="2"/>
          <c:order val="2"/>
          <c:tx>
            <c:strRef>
              <c:f>'CUMM. DATA'!$AH$53</c:f>
              <c:strCache>
                <c:ptCount val="1"/>
                <c:pt idx="0">
                  <c:v>0-42 DAY</c:v>
                </c:pt>
              </c:strCache>
            </c:strRef>
          </c:tx>
          <c:invertIfNegative val="0"/>
          <c:cat>
            <c:strRef>
              <c:f>'CUMM. DATA'!$AE$54:$AE$57</c:f>
              <c:strCache>
                <c:ptCount val="4"/>
                <c:pt idx="0">
                  <c:v>T1</c:v>
                </c:pt>
                <c:pt idx="1">
                  <c:v>T2</c:v>
                </c:pt>
                <c:pt idx="2">
                  <c:v>T3</c:v>
                </c:pt>
                <c:pt idx="3">
                  <c:v>T4</c:v>
                </c:pt>
              </c:strCache>
            </c:strRef>
          </c:cat>
          <c:val>
            <c:numRef>
              <c:f>'CUMM. DATA'!$AH$54:$AH$57</c:f>
              <c:numCache>
                <c:formatCode>General</c:formatCode>
                <c:ptCount val="4"/>
                <c:pt idx="0">
                  <c:v>1289.24</c:v>
                </c:pt>
                <c:pt idx="1">
                  <c:v>1312.81</c:v>
                </c:pt>
                <c:pt idx="2">
                  <c:v>1361.71</c:v>
                </c:pt>
                <c:pt idx="3">
                  <c:v>1340.08</c:v>
                </c:pt>
              </c:numCache>
            </c:numRef>
          </c:val>
          <c:extLst>
            <c:ext xmlns:c16="http://schemas.microsoft.com/office/drawing/2014/chart" uri="{C3380CC4-5D6E-409C-BE32-E72D297353CC}">
              <c16:uniqueId val="{00000002-CAE9-43F7-B88D-2A9D1A699FB7}"/>
            </c:ext>
          </c:extLst>
        </c:ser>
        <c:dLbls>
          <c:showLegendKey val="0"/>
          <c:showVal val="0"/>
          <c:showCatName val="0"/>
          <c:showSerName val="0"/>
          <c:showPercent val="0"/>
          <c:showBubbleSize val="0"/>
        </c:dLbls>
        <c:gapWidth val="150"/>
        <c:axId val="109720320"/>
        <c:axId val="109722240"/>
      </c:barChart>
      <c:catAx>
        <c:axId val="10972032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09722240"/>
        <c:crosses val="autoZero"/>
        <c:auto val="1"/>
        <c:lblAlgn val="ctr"/>
        <c:lblOffset val="100"/>
        <c:noMultiLvlLbl val="0"/>
      </c:catAx>
      <c:valAx>
        <c:axId val="109722240"/>
        <c:scaling>
          <c:orientation val="minMax"/>
        </c:scaling>
        <c:delete val="0"/>
        <c:axPos val="l"/>
        <c:majorGridlines/>
        <c:numFmt formatCode="General" sourceLinked="1"/>
        <c:majorTickMark val="out"/>
        <c:minorTickMark val="none"/>
        <c:tickLblPos val="nextTo"/>
        <c:crossAx val="1097203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Nutrient Utilization</a:t>
            </a:r>
          </a:p>
        </c:rich>
      </c:tx>
      <c:overlay val="0"/>
    </c:title>
    <c:autoTitleDeleted val="0"/>
    <c:plotArea>
      <c:layout/>
      <c:barChart>
        <c:barDir val="col"/>
        <c:grouping val="clustered"/>
        <c:varyColors val="0"/>
        <c:ser>
          <c:idx val="0"/>
          <c:order val="0"/>
          <c:tx>
            <c:strRef>
              <c:f>Sheet1!$S$9</c:f>
              <c:strCache>
                <c:ptCount val="1"/>
                <c:pt idx="0">
                  <c:v>Dry matter</c:v>
                </c:pt>
              </c:strCache>
            </c:strRef>
          </c:tx>
          <c:invertIfNegative val="0"/>
          <c:cat>
            <c:strRef>
              <c:f>Sheet1!$T$8:$W$8</c:f>
              <c:strCache>
                <c:ptCount val="4"/>
                <c:pt idx="0">
                  <c:v>T1</c:v>
                </c:pt>
                <c:pt idx="1">
                  <c:v>T2</c:v>
                </c:pt>
                <c:pt idx="2">
                  <c:v>T3</c:v>
                </c:pt>
                <c:pt idx="3">
                  <c:v>T4</c:v>
                </c:pt>
              </c:strCache>
            </c:strRef>
          </c:cat>
          <c:val>
            <c:numRef>
              <c:f>Sheet1!$T$9:$W$9</c:f>
              <c:numCache>
                <c:formatCode>General</c:formatCode>
                <c:ptCount val="4"/>
                <c:pt idx="0">
                  <c:v>71.599999999999994</c:v>
                </c:pt>
                <c:pt idx="1">
                  <c:v>72.33</c:v>
                </c:pt>
                <c:pt idx="2">
                  <c:v>73.44</c:v>
                </c:pt>
                <c:pt idx="3">
                  <c:v>72.739999999999995</c:v>
                </c:pt>
              </c:numCache>
            </c:numRef>
          </c:val>
          <c:extLst>
            <c:ext xmlns:c16="http://schemas.microsoft.com/office/drawing/2014/chart" uri="{C3380CC4-5D6E-409C-BE32-E72D297353CC}">
              <c16:uniqueId val="{00000000-17C4-4057-BCA2-A45B80F59BF5}"/>
            </c:ext>
          </c:extLst>
        </c:ser>
        <c:ser>
          <c:idx val="1"/>
          <c:order val="1"/>
          <c:tx>
            <c:strRef>
              <c:f>Sheet1!$S$10</c:f>
              <c:strCache>
                <c:ptCount val="1"/>
                <c:pt idx="0">
                  <c:v>Organic matter</c:v>
                </c:pt>
              </c:strCache>
            </c:strRef>
          </c:tx>
          <c:invertIfNegative val="0"/>
          <c:cat>
            <c:strRef>
              <c:f>Sheet1!$T$8:$W$8</c:f>
              <c:strCache>
                <c:ptCount val="4"/>
                <c:pt idx="0">
                  <c:v>T1</c:v>
                </c:pt>
                <c:pt idx="1">
                  <c:v>T2</c:v>
                </c:pt>
                <c:pt idx="2">
                  <c:v>T3</c:v>
                </c:pt>
                <c:pt idx="3">
                  <c:v>T4</c:v>
                </c:pt>
              </c:strCache>
            </c:strRef>
          </c:cat>
          <c:val>
            <c:numRef>
              <c:f>Sheet1!$T$10:$W$10</c:f>
              <c:numCache>
                <c:formatCode>General</c:formatCode>
                <c:ptCount val="4"/>
                <c:pt idx="0">
                  <c:v>73.099999999999994</c:v>
                </c:pt>
                <c:pt idx="1">
                  <c:v>74.680000000000007</c:v>
                </c:pt>
                <c:pt idx="2">
                  <c:v>76.069999999999993</c:v>
                </c:pt>
                <c:pt idx="3">
                  <c:v>76.7</c:v>
                </c:pt>
              </c:numCache>
            </c:numRef>
          </c:val>
          <c:extLst>
            <c:ext xmlns:c16="http://schemas.microsoft.com/office/drawing/2014/chart" uri="{C3380CC4-5D6E-409C-BE32-E72D297353CC}">
              <c16:uniqueId val="{00000001-17C4-4057-BCA2-A45B80F59BF5}"/>
            </c:ext>
          </c:extLst>
        </c:ser>
        <c:ser>
          <c:idx val="2"/>
          <c:order val="2"/>
          <c:tx>
            <c:strRef>
              <c:f>Sheet1!$S$11</c:f>
              <c:strCache>
                <c:ptCount val="1"/>
                <c:pt idx="0">
                  <c:v>Crude protein</c:v>
                </c:pt>
              </c:strCache>
            </c:strRef>
          </c:tx>
          <c:invertIfNegative val="0"/>
          <c:cat>
            <c:strRef>
              <c:f>Sheet1!$T$8:$W$8</c:f>
              <c:strCache>
                <c:ptCount val="4"/>
                <c:pt idx="0">
                  <c:v>T1</c:v>
                </c:pt>
                <c:pt idx="1">
                  <c:v>T2</c:v>
                </c:pt>
                <c:pt idx="2">
                  <c:v>T3</c:v>
                </c:pt>
                <c:pt idx="3">
                  <c:v>T4</c:v>
                </c:pt>
              </c:strCache>
            </c:strRef>
          </c:cat>
          <c:val>
            <c:numRef>
              <c:f>Sheet1!$T$11:$W$11</c:f>
              <c:numCache>
                <c:formatCode>General</c:formatCode>
                <c:ptCount val="4"/>
                <c:pt idx="0">
                  <c:v>71.349999999999994</c:v>
                </c:pt>
                <c:pt idx="1">
                  <c:v>72.23</c:v>
                </c:pt>
                <c:pt idx="2">
                  <c:v>73.290000000000006</c:v>
                </c:pt>
                <c:pt idx="3">
                  <c:v>72.73</c:v>
                </c:pt>
              </c:numCache>
            </c:numRef>
          </c:val>
          <c:extLst>
            <c:ext xmlns:c16="http://schemas.microsoft.com/office/drawing/2014/chart" uri="{C3380CC4-5D6E-409C-BE32-E72D297353CC}">
              <c16:uniqueId val="{00000002-17C4-4057-BCA2-A45B80F59BF5}"/>
            </c:ext>
          </c:extLst>
        </c:ser>
        <c:ser>
          <c:idx val="3"/>
          <c:order val="3"/>
          <c:tx>
            <c:strRef>
              <c:f>Sheet1!$S$12</c:f>
              <c:strCache>
                <c:ptCount val="1"/>
                <c:pt idx="0">
                  <c:v>Ether extract</c:v>
                </c:pt>
              </c:strCache>
            </c:strRef>
          </c:tx>
          <c:invertIfNegative val="0"/>
          <c:cat>
            <c:strRef>
              <c:f>Sheet1!$T$8:$W$8</c:f>
              <c:strCache>
                <c:ptCount val="4"/>
                <c:pt idx="0">
                  <c:v>T1</c:v>
                </c:pt>
                <c:pt idx="1">
                  <c:v>T2</c:v>
                </c:pt>
                <c:pt idx="2">
                  <c:v>T3</c:v>
                </c:pt>
                <c:pt idx="3">
                  <c:v>T4</c:v>
                </c:pt>
              </c:strCache>
            </c:strRef>
          </c:cat>
          <c:val>
            <c:numRef>
              <c:f>Sheet1!$T$12:$W$12</c:f>
              <c:numCache>
                <c:formatCode>General</c:formatCode>
                <c:ptCount val="4"/>
                <c:pt idx="0">
                  <c:v>70.83</c:v>
                </c:pt>
                <c:pt idx="1">
                  <c:v>72.7</c:v>
                </c:pt>
                <c:pt idx="2">
                  <c:v>74.010000000000005</c:v>
                </c:pt>
                <c:pt idx="3">
                  <c:v>72.77</c:v>
                </c:pt>
              </c:numCache>
            </c:numRef>
          </c:val>
          <c:extLst>
            <c:ext xmlns:c16="http://schemas.microsoft.com/office/drawing/2014/chart" uri="{C3380CC4-5D6E-409C-BE32-E72D297353CC}">
              <c16:uniqueId val="{00000003-17C4-4057-BCA2-A45B80F59BF5}"/>
            </c:ext>
          </c:extLst>
        </c:ser>
        <c:dLbls>
          <c:showLegendKey val="0"/>
          <c:showVal val="0"/>
          <c:showCatName val="0"/>
          <c:showSerName val="0"/>
          <c:showPercent val="0"/>
          <c:showBubbleSize val="0"/>
        </c:dLbls>
        <c:gapWidth val="150"/>
        <c:axId val="151151360"/>
        <c:axId val="151153280"/>
      </c:barChart>
      <c:catAx>
        <c:axId val="151151360"/>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Treatments</a:t>
                </a:r>
              </a:p>
            </c:rich>
          </c:tx>
          <c:overlay val="0"/>
        </c:title>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151153280"/>
        <c:crosses val="autoZero"/>
        <c:auto val="1"/>
        <c:lblAlgn val="ctr"/>
        <c:lblOffset val="100"/>
        <c:noMultiLvlLbl val="0"/>
      </c:catAx>
      <c:valAx>
        <c:axId val="151153280"/>
        <c:scaling>
          <c:orientation val="minMax"/>
        </c:scaling>
        <c:delete val="0"/>
        <c:axPos val="l"/>
        <c:majorGridlines/>
        <c:title>
          <c:tx>
            <c:rich>
              <a:bodyPr/>
              <a:lstStyle/>
              <a:p>
                <a:pPr>
                  <a:defRPr/>
                </a:pPr>
                <a:r>
                  <a:rPr lang="en-US"/>
                  <a:t>Percent</a:t>
                </a:r>
              </a:p>
            </c:rich>
          </c:tx>
          <c:layout>
            <c:manualLayout>
              <c:xMode val="edge"/>
              <c:yMode val="edge"/>
              <c:x val="1.6319869441044473E-2"/>
              <c:y val="0.40855205599300087"/>
            </c:manualLayout>
          </c:layout>
          <c:overlay val="0"/>
        </c:title>
        <c:numFmt formatCode="General" sourceLinked="1"/>
        <c:majorTickMark val="out"/>
        <c:minorTickMark val="none"/>
        <c:tickLblPos val="nextTo"/>
        <c:crossAx val="151151360"/>
        <c:crosses val="autoZero"/>
        <c:crossBetween val="between"/>
      </c:valAx>
    </c:plotArea>
    <c:legend>
      <c:legendPos val="r"/>
      <c:layout>
        <c:manualLayout>
          <c:xMode val="edge"/>
          <c:yMode val="edge"/>
          <c:x val="0.82748934228998605"/>
          <c:y val="0.35816689905949251"/>
          <c:w val="0.16027075562923054"/>
          <c:h val="0.313939468503937"/>
        </c:manualLayout>
      </c:layout>
      <c:overlay val="0"/>
      <c:txPr>
        <a:bodyPr/>
        <a:lstStyle/>
        <a:p>
          <a:pPr>
            <a:defRPr b="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6D01-CF40-4805-8A13-F8F7C1C5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6101</Words>
  <Characters>34779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Raja</dc:creator>
  <cp:keywords/>
  <dc:description/>
  <cp:lastModifiedBy>SDI 1020</cp:lastModifiedBy>
  <cp:revision>6</cp:revision>
  <cp:lastPrinted>2026-02-27T17:59:00Z</cp:lastPrinted>
  <dcterms:created xsi:type="dcterms:W3CDTF">2026-03-05T12:42:00Z</dcterms:created>
  <dcterms:modified xsi:type="dcterms:W3CDTF">2026-03-12T13:15:00Z</dcterms:modified>
</cp:coreProperties>
</file>