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1A9" w:rsidRPr="00A77128" w:rsidRDefault="007237E9" w:rsidP="0090333F">
      <w:pPr>
        <w:shd w:val="clear" w:color="auto" w:fill="FFFFFF" w:themeFill="background1"/>
        <w:spacing w:after="0" w:line="240" w:lineRule="auto"/>
        <w:jc w:val="center"/>
        <w:rPr>
          <w:rStyle w:val="Emphasis"/>
          <w:rFonts w:cstheme="minorHAnsi"/>
          <w:szCs w:val="22"/>
        </w:rPr>
      </w:pPr>
      <w:r w:rsidRPr="00A77128">
        <w:rPr>
          <w:rStyle w:val="Emphasis"/>
          <w:rFonts w:cstheme="minorHAnsi"/>
          <w:szCs w:val="22"/>
        </w:rPr>
        <w:t xml:space="preserve">“Agricultural Market Intelligence as an Extension Tool for Improving Farm Income: </w:t>
      </w:r>
    </w:p>
    <w:p w:rsidR="007237E9" w:rsidRPr="00A77128" w:rsidRDefault="007237E9" w:rsidP="0090333F">
      <w:pPr>
        <w:shd w:val="clear" w:color="auto" w:fill="FFFFFF" w:themeFill="background1"/>
        <w:spacing w:after="0" w:line="240" w:lineRule="auto"/>
        <w:jc w:val="center"/>
        <w:rPr>
          <w:rStyle w:val="Emphasis"/>
          <w:rFonts w:cstheme="minorHAnsi"/>
          <w:i w:val="0"/>
          <w:szCs w:val="22"/>
        </w:rPr>
      </w:pPr>
      <w:r w:rsidRPr="00A77128">
        <w:rPr>
          <w:rStyle w:val="Emphasis"/>
          <w:rFonts w:cstheme="minorHAnsi"/>
          <w:szCs w:val="22"/>
        </w:rPr>
        <w:t>Evidence from Andhra Pradesh”</w:t>
      </w:r>
    </w:p>
    <w:p w:rsidR="007237E9" w:rsidRPr="00A77128" w:rsidRDefault="007237E9" w:rsidP="0090333F">
      <w:pPr>
        <w:shd w:val="clear" w:color="auto" w:fill="FFFFFF" w:themeFill="background1"/>
        <w:spacing w:after="0" w:line="240" w:lineRule="auto"/>
        <w:jc w:val="center"/>
        <w:rPr>
          <w:rFonts w:cstheme="minorHAnsi"/>
          <w:color w:val="000000" w:themeColor="text1"/>
          <w:sz w:val="22"/>
          <w:szCs w:val="22"/>
          <w:shd w:val="clear" w:color="auto" w:fill="FFFFFF"/>
        </w:rPr>
      </w:pPr>
    </w:p>
    <w:p w:rsidR="00B738BA" w:rsidRPr="00A77128" w:rsidRDefault="00B738BA" w:rsidP="0090333F">
      <w:pPr>
        <w:shd w:val="clear" w:color="auto" w:fill="FFFFFF" w:themeFill="background1"/>
        <w:spacing w:after="0" w:line="240" w:lineRule="auto"/>
        <w:jc w:val="center"/>
        <w:rPr>
          <w:rFonts w:cstheme="minorHAnsi"/>
          <w:color w:val="000000" w:themeColor="text1"/>
          <w:sz w:val="22"/>
          <w:szCs w:val="22"/>
          <w:shd w:val="clear" w:color="auto" w:fill="FFFFFF"/>
        </w:rPr>
      </w:pPr>
    </w:p>
    <w:p w:rsidR="00120E83" w:rsidRPr="00A77128" w:rsidRDefault="00120E83" w:rsidP="0090333F">
      <w:pPr>
        <w:shd w:val="clear" w:color="auto" w:fill="FFFFFF" w:themeFill="background1"/>
        <w:spacing w:after="0" w:line="240" w:lineRule="auto"/>
        <w:jc w:val="center"/>
        <w:rPr>
          <w:rFonts w:cstheme="minorHAnsi"/>
          <w:b/>
          <w:color w:val="000000" w:themeColor="text1"/>
          <w:sz w:val="22"/>
          <w:szCs w:val="22"/>
          <w:shd w:val="clear" w:color="auto" w:fill="FFFFFF"/>
        </w:rPr>
      </w:pPr>
      <w:r w:rsidRPr="00A77128">
        <w:rPr>
          <w:rFonts w:cstheme="minorHAnsi"/>
          <w:b/>
          <w:color w:val="000000" w:themeColor="text1"/>
          <w:sz w:val="22"/>
          <w:szCs w:val="22"/>
          <w:shd w:val="clear" w:color="auto" w:fill="FFFFFF"/>
        </w:rPr>
        <w:t>ABSTRACT:</w:t>
      </w:r>
    </w:p>
    <w:p w:rsidR="00804DA8" w:rsidRPr="00A77128" w:rsidRDefault="00804DA8" w:rsidP="0090333F">
      <w:pPr>
        <w:shd w:val="clear" w:color="auto" w:fill="FFFFFF" w:themeFill="background1"/>
        <w:spacing w:after="0" w:line="240" w:lineRule="auto"/>
        <w:jc w:val="center"/>
        <w:rPr>
          <w:rFonts w:cstheme="minorHAnsi"/>
          <w:color w:val="000000" w:themeColor="text1"/>
          <w:sz w:val="16"/>
          <w:szCs w:val="22"/>
          <w:shd w:val="clear" w:color="auto" w:fill="FFFFFF"/>
        </w:rPr>
      </w:pPr>
    </w:p>
    <w:p w:rsidR="00FE25A8" w:rsidRPr="00A77128" w:rsidRDefault="00120E83" w:rsidP="0090333F">
      <w:pPr>
        <w:shd w:val="clear" w:color="auto" w:fill="FFFFFF" w:themeFill="background1"/>
        <w:spacing w:after="0" w:line="276" w:lineRule="auto"/>
        <w:jc w:val="both"/>
        <w:rPr>
          <w:rFonts w:cstheme="minorHAnsi"/>
          <w:i/>
          <w:sz w:val="22"/>
          <w:szCs w:val="22"/>
        </w:rPr>
      </w:pPr>
      <w:r w:rsidRPr="00A77128">
        <w:rPr>
          <w:rFonts w:cstheme="minorHAnsi"/>
          <w:i/>
          <w:sz w:val="22"/>
          <w:szCs w:val="22"/>
        </w:rPr>
        <w:t xml:space="preserve">Price volatility and information asymmetry in agricultural markets frequently restrict farmers from maximizing their revenue. To address this gap, the Agricultural Market Intelligence Centre (AMIC) at Acharya N.G. </w:t>
      </w:r>
      <w:proofErr w:type="spellStart"/>
      <w:r w:rsidRPr="00A77128">
        <w:rPr>
          <w:rFonts w:cstheme="minorHAnsi"/>
          <w:i/>
          <w:sz w:val="22"/>
          <w:szCs w:val="22"/>
        </w:rPr>
        <w:t>Ranga</w:t>
      </w:r>
      <w:proofErr w:type="spellEnd"/>
      <w:r w:rsidRPr="00A77128">
        <w:rPr>
          <w:rFonts w:cstheme="minorHAnsi"/>
          <w:i/>
          <w:sz w:val="22"/>
          <w:szCs w:val="22"/>
        </w:rPr>
        <w:t xml:space="preserve"> Agricultural University (ANGRAU), Andhra Pradesh, developed a robust price forecasting and dissemination mechanism. Utilizing advanced predictive models, including Artificial Neural Networks (ANN) and </w:t>
      </w:r>
      <w:r w:rsidR="00484D85" w:rsidRPr="00A77128">
        <w:rPr>
          <w:rFonts w:cstheme="minorHAnsi"/>
          <w:i/>
          <w:sz w:val="22"/>
          <w:szCs w:val="22"/>
        </w:rPr>
        <w:t>Autoregressive</w:t>
      </w:r>
      <w:r w:rsidRPr="00A77128">
        <w:rPr>
          <w:rFonts w:cstheme="minorHAnsi"/>
          <w:i/>
          <w:sz w:val="22"/>
          <w:szCs w:val="22"/>
        </w:rPr>
        <w:t xml:space="preserve"> Integrated Moving Average (ARIMA), AMIC generates crop price forecasts with validated accuracy rates ranging from 86.54% to 96.38%. These forecasts are distributed synchronously with crop production and </w:t>
      </w:r>
      <w:bookmarkStart w:id="0" w:name="_GoBack"/>
      <w:bookmarkEnd w:id="0"/>
      <w:r w:rsidRPr="00A77128">
        <w:rPr>
          <w:rFonts w:cstheme="minorHAnsi"/>
          <w:i/>
          <w:sz w:val="22"/>
          <w:szCs w:val="22"/>
        </w:rPr>
        <w:t xml:space="preserve">marketing seasons via diverse ICT channels, including SMS, digital portals, regional agricultural publications, and a network of 10,776 </w:t>
      </w:r>
      <w:proofErr w:type="spellStart"/>
      <w:r w:rsidRPr="00A77128">
        <w:rPr>
          <w:rFonts w:cstheme="minorHAnsi"/>
          <w:i/>
          <w:sz w:val="22"/>
          <w:szCs w:val="22"/>
        </w:rPr>
        <w:t>Rythu</w:t>
      </w:r>
      <w:proofErr w:type="spellEnd"/>
      <w:r w:rsidRPr="00A77128">
        <w:rPr>
          <w:rFonts w:cstheme="minorHAnsi"/>
          <w:i/>
          <w:sz w:val="22"/>
          <w:szCs w:val="22"/>
        </w:rPr>
        <w:t xml:space="preserve"> </w:t>
      </w:r>
      <w:proofErr w:type="spellStart"/>
      <w:r w:rsidRPr="00A77128">
        <w:rPr>
          <w:rFonts w:cstheme="minorHAnsi"/>
          <w:i/>
          <w:sz w:val="22"/>
          <w:szCs w:val="22"/>
        </w:rPr>
        <w:t>Seva</w:t>
      </w:r>
      <w:proofErr w:type="spellEnd"/>
      <w:r w:rsidRPr="00A77128">
        <w:rPr>
          <w:rFonts w:cstheme="minorHAnsi"/>
          <w:i/>
          <w:sz w:val="22"/>
          <w:szCs w:val="22"/>
        </w:rPr>
        <w:t xml:space="preserve"> </w:t>
      </w:r>
      <w:proofErr w:type="spellStart"/>
      <w:r w:rsidRPr="00A77128">
        <w:rPr>
          <w:rFonts w:cstheme="minorHAnsi"/>
          <w:i/>
          <w:sz w:val="22"/>
          <w:szCs w:val="22"/>
        </w:rPr>
        <w:t>Kendras</w:t>
      </w:r>
      <w:proofErr w:type="spellEnd"/>
      <w:r w:rsidRPr="00A77128">
        <w:rPr>
          <w:rFonts w:cstheme="minorHAnsi"/>
          <w:i/>
          <w:sz w:val="22"/>
          <w:szCs w:val="22"/>
        </w:rPr>
        <w:t xml:space="preserve"> (RSKs). This study evaluates the socioeconomic impact of AMIC’s advisories during the 2024–2025 agricultural year, based on a sample of 434 farmers cultivating groundnut, cotton, black gram, maize, turmeric and jowar. The findings reveal a 61.11% awareness rate regarding the disseminated forecasts, with an active adoption rate of 33.13%. Crucially, farmers who aligned their marketing decisions with AMIC advisories realized a significant economic advantage, securing an average premium of ₹451 per quintal on their sale proceeds. The study concludes that deploying data-driven market intelligence through robust digital infrastructures is essential for building sustainable food systems and actively advancing the national vision of an </w:t>
      </w:r>
      <w:proofErr w:type="spellStart"/>
      <w:r w:rsidRPr="00A77128">
        <w:rPr>
          <w:rFonts w:cstheme="minorHAnsi"/>
          <w:i/>
          <w:iCs/>
          <w:sz w:val="22"/>
          <w:szCs w:val="22"/>
        </w:rPr>
        <w:t>Atmanirbhar</w:t>
      </w:r>
      <w:proofErr w:type="spellEnd"/>
      <w:r w:rsidRPr="00A77128">
        <w:rPr>
          <w:rFonts w:cstheme="minorHAnsi"/>
          <w:i/>
          <w:iCs/>
          <w:sz w:val="22"/>
          <w:szCs w:val="22"/>
        </w:rPr>
        <w:t xml:space="preserve"> Bharat</w:t>
      </w:r>
      <w:r w:rsidRPr="00A77128">
        <w:rPr>
          <w:rFonts w:cstheme="minorHAnsi"/>
          <w:i/>
          <w:sz w:val="22"/>
          <w:szCs w:val="22"/>
        </w:rPr>
        <w:t>.</w:t>
      </w:r>
    </w:p>
    <w:p w:rsidR="00120E83" w:rsidRPr="00A77128" w:rsidRDefault="00120E83" w:rsidP="0090333F">
      <w:pPr>
        <w:shd w:val="clear" w:color="auto" w:fill="FFFFFF" w:themeFill="background1"/>
        <w:spacing w:after="0" w:line="240" w:lineRule="auto"/>
        <w:jc w:val="both"/>
        <w:rPr>
          <w:rFonts w:cstheme="minorHAnsi"/>
          <w:sz w:val="22"/>
          <w:szCs w:val="22"/>
        </w:rPr>
      </w:pPr>
    </w:p>
    <w:p w:rsidR="00120E83" w:rsidRDefault="001211A9" w:rsidP="0090333F">
      <w:pPr>
        <w:pStyle w:val="NormalWeb"/>
        <w:shd w:val="clear" w:color="auto" w:fill="FFFFFF" w:themeFill="background1"/>
        <w:spacing w:before="0" w:beforeAutospacing="0" w:after="0" w:afterAutospacing="0"/>
        <w:jc w:val="both"/>
        <w:rPr>
          <w:rFonts w:asciiTheme="minorHAnsi" w:hAnsiTheme="minorHAnsi" w:cstheme="minorHAnsi"/>
          <w:b/>
          <w:color w:val="000000" w:themeColor="text1"/>
          <w:sz w:val="22"/>
          <w:szCs w:val="22"/>
          <w:shd w:val="clear" w:color="auto" w:fill="FFFFFF"/>
        </w:rPr>
      </w:pPr>
      <w:r w:rsidRPr="00A77128">
        <w:rPr>
          <w:rFonts w:asciiTheme="minorHAnsi" w:hAnsiTheme="minorHAnsi" w:cstheme="minorHAnsi"/>
          <w:b/>
          <w:color w:val="000000" w:themeColor="text1"/>
          <w:sz w:val="22"/>
          <w:szCs w:val="22"/>
          <w:shd w:val="clear" w:color="auto" w:fill="FFFFFF"/>
        </w:rPr>
        <w:t>KEYWORDS:</w:t>
      </w:r>
    </w:p>
    <w:p w:rsidR="00A77128" w:rsidRPr="00A77128" w:rsidRDefault="00A77128" w:rsidP="0090333F">
      <w:pPr>
        <w:pStyle w:val="NormalWeb"/>
        <w:shd w:val="clear" w:color="auto" w:fill="FFFFFF" w:themeFill="background1"/>
        <w:spacing w:before="0" w:beforeAutospacing="0" w:after="0" w:afterAutospacing="0"/>
        <w:jc w:val="both"/>
        <w:rPr>
          <w:rFonts w:asciiTheme="minorHAnsi" w:hAnsiTheme="minorHAnsi" w:cstheme="minorHAnsi"/>
          <w:b/>
          <w:color w:val="000000" w:themeColor="text1"/>
          <w:sz w:val="16"/>
          <w:szCs w:val="22"/>
          <w:shd w:val="clear" w:color="auto" w:fill="FFFFFF"/>
        </w:rPr>
      </w:pPr>
    </w:p>
    <w:p w:rsidR="00120E83" w:rsidRPr="00A77128" w:rsidRDefault="00120E83" w:rsidP="0090333F">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77128">
        <w:rPr>
          <w:rFonts w:asciiTheme="minorHAnsi" w:hAnsiTheme="minorHAnsi" w:cstheme="minorHAnsi"/>
          <w:sz w:val="22"/>
          <w:szCs w:val="22"/>
        </w:rPr>
        <w:t>Agricultural Market Intelligence</w:t>
      </w:r>
      <w:r w:rsidR="00484D85" w:rsidRPr="00A77128">
        <w:rPr>
          <w:rFonts w:asciiTheme="minorHAnsi" w:hAnsiTheme="minorHAnsi" w:cstheme="minorHAnsi"/>
          <w:sz w:val="22"/>
          <w:szCs w:val="22"/>
        </w:rPr>
        <w:t xml:space="preserve">, </w:t>
      </w:r>
      <w:r w:rsidRPr="00A77128">
        <w:rPr>
          <w:rFonts w:asciiTheme="minorHAnsi" w:hAnsiTheme="minorHAnsi" w:cstheme="minorHAnsi"/>
          <w:sz w:val="22"/>
          <w:szCs w:val="22"/>
        </w:rPr>
        <w:t>Price Forecasting</w:t>
      </w:r>
      <w:r w:rsidR="00484D85" w:rsidRPr="00A77128">
        <w:rPr>
          <w:rFonts w:asciiTheme="minorHAnsi" w:hAnsiTheme="minorHAnsi" w:cstheme="minorHAnsi"/>
          <w:sz w:val="22"/>
          <w:szCs w:val="22"/>
        </w:rPr>
        <w:t xml:space="preserve">. </w:t>
      </w:r>
      <w:r w:rsidRPr="00A77128">
        <w:rPr>
          <w:rFonts w:asciiTheme="minorHAnsi" w:hAnsiTheme="minorHAnsi" w:cstheme="minorHAnsi"/>
          <w:i/>
          <w:iCs/>
          <w:sz w:val="22"/>
          <w:szCs w:val="22"/>
        </w:rPr>
        <w:t>ARIMA and ANN</w:t>
      </w:r>
      <w:r w:rsidR="00484D85" w:rsidRPr="00A77128">
        <w:rPr>
          <w:rFonts w:asciiTheme="minorHAnsi" w:hAnsiTheme="minorHAnsi" w:cstheme="minorHAnsi"/>
          <w:i/>
          <w:iCs/>
          <w:sz w:val="22"/>
          <w:szCs w:val="22"/>
        </w:rPr>
        <w:t xml:space="preserve">, </w:t>
      </w:r>
      <w:r w:rsidRPr="00A77128">
        <w:rPr>
          <w:rFonts w:asciiTheme="minorHAnsi" w:hAnsiTheme="minorHAnsi" w:cstheme="minorHAnsi"/>
          <w:sz w:val="22"/>
          <w:szCs w:val="22"/>
        </w:rPr>
        <w:t>Digital Extension Services</w:t>
      </w:r>
      <w:r w:rsidR="00484D85" w:rsidRPr="00A77128">
        <w:rPr>
          <w:rFonts w:asciiTheme="minorHAnsi" w:hAnsiTheme="minorHAnsi" w:cstheme="minorHAnsi"/>
          <w:sz w:val="22"/>
          <w:szCs w:val="22"/>
        </w:rPr>
        <w:t xml:space="preserve">, </w:t>
      </w:r>
      <w:r w:rsidRPr="00A77128">
        <w:rPr>
          <w:rFonts w:asciiTheme="minorHAnsi" w:hAnsiTheme="minorHAnsi" w:cstheme="minorHAnsi"/>
          <w:sz w:val="22"/>
          <w:szCs w:val="22"/>
        </w:rPr>
        <w:t>Price Realization</w:t>
      </w:r>
    </w:p>
    <w:p w:rsidR="001211A9" w:rsidRPr="00A77128" w:rsidRDefault="001211A9" w:rsidP="0090333F">
      <w:pPr>
        <w:shd w:val="clear" w:color="auto" w:fill="FFFFFF" w:themeFill="background1"/>
        <w:spacing w:after="0" w:line="240" w:lineRule="auto"/>
        <w:jc w:val="both"/>
        <w:rPr>
          <w:rFonts w:cstheme="minorHAnsi"/>
          <w:bCs/>
          <w:color w:val="000000" w:themeColor="text1"/>
          <w:sz w:val="22"/>
          <w:szCs w:val="22"/>
        </w:rPr>
      </w:pPr>
    </w:p>
    <w:p w:rsidR="00120E83" w:rsidRPr="00A77128" w:rsidRDefault="00120E83" w:rsidP="0090333F">
      <w:pPr>
        <w:shd w:val="clear" w:color="auto" w:fill="FFFFFF" w:themeFill="background1"/>
        <w:spacing w:after="0" w:line="240" w:lineRule="auto"/>
        <w:jc w:val="both"/>
        <w:rPr>
          <w:rFonts w:cstheme="minorHAnsi"/>
          <w:b/>
          <w:color w:val="000000" w:themeColor="text1"/>
          <w:sz w:val="22"/>
          <w:szCs w:val="22"/>
          <w:shd w:val="clear" w:color="auto" w:fill="FFFFFF"/>
        </w:rPr>
      </w:pPr>
      <w:r w:rsidRPr="00A77128">
        <w:rPr>
          <w:rFonts w:cstheme="minorHAnsi"/>
          <w:b/>
          <w:bCs/>
          <w:color w:val="000000" w:themeColor="text1"/>
          <w:sz w:val="22"/>
          <w:szCs w:val="22"/>
        </w:rPr>
        <w:t>INTRODUCTION:</w:t>
      </w:r>
    </w:p>
    <w:p w:rsidR="001211A9" w:rsidRPr="00A77128" w:rsidRDefault="001211A9" w:rsidP="0090333F">
      <w:pPr>
        <w:pStyle w:val="NormalWeb"/>
        <w:shd w:val="clear" w:color="auto" w:fill="FFFFFF" w:themeFill="background1"/>
        <w:spacing w:before="0" w:beforeAutospacing="0" w:after="0" w:afterAutospacing="0" w:line="276" w:lineRule="auto"/>
        <w:ind w:firstLine="720"/>
        <w:jc w:val="both"/>
        <w:rPr>
          <w:rFonts w:asciiTheme="minorHAnsi" w:hAnsiTheme="minorHAnsi" w:cstheme="minorHAnsi"/>
          <w:sz w:val="22"/>
          <w:szCs w:val="22"/>
        </w:rPr>
      </w:pP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t xml:space="preserve">In the Indian agrarian economy, agricultural price dynamics are a paramount determinant of rural livelihoods, significantly influencing the strategic decision-making of farmers and supply chain stakeholders regarding crop acreage and post-harvest marketing. Domestic market fluctuations, national pricing policies, and complex socio-economic variables collectively dictate the price realization of agricultural commodities. Consequently, the inherent price volatility and prevailing information asymmetry in rural markets frequently prevent farmers from maximizing their economic returns. Safeguarding agricultural incomes requires a systemic approach to market intelligence, which not only facilitates equitable transactions between producers and traders but also optimizes the spatial integration of markets by streamlining the movement of goods from rural producing areas to urban commercial centers. However, a persistent challenge in developing economies is that the majority of primary </w:t>
      </w:r>
      <w:proofErr w:type="gramStart"/>
      <w:r w:rsidRPr="00A77128">
        <w:rPr>
          <w:rFonts w:asciiTheme="minorHAnsi" w:hAnsiTheme="minorHAnsi" w:cstheme="minorHAnsi"/>
          <w:sz w:val="22"/>
          <w:szCs w:val="22"/>
        </w:rPr>
        <w:t>producers</w:t>
      </w:r>
      <w:proofErr w:type="gramEnd"/>
      <w:r w:rsidRPr="00A77128">
        <w:rPr>
          <w:rFonts w:asciiTheme="minorHAnsi" w:hAnsiTheme="minorHAnsi" w:cstheme="minorHAnsi"/>
          <w:sz w:val="22"/>
          <w:szCs w:val="22"/>
        </w:rPr>
        <w:t xml:space="preserve"> lack access to, or the analytical capacity to interpret, complex market behavior.</w:t>
      </w:r>
    </w:p>
    <w:p w:rsidR="007237E9" w:rsidRPr="00A77128" w:rsidRDefault="007237E9"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lastRenderedPageBreak/>
        <w:t xml:space="preserve">To navigate these uncertainties, the deployment of formal market intelligence has emerged as a critical intervention. In contemporary literature, market intelligence is universally recognized as a cornerstone of strategic business management and risk mitigation. Kotler (2000) conceptualized the marketing intelligence system as a continuous framework that supplies actionable macro- and micro-environmental data. Building on this, </w:t>
      </w:r>
      <w:proofErr w:type="spellStart"/>
      <w:r w:rsidRPr="00A77128">
        <w:rPr>
          <w:rFonts w:asciiTheme="minorHAnsi" w:hAnsiTheme="minorHAnsi" w:cstheme="minorHAnsi"/>
          <w:sz w:val="22"/>
          <w:szCs w:val="22"/>
        </w:rPr>
        <w:t>Michail</w:t>
      </w:r>
      <w:proofErr w:type="spellEnd"/>
      <w:r w:rsidRPr="00A77128">
        <w:rPr>
          <w:rFonts w:asciiTheme="minorHAnsi" w:hAnsiTheme="minorHAnsi" w:cstheme="minorHAnsi"/>
          <w:sz w:val="22"/>
          <w:szCs w:val="22"/>
        </w:rPr>
        <w:t xml:space="preserve"> (2005) emphasized that market intelligence is designed to provide stakeholders with a competitive advantage, guiding decision-making by anticipating market shifts, monitoring competitor actions, and identifying consumer needs. Furthermore, Harrison and </w:t>
      </w:r>
      <w:proofErr w:type="spellStart"/>
      <w:r w:rsidRPr="00A77128">
        <w:rPr>
          <w:rFonts w:asciiTheme="minorHAnsi" w:hAnsiTheme="minorHAnsi" w:cstheme="minorHAnsi"/>
          <w:sz w:val="22"/>
          <w:szCs w:val="22"/>
        </w:rPr>
        <w:t>Cuppman</w:t>
      </w:r>
      <w:proofErr w:type="spellEnd"/>
      <w:r w:rsidRPr="00A77128">
        <w:rPr>
          <w:rFonts w:asciiTheme="minorHAnsi" w:hAnsiTheme="minorHAnsi" w:cstheme="minorHAnsi"/>
          <w:sz w:val="22"/>
          <w:szCs w:val="22"/>
        </w:rPr>
        <w:t xml:space="preserve"> (2011) defined it as the systematic gathering and analysis of information explicitly for the purpose of strategic business decisions. Applied to the agricultural sector, this intelligence transitions from a corporate tool to a vital public good, essential for ensuring that farmers receive timely and directionally accurate information to optimize their cultivation and sales strategies.</w:t>
      </w:r>
    </w:p>
    <w:p w:rsidR="007237E9" w:rsidRPr="00A77128" w:rsidRDefault="007237E9"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t xml:space="preserve">To bridge this critical information gap in Andhra Pradesh, Acharya N.G. </w:t>
      </w:r>
      <w:proofErr w:type="spellStart"/>
      <w:r w:rsidRPr="00A77128">
        <w:rPr>
          <w:rFonts w:asciiTheme="minorHAnsi" w:hAnsiTheme="minorHAnsi" w:cstheme="minorHAnsi"/>
          <w:sz w:val="22"/>
          <w:szCs w:val="22"/>
        </w:rPr>
        <w:t>Ranga</w:t>
      </w:r>
      <w:proofErr w:type="spellEnd"/>
      <w:r w:rsidRPr="00A77128">
        <w:rPr>
          <w:rFonts w:asciiTheme="minorHAnsi" w:hAnsiTheme="minorHAnsi" w:cstheme="minorHAnsi"/>
          <w:sz w:val="22"/>
          <w:szCs w:val="22"/>
        </w:rPr>
        <w:t xml:space="preserve"> Agricultural University (ANGRAU) established the Agricultural Market Intelligence Centre (AMIC). The core mandate of AMIC is to enhance farm income by providing reliable, short-term price forecasts for key agricultural commodities. The Centre generates these forecasts through a rigorous analytical framework, utilizing historical price data from Agricultural Produce Market Committees (APMCs) alongside secondary data from governmental and regional sources. To ensure high predictive accuracy, AMIC employs advanced econometric and machine learning models, including ARIMA, SARIMA, ARCH-GARCH, and Artificial Neural Networks </w:t>
      </w:r>
      <w:r w:rsidR="004E122B" w:rsidRPr="00A77128">
        <w:rPr>
          <w:rFonts w:asciiTheme="minorHAnsi" w:hAnsiTheme="minorHAnsi" w:cstheme="minorHAnsi"/>
          <w:sz w:val="22"/>
          <w:szCs w:val="22"/>
        </w:rPr>
        <w:t>(Joshi et al., 2025)</w:t>
      </w:r>
      <w:r w:rsidR="000203A3" w:rsidRPr="00A77128">
        <w:rPr>
          <w:rFonts w:asciiTheme="minorHAnsi" w:hAnsiTheme="minorHAnsi" w:cstheme="minorHAnsi"/>
          <w:sz w:val="22"/>
          <w:szCs w:val="22"/>
        </w:rPr>
        <w:t xml:space="preserve"> (Shrivastava, S., 2019)</w:t>
      </w:r>
      <w:r w:rsidRPr="00A77128">
        <w:rPr>
          <w:rFonts w:asciiTheme="minorHAnsi" w:hAnsiTheme="minorHAnsi" w:cstheme="minorHAnsi"/>
          <w:sz w:val="22"/>
          <w:szCs w:val="22"/>
        </w:rPr>
        <w:t>. These quantitative outputs are further triangulated with qualitative insights from futures market trends, international trade reports, and state-level trade surveys. Focusing on major regional crops—specifically cotton, turmeric, maize, sorghum (</w:t>
      </w:r>
      <w:r w:rsidRPr="00A77128">
        <w:rPr>
          <w:rFonts w:asciiTheme="minorHAnsi" w:hAnsiTheme="minorHAnsi" w:cstheme="minorHAnsi"/>
          <w:i/>
          <w:iCs/>
          <w:sz w:val="22"/>
          <w:szCs w:val="22"/>
        </w:rPr>
        <w:t>jowar</w:t>
      </w:r>
      <w:r w:rsidRPr="00A77128">
        <w:rPr>
          <w:rFonts w:asciiTheme="minorHAnsi" w:hAnsiTheme="minorHAnsi" w:cstheme="minorHAnsi"/>
          <w:sz w:val="22"/>
          <w:szCs w:val="22"/>
        </w:rPr>
        <w:t xml:space="preserve">), groundnut, and black gram—AMIC strategically releases bi-monthly price forecasts aligned with critical pre-sowing and pre-harvest decision-making windows for both the </w:t>
      </w:r>
      <w:r w:rsidRPr="00A77128">
        <w:rPr>
          <w:rFonts w:asciiTheme="minorHAnsi" w:hAnsiTheme="minorHAnsi" w:cstheme="minorHAnsi"/>
          <w:i/>
          <w:iCs/>
          <w:sz w:val="22"/>
          <w:szCs w:val="22"/>
        </w:rPr>
        <w:t>Kharif</w:t>
      </w:r>
      <w:r w:rsidRPr="00A77128">
        <w:rPr>
          <w:rFonts w:asciiTheme="minorHAnsi" w:hAnsiTheme="minorHAnsi" w:cstheme="minorHAnsi"/>
          <w:sz w:val="22"/>
          <w:szCs w:val="22"/>
        </w:rPr>
        <w:t xml:space="preserve"> and </w:t>
      </w:r>
      <w:r w:rsidRPr="00A77128">
        <w:rPr>
          <w:rFonts w:asciiTheme="minorHAnsi" w:hAnsiTheme="minorHAnsi" w:cstheme="minorHAnsi"/>
          <w:i/>
          <w:iCs/>
          <w:sz w:val="22"/>
          <w:szCs w:val="22"/>
        </w:rPr>
        <w:t>Rabi</w:t>
      </w:r>
      <w:r w:rsidRPr="00A77128">
        <w:rPr>
          <w:rFonts w:asciiTheme="minorHAnsi" w:hAnsiTheme="minorHAnsi" w:cstheme="minorHAnsi"/>
          <w:sz w:val="22"/>
          <w:szCs w:val="22"/>
        </w:rPr>
        <w:t xml:space="preserve"> seasons</w:t>
      </w:r>
      <w:r w:rsidR="004E122B" w:rsidRPr="00A77128">
        <w:rPr>
          <w:rFonts w:asciiTheme="minorHAnsi" w:hAnsiTheme="minorHAnsi" w:cstheme="minorHAnsi"/>
          <w:sz w:val="22"/>
          <w:szCs w:val="22"/>
        </w:rPr>
        <w:t xml:space="preserve"> (</w:t>
      </w:r>
      <w:proofErr w:type="spellStart"/>
      <w:r w:rsidR="004E122B" w:rsidRPr="00A77128">
        <w:rPr>
          <w:rFonts w:asciiTheme="minorHAnsi" w:hAnsiTheme="minorHAnsi" w:cstheme="minorHAnsi"/>
          <w:sz w:val="22"/>
          <w:szCs w:val="22"/>
        </w:rPr>
        <w:t>Devra</w:t>
      </w:r>
      <w:proofErr w:type="spellEnd"/>
      <w:r w:rsidR="004E122B" w:rsidRPr="00A77128">
        <w:rPr>
          <w:rFonts w:asciiTheme="minorHAnsi" w:hAnsiTheme="minorHAnsi" w:cstheme="minorHAnsi"/>
          <w:sz w:val="22"/>
          <w:szCs w:val="22"/>
        </w:rPr>
        <w:t xml:space="preserve"> et al., 2023)</w:t>
      </w:r>
      <w:r w:rsidRPr="00A77128">
        <w:rPr>
          <w:rFonts w:asciiTheme="minorHAnsi" w:hAnsiTheme="minorHAnsi" w:cstheme="minorHAnsi"/>
          <w:sz w:val="22"/>
          <w:szCs w:val="22"/>
        </w:rPr>
        <w:t>. Post-release validations against real-time market prices demonstrate a highly robust predictive accuracy ranging between 86.54% and 96.38% across the 28 fore</w:t>
      </w:r>
      <w:r w:rsidR="00AF430C" w:rsidRPr="00A77128">
        <w:rPr>
          <w:rFonts w:asciiTheme="minorHAnsi" w:hAnsiTheme="minorHAnsi" w:cstheme="minorHAnsi"/>
          <w:sz w:val="22"/>
          <w:szCs w:val="22"/>
        </w:rPr>
        <w:t>cast bulletins released to date (Reddy, 2023)</w:t>
      </w:r>
    </w:p>
    <w:p w:rsidR="007237E9" w:rsidRPr="00A77128" w:rsidRDefault="007237E9"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p>
    <w:p w:rsidR="004769B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bCs/>
          <w:sz w:val="22"/>
          <w:szCs w:val="22"/>
        </w:rPr>
      </w:pPr>
      <w:r w:rsidRPr="00A77128">
        <w:rPr>
          <w:rFonts w:asciiTheme="minorHAnsi" w:hAnsiTheme="minorHAnsi" w:cstheme="minorHAnsi"/>
          <w:sz w:val="22"/>
          <w:szCs w:val="22"/>
        </w:rPr>
        <w:t xml:space="preserve">The efficacy of market intelligence relies inherently on its dissemination; therefore, AMIC has developed a highly diversified extension ecosystem to ensure maximum penetration. Forecasts are delivered directly to registered farmers via text and voice Short Message Services (SMS) and are hosted digitally on the portals of ANGRAU, </w:t>
      </w:r>
      <w:proofErr w:type="spellStart"/>
      <w:r w:rsidRPr="00A77128">
        <w:rPr>
          <w:rFonts w:asciiTheme="minorHAnsi" w:hAnsiTheme="minorHAnsi" w:cstheme="minorHAnsi"/>
          <w:sz w:val="22"/>
          <w:szCs w:val="22"/>
        </w:rPr>
        <w:t>Agropedia</w:t>
      </w:r>
      <w:proofErr w:type="spellEnd"/>
      <w:r w:rsidRPr="00A77128">
        <w:rPr>
          <w:rFonts w:asciiTheme="minorHAnsi" w:hAnsiTheme="minorHAnsi" w:cstheme="minorHAnsi"/>
          <w:sz w:val="22"/>
          <w:szCs w:val="22"/>
        </w:rPr>
        <w:t xml:space="preserve">, and the State Department of Agriculture. Furthermore, the advisories are published in leading regional agricultural magazines, including </w:t>
      </w:r>
      <w:proofErr w:type="spellStart"/>
      <w:r w:rsidRPr="00A77128">
        <w:rPr>
          <w:rFonts w:asciiTheme="minorHAnsi" w:hAnsiTheme="minorHAnsi" w:cstheme="minorHAnsi"/>
          <w:i/>
          <w:iCs/>
          <w:sz w:val="22"/>
          <w:szCs w:val="22"/>
        </w:rPr>
        <w:t>Vyavasayam</w:t>
      </w:r>
      <w:proofErr w:type="spellEnd"/>
      <w:r w:rsidRPr="00A77128">
        <w:rPr>
          <w:rFonts w:asciiTheme="minorHAnsi" w:hAnsiTheme="minorHAnsi" w:cstheme="minorHAnsi"/>
          <w:sz w:val="22"/>
          <w:szCs w:val="22"/>
        </w:rPr>
        <w:t xml:space="preserve">, </w:t>
      </w:r>
      <w:proofErr w:type="spellStart"/>
      <w:r w:rsidRPr="00A77128">
        <w:rPr>
          <w:rFonts w:asciiTheme="minorHAnsi" w:hAnsiTheme="minorHAnsi" w:cstheme="minorHAnsi"/>
          <w:i/>
          <w:iCs/>
          <w:sz w:val="22"/>
          <w:szCs w:val="22"/>
        </w:rPr>
        <w:t>Rythu</w:t>
      </w:r>
      <w:proofErr w:type="spellEnd"/>
      <w:r w:rsidRPr="00A77128">
        <w:rPr>
          <w:rFonts w:asciiTheme="minorHAnsi" w:hAnsiTheme="minorHAnsi" w:cstheme="minorHAnsi"/>
          <w:i/>
          <w:iCs/>
          <w:sz w:val="22"/>
          <w:szCs w:val="22"/>
        </w:rPr>
        <w:t xml:space="preserve"> </w:t>
      </w:r>
      <w:proofErr w:type="spellStart"/>
      <w:r w:rsidRPr="00A77128">
        <w:rPr>
          <w:rFonts w:asciiTheme="minorHAnsi" w:hAnsiTheme="minorHAnsi" w:cstheme="minorHAnsi"/>
          <w:i/>
          <w:iCs/>
          <w:sz w:val="22"/>
          <w:szCs w:val="22"/>
        </w:rPr>
        <w:t>Bharosa</w:t>
      </w:r>
      <w:proofErr w:type="spellEnd"/>
      <w:r w:rsidRPr="00A77128">
        <w:rPr>
          <w:rFonts w:asciiTheme="minorHAnsi" w:hAnsiTheme="minorHAnsi" w:cstheme="minorHAnsi"/>
          <w:sz w:val="22"/>
          <w:szCs w:val="22"/>
        </w:rPr>
        <w:t xml:space="preserve">, and </w:t>
      </w:r>
      <w:proofErr w:type="spellStart"/>
      <w:r w:rsidRPr="00A77128">
        <w:rPr>
          <w:rFonts w:asciiTheme="minorHAnsi" w:hAnsiTheme="minorHAnsi" w:cstheme="minorHAnsi"/>
          <w:i/>
          <w:iCs/>
          <w:sz w:val="22"/>
          <w:szCs w:val="22"/>
        </w:rPr>
        <w:t>Annadata</w:t>
      </w:r>
      <w:proofErr w:type="spellEnd"/>
      <w:r w:rsidRPr="00A77128">
        <w:rPr>
          <w:rFonts w:asciiTheme="minorHAnsi" w:hAnsiTheme="minorHAnsi" w:cstheme="minorHAnsi"/>
          <w:sz w:val="22"/>
          <w:szCs w:val="22"/>
        </w:rPr>
        <w:t xml:space="preserve">, and are integrated into the ANGRAU toll-free Farmers Call Centre. Crucially, these forecast bulletins are displayed across a grassroots network of 10,776 </w:t>
      </w:r>
      <w:proofErr w:type="spellStart"/>
      <w:r w:rsidRPr="00A77128">
        <w:rPr>
          <w:rFonts w:asciiTheme="minorHAnsi" w:hAnsiTheme="minorHAnsi" w:cstheme="minorHAnsi"/>
          <w:sz w:val="22"/>
          <w:szCs w:val="22"/>
        </w:rPr>
        <w:t>Rythu</w:t>
      </w:r>
      <w:proofErr w:type="spellEnd"/>
      <w:r w:rsidRPr="00A77128">
        <w:rPr>
          <w:rFonts w:asciiTheme="minorHAnsi" w:hAnsiTheme="minorHAnsi" w:cstheme="minorHAnsi"/>
          <w:sz w:val="22"/>
          <w:szCs w:val="22"/>
        </w:rPr>
        <w:t xml:space="preserve"> </w:t>
      </w:r>
      <w:proofErr w:type="spellStart"/>
      <w:r w:rsidRPr="00A77128">
        <w:rPr>
          <w:rFonts w:asciiTheme="minorHAnsi" w:hAnsiTheme="minorHAnsi" w:cstheme="minorHAnsi"/>
          <w:sz w:val="22"/>
          <w:szCs w:val="22"/>
        </w:rPr>
        <w:t>Seva</w:t>
      </w:r>
      <w:proofErr w:type="spellEnd"/>
      <w:r w:rsidRPr="00A77128">
        <w:rPr>
          <w:rFonts w:asciiTheme="minorHAnsi" w:hAnsiTheme="minorHAnsi" w:cstheme="minorHAnsi"/>
          <w:sz w:val="22"/>
          <w:szCs w:val="22"/>
        </w:rPr>
        <w:t xml:space="preserve"> </w:t>
      </w:r>
      <w:proofErr w:type="spellStart"/>
      <w:r w:rsidRPr="00A77128">
        <w:rPr>
          <w:rFonts w:asciiTheme="minorHAnsi" w:hAnsiTheme="minorHAnsi" w:cstheme="minorHAnsi"/>
          <w:sz w:val="22"/>
          <w:szCs w:val="22"/>
        </w:rPr>
        <w:t>Kendras</w:t>
      </w:r>
      <w:proofErr w:type="spellEnd"/>
      <w:r w:rsidRPr="00A77128">
        <w:rPr>
          <w:rFonts w:asciiTheme="minorHAnsi" w:hAnsiTheme="minorHAnsi" w:cstheme="minorHAnsi"/>
          <w:sz w:val="22"/>
          <w:szCs w:val="22"/>
        </w:rPr>
        <w:t xml:space="preserve"> (RSKs) spa</w:t>
      </w:r>
      <w:r w:rsidR="004769B3" w:rsidRPr="00A77128">
        <w:rPr>
          <w:rFonts w:asciiTheme="minorHAnsi" w:hAnsiTheme="minorHAnsi" w:cstheme="minorHAnsi"/>
          <w:sz w:val="22"/>
          <w:szCs w:val="22"/>
        </w:rPr>
        <w:t>nning all villages in the state</w:t>
      </w:r>
      <w:r w:rsidR="004769B3" w:rsidRPr="00A77128">
        <w:rPr>
          <w:rFonts w:asciiTheme="minorHAnsi" w:hAnsiTheme="minorHAnsi" w:cstheme="minorHAnsi"/>
          <w:bCs/>
          <w:sz w:val="22"/>
          <w:szCs w:val="22"/>
        </w:rPr>
        <w:t xml:space="preserve"> </w:t>
      </w:r>
      <w:r w:rsidR="0090333F" w:rsidRPr="00A77128">
        <w:rPr>
          <w:rFonts w:asciiTheme="minorHAnsi" w:hAnsiTheme="minorHAnsi" w:cstheme="minorHAnsi"/>
          <w:bCs/>
          <w:sz w:val="22"/>
          <w:szCs w:val="22"/>
        </w:rPr>
        <w:t>(</w:t>
      </w:r>
      <w:proofErr w:type="spellStart"/>
      <w:r w:rsidR="004769B3" w:rsidRPr="00A77128">
        <w:rPr>
          <w:rFonts w:asciiTheme="minorHAnsi" w:hAnsiTheme="minorHAnsi" w:cstheme="minorHAnsi"/>
          <w:bCs/>
          <w:sz w:val="22"/>
          <w:szCs w:val="22"/>
        </w:rPr>
        <w:t>Manichandana</w:t>
      </w:r>
      <w:proofErr w:type="spellEnd"/>
      <w:r w:rsidR="004769B3" w:rsidRPr="00A77128">
        <w:rPr>
          <w:rFonts w:asciiTheme="minorHAnsi" w:hAnsiTheme="minorHAnsi" w:cstheme="minorHAnsi"/>
          <w:bCs/>
          <w:sz w:val="22"/>
          <w:szCs w:val="22"/>
        </w:rPr>
        <w:t>, S.</w:t>
      </w:r>
      <w:r w:rsidR="0090333F" w:rsidRPr="00A77128">
        <w:rPr>
          <w:rFonts w:asciiTheme="minorHAnsi" w:hAnsiTheme="minorHAnsi" w:cstheme="minorHAnsi"/>
          <w:bCs/>
          <w:sz w:val="22"/>
          <w:szCs w:val="22"/>
        </w:rPr>
        <w:t xml:space="preserve"> et al. </w:t>
      </w:r>
      <w:r w:rsidR="004769B3" w:rsidRPr="00A77128">
        <w:rPr>
          <w:rFonts w:asciiTheme="minorHAnsi" w:hAnsiTheme="minorHAnsi" w:cstheme="minorHAnsi"/>
          <w:bCs/>
          <w:sz w:val="22"/>
          <w:szCs w:val="22"/>
        </w:rPr>
        <w:t>2023).</w:t>
      </w:r>
    </w:p>
    <w:p w:rsidR="007237E9" w:rsidRPr="00A77128" w:rsidRDefault="004769B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t xml:space="preserve"> </w:t>
      </w: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lastRenderedPageBreak/>
        <w:t>While the generation and dissemination of this data are well-established, translating macro-level intelligence into micro-level actionable decisions remains an ongoing extension challenge</w:t>
      </w:r>
      <w:r w:rsidR="00F15ADB" w:rsidRPr="00A77128">
        <w:rPr>
          <w:rFonts w:asciiTheme="minorHAnsi" w:hAnsiTheme="minorHAnsi" w:cstheme="minorHAnsi"/>
          <w:sz w:val="22"/>
          <w:szCs w:val="22"/>
        </w:rPr>
        <w:t xml:space="preserve"> </w:t>
      </w:r>
      <w:r w:rsidR="00F15ADB" w:rsidRPr="00A77128">
        <w:rPr>
          <w:rFonts w:asciiTheme="minorHAnsi" w:hAnsiTheme="minorHAnsi" w:cstheme="minorHAnsi"/>
          <w:bCs/>
          <w:sz w:val="22"/>
          <w:szCs w:val="22"/>
        </w:rPr>
        <w:t>(Barman et al., 2025)</w:t>
      </w:r>
      <w:r w:rsidRPr="00A77128">
        <w:rPr>
          <w:rFonts w:asciiTheme="minorHAnsi" w:hAnsiTheme="minorHAnsi" w:cstheme="minorHAnsi"/>
          <w:sz w:val="22"/>
          <w:szCs w:val="22"/>
        </w:rPr>
        <w:t xml:space="preserve">. To empirically quantify the socio-economic impact of these institutional advisories, a field study was conducted during the 2024–2025 agricultural year, sampling 434 farmers across Andhra Pradesh. The empirical findings revealed a 61.11% awareness rate regarding the disseminated market intelligence, with 33.13% of the sampled farmers actively adopting the advisories for their marketing decisions. </w:t>
      </w:r>
      <w:r w:rsidR="00B21F13" w:rsidRPr="00A77128">
        <w:rPr>
          <w:rFonts w:asciiTheme="minorHAnsi" w:hAnsiTheme="minorHAnsi" w:cstheme="minorHAnsi"/>
          <w:sz w:val="22"/>
          <w:szCs w:val="22"/>
        </w:rPr>
        <w:t xml:space="preserve">This significant attrition from awareness to execution underscores the localized operational constraints and service delivery hurdles farmers frequently encounter at the RBK level </w:t>
      </w:r>
      <w:r w:rsidR="00B21F13" w:rsidRPr="00A77128">
        <w:rPr>
          <w:rFonts w:asciiTheme="minorHAnsi" w:hAnsiTheme="minorHAnsi" w:cstheme="minorHAnsi"/>
          <w:bCs/>
          <w:sz w:val="22"/>
          <w:szCs w:val="22"/>
        </w:rPr>
        <w:t xml:space="preserve">(Reddy, 2023). </w:t>
      </w:r>
      <w:r w:rsidRPr="00A77128">
        <w:rPr>
          <w:rFonts w:asciiTheme="minorHAnsi" w:hAnsiTheme="minorHAnsi" w:cstheme="minorHAnsi"/>
          <w:sz w:val="22"/>
          <w:szCs w:val="22"/>
        </w:rPr>
        <w:t xml:space="preserve">Most significantly, the study found that farmers who aligned their marketing strategies with AMIC forecasts realized a substantial economic advantage, securing an average premium of ₹451 per quintal on their sale proceeds. These findings underscore that the strategic integration and robust digital dissemination of data-driven market intelligence are vital for optimizing farm incomes, mitigating market risks, developing sustainable food systems, and actively advancing the national objective of an </w:t>
      </w:r>
      <w:proofErr w:type="spellStart"/>
      <w:r w:rsidRPr="00A77128">
        <w:rPr>
          <w:rFonts w:asciiTheme="minorHAnsi" w:hAnsiTheme="minorHAnsi" w:cstheme="minorHAnsi"/>
          <w:i/>
          <w:iCs/>
          <w:sz w:val="22"/>
          <w:szCs w:val="22"/>
        </w:rPr>
        <w:t>Atmanirbhar</w:t>
      </w:r>
      <w:proofErr w:type="spellEnd"/>
      <w:r w:rsidRPr="00A77128">
        <w:rPr>
          <w:rFonts w:asciiTheme="minorHAnsi" w:hAnsiTheme="minorHAnsi" w:cstheme="minorHAnsi"/>
          <w:i/>
          <w:iCs/>
          <w:sz w:val="22"/>
          <w:szCs w:val="22"/>
        </w:rPr>
        <w:t xml:space="preserve"> Bharat</w:t>
      </w:r>
      <w:r w:rsidRPr="00A77128">
        <w:rPr>
          <w:rFonts w:asciiTheme="minorHAnsi" w:hAnsiTheme="minorHAnsi" w:cstheme="minorHAnsi"/>
          <w:sz w:val="22"/>
          <w:szCs w:val="22"/>
        </w:rPr>
        <w:t>.</w:t>
      </w:r>
      <w:r w:rsidR="004361C4" w:rsidRPr="00A77128">
        <w:rPr>
          <w:rFonts w:asciiTheme="minorHAnsi" w:hAnsiTheme="minorHAnsi" w:cstheme="minorHAnsi"/>
          <w:sz w:val="22"/>
          <w:szCs w:val="22"/>
        </w:rPr>
        <w:t xml:space="preserve"> (Roy D, 2022)</w:t>
      </w:r>
      <w:r w:rsidR="005D116E" w:rsidRPr="00A77128">
        <w:rPr>
          <w:rFonts w:asciiTheme="minorHAnsi" w:hAnsiTheme="minorHAnsi" w:cstheme="minorHAnsi"/>
          <w:sz w:val="22"/>
          <w:szCs w:val="22"/>
        </w:rPr>
        <w:t xml:space="preserve"> </w:t>
      </w:r>
      <w:r w:rsidR="005D116E" w:rsidRPr="00A77128">
        <w:rPr>
          <w:rFonts w:asciiTheme="minorHAnsi" w:hAnsiTheme="minorHAnsi" w:cstheme="minorHAnsi"/>
        </w:rPr>
        <w:t>(Thakur et al., 2023)</w:t>
      </w:r>
    </w:p>
    <w:p w:rsidR="00A77128" w:rsidRPr="00A77128" w:rsidRDefault="00A77128" w:rsidP="001211A9">
      <w:pPr>
        <w:shd w:val="clear" w:color="auto" w:fill="FFFFFF" w:themeFill="background1"/>
        <w:spacing w:after="0" w:line="324" w:lineRule="auto"/>
        <w:jc w:val="both"/>
        <w:rPr>
          <w:rFonts w:cstheme="minorHAnsi"/>
          <w:b/>
          <w:bCs/>
          <w:color w:val="000000" w:themeColor="text1"/>
          <w:sz w:val="22"/>
          <w:szCs w:val="22"/>
          <w:shd w:val="clear" w:color="auto" w:fill="FFFFFF"/>
        </w:rPr>
      </w:pPr>
    </w:p>
    <w:p w:rsidR="00120E83" w:rsidRPr="00A77128" w:rsidRDefault="00DC5246" w:rsidP="001211A9">
      <w:pPr>
        <w:shd w:val="clear" w:color="auto" w:fill="FFFFFF" w:themeFill="background1"/>
        <w:spacing w:after="0" w:line="324" w:lineRule="auto"/>
        <w:jc w:val="both"/>
        <w:rPr>
          <w:rFonts w:cstheme="minorHAnsi"/>
          <w:b/>
          <w:sz w:val="22"/>
          <w:szCs w:val="22"/>
        </w:rPr>
      </w:pPr>
      <w:r w:rsidRPr="00A77128">
        <w:rPr>
          <w:rFonts w:cstheme="minorHAnsi"/>
          <w:b/>
          <w:bCs/>
          <w:color w:val="000000" w:themeColor="text1"/>
          <w:sz w:val="22"/>
          <w:szCs w:val="22"/>
          <w:shd w:val="clear" w:color="auto" w:fill="FFFFFF"/>
        </w:rPr>
        <w:t>METHODOLOGY:</w:t>
      </w:r>
    </w:p>
    <w:p w:rsidR="00A77128" w:rsidRDefault="00A77128" w:rsidP="001211A9">
      <w:pPr>
        <w:shd w:val="clear" w:color="auto" w:fill="FFFFFF" w:themeFill="background1"/>
        <w:spacing w:after="0" w:line="324" w:lineRule="auto"/>
        <w:jc w:val="both"/>
        <w:rPr>
          <w:rFonts w:cstheme="minorHAnsi"/>
          <w:sz w:val="22"/>
          <w:szCs w:val="22"/>
        </w:rPr>
      </w:pPr>
    </w:p>
    <w:p w:rsidR="00DC5246" w:rsidRPr="00A77128" w:rsidRDefault="00DC5246" w:rsidP="001211A9">
      <w:pPr>
        <w:shd w:val="clear" w:color="auto" w:fill="FFFFFF" w:themeFill="background1"/>
        <w:spacing w:after="0" w:line="324" w:lineRule="auto"/>
        <w:jc w:val="both"/>
        <w:rPr>
          <w:rFonts w:cstheme="minorHAnsi"/>
          <w:sz w:val="22"/>
          <w:szCs w:val="22"/>
        </w:rPr>
      </w:pPr>
      <w:r w:rsidRPr="00A77128">
        <w:rPr>
          <w:rFonts w:cstheme="minorHAnsi"/>
          <w:sz w:val="22"/>
          <w:szCs w:val="22"/>
        </w:rPr>
        <w:t xml:space="preserve">The present study was conducted in the state of Andhra Pradesh during the 2024–2025 agricultural year. A random sampling technique was employed to select respondent farmers from major crop-producing districts and </w:t>
      </w:r>
      <w:proofErr w:type="spellStart"/>
      <w:r w:rsidRPr="00A77128">
        <w:rPr>
          <w:rFonts w:cstheme="minorHAnsi"/>
          <w:sz w:val="22"/>
          <w:szCs w:val="22"/>
        </w:rPr>
        <w:t>mandals</w:t>
      </w:r>
      <w:proofErr w:type="spellEnd"/>
      <w:r w:rsidRPr="00A77128">
        <w:rPr>
          <w:rFonts w:cstheme="minorHAnsi"/>
          <w:sz w:val="22"/>
          <w:szCs w:val="22"/>
        </w:rPr>
        <w:t xml:space="preserve"> (as delineated in Table 1). To ensure a comprehensive representation of the region's agricultural profile, a total sample of 434 cultivators was selected, comprising growers of cotton (n = 101), black gram (n = 89), jowar (n = 68), turmeric (n = 62), groundnut (n = 61), and maize (n = 53)</w:t>
      </w:r>
      <w:r w:rsidR="00EB00D8" w:rsidRPr="00A77128">
        <w:rPr>
          <w:rFonts w:cstheme="minorHAnsi"/>
          <w:sz w:val="22"/>
          <w:szCs w:val="22"/>
        </w:rPr>
        <w:t xml:space="preserve"> (Kumar et al 2024)</w:t>
      </w:r>
      <w:r w:rsidRPr="00A77128">
        <w:rPr>
          <w:rFonts w:cstheme="minorHAnsi"/>
          <w:sz w:val="22"/>
          <w:szCs w:val="22"/>
        </w:rPr>
        <w:t xml:space="preserve">. The market intelligence under investigation was disseminated to these stakeholders through a multimodal extension approach, utilizing Short Message Services (SMS), direct telephonic advisories, published market bulletins, digital hosting on the ANGRAU web portal, and prominent regional agricultural periodicals such as </w:t>
      </w:r>
      <w:proofErr w:type="spellStart"/>
      <w:r w:rsidR="00EB00D8" w:rsidRPr="00A77128">
        <w:rPr>
          <w:rFonts w:cstheme="minorHAnsi"/>
          <w:i/>
          <w:sz w:val="22"/>
          <w:szCs w:val="22"/>
        </w:rPr>
        <w:t>Padi</w:t>
      </w:r>
      <w:proofErr w:type="spellEnd"/>
      <w:r w:rsidR="00EB00D8" w:rsidRPr="00A77128">
        <w:rPr>
          <w:rFonts w:cstheme="minorHAnsi"/>
          <w:i/>
          <w:sz w:val="22"/>
          <w:szCs w:val="22"/>
        </w:rPr>
        <w:t xml:space="preserve"> </w:t>
      </w:r>
      <w:proofErr w:type="spellStart"/>
      <w:r w:rsidR="00EB00D8" w:rsidRPr="00A77128">
        <w:rPr>
          <w:rFonts w:cstheme="minorHAnsi"/>
          <w:i/>
          <w:sz w:val="22"/>
          <w:szCs w:val="22"/>
        </w:rPr>
        <w:t>Pantalu</w:t>
      </w:r>
      <w:proofErr w:type="spellEnd"/>
      <w:r w:rsidR="00EB00D8" w:rsidRPr="00A77128">
        <w:rPr>
          <w:rFonts w:cstheme="minorHAnsi"/>
          <w:sz w:val="22"/>
          <w:szCs w:val="22"/>
        </w:rPr>
        <w:t xml:space="preserve"> </w:t>
      </w:r>
      <w:r w:rsidRPr="00A77128">
        <w:rPr>
          <w:rFonts w:cstheme="minorHAnsi"/>
          <w:sz w:val="22"/>
          <w:szCs w:val="22"/>
        </w:rPr>
        <w:t xml:space="preserve">and </w:t>
      </w:r>
      <w:proofErr w:type="spellStart"/>
      <w:r w:rsidRPr="00A77128">
        <w:rPr>
          <w:rFonts w:cstheme="minorHAnsi"/>
          <w:i/>
          <w:iCs/>
          <w:sz w:val="22"/>
          <w:szCs w:val="22"/>
        </w:rPr>
        <w:t>Vyavasayam</w:t>
      </w:r>
      <w:proofErr w:type="spellEnd"/>
      <w:r w:rsidR="00EB00D8" w:rsidRPr="00A77128">
        <w:rPr>
          <w:rFonts w:cstheme="minorHAnsi"/>
          <w:sz w:val="22"/>
          <w:szCs w:val="22"/>
        </w:rPr>
        <w:t xml:space="preserve"> (Kumar, 2023)</w:t>
      </w:r>
      <w:r w:rsidR="002319BE" w:rsidRPr="00A77128">
        <w:rPr>
          <w:rFonts w:cstheme="minorHAnsi"/>
          <w:sz w:val="22"/>
          <w:szCs w:val="22"/>
        </w:rPr>
        <w:t xml:space="preserve"> (</w:t>
      </w:r>
      <w:proofErr w:type="spellStart"/>
      <w:r w:rsidR="002319BE" w:rsidRPr="00A77128">
        <w:rPr>
          <w:rFonts w:cstheme="minorHAnsi"/>
          <w:bCs/>
          <w:sz w:val="22"/>
          <w:szCs w:val="22"/>
        </w:rPr>
        <w:t>Hima</w:t>
      </w:r>
      <w:proofErr w:type="spellEnd"/>
      <w:r w:rsidR="002319BE" w:rsidRPr="00A77128">
        <w:rPr>
          <w:rFonts w:cstheme="minorHAnsi"/>
          <w:bCs/>
          <w:sz w:val="22"/>
          <w:szCs w:val="22"/>
        </w:rPr>
        <w:t xml:space="preserve"> </w:t>
      </w:r>
      <w:proofErr w:type="spellStart"/>
      <w:r w:rsidR="002319BE" w:rsidRPr="00A77128">
        <w:rPr>
          <w:rFonts w:cstheme="minorHAnsi"/>
          <w:bCs/>
          <w:sz w:val="22"/>
          <w:szCs w:val="22"/>
        </w:rPr>
        <w:t>Saina</w:t>
      </w:r>
      <w:proofErr w:type="spellEnd"/>
      <w:r w:rsidR="002319BE" w:rsidRPr="00A77128">
        <w:rPr>
          <w:rFonts w:cstheme="minorHAnsi"/>
          <w:bCs/>
          <w:sz w:val="22"/>
          <w:szCs w:val="22"/>
        </w:rPr>
        <w:t>, 2024)</w:t>
      </w:r>
      <w:r w:rsidR="00EB00D8" w:rsidRPr="00A77128">
        <w:rPr>
          <w:rFonts w:cstheme="minorHAnsi"/>
          <w:sz w:val="22"/>
          <w:szCs w:val="22"/>
        </w:rPr>
        <w:t>.</w:t>
      </w:r>
      <w:r w:rsidRPr="00A77128">
        <w:rPr>
          <w:rFonts w:cstheme="minorHAnsi"/>
          <w:sz w:val="22"/>
          <w:szCs w:val="22"/>
        </w:rPr>
        <w:t xml:space="preserve"> Observational records indicated that proactive engagement was highest among farmers from the Guntur, Krishna, Kurnool, Kadapa, Anantapur, and </w:t>
      </w:r>
      <w:proofErr w:type="spellStart"/>
      <w:r w:rsidRPr="00A77128">
        <w:rPr>
          <w:rFonts w:cstheme="minorHAnsi"/>
          <w:sz w:val="22"/>
          <w:szCs w:val="22"/>
        </w:rPr>
        <w:t>Prakasam</w:t>
      </w:r>
      <w:proofErr w:type="spellEnd"/>
      <w:r w:rsidRPr="00A77128">
        <w:rPr>
          <w:rFonts w:cstheme="minorHAnsi"/>
          <w:sz w:val="22"/>
          <w:szCs w:val="22"/>
        </w:rPr>
        <w:t xml:space="preserve"> districts, who frequently initiated telephonic consultations with the Agricultural Market Intelligence Centre (AMIC) to seek targeted insights into crop market behavior. Primary data were systematically gathered from the sampled respondents using structured, pre-tested interview schedules tailored to the study's core objectives. The resulting empirical data were subsequently processed and evaluated using appropriate statistical tools to quantify the adoption rates and socio-economic impact of the disseminated market advisories.</w:t>
      </w:r>
    </w:p>
    <w:p w:rsidR="00747152" w:rsidRPr="00A77128" w:rsidRDefault="00747152" w:rsidP="0090333F">
      <w:pPr>
        <w:shd w:val="clear" w:color="auto" w:fill="FFFFFF" w:themeFill="background1"/>
        <w:spacing w:after="0" w:line="240" w:lineRule="auto"/>
        <w:jc w:val="both"/>
        <w:rPr>
          <w:rFonts w:cstheme="minorHAnsi"/>
          <w:sz w:val="22"/>
          <w:szCs w:val="22"/>
        </w:rPr>
      </w:pPr>
    </w:p>
    <w:p w:rsidR="00A77128" w:rsidRDefault="00A77128">
      <w:pPr>
        <w:rPr>
          <w:rFonts w:cstheme="minorHAnsi"/>
          <w:bCs/>
          <w:color w:val="000000" w:themeColor="text1"/>
          <w:sz w:val="22"/>
          <w:szCs w:val="22"/>
          <w:shd w:val="clear" w:color="auto" w:fill="FFFFFF"/>
        </w:rPr>
      </w:pPr>
      <w:bookmarkStart w:id="1" w:name="_Hlk64107700"/>
      <w:r>
        <w:rPr>
          <w:rFonts w:cstheme="minorHAnsi"/>
          <w:bCs/>
          <w:color w:val="000000" w:themeColor="text1"/>
          <w:sz w:val="22"/>
          <w:szCs w:val="22"/>
          <w:shd w:val="clear" w:color="auto" w:fill="FFFFFF"/>
        </w:rPr>
        <w:br w:type="page"/>
      </w:r>
    </w:p>
    <w:p w:rsidR="00DC5246" w:rsidRPr="00A77128" w:rsidRDefault="00DC5246" w:rsidP="0090333F">
      <w:pPr>
        <w:shd w:val="clear" w:color="auto" w:fill="FFFFFF" w:themeFill="background1"/>
        <w:spacing w:after="0" w:line="240" w:lineRule="auto"/>
        <w:jc w:val="center"/>
        <w:rPr>
          <w:rFonts w:cstheme="minorHAnsi"/>
          <w:bCs/>
          <w:color w:val="000000" w:themeColor="text1"/>
          <w:sz w:val="22"/>
          <w:szCs w:val="22"/>
          <w:shd w:val="clear" w:color="auto" w:fill="FFFFFF"/>
        </w:rPr>
      </w:pPr>
      <w:r w:rsidRPr="00A77128">
        <w:rPr>
          <w:rFonts w:cstheme="minorHAnsi"/>
          <w:bCs/>
          <w:color w:val="000000" w:themeColor="text1"/>
          <w:sz w:val="22"/>
          <w:szCs w:val="22"/>
          <w:shd w:val="clear" w:color="auto" w:fill="FFFFFF"/>
        </w:rPr>
        <w:lastRenderedPageBreak/>
        <w:t xml:space="preserve">Table 1: Selection of Districts and </w:t>
      </w:r>
      <w:proofErr w:type="spellStart"/>
      <w:r w:rsidRPr="00A77128">
        <w:rPr>
          <w:rFonts w:cstheme="minorHAnsi"/>
          <w:bCs/>
          <w:color w:val="000000" w:themeColor="text1"/>
          <w:sz w:val="22"/>
          <w:szCs w:val="22"/>
          <w:shd w:val="clear" w:color="auto" w:fill="FFFFFF"/>
        </w:rPr>
        <w:t>Mandals</w:t>
      </w:r>
      <w:proofErr w:type="spellEnd"/>
    </w:p>
    <w:tbl>
      <w:tblPr>
        <w:tblStyle w:val="TableGrid"/>
        <w:tblW w:w="0" w:type="auto"/>
        <w:tblInd w:w="108" w:type="dxa"/>
        <w:tblLook w:val="04A0" w:firstRow="1" w:lastRow="0" w:firstColumn="1" w:lastColumn="0" w:noHBand="0" w:noVBand="1"/>
      </w:tblPr>
      <w:tblGrid>
        <w:gridCol w:w="1780"/>
        <w:gridCol w:w="2091"/>
        <w:gridCol w:w="4128"/>
        <w:gridCol w:w="1135"/>
      </w:tblGrid>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bCs/>
                <w:color w:val="000000" w:themeColor="text1"/>
              </w:rPr>
              <w:t>Crops</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bCs/>
                <w:color w:val="000000" w:themeColor="text1"/>
              </w:rPr>
              <w:t>Districts</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proofErr w:type="spellStart"/>
            <w:r w:rsidRPr="00A77128">
              <w:rPr>
                <w:rFonts w:cstheme="minorHAnsi"/>
                <w:bCs/>
                <w:color w:val="000000" w:themeColor="text1"/>
              </w:rPr>
              <w:t>Mandals</w:t>
            </w:r>
            <w:proofErr w:type="spellEnd"/>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bCs/>
                <w:color w:val="000000" w:themeColor="text1"/>
              </w:rPr>
              <w:t>Sample (n=434)</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Groundnut</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 xml:space="preserve">Anantapur, Kurnool, </w:t>
            </w:r>
            <w:proofErr w:type="spellStart"/>
            <w:r w:rsidRPr="00A77128">
              <w:rPr>
                <w:rFonts w:cstheme="minorHAnsi"/>
                <w:color w:val="000000" w:themeColor="text1"/>
              </w:rPr>
              <w:t>Satyasai</w:t>
            </w:r>
            <w:proofErr w:type="spellEnd"/>
            <w:r w:rsidRPr="00A77128">
              <w:rPr>
                <w:rFonts w:cstheme="minorHAnsi"/>
                <w:color w:val="000000" w:themeColor="text1"/>
              </w:rPr>
              <w:t>, Kadapa</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proofErr w:type="spellStart"/>
            <w:r w:rsidRPr="00A77128">
              <w:rPr>
                <w:rFonts w:cstheme="minorHAnsi"/>
                <w:color w:val="000000" w:themeColor="text1"/>
              </w:rPr>
              <w:t>Mudigubba</w:t>
            </w:r>
            <w:proofErr w:type="spellEnd"/>
            <w:r w:rsidRPr="00A77128">
              <w:rPr>
                <w:rFonts w:cstheme="minorHAnsi"/>
                <w:color w:val="000000" w:themeColor="text1"/>
              </w:rPr>
              <w:t xml:space="preserve">, </w:t>
            </w:r>
            <w:proofErr w:type="spellStart"/>
            <w:r w:rsidRPr="00A77128">
              <w:rPr>
                <w:rFonts w:cstheme="minorHAnsi"/>
                <w:color w:val="000000" w:themeColor="text1"/>
              </w:rPr>
              <w:t>Kadiri</w:t>
            </w:r>
            <w:proofErr w:type="spellEnd"/>
            <w:r w:rsidRPr="00A77128">
              <w:rPr>
                <w:rFonts w:cstheme="minorHAnsi"/>
                <w:color w:val="000000" w:themeColor="text1"/>
              </w:rPr>
              <w:t xml:space="preserve">, </w:t>
            </w:r>
            <w:proofErr w:type="spellStart"/>
            <w:r w:rsidRPr="00A77128">
              <w:rPr>
                <w:rFonts w:cstheme="minorHAnsi"/>
                <w:color w:val="000000" w:themeColor="text1"/>
              </w:rPr>
              <w:t>Kanekal</w:t>
            </w:r>
            <w:proofErr w:type="spellEnd"/>
            <w:r w:rsidRPr="00A77128">
              <w:rPr>
                <w:rFonts w:cstheme="minorHAnsi"/>
                <w:color w:val="000000" w:themeColor="text1"/>
              </w:rPr>
              <w:t xml:space="preserve">, </w:t>
            </w:r>
            <w:proofErr w:type="spellStart"/>
            <w:r w:rsidRPr="00A77128">
              <w:rPr>
                <w:rFonts w:cstheme="minorHAnsi"/>
                <w:color w:val="000000" w:themeColor="text1"/>
              </w:rPr>
              <w:t>Dharmavaram</w:t>
            </w:r>
            <w:proofErr w:type="spellEnd"/>
            <w:r w:rsidRPr="00A77128">
              <w:rPr>
                <w:rFonts w:cstheme="minorHAnsi"/>
                <w:color w:val="000000" w:themeColor="text1"/>
              </w:rPr>
              <w:t xml:space="preserve">, </w:t>
            </w:r>
            <w:proofErr w:type="spellStart"/>
            <w:r w:rsidRPr="00A77128">
              <w:rPr>
                <w:rFonts w:cstheme="minorHAnsi"/>
                <w:color w:val="000000" w:themeColor="text1"/>
              </w:rPr>
              <w:t>Pamidi</w:t>
            </w:r>
            <w:proofErr w:type="spellEnd"/>
            <w:r w:rsidRPr="00A77128">
              <w:rPr>
                <w:rFonts w:cstheme="minorHAnsi"/>
                <w:color w:val="000000" w:themeColor="text1"/>
              </w:rPr>
              <w:t xml:space="preserve">, </w:t>
            </w:r>
            <w:proofErr w:type="spellStart"/>
            <w:r w:rsidRPr="00A77128">
              <w:rPr>
                <w:rFonts w:cstheme="minorHAnsi"/>
                <w:color w:val="000000" w:themeColor="text1"/>
              </w:rPr>
              <w:t>Allagadda</w:t>
            </w:r>
            <w:proofErr w:type="spellEnd"/>
            <w:r w:rsidRPr="00A77128">
              <w:rPr>
                <w:rFonts w:cstheme="minorHAnsi"/>
                <w:color w:val="000000" w:themeColor="text1"/>
              </w:rPr>
              <w:t xml:space="preserve">, </w:t>
            </w:r>
            <w:proofErr w:type="spellStart"/>
            <w:r w:rsidRPr="00A77128">
              <w:rPr>
                <w:rFonts w:cstheme="minorHAnsi"/>
                <w:color w:val="000000" w:themeColor="text1"/>
              </w:rPr>
              <w:t>Krishnagiri</w:t>
            </w:r>
            <w:proofErr w:type="spellEnd"/>
            <w:r w:rsidRPr="00A77128">
              <w:rPr>
                <w:rFonts w:cstheme="minorHAnsi"/>
                <w:color w:val="000000" w:themeColor="text1"/>
              </w:rPr>
              <w:t xml:space="preserve">, </w:t>
            </w:r>
            <w:proofErr w:type="spellStart"/>
            <w:r w:rsidRPr="00A77128">
              <w:rPr>
                <w:rFonts w:cstheme="minorHAnsi"/>
                <w:color w:val="000000" w:themeColor="text1"/>
              </w:rPr>
              <w:t>Vajrakarur</w:t>
            </w:r>
            <w:proofErr w:type="spellEnd"/>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61</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Black gram</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Krishna, Guntur, Srikakulam</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Movva, Mopidevi, Ghantasala, Pamarru, Unguturu, Amruthalur, Nagaram, Ponnur, Rajam</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89</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Turmeric</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Guntur, Bapatla, Krishna, Kadapa, Kurnool, Alluri Sitaramaraju</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Duggirala, Bhattiprolu, Tadepalle, Mangalgiri, Mopidevi, Kankipadu, Khajipet, Duvvuru, Mahanadi, Chintapalli, G Madugula</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62</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Cotton</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Guntur, Bapatla, Palnadu, Prakasam, Kurnool</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en-IN"/>
              </w:rPr>
            </w:pPr>
            <w:proofErr w:type="spellStart"/>
            <w:r w:rsidRPr="00A77128">
              <w:rPr>
                <w:rFonts w:cstheme="minorHAnsi"/>
                <w:color w:val="000000" w:themeColor="text1"/>
                <w:lang w:val="en-IN"/>
              </w:rPr>
              <w:t>Adoni</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Phirangipuram</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Sattenapalle</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Vatticherukuru</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Yemmiganur</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Amaravathi</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Kallur</w:t>
            </w:r>
            <w:proofErr w:type="spellEnd"/>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101</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Maize</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 xml:space="preserve">Guntur, Srikakulam, </w:t>
            </w:r>
            <w:proofErr w:type="spellStart"/>
            <w:r w:rsidRPr="00A77128">
              <w:rPr>
                <w:rFonts w:cstheme="minorHAnsi"/>
                <w:color w:val="000000" w:themeColor="text1"/>
              </w:rPr>
              <w:t>Prakasam</w:t>
            </w:r>
            <w:proofErr w:type="spellEnd"/>
            <w:r w:rsidRPr="00A77128">
              <w:rPr>
                <w:rFonts w:cstheme="minorHAnsi"/>
                <w:color w:val="000000" w:themeColor="text1"/>
              </w:rPr>
              <w:t>, Kurnool</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Duggirala, Ponnur, Laveru, Rudravaram, Atmakur, Allagadda, Martur, Bhattiprolu</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53</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Jowar</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Guntur, Bapatla, Prakasam, Nandyal, Kurnool</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Vemuru, Tenali, Duggirala, Kolluru, Ponnur, Veldurthi</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68</w:t>
            </w:r>
          </w:p>
        </w:tc>
      </w:tr>
      <w:bookmarkEnd w:id="1"/>
    </w:tbl>
    <w:p w:rsidR="00DC5246" w:rsidRPr="00A77128" w:rsidRDefault="00DC5246" w:rsidP="0090333F">
      <w:pPr>
        <w:shd w:val="clear" w:color="auto" w:fill="FFFFFF" w:themeFill="background1"/>
        <w:spacing w:after="0" w:line="240" w:lineRule="auto"/>
        <w:jc w:val="both"/>
        <w:rPr>
          <w:rFonts w:cstheme="minorHAnsi"/>
          <w:sz w:val="22"/>
          <w:szCs w:val="22"/>
        </w:rPr>
      </w:pPr>
    </w:p>
    <w:p w:rsidR="00282C88" w:rsidRDefault="00B43D62" w:rsidP="0090333F">
      <w:pPr>
        <w:pStyle w:val="Heading3"/>
        <w:shd w:val="clear" w:color="auto" w:fill="FFFFFF" w:themeFill="background1"/>
        <w:spacing w:before="0" w:beforeAutospacing="0" w:after="0" w:afterAutospacing="0"/>
        <w:jc w:val="both"/>
        <w:rPr>
          <w:rFonts w:asciiTheme="minorHAnsi" w:hAnsiTheme="minorHAnsi" w:cstheme="minorHAnsi"/>
          <w:sz w:val="22"/>
          <w:szCs w:val="22"/>
        </w:rPr>
      </w:pPr>
      <w:r w:rsidRPr="00A77128">
        <w:rPr>
          <w:rFonts w:asciiTheme="minorHAnsi" w:hAnsiTheme="minorHAnsi" w:cstheme="minorHAnsi"/>
          <w:sz w:val="22"/>
          <w:szCs w:val="22"/>
        </w:rPr>
        <w:t>RESULTS AND DISCUSSION</w:t>
      </w:r>
      <w:r>
        <w:rPr>
          <w:rFonts w:asciiTheme="minorHAnsi" w:hAnsiTheme="minorHAnsi" w:cstheme="minorHAnsi"/>
          <w:sz w:val="22"/>
          <w:szCs w:val="22"/>
        </w:rPr>
        <w:t>:</w:t>
      </w:r>
    </w:p>
    <w:p w:rsidR="00B43D62" w:rsidRPr="00A77128" w:rsidRDefault="00B43D62" w:rsidP="0090333F">
      <w:pPr>
        <w:pStyle w:val="Heading3"/>
        <w:shd w:val="clear" w:color="auto" w:fill="FFFFFF" w:themeFill="background1"/>
        <w:spacing w:before="0" w:beforeAutospacing="0" w:after="0" w:afterAutospacing="0"/>
        <w:jc w:val="both"/>
        <w:rPr>
          <w:rFonts w:asciiTheme="minorHAnsi" w:hAnsiTheme="minorHAnsi" w:cstheme="minorHAnsi"/>
          <w:sz w:val="22"/>
          <w:szCs w:val="22"/>
        </w:rPr>
      </w:pPr>
    </w:p>
    <w:p w:rsidR="00282C88" w:rsidRPr="00A77128" w:rsidRDefault="00282C88"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sidRPr="00A77128">
        <w:rPr>
          <w:rFonts w:asciiTheme="minorHAnsi" w:hAnsiTheme="minorHAnsi" w:cstheme="minorHAnsi"/>
          <w:b/>
          <w:bCs/>
          <w:sz w:val="22"/>
          <w:szCs w:val="22"/>
        </w:rPr>
        <w:t>Socio-Economic Profile of the Respondents</w:t>
      </w:r>
      <w:r w:rsidR="00A77128" w:rsidRPr="00A77128">
        <w:rPr>
          <w:rFonts w:asciiTheme="minorHAnsi" w:hAnsiTheme="minorHAnsi" w:cstheme="minorHAnsi"/>
          <w:b/>
          <w:sz w:val="22"/>
          <w:szCs w:val="22"/>
        </w:rPr>
        <w:t>:</w:t>
      </w:r>
      <w:r w:rsidR="00A77128">
        <w:rPr>
          <w:rFonts w:asciiTheme="minorHAnsi" w:hAnsiTheme="minorHAnsi" w:cstheme="minorHAnsi"/>
          <w:sz w:val="22"/>
          <w:szCs w:val="22"/>
        </w:rPr>
        <w:t xml:space="preserve"> </w:t>
      </w:r>
      <w:r w:rsidRPr="00A77128">
        <w:rPr>
          <w:rFonts w:asciiTheme="minorHAnsi" w:hAnsiTheme="minorHAnsi" w:cstheme="minorHAnsi"/>
          <w:sz w:val="22"/>
          <w:szCs w:val="22"/>
        </w:rPr>
        <w:t>The capacity of the farming community to access and interpret agricultural market intelligence is intrinsically linked to their socio-economic demographics. As detailed in Table 2, the sample of 434 respondents was predominantly middle-aged, with the largest cohort falling in the 40–50 age bracket (n = 180, 41.5%), followed by the 30–40 age bracket (n = 157, 36.2%). Educational attainment, a critical determinant in the adoption of digital extension services, revealed that a significant proportion of the farmers had an educational background below the 10th standard (n = 188, 43.3%), while 30.2% (n = 131) had completed Intermediate education. Regarding landholding patterns, the sample was dominated by medium-scale farmers (n = 202, 46.5%), whereas large and small farmers constituted 34.1% (n = 148) and 19.4% (n = 84) of the sample, respectively.</w:t>
      </w:r>
      <w:r w:rsidR="00E25989" w:rsidRPr="00A77128">
        <w:rPr>
          <w:rFonts w:asciiTheme="minorHAnsi" w:hAnsiTheme="minorHAnsi" w:cstheme="minorHAnsi"/>
          <w:sz w:val="22"/>
          <w:szCs w:val="22"/>
        </w:rPr>
        <w:t xml:space="preserve"> It was observed that age, education, and access to extension functionaries significantly influence </w:t>
      </w:r>
      <w:proofErr w:type="gramStart"/>
      <w:r w:rsidR="00E25989" w:rsidRPr="00A77128">
        <w:rPr>
          <w:rFonts w:asciiTheme="minorHAnsi" w:hAnsiTheme="minorHAnsi" w:cstheme="minorHAnsi"/>
          <w:sz w:val="22"/>
          <w:szCs w:val="22"/>
        </w:rPr>
        <w:t>the  farmer's</w:t>
      </w:r>
      <w:proofErr w:type="gramEnd"/>
      <w:r w:rsidR="00E25989" w:rsidRPr="00A77128">
        <w:rPr>
          <w:rFonts w:asciiTheme="minorHAnsi" w:hAnsiTheme="minorHAnsi" w:cstheme="minorHAnsi"/>
          <w:sz w:val="22"/>
          <w:szCs w:val="22"/>
        </w:rPr>
        <w:t xml:space="preserve"> capacity to adopt market intelligence (Barman S, 2025)</w:t>
      </w:r>
    </w:p>
    <w:p w:rsidR="00A77128" w:rsidRDefault="00A77128">
      <w:pPr>
        <w:rPr>
          <w:rFonts w:eastAsia="Times New Roman" w:cstheme="minorHAnsi"/>
          <w:bCs/>
          <w:kern w:val="0"/>
          <w:sz w:val="22"/>
          <w:szCs w:val="22"/>
        </w:rPr>
      </w:pPr>
      <w:r>
        <w:rPr>
          <w:rFonts w:eastAsia="Times New Roman" w:cstheme="minorHAnsi"/>
          <w:bCs/>
          <w:kern w:val="0"/>
          <w:sz w:val="22"/>
          <w:szCs w:val="22"/>
        </w:rPr>
        <w:br w:type="page"/>
      </w:r>
    </w:p>
    <w:p w:rsidR="00DC5246" w:rsidRPr="00A77128" w:rsidRDefault="00DC5246"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bCs/>
          <w:kern w:val="0"/>
          <w:sz w:val="22"/>
          <w:szCs w:val="22"/>
        </w:rPr>
        <w:lastRenderedPageBreak/>
        <w:t>Table 2: Socio-economic characteristics of selected farmers (n = 434)</w:t>
      </w:r>
    </w:p>
    <w:p w:rsidR="00DC5246" w:rsidRPr="00A77128" w:rsidRDefault="00DC5246" w:rsidP="0090333F">
      <w:pPr>
        <w:shd w:val="clear" w:color="auto" w:fill="FFFFFF" w:themeFill="background1"/>
        <w:spacing w:after="0" w:line="240" w:lineRule="auto"/>
        <w:jc w:val="both"/>
        <w:rPr>
          <w:rFonts w:cstheme="minorHAnsi"/>
          <w:sz w:val="22"/>
          <w:szCs w:val="22"/>
        </w:rPr>
      </w:pPr>
    </w:p>
    <w:tbl>
      <w:tblPr>
        <w:tblW w:w="7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5"/>
        <w:gridCol w:w="1074"/>
        <w:gridCol w:w="1105"/>
        <w:gridCol w:w="895"/>
        <w:gridCol w:w="703"/>
        <w:gridCol w:w="631"/>
        <w:gridCol w:w="616"/>
        <w:gridCol w:w="543"/>
      </w:tblGrid>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Demographic Variable</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w:t>
            </w:r>
          </w:p>
        </w:tc>
      </w:tr>
      <w:tr w:rsidR="00A77128" w:rsidRPr="00A77128" w:rsidTr="00A77128">
        <w:trPr>
          <w:trHeight w:val="315"/>
          <w:jc w:val="center"/>
        </w:trPr>
        <w:tc>
          <w:tcPr>
            <w:tcW w:w="0" w:type="auto"/>
            <w:gridSpan w:val="8"/>
            <w:tcMar>
              <w:top w:w="30" w:type="dxa"/>
              <w:left w:w="45" w:type="dxa"/>
              <w:bottom w:w="30" w:type="dxa"/>
              <w:right w:w="45" w:type="dxa"/>
            </w:tcMar>
            <w:vAlign w:val="bottom"/>
            <w:hideMark/>
          </w:tcPr>
          <w:p w:rsidR="00A77128" w:rsidRPr="00A77128" w:rsidRDefault="00A7712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Age Group</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30-40</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157</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40-50</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180</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&gt;50</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20</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24</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97</w:t>
            </w:r>
          </w:p>
        </w:tc>
      </w:tr>
      <w:tr w:rsidR="00A77128" w:rsidRPr="00A77128" w:rsidTr="006450F6">
        <w:trPr>
          <w:trHeight w:val="315"/>
          <w:jc w:val="center"/>
        </w:trPr>
        <w:tc>
          <w:tcPr>
            <w:tcW w:w="0" w:type="auto"/>
            <w:gridSpan w:val="8"/>
            <w:tcMar>
              <w:top w:w="30" w:type="dxa"/>
              <w:left w:w="45" w:type="dxa"/>
              <w:bottom w:w="30" w:type="dxa"/>
              <w:right w:w="45" w:type="dxa"/>
            </w:tcMar>
            <w:vAlign w:val="bottom"/>
            <w:hideMark/>
          </w:tcPr>
          <w:p w:rsidR="00A77128" w:rsidRPr="00A77128" w:rsidRDefault="00A7712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Education Level</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Illiterate</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79</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Below 10th</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34</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188</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Intermediate</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34</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18</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131</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Degree</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7</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36</w:t>
            </w:r>
          </w:p>
        </w:tc>
      </w:tr>
      <w:tr w:rsidR="00A77128" w:rsidRPr="00A77128" w:rsidTr="003B7CA3">
        <w:trPr>
          <w:trHeight w:val="315"/>
          <w:jc w:val="center"/>
        </w:trPr>
        <w:tc>
          <w:tcPr>
            <w:tcW w:w="0" w:type="auto"/>
            <w:gridSpan w:val="8"/>
            <w:tcMar>
              <w:top w:w="30" w:type="dxa"/>
              <w:left w:w="45" w:type="dxa"/>
              <w:bottom w:w="30" w:type="dxa"/>
              <w:right w:w="45" w:type="dxa"/>
            </w:tcMar>
            <w:vAlign w:val="bottom"/>
            <w:hideMark/>
          </w:tcPr>
          <w:p w:rsidR="00A77128" w:rsidRPr="00A77128" w:rsidRDefault="00A7712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Landholdings</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Small Farmers</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17</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84</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Medium Farmers</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27</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202</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Large Farmers</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40</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45</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148</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 (n)</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89</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62</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101</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53</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68</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434</w:t>
            </w:r>
          </w:p>
        </w:tc>
      </w:tr>
    </w:tbl>
    <w:p w:rsidR="00DC5246" w:rsidRPr="00A77128" w:rsidRDefault="00DC5246" w:rsidP="0090333F">
      <w:pPr>
        <w:shd w:val="clear" w:color="auto" w:fill="FFFFFF" w:themeFill="background1"/>
        <w:spacing w:after="0" w:line="240" w:lineRule="auto"/>
        <w:jc w:val="both"/>
        <w:rPr>
          <w:rFonts w:cstheme="minorHAnsi"/>
          <w:sz w:val="22"/>
          <w:szCs w:val="22"/>
        </w:rPr>
      </w:pPr>
    </w:p>
    <w:p w:rsidR="00282C88" w:rsidRPr="00A77128" w:rsidRDefault="00282C88" w:rsidP="001211A9">
      <w:pPr>
        <w:shd w:val="clear" w:color="auto" w:fill="FFFFFF" w:themeFill="background1"/>
        <w:spacing w:after="0" w:line="324" w:lineRule="auto"/>
        <w:jc w:val="both"/>
        <w:rPr>
          <w:rFonts w:cstheme="minorHAnsi"/>
          <w:sz w:val="22"/>
          <w:szCs w:val="22"/>
        </w:rPr>
      </w:pPr>
      <w:r w:rsidRPr="00A77128">
        <w:rPr>
          <w:rFonts w:cstheme="minorHAnsi"/>
          <w:b/>
          <w:bCs/>
          <w:sz w:val="22"/>
          <w:szCs w:val="22"/>
        </w:rPr>
        <w:t>Awareness and Dissemination Modalities</w:t>
      </w:r>
      <w:r w:rsidR="00A77128">
        <w:rPr>
          <w:rFonts w:cstheme="minorHAnsi"/>
          <w:b/>
          <w:bCs/>
          <w:sz w:val="22"/>
          <w:szCs w:val="22"/>
        </w:rPr>
        <w:t>:</w:t>
      </w:r>
      <w:r w:rsidRPr="00A77128">
        <w:rPr>
          <w:rFonts w:cstheme="minorHAnsi"/>
          <w:sz w:val="22"/>
          <w:szCs w:val="22"/>
        </w:rPr>
        <w:t xml:space="preserve"> Effective dissemination is the linchpin of agricultural market intelligence. Table 3 illustrates the penetration of AMIC’s price forecasts among the sampled farmers. Out of the 434 respondents, 60.8% (n = 264) were aware of the price forecasts, whereas 39.2% (n = 170) remained </w:t>
      </w:r>
      <w:r w:rsidRPr="00A77128">
        <w:rPr>
          <w:rFonts w:cstheme="minorHAnsi"/>
          <w:sz w:val="22"/>
          <w:szCs w:val="22"/>
          <w:shd w:val="clear" w:color="auto" w:fill="FFFFFF" w:themeFill="background1"/>
        </w:rPr>
        <w:t>unaware</w:t>
      </w:r>
      <w:r w:rsidR="005764AD" w:rsidRPr="00A77128">
        <w:rPr>
          <w:rFonts w:cstheme="minorHAnsi"/>
          <w:sz w:val="22"/>
          <w:szCs w:val="22"/>
          <w:shd w:val="clear" w:color="auto" w:fill="FFFFFF" w:themeFill="background1"/>
        </w:rPr>
        <w:t xml:space="preserve"> (</w:t>
      </w:r>
      <w:proofErr w:type="spellStart"/>
      <w:r w:rsidR="005764AD" w:rsidRPr="00A77128">
        <w:rPr>
          <w:rFonts w:cstheme="minorHAnsi"/>
          <w:color w:val="1F1F1F"/>
          <w:sz w:val="22"/>
          <w:szCs w:val="22"/>
          <w:shd w:val="clear" w:color="auto" w:fill="FFFFFF" w:themeFill="background1"/>
        </w:rPr>
        <w:t>Babu</w:t>
      </w:r>
      <w:proofErr w:type="spellEnd"/>
      <w:r w:rsidR="005764AD" w:rsidRPr="00A77128">
        <w:rPr>
          <w:rFonts w:cstheme="minorHAnsi"/>
          <w:color w:val="1F1F1F"/>
          <w:sz w:val="22"/>
          <w:szCs w:val="22"/>
          <w:shd w:val="clear" w:color="auto" w:fill="FFFFFF" w:themeFill="background1"/>
        </w:rPr>
        <w:t>, N. N, et al. 2023)</w:t>
      </w:r>
      <w:r w:rsidRPr="00A77128">
        <w:rPr>
          <w:rFonts w:cstheme="minorHAnsi"/>
          <w:sz w:val="22"/>
          <w:szCs w:val="22"/>
          <w:shd w:val="clear" w:color="auto" w:fill="FFFFFF" w:themeFill="background1"/>
        </w:rPr>
        <w:t>. Among</w:t>
      </w:r>
      <w:r w:rsidRPr="00A77128">
        <w:rPr>
          <w:rFonts w:cstheme="minorHAnsi"/>
          <w:sz w:val="22"/>
          <w:szCs w:val="22"/>
        </w:rPr>
        <w:t xml:space="preserve"> those informed, institutional channels played a primary role: 88 farmers accessed the information via </w:t>
      </w:r>
      <w:proofErr w:type="spellStart"/>
      <w:r w:rsidRPr="00A77128">
        <w:rPr>
          <w:rFonts w:cstheme="minorHAnsi"/>
          <w:sz w:val="22"/>
          <w:szCs w:val="22"/>
        </w:rPr>
        <w:t>Rythu</w:t>
      </w:r>
      <w:proofErr w:type="spellEnd"/>
      <w:r w:rsidRPr="00A77128">
        <w:rPr>
          <w:rFonts w:cstheme="minorHAnsi"/>
          <w:sz w:val="22"/>
          <w:szCs w:val="22"/>
        </w:rPr>
        <w:t xml:space="preserve"> </w:t>
      </w:r>
      <w:proofErr w:type="spellStart"/>
      <w:r w:rsidRPr="00A77128">
        <w:rPr>
          <w:rFonts w:cstheme="minorHAnsi"/>
          <w:sz w:val="22"/>
          <w:szCs w:val="22"/>
        </w:rPr>
        <w:t>Seva</w:t>
      </w:r>
      <w:proofErr w:type="spellEnd"/>
      <w:r w:rsidRPr="00A77128">
        <w:rPr>
          <w:rFonts w:cstheme="minorHAnsi"/>
          <w:sz w:val="22"/>
          <w:szCs w:val="22"/>
        </w:rPr>
        <w:t xml:space="preserve"> </w:t>
      </w:r>
      <w:proofErr w:type="spellStart"/>
      <w:r w:rsidRPr="00A77128">
        <w:rPr>
          <w:rFonts w:cstheme="minorHAnsi"/>
          <w:sz w:val="22"/>
          <w:szCs w:val="22"/>
        </w:rPr>
        <w:t>Kendras</w:t>
      </w:r>
      <w:proofErr w:type="spellEnd"/>
      <w:r w:rsidRPr="00A77128">
        <w:rPr>
          <w:rFonts w:cstheme="minorHAnsi"/>
          <w:sz w:val="22"/>
          <w:szCs w:val="22"/>
        </w:rPr>
        <w:t xml:space="preserve"> (RSKs), 71 through direct SMS/phone calls from AMIC, and 51 via phone inquiries to ANGRAU. Peer-to-peer networks and digital platforms also contributed, with 54 and 54 farmers receiving information from fellow cultivators and the ANGRAU website, respectively. Furthermore, institutional observations indicated that supply chain stakeholders, including traders and commission agents, actively engaged with the Centre to monitor market behavior. These findings align with Kumari et al. (2018), who observed high awareness and satisfaction levels regarding regular price forecast dissemination among agricultural communities.</w:t>
      </w:r>
    </w:p>
    <w:p w:rsidR="00282C88" w:rsidRPr="00A77128" w:rsidRDefault="00282C88" w:rsidP="0090333F">
      <w:pPr>
        <w:shd w:val="clear" w:color="auto" w:fill="FFFFFF" w:themeFill="background1"/>
        <w:spacing w:after="0" w:line="240" w:lineRule="auto"/>
        <w:jc w:val="both"/>
        <w:rPr>
          <w:rFonts w:cstheme="minorHAnsi"/>
          <w:sz w:val="10"/>
          <w:szCs w:val="22"/>
        </w:rPr>
      </w:pPr>
    </w:p>
    <w:p w:rsidR="00282C88" w:rsidRPr="00A77128" w:rsidRDefault="00282C88" w:rsidP="00A77128">
      <w:pPr>
        <w:shd w:val="clear" w:color="auto" w:fill="FFFFFF" w:themeFill="background1"/>
        <w:spacing w:after="0" w:line="240" w:lineRule="auto"/>
        <w:jc w:val="center"/>
        <w:rPr>
          <w:rFonts w:cstheme="minorHAnsi"/>
          <w:sz w:val="22"/>
          <w:szCs w:val="22"/>
        </w:rPr>
      </w:pPr>
      <w:r w:rsidRPr="00A77128">
        <w:rPr>
          <w:rFonts w:cstheme="minorHAnsi"/>
          <w:sz w:val="22"/>
          <w:szCs w:val="22"/>
        </w:rPr>
        <w:t>Table 3: Mode of price forecast dissemination to farmers (n = 434)</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1074"/>
        <w:gridCol w:w="1105"/>
        <w:gridCol w:w="895"/>
        <w:gridCol w:w="703"/>
        <w:gridCol w:w="631"/>
        <w:gridCol w:w="616"/>
        <w:gridCol w:w="543"/>
      </w:tblGrid>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Dissemination Source</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Information from RSKs</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19</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88</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SMS/Phone calls to AMIC</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71</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Fellow farmers/cultivators</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5</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7</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12</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54</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Phone calls to ANGRAU</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7</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51</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Not aware of forecasts</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29</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38</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170</w:t>
            </w:r>
          </w:p>
        </w:tc>
      </w:tr>
    </w:tbl>
    <w:p w:rsidR="00282C88" w:rsidRPr="00A77128" w:rsidRDefault="00282C88" w:rsidP="0090333F">
      <w:pPr>
        <w:shd w:val="clear" w:color="auto" w:fill="FFFFFF" w:themeFill="background1"/>
        <w:spacing w:after="0" w:line="240" w:lineRule="auto"/>
        <w:jc w:val="both"/>
        <w:rPr>
          <w:rFonts w:cstheme="minorHAnsi"/>
          <w:sz w:val="22"/>
          <w:szCs w:val="22"/>
        </w:rPr>
      </w:pPr>
    </w:p>
    <w:p w:rsidR="00282C88" w:rsidRPr="00A77128" w:rsidRDefault="00282C88"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sidRPr="00A77128">
        <w:rPr>
          <w:rFonts w:asciiTheme="minorHAnsi" w:hAnsiTheme="minorHAnsi" w:cstheme="minorHAnsi"/>
          <w:b/>
          <w:bCs/>
          <w:sz w:val="22"/>
          <w:szCs w:val="22"/>
        </w:rPr>
        <w:t>Economic Impact and Efficacy of AMIC Advisories</w:t>
      </w:r>
      <w:r w:rsidR="00A77128">
        <w:rPr>
          <w:rFonts w:asciiTheme="minorHAnsi" w:hAnsiTheme="minorHAnsi" w:cstheme="minorHAnsi"/>
          <w:sz w:val="22"/>
          <w:szCs w:val="22"/>
        </w:rPr>
        <w:t xml:space="preserve">: </w:t>
      </w:r>
      <w:r w:rsidRPr="00A77128">
        <w:rPr>
          <w:rFonts w:asciiTheme="minorHAnsi" w:hAnsiTheme="minorHAnsi" w:cstheme="minorHAnsi"/>
          <w:sz w:val="22"/>
          <w:szCs w:val="22"/>
        </w:rPr>
        <w:t xml:space="preserve">The ultimate measure of market intelligence is its tangible economic impact on farm revenues. Tables 4 and 5 detail the adoption rates and subsequent financial outcomes across the six crops under study. </w:t>
      </w:r>
      <w:r w:rsidR="00640F66" w:rsidRPr="00A77128">
        <w:rPr>
          <w:rFonts w:asciiTheme="minorHAnsi" w:hAnsiTheme="minorHAnsi" w:cstheme="minorHAnsi"/>
          <w:sz w:val="22"/>
          <w:szCs w:val="22"/>
        </w:rPr>
        <w:t>Figure 1 shows that, o</w:t>
      </w:r>
      <w:r w:rsidRPr="00A77128">
        <w:rPr>
          <w:rFonts w:asciiTheme="minorHAnsi" w:hAnsiTheme="minorHAnsi" w:cstheme="minorHAnsi"/>
          <w:sz w:val="22"/>
          <w:szCs w:val="22"/>
        </w:rPr>
        <w:t>verall, while 61% of the total sample was aware of the AMIC advisories, 33.4% (n = 145) actively integrated these forecasts into their marketing decisions.</w:t>
      </w:r>
    </w:p>
    <w:p w:rsidR="00640F66" w:rsidRPr="00A77128" w:rsidRDefault="00640F66" w:rsidP="0090333F">
      <w:pPr>
        <w:pStyle w:val="NormalWeb"/>
        <w:shd w:val="clear" w:color="auto" w:fill="FFFFFF" w:themeFill="background1"/>
        <w:spacing w:before="0" w:beforeAutospacing="0" w:after="0" w:afterAutospacing="0" w:line="276" w:lineRule="auto"/>
        <w:jc w:val="both"/>
        <w:rPr>
          <w:rFonts w:asciiTheme="minorHAnsi" w:hAnsiTheme="minorHAnsi" w:cstheme="minorHAnsi"/>
          <w:sz w:val="22"/>
          <w:szCs w:val="22"/>
        </w:rPr>
      </w:pPr>
    </w:p>
    <w:p w:rsidR="00640F66" w:rsidRPr="00A77128" w:rsidRDefault="00640F66"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22"/>
          <w:szCs w:val="22"/>
        </w:rPr>
      </w:pPr>
      <w:r w:rsidRPr="00A77128">
        <w:rPr>
          <w:rFonts w:asciiTheme="minorHAnsi" w:hAnsiTheme="minorHAnsi" w:cstheme="minorHAnsi"/>
          <w:noProof/>
          <w:sz w:val="22"/>
          <w:szCs w:val="22"/>
        </w:rPr>
        <w:drawing>
          <wp:inline distT="0" distB="0" distL="0" distR="0">
            <wp:extent cx="4953000" cy="27813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40F66" w:rsidRPr="005B7F1A" w:rsidRDefault="00640F66"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10"/>
          <w:szCs w:val="22"/>
        </w:rPr>
      </w:pPr>
    </w:p>
    <w:p w:rsidR="00640F66" w:rsidRDefault="00640F66"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22"/>
          <w:szCs w:val="22"/>
        </w:rPr>
      </w:pPr>
      <w:r w:rsidRPr="00A77128">
        <w:rPr>
          <w:rFonts w:asciiTheme="minorHAnsi" w:hAnsiTheme="minorHAnsi" w:cstheme="minorHAnsi"/>
          <w:sz w:val="22"/>
          <w:szCs w:val="22"/>
        </w:rPr>
        <w:t xml:space="preserve">Fig 1: Sample respondents adopted the AMIC advisory </w:t>
      </w:r>
    </w:p>
    <w:p w:rsidR="005B7F1A" w:rsidRPr="005B7F1A" w:rsidRDefault="005B7F1A"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14"/>
          <w:szCs w:val="22"/>
        </w:rPr>
      </w:pPr>
    </w:p>
    <w:p w:rsidR="00282C88" w:rsidRPr="00A77128" w:rsidRDefault="00282C88" w:rsidP="001211A9">
      <w:pPr>
        <w:pStyle w:val="NormalWeb"/>
        <w:numPr>
          <w:ilvl w:val="0"/>
          <w:numId w:val="1"/>
        </w:numPr>
        <w:shd w:val="clear" w:color="auto" w:fill="FFFFFF" w:themeFill="background1"/>
        <w:spacing w:before="0" w:beforeAutospacing="0" w:after="0" w:afterAutospacing="0" w:line="324" w:lineRule="auto"/>
        <w:ind w:left="0"/>
        <w:jc w:val="both"/>
        <w:rPr>
          <w:rFonts w:asciiTheme="minorHAnsi" w:hAnsiTheme="minorHAnsi" w:cstheme="minorHAnsi"/>
          <w:sz w:val="22"/>
          <w:szCs w:val="22"/>
        </w:rPr>
      </w:pPr>
      <w:r w:rsidRPr="00A77128">
        <w:rPr>
          <w:rFonts w:asciiTheme="minorHAnsi" w:hAnsiTheme="minorHAnsi" w:cstheme="minorHAnsi"/>
          <w:bCs/>
          <w:sz w:val="22"/>
          <w:szCs w:val="22"/>
          <w:u w:val="single"/>
        </w:rPr>
        <w:t>Successful Storage Advisories</w:t>
      </w:r>
      <w:r w:rsidRPr="00A77128">
        <w:rPr>
          <w:rFonts w:asciiTheme="minorHAnsi" w:hAnsiTheme="minorHAnsi" w:cstheme="minorHAnsi"/>
          <w:bCs/>
          <w:sz w:val="22"/>
          <w:szCs w:val="22"/>
        </w:rPr>
        <w:t xml:space="preserve"> (Groundnut, Turmeric, Cotton, Jowar):</w:t>
      </w:r>
      <w:r w:rsidRPr="00A77128">
        <w:rPr>
          <w:rFonts w:asciiTheme="minorHAnsi" w:hAnsiTheme="minorHAnsi" w:cstheme="minorHAnsi"/>
          <w:sz w:val="22"/>
          <w:szCs w:val="22"/>
        </w:rPr>
        <w:t xml:space="preserve"> The AMIC advisories successfully directed farmers to delay the sale of their produce to capitalize on post-harvest price appreciations. For </w:t>
      </w:r>
      <w:r w:rsidRPr="00A77128">
        <w:rPr>
          <w:rFonts w:asciiTheme="minorHAnsi" w:hAnsiTheme="minorHAnsi" w:cstheme="minorHAnsi"/>
          <w:i/>
          <w:iCs/>
          <w:sz w:val="22"/>
          <w:szCs w:val="22"/>
        </w:rPr>
        <w:t>Groundnut</w:t>
      </w:r>
      <w:r w:rsidRPr="00A77128">
        <w:rPr>
          <w:rFonts w:asciiTheme="minorHAnsi" w:hAnsiTheme="minorHAnsi" w:cstheme="minorHAnsi"/>
          <w:sz w:val="22"/>
          <w:szCs w:val="22"/>
        </w:rPr>
        <w:t xml:space="preserve">, followers (31%) who stored their crop until March realized a premium of Rs. 651 per quintal compared to non-followers. This corroborates findings by </w:t>
      </w:r>
      <w:proofErr w:type="spellStart"/>
      <w:r w:rsidRPr="00A77128">
        <w:rPr>
          <w:rFonts w:asciiTheme="minorHAnsi" w:hAnsiTheme="minorHAnsi" w:cstheme="minorHAnsi"/>
          <w:sz w:val="22"/>
          <w:szCs w:val="22"/>
        </w:rPr>
        <w:t>Raghunadha</w:t>
      </w:r>
      <w:proofErr w:type="spellEnd"/>
      <w:r w:rsidRPr="00A77128">
        <w:rPr>
          <w:rFonts w:asciiTheme="minorHAnsi" w:hAnsiTheme="minorHAnsi" w:cstheme="minorHAnsi"/>
          <w:sz w:val="22"/>
          <w:szCs w:val="22"/>
        </w:rPr>
        <w:t xml:space="preserve"> Reddy et al. (2021), who reported similar benefits for groundnut farmers adhering to AMIC guidance. </w:t>
      </w:r>
      <w:r w:rsidRPr="00A77128">
        <w:rPr>
          <w:rFonts w:asciiTheme="minorHAnsi" w:hAnsiTheme="minorHAnsi" w:cstheme="minorHAnsi"/>
          <w:i/>
          <w:iCs/>
          <w:sz w:val="22"/>
          <w:szCs w:val="22"/>
        </w:rPr>
        <w:t>Turmeric</w:t>
      </w:r>
      <w:r w:rsidRPr="00A77128">
        <w:rPr>
          <w:rFonts w:asciiTheme="minorHAnsi" w:hAnsiTheme="minorHAnsi" w:cstheme="minorHAnsi"/>
          <w:sz w:val="22"/>
          <w:szCs w:val="22"/>
        </w:rPr>
        <w:t xml:space="preserve"> followers (27%) secured the highest margin, gaining a net benefit of Rs. 1,076 per quintal by storing until June/July. </w:t>
      </w:r>
      <w:r w:rsidRPr="00A77128">
        <w:rPr>
          <w:rFonts w:asciiTheme="minorHAnsi" w:hAnsiTheme="minorHAnsi" w:cstheme="minorHAnsi"/>
          <w:i/>
          <w:iCs/>
          <w:sz w:val="22"/>
          <w:szCs w:val="22"/>
        </w:rPr>
        <w:t>Cotton</w:t>
      </w:r>
      <w:r w:rsidRPr="00A77128">
        <w:rPr>
          <w:rFonts w:asciiTheme="minorHAnsi" w:hAnsiTheme="minorHAnsi" w:cstheme="minorHAnsi"/>
          <w:sz w:val="22"/>
          <w:szCs w:val="22"/>
        </w:rPr>
        <w:t xml:space="preserve"> followers (45%) realized a profit of Rs. 468 per quintal by holding stocks until May/June, and </w:t>
      </w:r>
      <w:r w:rsidRPr="00A77128">
        <w:rPr>
          <w:rFonts w:asciiTheme="minorHAnsi" w:hAnsiTheme="minorHAnsi" w:cstheme="minorHAnsi"/>
          <w:i/>
          <w:iCs/>
          <w:sz w:val="22"/>
          <w:szCs w:val="22"/>
        </w:rPr>
        <w:t>Jowar</w:t>
      </w:r>
      <w:r w:rsidRPr="00A77128">
        <w:rPr>
          <w:rFonts w:asciiTheme="minorHAnsi" w:hAnsiTheme="minorHAnsi" w:cstheme="minorHAnsi"/>
          <w:sz w:val="22"/>
          <w:szCs w:val="22"/>
        </w:rPr>
        <w:t xml:space="preserve"> followers (32%) achieved an additional Rs. 672 per quintal by deferring sales until May.</w:t>
      </w:r>
    </w:p>
    <w:p w:rsidR="00282C88" w:rsidRPr="00A77128" w:rsidRDefault="00282C88" w:rsidP="001211A9">
      <w:pPr>
        <w:pStyle w:val="NormalWeb"/>
        <w:numPr>
          <w:ilvl w:val="0"/>
          <w:numId w:val="1"/>
        </w:numPr>
        <w:shd w:val="clear" w:color="auto" w:fill="FFFFFF" w:themeFill="background1"/>
        <w:spacing w:before="0" w:beforeAutospacing="0" w:after="0" w:afterAutospacing="0" w:line="324" w:lineRule="auto"/>
        <w:ind w:left="0"/>
        <w:jc w:val="both"/>
        <w:rPr>
          <w:rFonts w:asciiTheme="minorHAnsi" w:hAnsiTheme="minorHAnsi" w:cstheme="minorHAnsi"/>
          <w:sz w:val="22"/>
          <w:szCs w:val="22"/>
        </w:rPr>
      </w:pPr>
      <w:r w:rsidRPr="00A77128">
        <w:rPr>
          <w:rFonts w:asciiTheme="minorHAnsi" w:hAnsiTheme="minorHAnsi" w:cstheme="minorHAnsi"/>
          <w:bCs/>
          <w:sz w:val="22"/>
          <w:szCs w:val="22"/>
          <w:u w:val="single"/>
        </w:rPr>
        <w:t>Immediate Sale Advisories</w:t>
      </w:r>
      <w:r w:rsidRPr="00A77128">
        <w:rPr>
          <w:rFonts w:asciiTheme="minorHAnsi" w:hAnsiTheme="minorHAnsi" w:cstheme="minorHAnsi"/>
          <w:bCs/>
          <w:sz w:val="22"/>
          <w:szCs w:val="22"/>
        </w:rPr>
        <w:t xml:space="preserve"> (Maize):</w:t>
      </w:r>
      <w:r w:rsidRPr="00A77128">
        <w:rPr>
          <w:rFonts w:asciiTheme="minorHAnsi" w:hAnsiTheme="minorHAnsi" w:cstheme="minorHAnsi"/>
          <w:sz w:val="22"/>
          <w:szCs w:val="22"/>
        </w:rPr>
        <w:t xml:space="preserve"> For </w:t>
      </w:r>
      <w:r w:rsidRPr="00A77128">
        <w:rPr>
          <w:rFonts w:asciiTheme="minorHAnsi" w:hAnsiTheme="minorHAnsi" w:cstheme="minorHAnsi"/>
          <w:i/>
          <w:iCs/>
          <w:sz w:val="22"/>
          <w:szCs w:val="22"/>
        </w:rPr>
        <w:t>Maize</w:t>
      </w:r>
      <w:r w:rsidRPr="00A77128">
        <w:rPr>
          <w:rFonts w:asciiTheme="minorHAnsi" w:hAnsiTheme="minorHAnsi" w:cstheme="minorHAnsi"/>
          <w:sz w:val="22"/>
          <w:szCs w:val="22"/>
        </w:rPr>
        <w:t>, the forecast indicated minimal price variance post-harvest. Consequently, the 34% of farmers who followed the advice to liquidate stocks within 15 days mitigated storage costs and still achieved a marginal benefit of Rs. 151 per quintal over delayed sales.</w:t>
      </w:r>
    </w:p>
    <w:p w:rsidR="00282C88" w:rsidRPr="00A77128" w:rsidRDefault="00282C88" w:rsidP="001211A9">
      <w:pPr>
        <w:pStyle w:val="NormalWeb"/>
        <w:numPr>
          <w:ilvl w:val="0"/>
          <w:numId w:val="1"/>
        </w:numPr>
        <w:shd w:val="clear" w:color="auto" w:fill="FFFFFF" w:themeFill="background1"/>
        <w:spacing w:before="0" w:beforeAutospacing="0" w:after="0" w:afterAutospacing="0" w:line="324" w:lineRule="auto"/>
        <w:ind w:left="0"/>
        <w:jc w:val="both"/>
        <w:rPr>
          <w:rFonts w:asciiTheme="minorHAnsi" w:hAnsiTheme="minorHAnsi" w:cstheme="minorHAnsi"/>
          <w:sz w:val="22"/>
          <w:szCs w:val="22"/>
        </w:rPr>
      </w:pPr>
      <w:r w:rsidRPr="00A77128">
        <w:rPr>
          <w:rFonts w:asciiTheme="minorHAnsi" w:hAnsiTheme="minorHAnsi" w:cstheme="minorHAnsi"/>
          <w:bCs/>
          <w:sz w:val="22"/>
          <w:szCs w:val="22"/>
          <w:u w:val="single"/>
        </w:rPr>
        <w:t>Forecast Limitations and Market Shocks</w:t>
      </w:r>
      <w:r w:rsidRPr="00A77128">
        <w:rPr>
          <w:rFonts w:asciiTheme="minorHAnsi" w:hAnsiTheme="minorHAnsi" w:cstheme="minorHAnsi"/>
          <w:bCs/>
          <w:sz w:val="22"/>
          <w:szCs w:val="22"/>
        </w:rPr>
        <w:t xml:space="preserve"> (Black Gram):</w:t>
      </w:r>
      <w:r w:rsidRPr="00A77128">
        <w:rPr>
          <w:rFonts w:asciiTheme="minorHAnsi" w:hAnsiTheme="minorHAnsi" w:cstheme="minorHAnsi"/>
          <w:sz w:val="22"/>
          <w:szCs w:val="22"/>
        </w:rPr>
        <w:t xml:space="preserve"> The study also highlighted the vulnerability of forecasting models to sudden supply shocks. For </w:t>
      </w:r>
      <w:r w:rsidRPr="00A77128">
        <w:rPr>
          <w:rFonts w:asciiTheme="minorHAnsi" w:hAnsiTheme="minorHAnsi" w:cstheme="minorHAnsi"/>
          <w:i/>
          <w:iCs/>
          <w:sz w:val="22"/>
          <w:szCs w:val="22"/>
        </w:rPr>
        <w:t>Black Gram</w:t>
      </w:r>
      <w:r w:rsidRPr="00A77128">
        <w:rPr>
          <w:rFonts w:asciiTheme="minorHAnsi" w:hAnsiTheme="minorHAnsi" w:cstheme="minorHAnsi"/>
          <w:sz w:val="22"/>
          <w:szCs w:val="22"/>
        </w:rPr>
        <w:t>, AMIC advised farmers to store their produce based on historical trends. However, an unexpected surge in market supply from the paddy-black gram cropping system triggered a price slump in March. Consequently, the 27% of farmers who followed the advisory incurred an average loss of Rs. 310 per quintal.</w:t>
      </w:r>
    </w:p>
    <w:p w:rsidR="00484D85" w:rsidRPr="00A77128" w:rsidRDefault="00484D85"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p>
    <w:p w:rsidR="00747152" w:rsidRPr="00A77128" w:rsidRDefault="00282C88" w:rsidP="00B43D62">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t>Despite the localized anomaly in black gram, the aggregate data demonstrates a highly positive socio-economic impact. Across all crops, farmers who adopted the AMIC market intelligence generated an average additional profit of Rs. 451.33 per quintal (Table 4). This confirms that robust, data-driven market advisories significantly optimize price realization and bolster farm profitability.</w:t>
      </w:r>
      <w:r w:rsidR="0027266F" w:rsidRPr="00A77128">
        <w:rPr>
          <w:rFonts w:asciiTheme="minorHAnsi" w:hAnsiTheme="minorHAnsi" w:cstheme="minorHAnsi"/>
          <w:sz w:val="22"/>
          <w:szCs w:val="22"/>
        </w:rPr>
        <w:t xml:space="preserve"> Recent empirical models by Ravi Kumar et al. (2025) confirm that active participation in </w:t>
      </w:r>
      <w:proofErr w:type="spellStart"/>
      <w:r w:rsidR="0027266F" w:rsidRPr="00A77128">
        <w:rPr>
          <w:rFonts w:asciiTheme="minorHAnsi" w:hAnsiTheme="minorHAnsi" w:cstheme="minorHAnsi"/>
          <w:sz w:val="22"/>
          <w:szCs w:val="22"/>
        </w:rPr>
        <w:t>Rythu</w:t>
      </w:r>
      <w:proofErr w:type="spellEnd"/>
      <w:r w:rsidR="0027266F" w:rsidRPr="00A77128">
        <w:rPr>
          <w:rFonts w:asciiTheme="minorHAnsi" w:hAnsiTheme="minorHAnsi" w:cstheme="minorHAnsi"/>
          <w:sz w:val="22"/>
          <w:szCs w:val="22"/>
        </w:rPr>
        <w:t xml:space="preserve"> </w:t>
      </w:r>
      <w:proofErr w:type="spellStart"/>
      <w:r w:rsidR="0027266F" w:rsidRPr="00A77128">
        <w:rPr>
          <w:rFonts w:asciiTheme="minorHAnsi" w:hAnsiTheme="minorHAnsi" w:cstheme="minorHAnsi"/>
          <w:sz w:val="22"/>
          <w:szCs w:val="22"/>
        </w:rPr>
        <w:t>Bharosa</w:t>
      </w:r>
      <w:proofErr w:type="spellEnd"/>
      <w:r w:rsidR="0027266F" w:rsidRPr="00A77128">
        <w:rPr>
          <w:rFonts w:asciiTheme="minorHAnsi" w:hAnsiTheme="minorHAnsi" w:cstheme="minorHAnsi"/>
          <w:sz w:val="22"/>
          <w:szCs w:val="22"/>
        </w:rPr>
        <w:t xml:space="preserve"> </w:t>
      </w:r>
      <w:proofErr w:type="spellStart"/>
      <w:r w:rsidR="0027266F" w:rsidRPr="00A77128">
        <w:rPr>
          <w:rFonts w:asciiTheme="minorHAnsi" w:hAnsiTheme="minorHAnsi" w:cstheme="minorHAnsi"/>
          <w:sz w:val="22"/>
          <w:szCs w:val="22"/>
        </w:rPr>
        <w:t>Kendras</w:t>
      </w:r>
      <w:proofErr w:type="spellEnd"/>
      <w:r w:rsidR="0027266F" w:rsidRPr="00A77128">
        <w:rPr>
          <w:rFonts w:asciiTheme="minorHAnsi" w:hAnsiTheme="minorHAnsi" w:cstheme="minorHAnsi"/>
          <w:sz w:val="22"/>
          <w:szCs w:val="22"/>
        </w:rPr>
        <w:t xml:space="preserve"> (RBKs) significantly enhances technical efficiency (TE = 0.82) and lowers the cost of cultivation compared to non-participating farms, underscoring the tangible financial value of institutional integration</w:t>
      </w:r>
    </w:p>
    <w:p w:rsidR="00282C88" w:rsidRPr="00A77128" w:rsidRDefault="00282C88" w:rsidP="0090333F">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rsidR="00282C88" w:rsidRDefault="00282C88" w:rsidP="00A77128">
      <w:pPr>
        <w:pStyle w:val="NormalWeb"/>
        <w:shd w:val="clear" w:color="auto" w:fill="FFFFFF" w:themeFill="background1"/>
        <w:spacing w:before="0" w:beforeAutospacing="0" w:after="0" w:afterAutospacing="0"/>
        <w:jc w:val="center"/>
        <w:rPr>
          <w:rFonts w:asciiTheme="minorHAnsi" w:hAnsiTheme="minorHAnsi" w:cstheme="minorHAnsi"/>
          <w:bCs/>
          <w:sz w:val="22"/>
          <w:szCs w:val="22"/>
        </w:rPr>
      </w:pPr>
      <w:r w:rsidRPr="00A77128">
        <w:rPr>
          <w:rFonts w:asciiTheme="minorHAnsi" w:hAnsiTheme="minorHAnsi" w:cstheme="minorHAnsi"/>
          <w:bCs/>
          <w:sz w:val="22"/>
          <w:szCs w:val="22"/>
        </w:rPr>
        <w:t>Table 4: Profit/loss realized by farmers following the AMIC advice</w:t>
      </w:r>
    </w:p>
    <w:p w:rsidR="00A77128" w:rsidRPr="00A77128" w:rsidRDefault="00A77128" w:rsidP="00A77128">
      <w:pPr>
        <w:pStyle w:val="NormalWeb"/>
        <w:shd w:val="clear" w:color="auto" w:fill="FFFFFF" w:themeFill="background1"/>
        <w:spacing w:before="0" w:beforeAutospacing="0" w:after="0" w:afterAutospacing="0"/>
        <w:jc w:val="center"/>
        <w:rPr>
          <w:rFonts w:asciiTheme="minorHAnsi" w:hAnsiTheme="minorHAnsi" w:cstheme="minorHAnsi"/>
          <w:sz w:val="18"/>
          <w:szCs w:val="22"/>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6"/>
        <w:gridCol w:w="815"/>
        <w:gridCol w:w="1053"/>
        <w:gridCol w:w="1198"/>
        <w:gridCol w:w="883"/>
        <w:gridCol w:w="844"/>
        <w:gridCol w:w="1070"/>
        <w:gridCol w:w="988"/>
        <w:gridCol w:w="1390"/>
      </w:tblGrid>
      <w:tr w:rsidR="00282C88" w:rsidRPr="00A77128" w:rsidTr="00A77128">
        <w:trPr>
          <w:trHeight w:val="451"/>
        </w:trPr>
        <w:tc>
          <w:tcPr>
            <w:tcW w:w="1225" w:type="dxa"/>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Crop</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Sample Size</w:t>
            </w:r>
          </w:p>
        </w:tc>
        <w:tc>
          <w:tcPr>
            <w:tcW w:w="1053" w:type="dxa"/>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Aware of AMIC (%)</w:t>
            </w:r>
          </w:p>
        </w:tc>
        <w:tc>
          <w:tcPr>
            <w:tcW w:w="1198" w:type="dxa"/>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Adopters (%)</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Acreage (ha)</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Yield (</w:t>
            </w:r>
            <w:proofErr w:type="spellStart"/>
            <w:r w:rsidRPr="00A77128">
              <w:rPr>
                <w:rFonts w:eastAsia="Times New Roman" w:cstheme="minorHAnsi"/>
                <w:kern w:val="0"/>
                <w:sz w:val="22"/>
                <w:szCs w:val="22"/>
              </w:rPr>
              <w:t>qtl</w:t>
            </w:r>
            <w:proofErr w:type="spellEnd"/>
            <w:r w:rsidRPr="00A77128">
              <w:rPr>
                <w:rFonts w:eastAsia="Times New Roman" w:cstheme="minorHAnsi"/>
                <w:kern w:val="0"/>
                <w:sz w:val="22"/>
                <w:szCs w:val="22"/>
              </w:rPr>
              <w:t>/ha)</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Total Yield of Adopters (</w:t>
            </w:r>
            <w:proofErr w:type="spellStart"/>
            <w:r w:rsidRPr="00A77128">
              <w:rPr>
                <w:rFonts w:eastAsia="Times New Roman" w:cstheme="minorHAnsi"/>
                <w:kern w:val="0"/>
                <w:sz w:val="22"/>
                <w:szCs w:val="22"/>
              </w:rPr>
              <w:t>qtl</w:t>
            </w:r>
            <w:proofErr w:type="spellEnd"/>
            <w:r w:rsidRPr="00A77128">
              <w:rPr>
                <w:rFonts w:eastAsia="Times New Roman" w:cstheme="minorHAnsi"/>
                <w:kern w:val="0"/>
                <w:sz w:val="22"/>
                <w:szCs w:val="22"/>
              </w:rPr>
              <w:t>)</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Adopter Net Profit (</w:t>
            </w:r>
            <w:proofErr w:type="gramStart"/>
            <w:r w:rsidRPr="00A77128">
              <w:rPr>
                <w:rFonts w:eastAsia="Times New Roman" w:cstheme="minorHAnsi"/>
                <w:kern w:val="0"/>
                <w:sz w:val="22"/>
                <w:szCs w:val="22"/>
              </w:rPr>
              <w:t>Rs./</w:t>
            </w:r>
            <w:proofErr w:type="spellStart"/>
            <w:proofErr w:type="gramEnd"/>
            <w:r w:rsidRPr="00A77128">
              <w:rPr>
                <w:rFonts w:eastAsia="Times New Roman" w:cstheme="minorHAnsi"/>
                <w:kern w:val="0"/>
                <w:sz w:val="22"/>
                <w:szCs w:val="22"/>
              </w:rPr>
              <w:t>qtl</w:t>
            </w:r>
            <w:proofErr w:type="spellEnd"/>
            <w:r w:rsidRPr="00A77128">
              <w:rPr>
                <w:rFonts w:eastAsia="Times New Roman" w:cstheme="minorHAnsi"/>
                <w:kern w:val="0"/>
                <w:sz w:val="22"/>
                <w:szCs w:val="22"/>
              </w:rPr>
              <w:t>)</w:t>
            </w:r>
          </w:p>
        </w:tc>
        <w:tc>
          <w:tcPr>
            <w:tcW w:w="0" w:type="auto"/>
            <w:tcMar>
              <w:top w:w="43" w:type="dxa"/>
              <w:left w:w="0" w:type="dxa"/>
              <w:bottom w:w="43" w:type="dxa"/>
              <w:right w:w="0"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Total Profit of Adopters (Rs.)</w:t>
            </w:r>
          </w:p>
        </w:tc>
      </w:tr>
      <w:tr w:rsidR="00282C88" w:rsidRPr="00A77128" w:rsidTr="00A77128">
        <w:trPr>
          <w:trHeight w:val="334"/>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61</w:t>
            </w:r>
          </w:p>
        </w:tc>
        <w:tc>
          <w:tcPr>
            <w:tcW w:w="1053"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40 (66%)</w:t>
            </w:r>
          </w:p>
        </w:tc>
        <w:tc>
          <w:tcPr>
            <w:tcW w:w="1198"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19 (31%)</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22.86</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32.82</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750.27</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651</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488,422.65</w:t>
            </w:r>
          </w:p>
        </w:tc>
      </w:tr>
      <w:tr w:rsidR="00282C88" w:rsidRPr="00A77128" w:rsidTr="00A77128">
        <w:trPr>
          <w:trHeight w:val="334"/>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89</w:t>
            </w:r>
          </w:p>
        </w:tc>
        <w:tc>
          <w:tcPr>
            <w:tcW w:w="1053"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48 (54%)</w:t>
            </w:r>
          </w:p>
        </w:tc>
        <w:tc>
          <w:tcPr>
            <w:tcW w:w="1198"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24 (27%)</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42.63</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15.56</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663.32</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-310</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-205,630.07</w:t>
            </w:r>
          </w:p>
        </w:tc>
      </w:tr>
      <w:tr w:rsidR="00282C88" w:rsidRPr="00A77128" w:rsidTr="00A77128">
        <w:trPr>
          <w:trHeight w:val="316"/>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62</w:t>
            </w:r>
          </w:p>
        </w:tc>
        <w:tc>
          <w:tcPr>
            <w:tcW w:w="1053"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33 (53%)</w:t>
            </w:r>
          </w:p>
        </w:tc>
        <w:tc>
          <w:tcPr>
            <w:tcW w:w="1198"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17 (27%)</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20.36</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47.86</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974.43</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1076</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1,048,486.25</w:t>
            </w:r>
          </w:p>
        </w:tc>
      </w:tr>
      <w:tr w:rsidR="00282C88" w:rsidRPr="00A77128" w:rsidTr="00A77128">
        <w:trPr>
          <w:trHeight w:val="316"/>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101</w:t>
            </w:r>
          </w:p>
        </w:tc>
        <w:tc>
          <w:tcPr>
            <w:tcW w:w="1053"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63 (62%)</w:t>
            </w:r>
          </w:p>
        </w:tc>
        <w:tc>
          <w:tcPr>
            <w:tcW w:w="1198"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45 (45%)</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35.25</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18.69</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658.82</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468</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308,328.93</w:t>
            </w:r>
          </w:p>
        </w:tc>
      </w:tr>
      <w:tr w:rsidR="00282C88" w:rsidRPr="00A77128" w:rsidTr="00A77128">
        <w:trPr>
          <w:trHeight w:val="325"/>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53</w:t>
            </w:r>
          </w:p>
        </w:tc>
        <w:tc>
          <w:tcPr>
            <w:tcW w:w="1053"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33 (62%)</w:t>
            </w:r>
          </w:p>
        </w:tc>
        <w:tc>
          <w:tcPr>
            <w:tcW w:w="1198"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18 (34%)</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55.25</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14.75</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814.94</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151</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123,055.56</w:t>
            </w:r>
          </w:p>
        </w:tc>
      </w:tr>
      <w:tr w:rsidR="00282C88" w:rsidRPr="00A77128" w:rsidTr="00A77128">
        <w:trPr>
          <w:trHeight w:val="307"/>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68</w:t>
            </w:r>
          </w:p>
        </w:tc>
        <w:tc>
          <w:tcPr>
            <w:tcW w:w="1053"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47 (69%)</w:t>
            </w:r>
          </w:p>
        </w:tc>
        <w:tc>
          <w:tcPr>
            <w:tcW w:w="1198"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22 (32%)</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22.59</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10.98</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248.04</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672</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166,681.67</w:t>
            </w:r>
          </w:p>
        </w:tc>
      </w:tr>
      <w:tr w:rsidR="00282C88" w:rsidRPr="00A77128" w:rsidTr="00A77128">
        <w:trPr>
          <w:trHeight w:val="343"/>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 / Avg</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434</w:t>
            </w:r>
          </w:p>
        </w:tc>
        <w:tc>
          <w:tcPr>
            <w:tcW w:w="1053"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264 (61%)</w:t>
            </w:r>
          </w:p>
        </w:tc>
        <w:tc>
          <w:tcPr>
            <w:tcW w:w="1198"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145 (33%)</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198.94</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140.66</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4109.82</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451.33</w:t>
            </w:r>
          </w:p>
        </w:tc>
        <w:tc>
          <w:tcPr>
            <w:tcW w:w="0" w:type="auto"/>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1,929,344.99</w:t>
            </w:r>
          </w:p>
        </w:tc>
      </w:tr>
      <w:tr w:rsidR="00747152" w:rsidRPr="00A77128" w:rsidTr="00A77128">
        <w:trPr>
          <w:trHeight w:val="271"/>
        </w:trPr>
        <w:tc>
          <w:tcPr>
            <w:tcW w:w="9467" w:type="dxa"/>
            <w:gridSpan w:val="9"/>
            <w:tcMar>
              <w:top w:w="43" w:type="dxa"/>
              <w:left w:w="0" w:type="dxa"/>
              <w:bottom w:w="43" w:type="dxa"/>
              <w:right w:w="0" w:type="dxa"/>
            </w:tcMar>
            <w:vAlign w:val="bottom"/>
            <w:hideMark/>
          </w:tcPr>
          <w:p w:rsidR="00747152" w:rsidRPr="00A77128" w:rsidRDefault="00747152"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(Note: Total profit calculated based on reported adopter yield and net profit per quintal.)</w:t>
            </w:r>
          </w:p>
        </w:tc>
      </w:tr>
    </w:tbl>
    <w:p w:rsidR="00282C88" w:rsidRPr="00A77128" w:rsidRDefault="00282C88" w:rsidP="0090333F">
      <w:pPr>
        <w:shd w:val="clear" w:color="auto" w:fill="FFFFFF" w:themeFill="background1"/>
        <w:spacing w:after="0" w:line="240" w:lineRule="auto"/>
        <w:jc w:val="both"/>
        <w:rPr>
          <w:rFonts w:cstheme="minorHAnsi"/>
          <w:sz w:val="22"/>
          <w:szCs w:val="22"/>
        </w:rPr>
      </w:pPr>
    </w:p>
    <w:p w:rsidR="00282C88" w:rsidRPr="00A77128" w:rsidRDefault="00282C88" w:rsidP="00A77128">
      <w:pPr>
        <w:shd w:val="clear" w:color="auto" w:fill="FFFFFF" w:themeFill="background1"/>
        <w:jc w:val="center"/>
        <w:rPr>
          <w:rFonts w:cstheme="minorHAnsi"/>
          <w:sz w:val="22"/>
          <w:szCs w:val="22"/>
        </w:rPr>
      </w:pPr>
      <w:r w:rsidRPr="00A77128">
        <w:rPr>
          <w:rFonts w:cstheme="minorHAnsi"/>
          <w:sz w:val="22"/>
          <w:szCs w:val="22"/>
        </w:rPr>
        <w:t>Table 5: AMIC recommendation tracking and price realization (</w:t>
      </w:r>
      <w:proofErr w:type="gramStart"/>
      <w:r w:rsidRPr="00A77128">
        <w:rPr>
          <w:rFonts w:cstheme="minorHAnsi"/>
          <w:sz w:val="22"/>
          <w:szCs w:val="22"/>
        </w:rPr>
        <w:t>Rs./</w:t>
      </w:r>
      <w:proofErr w:type="spellStart"/>
      <w:proofErr w:type="gramEnd"/>
      <w:r w:rsidRPr="00A77128">
        <w:rPr>
          <w:rFonts w:cstheme="minorHAnsi"/>
          <w:sz w:val="22"/>
          <w:szCs w:val="22"/>
        </w:rPr>
        <w:t>qtl</w:t>
      </w:r>
      <w:proofErr w:type="spellEnd"/>
      <w:r w:rsidRPr="00A77128">
        <w:rPr>
          <w:rFonts w:cstheme="minorHAnsi"/>
          <w:sz w:val="22"/>
          <w:szCs w:val="22"/>
        </w:rPr>
        <w:t>)</w:t>
      </w:r>
    </w:p>
    <w:p w:rsidR="00282C88" w:rsidRPr="00A77128" w:rsidRDefault="00282C88" w:rsidP="0090333F">
      <w:pPr>
        <w:shd w:val="clear" w:color="auto" w:fill="FFFFFF" w:themeFill="background1"/>
        <w:spacing w:after="0" w:line="240" w:lineRule="auto"/>
        <w:jc w:val="both"/>
        <w:rPr>
          <w:rFonts w:cstheme="minorHAnsi"/>
          <w:sz w:val="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3"/>
        <w:gridCol w:w="1417"/>
        <w:gridCol w:w="1510"/>
        <w:gridCol w:w="1765"/>
        <w:gridCol w:w="1570"/>
        <w:gridCol w:w="2055"/>
      </w:tblGrid>
      <w:tr w:rsidR="00282C88" w:rsidRPr="00A77128" w:rsidTr="00A77128">
        <w:trPr>
          <w:trHeight w:val="315"/>
        </w:trPr>
        <w:tc>
          <w:tcPr>
            <w:tcW w:w="1113" w:type="dxa"/>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Crop</w:t>
            </w:r>
          </w:p>
        </w:tc>
        <w:tc>
          <w:tcPr>
            <w:tcW w:w="0" w:type="auto"/>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Forecast at Sowing</w:t>
            </w:r>
          </w:p>
        </w:tc>
        <w:tc>
          <w:tcPr>
            <w:tcW w:w="0" w:type="auto"/>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Market Price at Harvest</w:t>
            </w:r>
          </w:p>
        </w:tc>
        <w:tc>
          <w:tcPr>
            <w:tcW w:w="1765" w:type="dxa"/>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AMIC Advice</w:t>
            </w:r>
          </w:p>
        </w:tc>
        <w:tc>
          <w:tcPr>
            <w:tcW w:w="1570" w:type="dxa"/>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Price Realized by Adopters</w:t>
            </w:r>
          </w:p>
        </w:tc>
        <w:tc>
          <w:tcPr>
            <w:tcW w:w="0" w:type="auto"/>
            <w:tcMar>
              <w:top w:w="30" w:type="dxa"/>
              <w:left w:w="0" w:type="dxa"/>
              <w:bottom w:w="30" w:type="dxa"/>
              <w:right w:w="0"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Price Realized by Non-Adopters</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6800-7250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6380-6548</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March</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6689-6858</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6145-6358</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8400-9000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7321-7596</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March</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7800-7900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7638-7793*</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9500-11100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8689-10602</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June/July</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9578-10529</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8525-10124</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6800-7350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6872-7254</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May/June</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7675-7981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7268-7559</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1970-2175</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1926-2091</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Sell in 15 days</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2050-2300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1950-2232</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2800-3200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2078-2322</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May</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2620-3250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2128-2309</w:t>
            </w:r>
          </w:p>
        </w:tc>
      </w:tr>
    </w:tbl>
    <w:p w:rsidR="00282C88" w:rsidRPr="00A77128" w:rsidRDefault="00282C88" w:rsidP="0090333F">
      <w:pPr>
        <w:shd w:val="clear" w:color="auto" w:fill="FFFFFF" w:themeFill="background1"/>
        <w:spacing w:after="0" w:line="240" w:lineRule="auto"/>
        <w:jc w:val="both"/>
        <w:rPr>
          <w:rFonts w:cstheme="minorHAnsi"/>
          <w:sz w:val="2"/>
          <w:szCs w:val="22"/>
        </w:rPr>
      </w:pPr>
    </w:p>
    <w:p w:rsidR="00A77128" w:rsidRPr="00A77128" w:rsidRDefault="00282C88" w:rsidP="001211A9">
      <w:pPr>
        <w:shd w:val="clear" w:color="auto" w:fill="FFFFFF" w:themeFill="background1"/>
        <w:spacing w:after="0" w:line="324" w:lineRule="auto"/>
        <w:jc w:val="both"/>
        <w:rPr>
          <w:rFonts w:cstheme="minorHAnsi"/>
          <w:sz w:val="22"/>
          <w:szCs w:val="22"/>
        </w:rPr>
      </w:pPr>
      <w:r w:rsidRPr="00A77128">
        <w:rPr>
          <w:rFonts w:cstheme="minorHAnsi"/>
          <w:sz w:val="22"/>
          <w:szCs w:val="22"/>
        </w:rPr>
        <w:t>(Note: For Black Gram, sudden supply increases led to realized prices falling below the advised storage forecast, resulting in a net loss compared to earlier sales).</w:t>
      </w:r>
    </w:p>
    <w:p w:rsidR="00A77128" w:rsidRPr="00A77128" w:rsidRDefault="00A77128">
      <w:pPr>
        <w:rPr>
          <w:rFonts w:cstheme="minorHAnsi"/>
          <w:sz w:val="22"/>
          <w:szCs w:val="22"/>
        </w:rPr>
      </w:pPr>
      <w:r w:rsidRPr="00A77128">
        <w:rPr>
          <w:rFonts w:cstheme="minorHAnsi"/>
          <w:sz w:val="22"/>
          <w:szCs w:val="22"/>
        </w:rPr>
        <w:br w:type="page"/>
      </w:r>
    </w:p>
    <w:p w:rsidR="00282C88" w:rsidRPr="00A77128" w:rsidRDefault="00B43D62" w:rsidP="00A77128">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sidRPr="00A77128">
        <w:rPr>
          <w:rFonts w:asciiTheme="minorHAnsi" w:hAnsiTheme="minorHAnsi" w:cstheme="minorHAnsi"/>
          <w:b/>
          <w:bCs/>
          <w:sz w:val="22"/>
          <w:szCs w:val="22"/>
        </w:rPr>
        <w:lastRenderedPageBreak/>
        <w:t>CONCLUSION</w:t>
      </w:r>
      <w:r>
        <w:rPr>
          <w:rFonts w:asciiTheme="minorHAnsi" w:hAnsiTheme="minorHAnsi" w:cstheme="minorHAnsi"/>
          <w:b/>
          <w:sz w:val="22"/>
          <w:szCs w:val="22"/>
        </w:rPr>
        <w:t xml:space="preserve">: </w:t>
      </w:r>
      <w:r w:rsidR="00282C88" w:rsidRPr="00A77128">
        <w:rPr>
          <w:rFonts w:asciiTheme="minorHAnsi" w:hAnsiTheme="minorHAnsi" w:cstheme="minorHAnsi"/>
          <w:sz w:val="22"/>
          <w:szCs w:val="22"/>
        </w:rPr>
        <w:t>The prevailing information asymmetry and price volatility in agricultural markets consistently undermine the income potential of primary producers. This study provides robust empirical validation that institutional market intelligence—specifically the forecasting and dissemination framework developed by the Agricultural Market Intelligence Centre (AMIC) at ANGRAU—serves as a highly effective intervention to mitigate these risks. The findings from the 2024–2025 agricultural year in Andhra Pradesh demonstrate that data-driven price advisories empower farmers to transition from reactive selling to strategic, informed post-harvest marketing.</w:t>
      </w:r>
      <w:r w:rsidR="00A77128">
        <w:rPr>
          <w:rFonts w:asciiTheme="minorHAnsi" w:hAnsiTheme="minorHAnsi" w:cstheme="minorHAnsi"/>
          <w:sz w:val="22"/>
          <w:szCs w:val="22"/>
        </w:rPr>
        <w:t xml:space="preserve"> </w:t>
      </w:r>
      <w:r w:rsidR="00282C88" w:rsidRPr="00A77128">
        <w:rPr>
          <w:rFonts w:asciiTheme="minorHAnsi" w:hAnsiTheme="minorHAnsi" w:cstheme="minorHAnsi"/>
          <w:sz w:val="22"/>
          <w:szCs w:val="22"/>
        </w:rPr>
        <w:t>While the baseline awareness of AMIC forecasts was commendable at 61.11%, the active adoption rate of 33.13% indicates room for improved extension outreach. Nevertheless, the socio-economic impact on the adopters was highly significant. By aligning their storage and liquidation decisions with AMIC’s crop-specific advisories, farmers secured an average financial premium of ₹451 per quintal. Although the localized price drop in black gram highlighted the vulnerability of predictive models to sudden, unseasonal supply shocks, the aggregate economic benefits across crops like groundnut, turmeric, cotton, maize, and jowar unequivocally validate the efficacy of the AMIC model. Ultimately, timely market intelligence serves not merely as an informational tool, but as a critical economic safety net that enhances farm profitability and price realization.</w:t>
      </w:r>
    </w:p>
    <w:p w:rsidR="001211A9" w:rsidRPr="00A77128" w:rsidRDefault="001211A9"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bCs/>
          <w:sz w:val="22"/>
          <w:szCs w:val="22"/>
        </w:rPr>
      </w:pPr>
    </w:p>
    <w:p w:rsidR="00282C88" w:rsidRPr="00A77128" w:rsidRDefault="00B43D62"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sidRPr="00A77128">
        <w:rPr>
          <w:rFonts w:asciiTheme="minorHAnsi" w:hAnsiTheme="minorHAnsi" w:cstheme="minorHAnsi"/>
          <w:b/>
          <w:bCs/>
          <w:sz w:val="22"/>
          <w:szCs w:val="22"/>
        </w:rPr>
        <w:t>POLICY IMPLICATIONS</w:t>
      </w:r>
      <w:r>
        <w:rPr>
          <w:rFonts w:asciiTheme="minorHAnsi" w:hAnsiTheme="minorHAnsi" w:cstheme="minorHAnsi"/>
          <w:sz w:val="22"/>
          <w:szCs w:val="22"/>
        </w:rPr>
        <w:t xml:space="preserve">: </w:t>
      </w:r>
      <w:r w:rsidR="00282C88" w:rsidRPr="00A77128">
        <w:rPr>
          <w:rFonts w:asciiTheme="minorHAnsi" w:hAnsiTheme="minorHAnsi" w:cstheme="minorHAnsi"/>
          <w:sz w:val="22"/>
          <w:szCs w:val="22"/>
        </w:rPr>
        <w:t>Based on the empirical findings of this study, the following policy interventions are recommended to scale the impact of agricultural market intelligence:</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t>Bridging the Awareness-Adoption Gap:</w:t>
      </w:r>
      <w:r w:rsidRPr="00A77128">
        <w:rPr>
          <w:rFonts w:asciiTheme="minorHAnsi" w:hAnsiTheme="minorHAnsi" w:cstheme="minorHAnsi"/>
          <w:sz w:val="22"/>
          <w:szCs w:val="22"/>
        </w:rPr>
        <w:t xml:space="preserve"> The significant variance between forecast awareness (61.11%) and actual adoption (33.13%) necessitates targeted capacity-building. Extension networks, particularly the 10,776 </w:t>
      </w:r>
      <w:proofErr w:type="spellStart"/>
      <w:r w:rsidRPr="00A77128">
        <w:rPr>
          <w:rFonts w:asciiTheme="minorHAnsi" w:hAnsiTheme="minorHAnsi" w:cstheme="minorHAnsi"/>
          <w:sz w:val="22"/>
          <w:szCs w:val="22"/>
        </w:rPr>
        <w:t>Rythu</w:t>
      </w:r>
      <w:proofErr w:type="spellEnd"/>
      <w:r w:rsidRPr="00A77128">
        <w:rPr>
          <w:rFonts w:asciiTheme="minorHAnsi" w:hAnsiTheme="minorHAnsi" w:cstheme="minorHAnsi"/>
          <w:sz w:val="22"/>
          <w:szCs w:val="22"/>
        </w:rPr>
        <w:t xml:space="preserve"> </w:t>
      </w:r>
      <w:proofErr w:type="spellStart"/>
      <w:r w:rsidRPr="00A77128">
        <w:rPr>
          <w:rFonts w:asciiTheme="minorHAnsi" w:hAnsiTheme="minorHAnsi" w:cstheme="minorHAnsi"/>
          <w:sz w:val="22"/>
          <w:szCs w:val="22"/>
        </w:rPr>
        <w:t>Seva</w:t>
      </w:r>
      <w:proofErr w:type="spellEnd"/>
      <w:r w:rsidRPr="00A77128">
        <w:rPr>
          <w:rFonts w:asciiTheme="minorHAnsi" w:hAnsiTheme="minorHAnsi" w:cstheme="minorHAnsi"/>
          <w:sz w:val="22"/>
          <w:szCs w:val="22"/>
        </w:rPr>
        <w:t xml:space="preserve"> </w:t>
      </w:r>
      <w:proofErr w:type="spellStart"/>
      <w:r w:rsidRPr="00A77128">
        <w:rPr>
          <w:rFonts w:asciiTheme="minorHAnsi" w:hAnsiTheme="minorHAnsi" w:cstheme="minorHAnsi"/>
          <w:sz w:val="22"/>
          <w:szCs w:val="22"/>
        </w:rPr>
        <w:t>Kendras</w:t>
      </w:r>
      <w:proofErr w:type="spellEnd"/>
      <w:r w:rsidRPr="00A77128">
        <w:rPr>
          <w:rFonts w:asciiTheme="minorHAnsi" w:hAnsiTheme="minorHAnsi" w:cstheme="minorHAnsi"/>
          <w:sz w:val="22"/>
          <w:szCs w:val="22"/>
        </w:rPr>
        <w:t xml:space="preserve"> (RSKs), must evolve from passive information-display centers to active counseling hubs. Extension officers should be trained to help farmers contextualize the forecasts according to their individual storage capacities and financial constraints.</w:t>
      </w:r>
      <w:r w:rsidR="0027266F" w:rsidRPr="00A77128">
        <w:rPr>
          <w:rFonts w:asciiTheme="minorHAnsi" w:hAnsiTheme="minorHAnsi" w:cstheme="minorHAnsi"/>
          <w:sz w:val="22"/>
          <w:szCs w:val="22"/>
        </w:rPr>
        <w:t xml:space="preserve"> Expanding farmer participation requires targeted capacity-building programs and awareness campaigns, which directly incentivize involvement and translate passive awareness into active, profitable adoption. (Ravi Kumar et al. 2025)</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t>Developing Dynamic, Real-Time Forecasting Models:</w:t>
      </w:r>
      <w:r w:rsidRPr="00A77128">
        <w:rPr>
          <w:rFonts w:asciiTheme="minorHAnsi" w:hAnsiTheme="minorHAnsi" w:cstheme="minorHAnsi"/>
          <w:sz w:val="22"/>
          <w:szCs w:val="22"/>
        </w:rPr>
        <w:t xml:space="preserve"> The unforeseen market shock observed in black gram underscores the necessity for more agile predictive models. Future forecasting algorithms should integrate real-time macroeconomic variables, sudden shifts in cropping patterns (e.g., the paddy-to-black gram shift), and real-time supply chain disruptions to generate rapid-response SMS alerts alongside bi-monthly bulletins.</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t>Enhancing Digital Literacy:</w:t>
      </w:r>
      <w:r w:rsidRPr="00A77128">
        <w:rPr>
          <w:rFonts w:asciiTheme="minorHAnsi" w:hAnsiTheme="minorHAnsi" w:cstheme="minorHAnsi"/>
          <w:sz w:val="22"/>
          <w:szCs w:val="22"/>
        </w:rPr>
        <w:t xml:space="preserve"> Given that over 43% of the sampled farmers possess an education level below the 10th standard, dissemination strategies must prioritize accessible formats. Expanding voice-based SMS advisories in regional dialects and leveraging pictorial/color-coded advisories at RSKs will ensure inclusivity for less digitally literate farmers.</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lastRenderedPageBreak/>
        <w:t>National Scaling of the AMIC Framework</w:t>
      </w:r>
      <w:r w:rsidRPr="00A77128">
        <w:rPr>
          <w:rFonts w:asciiTheme="minorHAnsi" w:hAnsiTheme="minorHAnsi" w:cstheme="minorHAnsi"/>
          <w:bCs/>
          <w:sz w:val="22"/>
          <w:szCs w:val="22"/>
        </w:rPr>
        <w:t>:</w:t>
      </w:r>
      <w:r w:rsidRPr="00A77128">
        <w:rPr>
          <w:rFonts w:asciiTheme="minorHAnsi" w:hAnsiTheme="minorHAnsi" w:cstheme="minorHAnsi"/>
          <w:sz w:val="22"/>
          <w:szCs w:val="22"/>
        </w:rPr>
        <w:t xml:space="preserve"> The demonstrated success of the ANGRAU-AMIC model provides a replicable blueprint for other state agricultural universities. Scaling this institutional framework nationwide will be instrumental in stabilizing domestic supply chains, developing sustainable food systems, and actualizing the broader vision of an </w:t>
      </w:r>
      <w:proofErr w:type="spellStart"/>
      <w:r w:rsidRPr="00A77128">
        <w:rPr>
          <w:rFonts w:asciiTheme="minorHAnsi" w:hAnsiTheme="minorHAnsi" w:cstheme="minorHAnsi"/>
          <w:i/>
          <w:iCs/>
          <w:sz w:val="22"/>
          <w:szCs w:val="22"/>
        </w:rPr>
        <w:t>Atmanirbhar</w:t>
      </w:r>
      <w:proofErr w:type="spellEnd"/>
      <w:r w:rsidRPr="00A77128">
        <w:rPr>
          <w:rFonts w:asciiTheme="minorHAnsi" w:hAnsiTheme="minorHAnsi" w:cstheme="minorHAnsi"/>
          <w:i/>
          <w:iCs/>
          <w:sz w:val="22"/>
          <w:szCs w:val="22"/>
        </w:rPr>
        <w:t xml:space="preserve"> Bharat</w:t>
      </w:r>
      <w:r w:rsidRPr="00A77128">
        <w:rPr>
          <w:rFonts w:asciiTheme="minorHAnsi" w:hAnsiTheme="minorHAnsi" w:cstheme="minorHAnsi"/>
          <w:sz w:val="22"/>
          <w:szCs w:val="22"/>
        </w:rPr>
        <w:t xml:space="preserve"> (self-reliant India).</w:t>
      </w:r>
    </w:p>
    <w:p w:rsidR="00484D85" w:rsidRPr="00A77128" w:rsidRDefault="00484D85" w:rsidP="0090333F">
      <w:pPr>
        <w:pStyle w:val="ListParagraph"/>
        <w:shd w:val="clear" w:color="auto" w:fill="FFFFFF" w:themeFill="background1"/>
        <w:spacing w:after="0" w:line="240" w:lineRule="auto"/>
        <w:jc w:val="both"/>
        <w:rPr>
          <w:rFonts w:cstheme="minorHAnsi"/>
          <w:sz w:val="22"/>
          <w:szCs w:val="22"/>
          <w:highlight w:val="yellow"/>
        </w:rPr>
      </w:pPr>
    </w:p>
    <w:p w:rsidR="000C305B" w:rsidRPr="00A77128" w:rsidRDefault="000C305B" w:rsidP="00394A02">
      <w:pPr>
        <w:shd w:val="clear" w:color="auto" w:fill="FFFFFF" w:themeFill="background1"/>
        <w:spacing w:after="0" w:line="240" w:lineRule="auto"/>
        <w:jc w:val="both"/>
      </w:pPr>
      <w:r w:rsidRPr="00A77128">
        <w:rPr>
          <w:rStyle w:val="Strong"/>
        </w:rPr>
        <w:t>Acknowledgements</w:t>
      </w:r>
      <w:r w:rsidRPr="00A77128">
        <w:br/>
        <w:t xml:space="preserve">The authors sincerely acknowledge the institutional support provided during the course of this research. The cooperation extended by officials, field staff, and respondents during data collection is gratefully appreciated. The authors are </w:t>
      </w:r>
      <w:r w:rsidR="005569E1" w:rsidRPr="00A77128">
        <w:t>highly thankful</w:t>
      </w:r>
      <w:r w:rsidRPr="00A77128">
        <w:t xml:space="preserve"> to the reviewers for their insightful comments.</w:t>
      </w:r>
    </w:p>
    <w:p w:rsidR="000C305B" w:rsidRPr="00A77128" w:rsidRDefault="000C305B" w:rsidP="00394A02">
      <w:pPr>
        <w:shd w:val="clear" w:color="auto" w:fill="FFFFFF" w:themeFill="background1"/>
        <w:spacing w:after="0" w:line="240" w:lineRule="auto"/>
        <w:jc w:val="both"/>
        <w:rPr>
          <w:rFonts w:cstheme="minorHAnsi"/>
          <w:sz w:val="22"/>
          <w:szCs w:val="22"/>
        </w:rPr>
      </w:pPr>
    </w:p>
    <w:p w:rsidR="00282C88" w:rsidRPr="00A77128" w:rsidRDefault="00282C88" w:rsidP="00394A02">
      <w:pPr>
        <w:shd w:val="clear" w:color="auto" w:fill="FFFFFF" w:themeFill="background1"/>
        <w:spacing w:after="0" w:line="240" w:lineRule="auto"/>
        <w:jc w:val="both"/>
        <w:rPr>
          <w:rFonts w:cstheme="minorHAnsi"/>
          <w:b/>
          <w:sz w:val="22"/>
          <w:szCs w:val="22"/>
        </w:rPr>
      </w:pPr>
      <w:r w:rsidRPr="00A77128">
        <w:rPr>
          <w:rFonts w:cstheme="minorHAnsi"/>
          <w:b/>
          <w:sz w:val="22"/>
          <w:szCs w:val="22"/>
        </w:rPr>
        <w:t>Disclaimer (Artificial intelligence)</w:t>
      </w:r>
    </w:p>
    <w:p w:rsidR="00282C88" w:rsidRPr="00A77128" w:rsidRDefault="00282C88" w:rsidP="0090333F">
      <w:pPr>
        <w:pStyle w:val="ListParagraph"/>
        <w:shd w:val="clear" w:color="auto" w:fill="FFFFFF" w:themeFill="background1"/>
        <w:spacing w:after="0" w:line="240" w:lineRule="auto"/>
        <w:jc w:val="both"/>
        <w:rPr>
          <w:rFonts w:cstheme="minorHAnsi"/>
          <w:sz w:val="6"/>
          <w:szCs w:val="22"/>
        </w:rPr>
      </w:pPr>
    </w:p>
    <w:p w:rsidR="00282C88" w:rsidRPr="00A77128" w:rsidRDefault="00282C88" w:rsidP="00394A02">
      <w:pPr>
        <w:shd w:val="clear" w:color="auto" w:fill="FFFFFF" w:themeFill="background1"/>
        <w:spacing w:after="0" w:line="240" w:lineRule="auto"/>
        <w:jc w:val="both"/>
        <w:rPr>
          <w:rFonts w:cstheme="minorHAnsi"/>
          <w:sz w:val="22"/>
          <w:szCs w:val="22"/>
        </w:rPr>
      </w:pPr>
      <w:r w:rsidRPr="00A77128">
        <w:rPr>
          <w:rFonts w:cstheme="minorHAnsi"/>
          <w:sz w:val="22"/>
          <w:szCs w:val="22"/>
        </w:rPr>
        <w:t>Author(s) hereby declare that NO generative AI technologies such as Large Language Models (Chat</w:t>
      </w:r>
      <w:r w:rsidR="000C305B" w:rsidRPr="00A77128">
        <w:rPr>
          <w:rFonts w:cstheme="minorHAnsi"/>
          <w:sz w:val="22"/>
          <w:szCs w:val="22"/>
        </w:rPr>
        <w:t xml:space="preserve"> </w:t>
      </w:r>
      <w:r w:rsidRPr="00A77128">
        <w:rPr>
          <w:rFonts w:cstheme="minorHAnsi"/>
          <w:sz w:val="22"/>
          <w:szCs w:val="22"/>
        </w:rPr>
        <w:t xml:space="preserve">GPT, COPILOT, etc.) and text-to-image generators have been used during the writing or editing of this manuscript. </w:t>
      </w:r>
    </w:p>
    <w:p w:rsidR="00394A02" w:rsidRPr="00A77128" w:rsidRDefault="00394A02" w:rsidP="00394A02">
      <w:pPr>
        <w:shd w:val="clear" w:color="auto" w:fill="FFFFFF" w:themeFill="background1"/>
        <w:spacing w:after="0" w:line="240" w:lineRule="auto"/>
        <w:jc w:val="both"/>
        <w:rPr>
          <w:rFonts w:cstheme="minorHAnsi"/>
          <w:sz w:val="10"/>
          <w:szCs w:val="22"/>
        </w:rPr>
      </w:pPr>
    </w:p>
    <w:p w:rsidR="00FE749F" w:rsidRPr="00A77128" w:rsidRDefault="00FE749F" w:rsidP="00A77128">
      <w:pPr>
        <w:pStyle w:val="NormalWeb"/>
        <w:numPr>
          <w:ilvl w:val="0"/>
          <w:numId w:val="8"/>
        </w:numPr>
        <w:shd w:val="clear" w:color="auto" w:fill="FFFFFF" w:themeFill="background1"/>
        <w:spacing w:before="0" w:beforeAutospacing="0" w:after="0" w:afterAutospacing="0"/>
        <w:jc w:val="both"/>
        <w:rPr>
          <w:rStyle w:val="citation-75"/>
          <w:rFonts w:asciiTheme="minorHAnsi" w:hAnsiTheme="minorHAnsi" w:cstheme="minorHAnsi"/>
          <w:color w:val="1F1F1F"/>
          <w:sz w:val="22"/>
          <w:szCs w:val="22"/>
        </w:rPr>
      </w:pPr>
      <w:proofErr w:type="spellStart"/>
      <w:r w:rsidRPr="00A77128">
        <w:rPr>
          <w:rFonts w:asciiTheme="minorHAnsi" w:hAnsiTheme="minorHAnsi" w:cstheme="minorHAnsi"/>
          <w:sz w:val="22"/>
          <w:szCs w:val="22"/>
        </w:rPr>
        <w:t>Babu</w:t>
      </w:r>
      <w:proofErr w:type="spellEnd"/>
      <w:r w:rsidRPr="00A77128">
        <w:rPr>
          <w:rFonts w:asciiTheme="minorHAnsi" w:hAnsiTheme="minorHAnsi" w:cstheme="minorHAnsi"/>
          <w:sz w:val="22"/>
          <w:szCs w:val="22"/>
        </w:rPr>
        <w:t xml:space="preserve"> Narendra N, M. </w:t>
      </w:r>
      <w:proofErr w:type="spellStart"/>
      <w:r w:rsidRPr="00A77128">
        <w:rPr>
          <w:rFonts w:asciiTheme="minorHAnsi" w:hAnsiTheme="minorHAnsi" w:cstheme="minorHAnsi"/>
          <w:sz w:val="22"/>
          <w:szCs w:val="22"/>
        </w:rPr>
        <w:t>Venkataramulu</w:t>
      </w:r>
      <w:proofErr w:type="spellEnd"/>
      <w:r w:rsidRPr="00A77128">
        <w:rPr>
          <w:rFonts w:asciiTheme="minorHAnsi" w:hAnsiTheme="minorHAnsi" w:cstheme="minorHAnsi"/>
          <w:sz w:val="22"/>
          <w:szCs w:val="22"/>
        </w:rPr>
        <w:t xml:space="preserve">, H. D. </w:t>
      </w:r>
      <w:proofErr w:type="spellStart"/>
      <w:r w:rsidRPr="00A77128">
        <w:rPr>
          <w:rFonts w:asciiTheme="minorHAnsi" w:hAnsiTheme="minorHAnsi" w:cstheme="minorHAnsi"/>
          <w:sz w:val="22"/>
          <w:szCs w:val="22"/>
        </w:rPr>
        <w:t>Venu</w:t>
      </w:r>
      <w:proofErr w:type="spellEnd"/>
      <w:r w:rsidRPr="00A77128">
        <w:rPr>
          <w:rFonts w:asciiTheme="minorHAnsi" w:hAnsiTheme="minorHAnsi" w:cstheme="minorHAnsi"/>
          <w:sz w:val="22"/>
          <w:szCs w:val="22"/>
        </w:rPr>
        <w:t xml:space="preserve"> Prasad, A. S. R. </w:t>
      </w:r>
      <w:proofErr w:type="spellStart"/>
      <w:r w:rsidRPr="00A77128">
        <w:rPr>
          <w:rFonts w:asciiTheme="minorHAnsi" w:hAnsiTheme="minorHAnsi" w:cstheme="minorHAnsi"/>
          <w:sz w:val="22"/>
          <w:szCs w:val="22"/>
        </w:rPr>
        <w:t>Sarma</w:t>
      </w:r>
      <w:proofErr w:type="spellEnd"/>
      <w:r w:rsidRPr="00A77128">
        <w:rPr>
          <w:rFonts w:asciiTheme="minorHAnsi" w:hAnsiTheme="minorHAnsi" w:cstheme="minorHAnsi"/>
          <w:sz w:val="22"/>
          <w:szCs w:val="22"/>
        </w:rPr>
        <w:t xml:space="preserve">, and M. Usha, 2023 </w:t>
      </w:r>
      <w:r w:rsidRPr="00A77128">
        <w:rPr>
          <w:rFonts w:asciiTheme="minorHAnsi" w:hAnsiTheme="minorHAnsi" w:cstheme="minorHAnsi"/>
          <w:color w:val="1F1F1F"/>
          <w:sz w:val="22"/>
          <w:szCs w:val="22"/>
        </w:rPr>
        <w:t xml:space="preserve">“Impact of </w:t>
      </w:r>
      <w:proofErr w:type="spellStart"/>
      <w:r w:rsidRPr="00A77128">
        <w:rPr>
          <w:rFonts w:asciiTheme="minorHAnsi" w:hAnsiTheme="minorHAnsi" w:cstheme="minorHAnsi"/>
          <w:color w:val="1F1F1F"/>
          <w:sz w:val="22"/>
          <w:szCs w:val="22"/>
        </w:rPr>
        <w:t>Rythu</w:t>
      </w:r>
      <w:proofErr w:type="spellEnd"/>
      <w:r w:rsidRPr="00A77128">
        <w:rPr>
          <w:rFonts w:asciiTheme="minorHAnsi" w:hAnsiTheme="minorHAnsi" w:cstheme="minorHAnsi"/>
          <w:color w:val="1F1F1F"/>
          <w:sz w:val="22"/>
          <w:szCs w:val="22"/>
        </w:rPr>
        <w:t xml:space="preserve"> </w:t>
      </w:r>
      <w:proofErr w:type="spellStart"/>
      <w:r w:rsidRPr="00A77128">
        <w:rPr>
          <w:rFonts w:asciiTheme="minorHAnsi" w:hAnsiTheme="minorHAnsi" w:cstheme="minorHAnsi"/>
          <w:color w:val="1F1F1F"/>
          <w:sz w:val="22"/>
          <w:szCs w:val="22"/>
        </w:rPr>
        <w:t>Bharosa</w:t>
      </w:r>
      <w:proofErr w:type="spellEnd"/>
      <w:r w:rsidRPr="00A77128">
        <w:rPr>
          <w:rFonts w:asciiTheme="minorHAnsi" w:hAnsiTheme="minorHAnsi" w:cstheme="minorHAnsi"/>
          <w:color w:val="1F1F1F"/>
          <w:sz w:val="22"/>
          <w:szCs w:val="22"/>
        </w:rPr>
        <w:t xml:space="preserve"> Kendra's as Perceived by the Farmers”</w:t>
      </w:r>
      <w:r w:rsidRPr="00A77128">
        <w:rPr>
          <w:rStyle w:val="Hyperlink"/>
          <w:rFonts w:asciiTheme="minorHAnsi" w:hAnsiTheme="minorHAnsi" w:cstheme="minorHAnsi"/>
          <w:i/>
          <w:iCs/>
          <w:color w:val="1F1F1F"/>
          <w:sz w:val="22"/>
          <w:szCs w:val="22"/>
          <w:shd w:val="clear" w:color="auto" w:fill="FFFFFF"/>
        </w:rPr>
        <w:t xml:space="preserve"> </w:t>
      </w:r>
      <w:r w:rsidRPr="00A77128">
        <w:rPr>
          <w:rStyle w:val="citation-77"/>
          <w:rFonts w:asciiTheme="minorHAnsi" w:hAnsiTheme="minorHAnsi" w:cstheme="minorHAnsi"/>
          <w:i/>
          <w:iCs/>
          <w:color w:val="1F1F1F"/>
          <w:sz w:val="22"/>
          <w:szCs w:val="22"/>
          <w:shd w:val="clear" w:color="auto" w:fill="FFFFFF"/>
        </w:rPr>
        <w:t>Asian Journal of Agricultural Extension, Economics &amp; Sociology</w:t>
      </w:r>
      <w:r w:rsidRPr="00A77128">
        <w:rPr>
          <w:rStyle w:val="citation-77"/>
          <w:rFonts w:asciiTheme="minorHAnsi" w:hAnsiTheme="minorHAnsi" w:cstheme="minorHAnsi"/>
          <w:color w:val="1F1F1F"/>
          <w:sz w:val="22"/>
          <w:szCs w:val="22"/>
          <w:shd w:val="clear" w:color="auto" w:fill="FFFFFF"/>
        </w:rPr>
        <w:t>, 41(9), 606-616</w:t>
      </w:r>
      <w:r w:rsidRPr="00A77128">
        <w:rPr>
          <w:rStyle w:val="citation-75"/>
          <w:rFonts w:asciiTheme="minorHAnsi" w:hAnsiTheme="minorHAnsi" w:cstheme="minorHAnsi"/>
          <w:bCs/>
          <w:color w:val="1F1F1F"/>
          <w:sz w:val="22"/>
          <w:szCs w:val="22"/>
        </w:rPr>
        <w:t xml:space="preserve"> </w:t>
      </w:r>
      <w:r w:rsidRPr="00A77128">
        <w:rPr>
          <w:rStyle w:val="citation-75"/>
          <w:rFonts w:asciiTheme="minorHAnsi" w:hAnsiTheme="minorHAnsi" w:cstheme="minorHAnsi"/>
          <w:bCs/>
          <w:color w:val="0070C0"/>
          <w:sz w:val="22"/>
          <w:szCs w:val="22"/>
          <w:u w:val="single"/>
        </w:rPr>
        <w:t>DOI:</w:t>
      </w:r>
      <w:r w:rsidRPr="00A77128">
        <w:rPr>
          <w:rStyle w:val="citation-75"/>
          <w:rFonts w:asciiTheme="minorHAnsi" w:hAnsiTheme="minorHAnsi" w:cstheme="minorHAnsi"/>
          <w:color w:val="0070C0"/>
          <w:sz w:val="22"/>
          <w:szCs w:val="22"/>
          <w:u w:val="single"/>
        </w:rPr>
        <w:t xml:space="preserve"> 10.9734/</w:t>
      </w:r>
      <w:proofErr w:type="spellStart"/>
      <w:r w:rsidRPr="00A77128">
        <w:rPr>
          <w:rStyle w:val="citation-75"/>
          <w:rFonts w:asciiTheme="minorHAnsi" w:hAnsiTheme="minorHAnsi" w:cstheme="minorHAnsi"/>
          <w:color w:val="0070C0"/>
          <w:sz w:val="22"/>
          <w:szCs w:val="22"/>
          <w:u w:val="single"/>
        </w:rPr>
        <w:t>ajaees</w:t>
      </w:r>
      <w:proofErr w:type="spellEnd"/>
      <w:r w:rsidRPr="00A77128">
        <w:rPr>
          <w:rStyle w:val="citation-75"/>
          <w:rFonts w:asciiTheme="minorHAnsi" w:hAnsiTheme="minorHAnsi" w:cstheme="minorHAnsi"/>
          <w:color w:val="0070C0"/>
          <w:sz w:val="22"/>
          <w:szCs w:val="22"/>
          <w:u w:val="single"/>
        </w:rPr>
        <w:t>/2023/v41i92082</w:t>
      </w:r>
    </w:p>
    <w:p w:rsidR="00FE749F" w:rsidRPr="00A77128" w:rsidRDefault="00FE749F" w:rsidP="00A77128">
      <w:pPr>
        <w:pStyle w:val="NormalWeb"/>
        <w:numPr>
          <w:ilvl w:val="0"/>
          <w:numId w:val="8"/>
        </w:numPr>
        <w:shd w:val="clear" w:color="auto" w:fill="FFFFFF" w:themeFill="background1"/>
        <w:spacing w:before="0" w:beforeAutospacing="0" w:after="0" w:afterAutospacing="0"/>
        <w:jc w:val="both"/>
        <w:rPr>
          <w:rFonts w:asciiTheme="minorHAnsi" w:hAnsiTheme="minorHAnsi" w:cstheme="minorHAnsi"/>
          <w:color w:val="444746"/>
          <w:spacing w:val="2"/>
          <w:sz w:val="22"/>
          <w:szCs w:val="22"/>
          <w:vertAlign w:val="superscript"/>
        </w:rPr>
      </w:pPr>
      <w:r w:rsidRPr="00A77128">
        <w:rPr>
          <w:rStyle w:val="citation-105"/>
          <w:rFonts w:asciiTheme="minorHAnsi" w:hAnsiTheme="minorHAnsi" w:cstheme="minorHAnsi"/>
          <w:bCs/>
          <w:sz w:val="22"/>
          <w:szCs w:val="22"/>
        </w:rPr>
        <w:t>Barman, S., Das, P., Borah, A., et al. (2025).</w:t>
      </w:r>
      <w:r w:rsidRPr="00A77128">
        <w:rPr>
          <w:rStyle w:val="citation-105"/>
          <w:rFonts w:asciiTheme="minorHAnsi" w:hAnsiTheme="minorHAnsi" w:cstheme="minorHAnsi"/>
          <w:sz w:val="22"/>
          <w:szCs w:val="22"/>
        </w:rPr>
        <w:t xml:space="preserve"> Application of Agricultural Market Intelligence Among Small Scale Farmers.</w:t>
      </w:r>
      <w:r w:rsidRPr="00A77128">
        <w:rPr>
          <w:rFonts w:asciiTheme="minorHAnsi" w:hAnsiTheme="minorHAnsi" w:cstheme="minorHAnsi"/>
          <w:sz w:val="22"/>
          <w:szCs w:val="22"/>
        </w:rPr>
        <w:t xml:space="preserve"> </w:t>
      </w:r>
      <w:r w:rsidRPr="00A77128">
        <w:rPr>
          <w:rStyle w:val="citation-104"/>
          <w:rFonts w:asciiTheme="minorHAnsi" w:hAnsiTheme="minorHAnsi" w:cstheme="minorHAnsi"/>
          <w:i/>
          <w:iCs/>
          <w:sz w:val="22"/>
          <w:szCs w:val="22"/>
        </w:rPr>
        <w:t>Archives of Current Research International</w:t>
      </w:r>
      <w:r w:rsidRPr="00A77128">
        <w:rPr>
          <w:rStyle w:val="citation-104"/>
          <w:rFonts w:asciiTheme="minorHAnsi" w:hAnsiTheme="minorHAnsi" w:cstheme="minorHAnsi"/>
          <w:sz w:val="22"/>
          <w:szCs w:val="22"/>
        </w:rPr>
        <w:t>, 25(10), 121-127.</w:t>
      </w:r>
      <w:r w:rsidRPr="00A77128">
        <w:rPr>
          <w:rFonts w:asciiTheme="minorHAnsi" w:hAnsiTheme="minorHAnsi" w:cstheme="minorHAnsi"/>
          <w:sz w:val="22"/>
          <w:szCs w:val="22"/>
        </w:rPr>
        <w:t xml:space="preserve"> </w:t>
      </w:r>
      <w:hyperlink r:id="rId8" w:history="1">
        <w:r w:rsidRPr="00A77128">
          <w:rPr>
            <w:rStyle w:val="Hyperlink"/>
            <w:rFonts w:asciiTheme="minorHAnsi" w:hAnsiTheme="minorHAnsi" w:cstheme="minorHAnsi"/>
            <w:sz w:val="22"/>
            <w:szCs w:val="22"/>
          </w:rPr>
          <w:t>https://doi.org/10.9734/acri/2025/v25i101553</w:t>
        </w:r>
      </w:hyperlink>
    </w:p>
    <w:p w:rsidR="00FE749F" w:rsidRPr="00A77128" w:rsidRDefault="00FE749F" w:rsidP="00A77128">
      <w:pPr>
        <w:pStyle w:val="ListParagraph"/>
        <w:numPr>
          <w:ilvl w:val="0"/>
          <w:numId w:val="8"/>
        </w:numPr>
        <w:shd w:val="clear" w:color="auto" w:fill="FFFFFF" w:themeFill="background1"/>
        <w:spacing w:after="0" w:line="240" w:lineRule="auto"/>
        <w:jc w:val="both"/>
        <w:rPr>
          <w:rFonts w:eastAsia="Times New Roman" w:cstheme="minorHAnsi"/>
          <w:kern w:val="0"/>
          <w:sz w:val="22"/>
          <w:szCs w:val="22"/>
        </w:rPr>
      </w:pPr>
      <w:proofErr w:type="spellStart"/>
      <w:r w:rsidRPr="00A77128">
        <w:rPr>
          <w:rFonts w:eastAsia="Times New Roman" w:cstheme="minorHAnsi"/>
          <w:bCs/>
          <w:kern w:val="0"/>
          <w:sz w:val="22"/>
          <w:szCs w:val="22"/>
        </w:rPr>
        <w:t>Devra</w:t>
      </w:r>
      <w:proofErr w:type="spellEnd"/>
      <w:r w:rsidRPr="00A77128">
        <w:rPr>
          <w:rFonts w:eastAsia="Times New Roman" w:cstheme="minorHAnsi"/>
          <w:bCs/>
          <w:kern w:val="0"/>
          <w:sz w:val="22"/>
          <w:szCs w:val="22"/>
        </w:rPr>
        <w:t>, S. J., et al. (2023).</w:t>
      </w:r>
      <w:r w:rsidRPr="00A77128">
        <w:rPr>
          <w:rFonts w:eastAsia="Times New Roman" w:cstheme="minorHAnsi"/>
          <w:kern w:val="0"/>
          <w:sz w:val="22"/>
          <w:szCs w:val="22"/>
        </w:rPr>
        <w:t xml:space="preserve"> "Time series forecasting of price for oilseed crops by combining ARIMA and ANN." </w:t>
      </w:r>
      <w:r w:rsidRPr="00A77128">
        <w:rPr>
          <w:rFonts w:eastAsia="Times New Roman" w:cstheme="minorHAnsi"/>
          <w:i/>
          <w:iCs/>
          <w:kern w:val="0"/>
          <w:sz w:val="22"/>
          <w:szCs w:val="22"/>
        </w:rPr>
        <w:t>International Journal of Statistics and Applied Mathematics</w:t>
      </w:r>
      <w:r w:rsidRPr="00A77128">
        <w:rPr>
          <w:rFonts w:eastAsia="Times New Roman" w:cstheme="minorHAnsi"/>
          <w:kern w:val="0"/>
          <w:sz w:val="22"/>
          <w:szCs w:val="22"/>
        </w:rPr>
        <w:t>, 8(4), 40-54.</w:t>
      </w:r>
      <w:r w:rsidR="00094F51" w:rsidRPr="00A77128">
        <w:rPr>
          <w:rFonts w:eastAsia="Times New Roman" w:cstheme="minorHAnsi"/>
          <w:kern w:val="0"/>
          <w:sz w:val="22"/>
          <w:szCs w:val="22"/>
        </w:rPr>
        <w:t xml:space="preserve"> </w:t>
      </w:r>
      <w:r w:rsidR="00094F51" w:rsidRPr="00A77128">
        <w:rPr>
          <w:color w:val="0070C0"/>
          <w:u w:val="single"/>
        </w:rPr>
        <w:t>https://doi.org/10.22271/maths.2023.v8.i4a.1098</w:t>
      </w:r>
    </w:p>
    <w:p w:rsidR="00FE749F" w:rsidRPr="00A77128" w:rsidRDefault="00FE749F" w:rsidP="00A77128">
      <w:pPr>
        <w:pStyle w:val="ListParagraph"/>
        <w:shd w:val="clear" w:color="auto" w:fill="FFFFFF" w:themeFill="background1"/>
        <w:spacing w:after="0" w:line="240" w:lineRule="auto"/>
        <w:jc w:val="both"/>
        <w:rPr>
          <w:rFonts w:eastAsia="Times New Roman" w:cstheme="minorHAnsi"/>
          <w:kern w:val="0"/>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sz w:val="22"/>
          <w:szCs w:val="22"/>
        </w:rPr>
      </w:pPr>
      <w:proofErr w:type="spellStart"/>
      <w:r w:rsidRPr="00A77128">
        <w:rPr>
          <w:rFonts w:cstheme="minorHAnsi"/>
          <w:bCs/>
          <w:sz w:val="22"/>
          <w:szCs w:val="22"/>
        </w:rPr>
        <w:t>Hima</w:t>
      </w:r>
      <w:proofErr w:type="spellEnd"/>
      <w:r w:rsidRPr="00A77128">
        <w:rPr>
          <w:rFonts w:cstheme="minorHAnsi"/>
          <w:bCs/>
          <w:sz w:val="22"/>
          <w:szCs w:val="22"/>
        </w:rPr>
        <w:t xml:space="preserve"> </w:t>
      </w:r>
      <w:proofErr w:type="spellStart"/>
      <w:r w:rsidRPr="00A77128">
        <w:rPr>
          <w:rFonts w:cstheme="minorHAnsi"/>
          <w:bCs/>
          <w:sz w:val="22"/>
          <w:szCs w:val="22"/>
        </w:rPr>
        <w:t>Saina</w:t>
      </w:r>
      <w:proofErr w:type="spellEnd"/>
      <w:r w:rsidRPr="00A77128">
        <w:rPr>
          <w:rFonts w:cstheme="minorHAnsi"/>
          <w:bCs/>
          <w:sz w:val="22"/>
          <w:szCs w:val="22"/>
        </w:rPr>
        <w:t>, S., Jyothi, V., Lalitha, A., &amp; Ramesh, D. (2024).</w:t>
      </w:r>
      <w:r w:rsidRPr="00A77128">
        <w:rPr>
          <w:rFonts w:cstheme="minorHAnsi"/>
          <w:sz w:val="22"/>
          <w:szCs w:val="22"/>
        </w:rPr>
        <w:t xml:space="preserve"> Market orientation and marketing </w:t>
      </w:r>
      <w:proofErr w:type="spellStart"/>
      <w:r w:rsidRPr="00A77128">
        <w:rPr>
          <w:rFonts w:cstheme="minorHAnsi"/>
          <w:sz w:val="22"/>
          <w:szCs w:val="22"/>
        </w:rPr>
        <w:t>behaviour</w:t>
      </w:r>
      <w:proofErr w:type="spellEnd"/>
      <w:r w:rsidRPr="00A77128">
        <w:rPr>
          <w:rFonts w:cstheme="minorHAnsi"/>
          <w:sz w:val="22"/>
          <w:szCs w:val="22"/>
        </w:rPr>
        <w:t xml:space="preserve"> of tribal farmers in Andhra Pradesh. </w:t>
      </w:r>
      <w:r w:rsidRPr="00A77128">
        <w:rPr>
          <w:rFonts w:cstheme="minorHAnsi"/>
          <w:i/>
          <w:iCs/>
          <w:sz w:val="22"/>
          <w:szCs w:val="22"/>
        </w:rPr>
        <w:t>Indian Research Journal of Extension Education</w:t>
      </w:r>
      <w:r w:rsidRPr="00A77128">
        <w:rPr>
          <w:rFonts w:cstheme="minorHAnsi"/>
          <w:sz w:val="22"/>
          <w:szCs w:val="22"/>
        </w:rPr>
        <w:t>, 24(4), 66-72.</w:t>
      </w:r>
      <w:r w:rsidR="00094F51" w:rsidRPr="00A77128">
        <w:rPr>
          <w:rFonts w:cstheme="minorHAnsi"/>
          <w:sz w:val="22"/>
          <w:szCs w:val="22"/>
        </w:rPr>
        <w:t xml:space="preserve"> </w:t>
      </w:r>
      <w:r w:rsidR="00094F51" w:rsidRPr="00A77128">
        <w:rPr>
          <w:rStyle w:val="Strong"/>
          <w:b w:val="0"/>
          <w:color w:val="0070C0"/>
          <w:u w:val="single"/>
        </w:rPr>
        <w:t>DOI:</w:t>
      </w:r>
      <w:r w:rsidR="00094F51" w:rsidRPr="00A77128">
        <w:rPr>
          <w:color w:val="0070C0"/>
          <w:u w:val="single"/>
        </w:rPr>
        <w:t xml:space="preserve"> </w:t>
      </w:r>
      <w:r w:rsidR="00094F51" w:rsidRPr="00A77128">
        <w:rPr>
          <w:rStyle w:val="Strong"/>
          <w:b w:val="0"/>
          <w:color w:val="0070C0"/>
          <w:u w:val="single"/>
        </w:rPr>
        <w:t>10.54986/</w:t>
      </w:r>
      <w:proofErr w:type="spellStart"/>
      <w:r w:rsidR="00094F51" w:rsidRPr="00A77128">
        <w:rPr>
          <w:rStyle w:val="Strong"/>
          <w:b w:val="0"/>
          <w:color w:val="0070C0"/>
          <w:u w:val="single"/>
        </w:rPr>
        <w:t>irjee</w:t>
      </w:r>
      <w:proofErr w:type="spellEnd"/>
      <w:r w:rsidR="00094F51" w:rsidRPr="00A77128">
        <w:rPr>
          <w:rStyle w:val="Strong"/>
          <w:b w:val="0"/>
          <w:color w:val="0070C0"/>
          <w:u w:val="single"/>
        </w:rPr>
        <w:t>/2024/</w:t>
      </w:r>
      <w:proofErr w:type="spellStart"/>
      <w:r w:rsidR="00094F51" w:rsidRPr="00A77128">
        <w:rPr>
          <w:rStyle w:val="Strong"/>
          <w:b w:val="0"/>
          <w:color w:val="0070C0"/>
          <w:u w:val="single"/>
        </w:rPr>
        <w:t>oct_dec</w:t>
      </w:r>
      <w:proofErr w:type="spellEnd"/>
      <w:r w:rsidR="00094F51" w:rsidRPr="00A77128">
        <w:rPr>
          <w:rStyle w:val="Strong"/>
          <w:b w:val="0"/>
          <w:color w:val="0070C0"/>
          <w:u w:val="single"/>
        </w:rPr>
        <w:t>/66-72</w:t>
      </w:r>
    </w:p>
    <w:p w:rsidR="00FE749F" w:rsidRPr="00A77128" w:rsidRDefault="00FE749F" w:rsidP="00A77128">
      <w:pPr>
        <w:shd w:val="clear" w:color="auto" w:fill="FFFFFF" w:themeFill="background1"/>
        <w:spacing w:after="0" w:line="240" w:lineRule="auto"/>
        <w:jc w:val="both"/>
        <w:rPr>
          <w:rFonts w:cstheme="minorHAnsi"/>
          <w:color w:val="000000" w:themeColor="text1"/>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0000" w:themeColor="text1"/>
          <w:sz w:val="22"/>
          <w:szCs w:val="22"/>
        </w:rPr>
      </w:pPr>
      <w:r w:rsidRPr="00A77128">
        <w:rPr>
          <w:rFonts w:cstheme="minorHAnsi"/>
          <w:color w:val="000000" w:themeColor="text1"/>
          <w:sz w:val="22"/>
          <w:szCs w:val="22"/>
        </w:rPr>
        <w:t xml:space="preserve">Harrison, M and </w:t>
      </w:r>
      <w:proofErr w:type="spellStart"/>
      <w:r w:rsidRPr="00A77128">
        <w:rPr>
          <w:rFonts w:cstheme="minorHAnsi"/>
          <w:color w:val="000000" w:themeColor="text1"/>
          <w:sz w:val="22"/>
          <w:szCs w:val="22"/>
        </w:rPr>
        <w:t>Cuppman</w:t>
      </w:r>
      <w:proofErr w:type="spellEnd"/>
      <w:r w:rsidRPr="00A77128">
        <w:rPr>
          <w:rFonts w:cstheme="minorHAnsi"/>
          <w:color w:val="000000" w:themeColor="text1"/>
          <w:sz w:val="22"/>
          <w:szCs w:val="22"/>
        </w:rPr>
        <w:t xml:space="preserve">, J. 2011. Market Research with Intelligence, B2B International, available at </w:t>
      </w:r>
      <w:hyperlink r:id="rId9" w:history="1">
        <w:r w:rsidRPr="00A77128">
          <w:rPr>
            <w:rStyle w:val="Hyperlink"/>
            <w:rFonts w:cstheme="minorHAnsi"/>
            <w:color w:val="0070C0"/>
            <w:sz w:val="22"/>
            <w:szCs w:val="22"/>
          </w:rPr>
          <w:t>www.b2binternational.com</w:t>
        </w:r>
      </w:hyperlink>
      <w:r w:rsidRPr="00A77128">
        <w:rPr>
          <w:rFonts w:cstheme="minorHAnsi"/>
          <w:color w:val="0070C0"/>
          <w:sz w:val="22"/>
          <w:szCs w:val="22"/>
        </w:rPr>
        <w:t>.</w:t>
      </w:r>
    </w:p>
    <w:p w:rsidR="00FE749F" w:rsidRPr="00A77128" w:rsidRDefault="00FE749F" w:rsidP="00A77128">
      <w:pPr>
        <w:pStyle w:val="ListParagraph"/>
        <w:numPr>
          <w:ilvl w:val="0"/>
          <w:numId w:val="8"/>
        </w:numPr>
        <w:shd w:val="clear" w:color="auto" w:fill="FFFFFF" w:themeFill="background1"/>
        <w:spacing w:after="0" w:line="240" w:lineRule="auto"/>
        <w:jc w:val="both"/>
        <w:rPr>
          <w:rFonts w:eastAsia="Times New Roman" w:cstheme="minorHAnsi"/>
          <w:color w:val="0070C0"/>
          <w:kern w:val="0"/>
          <w:sz w:val="22"/>
          <w:szCs w:val="22"/>
          <w:u w:val="single"/>
        </w:rPr>
      </w:pPr>
      <w:r w:rsidRPr="00A77128">
        <w:rPr>
          <w:rFonts w:eastAsia="Times New Roman" w:cstheme="minorHAnsi"/>
          <w:bCs/>
          <w:kern w:val="0"/>
          <w:sz w:val="22"/>
          <w:szCs w:val="22"/>
        </w:rPr>
        <w:t>Joshi, V., et al. (2025).</w:t>
      </w:r>
      <w:r w:rsidRPr="00A77128">
        <w:rPr>
          <w:rFonts w:eastAsia="Times New Roman" w:cstheme="minorHAnsi"/>
          <w:kern w:val="0"/>
          <w:sz w:val="22"/>
          <w:szCs w:val="22"/>
        </w:rPr>
        <w:t xml:space="preserve"> "Agricultural Market Price Prediction Using Machine Learning and ARIMA Time Series Models: A Review." </w:t>
      </w:r>
      <w:r w:rsidRPr="00A77128">
        <w:rPr>
          <w:rFonts w:eastAsia="Times New Roman" w:cstheme="minorHAnsi"/>
          <w:i/>
          <w:iCs/>
          <w:kern w:val="0"/>
          <w:sz w:val="22"/>
          <w:szCs w:val="22"/>
        </w:rPr>
        <w:t>Iconic Research and Engineering Journals</w:t>
      </w:r>
      <w:r w:rsidRPr="00A77128">
        <w:rPr>
          <w:rFonts w:eastAsia="Times New Roman" w:cstheme="minorHAnsi"/>
          <w:kern w:val="0"/>
          <w:sz w:val="22"/>
          <w:szCs w:val="22"/>
        </w:rPr>
        <w:t>, 9(5), 1047-1054.</w:t>
      </w:r>
      <w:r w:rsidR="00094F51" w:rsidRPr="00A77128">
        <w:rPr>
          <w:rFonts w:eastAsia="Times New Roman" w:cstheme="minorHAnsi"/>
          <w:kern w:val="0"/>
          <w:sz w:val="22"/>
          <w:szCs w:val="22"/>
        </w:rPr>
        <w:t xml:space="preserve"> </w:t>
      </w:r>
      <w:r w:rsidR="00094F51" w:rsidRPr="00A77128">
        <w:rPr>
          <w:rFonts w:eastAsia="Times New Roman" w:cstheme="minorHAnsi"/>
          <w:color w:val="0070C0"/>
          <w:kern w:val="0"/>
          <w:sz w:val="22"/>
          <w:szCs w:val="22"/>
          <w:u w:val="single"/>
        </w:rPr>
        <w:t xml:space="preserve">DOI. </w:t>
      </w:r>
      <w:r w:rsidR="00094F51" w:rsidRPr="00A77128">
        <w:rPr>
          <w:color w:val="0070C0"/>
          <w:u w:val="single"/>
        </w:rPr>
        <w:t>10.64388/IREV9I5-1711906</w:t>
      </w:r>
    </w:p>
    <w:p w:rsidR="00FE749F" w:rsidRPr="00A77128" w:rsidRDefault="00FE749F" w:rsidP="00A77128">
      <w:pPr>
        <w:pStyle w:val="ListParagraph"/>
        <w:shd w:val="clear" w:color="auto" w:fill="FFFFFF" w:themeFill="background1"/>
        <w:spacing w:after="0" w:line="240" w:lineRule="auto"/>
        <w:jc w:val="both"/>
        <w:rPr>
          <w:rFonts w:eastAsia="Times New Roman" w:cstheme="minorHAnsi"/>
          <w:kern w:val="0"/>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0000" w:themeColor="text1"/>
          <w:sz w:val="22"/>
          <w:szCs w:val="22"/>
        </w:rPr>
      </w:pPr>
      <w:r w:rsidRPr="00A77128">
        <w:rPr>
          <w:rFonts w:cstheme="minorHAnsi"/>
          <w:color w:val="000000" w:themeColor="text1"/>
          <w:sz w:val="22"/>
          <w:szCs w:val="22"/>
        </w:rPr>
        <w:t>Kotler, P. 2000. Marketing management, 10</w:t>
      </w:r>
      <w:r w:rsidRPr="00A77128">
        <w:rPr>
          <w:rFonts w:cstheme="minorHAnsi"/>
          <w:color w:val="000000" w:themeColor="text1"/>
          <w:sz w:val="22"/>
          <w:szCs w:val="22"/>
          <w:vertAlign w:val="superscript"/>
        </w:rPr>
        <w:t>th</w:t>
      </w:r>
      <w:r w:rsidRPr="00A77128">
        <w:rPr>
          <w:rFonts w:cstheme="minorHAnsi"/>
          <w:color w:val="000000" w:themeColor="text1"/>
          <w:sz w:val="22"/>
          <w:szCs w:val="22"/>
        </w:rPr>
        <w:t>Edition., Prentice-Hall, Upper Saddle River, N.J.</w:t>
      </w:r>
    </w:p>
    <w:p w:rsidR="00FE749F" w:rsidRPr="00A77128" w:rsidRDefault="00FE749F" w:rsidP="00A77128">
      <w:pPr>
        <w:shd w:val="clear" w:color="auto" w:fill="FFFFFF" w:themeFill="background1"/>
        <w:spacing w:after="0" w:line="240" w:lineRule="auto"/>
        <w:jc w:val="both"/>
        <w:rPr>
          <w:rFonts w:cstheme="minorHAnsi"/>
          <w:color w:val="000000" w:themeColor="text1"/>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bCs/>
          <w:color w:val="1F1F1F"/>
          <w:sz w:val="22"/>
          <w:szCs w:val="22"/>
          <w:shd w:val="clear" w:color="auto" w:fill="FFFFFF"/>
        </w:rPr>
      </w:pPr>
      <w:r w:rsidRPr="00A77128">
        <w:rPr>
          <w:rFonts w:cstheme="minorHAnsi"/>
          <w:color w:val="000000" w:themeColor="text1"/>
          <w:sz w:val="22"/>
          <w:szCs w:val="22"/>
          <w:shd w:val="clear" w:color="auto" w:fill="FFFFFF"/>
        </w:rPr>
        <w:t xml:space="preserve">Kumari, R. V., Ramakrishna, G., Venkatesh, P and </w:t>
      </w:r>
      <w:proofErr w:type="spellStart"/>
      <w:r w:rsidRPr="00A77128">
        <w:rPr>
          <w:rFonts w:cstheme="minorHAnsi"/>
          <w:color w:val="000000" w:themeColor="text1"/>
          <w:sz w:val="22"/>
          <w:szCs w:val="22"/>
          <w:shd w:val="clear" w:color="auto" w:fill="FFFFFF"/>
        </w:rPr>
        <w:t>Kaviraju</w:t>
      </w:r>
      <w:proofErr w:type="spellEnd"/>
      <w:r w:rsidRPr="00A77128">
        <w:rPr>
          <w:rFonts w:cstheme="minorHAnsi"/>
          <w:color w:val="000000" w:themeColor="text1"/>
          <w:sz w:val="22"/>
          <w:szCs w:val="22"/>
          <w:shd w:val="clear" w:color="auto" w:fill="FFFFFF"/>
        </w:rPr>
        <w:t>, S. 2018. Impact assessment of agricultural price forecasting and farmers perception. Agricultural Economics Research Review. 31(Conference): 229.</w:t>
      </w:r>
      <w:r w:rsidRPr="00A77128">
        <w:rPr>
          <w:rFonts w:cstheme="minorHAnsi"/>
          <w:bCs/>
          <w:color w:val="1F1F1F"/>
          <w:sz w:val="22"/>
          <w:szCs w:val="22"/>
          <w:shd w:val="clear" w:color="auto" w:fill="FFFFFF"/>
        </w:rPr>
        <w:t xml:space="preserve"> </w:t>
      </w:r>
    </w:p>
    <w:p w:rsidR="00FE749F" w:rsidRPr="00A77128" w:rsidRDefault="00FE749F" w:rsidP="00A77128">
      <w:pPr>
        <w:shd w:val="clear" w:color="auto" w:fill="FFFFFF" w:themeFill="background1"/>
        <w:spacing w:after="0" w:line="240" w:lineRule="auto"/>
        <w:jc w:val="both"/>
        <w:rPr>
          <w:rFonts w:cstheme="minorHAnsi"/>
          <w:bCs/>
          <w:color w:val="1F1F1F"/>
          <w:sz w:val="22"/>
          <w:szCs w:val="22"/>
          <w:shd w:val="clear" w:color="auto" w:fill="FFFFFF"/>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70C0"/>
          <w:sz w:val="22"/>
          <w:szCs w:val="22"/>
          <w:u w:val="single"/>
        </w:rPr>
      </w:pPr>
      <w:r w:rsidRPr="00A77128">
        <w:rPr>
          <w:rFonts w:cstheme="minorHAnsi"/>
          <w:bCs/>
          <w:sz w:val="22"/>
          <w:szCs w:val="22"/>
        </w:rPr>
        <w:t>Kumar, A., Kumar, P., &amp; Sharma, R. (2023).</w:t>
      </w:r>
      <w:r w:rsidRPr="00A77128">
        <w:rPr>
          <w:rFonts w:cstheme="minorHAnsi"/>
          <w:sz w:val="22"/>
          <w:szCs w:val="22"/>
        </w:rPr>
        <w:t xml:space="preserve"> Awareness of Farmers towards Information and Communication Technology (ICT) in the Indian Agriculture Sector. </w:t>
      </w:r>
      <w:r w:rsidRPr="00A77128">
        <w:rPr>
          <w:rFonts w:cstheme="minorHAnsi"/>
          <w:i/>
          <w:iCs/>
          <w:sz w:val="22"/>
          <w:szCs w:val="22"/>
        </w:rPr>
        <w:t>Journal of Informatics Education and Research</w:t>
      </w:r>
      <w:r w:rsidRPr="00A77128">
        <w:rPr>
          <w:rFonts w:cstheme="minorHAnsi"/>
          <w:sz w:val="22"/>
          <w:szCs w:val="22"/>
        </w:rPr>
        <w:t xml:space="preserve">, 3(2), 210-215. </w:t>
      </w:r>
      <w:r w:rsidRPr="00A77128">
        <w:rPr>
          <w:rFonts w:cstheme="minorHAnsi"/>
          <w:bCs/>
          <w:color w:val="0070C0"/>
          <w:sz w:val="22"/>
          <w:szCs w:val="22"/>
          <w:u w:val="single"/>
        </w:rPr>
        <w:t>DOI:</w:t>
      </w:r>
      <w:r w:rsidRPr="00A77128">
        <w:rPr>
          <w:rFonts w:cstheme="minorHAnsi"/>
          <w:color w:val="0070C0"/>
          <w:sz w:val="22"/>
          <w:szCs w:val="22"/>
          <w:u w:val="single"/>
        </w:rPr>
        <w:t xml:space="preserve"> 10.52783/</w:t>
      </w:r>
      <w:proofErr w:type="gramStart"/>
      <w:r w:rsidRPr="00A77128">
        <w:rPr>
          <w:rFonts w:cstheme="minorHAnsi"/>
          <w:color w:val="0070C0"/>
          <w:sz w:val="22"/>
          <w:szCs w:val="22"/>
          <w:u w:val="single"/>
        </w:rPr>
        <w:t>jier.v</w:t>
      </w:r>
      <w:proofErr w:type="gramEnd"/>
      <w:r w:rsidRPr="00A77128">
        <w:rPr>
          <w:rFonts w:cstheme="minorHAnsi"/>
          <w:color w:val="0070C0"/>
          <w:sz w:val="22"/>
          <w:szCs w:val="22"/>
          <w:u w:val="single"/>
        </w:rPr>
        <w:t>3i2.94</w:t>
      </w:r>
    </w:p>
    <w:p w:rsidR="00FE749F" w:rsidRPr="00A77128" w:rsidRDefault="00FE749F" w:rsidP="00A77128">
      <w:pPr>
        <w:shd w:val="clear" w:color="auto" w:fill="FFFFFF" w:themeFill="background1"/>
        <w:spacing w:after="0" w:line="240" w:lineRule="auto"/>
        <w:jc w:val="both"/>
        <w:rPr>
          <w:rFonts w:cstheme="minorHAnsi"/>
          <w:bCs/>
          <w:color w:val="1F1F1F"/>
          <w:sz w:val="22"/>
          <w:szCs w:val="22"/>
          <w:shd w:val="clear" w:color="auto" w:fill="FFFFFF"/>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70C0"/>
          <w:sz w:val="22"/>
          <w:szCs w:val="22"/>
          <w:u w:val="single"/>
          <w:shd w:val="clear" w:color="auto" w:fill="FFFFFF"/>
        </w:rPr>
      </w:pPr>
      <w:r w:rsidRPr="00A77128">
        <w:rPr>
          <w:rFonts w:cstheme="minorHAnsi"/>
          <w:bCs/>
          <w:color w:val="1F1F1F"/>
          <w:sz w:val="22"/>
          <w:szCs w:val="22"/>
          <w:shd w:val="clear" w:color="auto" w:fill="FFFFFF"/>
        </w:rPr>
        <w:lastRenderedPageBreak/>
        <w:t xml:space="preserve">Kumar, R. K., Mishra, B., Das, K. S., &amp; </w:t>
      </w:r>
      <w:proofErr w:type="spellStart"/>
      <w:r w:rsidRPr="00A77128">
        <w:rPr>
          <w:rFonts w:cstheme="minorHAnsi"/>
          <w:bCs/>
          <w:color w:val="1F1F1F"/>
          <w:sz w:val="22"/>
          <w:szCs w:val="22"/>
          <w:shd w:val="clear" w:color="auto" w:fill="FFFFFF"/>
        </w:rPr>
        <w:t>Parimi</w:t>
      </w:r>
      <w:proofErr w:type="spellEnd"/>
      <w:r w:rsidRPr="00A77128">
        <w:rPr>
          <w:rFonts w:cstheme="minorHAnsi"/>
          <w:bCs/>
          <w:color w:val="1F1F1F"/>
          <w:sz w:val="22"/>
          <w:szCs w:val="22"/>
          <w:shd w:val="clear" w:color="auto" w:fill="FFFFFF"/>
        </w:rPr>
        <w:t>, D. (2024).</w:t>
      </w:r>
      <w:r w:rsidRPr="00A77128">
        <w:rPr>
          <w:rFonts w:cstheme="minorHAnsi"/>
          <w:color w:val="1F1F1F"/>
          <w:sz w:val="22"/>
          <w:szCs w:val="22"/>
          <w:shd w:val="clear" w:color="auto" w:fill="FFFFFF"/>
        </w:rPr>
        <w:t xml:space="preserve"> Extent of socio-economic and technological changes in tribal farmers of Andhra Pradesh through RBK interventions. </w:t>
      </w:r>
      <w:r w:rsidRPr="00A77128">
        <w:rPr>
          <w:rFonts w:cstheme="minorHAnsi"/>
          <w:i/>
          <w:iCs/>
          <w:color w:val="1F1F1F"/>
          <w:sz w:val="22"/>
          <w:szCs w:val="22"/>
          <w:shd w:val="clear" w:color="auto" w:fill="FFFFFF"/>
        </w:rPr>
        <w:t>International Journal of Agriculture Extension and Social Development</w:t>
      </w:r>
      <w:r w:rsidRPr="00A77128">
        <w:rPr>
          <w:rFonts w:cstheme="minorHAnsi"/>
          <w:color w:val="1F1F1F"/>
          <w:sz w:val="22"/>
          <w:szCs w:val="22"/>
          <w:shd w:val="clear" w:color="auto" w:fill="FFFFFF"/>
        </w:rPr>
        <w:t xml:space="preserve">, 7(3), 30-34. </w:t>
      </w:r>
      <w:r w:rsidRPr="00A77128">
        <w:rPr>
          <w:rFonts w:cstheme="minorHAnsi"/>
          <w:bCs/>
          <w:color w:val="0070C0"/>
          <w:sz w:val="22"/>
          <w:szCs w:val="22"/>
          <w:u w:val="single"/>
          <w:shd w:val="clear" w:color="auto" w:fill="FFFFFF"/>
        </w:rPr>
        <w:t>DOI:</w:t>
      </w:r>
      <w:r w:rsidRPr="00A77128">
        <w:rPr>
          <w:rFonts w:cstheme="minorHAnsi"/>
          <w:color w:val="0070C0"/>
          <w:sz w:val="22"/>
          <w:szCs w:val="22"/>
          <w:u w:val="single"/>
          <w:shd w:val="clear" w:color="auto" w:fill="FFFFFF"/>
        </w:rPr>
        <w:t xml:space="preserve"> 10.33545/26180723.2024.v7.i3a.395</w:t>
      </w:r>
    </w:p>
    <w:p w:rsidR="00094F51" w:rsidRPr="00A77128" w:rsidRDefault="00094F51" w:rsidP="00A77128">
      <w:pPr>
        <w:shd w:val="clear" w:color="auto" w:fill="FFFFFF" w:themeFill="background1"/>
        <w:spacing w:after="0" w:line="240" w:lineRule="auto"/>
        <w:jc w:val="both"/>
        <w:rPr>
          <w:rFonts w:cstheme="minorHAnsi"/>
          <w:color w:val="0070C0"/>
          <w:sz w:val="22"/>
          <w:szCs w:val="22"/>
          <w:u w:val="single"/>
          <w:shd w:val="clear" w:color="auto" w:fill="FFFFFF"/>
        </w:rPr>
      </w:pPr>
    </w:p>
    <w:p w:rsidR="00FE749F" w:rsidRPr="00A77128" w:rsidRDefault="00FE749F" w:rsidP="00A77128">
      <w:pPr>
        <w:shd w:val="clear" w:color="auto" w:fill="FFFFFF" w:themeFill="background1"/>
        <w:spacing w:after="0" w:line="240" w:lineRule="auto"/>
        <w:jc w:val="both"/>
        <w:rPr>
          <w:rFonts w:cstheme="minorHAnsi"/>
          <w:color w:val="1F1F1F"/>
          <w:sz w:val="2"/>
          <w:szCs w:val="22"/>
          <w:shd w:val="clear" w:color="auto" w:fill="FFFFFF"/>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eastAsia="Times New Roman" w:cstheme="minorHAnsi"/>
          <w:kern w:val="0"/>
          <w:sz w:val="22"/>
          <w:szCs w:val="22"/>
        </w:rPr>
      </w:pPr>
      <w:proofErr w:type="spellStart"/>
      <w:r w:rsidRPr="00A77128">
        <w:rPr>
          <w:rFonts w:eastAsia="Times New Roman" w:cstheme="minorHAnsi"/>
          <w:bCs/>
          <w:kern w:val="0"/>
          <w:sz w:val="22"/>
          <w:szCs w:val="22"/>
        </w:rPr>
        <w:t>Manichandana</w:t>
      </w:r>
      <w:proofErr w:type="spellEnd"/>
      <w:r w:rsidRPr="00A77128">
        <w:rPr>
          <w:rFonts w:eastAsia="Times New Roman" w:cstheme="minorHAnsi"/>
          <w:bCs/>
          <w:kern w:val="0"/>
          <w:sz w:val="22"/>
          <w:szCs w:val="22"/>
        </w:rPr>
        <w:t>, S. et al. (2023).</w:t>
      </w:r>
      <w:r w:rsidRPr="00A77128">
        <w:rPr>
          <w:rFonts w:eastAsia="Times New Roman" w:cstheme="minorHAnsi"/>
          <w:kern w:val="0"/>
          <w:sz w:val="22"/>
          <w:szCs w:val="22"/>
        </w:rPr>
        <w:t xml:space="preserve"> "Knowledge of Farmers on Services Rendered by </w:t>
      </w:r>
      <w:proofErr w:type="spellStart"/>
      <w:r w:rsidRPr="00A77128">
        <w:rPr>
          <w:rFonts w:eastAsia="Times New Roman" w:cstheme="minorHAnsi"/>
          <w:kern w:val="0"/>
          <w:sz w:val="22"/>
          <w:szCs w:val="22"/>
        </w:rPr>
        <w:t>Rythu</w:t>
      </w:r>
      <w:proofErr w:type="spellEnd"/>
      <w:r w:rsidRPr="00A77128">
        <w:rPr>
          <w:rFonts w:eastAsia="Times New Roman" w:cstheme="minorHAnsi"/>
          <w:kern w:val="0"/>
          <w:sz w:val="22"/>
          <w:szCs w:val="22"/>
        </w:rPr>
        <w:t xml:space="preserve"> </w:t>
      </w:r>
      <w:proofErr w:type="spellStart"/>
      <w:r w:rsidRPr="00A77128">
        <w:rPr>
          <w:rFonts w:eastAsia="Times New Roman" w:cstheme="minorHAnsi"/>
          <w:kern w:val="0"/>
          <w:sz w:val="22"/>
          <w:szCs w:val="22"/>
        </w:rPr>
        <w:t>Bharosa</w:t>
      </w:r>
      <w:proofErr w:type="spellEnd"/>
      <w:r w:rsidRPr="00A77128">
        <w:rPr>
          <w:rFonts w:eastAsia="Times New Roman" w:cstheme="minorHAnsi"/>
          <w:kern w:val="0"/>
          <w:sz w:val="22"/>
          <w:szCs w:val="22"/>
        </w:rPr>
        <w:t xml:space="preserve"> </w:t>
      </w:r>
      <w:proofErr w:type="spellStart"/>
      <w:r w:rsidRPr="00A77128">
        <w:rPr>
          <w:rFonts w:eastAsia="Times New Roman" w:cstheme="minorHAnsi"/>
          <w:kern w:val="0"/>
          <w:sz w:val="22"/>
          <w:szCs w:val="22"/>
        </w:rPr>
        <w:t>Kendras</w:t>
      </w:r>
      <w:proofErr w:type="spellEnd"/>
      <w:r w:rsidRPr="00A77128">
        <w:rPr>
          <w:rFonts w:eastAsia="Times New Roman" w:cstheme="minorHAnsi"/>
          <w:kern w:val="0"/>
          <w:sz w:val="22"/>
          <w:szCs w:val="22"/>
        </w:rPr>
        <w:t xml:space="preserve"> (RBKs): Test Development and Assessment." </w:t>
      </w:r>
      <w:r w:rsidRPr="00A77128">
        <w:rPr>
          <w:rFonts w:eastAsia="Times New Roman" w:cstheme="minorHAnsi"/>
          <w:i/>
          <w:iCs/>
          <w:kern w:val="0"/>
          <w:sz w:val="22"/>
          <w:szCs w:val="22"/>
        </w:rPr>
        <w:t>Society for Educational and Entrepreneurship Development (SEEA</w:t>
      </w:r>
      <w:proofErr w:type="gramStart"/>
      <w:r w:rsidRPr="00A77128">
        <w:rPr>
          <w:rFonts w:eastAsia="Times New Roman" w:cstheme="minorHAnsi"/>
          <w:i/>
          <w:iCs/>
          <w:kern w:val="0"/>
          <w:sz w:val="22"/>
          <w:szCs w:val="22"/>
        </w:rPr>
        <w:t>)</w:t>
      </w:r>
      <w:r w:rsidRPr="00A77128">
        <w:rPr>
          <w:rFonts w:eastAsia="Times New Roman" w:cstheme="minorHAnsi"/>
          <w:kern w:val="0"/>
          <w:sz w:val="22"/>
          <w:szCs w:val="22"/>
        </w:rPr>
        <w:t>.</w:t>
      </w:r>
      <w:r w:rsidR="00094F51" w:rsidRPr="00A77128">
        <w:rPr>
          <w:rFonts w:eastAsia="Times New Roman" w:cstheme="minorHAnsi"/>
          <w:color w:val="0070C0"/>
          <w:kern w:val="0"/>
          <w:sz w:val="22"/>
          <w:szCs w:val="22"/>
          <w:u w:val="single"/>
        </w:rPr>
        <w:t>DOI</w:t>
      </w:r>
      <w:proofErr w:type="gramEnd"/>
      <w:r w:rsidR="00094F51" w:rsidRPr="00A77128">
        <w:rPr>
          <w:rFonts w:eastAsia="Times New Roman" w:cstheme="minorHAnsi"/>
          <w:color w:val="0070C0"/>
          <w:kern w:val="0"/>
          <w:sz w:val="22"/>
          <w:szCs w:val="22"/>
          <w:u w:val="single"/>
        </w:rPr>
        <w:t xml:space="preserve"> </w:t>
      </w:r>
      <w:r w:rsidR="00094F51" w:rsidRPr="00A77128">
        <w:rPr>
          <w:rStyle w:val="Strong"/>
          <w:b w:val="0"/>
          <w:color w:val="0070C0"/>
          <w:u w:val="single"/>
        </w:rPr>
        <w:t>10.54986/</w:t>
      </w:r>
      <w:proofErr w:type="spellStart"/>
      <w:r w:rsidR="00094F51" w:rsidRPr="00A77128">
        <w:rPr>
          <w:rStyle w:val="Strong"/>
          <w:b w:val="0"/>
          <w:color w:val="0070C0"/>
          <w:u w:val="single"/>
        </w:rPr>
        <w:t>irjee</w:t>
      </w:r>
      <w:proofErr w:type="spellEnd"/>
      <w:r w:rsidR="00094F51" w:rsidRPr="00A77128">
        <w:rPr>
          <w:rStyle w:val="Strong"/>
          <w:b w:val="0"/>
          <w:color w:val="0070C0"/>
          <w:u w:val="single"/>
        </w:rPr>
        <w:t>/2024/</w:t>
      </w:r>
      <w:proofErr w:type="spellStart"/>
      <w:r w:rsidR="00094F51" w:rsidRPr="00A77128">
        <w:rPr>
          <w:rStyle w:val="Strong"/>
          <w:b w:val="0"/>
          <w:color w:val="0070C0"/>
          <w:u w:val="single"/>
        </w:rPr>
        <w:t>oct_dec</w:t>
      </w:r>
      <w:proofErr w:type="spellEnd"/>
      <w:r w:rsidR="00094F51" w:rsidRPr="00A77128">
        <w:rPr>
          <w:rStyle w:val="Strong"/>
          <w:b w:val="0"/>
          <w:color w:val="0070C0"/>
          <w:u w:val="single"/>
        </w:rPr>
        <w:t>/89-96</w:t>
      </w:r>
    </w:p>
    <w:p w:rsidR="00094F51" w:rsidRPr="00A77128" w:rsidRDefault="00094F51" w:rsidP="00A77128">
      <w:pPr>
        <w:pStyle w:val="ListParagraph"/>
        <w:shd w:val="clear" w:color="auto" w:fill="FFFFFF" w:themeFill="background1"/>
        <w:spacing w:after="0" w:line="240" w:lineRule="auto"/>
        <w:jc w:val="both"/>
        <w:rPr>
          <w:rFonts w:eastAsia="Times New Roman" w:cstheme="minorHAnsi"/>
          <w:kern w:val="0"/>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0000" w:themeColor="text1"/>
          <w:sz w:val="22"/>
          <w:szCs w:val="22"/>
        </w:rPr>
      </w:pPr>
      <w:proofErr w:type="spellStart"/>
      <w:r w:rsidRPr="00A77128">
        <w:rPr>
          <w:rFonts w:cstheme="minorHAnsi"/>
          <w:color w:val="000000" w:themeColor="text1"/>
          <w:sz w:val="22"/>
          <w:szCs w:val="22"/>
        </w:rPr>
        <w:t>Michail</w:t>
      </w:r>
      <w:proofErr w:type="spellEnd"/>
      <w:r w:rsidRPr="00A77128">
        <w:rPr>
          <w:rFonts w:cstheme="minorHAnsi"/>
          <w:color w:val="000000" w:themeColor="text1"/>
          <w:sz w:val="22"/>
          <w:szCs w:val="22"/>
        </w:rPr>
        <w:t xml:space="preserve">, A. 2005. Recommendations for an Effective Intelligence Reporting System Marketing Intelligence Dept., A quick market intelligence (QMI) process, </w:t>
      </w:r>
      <w:proofErr w:type="spellStart"/>
      <w:r w:rsidRPr="00A77128">
        <w:rPr>
          <w:rFonts w:cstheme="minorHAnsi"/>
          <w:color w:val="000000" w:themeColor="text1"/>
          <w:sz w:val="22"/>
          <w:szCs w:val="22"/>
        </w:rPr>
        <w:t>Baxi</w:t>
      </w:r>
      <w:proofErr w:type="spellEnd"/>
      <w:r w:rsidRPr="00A77128">
        <w:rPr>
          <w:rFonts w:cstheme="minorHAnsi"/>
          <w:color w:val="000000" w:themeColor="text1"/>
          <w:sz w:val="22"/>
          <w:szCs w:val="22"/>
        </w:rPr>
        <w:t xml:space="preserve"> Potterton, 14 January 2005.</w:t>
      </w:r>
    </w:p>
    <w:p w:rsidR="00FE749F" w:rsidRPr="00A77128" w:rsidRDefault="00FE749F" w:rsidP="00A77128">
      <w:pPr>
        <w:shd w:val="clear" w:color="auto" w:fill="FFFFFF" w:themeFill="background1"/>
        <w:spacing w:after="0" w:line="240" w:lineRule="auto"/>
        <w:jc w:val="both"/>
        <w:rPr>
          <w:rFonts w:cstheme="minorHAnsi"/>
          <w:color w:val="1F1F1F"/>
          <w:sz w:val="22"/>
          <w:szCs w:val="22"/>
          <w:shd w:val="clear" w:color="auto" w:fill="E9EEF6"/>
        </w:rPr>
      </w:pPr>
    </w:p>
    <w:p w:rsidR="00FE749F" w:rsidRPr="00A77128" w:rsidRDefault="00FE749F" w:rsidP="00A77128">
      <w:pPr>
        <w:pStyle w:val="ListParagraph"/>
        <w:numPr>
          <w:ilvl w:val="0"/>
          <w:numId w:val="8"/>
        </w:numPr>
        <w:shd w:val="clear" w:color="auto" w:fill="FFFFFF" w:themeFill="background1"/>
        <w:spacing w:after="0" w:line="240" w:lineRule="auto"/>
        <w:jc w:val="both"/>
        <w:rPr>
          <w:rStyle w:val="citation-47"/>
          <w:rFonts w:cstheme="minorHAnsi"/>
          <w:color w:val="0070C0"/>
          <w:sz w:val="22"/>
          <w:szCs w:val="22"/>
          <w:u w:val="single"/>
        </w:rPr>
      </w:pPr>
      <w:r w:rsidRPr="00A77128">
        <w:rPr>
          <w:rFonts w:cstheme="minorHAnsi"/>
          <w:color w:val="1F1F1F"/>
          <w:sz w:val="22"/>
          <w:szCs w:val="22"/>
          <w:shd w:val="clear" w:color="auto" w:fill="FFFFFF" w:themeFill="background1"/>
        </w:rPr>
        <w:t xml:space="preserve">Ravi Kumar, K. N., </w:t>
      </w:r>
      <w:proofErr w:type="spellStart"/>
      <w:r w:rsidRPr="00A77128">
        <w:rPr>
          <w:rFonts w:cstheme="minorHAnsi"/>
          <w:color w:val="1F1F1F"/>
          <w:sz w:val="22"/>
          <w:szCs w:val="22"/>
          <w:shd w:val="clear" w:color="auto" w:fill="FFFFFF" w:themeFill="background1"/>
        </w:rPr>
        <w:t>Shafiwu</w:t>
      </w:r>
      <w:proofErr w:type="spellEnd"/>
      <w:r w:rsidRPr="00A77128">
        <w:rPr>
          <w:rFonts w:cstheme="minorHAnsi"/>
          <w:color w:val="1F1F1F"/>
          <w:sz w:val="22"/>
          <w:szCs w:val="22"/>
          <w:shd w:val="clear" w:color="auto" w:fill="FFFFFF" w:themeFill="background1"/>
        </w:rPr>
        <w:t xml:space="preserve">, A. B., &amp; Mahama, I. (2025). "Economic impact of </w:t>
      </w:r>
      <w:proofErr w:type="spellStart"/>
      <w:r w:rsidRPr="00A77128">
        <w:rPr>
          <w:rFonts w:cstheme="minorHAnsi"/>
          <w:color w:val="1F1F1F"/>
          <w:sz w:val="22"/>
          <w:szCs w:val="22"/>
          <w:shd w:val="clear" w:color="auto" w:fill="FFFFFF" w:themeFill="background1"/>
        </w:rPr>
        <w:t>Rythu</w:t>
      </w:r>
      <w:proofErr w:type="spellEnd"/>
      <w:r w:rsidRPr="00A77128">
        <w:rPr>
          <w:rFonts w:cstheme="minorHAnsi"/>
          <w:color w:val="1F1F1F"/>
          <w:sz w:val="22"/>
          <w:szCs w:val="22"/>
          <w:shd w:val="clear" w:color="auto" w:fill="FFFFFF" w:themeFill="background1"/>
        </w:rPr>
        <w:t xml:space="preserve"> </w:t>
      </w:r>
      <w:proofErr w:type="spellStart"/>
      <w:r w:rsidRPr="00A77128">
        <w:rPr>
          <w:rFonts w:cstheme="minorHAnsi"/>
          <w:color w:val="1F1F1F"/>
          <w:sz w:val="22"/>
          <w:szCs w:val="22"/>
          <w:shd w:val="clear" w:color="auto" w:fill="FFFFFF" w:themeFill="background1"/>
        </w:rPr>
        <w:t>Bharosa</w:t>
      </w:r>
      <w:proofErr w:type="spellEnd"/>
      <w:r w:rsidRPr="00A77128">
        <w:rPr>
          <w:rFonts w:cstheme="minorHAnsi"/>
          <w:color w:val="1F1F1F"/>
          <w:sz w:val="22"/>
          <w:szCs w:val="22"/>
          <w:shd w:val="clear" w:color="auto" w:fill="FFFFFF" w:themeFill="background1"/>
        </w:rPr>
        <w:t xml:space="preserve"> </w:t>
      </w:r>
      <w:proofErr w:type="spellStart"/>
      <w:r w:rsidRPr="00A77128">
        <w:rPr>
          <w:rFonts w:cstheme="minorHAnsi"/>
          <w:color w:val="1F1F1F"/>
          <w:sz w:val="22"/>
          <w:szCs w:val="22"/>
          <w:shd w:val="clear" w:color="auto" w:fill="FFFFFF" w:themeFill="background1"/>
        </w:rPr>
        <w:t>Kendras</w:t>
      </w:r>
      <w:proofErr w:type="spellEnd"/>
      <w:r w:rsidRPr="00A77128">
        <w:rPr>
          <w:rFonts w:cstheme="minorHAnsi"/>
          <w:color w:val="1F1F1F"/>
          <w:sz w:val="22"/>
          <w:szCs w:val="22"/>
          <w:shd w:val="clear" w:color="auto" w:fill="FFFFFF" w:themeFill="background1"/>
        </w:rPr>
        <w:t xml:space="preserve"> (RBKs) in Andhra Pradesh, India." SN Business &amp; Economics, 5(1) </w:t>
      </w:r>
      <w:r w:rsidRPr="00A77128">
        <w:rPr>
          <w:rStyle w:val="citation-47"/>
          <w:rFonts w:cstheme="minorHAnsi"/>
          <w:bCs/>
          <w:color w:val="0070C0"/>
          <w:sz w:val="22"/>
          <w:szCs w:val="22"/>
          <w:u w:val="single"/>
          <w:shd w:val="clear" w:color="auto" w:fill="FFFFFF" w:themeFill="background1"/>
        </w:rPr>
        <w:t>DOI:</w:t>
      </w:r>
      <w:r w:rsidRPr="00A77128">
        <w:rPr>
          <w:rStyle w:val="citation-47"/>
          <w:rFonts w:cstheme="minorHAnsi"/>
          <w:color w:val="0070C0"/>
          <w:sz w:val="22"/>
          <w:szCs w:val="22"/>
          <w:u w:val="single"/>
        </w:rPr>
        <w:t xml:space="preserve"> 10.1007/s43546-024-00775-7</w:t>
      </w:r>
      <w:r w:rsidR="00094F51" w:rsidRPr="00A77128">
        <w:rPr>
          <w:rStyle w:val="citation-47"/>
          <w:rFonts w:cstheme="minorHAnsi"/>
          <w:color w:val="0070C0"/>
          <w:sz w:val="22"/>
          <w:szCs w:val="22"/>
          <w:u w:val="single"/>
        </w:rPr>
        <w:t xml:space="preserve"> </w:t>
      </w:r>
    </w:p>
    <w:p w:rsidR="00FE749F" w:rsidRPr="00A77128" w:rsidRDefault="00FE749F" w:rsidP="00A77128">
      <w:pPr>
        <w:shd w:val="clear" w:color="auto" w:fill="FFFFFF" w:themeFill="background1"/>
        <w:autoSpaceDE w:val="0"/>
        <w:autoSpaceDN w:val="0"/>
        <w:adjustRightInd w:val="0"/>
        <w:spacing w:after="0" w:line="240" w:lineRule="auto"/>
        <w:jc w:val="both"/>
        <w:rPr>
          <w:rFonts w:cstheme="minorHAnsi"/>
          <w:color w:val="000000" w:themeColor="text1"/>
          <w:sz w:val="22"/>
          <w:szCs w:val="22"/>
          <w:lang w:val="en-IN" w:bidi="te-IN"/>
        </w:rPr>
      </w:pPr>
    </w:p>
    <w:p w:rsidR="00FE749F" w:rsidRPr="00A77128" w:rsidRDefault="00FE749F" w:rsidP="00A77128">
      <w:pPr>
        <w:pStyle w:val="ListParagraph"/>
        <w:numPr>
          <w:ilvl w:val="0"/>
          <w:numId w:val="8"/>
        </w:numPr>
        <w:shd w:val="clear" w:color="auto" w:fill="FFFFFF" w:themeFill="background1"/>
        <w:autoSpaceDE w:val="0"/>
        <w:autoSpaceDN w:val="0"/>
        <w:adjustRightInd w:val="0"/>
        <w:spacing w:after="0" w:line="240" w:lineRule="auto"/>
        <w:jc w:val="both"/>
        <w:rPr>
          <w:rFonts w:cstheme="minorHAnsi"/>
          <w:color w:val="000000" w:themeColor="text1"/>
          <w:sz w:val="22"/>
          <w:szCs w:val="22"/>
          <w:lang w:val="en-IN" w:bidi="te-IN"/>
        </w:rPr>
      </w:pPr>
      <w:proofErr w:type="spellStart"/>
      <w:r w:rsidRPr="00A77128">
        <w:rPr>
          <w:rFonts w:cstheme="minorHAnsi"/>
          <w:color w:val="000000" w:themeColor="text1"/>
          <w:sz w:val="22"/>
          <w:szCs w:val="22"/>
          <w:lang w:val="en-IN" w:bidi="te-IN"/>
        </w:rPr>
        <w:t>Raghunadha</w:t>
      </w:r>
      <w:proofErr w:type="spellEnd"/>
      <w:r w:rsidRPr="00A77128">
        <w:rPr>
          <w:rFonts w:cstheme="minorHAnsi"/>
          <w:color w:val="000000" w:themeColor="text1"/>
          <w:sz w:val="22"/>
          <w:szCs w:val="22"/>
          <w:lang w:val="en-IN" w:bidi="te-IN"/>
        </w:rPr>
        <w:t xml:space="preserve"> Reddy G., </w:t>
      </w:r>
      <w:proofErr w:type="spellStart"/>
      <w:r w:rsidRPr="00A77128">
        <w:rPr>
          <w:rFonts w:cstheme="minorHAnsi"/>
          <w:color w:val="000000" w:themeColor="text1"/>
          <w:sz w:val="22"/>
          <w:szCs w:val="22"/>
          <w:lang w:val="en-IN" w:bidi="te-IN"/>
        </w:rPr>
        <w:t>Meher</w:t>
      </w:r>
      <w:proofErr w:type="spellEnd"/>
      <w:r w:rsidRPr="00A77128">
        <w:rPr>
          <w:rFonts w:cstheme="minorHAnsi"/>
          <w:color w:val="000000" w:themeColor="text1"/>
          <w:sz w:val="22"/>
          <w:szCs w:val="22"/>
          <w:lang w:val="en-IN" w:bidi="te-IN"/>
        </w:rPr>
        <w:t xml:space="preserve"> Gita B., Sneha </w:t>
      </w:r>
      <w:proofErr w:type="spellStart"/>
      <w:r w:rsidRPr="00A77128">
        <w:rPr>
          <w:rFonts w:cstheme="minorHAnsi"/>
          <w:color w:val="000000" w:themeColor="text1"/>
          <w:sz w:val="22"/>
          <w:szCs w:val="22"/>
          <w:lang w:val="en-IN" w:bidi="te-IN"/>
        </w:rPr>
        <w:t>Ketali</w:t>
      </w:r>
      <w:proofErr w:type="spellEnd"/>
      <w:r w:rsidRPr="00A77128">
        <w:rPr>
          <w:rFonts w:cstheme="minorHAnsi"/>
          <w:color w:val="000000" w:themeColor="text1"/>
          <w:sz w:val="22"/>
          <w:szCs w:val="22"/>
          <w:lang w:val="en-IN" w:bidi="te-IN"/>
        </w:rPr>
        <w:t xml:space="preserve"> S, and Chandrasekhar Reddy M., 2021, Impact of market intelligence on farm income in Krishna and Scarce rainfall zones of Andhra Pradesh, Indian Journal </w:t>
      </w:r>
      <w:proofErr w:type="gramStart"/>
      <w:r w:rsidRPr="00A77128">
        <w:rPr>
          <w:rFonts w:cstheme="minorHAnsi"/>
          <w:color w:val="000000" w:themeColor="text1"/>
          <w:sz w:val="22"/>
          <w:szCs w:val="22"/>
          <w:lang w:val="en-IN" w:bidi="te-IN"/>
        </w:rPr>
        <w:t>Of</w:t>
      </w:r>
      <w:proofErr w:type="gramEnd"/>
      <w:r w:rsidRPr="00A77128">
        <w:rPr>
          <w:rFonts w:cstheme="minorHAnsi"/>
          <w:color w:val="000000" w:themeColor="text1"/>
          <w:sz w:val="22"/>
          <w:szCs w:val="22"/>
          <w:lang w:val="en-IN" w:bidi="te-IN"/>
        </w:rPr>
        <w:t xml:space="preserve"> Agricultural Marketing, 35(2): 165-173.</w:t>
      </w:r>
    </w:p>
    <w:p w:rsidR="00FE749F" w:rsidRPr="00A77128" w:rsidRDefault="00FE749F" w:rsidP="00A77128">
      <w:pPr>
        <w:shd w:val="clear" w:color="auto" w:fill="FFFFFF" w:themeFill="background1"/>
        <w:autoSpaceDE w:val="0"/>
        <w:autoSpaceDN w:val="0"/>
        <w:adjustRightInd w:val="0"/>
        <w:spacing w:after="0" w:line="240" w:lineRule="auto"/>
        <w:jc w:val="both"/>
        <w:rPr>
          <w:rFonts w:cstheme="minorHAnsi"/>
          <w:color w:val="000000" w:themeColor="text1"/>
          <w:sz w:val="22"/>
          <w:szCs w:val="22"/>
          <w:lang w:val="en-IN" w:bidi="te-IN"/>
        </w:rPr>
      </w:pPr>
    </w:p>
    <w:p w:rsidR="00FE749F" w:rsidRPr="00A77128" w:rsidRDefault="00FE749F" w:rsidP="00A77128">
      <w:pPr>
        <w:pStyle w:val="query-text-line"/>
        <w:numPr>
          <w:ilvl w:val="0"/>
          <w:numId w:val="8"/>
        </w:numPr>
        <w:shd w:val="clear" w:color="auto" w:fill="FFFFFF" w:themeFill="background1"/>
        <w:spacing w:before="0" w:beforeAutospacing="0" w:after="0" w:afterAutospacing="0"/>
        <w:jc w:val="both"/>
        <w:rPr>
          <w:rFonts w:asciiTheme="minorHAnsi" w:hAnsiTheme="minorHAnsi" w:cstheme="minorHAnsi"/>
          <w:color w:val="1F1F1F"/>
          <w:sz w:val="22"/>
          <w:szCs w:val="22"/>
        </w:rPr>
      </w:pPr>
      <w:r w:rsidRPr="00A77128">
        <w:rPr>
          <w:rFonts w:asciiTheme="minorHAnsi" w:hAnsiTheme="minorHAnsi" w:cstheme="minorHAnsi"/>
          <w:color w:val="1F1F1F"/>
          <w:sz w:val="22"/>
          <w:szCs w:val="22"/>
        </w:rPr>
        <w:t>Reddy, G. R. (2023). "Market Intelligence and Value Chains for Commercial Farming." TR Journal / NIRCA, 49(2), 91-98.</w:t>
      </w:r>
    </w:p>
    <w:p w:rsidR="00FE749F" w:rsidRPr="00A77128" w:rsidRDefault="00FE749F" w:rsidP="00A77128">
      <w:pPr>
        <w:pStyle w:val="query-text-line"/>
        <w:shd w:val="clear" w:color="auto" w:fill="FFFFFF" w:themeFill="background1"/>
        <w:spacing w:before="0" w:beforeAutospacing="0" w:after="0" w:afterAutospacing="0"/>
        <w:jc w:val="both"/>
        <w:rPr>
          <w:rFonts w:asciiTheme="minorHAnsi" w:hAnsiTheme="minorHAnsi" w:cstheme="minorHAnsi"/>
          <w:color w:val="1F1F1F"/>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bCs/>
          <w:sz w:val="22"/>
          <w:szCs w:val="22"/>
        </w:rPr>
      </w:pPr>
      <w:r w:rsidRPr="00A77128">
        <w:rPr>
          <w:rFonts w:eastAsia="Times New Roman" w:cstheme="minorHAnsi"/>
          <w:bCs/>
          <w:kern w:val="0"/>
          <w:sz w:val="22"/>
          <w:szCs w:val="22"/>
        </w:rPr>
        <w:t>Reddy, A. D. (2023).</w:t>
      </w:r>
      <w:r w:rsidRPr="00A77128">
        <w:rPr>
          <w:rFonts w:eastAsia="Times New Roman" w:cstheme="minorHAnsi"/>
          <w:kern w:val="0"/>
          <w:sz w:val="22"/>
          <w:szCs w:val="22"/>
        </w:rPr>
        <w:t xml:space="preserve"> "A Study on Constraints and Suggestions About </w:t>
      </w:r>
      <w:proofErr w:type="spellStart"/>
      <w:r w:rsidRPr="00A77128">
        <w:rPr>
          <w:rFonts w:eastAsia="Times New Roman" w:cstheme="minorHAnsi"/>
          <w:kern w:val="0"/>
          <w:sz w:val="22"/>
          <w:szCs w:val="22"/>
        </w:rPr>
        <w:t>Rythu</w:t>
      </w:r>
      <w:proofErr w:type="spellEnd"/>
      <w:r w:rsidRPr="00A77128">
        <w:rPr>
          <w:rFonts w:eastAsia="Times New Roman" w:cstheme="minorHAnsi"/>
          <w:kern w:val="0"/>
          <w:sz w:val="22"/>
          <w:szCs w:val="22"/>
        </w:rPr>
        <w:t xml:space="preserve"> </w:t>
      </w:r>
      <w:proofErr w:type="spellStart"/>
      <w:r w:rsidRPr="00A77128">
        <w:rPr>
          <w:rFonts w:eastAsia="Times New Roman" w:cstheme="minorHAnsi"/>
          <w:kern w:val="0"/>
          <w:sz w:val="22"/>
          <w:szCs w:val="22"/>
        </w:rPr>
        <w:t>Bharosa</w:t>
      </w:r>
      <w:proofErr w:type="spellEnd"/>
      <w:r w:rsidRPr="00A77128">
        <w:rPr>
          <w:rFonts w:eastAsia="Times New Roman" w:cstheme="minorHAnsi"/>
          <w:kern w:val="0"/>
          <w:sz w:val="22"/>
          <w:szCs w:val="22"/>
        </w:rPr>
        <w:t xml:space="preserve"> </w:t>
      </w:r>
      <w:proofErr w:type="spellStart"/>
      <w:r w:rsidRPr="00A77128">
        <w:rPr>
          <w:rFonts w:eastAsia="Times New Roman" w:cstheme="minorHAnsi"/>
          <w:kern w:val="0"/>
          <w:sz w:val="22"/>
          <w:szCs w:val="22"/>
        </w:rPr>
        <w:t>Kendras</w:t>
      </w:r>
      <w:proofErr w:type="spellEnd"/>
      <w:r w:rsidRPr="00A77128">
        <w:rPr>
          <w:rFonts w:eastAsia="Times New Roman" w:cstheme="minorHAnsi"/>
          <w:kern w:val="0"/>
          <w:sz w:val="22"/>
          <w:szCs w:val="22"/>
        </w:rPr>
        <w:t xml:space="preserve"> (RBKs) Products and Services by the Beneficiary Farmers." </w:t>
      </w:r>
      <w:r w:rsidRPr="00A77128">
        <w:rPr>
          <w:rFonts w:eastAsia="Times New Roman" w:cstheme="minorHAnsi"/>
          <w:i/>
          <w:iCs/>
          <w:kern w:val="0"/>
          <w:sz w:val="22"/>
          <w:szCs w:val="22"/>
        </w:rPr>
        <w:t>SASAPJAS</w:t>
      </w:r>
      <w:r w:rsidRPr="00A77128">
        <w:rPr>
          <w:rFonts w:eastAsia="Times New Roman" w:cstheme="minorHAnsi"/>
          <w:kern w:val="0"/>
          <w:sz w:val="22"/>
          <w:szCs w:val="22"/>
        </w:rPr>
        <w:t>.</w:t>
      </w:r>
      <w:r w:rsidRPr="00A77128">
        <w:rPr>
          <w:rFonts w:cstheme="minorHAnsi"/>
          <w:bCs/>
          <w:sz w:val="22"/>
          <w:szCs w:val="22"/>
        </w:rPr>
        <w:t xml:space="preserve"> </w:t>
      </w:r>
    </w:p>
    <w:p w:rsidR="00FE749F" w:rsidRPr="00A77128" w:rsidRDefault="00FE749F" w:rsidP="00A77128">
      <w:pPr>
        <w:shd w:val="clear" w:color="auto" w:fill="FFFFFF" w:themeFill="background1"/>
        <w:spacing w:after="0" w:line="240" w:lineRule="auto"/>
        <w:jc w:val="both"/>
        <w:rPr>
          <w:rFonts w:cstheme="minorHAnsi"/>
          <w:bCs/>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eastAsia="Times New Roman" w:cstheme="minorHAnsi"/>
          <w:color w:val="0070C0"/>
          <w:kern w:val="0"/>
          <w:sz w:val="22"/>
          <w:szCs w:val="22"/>
          <w:u w:val="single"/>
        </w:rPr>
      </w:pPr>
      <w:r w:rsidRPr="00A77128">
        <w:rPr>
          <w:rFonts w:eastAsia="Times New Roman" w:cstheme="minorHAnsi"/>
          <w:color w:val="0D0D0D"/>
          <w:kern w:val="0"/>
          <w:sz w:val="22"/>
          <w:szCs w:val="22"/>
        </w:rPr>
        <w:t>Roy, D. (2022). </w:t>
      </w:r>
      <w:r w:rsidRPr="00A77128">
        <w:rPr>
          <w:rFonts w:eastAsia="Times New Roman" w:cstheme="minorHAnsi"/>
          <w:i/>
          <w:iCs/>
          <w:color w:val="0D0D0D"/>
          <w:kern w:val="0"/>
          <w:sz w:val="22"/>
          <w:szCs w:val="22"/>
        </w:rPr>
        <w:t>Agriculture Marketing in India: Perspectives on Reforms and Doubling Farmers’ Income.</w:t>
      </w:r>
      <w:r w:rsidRPr="00A77128">
        <w:rPr>
          <w:rFonts w:eastAsia="Times New Roman" w:cstheme="minorHAnsi"/>
          <w:color w:val="0D0D0D"/>
          <w:kern w:val="0"/>
          <w:sz w:val="22"/>
          <w:szCs w:val="22"/>
        </w:rPr>
        <w:t> Journal of Marketing Development and Competitiveness, 16(3).</w:t>
      </w:r>
      <w:r w:rsidR="00094F51" w:rsidRPr="00A77128">
        <w:rPr>
          <w:rFonts w:eastAsia="Times New Roman" w:cstheme="minorHAnsi"/>
          <w:color w:val="0D0D0D"/>
          <w:kern w:val="0"/>
          <w:sz w:val="22"/>
          <w:szCs w:val="22"/>
        </w:rPr>
        <w:t xml:space="preserve"> </w:t>
      </w:r>
      <w:r w:rsidR="005569E1" w:rsidRPr="00A77128">
        <w:rPr>
          <w:rFonts w:eastAsia="Times New Roman" w:cstheme="minorHAnsi"/>
          <w:color w:val="0D0D0D"/>
          <w:kern w:val="0"/>
          <w:sz w:val="22"/>
          <w:szCs w:val="22"/>
        </w:rPr>
        <w:t xml:space="preserve">                                     </w:t>
      </w:r>
      <w:r w:rsidR="00094F51" w:rsidRPr="00A77128">
        <w:rPr>
          <w:rStyle w:val="Strong"/>
          <w:b w:val="0"/>
          <w:color w:val="0070C0"/>
          <w:u w:val="single"/>
        </w:rPr>
        <w:t>DOI:</w:t>
      </w:r>
      <w:r w:rsidR="00094F51" w:rsidRPr="00A77128">
        <w:rPr>
          <w:color w:val="0070C0"/>
          <w:u w:val="single"/>
        </w:rPr>
        <w:t xml:space="preserve"> </w:t>
      </w:r>
      <w:r w:rsidR="00094F51" w:rsidRPr="00A77128">
        <w:rPr>
          <w:rStyle w:val="Strong"/>
          <w:b w:val="0"/>
          <w:color w:val="0070C0"/>
          <w:u w:val="single"/>
        </w:rPr>
        <w:t>10.33423/</w:t>
      </w:r>
      <w:proofErr w:type="gramStart"/>
      <w:r w:rsidR="00094F51" w:rsidRPr="00A77128">
        <w:rPr>
          <w:rStyle w:val="Strong"/>
          <w:b w:val="0"/>
          <w:color w:val="0070C0"/>
          <w:u w:val="single"/>
        </w:rPr>
        <w:t>jmdc.v</w:t>
      </w:r>
      <w:proofErr w:type="gramEnd"/>
      <w:r w:rsidR="00094F51" w:rsidRPr="00A77128">
        <w:rPr>
          <w:rStyle w:val="Strong"/>
          <w:b w:val="0"/>
          <w:color w:val="0070C0"/>
          <w:u w:val="single"/>
        </w:rPr>
        <w:t>16i3.5672</w:t>
      </w:r>
    </w:p>
    <w:p w:rsidR="00FE749F" w:rsidRPr="00A77128" w:rsidRDefault="00FE749F" w:rsidP="00A77128">
      <w:pPr>
        <w:shd w:val="clear" w:color="auto" w:fill="FFFFFF" w:themeFill="background1"/>
        <w:spacing w:after="0" w:line="240" w:lineRule="auto"/>
        <w:jc w:val="both"/>
        <w:rPr>
          <w:rFonts w:eastAsia="Times New Roman" w:cstheme="minorHAnsi"/>
          <w:color w:val="0D0D0D"/>
          <w:kern w:val="0"/>
          <w:sz w:val="22"/>
          <w:szCs w:val="22"/>
        </w:rPr>
      </w:pPr>
    </w:p>
    <w:p w:rsidR="00FE749F" w:rsidRPr="00A77128" w:rsidRDefault="00FE749F" w:rsidP="00A77128">
      <w:pPr>
        <w:pStyle w:val="ListParagraph"/>
        <w:numPr>
          <w:ilvl w:val="0"/>
          <w:numId w:val="8"/>
        </w:numPr>
        <w:spacing w:after="0" w:line="240" w:lineRule="auto"/>
        <w:jc w:val="both"/>
        <w:rPr>
          <w:rFonts w:eastAsia="Times New Roman" w:cstheme="minorHAnsi"/>
          <w:color w:val="0D0D0D"/>
          <w:kern w:val="0"/>
          <w:sz w:val="22"/>
          <w:szCs w:val="22"/>
        </w:rPr>
      </w:pPr>
      <w:r w:rsidRPr="00A77128">
        <w:rPr>
          <w:rFonts w:eastAsia="Times New Roman" w:cstheme="minorHAnsi"/>
          <w:color w:val="0D0D0D"/>
          <w:kern w:val="0"/>
          <w:sz w:val="22"/>
          <w:szCs w:val="22"/>
        </w:rPr>
        <w:t xml:space="preserve">Shrivastava, S., Pal, S. N., &amp; </w:t>
      </w:r>
      <w:proofErr w:type="spellStart"/>
      <w:r w:rsidRPr="00A77128">
        <w:rPr>
          <w:rFonts w:eastAsia="Times New Roman" w:cstheme="minorHAnsi"/>
          <w:color w:val="0D0D0D"/>
          <w:kern w:val="0"/>
          <w:sz w:val="22"/>
          <w:szCs w:val="22"/>
        </w:rPr>
        <w:t>Walia</w:t>
      </w:r>
      <w:proofErr w:type="spellEnd"/>
      <w:r w:rsidRPr="00A77128">
        <w:rPr>
          <w:rFonts w:eastAsia="Times New Roman" w:cstheme="minorHAnsi"/>
          <w:color w:val="0D0D0D"/>
          <w:kern w:val="0"/>
          <w:sz w:val="22"/>
          <w:szCs w:val="22"/>
        </w:rPr>
        <w:t>, R. (2019). </w:t>
      </w:r>
      <w:r w:rsidRPr="00A77128">
        <w:rPr>
          <w:rFonts w:eastAsia="Times New Roman" w:cstheme="minorHAnsi"/>
          <w:i/>
          <w:iCs/>
          <w:color w:val="0D0D0D"/>
          <w:kern w:val="0"/>
          <w:sz w:val="22"/>
          <w:szCs w:val="22"/>
        </w:rPr>
        <w:t>Market intelligence for agricultural commodities using forecasting and deep learning techniques.</w:t>
      </w:r>
      <w:r w:rsidRPr="00A77128">
        <w:rPr>
          <w:rFonts w:eastAsia="Times New Roman" w:cstheme="minorHAnsi"/>
          <w:color w:val="0D0D0D"/>
          <w:kern w:val="0"/>
          <w:sz w:val="22"/>
          <w:szCs w:val="22"/>
        </w:rPr>
        <w:t> In </w:t>
      </w:r>
      <w:r w:rsidRPr="00A77128">
        <w:rPr>
          <w:rFonts w:eastAsia="Times New Roman" w:cstheme="minorHAnsi"/>
          <w:i/>
          <w:iCs/>
          <w:color w:val="0D0D0D"/>
          <w:kern w:val="0"/>
          <w:sz w:val="22"/>
          <w:szCs w:val="22"/>
        </w:rPr>
        <w:t>Big Data Analytics</w:t>
      </w:r>
      <w:r w:rsidRPr="00A77128">
        <w:rPr>
          <w:rFonts w:eastAsia="Times New Roman" w:cstheme="minorHAnsi"/>
          <w:color w:val="0D0D0D"/>
          <w:kern w:val="0"/>
          <w:sz w:val="22"/>
          <w:szCs w:val="22"/>
        </w:rPr>
        <w:t> (Lecture Notes in Computer Science), Springer</w:t>
      </w:r>
      <w:r w:rsidR="00394A02" w:rsidRPr="00A77128">
        <w:rPr>
          <w:rFonts w:eastAsia="Times New Roman" w:cstheme="minorHAnsi"/>
          <w:color w:val="0D0D0D"/>
          <w:kern w:val="0"/>
          <w:sz w:val="22"/>
          <w:szCs w:val="22"/>
        </w:rPr>
        <w:t xml:space="preserve"> </w:t>
      </w:r>
      <w:r w:rsidR="00394A02" w:rsidRPr="00A77128">
        <w:rPr>
          <w:rFonts w:eastAsia="Times New Roman" w:cstheme="minorHAnsi"/>
          <w:color w:val="0070C0"/>
          <w:kern w:val="0"/>
          <w:sz w:val="22"/>
          <w:szCs w:val="22"/>
          <w:u w:val="single"/>
        </w:rPr>
        <w:t xml:space="preserve">DOI </w:t>
      </w:r>
      <w:r w:rsidR="00394A02" w:rsidRPr="00A77128">
        <w:rPr>
          <w:color w:val="0070C0"/>
          <w:u w:val="single"/>
        </w:rPr>
        <w:t>10.1007/978-3-030-37188-3_12</w:t>
      </w:r>
    </w:p>
    <w:p w:rsidR="00394A02" w:rsidRPr="00A77128" w:rsidRDefault="00394A02" w:rsidP="00A77128">
      <w:pPr>
        <w:spacing w:after="0" w:line="240" w:lineRule="auto"/>
        <w:jc w:val="both"/>
        <w:rPr>
          <w:rFonts w:eastAsia="Times New Roman" w:cstheme="minorHAnsi"/>
          <w:color w:val="0D0D0D"/>
          <w:kern w:val="0"/>
          <w:sz w:val="22"/>
          <w:szCs w:val="22"/>
        </w:rPr>
      </w:pPr>
    </w:p>
    <w:p w:rsidR="00FE749F" w:rsidRPr="00A77128" w:rsidRDefault="00FE749F" w:rsidP="00A77128">
      <w:pPr>
        <w:pStyle w:val="ListParagraph"/>
        <w:numPr>
          <w:ilvl w:val="0"/>
          <w:numId w:val="8"/>
        </w:numPr>
        <w:spacing w:after="0" w:line="240" w:lineRule="auto"/>
        <w:jc w:val="both"/>
        <w:rPr>
          <w:color w:val="0070C0"/>
          <w:u w:val="single"/>
        </w:rPr>
      </w:pPr>
      <w:r w:rsidRPr="00A77128">
        <w:t xml:space="preserve">Thakur (2025). </w:t>
      </w:r>
      <w:r w:rsidRPr="00A77128">
        <w:rPr>
          <w:rStyle w:val="Emphasis"/>
        </w:rPr>
        <w:t>Market accessibility and its impact on the agricultural income of farmers.</w:t>
      </w:r>
      <w:r w:rsidRPr="00A77128">
        <w:t xml:space="preserve"> </w:t>
      </w:r>
      <w:r w:rsidRPr="00A77128">
        <w:rPr>
          <w:rStyle w:val="Emphasis"/>
        </w:rPr>
        <w:t>Journal of Agribusiness in Developing and Emerging Economies</w:t>
      </w:r>
      <w:r w:rsidRPr="00A77128">
        <w:t xml:space="preserve">, </w:t>
      </w:r>
      <w:r w:rsidRPr="00A77128">
        <w:rPr>
          <w:rStyle w:val="Strong"/>
          <w:b w:val="0"/>
        </w:rPr>
        <w:t>Volume 15</w:t>
      </w:r>
      <w:r w:rsidRPr="00A77128">
        <w:t xml:space="preserve">, pages 1-17. </w:t>
      </w:r>
      <w:r w:rsidRPr="00A77128">
        <w:rPr>
          <w:color w:val="0070C0"/>
          <w:u w:val="single"/>
        </w:rPr>
        <w:t>https://doi.org/10.1108/jadee-12-2024-0431</w:t>
      </w:r>
    </w:p>
    <w:p w:rsidR="005764AD" w:rsidRPr="00A77128" w:rsidRDefault="005764AD" w:rsidP="0090333F">
      <w:pPr>
        <w:shd w:val="clear" w:color="auto" w:fill="FFFFFF" w:themeFill="background1"/>
        <w:spacing w:after="0" w:line="240" w:lineRule="auto"/>
        <w:jc w:val="both"/>
        <w:rPr>
          <w:rFonts w:cstheme="minorHAnsi"/>
          <w:sz w:val="22"/>
          <w:szCs w:val="22"/>
        </w:rPr>
      </w:pPr>
    </w:p>
    <w:p w:rsidR="005569E1" w:rsidRPr="00A77128" w:rsidRDefault="005569E1" w:rsidP="005569E1">
      <w:pPr>
        <w:shd w:val="clear" w:color="auto" w:fill="FFFFFF" w:themeFill="background1"/>
        <w:spacing w:after="0" w:line="240" w:lineRule="auto"/>
        <w:jc w:val="center"/>
        <w:rPr>
          <w:rFonts w:cstheme="minorHAnsi"/>
          <w:sz w:val="22"/>
          <w:szCs w:val="22"/>
        </w:rPr>
      </w:pPr>
      <w:r w:rsidRPr="00A77128">
        <w:rPr>
          <w:rFonts w:cstheme="minorHAnsi"/>
          <w:sz w:val="22"/>
          <w:szCs w:val="22"/>
        </w:rPr>
        <w:t>*****</w:t>
      </w:r>
    </w:p>
    <w:sectPr w:rsidR="005569E1" w:rsidRPr="00A77128" w:rsidSect="00A77128">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409" w:rsidRDefault="00B26409" w:rsidP="001211A9">
      <w:pPr>
        <w:spacing w:after="0" w:line="240" w:lineRule="auto"/>
      </w:pPr>
      <w:r>
        <w:separator/>
      </w:r>
    </w:p>
  </w:endnote>
  <w:endnote w:type="continuationSeparator" w:id="0">
    <w:p w:rsidR="00B26409" w:rsidRDefault="00B26409" w:rsidP="0012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485"/>
      <w:docPartObj>
        <w:docPartGallery w:val="Page Numbers (Bottom of Page)"/>
        <w:docPartUnique/>
      </w:docPartObj>
    </w:sdtPr>
    <w:sdtEndPr/>
    <w:sdtContent>
      <w:p w:rsidR="001211A9" w:rsidRDefault="00BF5BC9">
        <w:pPr>
          <w:pStyle w:val="Footer"/>
          <w:jc w:val="center"/>
          <w:rPr>
            <w:sz w:val="18"/>
          </w:rPr>
        </w:pPr>
        <w:r w:rsidRPr="001211A9">
          <w:rPr>
            <w:sz w:val="18"/>
          </w:rPr>
          <w:fldChar w:fldCharType="begin"/>
        </w:r>
        <w:r w:rsidR="001211A9" w:rsidRPr="001211A9">
          <w:rPr>
            <w:sz w:val="18"/>
          </w:rPr>
          <w:instrText xml:space="preserve"> PAGE   \* MERGEFORMAT </w:instrText>
        </w:r>
        <w:r w:rsidRPr="001211A9">
          <w:rPr>
            <w:sz w:val="18"/>
          </w:rPr>
          <w:fldChar w:fldCharType="separate"/>
        </w:r>
        <w:r w:rsidR="00B43D62">
          <w:rPr>
            <w:noProof/>
            <w:sz w:val="18"/>
          </w:rPr>
          <w:t>10</w:t>
        </w:r>
        <w:r w:rsidRPr="001211A9">
          <w:rPr>
            <w:sz w:val="18"/>
          </w:rPr>
          <w:fldChar w:fldCharType="end"/>
        </w:r>
      </w:p>
      <w:p w:rsidR="001211A9" w:rsidRDefault="00B26409">
        <w:pPr>
          <w:pStyle w:val="Footer"/>
          <w:jc w:val="center"/>
        </w:pPr>
      </w:p>
    </w:sdtContent>
  </w:sdt>
  <w:p w:rsidR="001211A9" w:rsidRDefault="0012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409" w:rsidRDefault="00B26409" w:rsidP="001211A9">
      <w:pPr>
        <w:spacing w:after="0" w:line="240" w:lineRule="auto"/>
      </w:pPr>
      <w:r>
        <w:separator/>
      </w:r>
    </w:p>
  </w:footnote>
  <w:footnote w:type="continuationSeparator" w:id="0">
    <w:p w:rsidR="00B26409" w:rsidRDefault="00B26409" w:rsidP="00121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59A"/>
    <w:multiLevelType w:val="multilevel"/>
    <w:tmpl w:val="270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B0865"/>
    <w:multiLevelType w:val="multilevel"/>
    <w:tmpl w:val="58DE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84B91"/>
    <w:multiLevelType w:val="multilevel"/>
    <w:tmpl w:val="665E82A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9C83DB8"/>
    <w:multiLevelType w:val="multilevel"/>
    <w:tmpl w:val="0E6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05F98"/>
    <w:multiLevelType w:val="multilevel"/>
    <w:tmpl w:val="4FF8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E3C7E"/>
    <w:multiLevelType w:val="multilevel"/>
    <w:tmpl w:val="C6263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24181"/>
    <w:multiLevelType w:val="hybridMultilevel"/>
    <w:tmpl w:val="794CFC20"/>
    <w:lvl w:ilvl="0" w:tplc="24E6E9C0">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616CD"/>
    <w:multiLevelType w:val="multilevel"/>
    <w:tmpl w:val="E566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0E83"/>
    <w:rsid w:val="000203A3"/>
    <w:rsid w:val="00094F51"/>
    <w:rsid w:val="000C305B"/>
    <w:rsid w:val="00120E83"/>
    <w:rsid w:val="001211A9"/>
    <w:rsid w:val="001706FF"/>
    <w:rsid w:val="001E08D3"/>
    <w:rsid w:val="002319BE"/>
    <w:rsid w:val="0027266F"/>
    <w:rsid w:val="00282C88"/>
    <w:rsid w:val="002E0C14"/>
    <w:rsid w:val="002E172E"/>
    <w:rsid w:val="00387FBC"/>
    <w:rsid w:val="00394A02"/>
    <w:rsid w:val="003C3CA6"/>
    <w:rsid w:val="004361C4"/>
    <w:rsid w:val="004769B3"/>
    <w:rsid w:val="00484D85"/>
    <w:rsid w:val="004E122B"/>
    <w:rsid w:val="004E22B4"/>
    <w:rsid w:val="004F0FD8"/>
    <w:rsid w:val="005569E1"/>
    <w:rsid w:val="005764AD"/>
    <w:rsid w:val="005A04F3"/>
    <w:rsid w:val="005B7F1A"/>
    <w:rsid w:val="005D116E"/>
    <w:rsid w:val="00640F66"/>
    <w:rsid w:val="00670DD8"/>
    <w:rsid w:val="0071032F"/>
    <w:rsid w:val="007237E9"/>
    <w:rsid w:val="00747152"/>
    <w:rsid w:val="007F1274"/>
    <w:rsid w:val="00804DA8"/>
    <w:rsid w:val="008C55D9"/>
    <w:rsid w:val="0090333F"/>
    <w:rsid w:val="00963483"/>
    <w:rsid w:val="00984FB8"/>
    <w:rsid w:val="00A77128"/>
    <w:rsid w:val="00A920A2"/>
    <w:rsid w:val="00AF430C"/>
    <w:rsid w:val="00B21F13"/>
    <w:rsid w:val="00B26409"/>
    <w:rsid w:val="00B43D62"/>
    <w:rsid w:val="00B442E7"/>
    <w:rsid w:val="00B44F8E"/>
    <w:rsid w:val="00B738BA"/>
    <w:rsid w:val="00BF5BC9"/>
    <w:rsid w:val="00C55B96"/>
    <w:rsid w:val="00D24E50"/>
    <w:rsid w:val="00D3692F"/>
    <w:rsid w:val="00D835C1"/>
    <w:rsid w:val="00DC5246"/>
    <w:rsid w:val="00E25989"/>
    <w:rsid w:val="00EB00D8"/>
    <w:rsid w:val="00F15ADB"/>
    <w:rsid w:val="00FD00E8"/>
    <w:rsid w:val="00FD47AD"/>
    <w:rsid w:val="00FE25A8"/>
    <w:rsid w:val="00FE3CDB"/>
    <w:rsid w:val="00FE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F64E9-CDC6-4061-9ED0-6CA53567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72E"/>
  </w:style>
  <w:style w:type="paragraph" w:styleId="Heading3">
    <w:name w:val="heading 3"/>
    <w:basedOn w:val="Normal"/>
    <w:link w:val="Heading3Char"/>
    <w:uiPriority w:val="9"/>
    <w:qFormat/>
    <w:rsid w:val="00DC5246"/>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0E83"/>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59"/>
    <w:rsid w:val="00DC5246"/>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C5246"/>
    <w:rPr>
      <w:rFonts w:ascii="Times New Roman" w:eastAsia="Times New Roman" w:hAnsi="Times New Roman" w:cs="Times New Roman"/>
      <w:b/>
      <w:bCs/>
      <w:kern w:val="0"/>
      <w:sz w:val="27"/>
      <w:szCs w:val="27"/>
    </w:rPr>
  </w:style>
  <w:style w:type="character" w:styleId="Strong">
    <w:name w:val="Strong"/>
    <w:basedOn w:val="DefaultParagraphFont"/>
    <w:uiPriority w:val="22"/>
    <w:qFormat/>
    <w:rsid w:val="00DC5246"/>
    <w:rPr>
      <w:b/>
      <w:bCs/>
    </w:rPr>
  </w:style>
  <w:style w:type="paragraph" w:styleId="ListParagraph">
    <w:name w:val="List Paragraph"/>
    <w:basedOn w:val="Normal"/>
    <w:uiPriority w:val="34"/>
    <w:qFormat/>
    <w:rsid w:val="00282C88"/>
    <w:pPr>
      <w:ind w:left="720"/>
      <w:contextualSpacing/>
    </w:pPr>
  </w:style>
  <w:style w:type="character" w:styleId="Emphasis">
    <w:name w:val="Emphasis"/>
    <w:basedOn w:val="DefaultParagraphFont"/>
    <w:uiPriority w:val="20"/>
    <w:qFormat/>
    <w:rsid w:val="007237E9"/>
    <w:rPr>
      <w:i/>
      <w:iCs/>
    </w:rPr>
  </w:style>
  <w:style w:type="character" w:styleId="Hyperlink">
    <w:name w:val="Hyperlink"/>
    <w:basedOn w:val="DefaultParagraphFont"/>
    <w:uiPriority w:val="99"/>
    <w:unhideWhenUsed/>
    <w:rsid w:val="007237E9"/>
    <w:rPr>
      <w:color w:val="0563C1" w:themeColor="hyperlink"/>
      <w:u w:val="single"/>
    </w:rPr>
  </w:style>
  <w:style w:type="paragraph" w:customStyle="1" w:styleId="query-text-line">
    <w:name w:val="query-text-line"/>
    <w:basedOn w:val="Normal"/>
    <w:rsid w:val="00AF430C"/>
    <w:pPr>
      <w:spacing w:before="100" w:beforeAutospacing="1" w:after="100" w:afterAutospacing="1" w:line="240" w:lineRule="auto"/>
    </w:pPr>
    <w:rPr>
      <w:rFonts w:ascii="Times New Roman" w:eastAsia="Times New Roman" w:hAnsi="Times New Roman" w:cs="Times New Roman"/>
      <w:kern w:val="0"/>
    </w:rPr>
  </w:style>
  <w:style w:type="character" w:customStyle="1" w:styleId="citation-47">
    <w:name w:val="citation-47"/>
    <w:basedOn w:val="DefaultParagraphFont"/>
    <w:rsid w:val="0027266F"/>
  </w:style>
  <w:style w:type="character" w:customStyle="1" w:styleId="citation-77">
    <w:name w:val="citation-77"/>
    <w:basedOn w:val="DefaultParagraphFont"/>
    <w:rsid w:val="005764AD"/>
  </w:style>
  <w:style w:type="character" w:customStyle="1" w:styleId="citation-75">
    <w:name w:val="citation-75"/>
    <w:basedOn w:val="DefaultParagraphFont"/>
    <w:rsid w:val="005764AD"/>
  </w:style>
  <w:style w:type="character" w:customStyle="1" w:styleId="citation-105">
    <w:name w:val="citation-105"/>
    <w:basedOn w:val="DefaultParagraphFont"/>
    <w:rsid w:val="00E25989"/>
  </w:style>
  <w:style w:type="character" w:customStyle="1" w:styleId="citation-104">
    <w:name w:val="citation-104"/>
    <w:basedOn w:val="DefaultParagraphFont"/>
    <w:rsid w:val="00E25989"/>
  </w:style>
  <w:style w:type="paragraph" w:styleId="BalloonText">
    <w:name w:val="Balloon Text"/>
    <w:basedOn w:val="Normal"/>
    <w:link w:val="BalloonTextChar"/>
    <w:uiPriority w:val="99"/>
    <w:semiHidden/>
    <w:unhideWhenUsed/>
    <w:rsid w:val="00640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F66"/>
    <w:rPr>
      <w:rFonts w:ascii="Tahoma" w:hAnsi="Tahoma" w:cs="Tahoma"/>
      <w:sz w:val="16"/>
      <w:szCs w:val="16"/>
    </w:rPr>
  </w:style>
  <w:style w:type="paragraph" w:styleId="Header">
    <w:name w:val="header"/>
    <w:basedOn w:val="Normal"/>
    <w:link w:val="HeaderChar"/>
    <w:uiPriority w:val="99"/>
    <w:semiHidden/>
    <w:unhideWhenUsed/>
    <w:rsid w:val="00121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11A9"/>
  </w:style>
  <w:style w:type="paragraph" w:styleId="Footer">
    <w:name w:val="footer"/>
    <w:basedOn w:val="Normal"/>
    <w:link w:val="FooterChar"/>
    <w:uiPriority w:val="99"/>
    <w:unhideWhenUsed/>
    <w:rsid w:val="00121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20094">
      <w:bodyDiv w:val="1"/>
      <w:marLeft w:val="0"/>
      <w:marRight w:val="0"/>
      <w:marTop w:val="0"/>
      <w:marBottom w:val="0"/>
      <w:divBdr>
        <w:top w:val="none" w:sz="0" w:space="0" w:color="auto"/>
        <w:left w:val="none" w:sz="0" w:space="0" w:color="auto"/>
        <w:bottom w:val="none" w:sz="0" w:space="0" w:color="auto"/>
        <w:right w:val="none" w:sz="0" w:space="0" w:color="auto"/>
      </w:divBdr>
    </w:div>
    <w:div w:id="781723939">
      <w:bodyDiv w:val="1"/>
      <w:marLeft w:val="0"/>
      <w:marRight w:val="0"/>
      <w:marTop w:val="0"/>
      <w:marBottom w:val="0"/>
      <w:divBdr>
        <w:top w:val="none" w:sz="0" w:space="0" w:color="auto"/>
        <w:left w:val="none" w:sz="0" w:space="0" w:color="auto"/>
        <w:bottom w:val="none" w:sz="0" w:space="0" w:color="auto"/>
        <w:right w:val="none" w:sz="0" w:space="0" w:color="auto"/>
      </w:divBdr>
    </w:div>
    <w:div w:id="805968273">
      <w:bodyDiv w:val="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3302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5470">
      <w:bodyDiv w:val="1"/>
      <w:marLeft w:val="0"/>
      <w:marRight w:val="0"/>
      <w:marTop w:val="0"/>
      <w:marBottom w:val="0"/>
      <w:divBdr>
        <w:top w:val="none" w:sz="0" w:space="0" w:color="auto"/>
        <w:left w:val="none" w:sz="0" w:space="0" w:color="auto"/>
        <w:bottom w:val="none" w:sz="0" w:space="0" w:color="auto"/>
        <w:right w:val="none" w:sz="0" w:space="0" w:color="auto"/>
      </w:divBdr>
    </w:div>
    <w:div w:id="1059481062">
      <w:bodyDiv w:val="1"/>
      <w:marLeft w:val="0"/>
      <w:marRight w:val="0"/>
      <w:marTop w:val="0"/>
      <w:marBottom w:val="0"/>
      <w:divBdr>
        <w:top w:val="none" w:sz="0" w:space="0" w:color="auto"/>
        <w:left w:val="none" w:sz="0" w:space="0" w:color="auto"/>
        <w:bottom w:val="none" w:sz="0" w:space="0" w:color="auto"/>
        <w:right w:val="none" w:sz="0" w:space="0" w:color="auto"/>
      </w:divBdr>
    </w:div>
    <w:div w:id="1200968098">
      <w:bodyDiv w:val="1"/>
      <w:marLeft w:val="0"/>
      <w:marRight w:val="0"/>
      <w:marTop w:val="0"/>
      <w:marBottom w:val="0"/>
      <w:divBdr>
        <w:top w:val="none" w:sz="0" w:space="0" w:color="auto"/>
        <w:left w:val="none" w:sz="0" w:space="0" w:color="auto"/>
        <w:bottom w:val="none" w:sz="0" w:space="0" w:color="auto"/>
        <w:right w:val="none" w:sz="0" w:space="0" w:color="auto"/>
      </w:divBdr>
      <w:divsChild>
        <w:div w:id="1738939396">
          <w:marLeft w:val="0"/>
          <w:marRight w:val="0"/>
          <w:marTop w:val="0"/>
          <w:marBottom w:val="0"/>
          <w:divBdr>
            <w:top w:val="none" w:sz="0" w:space="0" w:color="auto"/>
            <w:left w:val="none" w:sz="0" w:space="0" w:color="auto"/>
            <w:bottom w:val="none" w:sz="0" w:space="0" w:color="auto"/>
            <w:right w:val="none" w:sz="0" w:space="0" w:color="auto"/>
          </w:divBdr>
          <w:divsChild>
            <w:div w:id="11850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9455">
      <w:bodyDiv w:val="1"/>
      <w:marLeft w:val="0"/>
      <w:marRight w:val="0"/>
      <w:marTop w:val="0"/>
      <w:marBottom w:val="0"/>
      <w:divBdr>
        <w:top w:val="none" w:sz="0" w:space="0" w:color="auto"/>
        <w:left w:val="none" w:sz="0" w:space="0" w:color="auto"/>
        <w:bottom w:val="none" w:sz="0" w:space="0" w:color="auto"/>
        <w:right w:val="none" w:sz="0" w:space="0" w:color="auto"/>
      </w:divBdr>
    </w:div>
    <w:div w:id="14218355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158">
          <w:marLeft w:val="0"/>
          <w:marRight w:val="0"/>
          <w:marTop w:val="0"/>
          <w:marBottom w:val="0"/>
          <w:divBdr>
            <w:top w:val="none" w:sz="0" w:space="0" w:color="auto"/>
            <w:left w:val="none" w:sz="0" w:space="0" w:color="auto"/>
            <w:bottom w:val="none" w:sz="0" w:space="0" w:color="auto"/>
            <w:right w:val="none" w:sz="0" w:space="0" w:color="auto"/>
          </w:divBdr>
          <w:divsChild>
            <w:div w:id="1548685568">
              <w:marLeft w:val="0"/>
              <w:marRight w:val="0"/>
              <w:marTop w:val="0"/>
              <w:marBottom w:val="0"/>
              <w:divBdr>
                <w:top w:val="none" w:sz="0" w:space="0" w:color="auto"/>
                <w:left w:val="none" w:sz="0" w:space="0" w:color="auto"/>
                <w:bottom w:val="none" w:sz="0" w:space="0" w:color="auto"/>
                <w:right w:val="none" w:sz="0" w:space="0" w:color="auto"/>
              </w:divBdr>
            </w:div>
          </w:divsChild>
        </w:div>
        <w:div w:id="310840116">
          <w:marLeft w:val="0"/>
          <w:marRight w:val="0"/>
          <w:marTop w:val="0"/>
          <w:marBottom w:val="0"/>
          <w:divBdr>
            <w:top w:val="none" w:sz="0" w:space="0" w:color="auto"/>
            <w:left w:val="none" w:sz="0" w:space="0" w:color="auto"/>
            <w:bottom w:val="none" w:sz="0" w:space="0" w:color="auto"/>
            <w:right w:val="none" w:sz="0" w:space="0" w:color="auto"/>
          </w:divBdr>
          <w:divsChild>
            <w:div w:id="4257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7361">
      <w:bodyDiv w:val="1"/>
      <w:marLeft w:val="0"/>
      <w:marRight w:val="0"/>
      <w:marTop w:val="0"/>
      <w:marBottom w:val="0"/>
      <w:divBdr>
        <w:top w:val="none" w:sz="0" w:space="0" w:color="auto"/>
        <w:left w:val="none" w:sz="0" w:space="0" w:color="auto"/>
        <w:bottom w:val="none" w:sz="0" w:space="0" w:color="auto"/>
        <w:right w:val="none" w:sz="0" w:space="0" w:color="auto"/>
      </w:divBdr>
    </w:div>
    <w:div w:id="1769618833">
      <w:bodyDiv w:val="1"/>
      <w:marLeft w:val="0"/>
      <w:marRight w:val="0"/>
      <w:marTop w:val="0"/>
      <w:marBottom w:val="0"/>
      <w:divBdr>
        <w:top w:val="none" w:sz="0" w:space="0" w:color="auto"/>
        <w:left w:val="none" w:sz="0" w:space="0" w:color="auto"/>
        <w:bottom w:val="none" w:sz="0" w:space="0" w:color="auto"/>
        <w:right w:val="none" w:sz="0" w:space="0" w:color="auto"/>
      </w:divBdr>
    </w:div>
    <w:div w:id="1883400973">
      <w:bodyDiv w:val="1"/>
      <w:marLeft w:val="0"/>
      <w:marRight w:val="0"/>
      <w:marTop w:val="0"/>
      <w:marBottom w:val="0"/>
      <w:divBdr>
        <w:top w:val="none" w:sz="0" w:space="0" w:color="auto"/>
        <w:left w:val="none" w:sz="0" w:space="0" w:color="auto"/>
        <w:bottom w:val="none" w:sz="0" w:space="0" w:color="auto"/>
        <w:right w:val="none" w:sz="0" w:space="0" w:color="auto"/>
      </w:divBdr>
    </w:div>
    <w:div w:id="1901287711">
      <w:bodyDiv w:val="1"/>
      <w:marLeft w:val="0"/>
      <w:marRight w:val="0"/>
      <w:marTop w:val="0"/>
      <w:marBottom w:val="0"/>
      <w:divBdr>
        <w:top w:val="none" w:sz="0" w:space="0" w:color="auto"/>
        <w:left w:val="none" w:sz="0" w:space="0" w:color="auto"/>
        <w:bottom w:val="none" w:sz="0" w:space="0" w:color="auto"/>
        <w:right w:val="none" w:sz="0" w:space="0" w:color="auto"/>
      </w:divBdr>
    </w:div>
    <w:div w:id="1931624371">
      <w:bodyDiv w:val="1"/>
      <w:marLeft w:val="0"/>
      <w:marRight w:val="0"/>
      <w:marTop w:val="0"/>
      <w:marBottom w:val="0"/>
      <w:divBdr>
        <w:top w:val="none" w:sz="0" w:space="0" w:color="auto"/>
        <w:left w:val="none" w:sz="0" w:space="0" w:color="auto"/>
        <w:bottom w:val="none" w:sz="0" w:space="0" w:color="auto"/>
        <w:right w:val="none" w:sz="0" w:space="0" w:color="auto"/>
      </w:divBdr>
    </w:div>
    <w:div w:id="1967539110">
      <w:bodyDiv w:val="1"/>
      <w:marLeft w:val="0"/>
      <w:marRight w:val="0"/>
      <w:marTop w:val="0"/>
      <w:marBottom w:val="0"/>
      <w:divBdr>
        <w:top w:val="none" w:sz="0" w:space="0" w:color="auto"/>
        <w:left w:val="none" w:sz="0" w:space="0" w:color="auto"/>
        <w:bottom w:val="none" w:sz="0" w:space="0" w:color="auto"/>
        <w:right w:val="none" w:sz="0" w:space="0" w:color="auto"/>
      </w:divBdr>
    </w:div>
    <w:div w:id="2114786569">
      <w:bodyDiv w:val="1"/>
      <w:marLeft w:val="0"/>
      <w:marRight w:val="0"/>
      <w:marTop w:val="0"/>
      <w:marBottom w:val="0"/>
      <w:divBdr>
        <w:top w:val="none" w:sz="0" w:space="0" w:color="auto"/>
        <w:left w:val="none" w:sz="0" w:space="0" w:color="auto"/>
        <w:bottom w:val="none" w:sz="0" w:space="0" w:color="auto"/>
        <w:right w:val="none" w:sz="0" w:space="0" w:color="auto"/>
      </w:divBdr>
    </w:div>
    <w:div w:id="21204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cri/2025/v25i101553"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2binternatio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Sheet1!$B$17</c:f>
              <c:strCache>
                <c:ptCount val="1"/>
                <c:pt idx="0">
                  <c:v>Total Sample Respondents</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Sheet1!$A$18:$A$23</c:f>
              <c:strCache>
                <c:ptCount val="6"/>
                <c:pt idx="0">
                  <c:v>Groundnut</c:v>
                </c:pt>
                <c:pt idx="1">
                  <c:v>Black Gram</c:v>
                </c:pt>
                <c:pt idx="2">
                  <c:v>Turmeric</c:v>
                </c:pt>
                <c:pt idx="3">
                  <c:v>Cotton</c:v>
                </c:pt>
                <c:pt idx="4">
                  <c:v>Maize</c:v>
                </c:pt>
                <c:pt idx="5">
                  <c:v>Jowar</c:v>
                </c:pt>
              </c:strCache>
            </c:strRef>
          </c:cat>
          <c:val>
            <c:numRef>
              <c:f>Sheet1!$B$18:$B$23</c:f>
              <c:numCache>
                <c:formatCode>General</c:formatCode>
                <c:ptCount val="6"/>
                <c:pt idx="0">
                  <c:v>61</c:v>
                </c:pt>
                <c:pt idx="1">
                  <c:v>89</c:v>
                </c:pt>
                <c:pt idx="2">
                  <c:v>62</c:v>
                </c:pt>
                <c:pt idx="3">
                  <c:v>101</c:v>
                </c:pt>
                <c:pt idx="4">
                  <c:v>53</c:v>
                </c:pt>
                <c:pt idx="5">
                  <c:v>68</c:v>
                </c:pt>
              </c:numCache>
            </c:numRef>
          </c:val>
          <c:extLst>
            <c:ext xmlns:c16="http://schemas.microsoft.com/office/drawing/2014/chart" uri="{C3380CC4-5D6E-409C-BE32-E72D297353CC}">
              <c16:uniqueId val="{00000000-C325-4FB9-9A4D-F98E817ABDE2}"/>
            </c:ext>
          </c:extLst>
        </c:ser>
        <c:ser>
          <c:idx val="1"/>
          <c:order val="1"/>
          <c:tx>
            <c:strRef>
              <c:f>Sheet1!$C$17</c:f>
              <c:strCache>
                <c:ptCount val="1"/>
                <c:pt idx="0">
                  <c:v>Aware of AMIC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Sheet1!$A$18:$A$23</c:f>
              <c:strCache>
                <c:ptCount val="6"/>
                <c:pt idx="0">
                  <c:v>Groundnut</c:v>
                </c:pt>
                <c:pt idx="1">
                  <c:v>Black Gram</c:v>
                </c:pt>
                <c:pt idx="2">
                  <c:v>Turmeric</c:v>
                </c:pt>
                <c:pt idx="3">
                  <c:v>Cotton</c:v>
                </c:pt>
                <c:pt idx="4">
                  <c:v>Maize</c:v>
                </c:pt>
                <c:pt idx="5">
                  <c:v>Jowar</c:v>
                </c:pt>
              </c:strCache>
            </c:strRef>
          </c:cat>
          <c:val>
            <c:numRef>
              <c:f>Sheet1!$C$18:$C$23</c:f>
              <c:numCache>
                <c:formatCode>General</c:formatCode>
                <c:ptCount val="6"/>
                <c:pt idx="0">
                  <c:v>40</c:v>
                </c:pt>
                <c:pt idx="1">
                  <c:v>48</c:v>
                </c:pt>
                <c:pt idx="2">
                  <c:v>33</c:v>
                </c:pt>
                <c:pt idx="3">
                  <c:v>63</c:v>
                </c:pt>
                <c:pt idx="4">
                  <c:v>33</c:v>
                </c:pt>
                <c:pt idx="5">
                  <c:v>47</c:v>
                </c:pt>
              </c:numCache>
            </c:numRef>
          </c:val>
          <c:extLst>
            <c:ext xmlns:c16="http://schemas.microsoft.com/office/drawing/2014/chart" uri="{C3380CC4-5D6E-409C-BE32-E72D297353CC}">
              <c16:uniqueId val="{00000001-C325-4FB9-9A4D-F98E817ABDE2}"/>
            </c:ext>
          </c:extLst>
        </c:ser>
        <c:ser>
          <c:idx val="2"/>
          <c:order val="2"/>
          <c:tx>
            <c:strRef>
              <c:f>Sheet1!$D$17</c:f>
              <c:strCache>
                <c:ptCount val="1"/>
                <c:pt idx="0">
                  <c:v>Adopters of advisory </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Sheet1!$A$18:$A$23</c:f>
              <c:strCache>
                <c:ptCount val="6"/>
                <c:pt idx="0">
                  <c:v>Groundnut</c:v>
                </c:pt>
                <c:pt idx="1">
                  <c:v>Black Gram</c:v>
                </c:pt>
                <c:pt idx="2">
                  <c:v>Turmeric</c:v>
                </c:pt>
                <c:pt idx="3">
                  <c:v>Cotton</c:v>
                </c:pt>
                <c:pt idx="4">
                  <c:v>Maize</c:v>
                </c:pt>
                <c:pt idx="5">
                  <c:v>Jowar</c:v>
                </c:pt>
              </c:strCache>
            </c:strRef>
          </c:cat>
          <c:val>
            <c:numRef>
              <c:f>Sheet1!$D$18:$D$23</c:f>
              <c:numCache>
                <c:formatCode>General</c:formatCode>
                <c:ptCount val="6"/>
                <c:pt idx="0">
                  <c:v>19</c:v>
                </c:pt>
                <c:pt idx="1">
                  <c:v>24</c:v>
                </c:pt>
                <c:pt idx="2">
                  <c:v>17</c:v>
                </c:pt>
                <c:pt idx="3">
                  <c:v>45</c:v>
                </c:pt>
                <c:pt idx="4">
                  <c:v>18</c:v>
                </c:pt>
                <c:pt idx="5">
                  <c:v>22</c:v>
                </c:pt>
              </c:numCache>
            </c:numRef>
          </c:val>
          <c:extLst>
            <c:ext xmlns:c16="http://schemas.microsoft.com/office/drawing/2014/chart" uri="{C3380CC4-5D6E-409C-BE32-E72D297353CC}">
              <c16:uniqueId val="{00000002-C325-4FB9-9A4D-F98E817ABDE2}"/>
            </c:ext>
          </c:extLst>
        </c:ser>
        <c:dLbls>
          <c:showLegendKey val="0"/>
          <c:showVal val="0"/>
          <c:showCatName val="0"/>
          <c:showSerName val="0"/>
          <c:showPercent val="0"/>
          <c:showBubbleSize val="0"/>
        </c:dLbls>
        <c:gapWidth val="150"/>
        <c:shape val="cylinder"/>
        <c:axId val="84631552"/>
        <c:axId val="84633472"/>
        <c:axId val="0"/>
      </c:bar3DChart>
      <c:catAx>
        <c:axId val="84631552"/>
        <c:scaling>
          <c:orientation val="minMax"/>
        </c:scaling>
        <c:delete val="0"/>
        <c:axPos val="b"/>
        <c:numFmt formatCode="General" sourceLinked="0"/>
        <c:majorTickMark val="out"/>
        <c:minorTickMark val="none"/>
        <c:tickLblPos val="nextTo"/>
        <c:txPr>
          <a:bodyPr/>
          <a:lstStyle/>
          <a:p>
            <a:pPr>
              <a:defRPr b="1"/>
            </a:pPr>
            <a:endParaRPr lang="en-US"/>
          </a:p>
        </c:txPr>
        <c:crossAx val="84633472"/>
        <c:crosses val="autoZero"/>
        <c:auto val="1"/>
        <c:lblAlgn val="ctr"/>
        <c:lblOffset val="100"/>
        <c:noMultiLvlLbl val="0"/>
      </c:catAx>
      <c:valAx>
        <c:axId val="84633472"/>
        <c:scaling>
          <c:orientation val="minMax"/>
        </c:scaling>
        <c:delete val="0"/>
        <c:axPos val="l"/>
        <c:majorGridlines/>
        <c:numFmt formatCode="General" sourceLinked="1"/>
        <c:majorTickMark val="out"/>
        <c:minorTickMark val="none"/>
        <c:tickLblPos val="nextTo"/>
        <c:crossAx val="846315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cp:lastModifiedBy>
  <cp:revision>7</cp:revision>
  <dcterms:created xsi:type="dcterms:W3CDTF">2026-02-24T16:16:00Z</dcterms:created>
  <dcterms:modified xsi:type="dcterms:W3CDTF">2026-02-25T07:08:00Z</dcterms:modified>
</cp:coreProperties>
</file>