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919D" w14:textId="6E8D7626" w:rsidR="009F3BC5" w:rsidRPr="0059270C" w:rsidRDefault="009F3BC5" w:rsidP="00CF59CB">
      <w:pPr>
        <w:spacing w:after="0" w:line="360" w:lineRule="auto"/>
        <w:jc w:val="right"/>
        <w:rPr>
          <w:rFonts w:ascii="Arial" w:hAnsi="Arial" w:cs="Arial"/>
          <w:b/>
          <w:bCs/>
          <w:sz w:val="36"/>
          <w:szCs w:val="36"/>
        </w:rPr>
      </w:pPr>
      <w:bookmarkStart w:id="0" w:name="_Hlk214880658"/>
      <w:r w:rsidRPr="0059270C">
        <w:rPr>
          <w:rFonts w:ascii="Arial" w:hAnsi="Arial" w:cs="Arial"/>
          <w:b/>
          <w:bCs/>
          <w:sz w:val="36"/>
          <w:szCs w:val="36"/>
        </w:rPr>
        <w:t xml:space="preserve">Life Cycle Assessment of </w:t>
      </w:r>
      <w:r w:rsidR="002318A3" w:rsidRPr="0059270C">
        <w:rPr>
          <w:rFonts w:ascii="Arial" w:hAnsi="Arial" w:cs="Arial"/>
          <w:b/>
          <w:bCs/>
          <w:sz w:val="36"/>
          <w:szCs w:val="36"/>
        </w:rPr>
        <w:t xml:space="preserve">Seven </w:t>
      </w:r>
      <w:r w:rsidRPr="0059270C">
        <w:rPr>
          <w:rFonts w:ascii="Arial" w:hAnsi="Arial" w:cs="Arial"/>
          <w:b/>
          <w:bCs/>
          <w:sz w:val="36"/>
          <w:szCs w:val="36"/>
        </w:rPr>
        <w:t xml:space="preserve">Dolnet </w:t>
      </w:r>
      <w:r w:rsidR="00C60319" w:rsidRPr="0059270C">
        <w:rPr>
          <w:rFonts w:ascii="Arial" w:hAnsi="Arial" w:cs="Arial"/>
          <w:b/>
          <w:bCs/>
          <w:sz w:val="36"/>
          <w:szCs w:val="36"/>
        </w:rPr>
        <w:t>(bagnet)</w:t>
      </w:r>
      <w:r w:rsidR="002A6F1C" w:rsidRPr="0059270C">
        <w:rPr>
          <w:rFonts w:ascii="Arial" w:hAnsi="Arial" w:cs="Arial"/>
          <w:b/>
          <w:bCs/>
          <w:sz w:val="36"/>
          <w:szCs w:val="36"/>
        </w:rPr>
        <w:t xml:space="preserve"> </w:t>
      </w:r>
      <w:r w:rsidRPr="0059270C">
        <w:rPr>
          <w:rFonts w:ascii="Arial" w:hAnsi="Arial" w:cs="Arial"/>
          <w:b/>
          <w:bCs/>
          <w:sz w:val="36"/>
          <w:szCs w:val="36"/>
        </w:rPr>
        <w:t>Designs along the Maharashtra Coast, India</w:t>
      </w:r>
      <w:r w:rsidR="00563D3B">
        <w:rPr>
          <w:rFonts w:ascii="Arial" w:hAnsi="Arial" w:cs="Arial"/>
          <w:b/>
          <w:bCs/>
          <w:sz w:val="36"/>
          <w:szCs w:val="36"/>
        </w:rPr>
        <w:t>:</w:t>
      </w:r>
      <w:r w:rsidR="00563D3B" w:rsidRPr="00563D3B">
        <w:t xml:space="preserve"> </w:t>
      </w:r>
      <w:r w:rsidR="00563D3B" w:rsidRPr="00563D3B">
        <w:rPr>
          <w:rFonts w:ascii="Arial" w:hAnsi="Arial" w:cs="Arial"/>
          <w:b/>
          <w:bCs/>
          <w:sz w:val="36"/>
          <w:szCs w:val="36"/>
        </w:rPr>
        <w:t>Establishing a Carbon Emission Baseline for Stationary Gear Systems</w:t>
      </w:r>
    </w:p>
    <w:bookmarkEnd w:id="0"/>
    <w:p w14:paraId="5DA799A7" w14:textId="31C4A6FD" w:rsidR="004509D6" w:rsidRPr="0059270C" w:rsidRDefault="004509D6" w:rsidP="00875729">
      <w:pPr>
        <w:suppressLineNumbers/>
        <w:spacing w:line="480" w:lineRule="auto"/>
        <w:jc w:val="both"/>
        <w:rPr>
          <w:rFonts w:ascii="Arial" w:hAnsi="Arial" w:cs="Arial"/>
          <w:sz w:val="20"/>
          <w:szCs w:val="20"/>
          <w:lang w:val="en-US"/>
        </w:rPr>
      </w:pPr>
      <w:r w:rsidRPr="0059270C">
        <w:rPr>
          <w:rFonts w:ascii="Arial" w:hAnsi="Arial" w:cs="Arial"/>
          <w:b/>
          <w:bCs/>
        </w:rPr>
        <w:t>ABSTRACT</w:t>
      </w:r>
      <w:r w:rsidR="00A4021C" w:rsidRPr="0059270C">
        <w:rPr>
          <w:rFonts w:ascii="Times New Roman" w:hAnsi="Times New Roman" w:cs="Times New Roman"/>
          <w:sz w:val="24"/>
          <w:szCs w:val="24"/>
        </w:rPr>
        <w:br/>
      </w:r>
      <w:r w:rsidR="00875729">
        <w:rPr>
          <w:rFonts w:ascii="Arial" w:hAnsi="Arial" w:cs="Arial"/>
          <w:sz w:val="20"/>
          <w:szCs w:val="20"/>
          <w:lang w:val="en-US"/>
        </w:rPr>
        <w:t xml:space="preserve">                           </w:t>
      </w:r>
      <w:r w:rsidRPr="0059270C">
        <w:rPr>
          <w:rFonts w:ascii="Arial" w:hAnsi="Arial" w:cs="Arial"/>
          <w:sz w:val="20"/>
          <w:szCs w:val="20"/>
          <w:lang w:val="en-US"/>
        </w:rPr>
        <w:t xml:space="preserve">The present study aimed to undertake a comparative Life Cycle Assessment (LCA) of </w:t>
      </w:r>
      <w:proofErr w:type="spellStart"/>
      <w:r w:rsidRPr="0059270C">
        <w:rPr>
          <w:rFonts w:ascii="Arial" w:hAnsi="Arial" w:cs="Arial"/>
          <w:sz w:val="20"/>
          <w:szCs w:val="20"/>
          <w:lang w:val="en-US"/>
        </w:rPr>
        <w:t>dolnet</w:t>
      </w:r>
      <w:proofErr w:type="spellEnd"/>
      <w:r w:rsidRPr="0059270C">
        <w:rPr>
          <w:rFonts w:ascii="Arial" w:hAnsi="Arial" w:cs="Arial"/>
          <w:sz w:val="20"/>
          <w:szCs w:val="20"/>
          <w:lang w:val="en-US"/>
        </w:rPr>
        <w:t xml:space="preserve"> fishing gear designs operated along the northwest coast of India in order to quantify their environmental performance and establish a carbon emission baseline for stationary bag net fisheries, which are extensively used but remain poorly documented in terms of environmental impacts.</w:t>
      </w:r>
      <w:r w:rsidR="006965F8">
        <w:rPr>
          <w:rFonts w:ascii="Arial" w:hAnsi="Arial" w:cs="Arial"/>
          <w:sz w:val="20"/>
          <w:szCs w:val="20"/>
          <w:lang w:val="en-US"/>
        </w:rPr>
        <w:t xml:space="preserve"> </w:t>
      </w:r>
      <w:r w:rsidRPr="0059270C">
        <w:rPr>
          <w:rFonts w:ascii="Arial" w:hAnsi="Arial" w:cs="Arial"/>
          <w:sz w:val="20"/>
          <w:szCs w:val="20"/>
          <w:lang w:val="en-US"/>
        </w:rPr>
        <w:t xml:space="preserve">A comparative assessment framework was adopted to evaluate seven regionally important dolnet designs, considering variations in gear construction, material composition, vessel </w:t>
      </w:r>
      <w:r w:rsidR="000823D0">
        <w:rPr>
          <w:rFonts w:ascii="Arial" w:hAnsi="Arial" w:cs="Arial"/>
          <w:sz w:val="20"/>
          <w:szCs w:val="20"/>
          <w:lang w:val="en-US"/>
        </w:rPr>
        <w:t xml:space="preserve">design </w:t>
      </w:r>
      <w:r w:rsidRPr="0059270C">
        <w:rPr>
          <w:rFonts w:ascii="Arial" w:hAnsi="Arial" w:cs="Arial"/>
          <w:sz w:val="20"/>
          <w:szCs w:val="20"/>
          <w:lang w:val="en-US"/>
        </w:rPr>
        <w:t>characteristics, and operational fuel use. The study focused on identifying design</w:t>
      </w:r>
      <w:r w:rsidR="000823D0">
        <w:rPr>
          <w:rFonts w:ascii="Arial" w:hAnsi="Arial" w:cs="Arial"/>
          <w:sz w:val="20"/>
          <w:szCs w:val="20"/>
          <w:lang w:val="en-US"/>
        </w:rPr>
        <w:t xml:space="preserve"> </w:t>
      </w:r>
      <w:r w:rsidRPr="0059270C">
        <w:rPr>
          <w:rFonts w:ascii="Arial" w:hAnsi="Arial" w:cs="Arial"/>
          <w:sz w:val="20"/>
          <w:szCs w:val="20"/>
          <w:lang w:val="en-US"/>
        </w:rPr>
        <w:t>specific drivers of environmental impacts.</w:t>
      </w:r>
      <w:r w:rsidR="006965F8">
        <w:rPr>
          <w:rFonts w:ascii="Arial" w:hAnsi="Arial" w:cs="Arial"/>
          <w:sz w:val="20"/>
          <w:szCs w:val="20"/>
          <w:lang w:val="en-US"/>
        </w:rPr>
        <w:t xml:space="preserve"> </w:t>
      </w:r>
      <w:r w:rsidRPr="0059270C">
        <w:rPr>
          <w:rFonts w:ascii="Arial" w:hAnsi="Arial" w:cs="Arial"/>
          <w:sz w:val="20"/>
          <w:szCs w:val="20"/>
          <w:lang w:val="en-US"/>
        </w:rPr>
        <w:t>The investigation was carried out across five coastal districts along the northwest coast of India, namely Raigad, Mumbai, Palghar,</w:t>
      </w:r>
      <w:r w:rsidR="000823D0">
        <w:rPr>
          <w:rFonts w:ascii="Arial" w:hAnsi="Arial" w:cs="Arial"/>
          <w:sz w:val="20"/>
          <w:szCs w:val="20"/>
          <w:lang w:val="en-US"/>
        </w:rPr>
        <w:t xml:space="preserve"> Mumbai suburban</w:t>
      </w:r>
      <w:r w:rsidRPr="0059270C">
        <w:rPr>
          <w:rFonts w:ascii="Arial" w:hAnsi="Arial" w:cs="Arial"/>
          <w:sz w:val="20"/>
          <w:szCs w:val="20"/>
          <w:lang w:val="en-US"/>
        </w:rPr>
        <w:t xml:space="preserve"> and Ratnagiri districts of Maharashtra. Primary field data were collected from representative dolnet operations prevalent in these regions during the study period</w:t>
      </w:r>
      <w:r w:rsidR="000823D0">
        <w:rPr>
          <w:rFonts w:ascii="Arial" w:hAnsi="Arial" w:cs="Arial"/>
          <w:sz w:val="20"/>
          <w:szCs w:val="20"/>
          <w:lang w:val="en-US"/>
        </w:rPr>
        <w:t xml:space="preserve"> of January 2024 to December 2025</w:t>
      </w:r>
      <w:r w:rsidRPr="0059270C">
        <w:rPr>
          <w:rFonts w:ascii="Arial" w:hAnsi="Arial" w:cs="Arial"/>
          <w:sz w:val="20"/>
          <w:szCs w:val="20"/>
          <w:lang w:val="en-US"/>
        </w:rPr>
        <w:t>.</w:t>
      </w:r>
      <w:r w:rsidR="006965F8">
        <w:rPr>
          <w:rFonts w:ascii="Arial" w:hAnsi="Arial" w:cs="Arial"/>
          <w:sz w:val="20"/>
          <w:szCs w:val="20"/>
          <w:lang w:val="en-US"/>
        </w:rPr>
        <w:t xml:space="preserve"> </w:t>
      </w:r>
      <w:r w:rsidRPr="0059270C">
        <w:rPr>
          <w:rFonts w:ascii="Arial" w:hAnsi="Arial" w:cs="Arial"/>
          <w:sz w:val="20"/>
          <w:szCs w:val="20"/>
          <w:lang w:val="en-US"/>
        </w:rPr>
        <w:t>Primary data on vessel specifications, fuel consumption, fishing effort, and dolnet fabrication materials were collected through structured field surveys. Life Cycle Assessment modelling was performed using SimaPro 9.0 software in compliance with ISO 14040 and ISO 14044 standards. Environmental impacts were assessed using the CML 2001 midpoint indicators and IPCC 100-year Global Warming Potential methodology. Sensitivity analysis was conducted to evaluate the influence of material substitution scenarios on overall emissions.</w:t>
      </w:r>
      <w:r w:rsidR="00280A85">
        <w:rPr>
          <w:rFonts w:ascii="Arial" w:hAnsi="Arial" w:cs="Arial"/>
          <w:sz w:val="20"/>
          <w:szCs w:val="20"/>
          <w:lang w:val="en-US"/>
        </w:rPr>
        <w:t xml:space="preserve"> </w:t>
      </w:r>
      <w:r w:rsidRPr="0059270C">
        <w:rPr>
          <w:rFonts w:ascii="Arial" w:hAnsi="Arial" w:cs="Arial"/>
          <w:sz w:val="20"/>
          <w:szCs w:val="20"/>
          <w:lang w:val="en-US"/>
        </w:rPr>
        <w:t xml:space="preserve">Seven dolnet designs were assessed, including Karanja </w:t>
      </w:r>
      <w:proofErr w:type="spellStart"/>
      <w:r w:rsidRPr="0059270C">
        <w:rPr>
          <w:rFonts w:ascii="Arial" w:hAnsi="Arial" w:cs="Arial"/>
          <w:sz w:val="20"/>
          <w:szCs w:val="20"/>
          <w:lang w:val="en-US"/>
        </w:rPr>
        <w:t>dolnet</w:t>
      </w:r>
      <w:proofErr w:type="spellEnd"/>
      <w:r w:rsidRPr="0059270C">
        <w:rPr>
          <w:rFonts w:ascii="Arial" w:hAnsi="Arial" w:cs="Arial"/>
          <w:sz w:val="20"/>
          <w:szCs w:val="20"/>
          <w:lang w:val="en-US"/>
        </w:rPr>
        <w:t xml:space="preserve"> and </w:t>
      </w:r>
      <w:proofErr w:type="spellStart"/>
      <w:r w:rsidRPr="0059270C">
        <w:rPr>
          <w:rFonts w:ascii="Arial" w:hAnsi="Arial" w:cs="Arial"/>
          <w:sz w:val="20"/>
          <w:szCs w:val="20"/>
          <w:lang w:val="en-US"/>
        </w:rPr>
        <w:t>Rewas</w:t>
      </w:r>
      <w:proofErr w:type="spellEnd"/>
      <w:r w:rsidRPr="0059270C">
        <w:rPr>
          <w:rFonts w:ascii="Arial" w:hAnsi="Arial" w:cs="Arial"/>
          <w:sz w:val="20"/>
          <w:szCs w:val="20"/>
          <w:lang w:val="en-US"/>
        </w:rPr>
        <w:t>–</w:t>
      </w:r>
      <w:proofErr w:type="spellStart"/>
      <w:r w:rsidRPr="0059270C">
        <w:rPr>
          <w:rFonts w:ascii="Arial" w:hAnsi="Arial" w:cs="Arial"/>
          <w:sz w:val="20"/>
          <w:szCs w:val="20"/>
          <w:lang w:val="en-US"/>
        </w:rPr>
        <w:t>Bodni</w:t>
      </w:r>
      <w:proofErr w:type="spellEnd"/>
      <w:r w:rsidRPr="0059270C">
        <w:rPr>
          <w:rFonts w:ascii="Arial" w:hAnsi="Arial" w:cs="Arial"/>
          <w:sz w:val="20"/>
          <w:szCs w:val="20"/>
          <w:lang w:val="en-US"/>
        </w:rPr>
        <w:t xml:space="preserve"> </w:t>
      </w:r>
      <w:proofErr w:type="spellStart"/>
      <w:r w:rsidRPr="0059270C">
        <w:rPr>
          <w:rFonts w:ascii="Arial" w:hAnsi="Arial" w:cs="Arial"/>
          <w:sz w:val="20"/>
          <w:szCs w:val="20"/>
          <w:lang w:val="en-US"/>
        </w:rPr>
        <w:t>dolnet</w:t>
      </w:r>
      <w:proofErr w:type="spellEnd"/>
      <w:r w:rsidRPr="0059270C">
        <w:rPr>
          <w:rFonts w:ascii="Arial" w:hAnsi="Arial" w:cs="Arial"/>
          <w:sz w:val="20"/>
          <w:szCs w:val="20"/>
          <w:lang w:val="en-US"/>
        </w:rPr>
        <w:t xml:space="preserve"> from Raigad, Bokshi and Dabang dolnets from Versova (Mumbai), Pachubandar dolnet from Palghar, Mosquito and Sajachi dolnets from Ratnagiri. The results revealed substantial variation in environmental performance among designs. The Dabang dolnet from Versova exhibited the highest Global Warming Potential at 1,060.81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equivalent per tonne of catch, whereas the Mosquito dolnet from Ratnagiri recorded the lowest impact at 311.86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equivalent per tonne. Fuel consumption and polymeric material inputs emerged as the dominant contributors to emissions. Sensitivity analysis indicated that replacing 15 </w:t>
      </w:r>
      <w:r w:rsidR="000823D0">
        <w:rPr>
          <w:rFonts w:ascii="Arial" w:hAnsi="Arial" w:cs="Arial"/>
          <w:sz w:val="20"/>
          <w:szCs w:val="20"/>
          <w:lang w:val="en-US"/>
        </w:rPr>
        <w:t xml:space="preserve">% </w:t>
      </w:r>
      <w:r w:rsidRPr="0059270C">
        <w:rPr>
          <w:rFonts w:ascii="Arial" w:hAnsi="Arial" w:cs="Arial"/>
          <w:sz w:val="20"/>
          <w:szCs w:val="20"/>
          <w:lang w:val="en-US"/>
        </w:rPr>
        <w:t xml:space="preserve">of virgin HDPE with recycled HDPE could reduce emissions by approximately 10 to 12 </w:t>
      </w:r>
      <w:r w:rsidR="000823D0">
        <w:rPr>
          <w:rFonts w:ascii="Arial" w:hAnsi="Arial" w:cs="Arial"/>
          <w:sz w:val="20"/>
          <w:szCs w:val="20"/>
          <w:lang w:val="en-US"/>
        </w:rPr>
        <w:t>%</w:t>
      </w:r>
      <w:r w:rsidRPr="0059270C">
        <w:rPr>
          <w:rFonts w:ascii="Arial" w:hAnsi="Arial" w:cs="Arial"/>
          <w:sz w:val="20"/>
          <w:szCs w:val="20"/>
          <w:lang w:val="en-US"/>
        </w:rPr>
        <w:t>.</w:t>
      </w:r>
      <w:r w:rsidR="00280A85">
        <w:rPr>
          <w:rFonts w:ascii="Arial" w:hAnsi="Arial" w:cs="Arial"/>
          <w:sz w:val="20"/>
          <w:szCs w:val="20"/>
          <w:lang w:val="en-US"/>
        </w:rPr>
        <w:t xml:space="preserve"> </w:t>
      </w:r>
      <w:r w:rsidRPr="0059270C">
        <w:rPr>
          <w:rFonts w:ascii="Arial" w:hAnsi="Arial" w:cs="Arial"/>
          <w:sz w:val="20"/>
          <w:szCs w:val="20"/>
          <w:lang w:val="en-US"/>
        </w:rPr>
        <w:t xml:space="preserve">This study establishes India’s first emission baseline for bag net fisheries and demonstrates significant scope for emission reduction through design </w:t>
      </w:r>
      <w:proofErr w:type="spellStart"/>
      <w:r w:rsidRPr="0059270C">
        <w:rPr>
          <w:rFonts w:ascii="Arial" w:hAnsi="Arial" w:cs="Arial"/>
          <w:sz w:val="20"/>
          <w:szCs w:val="20"/>
          <w:lang w:val="en-US"/>
        </w:rPr>
        <w:t>optimisation</w:t>
      </w:r>
      <w:proofErr w:type="spellEnd"/>
      <w:r w:rsidRPr="0059270C">
        <w:rPr>
          <w:rFonts w:ascii="Arial" w:hAnsi="Arial" w:cs="Arial"/>
          <w:sz w:val="20"/>
          <w:szCs w:val="20"/>
          <w:lang w:val="en-US"/>
        </w:rPr>
        <w:t xml:space="preserve">, use of recycled or biodegradable </w:t>
      </w:r>
      <w:r w:rsidRPr="0059270C">
        <w:rPr>
          <w:rFonts w:ascii="Arial" w:hAnsi="Arial" w:cs="Arial"/>
          <w:sz w:val="20"/>
          <w:szCs w:val="20"/>
          <w:lang w:val="en-US"/>
        </w:rPr>
        <w:lastRenderedPageBreak/>
        <w:t>materials, and improved energy efficiency, supporting climate-resilient and sustainable fisheries management in line with Sustainable Development Goal 14.</w:t>
      </w:r>
    </w:p>
    <w:p w14:paraId="0352C62F" w14:textId="51F431D2" w:rsidR="00A55CA8" w:rsidRPr="0059270C" w:rsidRDefault="00A55CA8" w:rsidP="00B93836">
      <w:pPr>
        <w:suppressLineNumbers/>
        <w:spacing w:line="480" w:lineRule="auto"/>
        <w:jc w:val="both"/>
        <w:rPr>
          <w:rFonts w:ascii="Arial" w:hAnsi="Arial" w:cs="Arial"/>
          <w:sz w:val="20"/>
          <w:szCs w:val="20"/>
          <w:lang w:val="en-US"/>
        </w:rPr>
      </w:pPr>
      <w:r w:rsidRPr="0059270C">
        <w:rPr>
          <w:rFonts w:ascii="Arial" w:hAnsi="Arial" w:cs="Arial"/>
          <w:b/>
          <w:bCs/>
          <w:sz w:val="20"/>
          <w:szCs w:val="20"/>
          <w:lang w:val="en-US"/>
        </w:rPr>
        <w:t>Keywords:</w:t>
      </w:r>
      <w:r w:rsidRPr="0059270C">
        <w:rPr>
          <w:rFonts w:ascii="Arial" w:hAnsi="Arial" w:cs="Arial"/>
          <w:sz w:val="20"/>
          <w:szCs w:val="20"/>
          <w:lang w:val="en-US"/>
        </w:rPr>
        <w:t xml:space="preserve"> </w:t>
      </w:r>
      <w:r w:rsidR="00563D3B" w:rsidRPr="00563D3B">
        <w:rPr>
          <w:rFonts w:ascii="Arial" w:hAnsi="Arial" w:cs="Arial"/>
          <w:sz w:val="20"/>
          <w:szCs w:val="20"/>
          <w:lang w:val="en-US"/>
        </w:rPr>
        <w:t>Life Cycle Assessment</w:t>
      </w:r>
      <w:r w:rsidR="00563D3B">
        <w:rPr>
          <w:rFonts w:ascii="Arial" w:hAnsi="Arial" w:cs="Arial"/>
          <w:sz w:val="20"/>
          <w:szCs w:val="20"/>
          <w:lang w:val="en-US"/>
        </w:rPr>
        <w:t xml:space="preserve">, </w:t>
      </w:r>
      <w:r w:rsidR="0006604F" w:rsidRPr="0059270C">
        <w:rPr>
          <w:rFonts w:ascii="Arial" w:hAnsi="Arial" w:cs="Arial"/>
          <w:sz w:val="20"/>
          <w:szCs w:val="20"/>
        </w:rPr>
        <w:t xml:space="preserve">Dolnet fishery, carbon footprint, </w:t>
      </w:r>
      <w:r w:rsidR="007263D4" w:rsidRPr="0059270C">
        <w:rPr>
          <w:rFonts w:ascii="Arial" w:hAnsi="Arial" w:cs="Arial"/>
          <w:sz w:val="20"/>
          <w:szCs w:val="20"/>
        </w:rPr>
        <w:t>S</w:t>
      </w:r>
      <w:r w:rsidR="0006604F" w:rsidRPr="0059270C">
        <w:rPr>
          <w:rFonts w:ascii="Arial" w:hAnsi="Arial" w:cs="Arial"/>
          <w:sz w:val="20"/>
          <w:szCs w:val="20"/>
        </w:rPr>
        <w:t>ustainable fisheries</w:t>
      </w:r>
      <w:r w:rsidR="002318A3" w:rsidRPr="0059270C">
        <w:rPr>
          <w:rFonts w:ascii="Arial" w:hAnsi="Arial" w:cs="Arial"/>
          <w:sz w:val="20"/>
          <w:szCs w:val="20"/>
        </w:rPr>
        <w:t>,</w:t>
      </w:r>
      <w:r w:rsidR="002318A3" w:rsidRPr="0059270C">
        <w:rPr>
          <w:rFonts w:ascii="Arial" w:hAnsi="Arial" w:cs="Arial"/>
          <w:sz w:val="18"/>
          <w:szCs w:val="18"/>
        </w:rPr>
        <w:t xml:space="preserve"> </w:t>
      </w:r>
      <w:r w:rsidR="002318A3" w:rsidRPr="0059270C">
        <w:rPr>
          <w:rFonts w:ascii="Arial" w:hAnsi="Arial" w:cs="Arial"/>
          <w:sz w:val="20"/>
          <w:szCs w:val="20"/>
        </w:rPr>
        <w:t>Marine sustainability,</w:t>
      </w:r>
      <w:r w:rsidR="002318A3" w:rsidRPr="0059270C">
        <w:rPr>
          <w:rFonts w:ascii="Arial" w:hAnsi="Arial" w:cs="Arial"/>
          <w:sz w:val="18"/>
          <w:szCs w:val="18"/>
        </w:rPr>
        <w:t xml:space="preserve"> </w:t>
      </w:r>
      <w:r w:rsidR="002318A3" w:rsidRPr="0059270C">
        <w:rPr>
          <w:rFonts w:ascii="Arial" w:hAnsi="Arial" w:cs="Arial"/>
          <w:sz w:val="20"/>
          <w:szCs w:val="20"/>
        </w:rPr>
        <w:t>Eco-efficient fisheries</w:t>
      </w:r>
      <w:r w:rsidR="00563D3B">
        <w:rPr>
          <w:rFonts w:ascii="Arial" w:hAnsi="Arial" w:cs="Arial"/>
          <w:sz w:val="20"/>
          <w:szCs w:val="20"/>
        </w:rPr>
        <w:t>,</w:t>
      </w:r>
      <w:r w:rsidR="00563D3B" w:rsidRPr="00563D3B">
        <w:t xml:space="preserve"> </w:t>
      </w:r>
      <w:r w:rsidR="00563D3B" w:rsidRPr="00563D3B">
        <w:rPr>
          <w:rFonts w:ascii="Arial" w:hAnsi="Arial" w:cs="Arial"/>
          <w:sz w:val="20"/>
          <w:szCs w:val="20"/>
        </w:rPr>
        <w:t>Global Warming Potential</w:t>
      </w:r>
    </w:p>
    <w:p w14:paraId="2038E356" w14:textId="77777777" w:rsidR="00DE052C" w:rsidRPr="0059270C" w:rsidRDefault="00DE052C" w:rsidP="00B93836">
      <w:pPr>
        <w:suppressLineNumbers/>
        <w:spacing w:line="480" w:lineRule="auto"/>
        <w:jc w:val="both"/>
        <w:rPr>
          <w:rFonts w:ascii="Times New Roman" w:hAnsi="Times New Roman" w:cs="Times New Roman"/>
          <w:b/>
          <w:bCs/>
          <w:sz w:val="24"/>
          <w:szCs w:val="24"/>
          <w:lang w:val="en-US"/>
        </w:rPr>
      </w:pPr>
      <w:bookmarkStart w:id="1" w:name="_GoBack"/>
      <w:bookmarkEnd w:id="1"/>
    </w:p>
    <w:p w14:paraId="0C373F3F" w14:textId="62402964" w:rsidR="006C428D" w:rsidRPr="0059270C" w:rsidRDefault="00961136" w:rsidP="00382F5D">
      <w:pPr>
        <w:spacing w:line="480" w:lineRule="auto"/>
        <w:jc w:val="both"/>
        <w:rPr>
          <w:rFonts w:ascii="Arial" w:hAnsi="Arial" w:cs="Arial"/>
          <w:sz w:val="20"/>
          <w:szCs w:val="20"/>
          <w:lang w:val="en-US"/>
        </w:rPr>
      </w:pPr>
      <w:r w:rsidRPr="0059270C">
        <w:rPr>
          <w:rFonts w:ascii="Arial" w:hAnsi="Arial" w:cs="Arial"/>
          <w:b/>
          <w:bCs/>
        </w:rPr>
        <w:t>1.</w:t>
      </w:r>
      <w:r w:rsidR="002A6F1C" w:rsidRPr="0059270C">
        <w:rPr>
          <w:rFonts w:ascii="Arial" w:hAnsi="Arial" w:cs="Arial"/>
          <w:b/>
          <w:bCs/>
        </w:rPr>
        <w:t>INTRODUCTION</w:t>
      </w:r>
      <w:r w:rsidR="009A1DC7" w:rsidRPr="0059270C">
        <w:rPr>
          <w:rFonts w:ascii="Times New Roman" w:hAnsi="Times New Roman" w:cs="Times New Roman"/>
          <w:sz w:val="24"/>
          <w:szCs w:val="24"/>
        </w:rPr>
        <w:br/>
      </w:r>
      <w:r w:rsidR="00EB74C7" w:rsidRPr="0059270C">
        <w:rPr>
          <w:rFonts w:ascii="Arial" w:hAnsi="Arial" w:cs="Arial"/>
          <w:sz w:val="20"/>
          <w:szCs w:val="20"/>
          <w:lang w:val="en-US"/>
        </w:rPr>
        <w:t xml:space="preserve">         </w:t>
      </w:r>
      <w:r w:rsidR="006C428D" w:rsidRPr="0059270C">
        <w:rPr>
          <w:rFonts w:ascii="Arial" w:hAnsi="Arial" w:cs="Arial"/>
          <w:sz w:val="20"/>
          <w:szCs w:val="20"/>
        </w:rPr>
        <w:t xml:space="preserve">India’s marine fisheries contribute about </w:t>
      </w:r>
      <w:r w:rsidR="00DC028F">
        <w:rPr>
          <w:rFonts w:ascii="Arial" w:hAnsi="Arial" w:cs="Arial"/>
          <w:sz w:val="20"/>
          <w:szCs w:val="20"/>
        </w:rPr>
        <w:t>8</w:t>
      </w:r>
      <w:r w:rsidR="006C428D" w:rsidRPr="0059270C">
        <w:rPr>
          <w:rFonts w:ascii="Arial" w:hAnsi="Arial" w:cs="Arial"/>
          <w:sz w:val="20"/>
          <w:szCs w:val="20"/>
        </w:rPr>
        <w:t xml:space="preserve">% of global fish production. Along its 8,118 km coastline, over 25 craft gear combinations are used, ranging from traditional canoes to mechanized trawlers (Najmudeen, 2023). Major gears include trawls, bag nets (dolnets), gillnets, and seines, with around 3,394 dolnet units operating nationwide mostly along the northwest coast of Maharashtra and Gujarat. </w:t>
      </w:r>
    </w:p>
    <w:p w14:paraId="22C8826E" w14:textId="7435FEE2" w:rsidR="0035305F" w:rsidRPr="0059270C" w:rsidRDefault="0035305F" w:rsidP="00382F5D">
      <w:pPr>
        <w:spacing w:line="480" w:lineRule="auto"/>
        <w:ind w:firstLine="720"/>
        <w:jc w:val="both"/>
        <w:rPr>
          <w:rFonts w:ascii="Arial" w:hAnsi="Arial" w:cs="Arial"/>
          <w:sz w:val="20"/>
          <w:szCs w:val="20"/>
        </w:rPr>
      </w:pPr>
      <w:r w:rsidRPr="0059270C">
        <w:rPr>
          <w:rFonts w:ascii="Arial" w:hAnsi="Arial" w:cs="Arial"/>
          <w:sz w:val="20"/>
          <w:szCs w:val="20"/>
        </w:rPr>
        <w:t xml:space="preserve">Maharashtra has one of India’s largest bagnet (dolnet) fisheries, with over </w:t>
      </w:r>
      <w:r w:rsidR="00CF59CB" w:rsidRPr="0059270C">
        <w:rPr>
          <w:rFonts w:ascii="Arial" w:hAnsi="Arial" w:cs="Arial"/>
          <w:sz w:val="20"/>
          <w:szCs w:val="20"/>
        </w:rPr>
        <w:t>8,838 units</w:t>
      </w:r>
      <w:r w:rsidR="00953294" w:rsidRPr="0059270C">
        <w:rPr>
          <w:rFonts w:ascii="Arial" w:hAnsi="Arial" w:cs="Arial"/>
          <w:sz w:val="20"/>
          <w:szCs w:val="20"/>
        </w:rPr>
        <w:t xml:space="preserve"> </w:t>
      </w:r>
      <w:r w:rsidRPr="0059270C">
        <w:rPr>
          <w:rFonts w:ascii="Arial" w:hAnsi="Arial" w:cs="Arial"/>
          <w:sz w:val="20"/>
          <w:szCs w:val="20"/>
        </w:rPr>
        <w:t xml:space="preserve">operated mainly along Mumbai, Raigad, Ratnagiri, and Sindhudurg coasts. These fisheries contribute nearly 24% of the state’s total marine catch, about 0.3 million tonnes annually. Boats used for dolnetting are typically 40 to 42 ft long, powered by 20 to 64 HP engines, and operate at depths of 20 to 40 m. </w:t>
      </w:r>
    </w:p>
    <w:p w14:paraId="467EAC2D" w14:textId="10504CB6" w:rsidR="00E13941" w:rsidRPr="0059270C" w:rsidRDefault="00EB74C7" w:rsidP="00382F5D">
      <w:pPr>
        <w:spacing w:line="480" w:lineRule="auto"/>
        <w:jc w:val="both"/>
        <w:rPr>
          <w:rFonts w:ascii="Arial" w:hAnsi="Arial" w:cs="Arial"/>
          <w:sz w:val="20"/>
          <w:szCs w:val="20"/>
          <w:lang w:val="en-US"/>
        </w:rPr>
      </w:pPr>
      <w:r w:rsidRPr="0059270C">
        <w:rPr>
          <w:rFonts w:ascii="Arial" w:hAnsi="Arial" w:cs="Arial"/>
          <w:sz w:val="20"/>
          <w:szCs w:val="20"/>
          <w:lang w:val="en-US"/>
        </w:rPr>
        <w:t xml:space="preserve">              </w:t>
      </w:r>
      <w:r w:rsidR="00E13941" w:rsidRPr="0059270C">
        <w:rPr>
          <w:rFonts w:ascii="Arial" w:hAnsi="Arial" w:cs="Arial"/>
          <w:sz w:val="20"/>
          <w:szCs w:val="20"/>
          <w:lang w:val="en-US"/>
        </w:rPr>
        <w:t>Maharashtra</w:t>
      </w:r>
      <w:r w:rsidR="002318A3" w:rsidRPr="0059270C">
        <w:rPr>
          <w:rFonts w:ascii="Arial" w:hAnsi="Arial" w:cs="Arial"/>
          <w:sz w:val="20"/>
          <w:szCs w:val="20"/>
          <w:lang w:val="en-US"/>
        </w:rPr>
        <w:t xml:space="preserve"> fisheries</w:t>
      </w:r>
      <w:r w:rsidR="00E13941" w:rsidRPr="0059270C">
        <w:rPr>
          <w:rFonts w:ascii="Arial" w:hAnsi="Arial" w:cs="Arial"/>
          <w:sz w:val="20"/>
          <w:szCs w:val="20"/>
          <w:lang w:val="en-US"/>
        </w:rPr>
        <w:t xml:space="preserve"> </w:t>
      </w:r>
      <w:r w:rsidR="004C7C83" w:rsidRPr="0059270C">
        <w:rPr>
          <w:rFonts w:ascii="Arial" w:hAnsi="Arial" w:cs="Arial"/>
          <w:sz w:val="20"/>
          <w:szCs w:val="20"/>
          <w:lang w:val="en-US"/>
        </w:rPr>
        <w:t>are</w:t>
      </w:r>
      <w:r w:rsidR="00E13941" w:rsidRPr="0059270C">
        <w:rPr>
          <w:rFonts w:ascii="Arial" w:hAnsi="Arial" w:cs="Arial"/>
          <w:sz w:val="20"/>
          <w:szCs w:val="20"/>
          <w:lang w:val="en-US"/>
        </w:rPr>
        <w:t xml:space="preserve"> a blend of traditional and mechanized practices</w:t>
      </w:r>
      <w:r w:rsidR="002318A3" w:rsidRPr="0059270C">
        <w:rPr>
          <w:rFonts w:ascii="Arial" w:hAnsi="Arial" w:cs="Arial"/>
          <w:sz w:val="20"/>
          <w:szCs w:val="20"/>
          <w:lang w:val="en-US"/>
        </w:rPr>
        <w:t xml:space="preserve"> which reflects</w:t>
      </w:r>
      <w:r w:rsidR="00E13941" w:rsidRPr="0059270C">
        <w:rPr>
          <w:rFonts w:ascii="Arial" w:hAnsi="Arial" w:cs="Arial"/>
          <w:sz w:val="20"/>
          <w:szCs w:val="20"/>
          <w:lang w:val="en-US"/>
        </w:rPr>
        <w:t xml:space="preserve"> the multi-gear, multi-fleet character of Indian coastal fisheries (Sathianandan et al., 2021). </w:t>
      </w:r>
      <w:r w:rsidR="002318A3" w:rsidRPr="0059270C">
        <w:rPr>
          <w:rFonts w:ascii="Arial" w:hAnsi="Arial" w:cs="Arial"/>
          <w:sz w:val="20"/>
          <w:szCs w:val="20"/>
          <w:lang w:val="en-US"/>
        </w:rPr>
        <w:t>D</w:t>
      </w:r>
      <w:r w:rsidR="00E13941" w:rsidRPr="0059270C">
        <w:rPr>
          <w:rFonts w:ascii="Arial" w:hAnsi="Arial" w:cs="Arial"/>
          <w:sz w:val="20"/>
          <w:szCs w:val="20"/>
          <w:lang w:val="en-US"/>
        </w:rPr>
        <w:t>olnet</w:t>
      </w:r>
      <w:r w:rsidR="00C64281" w:rsidRPr="0059270C">
        <w:rPr>
          <w:rFonts w:ascii="Arial" w:hAnsi="Arial" w:cs="Arial"/>
          <w:sz w:val="20"/>
          <w:szCs w:val="20"/>
          <w:lang w:val="en-US"/>
        </w:rPr>
        <w:t xml:space="preserve"> </w:t>
      </w:r>
      <w:r w:rsidR="00E13941" w:rsidRPr="0059270C">
        <w:rPr>
          <w:rFonts w:ascii="Arial" w:hAnsi="Arial" w:cs="Arial"/>
          <w:sz w:val="20"/>
          <w:szCs w:val="20"/>
          <w:lang w:val="en-US"/>
        </w:rPr>
        <w:t>commonly known as the stationary bag net</w:t>
      </w:r>
      <w:r w:rsidR="00C64281" w:rsidRPr="0059270C">
        <w:rPr>
          <w:rFonts w:ascii="Arial" w:hAnsi="Arial" w:cs="Arial"/>
          <w:sz w:val="20"/>
          <w:szCs w:val="20"/>
          <w:lang w:val="en-US"/>
        </w:rPr>
        <w:t xml:space="preserve"> </w:t>
      </w:r>
      <w:r w:rsidR="00E13941" w:rsidRPr="0059270C">
        <w:rPr>
          <w:rFonts w:ascii="Arial" w:hAnsi="Arial" w:cs="Arial"/>
          <w:sz w:val="20"/>
          <w:szCs w:val="20"/>
          <w:lang w:val="en-US"/>
        </w:rPr>
        <w:t>is one of the most significant along the northwest coast of Indi</w:t>
      </w:r>
      <w:r w:rsidR="000823D0">
        <w:rPr>
          <w:rFonts w:ascii="Arial" w:hAnsi="Arial" w:cs="Arial"/>
          <w:sz w:val="20"/>
          <w:szCs w:val="20"/>
          <w:lang w:val="en-US"/>
        </w:rPr>
        <w:t>a</w:t>
      </w:r>
      <w:r w:rsidR="004C7C83" w:rsidRPr="0059270C">
        <w:rPr>
          <w:rFonts w:ascii="Arial" w:hAnsi="Arial" w:cs="Arial"/>
          <w:sz w:val="20"/>
          <w:szCs w:val="20"/>
          <w:lang w:val="en-US"/>
        </w:rPr>
        <w:t xml:space="preserve">. The gear is fixed in tidal and nearshore zones using wooden or concrete poles. It is constructed in the form of a tapering bag, with mesh sizes ranging from 8 to 160 mm along its length </w:t>
      </w:r>
      <w:r w:rsidR="00E13941" w:rsidRPr="0059270C">
        <w:rPr>
          <w:rFonts w:ascii="Arial" w:hAnsi="Arial" w:cs="Arial"/>
          <w:sz w:val="20"/>
          <w:szCs w:val="20"/>
          <w:lang w:val="en-US"/>
        </w:rPr>
        <w:t>(Pradhan et al., 2019). Dolnets are usually operated at depths of 20</w:t>
      </w:r>
      <w:r w:rsidR="002318A3" w:rsidRPr="0059270C">
        <w:rPr>
          <w:rFonts w:ascii="Arial" w:hAnsi="Arial" w:cs="Arial"/>
          <w:sz w:val="20"/>
          <w:szCs w:val="20"/>
          <w:lang w:val="en-US"/>
        </w:rPr>
        <w:t xml:space="preserve"> to </w:t>
      </w:r>
      <w:r w:rsidR="00E13941" w:rsidRPr="0059270C">
        <w:rPr>
          <w:rFonts w:ascii="Arial" w:hAnsi="Arial" w:cs="Arial"/>
          <w:sz w:val="20"/>
          <w:szCs w:val="20"/>
          <w:lang w:val="en-US"/>
        </w:rPr>
        <w:t xml:space="preserve">24 </w:t>
      </w:r>
      <w:r w:rsidR="002318A3" w:rsidRPr="0059270C">
        <w:rPr>
          <w:rFonts w:ascii="Arial" w:hAnsi="Arial" w:cs="Arial"/>
          <w:sz w:val="20"/>
          <w:szCs w:val="20"/>
          <w:lang w:val="en-US"/>
        </w:rPr>
        <w:t>m mechanized</w:t>
      </w:r>
      <w:r w:rsidR="00E13941" w:rsidRPr="0059270C">
        <w:rPr>
          <w:rFonts w:ascii="Arial" w:hAnsi="Arial" w:cs="Arial"/>
          <w:sz w:val="20"/>
          <w:szCs w:val="20"/>
          <w:lang w:val="en-US"/>
        </w:rPr>
        <w:t xml:space="preserve"> versions can reach up to 40 m (Iburahim et al., 2017). The fishery targets commercially valuable species such as </w:t>
      </w:r>
      <w:proofErr w:type="spellStart"/>
      <w:r w:rsidR="00E13941" w:rsidRPr="0059270C">
        <w:rPr>
          <w:rFonts w:ascii="Arial" w:hAnsi="Arial" w:cs="Arial"/>
          <w:i/>
          <w:iCs/>
          <w:sz w:val="20"/>
          <w:szCs w:val="20"/>
          <w:lang w:val="en-US"/>
        </w:rPr>
        <w:t>Harpadon</w:t>
      </w:r>
      <w:proofErr w:type="spellEnd"/>
      <w:r w:rsidR="00E13941" w:rsidRPr="0059270C">
        <w:rPr>
          <w:rFonts w:ascii="Arial" w:hAnsi="Arial" w:cs="Arial"/>
          <w:i/>
          <w:iCs/>
          <w:sz w:val="20"/>
          <w:szCs w:val="20"/>
          <w:lang w:val="en-US"/>
        </w:rPr>
        <w:t xml:space="preserve"> </w:t>
      </w:r>
      <w:proofErr w:type="spellStart"/>
      <w:r w:rsidR="00E13941" w:rsidRPr="0059270C">
        <w:rPr>
          <w:rFonts w:ascii="Arial" w:hAnsi="Arial" w:cs="Arial"/>
          <w:i/>
          <w:iCs/>
          <w:sz w:val="20"/>
          <w:szCs w:val="20"/>
          <w:lang w:val="en-US"/>
        </w:rPr>
        <w:t>nehereus</w:t>
      </w:r>
      <w:proofErr w:type="spellEnd"/>
      <w:r w:rsidR="00E13941" w:rsidRPr="0059270C">
        <w:rPr>
          <w:rFonts w:ascii="Arial" w:hAnsi="Arial" w:cs="Arial"/>
          <w:sz w:val="20"/>
          <w:szCs w:val="20"/>
          <w:lang w:val="en-US"/>
        </w:rPr>
        <w:t xml:space="preserve">, </w:t>
      </w:r>
      <w:proofErr w:type="spellStart"/>
      <w:r w:rsidR="00E13941" w:rsidRPr="0059270C">
        <w:rPr>
          <w:rFonts w:ascii="Arial" w:hAnsi="Arial" w:cs="Arial"/>
          <w:i/>
          <w:iCs/>
          <w:sz w:val="20"/>
          <w:szCs w:val="20"/>
          <w:lang w:val="en-US"/>
        </w:rPr>
        <w:t>Coilia</w:t>
      </w:r>
      <w:proofErr w:type="spellEnd"/>
      <w:r w:rsidR="00E13941" w:rsidRPr="0059270C">
        <w:rPr>
          <w:rFonts w:ascii="Arial" w:hAnsi="Arial" w:cs="Arial"/>
          <w:i/>
          <w:iCs/>
          <w:sz w:val="20"/>
          <w:szCs w:val="20"/>
          <w:lang w:val="en-US"/>
        </w:rPr>
        <w:t xml:space="preserve"> </w:t>
      </w:r>
      <w:proofErr w:type="spellStart"/>
      <w:r w:rsidR="00E13941" w:rsidRPr="0059270C">
        <w:rPr>
          <w:rFonts w:ascii="Arial" w:hAnsi="Arial" w:cs="Arial"/>
          <w:i/>
          <w:iCs/>
          <w:sz w:val="20"/>
          <w:szCs w:val="20"/>
          <w:lang w:val="en-US"/>
        </w:rPr>
        <w:t>dussumieri</w:t>
      </w:r>
      <w:proofErr w:type="spellEnd"/>
      <w:r w:rsidR="00E13941" w:rsidRPr="0059270C">
        <w:rPr>
          <w:rFonts w:ascii="Arial" w:hAnsi="Arial" w:cs="Arial"/>
          <w:sz w:val="20"/>
          <w:szCs w:val="20"/>
          <w:lang w:val="en-US"/>
        </w:rPr>
        <w:t xml:space="preserve">, and </w:t>
      </w:r>
      <w:proofErr w:type="spellStart"/>
      <w:r w:rsidR="00E13941" w:rsidRPr="0059270C">
        <w:rPr>
          <w:rFonts w:ascii="Arial" w:hAnsi="Arial" w:cs="Arial"/>
          <w:i/>
          <w:iCs/>
          <w:sz w:val="20"/>
          <w:szCs w:val="20"/>
          <w:lang w:val="en-US"/>
        </w:rPr>
        <w:t>Acetes</w:t>
      </w:r>
      <w:proofErr w:type="spellEnd"/>
      <w:r w:rsidR="00E13941" w:rsidRPr="0059270C">
        <w:rPr>
          <w:rFonts w:ascii="Arial" w:hAnsi="Arial" w:cs="Arial"/>
          <w:i/>
          <w:iCs/>
          <w:sz w:val="20"/>
          <w:szCs w:val="20"/>
          <w:lang w:val="en-US"/>
        </w:rPr>
        <w:t xml:space="preserve"> indicus</w:t>
      </w:r>
      <w:r w:rsidR="002318A3" w:rsidRPr="0059270C">
        <w:rPr>
          <w:rFonts w:ascii="Arial" w:hAnsi="Arial" w:cs="Arial"/>
          <w:sz w:val="20"/>
          <w:szCs w:val="20"/>
          <w:lang w:val="en-US"/>
        </w:rPr>
        <w:t xml:space="preserve"> and</w:t>
      </w:r>
      <w:r w:rsidR="00E13941" w:rsidRPr="0059270C">
        <w:rPr>
          <w:rFonts w:ascii="Arial" w:hAnsi="Arial" w:cs="Arial"/>
          <w:sz w:val="20"/>
          <w:szCs w:val="20"/>
          <w:lang w:val="en-US"/>
        </w:rPr>
        <w:t xml:space="preserve"> form a major share of the </w:t>
      </w:r>
      <w:r w:rsidR="002318A3" w:rsidRPr="0059270C">
        <w:rPr>
          <w:rFonts w:ascii="Arial" w:hAnsi="Arial" w:cs="Arial"/>
          <w:sz w:val="20"/>
          <w:szCs w:val="20"/>
          <w:lang w:val="en-US"/>
        </w:rPr>
        <w:t>Maharashtra</w:t>
      </w:r>
      <w:r w:rsidR="00E13941" w:rsidRPr="0059270C">
        <w:rPr>
          <w:rFonts w:ascii="Arial" w:hAnsi="Arial" w:cs="Arial"/>
          <w:sz w:val="20"/>
          <w:szCs w:val="20"/>
          <w:lang w:val="en-US"/>
        </w:rPr>
        <w:t xml:space="preserve"> marine landings (CMFRI, 2020).</w:t>
      </w:r>
      <w:r w:rsidR="00DD7320" w:rsidRPr="0059270C">
        <w:t xml:space="preserve"> </w:t>
      </w:r>
      <w:r w:rsidR="00DD7320" w:rsidRPr="0059270C">
        <w:rPr>
          <w:rFonts w:ascii="Arial" w:hAnsi="Arial" w:cs="Arial"/>
          <w:sz w:val="20"/>
          <w:szCs w:val="20"/>
        </w:rPr>
        <w:t>Marine fisheries are typically energy intensive operations that produce the majority of their greenhouse gas emissions directly from the combustion of fossil fuels</w:t>
      </w:r>
      <w:r w:rsidR="000823D0">
        <w:rPr>
          <w:rFonts w:ascii="Arial" w:hAnsi="Arial" w:cs="Arial"/>
          <w:sz w:val="20"/>
          <w:szCs w:val="20"/>
        </w:rPr>
        <w:t xml:space="preserve"> </w:t>
      </w:r>
      <w:r w:rsidR="00DD7320" w:rsidRPr="0059270C">
        <w:rPr>
          <w:rFonts w:ascii="Arial" w:hAnsi="Arial" w:cs="Arial"/>
          <w:sz w:val="20"/>
          <w:szCs w:val="20"/>
        </w:rPr>
        <w:t>and exhibit substantial variation in fuel use intensity across gear types and target species (Parker et al.,2018).</w:t>
      </w:r>
    </w:p>
    <w:p w14:paraId="7AEAA6EF" w14:textId="6C64BB2F" w:rsidR="00ED4BD1" w:rsidRPr="0059270C" w:rsidRDefault="00ED4BD1" w:rsidP="00382F5D">
      <w:pPr>
        <w:spacing w:line="480" w:lineRule="auto"/>
        <w:ind w:firstLine="720"/>
        <w:jc w:val="both"/>
        <w:rPr>
          <w:rFonts w:ascii="Arial" w:hAnsi="Arial" w:cs="Arial"/>
          <w:sz w:val="20"/>
          <w:szCs w:val="20"/>
          <w:lang w:val="en-US"/>
        </w:rPr>
      </w:pPr>
      <w:r w:rsidRPr="0059270C">
        <w:rPr>
          <w:rFonts w:ascii="Arial" w:hAnsi="Arial" w:cs="Arial"/>
          <w:sz w:val="20"/>
          <w:szCs w:val="20"/>
        </w:rPr>
        <w:t xml:space="preserve">Dolnet fisheries in Maharashtra differ widely in fuel use, materials, and operations. Mechanized boats with 20 to 64 HP engines consume up to 75 L of diesel per trip, while small artisanal units use under 20 L. Nets are mainly made from synthetic polymers like HDPE, PA, and PP, which are durable but carbon-intensive to produce. Offshore units operate longer and deeper, increasing emissions, </w:t>
      </w:r>
      <w:r w:rsidRPr="0059270C">
        <w:rPr>
          <w:rFonts w:ascii="Arial" w:hAnsi="Arial" w:cs="Arial"/>
          <w:sz w:val="20"/>
          <w:szCs w:val="20"/>
        </w:rPr>
        <w:lastRenderedPageBreak/>
        <w:t>whereas nearshore dolnets have lower impacts. Most discarded nets are not recycled, adding to marine litter, underscoring the need for fuel-efficient systems and biodegradable or recyclable gear materials.</w:t>
      </w:r>
    </w:p>
    <w:p w14:paraId="08E19CD1" w14:textId="21DB59F0" w:rsidR="007F7FF9" w:rsidRPr="0059270C" w:rsidRDefault="007F7FF9" w:rsidP="00382F5D">
      <w:pPr>
        <w:spacing w:line="480" w:lineRule="auto"/>
        <w:ind w:firstLine="720"/>
        <w:jc w:val="both"/>
        <w:rPr>
          <w:rFonts w:ascii="Arial" w:hAnsi="Arial" w:cs="Arial"/>
          <w:sz w:val="20"/>
          <w:szCs w:val="20"/>
          <w:lang w:val="en-US"/>
        </w:rPr>
      </w:pPr>
      <w:r w:rsidRPr="0059270C">
        <w:rPr>
          <w:rFonts w:ascii="Arial" w:hAnsi="Arial" w:cs="Arial"/>
          <w:sz w:val="20"/>
          <w:szCs w:val="20"/>
          <w:lang w:val="en-US"/>
        </w:rPr>
        <w:t>A Life Cycle Assessment (LCA) approach was applied to quantify and compare the environmental impacts of seven dolnet fishing systems operating along the Maharashtra coast, India. LCA provides a structured framework to assess resource use, emissions and waste generation across all stages of a product or process, identifying environmental hotspots and supporting sustainability-based decision making. The methodology followed the ISO 14040 and ISO 14044 standards ensuring alignment with globally accepted environmental assessment practices. The study assessed the cumulative energy demand, carbon footprint, and potential ecological impacts of dolnet fishing from material extraction to end-of-life disposal.</w:t>
      </w:r>
    </w:p>
    <w:p w14:paraId="0A4D7CF8" w14:textId="2CF5FD3C" w:rsidR="00E13941" w:rsidRPr="0059270C" w:rsidRDefault="00FF5C6E" w:rsidP="002A6F1C">
      <w:pPr>
        <w:spacing w:line="480" w:lineRule="auto"/>
        <w:ind w:firstLine="720"/>
        <w:jc w:val="both"/>
        <w:rPr>
          <w:rFonts w:ascii="Arial" w:hAnsi="Arial" w:cs="Arial"/>
          <w:sz w:val="20"/>
          <w:szCs w:val="20"/>
          <w:lang w:val="en-US"/>
        </w:rPr>
      </w:pPr>
      <w:r w:rsidRPr="0059270C">
        <w:rPr>
          <w:rFonts w:ascii="Arial" w:hAnsi="Arial" w:cs="Arial"/>
          <w:sz w:val="20"/>
          <w:szCs w:val="20"/>
          <w:lang w:val="en-US"/>
        </w:rPr>
        <w:t xml:space="preserve">The absence of detailed environmental assessments for these fisheries poses a significant challenge to effective resource management and evidence-based policy formulation. This knowledge gap limits the ability to quantify fuel use, greenhouse gas emissions, and other ecological impacts associated with small-scale fishing practices. Therefore, there is an urgent need for comprehensive LCA studies focusing on artisanal fisheries in India, particularly region-specific techniques. Such assessments would generate critical insights into the environmental footprint and sustainability of </w:t>
      </w:r>
      <w:proofErr w:type="gramStart"/>
      <w:r w:rsidRPr="0059270C">
        <w:rPr>
          <w:rFonts w:ascii="Arial" w:hAnsi="Arial" w:cs="Arial"/>
          <w:sz w:val="20"/>
          <w:szCs w:val="20"/>
          <w:lang w:val="en-US"/>
        </w:rPr>
        <w:t>small</w:t>
      </w:r>
      <w:r w:rsidR="00BB38BE">
        <w:rPr>
          <w:rFonts w:ascii="Arial" w:hAnsi="Arial" w:cs="Arial"/>
          <w:sz w:val="20"/>
          <w:szCs w:val="20"/>
          <w:lang w:val="en-US"/>
        </w:rPr>
        <w:t xml:space="preserve"> </w:t>
      </w:r>
      <w:r w:rsidRPr="0059270C">
        <w:rPr>
          <w:rFonts w:ascii="Arial" w:hAnsi="Arial" w:cs="Arial"/>
          <w:sz w:val="20"/>
          <w:szCs w:val="20"/>
          <w:lang w:val="en-US"/>
        </w:rPr>
        <w:t>scale</w:t>
      </w:r>
      <w:proofErr w:type="gramEnd"/>
      <w:r w:rsidRPr="0059270C">
        <w:rPr>
          <w:rFonts w:ascii="Arial" w:hAnsi="Arial" w:cs="Arial"/>
          <w:sz w:val="20"/>
          <w:szCs w:val="20"/>
          <w:lang w:val="en-US"/>
        </w:rPr>
        <w:t xml:space="preserve"> fisheries and support the development of targeted strategies that balance ecological conservation with the socio-economic dependence of coastal communities.</w:t>
      </w:r>
    </w:p>
    <w:p w14:paraId="7EB1C7D3" w14:textId="04F0A7AB" w:rsidR="007F7FF9" w:rsidRPr="0059270C" w:rsidRDefault="00EB74C7" w:rsidP="00382F5D">
      <w:pPr>
        <w:spacing w:line="480" w:lineRule="auto"/>
        <w:jc w:val="both"/>
        <w:rPr>
          <w:rFonts w:ascii="Arial" w:hAnsi="Arial" w:cs="Arial"/>
          <w:sz w:val="20"/>
          <w:szCs w:val="20"/>
          <w:lang w:val="en-US"/>
        </w:rPr>
      </w:pPr>
      <w:r w:rsidRPr="0059270C">
        <w:rPr>
          <w:rFonts w:ascii="Arial" w:hAnsi="Arial" w:cs="Arial"/>
          <w:sz w:val="20"/>
          <w:szCs w:val="20"/>
          <w:lang w:val="en-US"/>
        </w:rPr>
        <w:t xml:space="preserve">              </w:t>
      </w:r>
      <w:r w:rsidR="00E13941" w:rsidRPr="0059270C">
        <w:rPr>
          <w:rFonts w:ascii="Arial" w:hAnsi="Arial" w:cs="Arial"/>
          <w:sz w:val="20"/>
          <w:szCs w:val="20"/>
          <w:lang w:val="en-US"/>
        </w:rPr>
        <w:t xml:space="preserve">The present study addresses this gap by conducting a comparative Life Cycle Assessment of </w:t>
      </w:r>
      <w:r w:rsidR="007E1CBB" w:rsidRPr="0059270C">
        <w:rPr>
          <w:rFonts w:ascii="Arial" w:hAnsi="Arial" w:cs="Arial"/>
          <w:sz w:val="20"/>
          <w:szCs w:val="20"/>
          <w:lang w:val="en-US"/>
        </w:rPr>
        <w:t xml:space="preserve">now mention </w:t>
      </w:r>
      <w:r w:rsidR="00CF1F9A" w:rsidRPr="0059270C">
        <w:rPr>
          <w:rFonts w:ascii="Arial" w:hAnsi="Arial" w:cs="Arial"/>
          <w:sz w:val="20"/>
          <w:szCs w:val="20"/>
          <w:lang w:val="en-US"/>
        </w:rPr>
        <w:t xml:space="preserve">seven </w:t>
      </w:r>
      <w:r w:rsidR="00E13941" w:rsidRPr="0059270C">
        <w:rPr>
          <w:rFonts w:ascii="Arial" w:hAnsi="Arial" w:cs="Arial"/>
          <w:sz w:val="20"/>
          <w:szCs w:val="20"/>
          <w:lang w:val="en-US"/>
        </w:rPr>
        <w:t>dolnet designs commonly operated along the Maharashtra coast. Using SimaPro</w:t>
      </w:r>
      <w:r w:rsidR="00D14FE8" w:rsidRPr="0059270C">
        <w:rPr>
          <w:rFonts w:ascii="Arial" w:hAnsi="Arial" w:cs="Arial"/>
          <w:sz w:val="20"/>
          <w:szCs w:val="20"/>
          <w:lang w:val="en-US"/>
        </w:rPr>
        <w:t xml:space="preserve"> </w:t>
      </w:r>
      <w:r w:rsidR="006C5891" w:rsidRPr="0059270C">
        <w:rPr>
          <w:rFonts w:ascii="Arial" w:hAnsi="Arial" w:cs="Arial"/>
          <w:sz w:val="20"/>
          <w:szCs w:val="20"/>
          <w:lang w:val="en-US"/>
        </w:rPr>
        <w:t>V</w:t>
      </w:r>
      <w:r w:rsidR="00D14FE8" w:rsidRPr="0059270C">
        <w:rPr>
          <w:rFonts w:ascii="Arial" w:hAnsi="Arial" w:cs="Arial"/>
          <w:sz w:val="20"/>
          <w:szCs w:val="20"/>
          <w:lang w:val="en-US"/>
        </w:rPr>
        <w:t xml:space="preserve"> 9.</w:t>
      </w:r>
      <w:r w:rsidRPr="0059270C">
        <w:rPr>
          <w:rFonts w:ascii="Arial" w:hAnsi="Arial" w:cs="Arial"/>
          <w:sz w:val="20"/>
          <w:szCs w:val="20"/>
          <w:lang w:val="en-US"/>
        </w:rPr>
        <w:t>0</w:t>
      </w:r>
      <w:r w:rsidR="00E13941" w:rsidRPr="0059270C">
        <w:rPr>
          <w:rFonts w:ascii="Arial" w:hAnsi="Arial" w:cs="Arial"/>
          <w:sz w:val="20"/>
          <w:szCs w:val="20"/>
          <w:lang w:val="en-US"/>
        </w:rPr>
        <w:t xml:space="preserve"> software, the study evaluates environmental indicators such as Global Warming Potential, abiotic resource depletion and marine ecotoxicity to identify high-impact stages and potential improvements. The findings are expected to guide the adoption of low-impact, resource-efficient dolnet designs and contribute to the broader goals of sustainable and climate-resilient fisheries management under Sustainable Development Goal 14 (SDG 14).</w:t>
      </w:r>
    </w:p>
    <w:p w14:paraId="4047DF8F" w14:textId="2D96D848" w:rsidR="004B4483" w:rsidRPr="0059270C" w:rsidRDefault="009A1DC7" w:rsidP="00382F5D">
      <w:pPr>
        <w:spacing w:line="480" w:lineRule="auto"/>
        <w:jc w:val="both"/>
        <w:rPr>
          <w:rFonts w:ascii="Arial" w:hAnsi="Arial" w:cs="Arial"/>
          <w:b/>
          <w:bCs/>
        </w:rPr>
      </w:pPr>
      <w:r w:rsidRPr="0059270C">
        <w:rPr>
          <w:rFonts w:ascii="Arial" w:hAnsi="Arial" w:cs="Arial"/>
          <w:b/>
          <w:bCs/>
        </w:rPr>
        <w:t>2. Materials and Methods</w:t>
      </w:r>
    </w:p>
    <w:p w14:paraId="67561504" w14:textId="0F5B0957"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7F7FF9" w:rsidRPr="0059270C">
        <w:rPr>
          <w:rFonts w:ascii="Arial" w:hAnsi="Arial" w:cs="Arial"/>
          <w:b/>
          <w:bCs/>
          <w:sz w:val="20"/>
          <w:szCs w:val="20"/>
          <w:u w:val="single"/>
          <w:lang w:val="en-US"/>
        </w:rPr>
        <w:t>1</w:t>
      </w:r>
      <w:r w:rsidRPr="0059270C">
        <w:rPr>
          <w:rFonts w:ascii="Arial" w:hAnsi="Arial" w:cs="Arial"/>
          <w:b/>
          <w:bCs/>
          <w:sz w:val="20"/>
          <w:szCs w:val="20"/>
          <w:u w:val="single"/>
          <w:lang w:val="en-US"/>
        </w:rPr>
        <w:t xml:space="preserve"> Study Area</w:t>
      </w:r>
    </w:p>
    <w:p w14:paraId="53225269" w14:textId="3AE84B72" w:rsidR="007362F5" w:rsidRPr="0059270C" w:rsidRDefault="007362F5" w:rsidP="007362F5">
      <w:pPr>
        <w:spacing w:line="480" w:lineRule="auto"/>
        <w:ind w:firstLine="720"/>
        <w:jc w:val="both"/>
        <w:rPr>
          <w:rFonts w:ascii="Arial" w:hAnsi="Arial" w:cs="Arial"/>
          <w:sz w:val="20"/>
          <w:szCs w:val="20"/>
          <w:lang w:val="en-US"/>
        </w:rPr>
      </w:pPr>
      <w:r w:rsidRPr="0059270C">
        <w:rPr>
          <w:rFonts w:ascii="Arial" w:hAnsi="Arial" w:cs="Arial"/>
          <w:sz w:val="20"/>
          <w:szCs w:val="20"/>
          <w:lang w:val="en-US"/>
        </w:rPr>
        <w:t>The study was conducted along the Maharashtra coast (15°40′–20°00′ N; 72°45′–73°30′ E), a major marine fishing region of India. Five districts Palghar, Mumbai, Raigad, Ratnagiri and</w:t>
      </w:r>
      <w:r w:rsidR="00F13465" w:rsidRPr="0059270C">
        <w:rPr>
          <w:rFonts w:ascii="Arial" w:hAnsi="Arial" w:cs="Arial"/>
          <w:sz w:val="20"/>
          <w:szCs w:val="20"/>
          <w:lang w:val="en-US"/>
        </w:rPr>
        <w:t xml:space="preserve"> Mumbai suburban</w:t>
      </w:r>
      <w:r w:rsidRPr="0059270C">
        <w:rPr>
          <w:rFonts w:ascii="Arial" w:hAnsi="Arial" w:cs="Arial"/>
          <w:sz w:val="20"/>
          <w:szCs w:val="20"/>
          <w:lang w:val="en-US"/>
        </w:rPr>
        <w:t xml:space="preserve"> were selected to represent estuarine, nearshore, and offshore fishing conditions based on </w:t>
      </w:r>
      <w:r w:rsidRPr="0059270C">
        <w:rPr>
          <w:rFonts w:ascii="Arial" w:hAnsi="Arial" w:cs="Arial"/>
          <w:sz w:val="20"/>
          <w:szCs w:val="20"/>
          <w:lang w:val="en-US"/>
        </w:rPr>
        <w:lastRenderedPageBreak/>
        <w:t>the intensity of dolnet operations and gear diversity. Field surveys were undertaken from January 2024 to December 2025 covering pre-monsoon, monsoon, and post-monsoon seasons to capture seasonal variability in fishing effort, fuel use, and catch characteristics</w:t>
      </w:r>
      <w:r w:rsidR="009B2E24">
        <w:rPr>
          <w:rFonts w:ascii="Arial" w:hAnsi="Arial" w:cs="Arial"/>
          <w:sz w:val="20"/>
          <w:szCs w:val="20"/>
          <w:lang w:val="en-US"/>
        </w:rPr>
        <w:t xml:space="preserve"> (Figure 1)</w:t>
      </w:r>
      <w:r w:rsidRPr="0059270C">
        <w:rPr>
          <w:rFonts w:ascii="Arial" w:hAnsi="Arial" w:cs="Arial"/>
          <w:sz w:val="20"/>
          <w:szCs w:val="20"/>
          <w:lang w:val="en-US"/>
        </w:rPr>
        <w:t>.</w:t>
      </w:r>
    </w:p>
    <w:p w14:paraId="2A54963E" w14:textId="77777777" w:rsidR="007362F5" w:rsidRPr="0059270C" w:rsidRDefault="007362F5" w:rsidP="00382F5D">
      <w:pPr>
        <w:spacing w:line="480" w:lineRule="auto"/>
        <w:ind w:firstLine="720"/>
        <w:jc w:val="both"/>
        <w:rPr>
          <w:rFonts w:ascii="Arial" w:hAnsi="Arial" w:cs="Arial"/>
          <w:lang w:val="en-US"/>
        </w:rPr>
      </w:pPr>
    </w:p>
    <w:p w14:paraId="67B28FE6" w14:textId="6AB9EF4E" w:rsidR="007362F5" w:rsidRPr="0059270C" w:rsidRDefault="007362F5" w:rsidP="00C11719">
      <w:pPr>
        <w:spacing w:line="480" w:lineRule="auto"/>
        <w:jc w:val="both"/>
        <w:rPr>
          <w:rFonts w:ascii="Arial" w:hAnsi="Arial" w:cs="Arial"/>
          <w:lang w:val="en-US"/>
        </w:rPr>
      </w:pPr>
    </w:p>
    <w:p w14:paraId="58D165C7" w14:textId="7A1E7ED1" w:rsidR="007362F5" w:rsidRPr="0059270C" w:rsidRDefault="00782216" w:rsidP="00382F5D">
      <w:pPr>
        <w:spacing w:line="480" w:lineRule="auto"/>
        <w:ind w:firstLine="720"/>
        <w:jc w:val="both"/>
        <w:rPr>
          <w:rFonts w:ascii="Arial" w:hAnsi="Arial" w:cs="Arial"/>
          <w:lang w:val="en-US"/>
        </w:rPr>
      </w:pPr>
      <w:r w:rsidRPr="0059270C">
        <w:rPr>
          <w:rFonts w:ascii="Arial" w:hAnsi="Arial" w:cs="Arial"/>
          <w:noProof/>
          <w:sz w:val="20"/>
          <w:szCs w:val="20"/>
          <w:lang w:val="en-US"/>
        </w:rPr>
        <w:drawing>
          <wp:anchor distT="0" distB="0" distL="114300" distR="114300" simplePos="0" relativeHeight="251689984" behindDoc="0" locked="0" layoutInCell="1" allowOverlap="1" wp14:anchorId="0C3E1B99" wp14:editId="32B915D3">
            <wp:simplePos x="0" y="0"/>
            <wp:positionH relativeFrom="margin">
              <wp:posOffset>1446530</wp:posOffset>
            </wp:positionH>
            <wp:positionV relativeFrom="paragraph">
              <wp:posOffset>-276860</wp:posOffset>
            </wp:positionV>
            <wp:extent cx="3076575" cy="2264714"/>
            <wp:effectExtent l="19050" t="19050" r="9525" b="21590"/>
            <wp:wrapNone/>
            <wp:docPr id="2043458361" name="Picture 1" descr="A map of india 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8361" name="Picture 1" descr="A map of india and in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226471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10E1CFD" w14:textId="117589B8" w:rsidR="00B413FF" w:rsidRPr="0059270C" w:rsidRDefault="00B413FF" w:rsidP="00B93836">
      <w:pPr>
        <w:suppressLineNumbers/>
        <w:spacing w:line="480" w:lineRule="auto"/>
        <w:ind w:firstLine="720"/>
        <w:jc w:val="both"/>
        <w:rPr>
          <w:rFonts w:ascii="Arial" w:hAnsi="Arial" w:cs="Arial"/>
          <w:lang w:val="en-US"/>
        </w:rPr>
      </w:pPr>
    </w:p>
    <w:p w14:paraId="1B1793D9" w14:textId="42A02619" w:rsidR="00B413FF" w:rsidRPr="0059270C" w:rsidRDefault="00B413FF" w:rsidP="00B93836">
      <w:pPr>
        <w:suppressLineNumbers/>
        <w:spacing w:line="480" w:lineRule="auto"/>
        <w:ind w:firstLine="720"/>
        <w:jc w:val="both"/>
        <w:rPr>
          <w:rFonts w:ascii="Arial" w:hAnsi="Arial" w:cs="Arial"/>
          <w:lang w:val="en-US"/>
        </w:rPr>
      </w:pPr>
    </w:p>
    <w:p w14:paraId="57C3EB84" w14:textId="1682E343" w:rsidR="00C11719" w:rsidRDefault="00C11719" w:rsidP="002F56BA">
      <w:pPr>
        <w:suppressLineNumbers/>
        <w:spacing w:line="480" w:lineRule="auto"/>
        <w:ind w:right="20"/>
        <w:rPr>
          <w:rFonts w:ascii="Arial" w:hAnsi="Arial" w:cs="Arial"/>
          <w:b/>
          <w:bCs/>
          <w:sz w:val="20"/>
          <w:szCs w:val="20"/>
          <w:u w:val="single"/>
          <w:lang w:val="en-US"/>
        </w:rPr>
      </w:pPr>
    </w:p>
    <w:p w14:paraId="0C4A386A" w14:textId="77777777" w:rsidR="002F56BA" w:rsidRPr="0059270C" w:rsidRDefault="002F56BA" w:rsidP="002F56BA">
      <w:pPr>
        <w:suppressLineNumbers/>
        <w:spacing w:line="480" w:lineRule="auto"/>
        <w:ind w:right="20"/>
        <w:rPr>
          <w:rFonts w:ascii="Arial" w:eastAsia="Arial" w:hAnsi="Arial" w:cs="Arial"/>
          <w:b/>
          <w:sz w:val="20"/>
          <w:szCs w:val="20"/>
        </w:rPr>
      </w:pPr>
    </w:p>
    <w:p w14:paraId="0CEA1F69" w14:textId="28D19F10" w:rsidR="002A57D2" w:rsidRPr="0059270C" w:rsidRDefault="00B413FF" w:rsidP="00C11719">
      <w:pPr>
        <w:suppressLineNumbers/>
        <w:spacing w:line="480" w:lineRule="auto"/>
        <w:ind w:left="260" w:right="20"/>
        <w:jc w:val="center"/>
        <w:rPr>
          <w:rFonts w:ascii="Arial" w:eastAsia="Arial" w:hAnsi="Arial" w:cs="Arial"/>
          <w:b/>
          <w:sz w:val="20"/>
          <w:szCs w:val="20"/>
        </w:rPr>
      </w:pPr>
      <w:r w:rsidRPr="0059270C">
        <w:rPr>
          <w:rFonts w:ascii="Arial" w:eastAsia="Arial" w:hAnsi="Arial" w:cs="Arial"/>
          <w:b/>
          <w:sz w:val="20"/>
          <w:szCs w:val="20"/>
        </w:rPr>
        <w:t xml:space="preserve">Figure 1. </w:t>
      </w:r>
      <w:r w:rsidRPr="0059270C">
        <w:rPr>
          <w:rFonts w:ascii="Arial" w:eastAsia="Arial" w:hAnsi="Arial" w:cs="Arial"/>
          <w:bCs/>
          <w:sz w:val="20"/>
          <w:szCs w:val="20"/>
        </w:rPr>
        <w:t>Geographical location of sampling site</w:t>
      </w:r>
    </w:p>
    <w:p w14:paraId="47C7B58E" w14:textId="00BCAA95"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7F7FF9" w:rsidRPr="0059270C">
        <w:rPr>
          <w:rFonts w:ascii="Arial" w:hAnsi="Arial" w:cs="Arial"/>
          <w:b/>
          <w:bCs/>
          <w:sz w:val="20"/>
          <w:szCs w:val="20"/>
          <w:u w:val="single"/>
          <w:lang w:val="en-US"/>
        </w:rPr>
        <w:t>2</w:t>
      </w:r>
      <w:r w:rsidRPr="0059270C">
        <w:rPr>
          <w:rFonts w:ascii="Arial" w:hAnsi="Arial" w:cs="Arial"/>
          <w:b/>
          <w:bCs/>
          <w:sz w:val="20"/>
          <w:szCs w:val="20"/>
          <w:u w:val="single"/>
          <w:lang w:val="en-US"/>
        </w:rPr>
        <w:t xml:space="preserve"> Gear Specifications and Design Documentation</w:t>
      </w:r>
    </w:p>
    <w:p w14:paraId="52061681" w14:textId="11BA4C85" w:rsidR="0026775D" w:rsidRPr="0059270C" w:rsidRDefault="00D545DC" w:rsidP="007701B2">
      <w:pPr>
        <w:spacing w:line="480" w:lineRule="auto"/>
        <w:ind w:firstLine="720"/>
        <w:jc w:val="both"/>
        <w:rPr>
          <w:rFonts w:ascii="Arial" w:hAnsi="Arial" w:cs="Arial"/>
          <w:lang w:val="en-US"/>
        </w:rPr>
      </w:pPr>
      <w:r w:rsidRPr="0059270C">
        <w:rPr>
          <w:rFonts w:ascii="Times New Roman" w:hAnsi="Times New Roman" w:cs="Times New Roman"/>
          <w:noProof/>
          <w:lang w:val="en-US"/>
        </w:rPr>
        <w:drawing>
          <wp:anchor distT="0" distB="0" distL="114300" distR="114300" simplePos="0" relativeHeight="251692032" behindDoc="0" locked="0" layoutInCell="1" allowOverlap="1" wp14:anchorId="1D3BBE0F" wp14:editId="66309D5C">
            <wp:simplePos x="0" y="0"/>
            <wp:positionH relativeFrom="page">
              <wp:posOffset>2352675</wp:posOffset>
            </wp:positionH>
            <wp:positionV relativeFrom="paragraph">
              <wp:posOffset>2025650</wp:posOffset>
            </wp:positionV>
            <wp:extent cx="3286125" cy="2221230"/>
            <wp:effectExtent l="19050" t="19050" r="28575" b="26670"/>
            <wp:wrapNone/>
            <wp:docPr id="872365690" name="Picture 4"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65690" name="Picture 4" descr="A diagram of a compan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674"/>
                    <a:stretch>
                      <a:fillRect/>
                    </a:stretch>
                  </pic:blipFill>
                  <pic:spPr bwMode="auto">
                    <a:xfrm>
                      <a:off x="0" y="0"/>
                      <a:ext cx="3286125" cy="22212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40BF" w:rsidRPr="0059270C">
        <w:rPr>
          <w:rFonts w:ascii="Arial" w:hAnsi="Arial" w:cs="Arial"/>
          <w:sz w:val="20"/>
          <w:szCs w:val="20"/>
          <w:lang w:val="en-US"/>
        </w:rPr>
        <w:t xml:space="preserve">Seven dolnet designs commonly operated along the Maharashtra coast were documented and analyzed: Karanja </w:t>
      </w:r>
      <w:proofErr w:type="spellStart"/>
      <w:r w:rsidR="00A240BF" w:rsidRPr="0059270C">
        <w:rPr>
          <w:rFonts w:ascii="Arial" w:hAnsi="Arial" w:cs="Arial"/>
          <w:sz w:val="20"/>
          <w:szCs w:val="20"/>
          <w:lang w:val="en-US"/>
        </w:rPr>
        <w:t>Dolnet</w:t>
      </w:r>
      <w:proofErr w:type="spellEnd"/>
      <w:r w:rsidR="00A240BF" w:rsidRPr="0059270C">
        <w:rPr>
          <w:rFonts w:ascii="Arial" w:hAnsi="Arial" w:cs="Arial"/>
          <w:sz w:val="20"/>
          <w:szCs w:val="20"/>
          <w:lang w:val="en-US"/>
        </w:rPr>
        <w:t xml:space="preserve"> (Raigad), </w:t>
      </w:r>
      <w:proofErr w:type="spellStart"/>
      <w:r w:rsidR="00A240BF" w:rsidRPr="0059270C">
        <w:rPr>
          <w:rFonts w:ascii="Arial" w:hAnsi="Arial" w:cs="Arial"/>
          <w:sz w:val="20"/>
          <w:szCs w:val="20"/>
          <w:lang w:val="en-US"/>
        </w:rPr>
        <w:t>Rewas-Bodni</w:t>
      </w:r>
      <w:proofErr w:type="spellEnd"/>
      <w:r w:rsidR="00A240BF" w:rsidRPr="0059270C">
        <w:rPr>
          <w:rFonts w:ascii="Arial" w:hAnsi="Arial" w:cs="Arial"/>
          <w:sz w:val="20"/>
          <w:szCs w:val="20"/>
          <w:lang w:val="en-US"/>
        </w:rPr>
        <w:t xml:space="preserve"> </w:t>
      </w:r>
      <w:proofErr w:type="spellStart"/>
      <w:r w:rsidR="00A240BF" w:rsidRPr="0059270C">
        <w:rPr>
          <w:rFonts w:ascii="Arial" w:hAnsi="Arial" w:cs="Arial"/>
          <w:sz w:val="20"/>
          <w:szCs w:val="20"/>
          <w:lang w:val="en-US"/>
        </w:rPr>
        <w:t>Dolnet</w:t>
      </w:r>
      <w:proofErr w:type="spellEnd"/>
      <w:r w:rsidR="00A240BF" w:rsidRPr="0059270C">
        <w:rPr>
          <w:rFonts w:ascii="Arial" w:hAnsi="Arial" w:cs="Arial"/>
          <w:sz w:val="20"/>
          <w:szCs w:val="20"/>
          <w:lang w:val="en-US"/>
        </w:rPr>
        <w:t xml:space="preserve"> (Raigad), </w:t>
      </w:r>
      <w:proofErr w:type="spellStart"/>
      <w:r w:rsidR="00A240BF" w:rsidRPr="0059270C">
        <w:rPr>
          <w:rFonts w:ascii="Arial" w:hAnsi="Arial" w:cs="Arial"/>
          <w:sz w:val="20"/>
          <w:szCs w:val="20"/>
          <w:lang w:val="en-US"/>
        </w:rPr>
        <w:t>Bokshi</w:t>
      </w:r>
      <w:proofErr w:type="spellEnd"/>
      <w:r w:rsidR="00A240BF" w:rsidRPr="0059270C">
        <w:rPr>
          <w:rFonts w:ascii="Arial" w:hAnsi="Arial" w:cs="Arial"/>
          <w:sz w:val="20"/>
          <w:szCs w:val="20"/>
          <w:lang w:val="en-US"/>
        </w:rPr>
        <w:t xml:space="preserve"> and Dabang Dolnets (Versova, Mumbai), Pachubandar Dolnet (Palghar), Mosquito Dolnet (Ratnagiri) and Sajachi Dolnet (Ratnagiri). Each design was examined for structural configuration, total length, section type, mesh gradation, and material composition. Special emphasis was placed on the relationship between design variation and operational energy demand. Technical diagrams and specifications were developed for each gear type to ensure accurate representation of structural heterogeneity (Fig</w:t>
      </w:r>
      <w:r w:rsidR="009B2E24">
        <w:rPr>
          <w:rFonts w:ascii="Arial" w:hAnsi="Arial" w:cs="Arial"/>
          <w:sz w:val="20"/>
          <w:szCs w:val="20"/>
          <w:lang w:val="en-US"/>
        </w:rPr>
        <w:t>ure</w:t>
      </w:r>
      <w:r w:rsidR="00A240BF" w:rsidRPr="0059270C">
        <w:rPr>
          <w:rFonts w:ascii="Arial" w:hAnsi="Arial" w:cs="Arial"/>
          <w:sz w:val="20"/>
          <w:szCs w:val="20"/>
          <w:lang w:val="en-US"/>
        </w:rPr>
        <w:t xml:space="preserve"> </w:t>
      </w:r>
      <w:r w:rsidR="00961136" w:rsidRPr="0059270C">
        <w:rPr>
          <w:rFonts w:ascii="Arial" w:hAnsi="Arial" w:cs="Arial"/>
          <w:sz w:val="20"/>
          <w:szCs w:val="20"/>
          <w:lang w:val="en-US"/>
        </w:rPr>
        <w:t>2</w:t>
      </w:r>
      <w:r w:rsidR="00A240BF" w:rsidRPr="0059270C">
        <w:rPr>
          <w:rFonts w:ascii="Arial" w:hAnsi="Arial" w:cs="Arial"/>
          <w:sz w:val="20"/>
          <w:szCs w:val="20"/>
          <w:lang w:val="en-US"/>
        </w:rPr>
        <w:t>)</w:t>
      </w:r>
      <w:r w:rsidR="00A240BF" w:rsidRPr="0059270C">
        <w:rPr>
          <w:rFonts w:ascii="Arial" w:hAnsi="Arial" w:cs="Arial"/>
          <w:lang w:val="en-US"/>
        </w:rPr>
        <w:t>.</w:t>
      </w:r>
    </w:p>
    <w:p w14:paraId="03BAEC73" w14:textId="17FBEF3A" w:rsidR="00B413FF" w:rsidRPr="0059270C" w:rsidRDefault="00B413FF" w:rsidP="00B93836">
      <w:pPr>
        <w:suppressLineNumbers/>
        <w:spacing w:line="480" w:lineRule="auto"/>
        <w:ind w:firstLine="720"/>
        <w:jc w:val="both"/>
        <w:rPr>
          <w:rFonts w:ascii="Arial" w:hAnsi="Arial" w:cs="Arial"/>
          <w:lang w:val="en-US"/>
        </w:rPr>
      </w:pPr>
    </w:p>
    <w:p w14:paraId="27AE802B" w14:textId="612B0175" w:rsidR="00B413FF" w:rsidRPr="0059270C" w:rsidRDefault="00B413FF" w:rsidP="00B93836">
      <w:pPr>
        <w:suppressLineNumbers/>
        <w:spacing w:line="480" w:lineRule="auto"/>
        <w:ind w:firstLine="720"/>
        <w:jc w:val="both"/>
        <w:rPr>
          <w:rFonts w:ascii="Arial" w:hAnsi="Arial" w:cs="Arial"/>
          <w:lang w:val="en-US"/>
        </w:rPr>
      </w:pPr>
    </w:p>
    <w:p w14:paraId="45811C31" w14:textId="530CB5F1" w:rsidR="00B413FF" w:rsidRPr="0059270C" w:rsidRDefault="00B413FF" w:rsidP="00B93836">
      <w:pPr>
        <w:suppressLineNumbers/>
        <w:spacing w:line="480" w:lineRule="auto"/>
        <w:ind w:firstLine="720"/>
        <w:jc w:val="both"/>
        <w:rPr>
          <w:rFonts w:ascii="Arial" w:hAnsi="Arial" w:cs="Arial"/>
          <w:lang w:val="en-US"/>
        </w:rPr>
      </w:pPr>
    </w:p>
    <w:p w14:paraId="3AEE55AE" w14:textId="7785F233" w:rsidR="00B413FF" w:rsidRPr="0059270C" w:rsidRDefault="00B413FF" w:rsidP="00B93836">
      <w:pPr>
        <w:suppressLineNumbers/>
        <w:spacing w:line="480" w:lineRule="auto"/>
        <w:ind w:firstLine="720"/>
        <w:jc w:val="both"/>
        <w:rPr>
          <w:rFonts w:ascii="Arial" w:hAnsi="Arial" w:cs="Arial"/>
          <w:lang w:val="en-US"/>
        </w:rPr>
      </w:pPr>
    </w:p>
    <w:p w14:paraId="16D777C0" w14:textId="77777777" w:rsidR="00B413FF" w:rsidRPr="0059270C" w:rsidRDefault="00B413FF" w:rsidP="00B93836">
      <w:pPr>
        <w:suppressLineNumbers/>
        <w:spacing w:line="480" w:lineRule="auto"/>
        <w:rPr>
          <w:rFonts w:ascii="Times New Roman" w:hAnsi="Times New Roman" w:cs="Times New Roman"/>
          <w:b/>
          <w:bCs/>
          <w:sz w:val="24"/>
          <w:szCs w:val="24"/>
        </w:rPr>
      </w:pPr>
    </w:p>
    <w:p w14:paraId="09B7B941" w14:textId="107C4566" w:rsidR="00B413FF" w:rsidRPr="0059270C" w:rsidRDefault="00B413FF" w:rsidP="00B413FF">
      <w:pPr>
        <w:spacing w:line="480" w:lineRule="auto"/>
        <w:ind w:left="1440" w:firstLine="720"/>
        <w:rPr>
          <w:rFonts w:ascii="Arial" w:hAnsi="Arial" w:cs="Arial"/>
          <w:sz w:val="24"/>
          <w:szCs w:val="24"/>
          <w:lang w:val="en-US"/>
        </w:rPr>
      </w:pPr>
      <w:r w:rsidRPr="0059270C">
        <w:rPr>
          <w:rFonts w:ascii="Times New Roman" w:hAnsi="Times New Roman" w:cs="Times New Roman"/>
          <w:b/>
          <w:bCs/>
          <w:sz w:val="24"/>
          <w:szCs w:val="24"/>
        </w:rPr>
        <w:t xml:space="preserve">       </w:t>
      </w:r>
      <w:r w:rsidRPr="0059270C">
        <w:rPr>
          <w:rFonts w:ascii="Arial" w:hAnsi="Arial" w:cs="Arial"/>
          <w:b/>
          <w:bCs/>
          <w:sz w:val="20"/>
          <w:szCs w:val="20"/>
        </w:rPr>
        <w:t>Figure 2.</w:t>
      </w:r>
      <w:r w:rsidRPr="0059270C">
        <w:rPr>
          <w:rFonts w:ascii="Arial" w:hAnsi="Arial" w:cs="Arial"/>
          <w:sz w:val="20"/>
          <w:szCs w:val="20"/>
        </w:rPr>
        <w:t xml:space="preserve"> LCA system boundary and process flow</w:t>
      </w:r>
    </w:p>
    <w:p w14:paraId="2C74FD30" w14:textId="41AFA0C7"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lastRenderedPageBreak/>
        <w:t>2.</w:t>
      </w:r>
      <w:r w:rsidR="007F7FF9" w:rsidRPr="0059270C">
        <w:rPr>
          <w:rFonts w:ascii="Arial" w:hAnsi="Arial" w:cs="Arial"/>
          <w:b/>
          <w:bCs/>
          <w:sz w:val="20"/>
          <w:szCs w:val="20"/>
          <w:u w:val="single"/>
          <w:lang w:val="en-US"/>
        </w:rPr>
        <w:t>3</w:t>
      </w:r>
      <w:r w:rsidRPr="0059270C">
        <w:rPr>
          <w:rFonts w:ascii="Arial" w:hAnsi="Arial" w:cs="Arial"/>
          <w:b/>
          <w:bCs/>
          <w:sz w:val="20"/>
          <w:szCs w:val="20"/>
          <w:u w:val="single"/>
          <w:lang w:val="en-US"/>
        </w:rPr>
        <w:t xml:space="preserve"> Data Collection</w:t>
      </w:r>
    </w:p>
    <w:p w14:paraId="04074058" w14:textId="34627EE4" w:rsidR="00B413FF" w:rsidRPr="0059270C" w:rsidRDefault="007F7FF9" w:rsidP="001632A2">
      <w:pPr>
        <w:spacing w:line="480" w:lineRule="auto"/>
        <w:ind w:firstLine="720"/>
        <w:jc w:val="both"/>
        <w:rPr>
          <w:rFonts w:ascii="Arial" w:hAnsi="Arial" w:cs="Arial"/>
          <w:sz w:val="20"/>
          <w:szCs w:val="20"/>
        </w:rPr>
      </w:pPr>
      <w:r w:rsidRPr="0059270C">
        <w:rPr>
          <w:rFonts w:ascii="Arial" w:hAnsi="Arial" w:cs="Arial"/>
          <w:sz w:val="20"/>
          <w:szCs w:val="20"/>
        </w:rPr>
        <w:t>Primary data were gathered through structured surveys and on-site measurements across the five coastal districts of Maharashtra. The survey captured detailed information on vessel characteristics, gear fabrication, and fishing operations to ensure accurate life cycle inventory development. The summarized data collection framework is presented in Table 1 outlining the type of information recorded and the corresponding data sources used for the Life Cycle Assessment (LCA) of dolnet fisheries.</w:t>
      </w:r>
      <w:r w:rsidR="00D3756D" w:rsidRPr="0059270C">
        <w:rPr>
          <w:rFonts w:ascii="Arial" w:hAnsi="Arial" w:cs="Arial"/>
          <w:sz w:val="20"/>
          <w:szCs w:val="20"/>
        </w:rPr>
        <w:t xml:space="preserve"> </w:t>
      </w:r>
    </w:p>
    <w:p w14:paraId="752D35D9" w14:textId="7B43A5C0" w:rsidR="00B413FF" w:rsidRPr="0059270C" w:rsidRDefault="00B413FF" w:rsidP="00382F5D">
      <w:pPr>
        <w:spacing w:line="480" w:lineRule="auto"/>
        <w:jc w:val="both"/>
        <w:rPr>
          <w:rFonts w:ascii="Arial" w:hAnsi="Arial" w:cs="Arial"/>
        </w:rPr>
      </w:pPr>
      <w:r w:rsidRPr="0059270C">
        <w:rPr>
          <w:rFonts w:ascii="Arial" w:hAnsi="Arial" w:cs="Arial"/>
          <w:b/>
          <w:bCs/>
        </w:rPr>
        <w:t xml:space="preserve"> </w:t>
      </w:r>
      <w:r w:rsidRPr="0059270C">
        <w:rPr>
          <w:rFonts w:ascii="Arial" w:hAnsi="Arial" w:cs="Arial"/>
          <w:b/>
          <w:bCs/>
          <w:sz w:val="20"/>
          <w:szCs w:val="20"/>
        </w:rPr>
        <w:t>Table 1</w:t>
      </w:r>
      <w:r w:rsidRPr="0059270C">
        <w:rPr>
          <w:rFonts w:ascii="Arial" w:hAnsi="Arial" w:cs="Arial"/>
          <w:sz w:val="20"/>
          <w:szCs w:val="20"/>
        </w:rPr>
        <w:t>. Data Collection Framework for Dolnet Fisheries Assessment</w:t>
      </w:r>
    </w:p>
    <w:tbl>
      <w:tblPr>
        <w:tblStyle w:val="TableGrid"/>
        <w:tblpPr w:leftFromText="180" w:rightFromText="180" w:vertAnchor="page" w:horzAnchor="margin" w:tblpY="2266"/>
        <w:tblW w:w="0" w:type="auto"/>
        <w:tblLook w:val="04A0" w:firstRow="1" w:lastRow="0" w:firstColumn="1" w:lastColumn="0" w:noHBand="0" w:noVBand="1"/>
      </w:tblPr>
      <w:tblGrid>
        <w:gridCol w:w="3509"/>
        <w:gridCol w:w="5507"/>
      </w:tblGrid>
      <w:tr w:rsidR="00EF0F60" w:rsidRPr="0059270C" w14:paraId="43D6B362" w14:textId="77777777" w:rsidTr="006C224C">
        <w:tc>
          <w:tcPr>
            <w:tcW w:w="0" w:type="auto"/>
            <w:hideMark/>
          </w:tcPr>
          <w:p w14:paraId="0A3AC817" w14:textId="77777777" w:rsidR="00EF0F60" w:rsidRPr="0059270C" w:rsidRDefault="00EF0F60" w:rsidP="006C224C">
            <w:pPr>
              <w:spacing w:line="480" w:lineRule="auto"/>
              <w:jc w:val="center"/>
              <w:rPr>
                <w:rFonts w:ascii="Arial" w:hAnsi="Arial" w:cs="Arial"/>
                <w:b/>
                <w:bCs/>
                <w:sz w:val="20"/>
                <w:szCs w:val="20"/>
                <w:lang w:val="en-US"/>
              </w:rPr>
            </w:pPr>
            <w:r w:rsidRPr="0059270C">
              <w:rPr>
                <w:rFonts w:ascii="Arial" w:hAnsi="Arial" w:cs="Arial"/>
                <w:b/>
                <w:bCs/>
                <w:sz w:val="20"/>
                <w:szCs w:val="20"/>
                <w:lang w:val="en-US"/>
              </w:rPr>
              <w:t>Category</w:t>
            </w:r>
          </w:p>
        </w:tc>
        <w:tc>
          <w:tcPr>
            <w:tcW w:w="0" w:type="auto"/>
            <w:hideMark/>
          </w:tcPr>
          <w:p w14:paraId="0C1AD94C" w14:textId="77777777" w:rsidR="00EF0F60" w:rsidRPr="0059270C" w:rsidRDefault="00EF0F60" w:rsidP="006C224C">
            <w:pPr>
              <w:spacing w:line="480" w:lineRule="auto"/>
              <w:jc w:val="center"/>
              <w:rPr>
                <w:rFonts w:ascii="Arial" w:hAnsi="Arial" w:cs="Arial"/>
                <w:b/>
                <w:bCs/>
                <w:sz w:val="20"/>
                <w:szCs w:val="20"/>
                <w:lang w:val="en-US"/>
              </w:rPr>
            </w:pPr>
            <w:r w:rsidRPr="0059270C">
              <w:rPr>
                <w:rFonts w:ascii="Arial" w:hAnsi="Arial" w:cs="Arial"/>
                <w:b/>
                <w:bCs/>
                <w:sz w:val="20"/>
                <w:szCs w:val="20"/>
                <w:lang w:val="en-US"/>
              </w:rPr>
              <w:t>Data Collected</w:t>
            </w:r>
          </w:p>
        </w:tc>
      </w:tr>
      <w:tr w:rsidR="00EF0F60" w:rsidRPr="0059270C" w14:paraId="6356AA15" w14:textId="77777777" w:rsidTr="006C224C">
        <w:tc>
          <w:tcPr>
            <w:tcW w:w="0" w:type="auto"/>
            <w:hideMark/>
          </w:tcPr>
          <w:p w14:paraId="1EAC97F0"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b/>
                <w:bCs/>
                <w:sz w:val="20"/>
                <w:szCs w:val="20"/>
                <w:lang w:val="en-US"/>
              </w:rPr>
              <w:t>Vessel Construction Parameters</w:t>
            </w:r>
          </w:p>
        </w:tc>
        <w:tc>
          <w:tcPr>
            <w:tcW w:w="0" w:type="auto"/>
            <w:hideMark/>
          </w:tcPr>
          <w:p w14:paraId="5E4D83CA"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sz w:val="20"/>
                <w:szCs w:val="20"/>
                <w:lang w:val="en-US"/>
              </w:rPr>
              <w:t>Material type, vessel size, engine capacity</w:t>
            </w:r>
          </w:p>
        </w:tc>
      </w:tr>
      <w:tr w:rsidR="00EF0F60" w:rsidRPr="0059270C" w14:paraId="424A71FC" w14:textId="77777777" w:rsidTr="006C224C">
        <w:tc>
          <w:tcPr>
            <w:tcW w:w="0" w:type="auto"/>
            <w:hideMark/>
          </w:tcPr>
          <w:p w14:paraId="0EC7D2DB"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b/>
                <w:bCs/>
                <w:sz w:val="20"/>
                <w:szCs w:val="20"/>
                <w:lang w:val="en-US"/>
              </w:rPr>
              <w:t>Gear Fabrication and Rigging Components</w:t>
            </w:r>
          </w:p>
        </w:tc>
        <w:tc>
          <w:tcPr>
            <w:tcW w:w="0" w:type="auto"/>
            <w:hideMark/>
          </w:tcPr>
          <w:p w14:paraId="22F0CC44"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sz w:val="20"/>
                <w:szCs w:val="20"/>
                <w:lang w:val="en-US"/>
              </w:rPr>
              <w:t>Twine type (HDPE, PA, PP), floats, sinkers, ropes, and other rigging materials</w:t>
            </w:r>
          </w:p>
        </w:tc>
      </w:tr>
      <w:tr w:rsidR="00EF0F60" w:rsidRPr="0059270C" w14:paraId="2F3BCA69" w14:textId="77777777" w:rsidTr="006C224C">
        <w:tc>
          <w:tcPr>
            <w:tcW w:w="0" w:type="auto"/>
            <w:hideMark/>
          </w:tcPr>
          <w:p w14:paraId="3D03B746"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b/>
                <w:bCs/>
                <w:sz w:val="20"/>
                <w:szCs w:val="20"/>
                <w:lang w:val="en-US"/>
              </w:rPr>
              <w:t>Operational Data</w:t>
            </w:r>
          </w:p>
        </w:tc>
        <w:tc>
          <w:tcPr>
            <w:tcW w:w="0" w:type="auto"/>
            <w:hideMark/>
          </w:tcPr>
          <w:p w14:paraId="529AD364" w14:textId="77777777" w:rsidR="00EF0F60" w:rsidRPr="0059270C" w:rsidRDefault="00EF0F60" w:rsidP="006C224C">
            <w:pPr>
              <w:spacing w:line="480" w:lineRule="auto"/>
              <w:jc w:val="both"/>
              <w:rPr>
                <w:rFonts w:ascii="Arial" w:hAnsi="Arial" w:cs="Arial"/>
                <w:sz w:val="20"/>
                <w:szCs w:val="20"/>
                <w:lang w:val="en-US"/>
              </w:rPr>
            </w:pPr>
            <w:r w:rsidRPr="0059270C">
              <w:rPr>
                <w:rFonts w:ascii="Arial" w:hAnsi="Arial" w:cs="Arial"/>
                <w:sz w:val="20"/>
                <w:szCs w:val="20"/>
                <w:lang w:val="en-US"/>
              </w:rPr>
              <w:t>Trip duration, fuel consumption, ice and water use, catch composition</w:t>
            </w:r>
          </w:p>
        </w:tc>
      </w:tr>
    </w:tbl>
    <w:p w14:paraId="55F160CB" w14:textId="77777777" w:rsidR="001632A2" w:rsidRPr="0059270C" w:rsidRDefault="001632A2" w:rsidP="00382F5D">
      <w:pPr>
        <w:spacing w:line="480" w:lineRule="auto"/>
        <w:jc w:val="both"/>
        <w:rPr>
          <w:rFonts w:ascii="Arial" w:hAnsi="Arial" w:cs="Arial"/>
          <w:b/>
          <w:bCs/>
          <w:sz w:val="20"/>
          <w:szCs w:val="20"/>
          <w:u w:val="single"/>
        </w:rPr>
      </w:pPr>
    </w:p>
    <w:p w14:paraId="7DAAE140" w14:textId="6FFDC2F5"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7F7FF9" w:rsidRPr="0059270C">
        <w:rPr>
          <w:rFonts w:ascii="Arial" w:hAnsi="Arial" w:cs="Arial"/>
          <w:b/>
          <w:bCs/>
          <w:sz w:val="20"/>
          <w:szCs w:val="20"/>
          <w:u w:val="single"/>
          <w:lang w:val="en-US"/>
        </w:rPr>
        <w:t>4</w:t>
      </w:r>
      <w:r w:rsidRPr="0059270C">
        <w:rPr>
          <w:rFonts w:ascii="Arial" w:hAnsi="Arial" w:cs="Arial"/>
          <w:b/>
          <w:bCs/>
          <w:sz w:val="20"/>
          <w:szCs w:val="20"/>
          <w:u w:val="single"/>
          <w:lang w:val="en-US"/>
        </w:rPr>
        <w:t xml:space="preserve"> Data Analysis and Modelling Framework</w:t>
      </w:r>
    </w:p>
    <w:p w14:paraId="35549CC0" w14:textId="5719AE32" w:rsidR="0012356C" w:rsidRPr="0059270C" w:rsidRDefault="0012356C" w:rsidP="002F56BA">
      <w:pPr>
        <w:spacing w:line="480" w:lineRule="auto"/>
        <w:ind w:firstLine="720"/>
        <w:jc w:val="both"/>
        <w:rPr>
          <w:rFonts w:ascii="Arial" w:hAnsi="Arial" w:cs="Arial"/>
          <w:sz w:val="20"/>
          <w:szCs w:val="20"/>
          <w:lang w:val="en-US"/>
        </w:rPr>
      </w:pPr>
      <w:r w:rsidRPr="0059270C">
        <w:rPr>
          <w:rFonts w:ascii="Arial" w:hAnsi="Arial" w:cs="Arial"/>
          <w:sz w:val="20"/>
          <w:szCs w:val="20"/>
        </w:rPr>
        <w:t>Life Cycle Assessment modelling was carried out using SimaPro 9.0 in accordance with ISO 14040 and ISO 14044 standards, applying the CML-IA Baseline and IPCC (100a) methods. Environmental impacts assessed included Global Warming Potential, abiotic resource depletion, human and marine ecotoxicity, acidification, and eutrophication, enabling identification of design-specific environmental hotspots. Global Warming Potential was evaluated over a 100-year time horizon following IPCC guidelines (Kim et al., 2016). The dolnet fishery system was structured into three sub-systems: vessel construction and maintenance, gear fabrication and upkeep, and fishing operations, thereby capturing material and energy flows from construction through active fishing activities</w:t>
      </w:r>
      <w:r w:rsidR="009E3A80" w:rsidRPr="0059270C">
        <w:rPr>
          <w:rFonts w:ascii="Arial" w:hAnsi="Arial" w:cs="Arial"/>
          <w:sz w:val="20"/>
          <w:szCs w:val="20"/>
        </w:rPr>
        <w:t xml:space="preserve"> (Avadi and Freon </w:t>
      </w:r>
      <w:proofErr w:type="gramStart"/>
      <w:r w:rsidR="009E3A80" w:rsidRPr="0059270C">
        <w:rPr>
          <w:rFonts w:ascii="Arial" w:hAnsi="Arial" w:cs="Arial"/>
          <w:sz w:val="20"/>
          <w:szCs w:val="20"/>
        </w:rPr>
        <w:t>2013)</w:t>
      </w:r>
      <w:r w:rsidR="009B2E24">
        <w:rPr>
          <w:rFonts w:ascii="Arial" w:hAnsi="Arial" w:cs="Arial"/>
          <w:sz w:val="20"/>
          <w:szCs w:val="20"/>
        </w:rPr>
        <w:t>(</w:t>
      </w:r>
      <w:proofErr w:type="gramEnd"/>
      <w:r w:rsidR="009B2E24">
        <w:rPr>
          <w:rFonts w:ascii="Arial" w:hAnsi="Arial" w:cs="Arial"/>
          <w:sz w:val="20"/>
          <w:szCs w:val="20"/>
        </w:rPr>
        <w:t>Figure 3)</w:t>
      </w:r>
      <w:r w:rsidRPr="0059270C">
        <w:rPr>
          <w:rFonts w:ascii="Arial" w:hAnsi="Arial" w:cs="Arial"/>
          <w:sz w:val="20"/>
          <w:szCs w:val="20"/>
        </w:rPr>
        <w:t>.</w:t>
      </w:r>
    </w:p>
    <w:p w14:paraId="78E392A6" w14:textId="6E0DE634" w:rsidR="0012356C" w:rsidRPr="0059270C" w:rsidRDefault="0012356C" w:rsidP="00382F5D">
      <w:pPr>
        <w:spacing w:line="480" w:lineRule="auto"/>
        <w:jc w:val="both"/>
        <w:rPr>
          <w:rFonts w:ascii="Arial" w:hAnsi="Arial" w:cs="Arial"/>
          <w:b/>
          <w:bCs/>
          <w:sz w:val="20"/>
          <w:szCs w:val="20"/>
          <w:u w:val="single"/>
          <w:lang w:val="en-US"/>
        </w:rPr>
      </w:pPr>
    </w:p>
    <w:p w14:paraId="3A391A7B" w14:textId="519647EF" w:rsidR="0012356C" w:rsidRPr="0059270C" w:rsidRDefault="0012356C" w:rsidP="00382F5D">
      <w:pPr>
        <w:spacing w:line="480" w:lineRule="auto"/>
        <w:jc w:val="both"/>
        <w:rPr>
          <w:rFonts w:ascii="Arial" w:hAnsi="Arial" w:cs="Arial"/>
          <w:b/>
          <w:bCs/>
          <w:sz w:val="20"/>
          <w:szCs w:val="20"/>
          <w:u w:val="single"/>
          <w:lang w:val="en-US"/>
        </w:rPr>
      </w:pPr>
    </w:p>
    <w:p w14:paraId="2E6EAFB7" w14:textId="51AE41DB" w:rsidR="00B413FF" w:rsidRPr="0059270C" w:rsidRDefault="00B413FF" w:rsidP="00B93836">
      <w:pPr>
        <w:suppressLineNumbers/>
        <w:spacing w:line="480" w:lineRule="auto"/>
        <w:ind w:firstLine="360"/>
        <w:jc w:val="both"/>
        <w:rPr>
          <w:rFonts w:ascii="Arial" w:hAnsi="Arial" w:cs="Arial"/>
        </w:rPr>
      </w:pPr>
    </w:p>
    <w:p w14:paraId="2FEFA3C3" w14:textId="39C0D8A8" w:rsidR="00B413FF" w:rsidRPr="0059270C" w:rsidRDefault="00B413FF" w:rsidP="00B93836">
      <w:pPr>
        <w:suppressLineNumbers/>
        <w:spacing w:line="480" w:lineRule="auto"/>
        <w:ind w:firstLine="360"/>
        <w:jc w:val="both"/>
        <w:rPr>
          <w:rFonts w:ascii="Arial" w:hAnsi="Arial" w:cs="Arial"/>
        </w:rPr>
      </w:pPr>
    </w:p>
    <w:p w14:paraId="5F29FCF7" w14:textId="49BC7754" w:rsidR="00B413FF" w:rsidRPr="0059270C" w:rsidRDefault="00B413FF" w:rsidP="00B93836">
      <w:pPr>
        <w:suppressLineNumbers/>
        <w:spacing w:line="480" w:lineRule="auto"/>
        <w:ind w:firstLine="360"/>
        <w:jc w:val="both"/>
        <w:rPr>
          <w:rFonts w:ascii="Arial" w:hAnsi="Arial" w:cs="Arial"/>
        </w:rPr>
      </w:pPr>
    </w:p>
    <w:p w14:paraId="207ADBE8" w14:textId="2A2FB39E" w:rsidR="00B413FF" w:rsidRPr="0059270C" w:rsidRDefault="00B413FF" w:rsidP="00B93836">
      <w:pPr>
        <w:suppressLineNumbers/>
        <w:spacing w:line="480" w:lineRule="auto"/>
        <w:ind w:firstLine="360"/>
        <w:jc w:val="both"/>
        <w:rPr>
          <w:rFonts w:ascii="Arial" w:hAnsi="Arial" w:cs="Arial"/>
        </w:rPr>
      </w:pPr>
    </w:p>
    <w:p w14:paraId="2558B70C" w14:textId="60EE1079" w:rsidR="00B413FF" w:rsidRPr="0059270C" w:rsidRDefault="00B413FF" w:rsidP="00B93836">
      <w:pPr>
        <w:suppressLineNumbers/>
        <w:spacing w:line="480" w:lineRule="auto"/>
        <w:ind w:firstLine="360"/>
        <w:jc w:val="both"/>
        <w:rPr>
          <w:rFonts w:ascii="Arial" w:hAnsi="Arial" w:cs="Arial"/>
          <w:lang w:val="en-US"/>
        </w:rPr>
      </w:pPr>
    </w:p>
    <w:p w14:paraId="334B60FB" w14:textId="27FACF18" w:rsidR="003203B6" w:rsidRPr="0059270C" w:rsidRDefault="00EF0F60" w:rsidP="00B93836">
      <w:pPr>
        <w:suppressLineNumbers/>
        <w:tabs>
          <w:tab w:val="left" w:pos="3678"/>
        </w:tabs>
        <w:spacing w:line="480" w:lineRule="auto"/>
        <w:rPr>
          <w:rFonts w:ascii="Arial" w:hAnsi="Arial" w:cs="Arial"/>
          <w:b/>
          <w:bCs/>
          <w:u w:val="single"/>
          <w:lang w:val="en-US"/>
        </w:rPr>
      </w:pPr>
      <w:r w:rsidRPr="0059270C">
        <w:rPr>
          <w:noProof/>
          <w:sz w:val="24"/>
          <w:szCs w:val="24"/>
        </w:rPr>
        <w:drawing>
          <wp:anchor distT="0" distB="0" distL="114300" distR="114300" simplePos="0" relativeHeight="251694080" behindDoc="0" locked="0" layoutInCell="1" allowOverlap="1" wp14:anchorId="543E5E1C" wp14:editId="41B5145B">
            <wp:simplePos x="0" y="0"/>
            <wp:positionH relativeFrom="margin">
              <wp:posOffset>925760</wp:posOffset>
            </wp:positionH>
            <wp:positionV relativeFrom="paragraph">
              <wp:posOffset>-2530</wp:posOffset>
            </wp:positionV>
            <wp:extent cx="4056150" cy="3224194"/>
            <wp:effectExtent l="19050" t="19050" r="20955" b="14605"/>
            <wp:wrapNone/>
            <wp:docPr id="691601359" name="Picture 1" descr="A diagram of a fishing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01359" name="Picture 1" descr="A diagram of a fishing opera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5"/>
                    <a:stretch>
                      <a:fillRect/>
                    </a:stretch>
                  </pic:blipFill>
                  <pic:spPr bwMode="auto">
                    <a:xfrm>
                      <a:off x="0" y="0"/>
                      <a:ext cx="4056150" cy="322419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3DFCD0" w14:textId="651B33C1" w:rsidR="003203B6" w:rsidRPr="0059270C" w:rsidRDefault="003203B6" w:rsidP="00B93836">
      <w:pPr>
        <w:suppressLineNumbers/>
        <w:tabs>
          <w:tab w:val="left" w:pos="3678"/>
        </w:tabs>
        <w:spacing w:line="480" w:lineRule="auto"/>
        <w:rPr>
          <w:rFonts w:ascii="Arial" w:hAnsi="Arial" w:cs="Arial"/>
          <w:b/>
          <w:bCs/>
          <w:u w:val="single"/>
          <w:lang w:val="en-US"/>
        </w:rPr>
      </w:pPr>
    </w:p>
    <w:p w14:paraId="63505EF9" w14:textId="77777777" w:rsidR="003203B6" w:rsidRPr="0059270C" w:rsidRDefault="003203B6" w:rsidP="00B93836">
      <w:pPr>
        <w:suppressLineNumbers/>
        <w:tabs>
          <w:tab w:val="left" w:pos="3678"/>
        </w:tabs>
        <w:spacing w:line="480" w:lineRule="auto"/>
        <w:rPr>
          <w:rFonts w:ascii="Arial" w:hAnsi="Arial" w:cs="Arial"/>
          <w:b/>
          <w:bCs/>
          <w:u w:val="single"/>
          <w:lang w:val="en-US"/>
        </w:rPr>
      </w:pPr>
    </w:p>
    <w:p w14:paraId="63771DF7" w14:textId="77777777" w:rsidR="003203B6" w:rsidRPr="0059270C" w:rsidRDefault="003203B6" w:rsidP="00B93836">
      <w:pPr>
        <w:suppressLineNumbers/>
        <w:tabs>
          <w:tab w:val="left" w:pos="3678"/>
        </w:tabs>
        <w:spacing w:line="480" w:lineRule="auto"/>
        <w:rPr>
          <w:rFonts w:ascii="Arial" w:hAnsi="Arial" w:cs="Arial"/>
          <w:b/>
          <w:bCs/>
          <w:u w:val="single"/>
          <w:lang w:val="en-US"/>
        </w:rPr>
      </w:pPr>
    </w:p>
    <w:p w14:paraId="7D9182B8" w14:textId="77777777" w:rsidR="000F1FC8" w:rsidRPr="0059270C" w:rsidRDefault="000F1FC8" w:rsidP="00506F52">
      <w:pPr>
        <w:suppressLineNumbers/>
        <w:tabs>
          <w:tab w:val="left" w:pos="3678"/>
        </w:tabs>
        <w:spacing w:line="480" w:lineRule="auto"/>
        <w:jc w:val="center"/>
        <w:rPr>
          <w:rFonts w:ascii="Arial" w:hAnsi="Arial" w:cs="Arial"/>
          <w:b/>
          <w:bCs/>
        </w:rPr>
      </w:pPr>
    </w:p>
    <w:p w14:paraId="646E945C" w14:textId="77777777" w:rsidR="000F1FC8" w:rsidRPr="0059270C" w:rsidRDefault="000F1FC8" w:rsidP="00506F52">
      <w:pPr>
        <w:suppressLineNumbers/>
        <w:tabs>
          <w:tab w:val="left" w:pos="3678"/>
        </w:tabs>
        <w:spacing w:line="480" w:lineRule="auto"/>
        <w:jc w:val="center"/>
        <w:rPr>
          <w:rFonts w:ascii="Arial" w:hAnsi="Arial" w:cs="Arial"/>
          <w:b/>
          <w:bCs/>
        </w:rPr>
      </w:pPr>
    </w:p>
    <w:p w14:paraId="10D4A17E" w14:textId="77777777" w:rsidR="000F1FC8" w:rsidRPr="0059270C" w:rsidRDefault="000F1FC8" w:rsidP="00506F52">
      <w:pPr>
        <w:suppressLineNumbers/>
        <w:tabs>
          <w:tab w:val="left" w:pos="3678"/>
        </w:tabs>
        <w:spacing w:line="480" w:lineRule="auto"/>
        <w:jc w:val="center"/>
        <w:rPr>
          <w:rFonts w:ascii="Arial" w:hAnsi="Arial" w:cs="Arial"/>
          <w:b/>
          <w:bCs/>
        </w:rPr>
      </w:pPr>
    </w:p>
    <w:p w14:paraId="77E4069C" w14:textId="77777777" w:rsidR="00782216" w:rsidRDefault="00782216" w:rsidP="002444E7">
      <w:pPr>
        <w:suppressLineNumbers/>
        <w:tabs>
          <w:tab w:val="left" w:pos="3678"/>
        </w:tabs>
        <w:spacing w:line="480" w:lineRule="auto"/>
        <w:rPr>
          <w:rFonts w:ascii="Arial" w:hAnsi="Arial" w:cs="Arial"/>
          <w:b/>
          <w:bCs/>
          <w:sz w:val="20"/>
          <w:szCs w:val="20"/>
        </w:rPr>
      </w:pPr>
    </w:p>
    <w:p w14:paraId="3C2D8EEC" w14:textId="28C71100" w:rsidR="003203B6" w:rsidRPr="0059270C" w:rsidRDefault="003203B6" w:rsidP="00506F52">
      <w:pPr>
        <w:suppressLineNumbers/>
        <w:tabs>
          <w:tab w:val="left" w:pos="3678"/>
        </w:tabs>
        <w:spacing w:line="480" w:lineRule="auto"/>
        <w:jc w:val="center"/>
        <w:rPr>
          <w:rFonts w:ascii="Arial" w:hAnsi="Arial" w:cs="Arial"/>
          <w:sz w:val="20"/>
          <w:szCs w:val="20"/>
        </w:rPr>
      </w:pPr>
      <w:r w:rsidRPr="0059270C">
        <w:rPr>
          <w:rFonts w:ascii="Arial" w:hAnsi="Arial" w:cs="Arial"/>
          <w:b/>
          <w:bCs/>
          <w:sz w:val="20"/>
          <w:szCs w:val="20"/>
        </w:rPr>
        <w:t>Figure 3</w:t>
      </w:r>
      <w:r w:rsidRPr="0059270C">
        <w:rPr>
          <w:rFonts w:ascii="Arial" w:hAnsi="Arial" w:cs="Arial"/>
          <w:sz w:val="20"/>
          <w:szCs w:val="20"/>
        </w:rPr>
        <w:t>. System boundary and material flow diagram for dolnet fishery LCA</w:t>
      </w:r>
    </w:p>
    <w:p w14:paraId="0FF8638B" w14:textId="0DA0CF58" w:rsidR="00A240BF" w:rsidRPr="0059270C" w:rsidRDefault="00A240BF" w:rsidP="007C5584">
      <w:pPr>
        <w:tabs>
          <w:tab w:val="left" w:pos="3678"/>
        </w:tabs>
        <w:spacing w:line="480" w:lineRule="auto"/>
        <w:rPr>
          <w:rFonts w:ascii="Arial" w:hAnsi="Arial" w:cs="Arial"/>
          <w:b/>
          <w:bCs/>
          <w:sz w:val="20"/>
          <w:szCs w:val="20"/>
          <w:u w:val="single"/>
          <w:lang w:val="en-US"/>
        </w:rPr>
      </w:pPr>
      <w:r w:rsidRPr="0059270C">
        <w:rPr>
          <w:rFonts w:ascii="Arial" w:hAnsi="Arial" w:cs="Arial"/>
          <w:b/>
          <w:bCs/>
          <w:sz w:val="20"/>
          <w:szCs w:val="20"/>
          <w:u w:val="single"/>
          <w:lang w:val="en-US"/>
        </w:rPr>
        <w:t>2.</w:t>
      </w:r>
      <w:r w:rsidR="00555DCB" w:rsidRPr="0059270C">
        <w:rPr>
          <w:rFonts w:ascii="Arial" w:hAnsi="Arial" w:cs="Arial"/>
          <w:b/>
          <w:bCs/>
          <w:sz w:val="20"/>
          <w:szCs w:val="20"/>
          <w:u w:val="single"/>
          <w:lang w:val="en-US"/>
        </w:rPr>
        <w:t>5</w:t>
      </w:r>
      <w:r w:rsidRPr="0059270C">
        <w:rPr>
          <w:rFonts w:ascii="Arial" w:hAnsi="Arial" w:cs="Arial"/>
          <w:b/>
          <w:bCs/>
          <w:sz w:val="20"/>
          <w:szCs w:val="20"/>
          <w:u w:val="single"/>
          <w:lang w:val="en-US"/>
        </w:rPr>
        <w:t xml:space="preserve"> Functional Unit</w:t>
      </w:r>
    </w:p>
    <w:p w14:paraId="1800DC01" w14:textId="36C7DA3C" w:rsidR="00041219" w:rsidRPr="0059270C" w:rsidRDefault="00A240BF" w:rsidP="00382F5D">
      <w:pPr>
        <w:spacing w:line="480" w:lineRule="auto"/>
        <w:ind w:firstLine="720"/>
        <w:jc w:val="both"/>
        <w:rPr>
          <w:rFonts w:ascii="Arial" w:hAnsi="Arial" w:cs="Arial"/>
          <w:sz w:val="20"/>
          <w:szCs w:val="20"/>
          <w:lang w:val="en-US"/>
        </w:rPr>
      </w:pPr>
      <w:r w:rsidRPr="0059270C">
        <w:rPr>
          <w:rFonts w:ascii="Arial" w:hAnsi="Arial" w:cs="Arial"/>
          <w:sz w:val="20"/>
          <w:szCs w:val="20"/>
          <w:lang w:val="en-US"/>
        </w:rPr>
        <w:t xml:space="preserve">The functional unit for this study was defined as </w:t>
      </w:r>
      <w:r w:rsidRPr="0059270C">
        <w:rPr>
          <w:rFonts w:ascii="Arial" w:hAnsi="Arial" w:cs="Arial"/>
          <w:i/>
          <w:iCs/>
          <w:sz w:val="20"/>
          <w:szCs w:val="20"/>
          <w:lang w:val="en-US"/>
        </w:rPr>
        <w:t>“one tonne of landed catch per fishing operation”</w:t>
      </w:r>
      <w:r w:rsidR="00804F02">
        <w:rPr>
          <w:rFonts w:ascii="Arial" w:hAnsi="Arial" w:cs="Arial"/>
          <w:sz w:val="20"/>
          <w:szCs w:val="20"/>
          <w:lang w:val="en-US"/>
        </w:rPr>
        <w:t xml:space="preserve">. </w:t>
      </w:r>
      <w:r w:rsidRPr="0059270C">
        <w:rPr>
          <w:rFonts w:ascii="Arial" w:hAnsi="Arial" w:cs="Arial"/>
          <w:sz w:val="20"/>
          <w:szCs w:val="20"/>
          <w:lang w:val="en-US"/>
        </w:rPr>
        <w:t>This unit standardized results across gear designs with varying trip lengths, vessel sizes, and catch rates, allowing for direct comparison of environmental performance.</w:t>
      </w:r>
    </w:p>
    <w:p w14:paraId="6994E101" w14:textId="434B67A2"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555DCB" w:rsidRPr="0059270C">
        <w:rPr>
          <w:rFonts w:ascii="Arial" w:hAnsi="Arial" w:cs="Arial"/>
          <w:b/>
          <w:bCs/>
          <w:sz w:val="20"/>
          <w:szCs w:val="20"/>
          <w:u w:val="single"/>
          <w:lang w:val="en-US"/>
        </w:rPr>
        <w:t>6</w:t>
      </w:r>
      <w:r w:rsidRPr="0059270C">
        <w:rPr>
          <w:rFonts w:ascii="Arial" w:hAnsi="Arial" w:cs="Arial"/>
          <w:b/>
          <w:bCs/>
          <w:sz w:val="20"/>
          <w:szCs w:val="20"/>
          <w:u w:val="single"/>
          <w:lang w:val="en-US"/>
        </w:rPr>
        <w:t xml:space="preserve"> System Boundary</w:t>
      </w:r>
    </w:p>
    <w:p w14:paraId="3636C01D" w14:textId="0800107C" w:rsidR="00FF4853" w:rsidRPr="0059270C" w:rsidRDefault="00A240BF" w:rsidP="000545C0">
      <w:pPr>
        <w:spacing w:line="480" w:lineRule="auto"/>
        <w:ind w:firstLine="720"/>
        <w:jc w:val="both"/>
        <w:rPr>
          <w:rFonts w:ascii="Arial" w:hAnsi="Arial" w:cs="Arial"/>
          <w:sz w:val="20"/>
          <w:szCs w:val="20"/>
          <w:lang w:val="en-US"/>
        </w:rPr>
      </w:pPr>
      <w:r w:rsidRPr="0059270C">
        <w:rPr>
          <w:rFonts w:ascii="Arial" w:hAnsi="Arial" w:cs="Arial"/>
          <w:sz w:val="20"/>
          <w:szCs w:val="20"/>
          <w:lang w:val="en-US"/>
        </w:rPr>
        <w:t>The system boundary covered all processes from raw material extraction → vessel and gear construction → operation → maintenance → end-of-life disposal. Downstream post-landing stages such as processing, packaging, and transport were excluded to isolate the direct environmental impacts of fishing. Infrastructure setup and labour energy were also excluded, following ISO guidelines.</w:t>
      </w:r>
    </w:p>
    <w:p w14:paraId="2D3C0C9E" w14:textId="091FE8CB"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555DCB" w:rsidRPr="0059270C">
        <w:rPr>
          <w:rFonts w:ascii="Arial" w:hAnsi="Arial" w:cs="Arial"/>
          <w:b/>
          <w:bCs/>
          <w:sz w:val="20"/>
          <w:szCs w:val="20"/>
          <w:u w:val="single"/>
          <w:lang w:val="en-US"/>
        </w:rPr>
        <w:t>7</w:t>
      </w:r>
      <w:r w:rsidRPr="0059270C">
        <w:rPr>
          <w:rFonts w:ascii="Arial" w:hAnsi="Arial" w:cs="Arial"/>
          <w:b/>
          <w:bCs/>
          <w:sz w:val="20"/>
          <w:szCs w:val="20"/>
          <w:u w:val="single"/>
          <w:lang w:val="en-US"/>
        </w:rPr>
        <w:t xml:space="preserve"> Statistical and Sensitivity Analysis</w:t>
      </w:r>
    </w:p>
    <w:p w14:paraId="19324EC1" w14:textId="3209D4C3" w:rsidR="00EF0F60" w:rsidRDefault="002805AB" w:rsidP="002805AB">
      <w:pPr>
        <w:spacing w:line="480" w:lineRule="auto"/>
        <w:ind w:firstLine="720"/>
        <w:jc w:val="both"/>
        <w:rPr>
          <w:rFonts w:ascii="Arial" w:hAnsi="Arial" w:cs="Arial"/>
          <w:b/>
          <w:bCs/>
          <w:sz w:val="20"/>
          <w:szCs w:val="20"/>
          <w:u w:val="single"/>
          <w:lang w:val="en-US"/>
        </w:rPr>
      </w:pPr>
      <w:r w:rsidRPr="002805AB">
        <w:rPr>
          <w:rFonts w:ascii="Arial" w:hAnsi="Arial" w:cs="Arial"/>
          <w:sz w:val="20"/>
          <w:szCs w:val="20"/>
        </w:rPr>
        <w:t xml:space="preserve">Monte Carlo simulation (n = 1,000) was conducted in SimaPro 9.0 to estimate uncertainty ranges at 95 percent confidence level for each impact category. A deterministic sensitivity analysis was performed to evaluate the influence of key operational and material parameters, including ±10 percent </w:t>
      </w:r>
      <w:r w:rsidRPr="002805AB">
        <w:rPr>
          <w:rFonts w:ascii="Arial" w:hAnsi="Arial" w:cs="Arial"/>
          <w:sz w:val="20"/>
          <w:szCs w:val="20"/>
        </w:rPr>
        <w:lastRenderedPageBreak/>
        <w:t>variation in fuel consumption, ±15 percent variation in polymer input, and ±20 percent variation in trip duration, on total Global Warming Potential and related impact categories.</w:t>
      </w:r>
    </w:p>
    <w:p w14:paraId="411BBF50" w14:textId="4EA1331A" w:rsidR="00A240BF" w:rsidRPr="0059270C" w:rsidRDefault="00A240BF"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2.</w:t>
      </w:r>
      <w:r w:rsidR="00555DCB" w:rsidRPr="0059270C">
        <w:rPr>
          <w:rFonts w:ascii="Arial" w:hAnsi="Arial" w:cs="Arial"/>
          <w:b/>
          <w:bCs/>
          <w:sz w:val="20"/>
          <w:szCs w:val="20"/>
          <w:u w:val="single"/>
          <w:lang w:val="en-US"/>
        </w:rPr>
        <w:t>8</w:t>
      </w:r>
      <w:r w:rsidRPr="0059270C">
        <w:rPr>
          <w:rFonts w:ascii="Arial" w:hAnsi="Arial" w:cs="Arial"/>
          <w:b/>
          <w:bCs/>
          <w:sz w:val="20"/>
          <w:szCs w:val="20"/>
          <w:u w:val="single"/>
          <w:lang w:val="en-US"/>
        </w:rPr>
        <w:t xml:space="preserve"> Quality Assurance and Data Transparency</w:t>
      </w:r>
    </w:p>
    <w:p w14:paraId="7E710AC8" w14:textId="5BD72044" w:rsidR="001B7A67" w:rsidRPr="0059270C" w:rsidRDefault="00A240BF" w:rsidP="00382F5D">
      <w:pPr>
        <w:spacing w:line="480" w:lineRule="auto"/>
        <w:ind w:firstLine="720"/>
        <w:jc w:val="both"/>
        <w:rPr>
          <w:rFonts w:ascii="Arial" w:hAnsi="Arial" w:cs="Arial"/>
          <w:sz w:val="20"/>
          <w:szCs w:val="20"/>
          <w:lang w:val="en-US"/>
        </w:rPr>
      </w:pPr>
      <w:r w:rsidRPr="0059270C">
        <w:rPr>
          <w:rFonts w:ascii="Arial" w:hAnsi="Arial" w:cs="Arial"/>
          <w:sz w:val="20"/>
          <w:szCs w:val="20"/>
          <w:lang w:val="en-US"/>
        </w:rPr>
        <w:t>Data validation included cross</w:t>
      </w:r>
      <w:r w:rsidR="00BB38BE">
        <w:rPr>
          <w:rFonts w:ascii="Arial" w:hAnsi="Arial" w:cs="Arial"/>
          <w:sz w:val="20"/>
          <w:szCs w:val="20"/>
          <w:lang w:val="en-US"/>
        </w:rPr>
        <w:t xml:space="preserve"> </w:t>
      </w:r>
      <w:r w:rsidRPr="0059270C">
        <w:rPr>
          <w:rFonts w:ascii="Arial" w:hAnsi="Arial" w:cs="Arial"/>
          <w:sz w:val="20"/>
          <w:szCs w:val="20"/>
          <w:lang w:val="en-US"/>
        </w:rPr>
        <w:t xml:space="preserve">checking of primary data with logbook records and stakeholder verification at each landing </w:t>
      </w:r>
      <w:r w:rsidR="005C6D9A" w:rsidRPr="0059270C">
        <w:rPr>
          <w:rFonts w:ascii="Arial" w:hAnsi="Arial" w:cs="Arial"/>
          <w:sz w:val="20"/>
          <w:szCs w:val="20"/>
          <w:lang w:val="en-US"/>
        </w:rPr>
        <w:t>center</w:t>
      </w:r>
      <w:r w:rsidRPr="0059270C">
        <w:rPr>
          <w:rFonts w:ascii="Arial" w:hAnsi="Arial" w:cs="Arial"/>
          <w:sz w:val="20"/>
          <w:szCs w:val="20"/>
          <w:lang w:val="en-US"/>
        </w:rPr>
        <w:t>. Life Cycle Inventory (LCI) data were documented according to the FAIR principles (Findable, Accessible, Interoperable, Reusable). Supplementary tables containing inventory datasets and background processes are provided in the online appendix to ensure transparency and reproducibility</w:t>
      </w:r>
      <w:r w:rsidR="00041219" w:rsidRPr="0059270C">
        <w:rPr>
          <w:rFonts w:ascii="Arial" w:hAnsi="Arial" w:cs="Arial"/>
          <w:sz w:val="20"/>
          <w:szCs w:val="20"/>
          <w:lang w:val="en-US"/>
        </w:rPr>
        <w:t xml:space="preserve"> (</w:t>
      </w:r>
      <w:r w:rsidR="00041219" w:rsidRPr="0059270C">
        <w:rPr>
          <w:rFonts w:ascii="Arial" w:hAnsi="Arial" w:cs="Arial"/>
          <w:sz w:val="20"/>
          <w:szCs w:val="20"/>
        </w:rPr>
        <w:t>Abdou et al., 2017).</w:t>
      </w:r>
    </w:p>
    <w:p w14:paraId="0CC52FC6" w14:textId="09F99914" w:rsidR="001B7A67" w:rsidRPr="0059270C" w:rsidRDefault="001B7A67" w:rsidP="00B93836">
      <w:pPr>
        <w:suppressLineNumbers/>
        <w:tabs>
          <w:tab w:val="left" w:pos="3678"/>
        </w:tabs>
        <w:spacing w:line="480" w:lineRule="auto"/>
        <w:rPr>
          <w:rFonts w:ascii="Arial" w:hAnsi="Arial" w:cs="Arial"/>
          <w:sz w:val="20"/>
          <w:szCs w:val="20"/>
        </w:rPr>
      </w:pPr>
    </w:p>
    <w:p w14:paraId="7F1751A5" w14:textId="7C856E2E" w:rsidR="00FB679D" w:rsidRPr="0059270C" w:rsidRDefault="00FB679D" w:rsidP="00382F5D">
      <w:pPr>
        <w:tabs>
          <w:tab w:val="left" w:pos="3678"/>
        </w:tabs>
        <w:spacing w:line="480" w:lineRule="auto"/>
        <w:rPr>
          <w:rFonts w:ascii="Arial" w:hAnsi="Arial" w:cs="Arial"/>
        </w:rPr>
        <w:sectPr w:rsidR="00FB679D" w:rsidRPr="0059270C" w:rsidSect="00B93836">
          <w:footerReference w:type="default" r:id="rId11"/>
          <w:pgSz w:w="11906" w:h="16838"/>
          <w:pgMar w:top="630" w:right="1440" w:bottom="1440" w:left="1440" w:header="709" w:footer="709" w:gutter="0"/>
          <w:lnNumType w:countBy="1" w:restart="continuous"/>
          <w:cols w:space="708"/>
          <w:docGrid w:linePitch="360"/>
        </w:sectPr>
      </w:pPr>
    </w:p>
    <w:p w14:paraId="0892A707" w14:textId="263C7093" w:rsidR="00292EB1" w:rsidRPr="0059270C" w:rsidRDefault="0026775D" w:rsidP="00382F5D">
      <w:pPr>
        <w:spacing w:line="480" w:lineRule="auto"/>
        <w:jc w:val="both"/>
        <w:rPr>
          <w:rFonts w:ascii="Arial" w:hAnsi="Arial" w:cs="Arial"/>
          <w:b/>
          <w:bCs/>
        </w:rPr>
      </w:pPr>
      <w:r w:rsidRPr="0059270C">
        <w:rPr>
          <w:rFonts w:ascii="Arial" w:hAnsi="Arial" w:cs="Arial"/>
          <w:b/>
          <w:bCs/>
        </w:rPr>
        <w:lastRenderedPageBreak/>
        <w:t xml:space="preserve">3. </w:t>
      </w:r>
      <w:r w:rsidR="00C2604F" w:rsidRPr="0059270C">
        <w:rPr>
          <w:rFonts w:ascii="Arial" w:hAnsi="Arial" w:cs="Arial"/>
          <w:b/>
          <w:bCs/>
        </w:rPr>
        <w:t xml:space="preserve">Result </w:t>
      </w:r>
      <w:r w:rsidR="009B2E24">
        <w:rPr>
          <w:rFonts w:ascii="Arial" w:hAnsi="Arial" w:cs="Arial"/>
          <w:b/>
          <w:bCs/>
        </w:rPr>
        <w:t>and</w:t>
      </w:r>
      <w:r w:rsidR="00C2604F" w:rsidRPr="0059270C">
        <w:rPr>
          <w:rFonts w:ascii="Arial" w:hAnsi="Arial" w:cs="Arial"/>
          <w:b/>
          <w:bCs/>
        </w:rPr>
        <w:t xml:space="preserve"> Discussion</w:t>
      </w:r>
    </w:p>
    <w:p w14:paraId="7D1E6193" w14:textId="77777777" w:rsidR="00292EB1" w:rsidRPr="0059270C" w:rsidRDefault="00292EB1" w:rsidP="00BF77CE">
      <w:pPr>
        <w:spacing w:line="480" w:lineRule="auto"/>
        <w:rPr>
          <w:rFonts w:ascii="Arial" w:hAnsi="Arial" w:cs="Arial"/>
          <w:b/>
          <w:bCs/>
          <w:sz w:val="20"/>
          <w:szCs w:val="20"/>
          <w:u w:val="single"/>
          <w:lang w:val="en-US"/>
        </w:rPr>
      </w:pPr>
      <w:r w:rsidRPr="0059270C">
        <w:rPr>
          <w:rFonts w:ascii="Arial" w:hAnsi="Arial" w:cs="Arial"/>
          <w:b/>
          <w:bCs/>
          <w:sz w:val="20"/>
          <w:szCs w:val="20"/>
          <w:u w:val="single"/>
          <w:lang w:val="en-US"/>
        </w:rPr>
        <w:t>3.1 Overview of Life Cycle Impacts</w:t>
      </w:r>
    </w:p>
    <w:p w14:paraId="272E5D80" w14:textId="2C69C580" w:rsidR="00BF77CE" w:rsidRPr="0059270C" w:rsidRDefault="00292EB1" w:rsidP="003203B6">
      <w:pPr>
        <w:spacing w:line="480" w:lineRule="auto"/>
        <w:ind w:firstLine="720"/>
        <w:jc w:val="both"/>
        <w:rPr>
          <w:rFonts w:ascii="Arial" w:hAnsi="Arial" w:cs="Arial"/>
          <w:sz w:val="20"/>
          <w:szCs w:val="20"/>
          <w:lang w:val="en-US"/>
        </w:rPr>
      </w:pPr>
      <w:r w:rsidRPr="0059270C">
        <w:rPr>
          <w:rFonts w:ascii="Arial" w:hAnsi="Arial" w:cs="Arial"/>
          <w:sz w:val="20"/>
          <w:szCs w:val="20"/>
          <w:lang w:val="en-US"/>
        </w:rPr>
        <w:t xml:space="preserve">Fishing nets are primarily composed of synthetic polymers such as </w:t>
      </w:r>
      <w:proofErr w:type="gramStart"/>
      <w:r w:rsidRPr="0059270C">
        <w:rPr>
          <w:rFonts w:ascii="Arial" w:hAnsi="Arial" w:cs="Arial"/>
          <w:sz w:val="20"/>
          <w:szCs w:val="20"/>
          <w:lang w:val="en-US"/>
        </w:rPr>
        <w:t>high</w:t>
      </w:r>
      <w:r w:rsidR="00A42F31" w:rsidRPr="0059270C">
        <w:rPr>
          <w:rFonts w:ascii="Arial" w:hAnsi="Arial" w:cs="Arial"/>
          <w:sz w:val="20"/>
          <w:szCs w:val="20"/>
          <w:lang w:val="en-US"/>
        </w:rPr>
        <w:t xml:space="preserve"> </w:t>
      </w:r>
      <w:r w:rsidRPr="0059270C">
        <w:rPr>
          <w:rFonts w:ascii="Arial" w:hAnsi="Arial" w:cs="Arial"/>
          <w:sz w:val="20"/>
          <w:szCs w:val="20"/>
          <w:lang w:val="en-US"/>
        </w:rPr>
        <w:t>density</w:t>
      </w:r>
      <w:proofErr w:type="gramEnd"/>
      <w:r w:rsidRPr="0059270C">
        <w:rPr>
          <w:rFonts w:ascii="Arial" w:hAnsi="Arial" w:cs="Arial"/>
          <w:sz w:val="20"/>
          <w:szCs w:val="20"/>
          <w:lang w:val="en-US"/>
        </w:rPr>
        <w:t xml:space="preserve"> polyethylene (HDPE), polyamide (PA, nylon), and polyethylene (PE). The production and fabrication of these materials are energy</w:t>
      </w:r>
      <w:r w:rsidR="00A42F31" w:rsidRPr="0059270C">
        <w:rPr>
          <w:rFonts w:ascii="Arial" w:hAnsi="Arial" w:cs="Arial"/>
          <w:sz w:val="20"/>
          <w:szCs w:val="20"/>
          <w:lang w:val="en-US"/>
        </w:rPr>
        <w:t xml:space="preserve"> </w:t>
      </w:r>
      <w:r w:rsidRPr="0059270C">
        <w:rPr>
          <w:rFonts w:ascii="Arial" w:hAnsi="Arial" w:cs="Arial"/>
          <w:sz w:val="20"/>
          <w:szCs w:val="20"/>
          <w:lang w:val="en-US"/>
        </w:rPr>
        <w:t>intensive and contribute substantially to greenhouse gas (GHG) emissions. Across their life cycle</w:t>
      </w:r>
      <w:r w:rsidR="00641EED" w:rsidRPr="0059270C">
        <w:rPr>
          <w:rFonts w:ascii="Arial" w:hAnsi="Arial" w:cs="Arial"/>
          <w:sz w:val="20"/>
          <w:szCs w:val="20"/>
          <w:lang w:val="en-US"/>
        </w:rPr>
        <w:t xml:space="preserve"> </w:t>
      </w:r>
      <w:r w:rsidRPr="0059270C">
        <w:rPr>
          <w:rFonts w:ascii="Arial" w:hAnsi="Arial" w:cs="Arial"/>
          <w:sz w:val="20"/>
          <w:szCs w:val="20"/>
          <w:lang w:val="en-US"/>
        </w:rPr>
        <w:t>from raw material extraction to net fabrication and disposal</w:t>
      </w:r>
      <w:r w:rsidR="00641EED" w:rsidRPr="0059270C">
        <w:rPr>
          <w:rFonts w:ascii="Arial" w:hAnsi="Arial" w:cs="Arial"/>
          <w:sz w:val="20"/>
          <w:szCs w:val="20"/>
          <w:lang w:val="en-US"/>
        </w:rPr>
        <w:t xml:space="preserve"> </w:t>
      </w:r>
      <w:r w:rsidRPr="0059270C">
        <w:rPr>
          <w:rFonts w:ascii="Arial" w:hAnsi="Arial" w:cs="Arial"/>
          <w:sz w:val="20"/>
          <w:szCs w:val="20"/>
          <w:lang w:val="en-US"/>
        </w:rPr>
        <w:t>these materials generate significant CO</w:t>
      </w:r>
      <w:r w:rsidRPr="0059270C">
        <w:rPr>
          <w:rFonts w:ascii="Cambria Math" w:hAnsi="Cambria Math" w:cs="Cambria Math"/>
          <w:sz w:val="20"/>
          <w:szCs w:val="20"/>
          <w:lang w:val="en-US"/>
        </w:rPr>
        <w:t>₂</w:t>
      </w:r>
      <w:r w:rsidR="00641EED" w:rsidRPr="0059270C">
        <w:rPr>
          <w:rFonts w:ascii="Arial" w:hAnsi="Arial" w:cs="Arial"/>
          <w:sz w:val="20"/>
          <w:szCs w:val="20"/>
          <w:lang w:val="en-US"/>
        </w:rPr>
        <w:t xml:space="preserve"> </w:t>
      </w:r>
      <w:r w:rsidRPr="0059270C">
        <w:rPr>
          <w:rFonts w:ascii="Arial" w:hAnsi="Arial" w:cs="Arial"/>
          <w:sz w:val="20"/>
          <w:szCs w:val="20"/>
          <w:lang w:val="en-US"/>
        </w:rPr>
        <w:t>equivalent emissions</w:t>
      </w:r>
      <w:r w:rsidR="00804F02">
        <w:rPr>
          <w:rFonts w:ascii="Arial" w:hAnsi="Arial" w:cs="Arial"/>
          <w:sz w:val="20"/>
          <w:szCs w:val="20"/>
          <w:lang w:val="en-US"/>
        </w:rPr>
        <w:t xml:space="preserve">. </w:t>
      </w:r>
      <w:r w:rsidRPr="0059270C">
        <w:rPr>
          <w:rFonts w:ascii="Arial" w:hAnsi="Arial" w:cs="Arial"/>
          <w:sz w:val="20"/>
          <w:szCs w:val="20"/>
          <w:lang w:val="en-US"/>
        </w:rPr>
        <w:t>The present analysis identified gear fabrication and operation as dominant contributors to overall impacts, particularly fossil fuel depletion, global warming potential (GWP), and marine aquatic ecotoxicity.</w:t>
      </w:r>
    </w:p>
    <w:p w14:paraId="294BEA38" w14:textId="283EFF5F" w:rsidR="00292EB1" w:rsidRPr="0059270C" w:rsidRDefault="00292EB1" w:rsidP="00382F5D">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 xml:space="preserve">3.2 Comparative </w:t>
      </w:r>
      <w:r w:rsidR="00CF1F9A" w:rsidRPr="0059270C">
        <w:rPr>
          <w:rFonts w:ascii="Arial" w:hAnsi="Arial" w:cs="Arial"/>
          <w:b/>
          <w:bCs/>
          <w:sz w:val="20"/>
          <w:szCs w:val="20"/>
          <w:u w:val="single"/>
          <w:lang w:val="en-US"/>
        </w:rPr>
        <w:t>assessment of seven dolnet designs</w:t>
      </w:r>
    </w:p>
    <w:p w14:paraId="228DD41A" w14:textId="191D13AA" w:rsidR="00292EB1" w:rsidRPr="0059270C" w:rsidRDefault="00292EB1" w:rsidP="00382F5D">
      <w:pPr>
        <w:spacing w:line="480" w:lineRule="auto"/>
        <w:ind w:firstLine="720"/>
        <w:jc w:val="both"/>
        <w:rPr>
          <w:rFonts w:ascii="Arial" w:hAnsi="Arial" w:cs="Arial"/>
          <w:lang w:val="en-US"/>
        </w:rPr>
      </w:pPr>
      <w:r w:rsidRPr="0059270C">
        <w:rPr>
          <w:rFonts w:ascii="Arial" w:hAnsi="Arial" w:cs="Arial"/>
          <w:sz w:val="20"/>
          <w:szCs w:val="20"/>
          <w:lang w:val="en-US"/>
        </w:rPr>
        <w:t>The Life Cycle Impact Assessment (LCIA) conducted using SimaPro 9.</w:t>
      </w:r>
      <w:r w:rsidR="000C7502" w:rsidRPr="0059270C">
        <w:rPr>
          <w:rFonts w:ascii="Arial" w:hAnsi="Arial" w:cs="Arial"/>
          <w:sz w:val="20"/>
          <w:szCs w:val="20"/>
          <w:lang w:val="en-US"/>
        </w:rPr>
        <w:t>0</w:t>
      </w:r>
      <w:r w:rsidRPr="0059270C">
        <w:rPr>
          <w:rFonts w:ascii="Arial" w:hAnsi="Arial" w:cs="Arial"/>
          <w:sz w:val="20"/>
          <w:szCs w:val="20"/>
          <w:lang w:val="en-US"/>
        </w:rPr>
        <w:t xml:space="preserve"> with CML-IA Baseline (2013) and IPCC (100a) methodologies revealed strong variation among the seven dolnet </w:t>
      </w:r>
      <w:r w:rsidR="00641EED" w:rsidRPr="0059270C">
        <w:rPr>
          <w:rFonts w:ascii="Arial" w:hAnsi="Arial" w:cs="Arial"/>
          <w:sz w:val="20"/>
          <w:szCs w:val="20"/>
          <w:lang w:val="en-US"/>
        </w:rPr>
        <w:t>types. The</w:t>
      </w:r>
      <w:r w:rsidRPr="0059270C">
        <w:rPr>
          <w:rFonts w:ascii="Arial" w:hAnsi="Arial" w:cs="Arial"/>
          <w:sz w:val="20"/>
          <w:szCs w:val="20"/>
          <w:lang w:val="en-US"/>
        </w:rPr>
        <w:t xml:space="preserve"> Dabang dolnet (Versova) recorded the highest GWP at </w:t>
      </w:r>
      <w:r w:rsidRPr="0059270C">
        <w:rPr>
          <w:rFonts w:ascii="Arial" w:hAnsi="Arial" w:cs="Arial"/>
          <w:i/>
          <w:iCs/>
          <w:sz w:val="20"/>
          <w:szCs w:val="20"/>
          <w:lang w:val="en-US"/>
        </w:rPr>
        <w:t>1,060.81 kg CO</w:t>
      </w:r>
      <w:r w:rsidRPr="0059270C">
        <w:rPr>
          <w:rFonts w:ascii="Cambria Math" w:hAnsi="Cambria Math" w:cs="Cambria Math"/>
          <w:i/>
          <w:iCs/>
          <w:sz w:val="20"/>
          <w:szCs w:val="20"/>
          <w:lang w:val="en-US"/>
        </w:rPr>
        <w:t>₂</w:t>
      </w:r>
      <w:r w:rsidRPr="0059270C">
        <w:rPr>
          <w:rFonts w:ascii="Arial" w:hAnsi="Arial" w:cs="Arial"/>
          <w:i/>
          <w:iCs/>
          <w:sz w:val="20"/>
          <w:szCs w:val="20"/>
          <w:lang w:val="en-US"/>
        </w:rPr>
        <w:t xml:space="preserve"> eq per tonne of catch</w:t>
      </w:r>
      <w:r w:rsidRPr="0059270C">
        <w:rPr>
          <w:rFonts w:ascii="Arial" w:hAnsi="Arial" w:cs="Arial"/>
          <w:sz w:val="20"/>
          <w:szCs w:val="20"/>
          <w:lang w:val="en-US"/>
        </w:rPr>
        <w:t>, followed by the Pachubandar dolnet (842.61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 and Sajachi dolnet (485.00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 In contrast, the Bokshi (332.92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 and Mosquito dolnets (311.86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 showed the lowest values</w:t>
      </w:r>
      <w:r w:rsidR="0066657A" w:rsidRPr="0059270C">
        <w:rPr>
          <w:rFonts w:ascii="Arial" w:hAnsi="Arial" w:cs="Arial"/>
          <w:sz w:val="20"/>
          <w:szCs w:val="20"/>
          <w:lang w:val="en-US"/>
        </w:rPr>
        <w:t xml:space="preserve"> (Fig</w:t>
      </w:r>
      <w:r w:rsidR="009B2E24">
        <w:rPr>
          <w:rFonts w:ascii="Arial" w:hAnsi="Arial" w:cs="Arial"/>
          <w:sz w:val="20"/>
          <w:szCs w:val="20"/>
          <w:lang w:val="en-US"/>
        </w:rPr>
        <w:t>ure</w:t>
      </w:r>
      <w:r w:rsidR="0066657A" w:rsidRPr="0059270C">
        <w:rPr>
          <w:rFonts w:ascii="Arial" w:hAnsi="Arial" w:cs="Arial"/>
          <w:sz w:val="20"/>
          <w:szCs w:val="20"/>
          <w:lang w:val="en-US"/>
        </w:rPr>
        <w:t xml:space="preserve"> </w:t>
      </w:r>
      <w:r w:rsidR="00E12014" w:rsidRPr="0059270C">
        <w:rPr>
          <w:rFonts w:ascii="Arial" w:hAnsi="Arial" w:cs="Arial"/>
          <w:sz w:val="20"/>
          <w:szCs w:val="20"/>
          <w:lang w:val="en-US"/>
        </w:rPr>
        <w:t>4</w:t>
      </w:r>
      <w:r w:rsidR="0066657A" w:rsidRPr="0059270C">
        <w:rPr>
          <w:rFonts w:ascii="Arial" w:hAnsi="Arial" w:cs="Arial"/>
          <w:sz w:val="20"/>
          <w:szCs w:val="20"/>
          <w:lang w:val="en-US"/>
        </w:rPr>
        <w:t xml:space="preserve"> &amp; Table </w:t>
      </w:r>
      <w:r w:rsidR="00041219" w:rsidRPr="0059270C">
        <w:rPr>
          <w:rFonts w:ascii="Arial" w:hAnsi="Arial" w:cs="Arial"/>
          <w:sz w:val="20"/>
          <w:szCs w:val="20"/>
          <w:lang w:val="en-US"/>
        </w:rPr>
        <w:t>2</w:t>
      </w:r>
      <w:r w:rsidR="008B5427" w:rsidRPr="0059270C">
        <w:rPr>
          <w:rFonts w:ascii="Arial" w:hAnsi="Arial" w:cs="Arial"/>
          <w:lang w:val="en-US"/>
        </w:rPr>
        <w:t>)</w:t>
      </w:r>
      <w:r w:rsidRPr="0059270C">
        <w:rPr>
          <w:rFonts w:ascii="Arial" w:hAnsi="Arial" w:cs="Arial"/>
          <w:lang w:val="en-US"/>
        </w:rPr>
        <w:t>.</w:t>
      </w:r>
    </w:p>
    <w:p w14:paraId="7023D198" w14:textId="0B8820AD" w:rsidR="003203B6" w:rsidRPr="0059270C" w:rsidRDefault="00B55240" w:rsidP="00B93836">
      <w:pPr>
        <w:suppressLineNumbers/>
        <w:spacing w:line="480" w:lineRule="auto"/>
        <w:ind w:firstLine="720"/>
        <w:jc w:val="both"/>
        <w:rPr>
          <w:rFonts w:ascii="Arial" w:hAnsi="Arial" w:cs="Arial"/>
          <w:lang w:val="en-US"/>
        </w:rPr>
      </w:pPr>
      <w:r w:rsidRPr="0059270C">
        <w:rPr>
          <w:noProof/>
        </w:rPr>
        <w:drawing>
          <wp:anchor distT="0" distB="0" distL="114300" distR="114300" simplePos="0" relativeHeight="251696128" behindDoc="1" locked="0" layoutInCell="1" allowOverlap="1" wp14:anchorId="562105AE" wp14:editId="6CFAC466">
            <wp:simplePos x="0" y="0"/>
            <wp:positionH relativeFrom="margin">
              <wp:posOffset>552450</wp:posOffset>
            </wp:positionH>
            <wp:positionV relativeFrom="paragraph">
              <wp:posOffset>52705</wp:posOffset>
            </wp:positionV>
            <wp:extent cx="4552950" cy="2698115"/>
            <wp:effectExtent l="19050" t="19050" r="19050" b="26035"/>
            <wp:wrapTight wrapText="bothSides">
              <wp:wrapPolygon edited="0">
                <wp:start x="-90" y="-153"/>
                <wp:lineTo x="-90" y="21656"/>
                <wp:lineTo x="21600" y="21656"/>
                <wp:lineTo x="21600" y="-153"/>
                <wp:lineTo x="-90" y="-153"/>
              </wp:wrapPolygon>
            </wp:wrapTight>
            <wp:docPr id="1415277179" name="Picture 1" descr="A graph with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77179" name="Picture 1" descr="A graph with different colored bars"/>
                    <pic:cNvPicPr>
                      <a:picLocks noChangeAspect="1" noChangeArrowheads="1"/>
                    </pic:cNvPicPr>
                  </pic:nvPicPr>
                  <pic:blipFill rotWithShape="1">
                    <a:blip r:embed="rId12">
                      <a:extLst>
                        <a:ext uri="{28A0092B-C50C-407E-A947-70E740481C1C}">
                          <a14:useLocalDpi xmlns:a14="http://schemas.microsoft.com/office/drawing/2010/main" val="0"/>
                        </a:ext>
                      </a:extLst>
                    </a:blip>
                    <a:srcRect l="1491" t="6560" b="12441"/>
                    <a:stretch>
                      <a:fillRect/>
                    </a:stretch>
                  </pic:blipFill>
                  <pic:spPr bwMode="auto">
                    <a:xfrm>
                      <a:off x="0" y="0"/>
                      <a:ext cx="4552950" cy="269811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C1E89A" w14:textId="77777777" w:rsidR="003203B6" w:rsidRPr="0059270C" w:rsidRDefault="003203B6" w:rsidP="00B93836">
      <w:pPr>
        <w:suppressLineNumbers/>
        <w:spacing w:line="480" w:lineRule="auto"/>
        <w:ind w:firstLine="720"/>
        <w:jc w:val="both"/>
        <w:rPr>
          <w:rFonts w:ascii="Arial" w:hAnsi="Arial" w:cs="Arial"/>
          <w:lang w:val="en-US"/>
        </w:rPr>
      </w:pPr>
    </w:p>
    <w:p w14:paraId="67F2C5EC" w14:textId="77777777" w:rsidR="003203B6" w:rsidRPr="0059270C" w:rsidRDefault="003203B6" w:rsidP="00B93836">
      <w:pPr>
        <w:suppressLineNumbers/>
        <w:spacing w:line="480" w:lineRule="auto"/>
        <w:ind w:firstLine="720"/>
        <w:jc w:val="both"/>
        <w:rPr>
          <w:rFonts w:ascii="Arial" w:hAnsi="Arial" w:cs="Arial"/>
          <w:lang w:val="en-US"/>
        </w:rPr>
      </w:pPr>
    </w:p>
    <w:p w14:paraId="7917D2F9" w14:textId="77777777" w:rsidR="003203B6" w:rsidRPr="0059270C" w:rsidRDefault="003203B6" w:rsidP="00B93836">
      <w:pPr>
        <w:suppressLineNumbers/>
        <w:spacing w:line="480" w:lineRule="auto"/>
        <w:ind w:firstLine="720"/>
        <w:jc w:val="both"/>
        <w:rPr>
          <w:rFonts w:ascii="Arial" w:hAnsi="Arial" w:cs="Arial"/>
          <w:lang w:val="en-US"/>
        </w:rPr>
      </w:pPr>
    </w:p>
    <w:p w14:paraId="4DA624B9" w14:textId="77777777" w:rsidR="003203B6" w:rsidRPr="0059270C" w:rsidRDefault="003203B6" w:rsidP="00B93836">
      <w:pPr>
        <w:suppressLineNumbers/>
        <w:spacing w:line="480" w:lineRule="auto"/>
        <w:ind w:firstLine="720"/>
        <w:jc w:val="both"/>
        <w:rPr>
          <w:rFonts w:ascii="Arial" w:hAnsi="Arial" w:cs="Arial"/>
          <w:lang w:val="en-US"/>
        </w:rPr>
      </w:pPr>
    </w:p>
    <w:p w14:paraId="7A95E9AD" w14:textId="77777777" w:rsidR="003203B6" w:rsidRPr="0059270C" w:rsidRDefault="003203B6" w:rsidP="00B93836">
      <w:pPr>
        <w:suppressLineNumbers/>
        <w:spacing w:line="480" w:lineRule="auto"/>
        <w:ind w:firstLine="720"/>
        <w:jc w:val="both"/>
        <w:rPr>
          <w:rFonts w:ascii="Arial" w:hAnsi="Arial" w:cs="Arial"/>
          <w:lang w:val="en-US"/>
        </w:rPr>
      </w:pPr>
    </w:p>
    <w:p w14:paraId="2A1E02DE" w14:textId="77777777" w:rsidR="00B55240" w:rsidRDefault="003203B6" w:rsidP="002A57D2">
      <w:pPr>
        <w:suppressLineNumbers/>
        <w:tabs>
          <w:tab w:val="left" w:pos="4230"/>
        </w:tabs>
        <w:ind w:left="1170" w:hanging="1170"/>
        <w:jc w:val="center"/>
        <w:rPr>
          <w:rFonts w:ascii="Arial" w:hAnsi="Arial" w:cs="Arial"/>
          <w:b/>
          <w:bCs/>
        </w:rPr>
      </w:pPr>
      <w:r w:rsidRPr="0059270C">
        <w:rPr>
          <w:rFonts w:ascii="Arial" w:hAnsi="Arial" w:cs="Arial"/>
          <w:b/>
          <w:bCs/>
        </w:rPr>
        <w:t xml:space="preserve">               </w:t>
      </w:r>
      <w:r w:rsidR="00506F52" w:rsidRPr="0059270C">
        <w:rPr>
          <w:rFonts w:ascii="Arial" w:hAnsi="Arial" w:cs="Arial"/>
          <w:b/>
          <w:bCs/>
        </w:rPr>
        <w:t xml:space="preserve">         </w:t>
      </w:r>
      <w:r w:rsidR="002A57D2" w:rsidRPr="0059270C">
        <w:rPr>
          <w:rFonts w:ascii="Arial" w:hAnsi="Arial" w:cs="Arial"/>
          <w:b/>
          <w:bCs/>
        </w:rPr>
        <w:t xml:space="preserve">    </w:t>
      </w:r>
    </w:p>
    <w:p w14:paraId="246DE791" w14:textId="45C8241B" w:rsidR="003203B6" w:rsidRPr="0059270C" w:rsidRDefault="003203B6" w:rsidP="002A57D2">
      <w:pPr>
        <w:suppressLineNumbers/>
        <w:tabs>
          <w:tab w:val="left" w:pos="4230"/>
        </w:tabs>
        <w:ind w:left="1170" w:hanging="1170"/>
        <w:jc w:val="center"/>
        <w:rPr>
          <w:rFonts w:ascii="Arial" w:eastAsia="Times New Roman" w:hAnsi="Arial" w:cs="Arial"/>
          <w:lang w:bidi="hi-IN"/>
        </w:rPr>
      </w:pPr>
      <w:r w:rsidRPr="0059270C">
        <w:rPr>
          <w:rFonts w:ascii="Arial" w:hAnsi="Arial" w:cs="Arial"/>
          <w:b/>
          <w:bCs/>
          <w:sz w:val="20"/>
          <w:szCs w:val="20"/>
        </w:rPr>
        <w:t>Figure 4</w:t>
      </w:r>
      <w:r w:rsidRPr="0059270C">
        <w:rPr>
          <w:rFonts w:ascii="Arial" w:hAnsi="Arial" w:cs="Arial"/>
          <w:sz w:val="20"/>
          <w:szCs w:val="20"/>
        </w:rPr>
        <w:t>. Comparative GWP (100a) of seven dolnet design</w:t>
      </w:r>
    </w:p>
    <w:p w14:paraId="1A1DD6AE" w14:textId="77777777" w:rsidR="003203B6" w:rsidRPr="0059270C" w:rsidRDefault="003203B6" w:rsidP="00B93836">
      <w:pPr>
        <w:suppressLineNumbers/>
        <w:spacing w:line="480" w:lineRule="auto"/>
        <w:jc w:val="both"/>
        <w:rPr>
          <w:rFonts w:ascii="Arial" w:hAnsi="Arial" w:cs="Arial"/>
          <w:lang w:val="en-US"/>
        </w:rPr>
      </w:pPr>
    </w:p>
    <w:p w14:paraId="28470927" w14:textId="77777777" w:rsidR="0031607C" w:rsidRPr="0059270C" w:rsidRDefault="0031607C">
      <w:pPr>
        <w:rPr>
          <w:rFonts w:ascii="Arial" w:hAnsi="Arial" w:cs="Arial"/>
          <w:lang w:val="en-US"/>
        </w:rPr>
        <w:sectPr w:rsidR="0031607C" w:rsidRPr="0059270C" w:rsidSect="00B93836">
          <w:pgSz w:w="11906" w:h="16838"/>
          <w:pgMar w:top="900" w:right="1440" w:bottom="1440" w:left="1440" w:header="708" w:footer="708" w:gutter="0"/>
          <w:lnNumType w:countBy="1" w:restart="continuous"/>
          <w:cols w:space="708"/>
          <w:docGrid w:linePitch="360"/>
        </w:sectPr>
      </w:pPr>
    </w:p>
    <w:p w14:paraId="616D1DB4" w14:textId="4F279AC5" w:rsidR="0031607C" w:rsidRPr="0059270C" w:rsidRDefault="0031607C" w:rsidP="00B93836">
      <w:pPr>
        <w:suppressLineNumbers/>
        <w:rPr>
          <w:rFonts w:ascii="Arial" w:hAnsi="Arial" w:cs="Arial"/>
          <w:lang w:val="en-US"/>
        </w:rPr>
      </w:pPr>
    </w:p>
    <w:tbl>
      <w:tblPr>
        <w:tblStyle w:val="TableGrid"/>
        <w:tblpPr w:leftFromText="180" w:rightFromText="180" w:vertAnchor="page" w:horzAnchor="margin" w:tblpY="2941"/>
        <w:tblW w:w="15115" w:type="dxa"/>
        <w:tblLook w:val="04A0" w:firstRow="1" w:lastRow="0" w:firstColumn="1" w:lastColumn="0" w:noHBand="0" w:noVBand="1"/>
      </w:tblPr>
      <w:tblGrid>
        <w:gridCol w:w="1795"/>
        <w:gridCol w:w="2161"/>
        <w:gridCol w:w="1607"/>
        <w:gridCol w:w="1534"/>
        <w:gridCol w:w="2042"/>
        <w:gridCol w:w="1836"/>
        <w:gridCol w:w="1478"/>
        <w:gridCol w:w="2662"/>
      </w:tblGrid>
      <w:tr w:rsidR="0059270C" w:rsidRPr="0059270C" w14:paraId="1F6E6A24" w14:textId="77777777" w:rsidTr="0031607C">
        <w:tc>
          <w:tcPr>
            <w:tcW w:w="1795" w:type="dxa"/>
            <w:vAlign w:val="center"/>
            <w:hideMark/>
          </w:tcPr>
          <w:p w14:paraId="1C4EE0C3"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Dolnet Type</w:t>
            </w:r>
          </w:p>
        </w:tc>
        <w:tc>
          <w:tcPr>
            <w:tcW w:w="2161" w:type="dxa"/>
            <w:vAlign w:val="center"/>
            <w:hideMark/>
          </w:tcPr>
          <w:p w14:paraId="1911687E"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Location</w:t>
            </w:r>
          </w:p>
        </w:tc>
        <w:tc>
          <w:tcPr>
            <w:tcW w:w="1607" w:type="dxa"/>
            <w:vAlign w:val="center"/>
            <w:hideMark/>
          </w:tcPr>
          <w:p w14:paraId="4BE26078"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Material Composition</w:t>
            </w:r>
          </w:p>
        </w:tc>
        <w:tc>
          <w:tcPr>
            <w:tcW w:w="0" w:type="auto"/>
            <w:vAlign w:val="center"/>
            <w:hideMark/>
          </w:tcPr>
          <w:p w14:paraId="469BCC5C"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Fuel Use (L/trip)</w:t>
            </w:r>
          </w:p>
        </w:tc>
        <w:tc>
          <w:tcPr>
            <w:tcW w:w="0" w:type="auto"/>
            <w:vAlign w:val="center"/>
            <w:hideMark/>
          </w:tcPr>
          <w:p w14:paraId="61FBCD6C"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Total GWP (kg CO</w:t>
            </w:r>
            <w:r w:rsidRPr="0059270C">
              <w:rPr>
                <w:rFonts w:ascii="Cambria Math" w:hAnsi="Cambria Math" w:cs="Cambria Math"/>
                <w:b/>
                <w:bCs/>
                <w:sz w:val="20"/>
                <w:szCs w:val="20"/>
                <w:lang w:val="en-US"/>
              </w:rPr>
              <w:t>₂</w:t>
            </w:r>
            <w:r w:rsidRPr="0059270C">
              <w:rPr>
                <w:rFonts w:ascii="Arial" w:hAnsi="Arial" w:cs="Arial"/>
                <w:b/>
                <w:bCs/>
                <w:sz w:val="20"/>
                <w:szCs w:val="20"/>
                <w:lang w:val="en-US"/>
              </w:rPr>
              <w:t xml:space="preserve"> eq)</w:t>
            </w:r>
          </w:p>
        </w:tc>
        <w:tc>
          <w:tcPr>
            <w:tcW w:w="1836" w:type="dxa"/>
            <w:vAlign w:val="center"/>
            <w:hideMark/>
          </w:tcPr>
          <w:p w14:paraId="14048692"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Fossil Fuel Depletion (MJ)</w:t>
            </w:r>
          </w:p>
        </w:tc>
        <w:tc>
          <w:tcPr>
            <w:tcW w:w="1478" w:type="dxa"/>
            <w:vAlign w:val="center"/>
            <w:hideMark/>
          </w:tcPr>
          <w:p w14:paraId="0CAB5CD1" w14:textId="503EBEC3"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 xml:space="preserve">Crew </w:t>
            </w:r>
            <w:r w:rsidR="00BB38BE">
              <w:rPr>
                <w:rFonts w:ascii="Arial" w:hAnsi="Arial" w:cs="Arial"/>
                <w:b/>
                <w:bCs/>
                <w:sz w:val="20"/>
                <w:szCs w:val="20"/>
                <w:lang w:val="en-US"/>
              </w:rPr>
              <w:t>Member</w:t>
            </w:r>
          </w:p>
        </w:tc>
        <w:tc>
          <w:tcPr>
            <w:tcW w:w="2662" w:type="dxa"/>
            <w:vAlign w:val="center"/>
            <w:hideMark/>
          </w:tcPr>
          <w:p w14:paraId="2514863C" w14:textId="77777777" w:rsidR="0031607C" w:rsidRPr="0059270C" w:rsidRDefault="0031607C" w:rsidP="00B93836">
            <w:pPr>
              <w:suppressLineNumbers/>
              <w:spacing w:line="480" w:lineRule="auto"/>
              <w:jc w:val="center"/>
              <w:rPr>
                <w:rFonts w:ascii="Arial" w:hAnsi="Arial" w:cs="Arial"/>
                <w:b/>
                <w:bCs/>
                <w:sz w:val="20"/>
                <w:szCs w:val="20"/>
                <w:lang w:val="en-US"/>
              </w:rPr>
            </w:pPr>
            <w:r w:rsidRPr="0059270C">
              <w:rPr>
                <w:rFonts w:ascii="Arial" w:hAnsi="Arial" w:cs="Arial"/>
                <w:b/>
                <w:bCs/>
                <w:sz w:val="20"/>
                <w:szCs w:val="20"/>
                <w:lang w:val="en-US"/>
              </w:rPr>
              <w:t>Operational Mode</w:t>
            </w:r>
          </w:p>
        </w:tc>
      </w:tr>
      <w:tr w:rsidR="0059270C" w:rsidRPr="0059270C" w14:paraId="01953ACB" w14:textId="77777777" w:rsidTr="0031607C">
        <w:tc>
          <w:tcPr>
            <w:tcW w:w="1795" w:type="dxa"/>
            <w:vAlign w:val="center"/>
            <w:hideMark/>
          </w:tcPr>
          <w:p w14:paraId="69EA9F5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Dabang</w:t>
            </w:r>
          </w:p>
        </w:tc>
        <w:tc>
          <w:tcPr>
            <w:tcW w:w="2161" w:type="dxa"/>
            <w:vAlign w:val="center"/>
            <w:hideMark/>
          </w:tcPr>
          <w:p w14:paraId="68F002FB"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Versova (Mumbai)</w:t>
            </w:r>
          </w:p>
        </w:tc>
        <w:tc>
          <w:tcPr>
            <w:tcW w:w="1607" w:type="dxa"/>
            <w:vAlign w:val="center"/>
            <w:hideMark/>
          </w:tcPr>
          <w:p w14:paraId="5AAF355E"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HDPE + FRP</w:t>
            </w:r>
          </w:p>
        </w:tc>
        <w:tc>
          <w:tcPr>
            <w:tcW w:w="0" w:type="auto"/>
            <w:vAlign w:val="center"/>
            <w:hideMark/>
          </w:tcPr>
          <w:p w14:paraId="0E9F3D5B"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75</w:t>
            </w:r>
          </w:p>
        </w:tc>
        <w:tc>
          <w:tcPr>
            <w:tcW w:w="0" w:type="auto"/>
            <w:vAlign w:val="center"/>
            <w:hideMark/>
          </w:tcPr>
          <w:p w14:paraId="0E01763F"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1,060.81</w:t>
            </w:r>
          </w:p>
        </w:tc>
        <w:tc>
          <w:tcPr>
            <w:tcW w:w="1836" w:type="dxa"/>
            <w:vAlign w:val="center"/>
            <w:hideMark/>
          </w:tcPr>
          <w:p w14:paraId="69220C7A"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19,640</w:t>
            </w:r>
          </w:p>
        </w:tc>
        <w:tc>
          <w:tcPr>
            <w:tcW w:w="1478" w:type="dxa"/>
            <w:vAlign w:val="center"/>
            <w:hideMark/>
          </w:tcPr>
          <w:p w14:paraId="5A4589FF"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6–7</w:t>
            </w:r>
          </w:p>
        </w:tc>
        <w:tc>
          <w:tcPr>
            <w:tcW w:w="2662" w:type="dxa"/>
            <w:vAlign w:val="center"/>
            <w:hideMark/>
          </w:tcPr>
          <w:p w14:paraId="38CBE822"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Mechanized</w:t>
            </w:r>
          </w:p>
        </w:tc>
      </w:tr>
      <w:tr w:rsidR="0059270C" w:rsidRPr="0059270C" w14:paraId="4AA91209" w14:textId="77777777" w:rsidTr="0031607C">
        <w:tc>
          <w:tcPr>
            <w:tcW w:w="1795" w:type="dxa"/>
            <w:vAlign w:val="center"/>
            <w:hideMark/>
          </w:tcPr>
          <w:p w14:paraId="54FD3A70"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Pachubandar</w:t>
            </w:r>
          </w:p>
        </w:tc>
        <w:tc>
          <w:tcPr>
            <w:tcW w:w="2161" w:type="dxa"/>
            <w:vAlign w:val="center"/>
            <w:hideMark/>
          </w:tcPr>
          <w:p w14:paraId="11B7B97A"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Palghar (Mumbai)</w:t>
            </w:r>
          </w:p>
        </w:tc>
        <w:tc>
          <w:tcPr>
            <w:tcW w:w="1607" w:type="dxa"/>
            <w:vAlign w:val="center"/>
            <w:hideMark/>
          </w:tcPr>
          <w:p w14:paraId="505333A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HDPE + Steel</w:t>
            </w:r>
          </w:p>
        </w:tc>
        <w:tc>
          <w:tcPr>
            <w:tcW w:w="0" w:type="auto"/>
            <w:vAlign w:val="center"/>
            <w:hideMark/>
          </w:tcPr>
          <w:p w14:paraId="22F10EDE"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60</w:t>
            </w:r>
          </w:p>
        </w:tc>
        <w:tc>
          <w:tcPr>
            <w:tcW w:w="0" w:type="auto"/>
            <w:vAlign w:val="center"/>
            <w:hideMark/>
          </w:tcPr>
          <w:p w14:paraId="14D430E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842.61</w:t>
            </w:r>
          </w:p>
        </w:tc>
        <w:tc>
          <w:tcPr>
            <w:tcW w:w="1836" w:type="dxa"/>
            <w:vAlign w:val="center"/>
            <w:hideMark/>
          </w:tcPr>
          <w:p w14:paraId="2B64774B"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15,300</w:t>
            </w:r>
          </w:p>
        </w:tc>
        <w:tc>
          <w:tcPr>
            <w:tcW w:w="1478" w:type="dxa"/>
            <w:vAlign w:val="center"/>
            <w:hideMark/>
          </w:tcPr>
          <w:p w14:paraId="48413144"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6–8</w:t>
            </w:r>
          </w:p>
        </w:tc>
        <w:tc>
          <w:tcPr>
            <w:tcW w:w="2662" w:type="dxa"/>
            <w:vAlign w:val="center"/>
            <w:hideMark/>
          </w:tcPr>
          <w:p w14:paraId="080BE050"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Mechanized, multiday</w:t>
            </w:r>
          </w:p>
        </w:tc>
      </w:tr>
      <w:tr w:rsidR="0059270C" w:rsidRPr="0059270C" w14:paraId="29175D08" w14:textId="77777777" w:rsidTr="0031607C">
        <w:tc>
          <w:tcPr>
            <w:tcW w:w="1795" w:type="dxa"/>
            <w:vAlign w:val="center"/>
            <w:hideMark/>
          </w:tcPr>
          <w:p w14:paraId="5325CD38"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Sajachi</w:t>
            </w:r>
          </w:p>
        </w:tc>
        <w:tc>
          <w:tcPr>
            <w:tcW w:w="2161" w:type="dxa"/>
            <w:vAlign w:val="center"/>
            <w:hideMark/>
          </w:tcPr>
          <w:p w14:paraId="6C3EB10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Ratnagiri</w:t>
            </w:r>
          </w:p>
        </w:tc>
        <w:tc>
          <w:tcPr>
            <w:tcW w:w="1607" w:type="dxa"/>
            <w:vAlign w:val="center"/>
            <w:hideMark/>
          </w:tcPr>
          <w:p w14:paraId="3C1AA25A"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PP</w:t>
            </w:r>
          </w:p>
        </w:tc>
        <w:tc>
          <w:tcPr>
            <w:tcW w:w="0" w:type="auto"/>
            <w:vAlign w:val="center"/>
            <w:hideMark/>
          </w:tcPr>
          <w:p w14:paraId="64D328BD"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30</w:t>
            </w:r>
          </w:p>
        </w:tc>
        <w:tc>
          <w:tcPr>
            <w:tcW w:w="0" w:type="auto"/>
            <w:vAlign w:val="center"/>
            <w:hideMark/>
          </w:tcPr>
          <w:p w14:paraId="13CED6E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485.00</w:t>
            </w:r>
          </w:p>
        </w:tc>
        <w:tc>
          <w:tcPr>
            <w:tcW w:w="1836" w:type="dxa"/>
            <w:vAlign w:val="center"/>
            <w:hideMark/>
          </w:tcPr>
          <w:p w14:paraId="0116C8D1"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8,700</w:t>
            </w:r>
          </w:p>
        </w:tc>
        <w:tc>
          <w:tcPr>
            <w:tcW w:w="1478" w:type="dxa"/>
            <w:vAlign w:val="center"/>
            <w:hideMark/>
          </w:tcPr>
          <w:p w14:paraId="6222A130"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1–2</w:t>
            </w:r>
          </w:p>
        </w:tc>
        <w:tc>
          <w:tcPr>
            <w:tcW w:w="2662" w:type="dxa"/>
            <w:vAlign w:val="center"/>
            <w:hideMark/>
          </w:tcPr>
          <w:p w14:paraId="658E8F2B"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Semi-mechanized</w:t>
            </w:r>
          </w:p>
        </w:tc>
      </w:tr>
      <w:tr w:rsidR="0059270C" w:rsidRPr="0059270C" w14:paraId="4C1FF44C" w14:textId="77777777" w:rsidTr="0031607C">
        <w:tc>
          <w:tcPr>
            <w:tcW w:w="1795" w:type="dxa"/>
            <w:vAlign w:val="center"/>
            <w:hideMark/>
          </w:tcPr>
          <w:p w14:paraId="0058D1C7"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Bokshi</w:t>
            </w:r>
          </w:p>
        </w:tc>
        <w:tc>
          <w:tcPr>
            <w:tcW w:w="2161" w:type="dxa"/>
            <w:vAlign w:val="center"/>
            <w:hideMark/>
          </w:tcPr>
          <w:p w14:paraId="6A7478E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Versova (Mumbai)</w:t>
            </w:r>
          </w:p>
        </w:tc>
        <w:tc>
          <w:tcPr>
            <w:tcW w:w="1607" w:type="dxa"/>
            <w:vAlign w:val="center"/>
            <w:hideMark/>
          </w:tcPr>
          <w:p w14:paraId="114F76A3"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PA</w:t>
            </w:r>
          </w:p>
        </w:tc>
        <w:tc>
          <w:tcPr>
            <w:tcW w:w="0" w:type="auto"/>
            <w:vAlign w:val="center"/>
            <w:hideMark/>
          </w:tcPr>
          <w:p w14:paraId="308713F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25</w:t>
            </w:r>
          </w:p>
        </w:tc>
        <w:tc>
          <w:tcPr>
            <w:tcW w:w="0" w:type="auto"/>
            <w:vAlign w:val="center"/>
            <w:hideMark/>
          </w:tcPr>
          <w:p w14:paraId="4915F93E"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332.92</w:t>
            </w:r>
          </w:p>
        </w:tc>
        <w:tc>
          <w:tcPr>
            <w:tcW w:w="1836" w:type="dxa"/>
            <w:vAlign w:val="center"/>
            <w:hideMark/>
          </w:tcPr>
          <w:p w14:paraId="6B07ABCB"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5,400</w:t>
            </w:r>
          </w:p>
        </w:tc>
        <w:tc>
          <w:tcPr>
            <w:tcW w:w="1478" w:type="dxa"/>
            <w:vAlign w:val="center"/>
            <w:hideMark/>
          </w:tcPr>
          <w:p w14:paraId="205676A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2–3</w:t>
            </w:r>
          </w:p>
        </w:tc>
        <w:tc>
          <w:tcPr>
            <w:tcW w:w="2662" w:type="dxa"/>
            <w:vAlign w:val="center"/>
            <w:hideMark/>
          </w:tcPr>
          <w:p w14:paraId="301260FF" w14:textId="72456E47" w:rsidR="0031607C" w:rsidRPr="0059270C" w:rsidRDefault="00BB38BE"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Mechanized</w:t>
            </w:r>
          </w:p>
        </w:tc>
      </w:tr>
      <w:tr w:rsidR="0059270C" w:rsidRPr="0059270C" w14:paraId="25F72EBC" w14:textId="77777777" w:rsidTr="0031607C">
        <w:tc>
          <w:tcPr>
            <w:tcW w:w="1795" w:type="dxa"/>
            <w:vAlign w:val="center"/>
            <w:hideMark/>
          </w:tcPr>
          <w:p w14:paraId="00EBE367"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Mosquito</w:t>
            </w:r>
          </w:p>
        </w:tc>
        <w:tc>
          <w:tcPr>
            <w:tcW w:w="2161" w:type="dxa"/>
            <w:vAlign w:val="center"/>
            <w:hideMark/>
          </w:tcPr>
          <w:p w14:paraId="747F871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Ratnagiri</w:t>
            </w:r>
          </w:p>
        </w:tc>
        <w:tc>
          <w:tcPr>
            <w:tcW w:w="1607" w:type="dxa"/>
            <w:vAlign w:val="center"/>
            <w:hideMark/>
          </w:tcPr>
          <w:p w14:paraId="5B6E3853"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HDPE</w:t>
            </w:r>
          </w:p>
        </w:tc>
        <w:tc>
          <w:tcPr>
            <w:tcW w:w="0" w:type="auto"/>
            <w:vAlign w:val="center"/>
            <w:hideMark/>
          </w:tcPr>
          <w:p w14:paraId="2E73ABBC"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20</w:t>
            </w:r>
          </w:p>
        </w:tc>
        <w:tc>
          <w:tcPr>
            <w:tcW w:w="0" w:type="auto"/>
            <w:vAlign w:val="center"/>
            <w:hideMark/>
          </w:tcPr>
          <w:p w14:paraId="26900E23"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311.86</w:t>
            </w:r>
          </w:p>
        </w:tc>
        <w:tc>
          <w:tcPr>
            <w:tcW w:w="1836" w:type="dxa"/>
            <w:vAlign w:val="center"/>
            <w:hideMark/>
          </w:tcPr>
          <w:p w14:paraId="7F7B0916"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4,900</w:t>
            </w:r>
          </w:p>
        </w:tc>
        <w:tc>
          <w:tcPr>
            <w:tcW w:w="1478" w:type="dxa"/>
            <w:vAlign w:val="center"/>
            <w:hideMark/>
          </w:tcPr>
          <w:p w14:paraId="2E188FEC"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w:t>
            </w:r>
          </w:p>
        </w:tc>
        <w:tc>
          <w:tcPr>
            <w:tcW w:w="2662" w:type="dxa"/>
            <w:vAlign w:val="center"/>
            <w:hideMark/>
          </w:tcPr>
          <w:p w14:paraId="7F561F2E" w14:textId="0127C3CD" w:rsidR="0031607C" w:rsidRPr="0059270C" w:rsidRDefault="00BB38BE"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Mechanized</w:t>
            </w:r>
          </w:p>
        </w:tc>
      </w:tr>
      <w:tr w:rsidR="0059270C" w:rsidRPr="0059270C" w14:paraId="27E93CCB" w14:textId="77777777" w:rsidTr="0031607C">
        <w:tc>
          <w:tcPr>
            <w:tcW w:w="1795" w:type="dxa"/>
            <w:vAlign w:val="center"/>
            <w:hideMark/>
          </w:tcPr>
          <w:p w14:paraId="16C8A210"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Karanja</w:t>
            </w:r>
          </w:p>
        </w:tc>
        <w:tc>
          <w:tcPr>
            <w:tcW w:w="2161" w:type="dxa"/>
            <w:vAlign w:val="center"/>
            <w:hideMark/>
          </w:tcPr>
          <w:p w14:paraId="29FE0965"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Raigad (Mumbai)</w:t>
            </w:r>
          </w:p>
        </w:tc>
        <w:tc>
          <w:tcPr>
            <w:tcW w:w="1607" w:type="dxa"/>
            <w:vAlign w:val="center"/>
            <w:hideMark/>
          </w:tcPr>
          <w:p w14:paraId="11BB2968"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PA</w:t>
            </w:r>
          </w:p>
        </w:tc>
        <w:tc>
          <w:tcPr>
            <w:tcW w:w="0" w:type="auto"/>
            <w:vAlign w:val="center"/>
            <w:hideMark/>
          </w:tcPr>
          <w:p w14:paraId="543039B8"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40</w:t>
            </w:r>
          </w:p>
        </w:tc>
        <w:tc>
          <w:tcPr>
            <w:tcW w:w="0" w:type="auto"/>
            <w:vAlign w:val="center"/>
            <w:hideMark/>
          </w:tcPr>
          <w:p w14:paraId="592337DC"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515.00</w:t>
            </w:r>
          </w:p>
        </w:tc>
        <w:tc>
          <w:tcPr>
            <w:tcW w:w="1836" w:type="dxa"/>
            <w:vAlign w:val="center"/>
            <w:hideMark/>
          </w:tcPr>
          <w:p w14:paraId="3722E1F7"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9,200</w:t>
            </w:r>
          </w:p>
        </w:tc>
        <w:tc>
          <w:tcPr>
            <w:tcW w:w="1478" w:type="dxa"/>
            <w:vAlign w:val="center"/>
            <w:hideMark/>
          </w:tcPr>
          <w:p w14:paraId="5043A1E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w:t>
            </w:r>
          </w:p>
        </w:tc>
        <w:tc>
          <w:tcPr>
            <w:tcW w:w="2662" w:type="dxa"/>
            <w:vAlign w:val="center"/>
            <w:hideMark/>
          </w:tcPr>
          <w:p w14:paraId="4DA7580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Semi-mechanized</w:t>
            </w:r>
          </w:p>
        </w:tc>
      </w:tr>
      <w:tr w:rsidR="0059270C" w:rsidRPr="0059270C" w14:paraId="1665818C" w14:textId="77777777" w:rsidTr="0031607C">
        <w:tc>
          <w:tcPr>
            <w:tcW w:w="1795" w:type="dxa"/>
            <w:vAlign w:val="center"/>
            <w:hideMark/>
          </w:tcPr>
          <w:p w14:paraId="39CE0453" w14:textId="77777777" w:rsidR="0031607C" w:rsidRPr="0059270C" w:rsidRDefault="0031607C" w:rsidP="00B93836">
            <w:pPr>
              <w:suppressLineNumbers/>
              <w:spacing w:line="480" w:lineRule="auto"/>
              <w:jc w:val="center"/>
              <w:rPr>
                <w:rFonts w:ascii="Arial" w:hAnsi="Arial" w:cs="Arial"/>
                <w:sz w:val="20"/>
                <w:szCs w:val="20"/>
                <w:lang w:val="en-US"/>
              </w:rPr>
            </w:pPr>
            <w:proofErr w:type="spellStart"/>
            <w:r w:rsidRPr="0059270C">
              <w:rPr>
                <w:rFonts w:ascii="Arial" w:hAnsi="Arial" w:cs="Arial"/>
                <w:sz w:val="20"/>
                <w:szCs w:val="20"/>
                <w:lang w:val="en-US"/>
              </w:rPr>
              <w:t>Rewas-Bodni</w:t>
            </w:r>
            <w:proofErr w:type="spellEnd"/>
          </w:p>
        </w:tc>
        <w:tc>
          <w:tcPr>
            <w:tcW w:w="2161" w:type="dxa"/>
            <w:vAlign w:val="center"/>
            <w:hideMark/>
          </w:tcPr>
          <w:p w14:paraId="2F88B00E"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Raigad (Mumbai)</w:t>
            </w:r>
          </w:p>
        </w:tc>
        <w:tc>
          <w:tcPr>
            <w:tcW w:w="1607" w:type="dxa"/>
            <w:vAlign w:val="center"/>
            <w:hideMark/>
          </w:tcPr>
          <w:p w14:paraId="29D6E300"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HDPE</w:t>
            </w:r>
          </w:p>
        </w:tc>
        <w:tc>
          <w:tcPr>
            <w:tcW w:w="0" w:type="auto"/>
            <w:vAlign w:val="center"/>
            <w:hideMark/>
          </w:tcPr>
          <w:p w14:paraId="33CF4FA4"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35</w:t>
            </w:r>
          </w:p>
        </w:tc>
        <w:tc>
          <w:tcPr>
            <w:tcW w:w="0" w:type="auto"/>
            <w:vAlign w:val="center"/>
            <w:hideMark/>
          </w:tcPr>
          <w:p w14:paraId="332F1BD9"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620.00</w:t>
            </w:r>
          </w:p>
        </w:tc>
        <w:tc>
          <w:tcPr>
            <w:tcW w:w="1836" w:type="dxa"/>
            <w:vAlign w:val="center"/>
            <w:hideMark/>
          </w:tcPr>
          <w:p w14:paraId="314C226F"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10,500</w:t>
            </w:r>
          </w:p>
        </w:tc>
        <w:tc>
          <w:tcPr>
            <w:tcW w:w="1478" w:type="dxa"/>
            <w:vAlign w:val="center"/>
            <w:hideMark/>
          </w:tcPr>
          <w:p w14:paraId="50D1C48E" w14:textId="77777777" w:rsidR="0031607C" w:rsidRPr="0059270C" w:rsidRDefault="0031607C"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1–2</w:t>
            </w:r>
          </w:p>
        </w:tc>
        <w:tc>
          <w:tcPr>
            <w:tcW w:w="2662" w:type="dxa"/>
            <w:vAlign w:val="center"/>
            <w:hideMark/>
          </w:tcPr>
          <w:p w14:paraId="1A6E5953" w14:textId="29D4CF4D" w:rsidR="0031607C" w:rsidRPr="0059270C" w:rsidRDefault="00BB38BE" w:rsidP="00B93836">
            <w:pPr>
              <w:suppressLineNumbers/>
              <w:spacing w:line="480" w:lineRule="auto"/>
              <w:jc w:val="center"/>
              <w:rPr>
                <w:rFonts w:ascii="Arial" w:hAnsi="Arial" w:cs="Arial"/>
                <w:sz w:val="20"/>
                <w:szCs w:val="20"/>
                <w:lang w:val="en-US"/>
              </w:rPr>
            </w:pPr>
            <w:r w:rsidRPr="0059270C">
              <w:rPr>
                <w:rFonts w:ascii="Arial" w:hAnsi="Arial" w:cs="Arial"/>
                <w:sz w:val="20"/>
                <w:szCs w:val="20"/>
                <w:lang w:val="en-US"/>
              </w:rPr>
              <w:t>Mechanized</w:t>
            </w:r>
          </w:p>
        </w:tc>
      </w:tr>
    </w:tbl>
    <w:p w14:paraId="117DAA6A" w14:textId="77777777" w:rsidR="0031607C" w:rsidRPr="0059270C" w:rsidRDefault="0031607C" w:rsidP="00B93836">
      <w:pPr>
        <w:suppressLineNumbers/>
        <w:rPr>
          <w:rFonts w:ascii="Times New Roman" w:eastAsia="Times New Roman" w:hAnsi="Times New Roman" w:cs="Times New Roman"/>
          <w:kern w:val="0"/>
          <w:sz w:val="24"/>
          <w:szCs w:val="24"/>
          <w:lang w:val="en-US" w:bidi="hi-IN"/>
          <w14:ligatures w14:val="none"/>
        </w:rPr>
      </w:pPr>
    </w:p>
    <w:p w14:paraId="1C88E7DD" w14:textId="0B3B2C15" w:rsidR="0031607C" w:rsidRPr="0059270C" w:rsidRDefault="0031607C" w:rsidP="00B93836">
      <w:pPr>
        <w:suppressLineNumbers/>
        <w:spacing w:line="480" w:lineRule="auto"/>
        <w:rPr>
          <w:rFonts w:ascii="Arial" w:hAnsi="Arial" w:cs="Arial"/>
          <w:sz w:val="20"/>
          <w:szCs w:val="20"/>
          <w:lang w:val="en-US"/>
        </w:rPr>
      </w:pPr>
      <w:r w:rsidRPr="0059270C">
        <w:rPr>
          <w:rFonts w:ascii="Arial" w:hAnsi="Arial" w:cs="Arial"/>
          <w:b/>
          <w:bCs/>
          <w:sz w:val="20"/>
          <w:szCs w:val="20"/>
          <w:lang w:val="en-US"/>
        </w:rPr>
        <w:t>Table 2.</w:t>
      </w:r>
      <w:r w:rsidRPr="0059270C">
        <w:rPr>
          <w:rFonts w:ascii="Arial" w:hAnsi="Arial" w:cs="Arial"/>
          <w:sz w:val="20"/>
          <w:szCs w:val="20"/>
          <w:lang w:val="en-US"/>
        </w:rPr>
        <w:t xml:space="preserve"> Summary of Life Cycle Inventory (LCI) and Global Warming Potential (GWP) of Seven Dolnet Design</w:t>
      </w:r>
    </w:p>
    <w:p w14:paraId="6913D59C" w14:textId="6BC393B4" w:rsidR="0031607C" w:rsidRPr="0059270C" w:rsidRDefault="0031607C" w:rsidP="00B93836">
      <w:pPr>
        <w:suppressLineNumbers/>
        <w:rPr>
          <w:rFonts w:ascii="Arial" w:eastAsia="Times New Roman" w:hAnsi="Arial" w:cs="Arial"/>
          <w:kern w:val="0"/>
          <w:sz w:val="20"/>
          <w:szCs w:val="20"/>
          <w:lang w:val="en-US" w:bidi="hi-IN"/>
          <w14:ligatures w14:val="none"/>
        </w:rPr>
      </w:pPr>
      <w:r w:rsidRPr="0059270C">
        <w:rPr>
          <w:rFonts w:ascii="Arial" w:hAnsi="Arial" w:cs="Arial"/>
          <w:sz w:val="20"/>
          <w:szCs w:val="20"/>
        </w:rPr>
        <w:t>HDPE – High-Density Polyethylene; FRP – Fiberglass Reinforced Plastic; PP – Polypropylene; PA – Polyamide (Nylon).</w:t>
      </w:r>
    </w:p>
    <w:p w14:paraId="1533CD3B" w14:textId="38F6B67C" w:rsidR="0031607C" w:rsidRPr="0059270C" w:rsidRDefault="0031607C" w:rsidP="00B93836">
      <w:pPr>
        <w:suppressLineNumbers/>
        <w:tabs>
          <w:tab w:val="left" w:pos="1260"/>
        </w:tabs>
        <w:spacing w:line="480" w:lineRule="auto"/>
        <w:ind w:firstLine="720"/>
        <w:jc w:val="both"/>
        <w:rPr>
          <w:rFonts w:ascii="Arial" w:hAnsi="Arial" w:cs="Arial"/>
          <w:lang w:val="en-US"/>
        </w:rPr>
      </w:pPr>
    </w:p>
    <w:p w14:paraId="7F6386B2" w14:textId="77777777" w:rsidR="0031607C" w:rsidRPr="0059270C" w:rsidRDefault="0031607C" w:rsidP="00B93836">
      <w:pPr>
        <w:suppressLineNumbers/>
        <w:rPr>
          <w:rFonts w:ascii="Arial" w:hAnsi="Arial" w:cs="Arial"/>
          <w:lang w:val="en-US"/>
        </w:rPr>
      </w:pPr>
    </w:p>
    <w:p w14:paraId="54CA4D0D" w14:textId="77777777" w:rsidR="0031607C" w:rsidRPr="0059270C" w:rsidRDefault="0031607C" w:rsidP="00B93836">
      <w:pPr>
        <w:suppressLineNumbers/>
        <w:rPr>
          <w:rFonts w:ascii="Arial" w:hAnsi="Arial" w:cs="Arial"/>
          <w:lang w:val="en-US"/>
        </w:rPr>
      </w:pPr>
    </w:p>
    <w:p w14:paraId="02B09488" w14:textId="77777777" w:rsidR="0031607C" w:rsidRPr="0059270C" w:rsidRDefault="0031607C" w:rsidP="00B93836">
      <w:pPr>
        <w:suppressLineNumbers/>
        <w:rPr>
          <w:rFonts w:ascii="Arial" w:hAnsi="Arial" w:cs="Arial"/>
          <w:lang w:val="en-US"/>
        </w:rPr>
      </w:pPr>
    </w:p>
    <w:p w14:paraId="138E18EB" w14:textId="77777777" w:rsidR="0031607C" w:rsidRPr="0059270C" w:rsidRDefault="0031607C" w:rsidP="00B93836">
      <w:pPr>
        <w:suppressLineNumbers/>
        <w:rPr>
          <w:rFonts w:ascii="Arial" w:hAnsi="Arial" w:cs="Arial"/>
          <w:lang w:val="en-US"/>
        </w:rPr>
      </w:pPr>
    </w:p>
    <w:p w14:paraId="4836E6E6" w14:textId="77777777" w:rsidR="0031607C" w:rsidRPr="0059270C" w:rsidRDefault="0031607C" w:rsidP="00B93836">
      <w:pPr>
        <w:rPr>
          <w:rFonts w:ascii="Arial" w:hAnsi="Arial" w:cs="Arial"/>
          <w:lang w:val="en-US"/>
        </w:rPr>
        <w:sectPr w:rsidR="0031607C" w:rsidRPr="0059270C" w:rsidSect="00B93836">
          <w:pgSz w:w="16838" w:h="11906" w:orient="landscape"/>
          <w:pgMar w:top="1440" w:right="1440" w:bottom="1440" w:left="907" w:header="706" w:footer="706" w:gutter="0"/>
          <w:lnNumType w:countBy="1" w:restart="continuous"/>
          <w:cols w:space="708"/>
          <w:docGrid w:linePitch="360"/>
        </w:sectPr>
      </w:pPr>
    </w:p>
    <w:p w14:paraId="38F94AFF" w14:textId="39BCD6CA" w:rsidR="00623772" w:rsidRPr="0059270C" w:rsidRDefault="008F75C5" w:rsidP="00B93836">
      <w:pPr>
        <w:spacing w:line="480" w:lineRule="auto"/>
        <w:ind w:firstLine="720"/>
        <w:jc w:val="both"/>
        <w:rPr>
          <w:rFonts w:ascii="Arial" w:hAnsi="Arial" w:cs="Arial"/>
          <w:sz w:val="20"/>
          <w:szCs w:val="20"/>
          <w:lang w:val="en-US"/>
        </w:rPr>
      </w:pPr>
      <w:r w:rsidRPr="0059270C">
        <w:rPr>
          <w:rFonts w:ascii="Arial" w:hAnsi="Arial" w:cs="Arial"/>
          <w:sz w:val="20"/>
          <w:szCs w:val="20"/>
          <w:lang w:val="en-US"/>
        </w:rPr>
        <w:lastRenderedPageBreak/>
        <w:t>This disparity highlights the importance of gear design and operational parameters in mitigating environmental impact within artisanal fisheries (Das &amp; Edwin, 2016). Further analysis indicates that the size, material composition, and deployment strategies of these dolnets significantly influence their cradle-to-gate environmental footprints (</w:t>
      </w:r>
      <w:proofErr w:type="spellStart"/>
      <w:r w:rsidRPr="0059270C">
        <w:rPr>
          <w:rFonts w:ascii="Arial" w:hAnsi="Arial" w:cs="Arial"/>
          <w:sz w:val="20"/>
          <w:szCs w:val="20"/>
          <w:lang w:val="en-US"/>
        </w:rPr>
        <w:t>Verones</w:t>
      </w:r>
      <w:proofErr w:type="spellEnd"/>
      <w:r w:rsidRPr="0059270C">
        <w:rPr>
          <w:rFonts w:ascii="Arial" w:hAnsi="Arial" w:cs="Arial"/>
          <w:sz w:val="20"/>
          <w:szCs w:val="20"/>
          <w:lang w:val="en-US"/>
        </w:rPr>
        <w:t xml:space="preserve"> et al., 2017). Specifically, the larger dimensions and increased material inputs of designs like the Dabang dolnet likely contribute to higher impacts, aligning with findings that larger gear generally correlates with increased resource consumption and emissions (Kazi et al., 2011). Conversely, smaller and more efficient designs, such as the Bokshi and Mosquito dolnets, likely minimize material usage and associated embodied energy, resulting in reduced environmental burdens per unit of fish harvested. This suggests that optimizing net design and material selection could lead to substantial improvements in the sustainability of dolnet fisheries. </w:t>
      </w:r>
    </w:p>
    <w:p w14:paraId="56E77EAD" w14:textId="48AB3604" w:rsidR="00641EED" w:rsidRPr="0059270C" w:rsidRDefault="008F75C5" w:rsidP="0087585E">
      <w:pPr>
        <w:spacing w:line="480" w:lineRule="auto"/>
        <w:ind w:firstLine="720"/>
        <w:jc w:val="both"/>
        <w:rPr>
          <w:rFonts w:ascii="Arial" w:hAnsi="Arial" w:cs="Arial"/>
          <w:sz w:val="20"/>
          <w:szCs w:val="20"/>
          <w:lang w:val="en-US"/>
        </w:rPr>
      </w:pPr>
      <w:r w:rsidRPr="0059270C">
        <w:rPr>
          <w:rFonts w:ascii="Arial" w:hAnsi="Arial" w:cs="Arial"/>
          <w:sz w:val="20"/>
          <w:szCs w:val="20"/>
          <w:lang w:val="en-US"/>
        </w:rPr>
        <w:t>Moreover, the operational characteristics, such as fishing duration and fuel consumption, represent critical variables influencing the life cycle impact of dolnet designs, especially considering that fuel can constitute a substantial portion of operational costs in fishing activities. Therefore, a holistic approach integrating design modifications with enhanced operational efficiencies is essential for minimizing the environmental footprint of dolnet fisheries while simultaneously bolstering their economic viability</w:t>
      </w:r>
      <w:r w:rsidR="004E7EE1" w:rsidRPr="0059270C">
        <w:rPr>
          <w:rFonts w:ascii="Arial" w:hAnsi="Arial" w:cs="Arial"/>
          <w:sz w:val="20"/>
          <w:szCs w:val="20"/>
          <w:lang w:val="en-US"/>
        </w:rPr>
        <w:t xml:space="preserve"> </w:t>
      </w:r>
      <w:r w:rsidRPr="0059270C">
        <w:rPr>
          <w:rFonts w:ascii="Arial" w:hAnsi="Arial" w:cs="Arial"/>
          <w:sz w:val="20"/>
          <w:szCs w:val="20"/>
          <w:lang w:val="en-US"/>
        </w:rPr>
        <w:t>(Roul et al., 2023). </w:t>
      </w:r>
      <w:r w:rsidR="00364728" w:rsidRPr="0059270C">
        <w:rPr>
          <w:rFonts w:ascii="Arial" w:hAnsi="Arial" w:cs="Arial"/>
          <w:sz w:val="20"/>
          <w:szCs w:val="20"/>
          <w:lang w:val="en-US"/>
        </w:rPr>
        <w:t xml:space="preserve"> </w:t>
      </w:r>
      <w:r w:rsidR="00292EB1" w:rsidRPr="0059270C">
        <w:rPr>
          <w:rFonts w:ascii="Arial" w:hAnsi="Arial" w:cs="Arial"/>
          <w:sz w:val="20"/>
          <w:szCs w:val="20"/>
          <w:lang w:val="en-US"/>
        </w:rPr>
        <w:t>These findings demonstrate how material intensity and fuel consumption scale with design complexity. Mechanized dolnets yield higher emissions due to longer trips and heavier structural components, while artisanal dolnets perform better in energy efficiency.</w:t>
      </w:r>
      <w:r w:rsidR="007F7FF9" w:rsidRPr="0059270C">
        <w:rPr>
          <w:rFonts w:ascii="Arial" w:hAnsi="Arial" w:cs="Arial"/>
          <w:sz w:val="20"/>
          <w:szCs w:val="20"/>
          <w:lang w:val="en-US"/>
        </w:rPr>
        <w:t xml:space="preserve">  The design and operation of dolnets vary widely across the coast, resulting in significant differences in energy use and emissions. Estuarine and nearshore dolnets, such as those operated in Karanja and Ratnagiri, are largely manual and emit as little as 2.7–13.4 kg of CO</w:t>
      </w:r>
      <w:r w:rsidR="007F7FF9" w:rsidRPr="0059270C">
        <w:rPr>
          <w:rFonts w:ascii="Cambria Math" w:hAnsi="Cambria Math" w:cs="Cambria Math"/>
          <w:sz w:val="20"/>
          <w:szCs w:val="20"/>
          <w:lang w:val="en-US"/>
        </w:rPr>
        <w:t>₂</w:t>
      </w:r>
      <w:r w:rsidR="007F7FF9" w:rsidRPr="0059270C">
        <w:rPr>
          <w:rFonts w:ascii="Arial" w:hAnsi="Arial" w:cs="Arial"/>
          <w:sz w:val="20"/>
          <w:szCs w:val="20"/>
          <w:lang w:val="en-US"/>
        </w:rPr>
        <w:t xml:space="preserve"> per trip.</w:t>
      </w:r>
    </w:p>
    <w:p w14:paraId="0A6F77E3" w14:textId="2E7B7D58" w:rsidR="00641EED" w:rsidRPr="0059270C" w:rsidRDefault="00641EED" w:rsidP="00B93836">
      <w:pPr>
        <w:spacing w:after="0" w:line="480" w:lineRule="auto"/>
        <w:jc w:val="both"/>
        <w:rPr>
          <w:rFonts w:ascii="Arial" w:hAnsi="Arial" w:cs="Arial"/>
          <w:b/>
          <w:bCs/>
          <w:sz w:val="20"/>
          <w:szCs w:val="20"/>
          <w:lang w:val="en-US"/>
        </w:rPr>
        <w:sectPr w:rsidR="00641EED" w:rsidRPr="0059270C" w:rsidSect="00B93836">
          <w:type w:val="continuous"/>
          <w:pgSz w:w="11906" w:h="16838"/>
          <w:pgMar w:top="900" w:right="1440" w:bottom="1440" w:left="1440" w:header="708" w:footer="708" w:gutter="0"/>
          <w:lnNumType w:countBy="1" w:restart="continuous"/>
          <w:cols w:space="708"/>
          <w:docGrid w:linePitch="360"/>
        </w:sectPr>
      </w:pPr>
    </w:p>
    <w:p w14:paraId="31A165B7" w14:textId="145B3FA0" w:rsidR="00A24FFF" w:rsidRPr="0059270C" w:rsidRDefault="003B5FF4" w:rsidP="002444E7">
      <w:pPr>
        <w:spacing w:line="480" w:lineRule="auto"/>
        <w:ind w:right="829" w:firstLine="720"/>
        <w:jc w:val="both"/>
        <w:rPr>
          <w:rFonts w:ascii="Arial" w:hAnsi="Arial" w:cs="Arial"/>
          <w:sz w:val="20"/>
          <w:szCs w:val="20"/>
          <w:lang w:val="en-US"/>
        </w:rPr>
      </w:pPr>
      <w:r w:rsidRPr="0059270C">
        <w:rPr>
          <w:rFonts w:ascii="Arial" w:hAnsi="Arial" w:cs="Arial"/>
          <w:sz w:val="20"/>
          <w:szCs w:val="20"/>
          <w:lang w:val="en-US"/>
        </w:rPr>
        <w:t>However, these comparisons do not adequately represent the total fish production across different gear types, which is essential for a comprehensive assessment of their overall sustainability</w:t>
      </w:r>
      <w:r w:rsidR="00DB7D14" w:rsidRPr="0059270C">
        <w:rPr>
          <w:rFonts w:ascii="Arial" w:hAnsi="Arial" w:cs="Arial"/>
          <w:sz w:val="20"/>
          <w:szCs w:val="20"/>
        </w:rPr>
        <w:t xml:space="preserve"> </w:t>
      </w:r>
      <w:r w:rsidR="00DB7D14" w:rsidRPr="0059270C">
        <w:rPr>
          <w:rFonts w:ascii="Arial" w:hAnsi="Arial" w:cs="Arial"/>
          <w:sz w:val="20"/>
          <w:szCs w:val="20"/>
          <w:lang w:val="en-US"/>
        </w:rPr>
        <w:t>(Thomas &amp; Sandhya, 2019)</w:t>
      </w:r>
      <w:r w:rsidR="00623772" w:rsidRPr="0059270C">
        <w:rPr>
          <w:rFonts w:ascii="Arial" w:hAnsi="Arial" w:cs="Arial"/>
          <w:sz w:val="20"/>
          <w:szCs w:val="20"/>
        </w:rPr>
        <w:t>. It’s also important to consider what happens to fishing gear at the end of its life</w:t>
      </w:r>
      <w:r w:rsidR="00DB7D14" w:rsidRPr="0059270C">
        <w:rPr>
          <w:rFonts w:ascii="Arial" w:hAnsi="Arial" w:cs="Arial"/>
          <w:sz w:val="20"/>
          <w:szCs w:val="20"/>
        </w:rPr>
        <w:t xml:space="preserve"> </w:t>
      </w:r>
      <w:r w:rsidR="00DB7D14" w:rsidRPr="0059270C">
        <w:rPr>
          <w:rFonts w:ascii="Arial" w:hAnsi="Arial" w:cs="Arial"/>
          <w:sz w:val="20"/>
          <w:szCs w:val="20"/>
          <w:lang w:val="en-US"/>
        </w:rPr>
        <w:t>(Liu &amp; So, 2023)</w:t>
      </w:r>
      <w:r w:rsidR="00623772" w:rsidRPr="0059270C">
        <w:rPr>
          <w:rFonts w:ascii="Arial" w:hAnsi="Arial" w:cs="Arial"/>
          <w:sz w:val="20"/>
          <w:szCs w:val="20"/>
        </w:rPr>
        <w:t>. Many components, especially ropes and nets, are made from materials that are difficult to recycle and are often lost in the ocean each year</w:t>
      </w:r>
      <w:r w:rsidR="00DB7D14" w:rsidRPr="0059270C">
        <w:rPr>
          <w:rFonts w:ascii="Arial" w:hAnsi="Arial" w:cs="Arial"/>
          <w:sz w:val="20"/>
          <w:szCs w:val="20"/>
        </w:rPr>
        <w:t xml:space="preserve"> </w:t>
      </w:r>
      <w:r w:rsidR="00DB7D14" w:rsidRPr="0059270C">
        <w:rPr>
          <w:rFonts w:ascii="Arial" w:hAnsi="Arial" w:cs="Arial"/>
          <w:sz w:val="20"/>
          <w:szCs w:val="20"/>
          <w:lang w:val="en-US"/>
        </w:rPr>
        <w:t xml:space="preserve">(Grimaldo et al., 2020). </w:t>
      </w:r>
      <w:r w:rsidR="00A24FFF" w:rsidRPr="0059270C">
        <w:rPr>
          <w:rFonts w:ascii="Arial" w:hAnsi="Arial" w:cs="Arial"/>
          <w:sz w:val="20"/>
          <w:szCs w:val="20"/>
          <w:lang w:val="en-US"/>
        </w:rPr>
        <w:t>Moreover, evaluating the recyclability and end-of-life management of the fishing gear components, particularly ropes and netting, is essential for a complete life cycle analysis, given that a significant portion of fishing gear is lost annually in marine environments and often comprises non-recyclable materials (Deshpande et al., 2023</w:t>
      </w:r>
      <w:r w:rsidR="00DB7D14" w:rsidRPr="0059270C">
        <w:rPr>
          <w:rFonts w:ascii="Arial" w:hAnsi="Arial" w:cs="Arial"/>
          <w:sz w:val="20"/>
          <w:szCs w:val="20"/>
          <w:lang w:val="en-US"/>
        </w:rPr>
        <w:t xml:space="preserve">; </w:t>
      </w:r>
      <w:proofErr w:type="spellStart"/>
      <w:r w:rsidR="00A24FFF" w:rsidRPr="0059270C">
        <w:rPr>
          <w:rFonts w:ascii="Arial" w:hAnsi="Arial" w:cs="Arial"/>
          <w:sz w:val="20"/>
          <w:szCs w:val="20"/>
          <w:lang w:val="en-US"/>
        </w:rPr>
        <w:t>Loizidou</w:t>
      </w:r>
      <w:proofErr w:type="spellEnd"/>
      <w:r w:rsidR="00A24FFF" w:rsidRPr="0059270C">
        <w:rPr>
          <w:rFonts w:ascii="Arial" w:hAnsi="Arial" w:cs="Arial"/>
          <w:sz w:val="20"/>
          <w:szCs w:val="20"/>
          <w:lang w:val="en-US"/>
        </w:rPr>
        <w:t xml:space="preserve"> et al., 2024). Although bioplastic gillnets have demonstrated reduced effectiveness compared to conventional nets, impacting catch rates due to lower strength and increased stiffness, </w:t>
      </w:r>
      <w:r w:rsidR="00A24FFF" w:rsidRPr="0059270C">
        <w:rPr>
          <w:rFonts w:ascii="Arial" w:hAnsi="Arial" w:cs="Arial"/>
          <w:sz w:val="20"/>
          <w:szCs w:val="20"/>
          <w:lang w:val="en-US"/>
        </w:rPr>
        <w:lastRenderedPageBreak/>
        <w:t xml:space="preserve">their potential for degradation in marine environments within 24 months offers a significant advantage in mitigating ghost fishing (Kim et al., 2016). </w:t>
      </w:r>
    </w:p>
    <w:p w14:paraId="17C7FBA1" w14:textId="49E042A9" w:rsidR="00A24FFF" w:rsidRPr="0059270C" w:rsidRDefault="00A24FFF" w:rsidP="00B93836">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3.3 CML Category Profiles and Trade</w:t>
      </w:r>
      <w:r w:rsidR="00B24B93">
        <w:rPr>
          <w:rFonts w:ascii="Arial" w:hAnsi="Arial" w:cs="Arial"/>
          <w:b/>
          <w:bCs/>
          <w:sz w:val="20"/>
          <w:szCs w:val="20"/>
          <w:u w:val="single"/>
          <w:lang w:val="en-US"/>
        </w:rPr>
        <w:t xml:space="preserve"> - </w:t>
      </w:r>
      <w:r w:rsidRPr="0059270C">
        <w:rPr>
          <w:rFonts w:ascii="Arial" w:hAnsi="Arial" w:cs="Arial"/>
          <w:b/>
          <w:bCs/>
          <w:sz w:val="20"/>
          <w:szCs w:val="20"/>
          <w:u w:val="single"/>
          <w:lang w:val="en-US"/>
        </w:rPr>
        <w:t>offs</w:t>
      </w:r>
    </w:p>
    <w:p w14:paraId="25C1545D" w14:textId="433DB96A" w:rsidR="00DB7D14" w:rsidRPr="0059270C" w:rsidRDefault="00DB7D14" w:rsidP="002444E7">
      <w:pPr>
        <w:spacing w:line="480" w:lineRule="auto"/>
        <w:ind w:right="919" w:firstLine="720"/>
        <w:jc w:val="both"/>
        <w:rPr>
          <w:rFonts w:ascii="Arial" w:hAnsi="Arial" w:cs="Arial"/>
          <w:sz w:val="20"/>
          <w:szCs w:val="20"/>
          <w:lang w:val="en-US"/>
        </w:rPr>
      </w:pPr>
      <w:r w:rsidRPr="0059270C">
        <w:rPr>
          <w:rFonts w:ascii="Arial" w:hAnsi="Arial" w:cs="Arial"/>
          <w:sz w:val="20"/>
          <w:szCs w:val="20"/>
          <w:lang w:val="en-US"/>
        </w:rPr>
        <w:t>The CML</w:t>
      </w:r>
      <w:r w:rsidR="00B24B93">
        <w:rPr>
          <w:rFonts w:ascii="Arial" w:hAnsi="Arial" w:cs="Arial"/>
          <w:sz w:val="20"/>
          <w:szCs w:val="20"/>
          <w:lang w:val="en-US"/>
        </w:rPr>
        <w:t xml:space="preserve"> </w:t>
      </w:r>
      <w:r w:rsidRPr="0059270C">
        <w:rPr>
          <w:rFonts w:ascii="Arial" w:hAnsi="Arial" w:cs="Arial"/>
          <w:sz w:val="20"/>
          <w:szCs w:val="20"/>
          <w:lang w:val="en-US"/>
        </w:rPr>
        <w:t>based Life Cycle Impact Assessment (LCIA) method, developed at Leiden University, is a standard framework used to measure environmental effects across multiple categories such as global warming, fossil fuel use, acidification, eutrophication, and human toxicity. It converts resource use and emission data into comparable environmental impact values, making it easier to identify which stages or materials have the highest impact. In this study, the CML-based assessment showed consistent ranking across all categories. The Dabang dolnet had the highest impact, especially in fossil fuel depletion (19,640 MJ), global warming potential (1,059 kg CO</w:t>
      </w:r>
      <w:r w:rsidRPr="0059270C">
        <w:rPr>
          <w:rFonts w:ascii="Cambria Math" w:hAnsi="Cambria Math" w:cs="Cambria Math"/>
          <w:sz w:val="20"/>
          <w:szCs w:val="20"/>
          <w:lang w:val="en-US"/>
        </w:rPr>
        <w:t>₂</w:t>
      </w:r>
      <w:r w:rsidRPr="0059270C">
        <w:rPr>
          <w:rFonts w:ascii="Arial" w:hAnsi="Arial" w:cs="Arial"/>
          <w:sz w:val="20"/>
          <w:szCs w:val="20"/>
          <w:lang w:val="en-US"/>
        </w:rPr>
        <w:t xml:space="preserve"> eq), and human toxicity (470 kg 1,4-DB eq). Meanwhile, the Mosquito and Sajachi designs had much lower scores, mainly because of their smaller size and more efficient material use. Their limited fuel consumption and simpler design help reduce emissions and overall ecological impact.</w:t>
      </w:r>
    </w:p>
    <w:p w14:paraId="0FAAB88A" w14:textId="693B4A25" w:rsidR="00E1153C" w:rsidRPr="0059270C" w:rsidRDefault="00A24FFF" w:rsidP="002444E7">
      <w:pPr>
        <w:spacing w:line="480" w:lineRule="auto"/>
        <w:ind w:right="919" w:firstLine="720"/>
        <w:jc w:val="both"/>
        <w:rPr>
          <w:rFonts w:ascii="Arial" w:hAnsi="Arial" w:cs="Arial"/>
          <w:sz w:val="20"/>
          <w:szCs w:val="20"/>
          <w:lang w:val="en-US"/>
        </w:rPr>
      </w:pPr>
      <w:r w:rsidRPr="0059270C">
        <w:rPr>
          <w:rFonts w:ascii="Arial" w:hAnsi="Arial" w:cs="Arial"/>
          <w:sz w:val="20"/>
          <w:szCs w:val="20"/>
          <w:lang w:val="en-US"/>
        </w:rPr>
        <w:t>The CML-based LCIA confirmed consistent ranking across impact categories. The Dabang dolnet recorded the highest scores for fossil fuel depletion (</w:t>
      </w:r>
      <w:r w:rsidRPr="0059270C">
        <w:rPr>
          <w:rFonts w:ascii="Arial" w:hAnsi="Arial" w:cs="Arial"/>
          <w:i/>
          <w:iCs/>
          <w:sz w:val="20"/>
          <w:szCs w:val="20"/>
          <w:lang w:val="en-US"/>
        </w:rPr>
        <w:t>19,640 MJ</w:t>
      </w:r>
      <w:r w:rsidRPr="0059270C">
        <w:rPr>
          <w:rFonts w:ascii="Arial" w:hAnsi="Arial" w:cs="Arial"/>
          <w:sz w:val="20"/>
          <w:szCs w:val="20"/>
          <w:lang w:val="en-US"/>
        </w:rPr>
        <w:t>), GWP (</w:t>
      </w:r>
      <w:r w:rsidRPr="0059270C">
        <w:rPr>
          <w:rFonts w:ascii="Arial" w:hAnsi="Arial" w:cs="Arial"/>
          <w:i/>
          <w:iCs/>
          <w:sz w:val="20"/>
          <w:szCs w:val="20"/>
          <w:lang w:val="en-US"/>
        </w:rPr>
        <w:t>1,059 kg CO</w:t>
      </w:r>
      <w:r w:rsidRPr="0059270C">
        <w:rPr>
          <w:rFonts w:ascii="Cambria Math" w:hAnsi="Cambria Math" w:cs="Cambria Math"/>
          <w:i/>
          <w:iCs/>
          <w:sz w:val="20"/>
          <w:szCs w:val="20"/>
          <w:lang w:val="en-US"/>
        </w:rPr>
        <w:t>₂</w:t>
      </w:r>
      <w:r w:rsidRPr="0059270C">
        <w:rPr>
          <w:rFonts w:ascii="Arial" w:hAnsi="Arial" w:cs="Arial"/>
          <w:i/>
          <w:iCs/>
          <w:sz w:val="20"/>
          <w:szCs w:val="20"/>
          <w:lang w:val="en-US"/>
        </w:rPr>
        <w:t xml:space="preserve"> eq</w:t>
      </w:r>
      <w:r w:rsidRPr="0059270C">
        <w:rPr>
          <w:rFonts w:ascii="Arial" w:hAnsi="Arial" w:cs="Arial"/>
          <w:sz w:val="20"/>
          <w:szCs w:val="20"/>
          <w:lang w:val="en-US"/>
        </w:rPr>
        <w:t>) and human toxicity (</w:t>
      </w:r>
      <w:r w:rsidRPr="0059270C">
        <w:rPr>
          <w:rFonts w:ascii="Arial" w:hAnsi="Arial" w:cs="Arial"/>
          <w:i/>
          <w:iCs/>
          <w:sz w:val="20"/>
          <w:szCs w:val="20"/>
          <w:lang w:val="en-US"/>
        </w:rPr>
        <w:t>470 kg 1,4-DB eq</w:t>
      </w:r>
      <w:r w:rsidR="00BF75B9" w:rsidRPr="0059270C">
        <w:rPr>
          <w:rFonts w:ascii="Arial" w:hAnsi="Arial" w:cs="Arial"/>
          <w:i/>
          <w:iCs/>
          <w:sz w:val="20"/>
          <w:szCs w:val="20"/>
          <w:lang w:val="en-US"/>
        </w:rPr>
        <w:t>)</w:t>
      </w:r>
      <w:r w:rsidRPr="0059270C">
        <w:rPr>
          <w:rFonts w:ascii="Arial" w:hAnsi="Arial" w:cs="Arial"/>
          <w:i/>
          <w:iCs/>
          <w:sz w:val="20"/>
          <w:szCs w:val="20"/>
          <w:lang w:val="en-US"/>
        </w:rPr>
        <w:t xml:space="preserve">. </w:t>
      </w:r>
      <w:r w:rsidRPr="0059270C">
        <w:rPr>
          <w:rFonts w:ascii="Arial" w:hAnsi="Arial" w:cs="Arial"/>
          <w:sz w:val="20"/>
          <w:szCs w:val="20"/>
          <w:lang w:val="en-US"/>
        </w:rPr>
        <w:t>In contrast, the Mosquito and Sajachi designs exhibited significantly lower values across these categories, indicating that their smaller scale and material efficiency inherently contribute to a more favorable ecological footprint (</w:t>
      </w:r>
      <w:proofErr w:type="spellStart"/>
      <w:r w:rsidRPr="0059270C">
        <w:rPr>
          <w:rFonts w:ascii="Arial" w:hAnsi="Arial" w:cs="Arial"/>
          <w:sz w:val="20"/>
          <w:szCs w:val="20"/>
          <w:lang w:val="en-US"/>
        </w:rPr>
        <w:t>Cavraro</w:t>
      </w:r>
      <w:proofErr w:type="spellEnd"/>
      <w:r w:rsidRPr="0059270C">
        <w:rPr>
          <w:rFonts w:ascii="Arial" w:hAnsi="Arial" w:cs="Arial"/>
          <w:sz w:val="20"/>
          <w:szCs w:val="20"/>
          <w:lang w:val="en-US"/>
        </w:rPr>
        <w:t xml:space="preserve"> et al., 2023)</w:t>
      </w:r>
      <w:r w:rsidR="0055740D" w:rsidRPr="0059270C">
        <w:rPr>
          <w:rFonts w:ascii="Arial" w:hAnsi="Arial" w:cs="Arial"/>
          <w:sz w:val="20"/>
          <w:szCs w:val="20"/>
          <w:lang w:val="en-US"/>
        </w:rPr>
        <w:t xml:space="preserve"> </w:t>
      </w:r>
      <w:r w:rsidRPr="0059270C">
        <w:rPr>
          <w:rFonts w:ascii="Arial" w:hAnsi="Arial" w:cs="Arial"/>
          <w:sz w:val="20"/>
          <w:szCs w:val="20"/>
          <w:lang w:val="en-US"/>
        </w:rPr>
        <w:t xml:space="preserve">(Fig </w:t>
      </w:r>
      <w:r w:rsidR="00E12014" w:rsidRPr="0059270C">
        <w:rPr>
          <w:rFonts w:ascii="Arial" w:hAnsi="Arial" w:cs="Arial"/>
          <w:sz w:val="20"/>
          <w:szCs w:val="20"/>
          <w:lang w:val="en-US"/>
        </w:rPr>
        <w:t>5</w:t>
      </w:r>
      <w:r w:rsidRPr="0059270C">
        <w:rPr>
          <w:rFonts w:ascii="Arial" w:hAnsi="Arial" w:cs="Arial"/>
          <w:sz w:val="20"/>
          <w:szCs w:val="20"/>
          <w:lang w:val="en-US"/>
        </w:rPr>
        <w:t xml:space="preserve">). This improved performance can be attributed to several factors including reduced fuel consumption due to their smaller operational requirements, which directly lowers greenhouse gas emissions and fossil fuel depletion (Hornborg et al., 2012). </w:t>
      </w:r>
    </w:p>
    <w:p w14:paraId="1A147C65" w14:textId="10CB4F60" w:rsidR="0031607C" w:rsidRPr="0059270C" w:rsidRDefault="0031607C" w:rsidP="00B93836">
      <w:pPr>
        <w:suppressLineNumbers/>
        <w:spacing w:line="480" w:lineRule="auto"/>
        <w:ind w:firstLine="720"/>
        <w:jc w:val="both"/>
        <w:rPr>
          <w:rFonts w:ascii="Arial" w:hAnsi="Arial" w:cs="Arial"/>
          <w:lang w:val="en-US"/>
        </w:rPr>
      </w:pPr>
    </w:p>
    <w:p w14:paraId="37B72DB4" w14:textId="338A96B6" w:rsidR="0031607C" w:rsidRPr="0059270C" w:rsidRDefault="0031607C" w:rsidP="00B93836">
      <w:pPr>
        <w:suppressLineNumbers/>
        <w:spacing w:line="480" w:lineRule="auto"/>
        <w:ind w:firstLine="720"/>
        <w:jc w:val="both"/>
        <w:rPr>
          <w:rFonts w:ascii="Arial" w:hAnsi="Arial" w:cs="Arial"/>
          <w:lang w:val="en-US"/>
        </w:rPr>
      </w:pPr>
    </w:p>
    <w:p w14:paraId="6CCB890E" w14:textId="01463732" w:rsidR="0031607C" w:rsidRPr="0059270C" w:rsidRDefault="0031607C" w:rsidP="00B93836">
      <w:pPr>
        <w:suppressLineNumbers/>
        <w:spacing w:line="480" w:lineRule="auto"/>
        <w:ind w:firstLine="720"/>
        <w:jc w:val="both"/>
        <w:rPr>
          <w:rFonts w:ascii="Arial" w:hAnsi="Arial" w:cs="Arial"/>
          <w:lang w:val="en-US"/>
        </w:rPr>
      </w:pPr>
    </w:p>
    <w:p w14:paraId="13631876" w14:textId="74FAEE55" w:rsidR="0031607C" w:rsidRPr="0059270C" w:rsidRDefault="0031607C" w:rsidP="00B93836">
      <w:pPr>
        <w:suppressLineNumbers/>
        <w:spacing w:line="480" w:lineRule="auto"/>
        <w:ind w:firstLine="720"/>
        <w:jc w:val="both"/>
        <w:rPr>
          <w:rFonts w:ascii="Arial" w:hAnsi="Arial" w:cs="Arial"/>
          <w:lang w:val="en-US"/>
        </w:rPr>
      </w:pPr>
    </w:p>
    <w:p w14:paraId="4320FD87" w14:textId="31FAAED0" w:rsidR="0031607C" w:rsidRPr="0059270C" w:rsidRDefault="0031607C" w:rsidP="00B93836">
      <w:pPr>
        <w:suppressLineNumbers/>
        <w:spacing w:line="480" w:lineRule="auto"/>
        <w:ind w:firstLine="720"/>
        <w:jc w:val="both"/>
        <w:rPr>
          <w:rFonts w:ascii="Arial" w:hAnsi="Arial" w:cs="Arial"/>
          <w:lang w:val="en-US"/>
        </w:rPr>
      </w:pPr>
    </w:p>
    <w:p w14:paraId="2FAA11FE" w14:textId="77777777" w:rsidR="0031607C" w:rsidRPr="0059270C" w:rsidRDefault="0031607C" w:rsidP="00B93836">
      <w:pPr>
        <w:suppressLineNumbers/>
        <w:spacing w:line="480" w:lineRule="auto"/>
        <w:ind w:firstLine="720"/>
        <w:jc w:val="both"/>
        <w:rPr>
          <w:rFonts w:ascii="Arial" w:hAnsi="Arial" w:cs="Arial"/>
          <w:lang w:val="en-US"/>
        </w:rPr>
      </w:pPr>
    </w:p>
    <w:p w14:paraId="468EBEA7" w14:textId="62B0CE38" w:rsidR="00767F3B" w:rsidRDefault="00767F3B" w:rsidP="00B93836">
      <w:pPr>
        <w:suppressLineNumbers/>
        <w:spacing w:after="0" w:line="360" w:lineRule="auto"/>
        <w:jc w:val="center"/>
        <w:rPr>
          <w:rFonts w:ascii="Arial" w:hAnsi="Arial" w:cs="Arial"/>
          <w:b/>
          <w:bCs/>
          <w:sz w:val="20"/>
          <w:szCs w:val="20"/>
        </w:rPr>
      </w:pPr>
      <w:r w:rsidRPr="0059270C">
        <w:rPr>
          <w:noProof/>
          <w:sz w:val="24"/>
          <w:szCs w:val="24"/>
        </w:rPr>
        <w:lastRenderedPageBreak/>
        <w:drawing>
          <wp:anchor distT="0" distB="0" distL="114300" distR="114300" simplePos="0" relativeHeight="251698176" behindDoc="0" locked="0" layoutInCell="1" allowOverlap="1" wp14:anchorId="34DCF76F" wp14:editId="78D6B57A">
            <wp:simplePos x="0" y="0"/>
            <wp:positionH relativeFrom="page">
              <wp:posOffset>1281755</wp:posOffset>
            </wp:positionH>
            <wp:positionV relativeFrom="paragraph">
              <wp:posOffset>-326925</wp:posOffset>
            </wp:positionV>
            <wp:extent cx="5484661" cy="2392950"/>
            <wp:effectExtent l="19050" t="19050" r="20955" b="26670"/>
            <wp:wrapNone/>
            <wp:docPr id="481693677" name="Picture 2" descr="A graph with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93677" name="Picture 2" descr="A graph with different colored bar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4259"/>
                    <a:stretch>
                      <a:fillRect/>
                    </a:stretch>
                  </pic:blipFill>
                  <pic:spPr bwMode="auto">
                    <a:xfrm>
                      <a:off x="0" y="0"/>
                      <a:ext cx="5484661" cy="23929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A8E1C8" w14:textId="77777777" w:rsidR="00767F3B" w:rsidRDefault="00767F3B" w:rsidP="00B93836">
      <w:pPr>
        <w:suppressLineNumbers/>
        <w:spacing w:after="0" w:line="360" w:lineRule="auto"/>
        <w:jc w:val="center"/>
        <w:rPr>
          <w:rFonts w:ascii="Arial" w:hAnsi="Arial" w:cs="Arial"/>
          <w:b/>
          <w:bCs/>
          <w:sz w:val="20"/>
          <w:szCs w:val="20"/>
        </w:rPr>
      </w:pPr>
    </w:p>
    <w:p w14:paraId="70D2AD93" w14:textId="77777777" w:rsidR="00767F3B" w:rsidRDefault="00767F3B" w:rsidP="00B93836">
      <w:pPr>
        <w:suppressLineNumbers/>
        <w:spacing w:after="0" w:line="360" w:lineRule="auto"/>
        <w:jc w:val="center"/>
        <w:rPr>
          <w:rFonts w:ascii="Arial" w:hAnsi="Arial" w:cs="Arial"/>
          <w:b/>
          <w:bCs/>
          <w:sz w:val="20"/>
          <w:szCs w:val="20"/>
        </w:rPr>
      </w:pPr>
    </w:p>
    <w:p w14:paraId="3FE97ADA" w14:textId="77777777" w:rsidR="00767F3B" w:rsidRDefault="00767F3B" w:rsidP="00B93836">
      <w:pPr>
        <w:suppressLineNumbers/>
        <w:spacing w:after="0" w:line="360" w:lineRule="auto"/>
        <w:jc w:val="center"/>
        <w:rPr>
          <w:rFonts w:ascii="Arial" w:hAnsi="Arial" w:cs="Arial"/>
          <w:b/>
          <w:bCs/>
          <w:sz w:val="20"/>
          <w:szCs w:val="20"/>
        </w:rPr>
      </w:pPr>
    </w:p>
    <w:p w14:paraId="25972416" w14:textId="77777777" w:rsidR="00767F3B" w:rsidRDefault="00767F3B" w:rsidP="00B93836">
      <w:pPr>
        <w:suppressLineNumbers/>
        <w:spacing w:after="0" w:line="360" w:lineRule="auto"/>
        <w:jc w:val="center"/>
        <w:rPr>
          <w:rFonts w:ascii="Arial" w:hAnsi="Arial" w:cs="Arial"/>
          <w:b/>
          <w:bCs/>
          <w:sz w:val="20"/>
          <w:szCs w:val="20"/>
        </w:rPr>
      </w:pPr>
    </w:p>
    <w:p w14:paraId="63B0B95E" w14:textId="77777777" w:rsidR="00767F3B" w:rsidRDefault="00767F3B" w:rsidP="00B93836">
      <w:pPr>
        <w:suppressLineNumbers/>
        <w:spacing w:after="0" w:line="360" w:lineRule="auto"/>
        <w:jc w:val="center"/>
        <w:rPr>
          <w:rFonts w:ascii="Arial" w:hAnsi="Arial" w:cs="Arial"/>
          <w:b/>
          <w:bCs/>
          <w:sz w:val="20"/>
          <w:szCs w:val="20"/>
        </w:rPr>
      </w:pPr>
    </w:p>
    <w:p w14:paraId="04C31957" w14:textId="77777777" w:rsidR="00767F3B" w:rsidRDefault="00767F3B" w:rsidP="00B93836">
      <w:pPr>
        <w:suppressLineNumbers/>
        <w:spacing w:after="0" w:line="360" w:lineRule="auto"/>
        <w:jc w:val="center"/>
        <w:rPr>
          <w:rFonts w:ascii="Arial" w:hAnsi="Arial" w:cs="Arial"/>
          <w:b/>
          <w:bCs/>
          <w:sz w:val="20"/>
          <w:szCs w:val="20"/>
        </w:rPr>
      </w:pPr>
    </w:p>
    <w:p w14:paraId="4EB24BFA" w14:textId="77777777" w:rsidR="00767F3B" w:rsidRDefault="00767F3B" w:rsidP="00B93836">
      <w:pPr>
        <w:suppressLineNumbers/>
        <w:spacing w:after="0" w:line="360" w:lineRule="auto"/>
        <w:jc w:val="center"/>
        <w:rPr>
          <w:rFonts w:ascii="Arial" w:hAnsi="Arial" w:cs="Arial"/>
          <w:b/>
          <w:bCs/>
          <w:sz w:val="20"/>
          <w:szCs w:val="20"/>
        </w:rPr>
      </w:pPr>
    </w:p>
    <w:p w14:paraId="682FC904" w14:textId="77777777" w:rsidR="00767F3B" w:rsidRDefault="00767F3B" w:rsidP="00B93836">
      <w:pPr>
        <w:suppressLineNumbers/>
        <w:spacing w:after="0" w:line="360" w:lineRule="auto"/>
        <w:jc w:val="center"/>
        <w:rPr>
          <w:rFonts w:ascii="Arial" w:hAnsi="Arial" w:cs="Arial"/>
          <w:b/>
          <w:bCs/>
          <w:sz w:val="20"/>
          <w:szCs w:val="20"/>
        </w:rPr>
      </w:pPr>
    </w:p>
    <w:p w14:paraId="6357F249" w14:textId="77777777" w:rsidR="00767F3B" w:rsidRDefault="00767F3B" w:rsidP="00B93836">
      <w:pPr>
        <w:suppressLineNumbers/>
        <w:spacing w:after="0" w:line="360" w:lineRule="auto"/>
        <w:jc w:val="center"/>
        <w:rPr>
          <w:rFonts w:ascii="Arial" w:hAnsi="Arial" w:cs="Arial"/>
          <w:b/>
          <w:bCs/>
          <w:sz w:val="20"/>
          <w:szCs w:val="20"/>
        </w:rPr>
      </w:pPr>
    </w:p>
    <w:p w14:paraId="13D372BD" w14:textId="622FEB04" w:rsidR="0031607C" w:rsidRPr="0059270C" w:rsidRDefault="0031607C" w:rsidP="00B93836">
      <w:pPr>
        <w:suppressLineNumbers/>
        <w:spacing w:after="0" w:line="360" w:lineRule="auto"/>
        <w:jc w:val="center"/>
        <w:rPr>
          <w:rFonts w:ascii="Arial" w:hAnsi="Arial" w:cs="Arial"/>
          <w:sz w:val="20"/>
          <w:szCs w:val="20"/>
        </w:rPr>
      </w:pPr>
      <w:r w:rsidRPr="0059270C">
        <w:rPr>
          <w:rFonts w:ascii="Arial" w:hAnsi="Arial" w:cs="Arial"/>
          <w:b/>
          <w:bCs/>
          <w:sz w:val="20"/>
          <w:szCs w:val="20"/>
        </w:rPr>
        <w:t>Figure 5</w:t>
      </w:r>
      <w:r w:rsidRPr="0059270C">
        <w:rPr>
          <w:rFonts w:ascii="Arial" w:hAnsi="Arial" w:cs="Arial"/>
          <w:sz w:val="20"/>
          <w:szCs w:val="20"/>
        </w:rPr>
        <w:t>. Comparative environmental impact profiles of seven dolnet products using CML-IA</w:t>
      </w:r>
    </w:p>
    <w:p w14:paraId="3501A97A" w14:textId="5D077F2C" w:rsidR="0031607C" w:rsidRPr="0059270C" w:rsidRDefault="0031607C" w:rsidP="00B93836">
      <w:pPr>
        <w:suppressLineNumbers/>
        <w:spacing w:after="0" w:line="360" w:lineRule="auto"/>
        <w:rPr>
          <w:rFonts w:ascii="Arial" w:hAnsi="Arial" w:cs="Arial"/>
          <w:sz w:val="20"/>
          <w:szCs w:val="20"/>
        </w:rPr>
      </w:pPr>
      <w:r w:rsidRPr="0059270C">
        <w:rPr>
          <w:rFonts w:ascii="Arial" w:hAnsi="Arial" w:cs="Arial"/>
          <w:sz w:val="20"/>
          <w:szCs w:val="20"/>
        </w:rPr>
        <w:t xml:space="preserve">                                                            baseline method</w:t>
      </w:r>
    </w:p>
    <w:p w14:paraId="36387228" w14:textId="77777777" w:rsidR="00506F52" w:rsidRPr="0059270C" w:rsidRDefault="00506F52" w:rsidP="00B93836">
      <w:pPr>
        <w:suppressLineNumbers/>
        <w:spacing w:after="0" w:line="360" w:lineRule="auto"/>
        <w:rPr>
          <w:rFonts w:ascii="Arial" w:hAnsi="Arial" w:cs="Arial"/>
          <w:sz w:val="20"/>
          <w:szCs w:val="20"/>
        </w:rPr>
      </w:pPr>
    </w:p>
    <w:p w14:paraId="79CA1215" w14:textId="40C56F8C" w:rsidR="00D27B69" w:rsidRPr="0059270C" w:rsidRDefault="00D27B69" w:rsidP="00B93836">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3.4 Environmental Performance of dolnet designs</w:t>
      </w:r>
    </w:p>
    <w:p w14:paraId="2DCC6EDC" w14:textId="1C3ACAE0" w:rsidR="002D7AA8" w:rsidRPr="0059270C" w:rsidRDefault="002D7AA8" w:rsidP="002444E7">
      <w:pPr>
        <w:spacing w:line="480" w:lineRule="auto"/>
        <w:ind w:right="649" w:firstLine="720"/>
        <w:jc w:val="both"/>
        <w:rPr>
          <w:rFonts w:ascii="Arial" w:hAnsi="Arial" w:cs="Arial"/>
          <w:sz w:val="20"/>
          <w:szCs w:val="20"/>
        </w:rPr>
      </w:pPr>
      <w:r w:rsidRPr="0059270C">
        <w:rPr>
          <w:rFonts w:ascii="Arial" w:hAnsi="Arial" w:cs="Arial"/>
          <w:sz w:val="20"/>
          <w:szCs w:val="20"/>
        </w:rPr>
        <w:t>The comparative analysis of seven dolnet designs revealed significant variation in environmental performance. Mechanized gears like Dabang and Pachubandar showed the highest impacts across categories such as fossil fuel depletion, global warming potential, and acidification due to heavy material use and higher fuel consumption (</w:t>
      </w:r>
      <w:proofErr w:type="spellStart"/>
      <w:r w:rsidRPr="0059270C">
        <w:rPr>
          <w:rFonts w:ascii="Arial" w:hAnsi="Arial" w:cs="Arial"/>
          <w:sz w:val="20"/>
          <w:szCs w:val="20"/>
        </w:rPr>
        <w:t>Somorin</w:t>
      </w:r>
      <w:proofErr w:type="spellEnd"/>
      <w:r w:rsidRPr="0059270C">
        <w:rPr>
          <w:rFonts w:ascii="Arial" w:hAnsi="Arial" w:cs="Arial"/>
          <w:sz w:val="20"/>
          <w:szCs w:val="20"/>
        </w:rPr>
        <w:t xml:space="preserve"> et al., 2017</w:t>
      </w:r>
      <w:r w:rsidR="000F3CA0" w:rsidRPr="0059270C">
        <w:rPr>
          <w:rFonts w:ascii="Arial" w:hAnsi="Arial" w:cs="Arial"/>
          <w:sz w:val="20"/>
          <w:szCs w:val="20"/>
        </w:rPr>
        <w:t>).</w:t>
      </w:r>
      <w:r w:rsidRPr="0059270C">
        <w:rPr>
          <w:rFonts w:ascii="Arial" w:hAnsi="Arial" w:cs="Arial"/>
          <w:sz w:val="20"/>
          <w:szCs w:val="20"/>
        </w:rPr>
        <w:t xml:space="preserve"> In contrast, smaller artisanal designs such as Bokshi and Mosquito recorded much lower emissions and energy use, emphasizing the efficiency of traditional fishing methods in reducing environmental pressure (Vázquez</w:t>
      </w:r>
      <w:r w:rsidRPr="0059270C">
        <w:rPr>
          <w:rFonts w:ascii="Cambria Math" w:hAnsi="Cambria Math" w:cs="Cambria Math"/>
          <w:sz w:val="20"/>
          <w:szCs w:val="20"/>
        </w:rPr>
        <w:t>‐</w:t>
      </w:r>
      <w:r w:rsidRPr="0059270C">
        <w:rPr>
          <w:rFonts w:ascii="Arial" w:hAnsi="Arial" w:cs="Arial"/>
          <w:sz w:val="20"/>
          <w:szCs w:val="20"/>
        </w:rPr>
        <w:t>Rowe et al., 2010) Larger operations also showed greater potential for habitat disturbance, while smaller gears exerted minimal ecological stress (</w:t>
      </w:r>
      <w:proofErr w:type="spellStart"/>
      <w:r w:rsidRPr="0059270C">
        <w:rPr>
          <w:rFonts w:ascii="Arial" w:hAnsi="Arial" w:cs="Arial"/>
          <w:sz w:val="20"/>
          <w:szCs w:val="20"/>
        </w:rPr>
        <w:t>Rijnsdorp</w:t>
      </w:r>
      <w:proofErr w:type="spellEnd"/>
      <w:r w:rsidRPr="0059270C">
        <w:rPr>
          <w:rFonts w:ascii="Arial" w:hAnsi="Arial" w:cs="Arial"/>
          <w:sz w:val="20"/>
          <w:szCs w:val="20"/>
        </w:rPr>
        <w:t xml:space="preserve"> et al., 2017). Ozone depletion and toxicity were moderate but increased in designs with more synthetic materials and lubricants, whereas freshwater and marine ecotoxicity were lowest in lighter constructions like Mosquito and Karanja. Overall, Bokshi and Mosquito emerged as the most sustainable designs, combining lower fuel use and material input, demonstrating that optimizing gear scale and design can substantially reduce the environmental footprint of dolnet fisheries.</w:t>
      </w:r>
      <w:r w:rsidR="000F3CA0" w:rsidRPr="0059270C">
        <w:rPr>
          <w:rFonts w:ascii="Arial" w:hAnsi="Arial" w:cs="Arial"/>
          <w:sz w:val="20"/>
          <w:szCs w:val="20"/>
        </w:rPr>
        <w:t xml:space="preserve"> These findings align with broader LCA studies in fisheries, which consistently identify fuel consumption during the fishing phase as a primary driver of environmental impacts, particularly greenhouse gas emissions (Hornborg et al., 2012; Das &amp; Edwin, 2016).</w:t>
      </w:r>
    </w:p>
    <w:p w14:paraId="524E071B" w14:textId="3FBC02C1" w:rsidR="00D27B69" w:rsidRPr="0059270C" w:rsidRDefault="00D27B69" w:rsidP="00B93836">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3.5 Material level emission contributions</w:t>
      </w:r>
    </w:p>
    <w:p w14:paraId="01629D69" w14:textId="2C893EB5" w:rsidR="002D15EA" w:rsidRPr="0059270C" w:rsidRDefault="00D27B69" w:rsidP="002444E7">
      <w:pPr>
        <w:spacing w:line="480" w:lineRule="auto"/>
        <w:ind w:right="649" w:firstLine="720"/>
        <w:jc w:val="both"/>
        <w:rPr>
          <w:rFonts w:ascii="Arial" w:hAnsi="Arial" w:cs="Arial"/>
          <w:sz w:val="20"/>
          <w:szCs w:val="20"/>
          <w:lang w:val="en-US"/>
        </w:rPr>
      </w:pPr>
      <w:r w:rsidRPr="0059270C">
        <w:rPr>
          <w:rFonts w:ascii="Arial" w:hAnsi="Arial" w:cs="Arial"/>
          <w:sz w:val="20"/>
          <w:szCs w:val="20"/>
          <w:lang w:val="en-US"/>
        </w:rPr>
        <w:t xml:space="preserve"> </w:t>
      </w:r>
      <w:r w:rsidR="002D15EA" w:rsidRPr="0059270C">
        <w:rPr>
          <w:rFonts w:ascii="Arial" w:hAnsi="Arial" w:cs="Arial"/>
          <w:sz w:val="20"/>
          <w:szCs w:val="20"/>
          <w:lang w:val="en-US"/>
        </w:rPr>
        <w:t xml:space="preserve">Material-level analysis identified steel, glass </w:t>
      </w:r>
      <w:proofErr w:type="spellStart"/>
      <w:r w:rsidR="002D15EA" w:rsidRPr="0059270C">
        <w:rPr>
          <w:rFonts w:ascii="Arial" w:hAnsi="Arial" w:cs="Arial"/>
          <w:sz w:val="20"/>
          <w:szCs w:val="20"/>
          <w:lang w:val="en-US"/>
        </w:rPr>
        <w:t>fibre</w:t>
      </w:r>
      <w:proofErr w:type="spellEnd"/>
      <w:r w:rsidR="002D15EA" w:rsidRPr="0059270C">
        <w:rPr>
          <w:rFonts w:ascii="Arial" w:hAnsi="Arial" w:cs="Arial"/>
          <w:sz w:val="20"/>
          <w:szCs w:val="20"/>
          <w:lang w:val="en-US"/>
        </w:rPr>
        <w:t xml:space="preserve">, and </w:t>
      </w:r>
      <w:proofErr w:type="spellStart"/>
      <w:r w:rsidR="002D15EA" w:rsidRPr="0059270C">
        <w:rPr>
          <w:rFonts w:ascii="Arial" w:hAnsi="Arial" w:cs="Arial"/>
          <w:sz w:val="20"/>
          <w:szCs w:val="20"/>
          <w:lang w:val="en-US"/>
        </w:rPr>
        <w:t>sawnwood</w:t>
      </w:r>
      <w:proofErr w:type="spellEnd"/>
      <w:r w:rsidR="002D15EA" w:rsidRPr="0059270C">
        <w:rPr>
          <w:rFonts w:ascii="Arial" w:hAnsi="Arial" w:cs="Arial"/>
          <w:sz w:val="20"/>
          <w:szCs w:val="20"/>
          <w:lang w:val="en-US"/>
        </w:rPr>
        <w:t xml:space="preserve"> as the principal contributors to embodied emissions in dolnet designs. The Versova dolnet recorded 919.25 kg CO</w:t>
      </w:r>
      <w:r w:rsidR="002D15EA" w:rsidRPr="0059270C">
        <w:rPr>
          <w:rFonts w:ascii="Cambria Math" w:hAnsi="Cambria Math" w:cs="Cambria Math"/>
          <w:sz w:val="20"/>
          <w:szCs w:val="20"/>
          <w:lang w:val="en-US"/>
        </w:rPr>
        <w:t>₂</w:t>
      </w:r>
      <w:r w:rsidR="002D15EA" w:rsidRPr="0059270C">
        <w:rPr>
          <w:rFonts w:ascii="Arial" w:hAnsi="Arial" w:cs="Arial"/>
          <w:sz w:val="20"/>
          <w:szCs w:val="20"/>
          <w:lang w:val="en-US"/>
        </w:rPr>
        <w:t xml:space="preserve"> eq, with steel (48%), glass </w:t>
      </w:r>
      <w:proofErr w:type="spellStart"/>
      <w:r w:rsidR="002D15EA" w:rsidRPr="0059270C">
        <w:rPr>
          <w:rFonts w:ascii="Arial" w:hAnsi="Arial" w:cs="Arial"/>
          <w:sz w:val="20"/>
          <w:szCs w:val="20"/>
          <w:lang w:val="en-US"/>
        </w:rPr>
        <w:t>fibre</w:t>
      </w:r>
      <w:proofErr w:type="spellEnd"/>
      <w:r w:rsidR="002D15EA" w:rsidRPr="0059270C">
        <w:rPr>
          <w:rFonts w:ascii="Arial" w:hAnsi="Arial" w:cs="Arial"/>
          <w:sz w:val="20"/>
          <w:szCs w:val="20"/>
          <w:lang w:val="en-US"/>
        </w:rPr>
        <w:t xml:space="preserve"> (22%), and </w:t>
      </w:r>
      <w:proofErr w:type="spellStart"/>
      <w:r w:rsidR="002D15EA" w:rsidRPr="0059270C">
        <w:rPr>
          <w:rFonts w:ascii="Arial" w:hAnsi="Arial" w:cs="Arial"/>
          <w:sz w:val="20"/>
          <w:szCs w:val="20"/>
          <w:lang w:val="en-US"/>
        </w:rPr>
        <w:t>sawnwood</w:t>
      </w:r>
      <w:proofErr w:type="spellEnd"/>
      <w:r w:rsidR="002D15EA" w:rsidRPr="0059270C">
        <w:rPr>
          <w:rFonts w:ascii="Arial" w:hAnsi="Arial" w:cs="Arial"/>
          <w:sz w:val="20"/>
          <w:szCs w:val="20"/>
          <w:lang w:val="en-US"/>
        </w:rPr>
        <w:t xml:space="preserve"> (16%) as dominant sources, while the Pachubandar design showed higher emissions (1,706.80 kg CO</w:t>
      </w:r>
      <w:r w:rsidR="002D15EA" w:rsidRPr="0059270C">
        <w:rPr>
          <w:rFonts w:ascii="Cambria Math" w:hAnsi="Cambria Math" w:cs="Cambria Math"/>
          <w:sz w:val="20"/>
          <w:szCs w:val="20"/>
          <w:lang w:val="en-US"/>
        </w:rPr>
        <w:t>₂</w:t>
      </w:r>
      <w:r w:rsidR="002D15EA" w:rsidRPr="0059270C">
        <w:rPr>
          <w:rFonts w:ascii="Arial" w:hAnsi="Arial" w:cs="Arial"/>
          <w:sz w:val="20"/>
          <w:szCs w:val="20"/>
          <w:lang w:val="en-US"/>
        </w:rPr>
        <w:t xml:space="preserve"> eq), mainly from steel and hardwood components (Fig. 6; Table 3). </w:t>
      </w:r>
      <w:r w:rsidR="002D15EA" w:rsidRPr="0059270C">
        <w:rPr>
          <w:rFonts w:ascii="Arial" w:hAnsi="Arial" w:cs="Arial"/>
          <w:sz w:val="20"/>
          <w:szCs w:val="20"/>
          <w:lang w:val="en-US"/>
        </w:rPr>
        <w:lastRenderedPageBreak/>
        <w:t xml:space="preserve">These materials are associated with high environmental burdens, including global warming, toxicity, and resource depletion, particularly for steel and glass </w:t>
      </w:r>
      <w:proofErr w:type="spellStart"/>
      <w:r w:rsidR="002D15EA" w:rsidRPr="0059270C">
        <w:rPr>
          <w:rFonts w:ascii="Arial" w:hAnsi="Arial" w:cs="Arial"/>
          <w:sz w:val="20"/>
          <w:szCs w:val="20"/>
          <w:lang w:val="en-US"/>
        </w:rPr>
        <w:t>fibre</w:t>
      </w:r>
      <w:proofErr w:type="spellEnd"/>
      <w:r w:rsidR="002D15EA" w:rsidRPr="0059270C">
        <w:rPr>
          <w:rFonts w:ascii="Arial" w:hAnsi="Arial" w:cs="Arial"/>
          <w:sz w:val="20"/>
          <w:szCs w:val="20"/>
          <w:lang w:val="en-US"/>
        </w:rPr>
        <w:t>, which have high embodied energy and limited recyclability (Liu et al., 2020; Nwankwo et al., 2022; Rashedi et al., 2022; Baley et al., 2024; López-Arraiza et al., 2025).</w:t>
      </w:r>
    </w:p>
    <w:p w14:paraId="3F3D771F" w14:textId="6FADF340" w:rsidR="002D15EA" w:rsidRPr="0059270C" w:rsidRDefault="002D15EA" w:rsidP="002444E7">
      <w:pPr>
        <w:spacing w:line="480" w:lineRule="auto"/>
        <w:ind w:right="649" w:firstLine="720"/>
        <w:jc w:val="both"/>
        <w:rPr>
          <w:rFonts w:ascii="Arial" w:hAnsi="Arial" w:cs="Arial"/>
          <w:sz w:val="20"/>
          <w:szCs w:val="20"/>
          <w:lang w:val="en-US"/>
        </w:rPr>
      </w:pPr>
      <w:r w:rsidRPr="0059270C">
        <w:rPr>
          <w:rFonts w:ascii="Arial" w:hAnsi="Arial" w:cs="Arial"/>
          <w:sz w:val="20"/>
          <w:szCs w:val="20"/>
          <w:lang w:val="en-US"/>
        </w:rPr>
        <w:t>Fishing scale strongly influenced environmental performance, with mechanized, multi-day dolnets such as Dabang and Pachubandar exhibiting substantially higher GWP than small-scale artisanal gears like Mosquito and Bokshi</w:t>
      </w:r>
      <w:r w:rsidR="009B2E24">
        <w:rPr>
          <w:rFonts w:ascii="Arial" w:hAnsi="Arial" w:cs="Arial"/>
          <w:sz w:val="20"/>
          <w:szCs w:val="20"/>
          <w:lang w:val="en-US"/>
        </w:rPr>
        <w:t xml:space="preserve"> (Figure 6)</w:t>
      </w:r>
      <w:r w:rsidRPr="0059270C">
        <w:rPr>
          <w:rFonts w:ascii="Arial" w:hAnsi="Arial" w:cs="Arial"/>
          <w:sz w:val="20"/>
          <w:szCs w:val="20"/>
          <w:lang w:val="en-US"/>
        </w:rPr>
        <w:t xml:space="preserve">. This disparity is largely driven by higher fuel consumption, longer trip durations, and deeper water operations, with diesel combustion remaining the dominant source of emissions (Parker et al., 2015; Hornborg et al., 2012; </w:t>
      </w:r>
      <w:proofErr w:type="spellStart"/>
      <w:r w:rsidRPr="0059270C">
        <w:rPr>
          <w:rFonts w:ascii="Arial" w:hAnsi="Arial" w:cs="Arial"/>
          <w:sz w:val="20"/>
          <w:szCs w:val="20"/>
          <w:lang w:val="en-US"/>
        </w:rPr>
        <w:t>Bastardie</w:t>
      </w:r>
      <w:proofErr w:type="spellEnd"/>
      <w:r w:rsidRPr="0059270C">
        <w:rPr>
          <w:rFonts w:ascii="Arial" w:hAnsi="Arial" w:cs="Arial"/>
          <w:sz w:val="20"/>
          <w:szCs w:val="20"/>
          <w:lang w:val="en-US"/>
        </w:rPr>
        <w:t xml:space="preserve"> et al., 2022). In contrast, small-scale fisheries generally show lower impacts per unit catch due to reduced fuel use and simpler gear configurations (</w:t>
      </w:r>
      <w:proofErr w:type="spellStart"/>
      <w:r w:rsidRPr="0059270C">
        <w:rPr>
          <w:rFonts w:ascii="Arial" w:hAnsi="Arial" w:cs="Arial"/>
          <w:sz w:val="20"/>
          <w:szCs w:val="20"/>
          <w:lang w:val="en-US"/>
        </w:rPr>
        <w:t>Cavraro</w:t>
      </w:r>
      <w:proofErr w:type="spellEnd"/>
      <w:r w:rsidRPr="0059270C">
        <w:rPr>
          <w:rFonts w:ascii="Arial" w:hAnsi="Arial" w:cs="Arial"/>
          <w:sz w:val="20"/>
          <w:szCs w:val="20"/>
          <w:lang w:val="en-US"/>
        </w:rPr>
        <w:t xml:space="preserve"> et al., 2023; Gephart et al., 2021; Kemp et al., 2022). Deeper and larger operations further intensify impacts through increased drag, heavier materials, and extended travel distances (Ziegler and </w:t>
      </w:r>
      <w:proofErr w:type="spellStart"/>
      <w:r w:rsidRPr="0059270C">
        <w:rPr>
          <w:rFonts w:ascii="Arial" w:hAnsi="Arial" w:cs="Arial"/>
          <w:sz w:val="20"/>
          <w:szCs w:val="20"/>
          <w:lang w:val="en-US"/>
        </w:rPr>
        <w:t>Hornborg</w:t>
      </w:r>
      <w:proofErr w:type="spellEnd"/>
      <w:r w:rsidRPr="0059270C">
        <w:rPr>
          <w:rFonts w:ascii="Arial" w:hAnsi="Arial" w:cs="Arial"/>
          <w:sz w:val="20"/>
          <w:szCs w:val="20"/>
          <w:lang w:val="en-US"/>
        </w:rPr>
        <w:t xml:space="preserve">, 2014; </w:t>
      </w:r>
      <w:proofErr w:type="spellStart"/>
      <w:r w:rsidRPr="0059270C">
        <w:rPr>
          <w:rFonts w:ascii="Arial" w:hAnsi="Arial" w:cs="Arial"/>
          <w:sz w:val="20"/>
          <w:szCs w:val="20"/>
          <w:lang w:val="en-US"/>
        </w:rPr>
        <w:t>Tyedmers</w:t>
      </w:r>
      <w:proofErr w:type="spellEnd"/>
      <w:r w:rsidRPr="0059270C">
        <w:rPr>
          <w:rFonts w:ascii="Arial" w:hAnsi="Arial" w:cs="Arial"/>
          <w:sz w:val="20"/>
          <w:szCs w:val="20"/>
          <w:lang w:val="en-US"/>
        </w:rPr>
        <w:t xml:space="preserve"> et al., 2001). Overall, the results highlight the importance of optimizing fuel efficiency, adopting lighter and recyclable or biodegradable materials, and promoting cleaner propulsion technologies to reduce emissions and support low-carbon, sustainable dolnet fisheries in line with Sustainable Development Goal 14 (Schneider et al., 2023; Zhao et al., 2022; Drakeford et al., 2023).</w:t>
      </w:r>
    </w:p>
    <w:p w14:paraId="167378E5" w14:textId="28376392" w:rsidR="00D27B69" w:rsidRPr="0059270C" w:rsidRDefault="002D15EA" w:rsidP="00B93836">
      <w:pPr>
        <w:spacing w:line="480" w:lineRule="auto"/>
        <w:ind w:firstLine="720"/>
        <w:jc w:val="both"/>
        <w:rPr>
          <w:rFonts w:ascii="Arial" w:hAnsi="Arial" w:cs="Arial"/>
          <w:lang w:val="en-US"/>
        </w:rPr>
      </w:pPr>
      <w:r w:rsidRPr="0059270C">
        <w:rPr>
          <w:rFonts w:ascii="Times New Roman" w:hAnsi="Times New Roman" w:cs="Times New Roman"/>
          <w:b/>
          <w:bCs/>
          <w:noProof/>
          <w:lang w:val="en-US"/>
        </w:rPr>
        <w:drawing>
          <wp:anchor distT="0" distB="0" distL="114300" distR="114300" simplePos="0" relativeHeight="251700224" behindDoc="0" locked="0" layoutInCell="1" allowOverlap="1" wp14:anchorId="43BE76BD" wp14:editId="517D4B0A">
            <wp:simplePos x="0" y="0"/>
            <wp:positionH relativeFrom="margin">
              <wp:posOffset>126980</wp:posOffset>
            </wp:positionH>
            <wp:positionV relativeFrom="paragraph">
              <wp:posOffset>38735</wp:posOffset>
            </wp:positionV>
            <wp:extent cx="5712150" cy="1809677"/>
            <wp:effectExtent l="19050" t="19050" r="22225" b="19685"/>
            <wp:wrapNone/>
            <wp:docPr id="397369205" name="Picture 2" descr="A pie chart with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69205" name="Picture 2" descr="A pie chart with text and numbers"/>
                    <pic:cNvPicPr>
                      <a:picLocks noChangeAspect="1" noChangeArrowheads="1"/>
                    </pic:cNvPicPr>
                  </pic:nvPicPr>
                  <pic:blipFill rotWithShape="1">
                    <a:blip r:embed="rId14">
                      <a:extLst>
                        <a:ext uri="{28A0092B-C50C-407E-A947-70E740481C1C}">
                          <a14:useLocalDpi xmlns:a14="http://schemas.microsoft.com/office/drawing/2010/main" val="0"/>
                        </a:ext>
                      </a:extLst>
                    </a:blip>
                    <a:srcRect l="1260" t="21853" b="2751"/>
                    <a:stretch>
                      <a:fillRect/>
                    </a:stretch>
                  </pic:blipFill>
                  <pic:spPr bwMode="auto">
                    <a:xfrm>
                      <a:off x="0" y="0"/>
                      <a:ext cx="5712150" cy="1809677"/>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E7D1C1" w14:textId="19CCA631" w:rsidR="0031607C" w:rsidRPr="0059270C" w:rsidRDefault="0031607C" w:rsidP="00B93836">
      <w:pPr>
        <w:suppressLineNumbers/>
        <w:spacing w:line="480" w:lineRule="auto"/>
        <w:ind w:firstLine="720"/>
        <w:jc w:val="both"/>
        <w:rPr>
          <w:rFonts w:ascii="Arial" w:hAnsi="Arial" w:cs="Arial"/>
          <w:lang w:val="en-US"/>
        </w:rPr>
      </w:pPr>
    </w:p>
    <w:p w14:paraId="2AD22201" w14:textId="77777777" w:rsidR="00851930" w:rsidRPr="0059270C" w:rsidRDefault="00851930" w:rsidP="00B93836">
      <w:pPr>
        <w:suppressLineNumbers/>
        <w:spacing w:line="480" w:lineRule="auto"/>
        <w:ind w:firstLine="720"/>
        <w:jc w:val="both"/>
        <w:rPr>
          <w:rFonts w:ascii="Arial" w:hAnsi="Arial" w:cs="Arial"/>
          <w:lang w:val="en-US"/>
        </w:rPr>
      </w:pPr>
    </w:p>
    <w:p w14:paraId="06B9FB9B" w14:textId="59436DE6" w:rsidR="00851930" w:rsidRPr="0059270C" w:rsidRDefault="00851930" w:rsidP="00B93836">
      <w:pPr>
        <w:suppressLineNumbers/>
        <w:spacing w:line="480" w:lineRule="auto"/>
        <w:ind w:firstLine="720"/>
        <w:jc w:val="both"/>
        <w:rPr>
          <w:rFonts w:ascii="Arial" w:hAnsi="Arial" w:cs="Arial"/>
          <w:lang w:val="en-US"/>
        </w:rPr>
      </w:pPr>
    </w:p>
    <w:p w14:paraId="706E7D32" w14:textId="77777777" w:rsidR="00886F51" w:rsidRPr="0059270C" w:rsidRDefault="00886F51" w:rsidP="002F6FBA">
      <w:pPr>
        <w:suppressLineNumbers/>
        <w:spacing w:line="480" w:lineRule="auto"/>
        <w:jc w:val="both"/>
        <w:rPr>
          <w:rFonts w:ascii="Arial" w:hAnsi="Arial" w:cs="Arial"/>
          <w:lang w:val="en-US"/>
        </w:rPr>
      </w:pPr>
    </w:p>
    <w:p w14:paraId="4508CB05" w14:textId="67C25BE7" w:rsidR="0031607C" w:rsidRPr="0059270C" w:rsidRDefault="00227875" w:rsidP="00B93836">
      <w:pPr>
        <w:suppressLineNumbers/>
        <w:spacing w:after="0" w:line="480" w:lineRule="auto"/>
        <w:rPr>
          <w:rFonts w:ascii="Arial" w:hAnsi="Arial" w:cs="Arial"/>
          <w:sz w:val="20"/>
          <w:szCs w:val="20"/>
        </w:rPr>
      </w:pPr>
      <w:r w:rsidRPr="0059270C">
        <w:rPr>
          <w:rFonts w:ascii="Arial" w:hAnsi="Arial" w:cs="Arial"/>
          <w:b/>
          <w:bCs/>
          <w:sz w:val="20"/>
          <w:szCs w:val="20"/>
        </w:rPr>
        <w:t xml:space="preserve">     </w:t>
      </w:r>
      <w:r w:rsidR="00DE052C" w:rsidRPr="0059270C">
        <w:rPr>
          <w:rFonts w:ascii="Arial" w:hAnsi="Arial" w:cs="Arial"/>
          <w:b/>
          <w:bCs/>
          <w:sz w:val="20"/>
          <w:szCs w:val="20"/>
        </w:rPr>
        <w:t xml:space="preserve">   </w:t>
      </w:r>
      <w:r w:rsidR="00886F51" w:rsidRPr="0059270C">
        <w:rPr>
          <w:rFonts w:ascii="Arial" w:hAnsi="Arial" w:cs="Arial"/>
          <w:b/>
          <w:bCs/>
          <w:sz w:val="20"/>
          <w:szCs w:val="20"/>
        </w:rPr>
        <w:t>Figure 6</w:t>
      </w:r>
      <w:r w:rsidR="00886F51" w:rsidRPr="0059270C">
        <w:rPr>
          <w:rFonts w:ascii="Arial" w:hAnsi="Arial" w:cs="Arial"/>
          <w:sz w:val="20"/>
          <w:szCs w:val="20"/>
        </w:rPr>
        <w:t>. Material wise contribution to GWP for Versova (a) and Pachubandar (b) dolnet designs</w:t>
      </w:r>
    </w:p>
    <w:p w14:paraId="13DD5F4D" w14:textId="77777777" w:rsidR="00886F51" w:rsidRPr="0059270C" w:rsidRDefault="00886F51" w:rsidP="00B93836">
      <w:pPr>
        <w:suppressLineNumbers/>
        <w:spacing w:after="0" w:line="480" w:lineRule="auto"/>
        <w:rPr>
          <w:rFonts w:ascii="Arial" w:hAnsi="Arial" w:cs="Arial"/>
        </w:rPr>
      </w:pPr>
    </w:p>
    <w:p w14:paraId="767FC942" w14:textId="77777777" w:rsidR="00767F3B" w:rsidRDefault="00767F3B" w:rsidP="00767F3B">
      <w:pPr>
        <w:suppressLineNumbers/>
        <w:spacing w:after="0" w:line="480" w:lineRule="auto"/>
        <w:jc w:val="both"/>
        <w:rPr>
          <w:rFonts w:ascii="Arial" w:hAnsi="Arial" w:cs="Arial"/>
          <w:b/>
          <w:bCs/>
          <w:sz w:val="20"/>
          <w:szCs w:val="20"/>
          <w:lang w:val="en-US"/>
        </w:rPr>
      </w:pPr>
    </w:p>
    <w:p w14:paraId="6AD8E3FD" w14:textId="77777777" w:rsidR="00767F3B" w:rsidRDefault="00767F3B" w:rsidP="00767F3B">
      <w:pPr>
        <w:suppressLineNumbers/>
        <w:spacing w:after="0" w:line="480" w:lineRule="auto"/>
        <w:jc w:val="both"/>
        <w:rPr>
          <w:rFonts w:ascii="Arial" w:hAnsi="Arial" w:cs="Arial"/>
          <w:b/>
          <w:bCs/>
          <w:sz w:val="20"/>
          <w:szCs w:val="20"/>
          <w:lang w:val="en-US"/>
        </w:rPr>
      </w:pPr>
    </w:p>
    <w:p w14:paraId="175D7C57" w14:textId="77777777" w:rsidR="00767F3B" w:rsidRDefault="00767F3B" w:rsidP="00767F3B">
      <w:pPr>
        <w:suppressLineNumbers/>
        <w:spacing w:after="0" w:line="480" w:lineRule="auto"/>
        <w:jc w:val="both"/>
        <w:rPr>
          <w:rFonts w:ascii="Arial" w:hAnsi="Arial" w:cs="Arial"/>
          <w:b/>
          <w:bCs/>
          <w:sz w:val="20"/>
          <w:szCs w:val="20"/>
          <w:lang w:val="en-US"/>
        </w:rPr>
      </w:pPr>
    </w:p>
    <w:p w14:paraId="76312D4B" w14:textId="77777777" w:rsidR="00767F3B" w:rsidRDefault="00767F3B" w:rsidP="00767F3B">
      <w:pPr>
        <w:suppressLineNumbers/>
        <w:spacing w:after="0" w:line="480" w:lineRule="auto"/>
        <w:jc w:val="both"/>
        <w:rPr>
          <w:rFonts w:ascii="Arial" w:hAnsi="Arial" w:cs="Arial"/>
          <w:b/>
          <w:bCs/>
          <w:sz w:val="20"/>
          <w:szCs w:val="20"/>
          <w:lang w:val="en-US"/>
        </w:rPr>
      </w:pPr>
    </w:p>
    <w:p w14:paraId="59D54B4C" w14:textId="77777777" w:rsidR="00767F3B" w:rsidRDefault="00767F3B" w:rsidP="00767F3B">
      <w:pPr>
        <w:suppressLineNumbers/>
        <w:spacing w:after="0" w:line="480" w:lineRule="auto"/>
        <w:jc w:val="both"/>
        <w:rPr>
          <w:rFonts w:ascii="Arial" w:hAnsi="Arial" w:cs="Arial"/>
          <w:b/>
          <w:bCs/>
          <w:sz w:val="20"/>
          <w:szCs w:val="20"/>
          <w:lang w:val="en-US"/>
        </w:rPr>
      </w:pPr>
    </w:p>
    <w:p w14:paraId="756E27A0" w14:textId="4E97327F" w:rsidR="00886F51" w:rsidRPr="00782216" w:rsidRDefault="00886F51" w:rsidP="00B93836">
      <w:pPr>
        <w:spacing w:after="0" w:line="480" w:lineRule="auto"/>
        <w:jc w:val="both"/>
        <w:rPr>
          <w:rFonts w:ascii="Arial" w:hAnsi="Arial" w:cs="Arial"/>
          <w:b/>
          <w:bCs/>
          <w:sz w:val="20"/>
          <w:szCs w:val="20"/>
          <w:lang w:val="en-US"/>
        </w:rPr>
      </w:pPr>
      <w:r w:rsidRPr="00782216">
        <w:rPr>
          <w:rFonts w:ascii="Arial" w:hAnsi="Arial" w:cs="Arial"/>
          <w:b/>
          <w:bCs/>
          <w:sz w:val="20"/>
          <w:szCs w:val="20"/>
          <w:lang w:val="en-US"/>
        </w:rPr>
        <w:lastRenderedPageBreak/>
        <w:t xml:space="preserve">Table 3. </w:t>
      </w:r>
      <w:r w:rsidRPr="00782216">
        <w:rPr>
          <w:rFonts w:ascii="Arial" w:hAnsi="Arial" w:cs="Arial"/>
          <w:sz w:val="20"/>
          <w:szCs w:val="20"/>
          <w:lang w:val="en-US"/>
        </w:rPr>
        <w:t>Material contribution to total emissions (GWP 100a) of selected dolnet designs</w:t>
      </w:r>
    </w:p>
    <w:tbl>
      <w:tblPr>
        <w:tblStyle w:val="TableGrid"/>
        <w:tblpPr w:leftFromText="180" w:rightFromText="180" w:vertAnchor="text" w:horzAnchor="margin" w:tblpY="-2"/>
        <w:tblW w:w="0" w:type="auto"/>
        <w:tblLook w:val="04A0" w:firstRow="1" w:lastRow="0" w:firstColumn="1" w:lastColumn="0" w:noHBand="0" w:noVBand="1"/>
      </w:tblPr>
      <w:tblGrid>
        <w:gridCol w:w="1691"/>
        <w:gridCol w:w="2032"/>
        <w:gridCol w:w="2521"/>
        <w:gridCol w:w="2758"/>
      </w:tblGrid>
      <w:tr w:rsidR="0059270C" w:rsidRPr="00782216" w14:paraId="558707CD" w14:textId="77777777" w:rsidTr="00886F51">
        <w:tc>
          <w:tcPr>
            <w:tcW w:w="0" w:type="auto"/>
            <w:vAlign w:val="center"/>
            <w:hideMark/>
          </w:tcPr>
          <w:p w14:paraId="0DB73C62"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Material Type</w:t>
            </w:r>
          </w:p>
        </w:tc>
        <w:tc>
          <w:tcPr>
            <w:tcW w:w="0" w:type="auto"/>
            <w:vAlign w:val="center"/>
            <w:hideMark/>
          </w:tcPr>
          <w:p w14:paraId="49942F60"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Dabang (kg CO</w:t>
            </w:r>
            <w:r w:rsidRPr="00782216">
              <w:rPr>
                <w:rFonts w:ascii="Cambria Math" w:hAnsi="Cambria Math" w:cs="Cambria Math"/>
                <w:sz w:val="20"/>
                <w:szCs w:val="20"/>
                <w:lang w:val="en-US"/>
              </w:rPr>
              <w:t>₂</w:t>
            </w:r>
            <w:r w:rsidRPr="00782216">
              <w:rPr>
                <w:rFonts w:ascii="Arial" w:hAnsi="Arial" w:cs="Arial"/>
                <w:sz w:val="20"/>
                <w:szCs w:val="20"/>
                <w:lang w:val="en-US"/>
              </w:rPr>
              <w:t xml:space="preserve"> eq)</w:t>
            </w:r>
          </w:p>
        </w:tc>
        <w:tc>
          <w:tcPr>
            <w:tcW w:w="0" w:type="auto"/>
            <w:vAlign w:val="center"/>
            <w:hideMark/>
          </w:tcPr>
          <w:p w14:paraId="54EA636B"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Pachubandar (kg CO</w:t>
            </w:r>
            <w:r w:rsidRPr="00782216">
              <w:rPr>
                <w:rFonts w:ascii="Cambria Math" w:hAnsi="Cambria Math" w:cs="Cambria Math"/>
                <w:sz w:val="20"/>
                <w:szCs w:val="20"/>
                <w:lang w:val="en-US"/>
              </w:rPr>
              <w:t>₂</w:t>
            </w:r>
            <w:r w:rsidRPr="00782216">
              <w:rPr>
                <w:rFonts w:ascii="Arial" w:hAnsi="Arial" w:cs="Arial"/>
                <w:sz w:val="20"/>
                <w:szCs w:val="20"/>
                <w:lang w:val="en-US"/>
              </w:rPr>
              <w:t xml:space="preserve"> eq)</w:t>
            </w:r>
          </w:p>
        </w:tc>
        <w:tc>
          <w:tcPr>
            <w:tcW w:w="0" w:type="auto"/>
            <w:vAlign w:val="center"/>
            <w:hideMark/>
          </w:tcPr>
          <w:p w14:paraId="3EF4EF24"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 Contribution to Total GWP</w:t>
            </w:r>
          </w:p>
        </w:tc>
      </w:tr>
      <w:tr w:rsidR="0059270C" w:rsidRPr="00782216" w14:paraId="675CEE32" w14:textId="77777777" w:rsidTr="00886F51">
        <w:tc>
          <w:tcPr>
            <w:tcW w:w="0" w:type="auto"/>
            <w:vAlign w:val="center"/>
            <w:hideMark/>
          </w:tcPr>
          <w:p w14:paraId="38432781" w14:textId="77777777" w:rsidR="00886F51" w:rsidRPr="00782216" w:rsidRDefault="00886F51" w:rsidP="00767F3B">
            <w:pPr>
              <w:spacing w:line="360" w:lineRule="auto"/>
              <w:rPr>
                <w:rFonts w:ascii="Arial" w:hAnsi="Arial" w:cs="Arial"/>
                <w:sz w:val="20"/>
                <w:szCs w:val="20"/>
                <w:lang w:val="en-US"/>
              </w:rPr>
            </w:pPr>
            <w:r w:rsidRPr="00782216">
              <w:rPr>
                <w:rFonts w:ascii="Arial" w:hAnsi="Arial" w:cs="Arial"/>
                <w:sz w:val="20"/>
                <w:szCs w:val="20"/>
                <w:lang w:val="en-US"/>
              </w:rPr>
              <w:t>Steel</w:t>
            </w:r>
          </w:p>
        </w:tc>
        <w:tc>
          <w:tcPr>
            <w:tcW w:w="0" w:type="auto"/>
            <w:vAlign w:val="center"/>
            <w:hideMark/>
          </w:tcPr>
          <w:p w14:paraId="034F4626"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439.81</w:t>
            </w:r>
          </w:p>
        </w:tc>
        <w:tc>
          <w:tcPr>
            <w:tcW w:w="0" w:type="auto"/>
            <w:vAlign w:val="center"/>
            <w:hideMark/>
          </w:tcPr>
          <w:p w14:paraId="1342E1D2"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694.43</w:t>
            </w:r>
          </w:p>
        </w:tc>
        <w:tc>
          <w:tcPr>
            <w:tcW w:w="0" w:type="auto"/>
            <w:vAlign w:val="center"/>
            <w:hideMark/>
          </w:tcPr>
          <w:p w14:paraId="07DDE9BF"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52%</w:t>
            </w:r>
          </w:p>
        </w:tc>
      </w:tr>
      <w:tr w:rsidR="0059270C" w:rsidRPr="00782216" w14:paraId="6E2201D2" w14:textId="77777777" w:rsidTr="00886F51">
        <w:tc>
          <w:tcPr>
            <w:tcW w:w="0" w:type="auto"/>
            <w:vAlign w:val="center"/>
            <w:hideMark/>
          </w:tcPr>
          <w:p w14:paraId="732ADBA3" w14:textId="77777777" w:rsidR="00886F51" w:rsidRPr="00782216" w:rsidRDefault="00886F51" w:rsidP="00767F3B">
            <w:pPr>
              <w:spacing w:line="360" w:lineRule="auto"/>
              <w:rPr>
                <w:rFonts w:ascii="Arial" w:hAnsi="Arial" w:cs="Arial"/>
                <w:sz w:val="20"/>
                <w:szCs w:val="20"/>
                <w:lang w:val="en-US"/>
              </w:rPr>
            </w:pPr>
            <w:r w:rsidRPr="00782216">
              <w:rPr>
                <w:rFonts w:ascii="Arial" w:hAnsi="Arial" w:cs="Arial"/>
                <w:sz w:val="20"/>
                <w:szCs w:val="20"/>
                <w:lang w:val="en-US"/>
              </w:rPr>
              <w:t>Glass Fibre</w:t>
            </w:r>
          </w:p>
        </w:tc>
        <w:tc>
          <w:tcPr>
            <w:tcW w:w="0" w:type="auto"/>
            <w:vAlign w:val="center"/>
            <w:hideMark/>
          </w:tcPr>
          <w:p w14:paraId="4E38F67F"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201.96</w:t>
            </w:r>
          </w:p>
        </w:tc>
        <w:tc>
          <w:tcPr>
            <w:tcW w:w="0" w:type="auto"/>
            <w:vAlign w:val="center"/>
            <w:hideMark/>
          </w:tcPr>
          <w:p w14:paraId="7A5550C2"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307.27</w:t>
            </w:r>
          </w:p>
        </w:tc>
        <w:tc>
          <w:tcPr>
            <w:tcW w:w="0" w:type="auto"/>
            <w:vAlign w:val="center"/>
            <w:hideMark/>
          </w:tcPr>
          <w:p w14:paraId="36080E86"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12%</w:t>
            </w:r>
          </w:p>
        </w:tc>
      </w:tr>
      <w:tr w:rsidR="0059270C" w:rsidRPr="00782216" w14:paraId="7DC907E7" w14:textId="77777777" w:rsidTr="00886F51">
        <w:tc>
          <w:tcPr>
            <w:tcW w:w="0" w:type="auto"/>
            <w:vAlign w:val="center"/>
            <w:hideMark/>
          </w:tcPr>
          <w:p w14:paraId="29ACB8A5" w14:textId="77777777" w:rsidR="00886F51" w:rsidRPr="00782216" w:rsidRDefault="00886F51" w:rsidP="00767F3B">
            <w:pPr>
              <w:spacing w:line="360" w:lineRule="auto"/>
              <w:rPr>
                <w:rFonts w:ascii="Arial" w:hAnsi="Arial" w:cs="Arial"/>
                <w:sz w:val="20"/>
                <w:szCs w:val="20"/>
                <w:lang w:val="en-US"/>
              </w:rPr>
            </w:pPr>
            <w:proofErr w:type="spellStart"/>
            <w:r w:rsidRPr="00782216">
              <w:rPr>
                <w:rFonts w:ascii="Arial" w:hAnsi="Arial" w:cs="Arial"/>
                <w:sz w:val="20"/>
                <w:szCs w:val="20"/>
                <w:lang w:val="en-US"/>
              </w:rPr>
              <w:t>Sawnwood</w:t>
            </w:r>
            <w:proofErr w:type="spellEnd"/>
          </w:p>
        </w:tc>
        <w:tc>
          <w:tcPr>
            <w:tcW w:w="0" w:type="auto"/>
            <w:vAlign w:val="center"/>
            <w:hideMark/>
          </w:tcPr>
          <w:p w14:paraId="62346662"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149.98</w:t>
            </w:r>
          </w:p>
        </w:tc>
        <w:tc>
          <w:tcPr>
            <w:tcW w:w="0" w:type="auto"/>
            <w:vAlign w:val="center"/>
            <w:hideMark/>
          </w:tcPr>
          <w:p w14:paraId="0F48B2A5"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451.43</w:t>
            </w:r>
          </w:p>
        </w:tc>
        <w:tc>
          <w:tcPr>
            <w:tcW w:w="0" w:type="auto"/>
            <w:vAlign w:val="center"/>
            <w:hideMark/>
          </w:tcPr>
          <w:p w14:paraId="72FA0CC6"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26%</w:t>
            </w:r>
          </w:p>
        </w:tc>
      </w:tr>
      <w:tr w:rsidR="0059270C" w:rsidRPr="00782216" w14:paraId="45ACBBB5" w14:textId="77777777" w:rsidTr="00886F51">
        <w:tc>
          <w:tcPr>
            <w:tcW w:w="0" w:type="auto"/>
            <w:vAlign w:val="center"/>
            <w:hideMark/>
          </w:tcPr>
          <w:p w14:paraId="2441326A" w14:textId="77777777" w:rsidR="00886F51" w:rsidRPr="00782216" w:rsidRDefault="00886F51" w:rsidP="00767F3B">
            <w:pPr>
              <w:spacing w:line="360" w:lineRule="auto"/>
              <w:rPr>
                <w:rFonts w:ascii="Arial" w:hAnsi="Arial" w:cs="Arial"/>
                <w:sz w:val="20"/>
                <w:szCs w:val="20"/>
                <w:lang w:val="en-US"/>
              </w:rPr>
            </w:pPr>
            <w:r w:rsidRPr="00782216">
              <w:rPr>
                <w:rFonts w:ascii="Arial" w:hAnsi="Arial" w:cs="Arial"/>
                <w:sz w:val="20"/>
                <w:szCs w:val="20"/>
                <w:lang w:val="en-US"/>
              </w:rPr>
              <w:t>HDPE Twine</w:t>
            </w:r>
          </w:p>
        </w:tc>
        <w:tc>
          <w:tcPr>
            <w:tcW w:w="0" w:type="auto"/>
            <w:vAlign w:val="center"/>
            <w:hideMark/>
          </w:tcPr>
          <w:p w14:paraId="7437CBF8"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130.02</w:t>
            </w:r>
          </w:p>
        </w:tc>
        <w:tc>
          <w:tcPr>
            <w:tcW w:w="0" w:type="auto"/>
            <w:vAlign w:val="center"/>
            <w:hideMark/>
          </w:tcPr>
          <w:p w14:paraId="1B98E387"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185.67</w:t>
            </w:r>
          </w:p>
        </w:tc>
        <w:tc>
          <w:tcPr>
            <w:tcW w:w="0" w:type="auto"/>
            <w:vAlign w:val="center"/>
            <w:hideMark/>
          </w:tcPr>
          <w:p w14:paraId="535D8463"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12%</w:t>
            </w:r>
          </w:p>
        </w:tc>
      </w:tr>
      <w:tr w:rsidR="0059270C" w:rsidRPr="00782216" w14:paraId="01EC41E0" w14:textId="77777777" w:rsidTr="00886F51">
        <w:tc>
          <w:tcPr>
            <w:tcW w:w="0" w:type="auto"/>
            <w:vAlign w:val="center"/>
            <w:hideMark/>
          </w:tcPr>
          <w:p w14:paraId="0EA9DE42" w14:textId="77777777" w:rsidR="00886F51" w:rsidRPr="00782216" w:rsidRDefault="00886F51" w:rsidP="00767F3B">
            <w:pPr>
              <w:spacing w:line="360" w:lineRule="auto"/>
              <w:rPr>
                <w:rFonts w:ascii="Arial" w:hAnsi="Arial" w:cs="Arial"/>
                <w:sz w:val="20"/>
                <w:szCs w:val="20"/>
                <w:lang w:val="en-US"/>
              </w:rPr>
            </w:pPr>
            <w:r w:rsidRPr="00782216">
              <w:rPr>
                <w:rFonts w:ascii="Arial" w:hAnsi="Arial" w:cs="Arial"/>
                <w:sz w:val="20"/>
                <w:szCs w:val="20"/>
                <w:lang w:val="en-US"/>
              </w:rPr>
              <w:t>Paint/FRP Resin</w:t>
            </w:r>
          </w:p>
        </w:tc>
        <w:tc>
          <w:tcPr>
            <w:tcW w:w="0" w:type="auto"/>
            <w:vAlign w:val="center"/>
            <w:hideMark/>
          </w:tcPr>
          <w:p w14:paraId="25C032BD"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65.45</w:t>
            </w:r>
          </w:p>
        </w:tc>
        <w:tc>
          <w:tcPr>
            <w:tcW w:w="0" w:type="auto"/>
            <w:vAlign w:val="center"/>
            <w:hideMark/>
          </w:tcPr>
          <w:p w14:paraId="59674F4E"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68.00</w:t>
            </w:r>
          </w:p>
        </w:tc>
        <w:tc>
          <w:tcPr>
            <w:tcW w:w="0" w:type="auto"/>
            <w:vAlign w:val="center"/>
            <w:hideMark/>
          </w:tcPr>
          <w:p w14:paraId="6B5A4A96" w14:textId="77777777" w:rsidR="00886F51" w:rsidRPr="00782216" w:rsidRDefault="00886F51" w:rsidP="00767F3B">
            <w:pPr>
              <w:spacing w:line="360" w:lineRule="auto"/>
              <w:jc w:val="center"/>
              <w:rPr>
                <w:rFonts w:ascii="Arial" w:hAnsi="Arial" w:cs="Arial"/>
                <w:sz w:val="20"/>
                <w:szCs w:val="20"/>
                <w:lang w:val="en-US"/>
              </w:rPr>
            </w:pPr>
            <w:r w:rsidRPr="00782216">
              <w:rPr>
                <w:rFonts w:ascii="Arial" w:hAnsi="Arial" w:cs="Arial"/>
                <w:sz w:val="20"/>
                <w:szCs w:val="20"/>
                <w:lang w:val="en-US"/>
              </w:rPr>
              <w:t>5%</w:t>
            </w:r>
          </w:p>
        </w:tc>
      </w:tr>
    </w:tbl>
    <w:p w14:paraId="103DBE92" w14:textId="77777777" w:rsidR="00886F51" w:rsidRPr="0059270C" w:rsidRDefault="00886F51" w:rsidP="00B93836">
      <w:pPr>
        <w:spacing w:after="0" w:line="480" w:lineRule="auto"/>
        <w:rPr>
          <w:rFonts w:ascii="Arial" w:hAnsi="Arial" w:cs="Arial"/>
        </w:rPr>
      </w:pPr>
    </w:p>
    <w:p w14:paraId="78DB1C79" w14:textId="77777777" w:rsidR="00563D3B" w:rsidRDefault="00563D3B" w:rsidP="002A57D2">
      <w:pPr>
        <w:spacing w:line="480" w:lineRule="auto"/>
        <w:jc w:val="both"/>
        <w:rPr>
          <w:rFonts w:ascii="Arial" w:hAnsi="Arial" w:cs="Arial"/>
          <w:b/>
          <w:bCs/>
          <w:sz w:val="20"/>
          <w:szCs w:val="20"/>
          <w:u w:val="single"/>
          <w:lang w:val="en-US"/>
        </w:rPr>
      </w:pPr>
    </w:p>
    <w:p w14:paraId="097F663C" w14:textId="77777777" w:rsidR="00563D3B" w:rsidRDefault="00563D3B" w:rsidP="002A57D2">
      <w:pPr>
        <w:spacing w:line="480" w:lineRule="auto"/>
        <w:jc w:val="both"/>
        <w:rPr>
          <w:rFonts w:ascii="Arial" w:hAnsi="Arial" w:cs="Arial"/>
          <w:b/>
          <w:bCs/>
          <w:sz w:val="20"/>
          <w:szCs w:val="20"/>
          <w:u w:val="single"/>
        </w:rPr>
      </w:pPr>
    </w:p>
    <w:p w14:paraId="0401BEAA" w14:textId="77777777" w:rsidR="00563D3B" w:rsidRDefault="00563D3B" w:rsidP="002A57D2">
      <w:pPr>
        <w:spacing w:line="480" w:lineRule="auto"/>
        <w:jc w:val="both"/>
        <w:rPr>
          <w:rFonts w:ascii="Arial" w:hAnsi="Arial" w:cs="Arial"/>
          <w:b/>
          <w:bCs/>
          <w:sz w:val="20"/>
          <w:szCs w:val="20"/>
          <w:u w:val="single"/>
        </w:rPr>
      </w:pPr>
    </w:p>
    <w:p w14:paraId="14FF05BC" w14:textId="45D81F31" w:rsidR="00ED4BD1" w:rsidRPr="0059270C" w:rsidRDefault="00ED4BD1" w:rsidP="002A57D2">
      <w:pPr>
        <w:spacing w:line="480" w:lineRule="auto"/>
        <w:jc w:val="both"/>
        <w:rPr>
          <w:rFonts w:ascii="Arial" w:hAnsi="Arial" w:cs="Arial"/>
          <w:sz w:val="20"/>
          <w:szCs w:val="20"/>
          <w:lang w:val="en-US"/>
        </w:rPr>
      </w:pPr>
      <w:r w:rsidRPr="0059270C">
        <w:rPr>
          <w:rFonts w:ascii="Arial" w:hAnsi="Arial" w:cs="Arial"/>
          <w:b/>
          <w:bCs/>
          <w:sz w:val="20"/>
          <w:szCs w:val="20"/>
          <w:u w:val="single"/>
          <w:lang w:val="en-US"/>
        </w:rPr>
        <w:t>3.6 Integrated insights and policy implications</w:t>
      </w:r>
    </w:p>
    <w:p w14:paraId="0E1426D8" w14:textId="7B266E9F" w:rsidR="0062723C" w:rsidRPr="00875729" w:rsidRDefault="00ED4BD1" w:rsidP="00875729">
      <w:pPr>
        <w:spacing w:line="480" w:lineRule="auto"/>
        <w:ind w:right="739" w:firstLine="720"/>
        <w:jc w:val="both"/>
        <w:rPr>
          <w:rFonts w:ascii="Arial" w:hAnsi="Arial" w:cs="Arial"/>
          <w:sz w:val="20"/>
          <w:szCs w:val="20"/>
          <w:lang w:val="en-US"/>
        </w:rPr>
      </w:pPr>
      <w:r w:rsidRPr="0059270C">
        <w:rPr>
          <w:rFonts w:ascii="Arial" w:hAnsi="Arial" w:cs="Arial"/>
          <w:sz w:val="20"/>
          <w:szCs w:val="20"/>
          <w:lang w:val="en-US"/>
        </w:rPr>
        <w:t>The combined CML and IPCC analysis identifies key environmental hotspots in dolnet fisheries. Dabang, Pachubandar and Sajachi designs show high impacts while Bokshi and Mosquito perform better environmentally. Figure 5 compares sustainability indices, revealing that efficient designs with lower fuel use and material intensity support eco-friendly, low carbon fisheries aligned with SDG 14</w:t>
      </w:r>
      <w:r w:rsidR="0062723C">
        <w:rPr>
          <w:rFonts w:ascii="Arial" w:hAnsi="Arial" w:cs="Arial"/>
          <w:sz w:val="20"/>
          <w:szCs w:val="20"/>
          <w:lang w:val="en-US"/>
        </w:rPr>
        <w:t>.</w:t>
      </w:r>
    </w:p>
    <w:p w14:paraId="668A066F" w14:textId="489254DA" w:rsidR="00ED4BD1" w:rsidRPr="0059270C" w:rsidRDefault="00ED4BD1" w:rsidP="002444E7">
      <w:pPr>
        <w:spacing w:line="480" w:lineRule="auto"/>
        <w:ind w:right="649" w:firstLine="720"/>
        <w:jc w:val="both"/>
        <w:rPr>
          <w:rFonts w:ascii="Arial" w:hAnsi="Arial" w:cs="Arial"/>
          <w:sz w:val="20"/>
          <w:szCs w:val="20"/>
          <w:lang w:val="en-US"/>
        </w:rPr>
      </w:pPr>
      <w:r w:rsidRPr="0059270C">
        <w:rPr>
          <w:rFonts w:ascii="Arial" w:hAnsi="Arial" w:cs="Arial"/>
          <w:sz w:val="20"/>
          <w:szCs w:val="20"/>
        </w:rPr>
        <w:t>Mechanized designs such as (Dabang), (Pachubandar), and (Sajachi) dolnets showed higher global warming potential and resource use, mainly due to greater fuel consumption and heavier synthetic net materials. In contrast, Bokshi and Mosquito dolnets operate with lower fuel inputs and smaller gear volumes, resulting in comparatively reduced environmental impacts. Similar patterns linking operational intensity with carbon emissions have been reported in small scale fisheries globally (</w:t>
      </w:r>
      <w:r w:rsidRPr="0059270C">
        <w:rPr>
          <w:rFonts w:ascii="Arial" w:hAnsi="Arial" w:cs="Arial"/>
          <w:sz w:val="20"/>
          <w:szCs w:val="20"/>
          <w:lang w:val="en-US"/>
        </w:rPr>
        <w:t>Drakeford et al., 2023</w:t>
      </w:r>
      <w:r w:rsidRPr="0059270C">
        <w:rPr>
          <w:rFonts w:ascii="Arial" w:hAnsi="Arial" w:cs="Arial"/>
          <w:sz w:val="20"/>
          <w:szCs w:val="20"/>
        </w:rPr>
        <w:t>; Parker et al., 2015). These findings highlight the importance of improving fuel efficiency and optimizing gear design to support low-carbon fishing practices. Promoting lighter materials, selective net configurations, and energy-efficient vessel operations could help reduce emissions, contributing to sustainable fisheries management aligned with SDG 14.</w:t>
      </w:r>
    </w:p>
    <w:p w14:paraId="64185A7C" w14:textId="68571111" w:rsidR="00767F3B" w:rsidRPr="0062723C" w:rsidRDefault="00ED4BD1" w:rsidP="0062723C">
      <w:pPr>
        <w:spacing w:line="480" w:lineRule="auto"/>
        <w:ind w:right="649" w:firstLine="720"/>
        <w:jc w:val="both"/>
        <w:rPr>
          <w:rFonts w:ascii="Arial" w:hAnsi="Arial" w:cs="Arial"/>
          <w:sz w:val="20"/>
          <w:szCs w:val="20"/>
          <w:lang w:val="en-US"/>
        </w:rPr>
      </w:pPr>
      <w:r w:rsidRPr="0059270C">
        <w:rPr>
          <w:rFonts w:ascii="Arial" w:hAnsi="Arial" w:cs="Arial"/>
          <w:sz w:val="20"/>
          <w:szCs w:val="20"/>
        </w:rPr>
        <w:t xml:space="preserve">The variation in sustainability among dolnet designs is closely linked to differences in fuel use, operational distance, and gear construction. Smaller designs such as Mosquito and Bokshi generally operate in nearshore waters and require lower fuel inputs per fishing trip which results in reduced greenhouse gas emissions relative to larger mechanized systems. </w:t>
      </w:r>
      <w:proofErr w:type="spellStart"/>
      <w:r w:rsidRPr="0059270C">
        <w:rPr>
          <w:rFonts w:ascii="Arial" w:hAnsi="Arial" w:cs="Arial"/>
          <w:sz w:val="20"/>
          <w:szCs w:val="20"/>
        </w:rPr>
        <w:t>Tyedmers</w:t>
      </w:r>
      <w:proofErr w:type="spellEnd"/>
      <w:r w:rsidRPr="0059270C">
        <w:rPr>
          <w:rFonts w:ascii="Arial" w:hAnsi="Arial" w:cs="Arial"/>
          <w:sz w:val="20"/>
          <w:szCs w:val="20"/>
        </w:rPr>
        <w:t xml:space="preserve"> et al. (2005) emphasized that fuel consumption is one of the primary contributors to the overall environmental impact of marine fisheries, as it directly influences greenhouse gas emissions.</w:t>
      </w:r>
      <w:r w:rsidR="00492FA3" w:rsidRPr="0059270C">
        <w:rPr>
          <w:rFonts w:ascii="Arial" w:hAnsi="Arial" w:cs="Arial"/>
          <w:sz w:val="20"/>
          <w:szCs w:val="20"/>
        </w:rPr>
        <w:t xml:space="preserve"> In contrast, larger mechanized dolnets like Dabang and Pachubandar function in distant offshore areas, utilize heavier net materials, and involve extended fishing durations, all of which contribute to a higher carbon footprint. Additionally, the reliance on synthetic fibres contributes to embodied emissions due to energy intensive manufacturing processes (Ziegler et al., 2016). </w:t>
      </w:r>
    </w:p>
    <w:p w14:paraId="650CB580" w14:textId="6619D600" w:rsidR="00492FA3" w:rsidRPr="0059270C" w:rsidRDefault="00492FA3" w:rsidP="00B93836">
      <w:pPr>
        <w:spacing w:line="480" w:lineRule="auto"/>
        <w:jc w:val="both"/>
        <w:rPr>
          <w:rFonts w:ascii="Arial" w:hAnsi="Arial" w:cs="Arial"/>
          <w:b/>
          <w:bCs/>
          <w:sz w:val="18"/>
          <w:szCs w:val="18"/>
          <w:u w:val="single"/>
          <w:lang w:val="en-US"/>
        </w:rPr>
      </w:pPr>
      <w:r w:rsidRPr="0059270C">
        <w:rPr>
          <w:rFonts w:ascii="Arial" w:hAnsi="Arial" w:cs="Arial"/>
          <w:b/>
          <w:bCs/>
          <w:sz w:val="18"/>
          <w:szCs w:val="18"/>
          <w:u w:val="single"/>
          <w:lang w:val="en-US"/>
        </w:rPr>
        <w:lastRenderedPageBreak/>
        <w:t>3.7 Statistical and sensitivity evaluation</w:t>
      </w:r>
    </w:p>
    <w:p w14:paraId="09262B91" w14:textId="77777777" w:rsidR="002805AB" w:rsidRDefault="002805AB" w:rsidP="002444E7">
      <w:pPr>
        <w:spacing w:line="480" w:lineRule="auto"/>
        <w:ind w:right="649" w:firstLine="720"/>
        <w:jc w:val="both"/>
        <w:rPr>
          <w:rFonts w:ascii="Arial" w:hAnsi="Arial" w:cs="Arial"/>
          <w:sz w:val="20"/>
          <w:szCs w:val="20"/>
        </w:rPr>
      </w:pPr>
      <w:r w:rsidRPr="002805AB">
        <w:rPr>
          <w:rFonts w:ascii="Arial" w:hAnsi="Arial" w:cs="Arial"/>
          <w:sz w:val="20"/>
          <w:szCs w:val="20"/>
        </w:rPr>
        <w:t>Monte Carlo simulations (n = 1,000) indicated an uncertainty range of approximately ±8.5 percent in Global Warming Potential estimates across dolnet designs. Sensitivity analysis revealed that a 10 percent increase in fuel consumption resulted in a 7 to 9 percent rise in total GWP, while substitution of 15 percent virgin HDPE with recycled polymer reduced emissions by approximately 10 to 12 percent. The results confirm that fuel consumption and polymer material intensity are the dominant drivers of environmental impacts in dolnet fisheries.</w:t>
      </w:r>
    </w:p>
    <w:p w14:paraId="1226EAA9" w14:textId="0AC1027F" w:rsidR="00492FA3" w:rsidRPr="0059270C" w:rsidRDefault="00492FA3" w:rsidP="002444E7">
      <w:pPr>
        <w:spacing w:line="480" w:lineRule="auto"/>
        <w:ind w:right="649" w:firstLine="720"/>
        <w:jc w:val="both"/>
        <w:rPr>
          <w:rFonts w:ascii="Arial" w:hAnsi="Arial" w:cs="Arial"/>
          <w:noProof/>
          <w:sz w:val="20"/>
          <w:szCs w:val="20"/>
          <w:lang w:val="en-US"/>
        </w:rPr>
      </w:pPr>
      <w:r w:rsidRPr="0059270C">
        <w:rPr>
          <w:rFonts w:ascii="Arial" w:hAnsi="Arial" w:cs="Arial"/>
          <w:sz w:val="20"/>
          <w:szCs w:val="20"/>
          <w:lang w:val="en-US"/>
        </w:rPr>
        <w:t>Parameters such as fuel use, mesh type and vessel size exhibit strong influence across multiple impact categories notably fossil fuel depletion and marine ecotoxicity. The results suggest that improving fuel efficiency and adopting sustainable mesh materials can significantly lower environmental burdens, supporting the transition toward eco-efficient and low carbon dolnet fisheries in line with SDG 14 (</w:t>
      </w:r>
      <w:proofErr w:type="spellStart"/>
      <w:r w:rsidRPr="0059270C">
        <w:rPr>
          <w:rFonts w:ascii="Arial" w:hAnsi="Arial" w:cs="Arial"/>
          <w:sz w:val="20"/>
          <w:szCs w:val="20"/>
          <w:lang w:val="en-US"/>
        </w:rPr>
        <w:t>Bastardie</w:t>
      </w:r>
      <w:proofErr w:type="spellEnd"/>
      <w:r w:rsidRPr="0059270C">
        <w:rPr>
          <w:rFonts w:ascii="Arial" w:hAnsi="Arial" w:cs="Arial"/>
          <w:sz w:val="20"/>
          <w:szCs w:val="20"/>
          <w:lang w:val="en-US"/>
        </w:rPr>
        <w:t xml:space="preserve"> </w:t>
      </w:r>
      <w:r w:rsidRPr="0059270C">
        <w:rPr>
          <w:rFonts w:ascii="Arial" w:hAnsi="Arial" w:cs="Arial"/>
          <w:noProof/>
          <w:sz w:val="20"/>
          <w:szCs w:val="20"/>
          <w:lang w:val="en-US"/>
        </w:rPr>
        <w:t xml:space="preserve">The statistical analysis shows clear differences in environmental performance among the seven dolnet designs (Fig </w:t>
      </w:r>
      <w:r w:rsidR="0062723C">
        <w:rPr>
          <w:rFonts w:ascii="Arial" w:hAnsi="Arial" w:cs="Arial"/>
          <w:noProof/>
          <w:sz w:val="20"/>
          <w:szCs w:val="20"/>
          <w:lang w:val="en-US"/>
        </w:rPr>
        <w:t>7</w:t>
      </w:r>
      <w:r w:rsidRPr="0059270C">
        <w:rPr>
          <w:rFonts w:ascii="Arial" w:hAnsi="Arial" w:cs="Arial"/>
          <w:noProof/>
          <w:sz w:val="20"/>
          <w:szCs w:val="20"/>
          <w:lang w:val="en-US"/>
        </w:rPr>
        <w:t xml:space="preserve">) . The Monte Carlo uncertainty range (±8.5%) suggests that the estimates are reliable and not highly sensitive to data variability. This aligns with global assessments showing that fuel combustion is the most influential factor determining carbon footprints in marine fisheries (Parker et al., 2015). Previous analyses in gear production similarly show that recycled polymers can reduce life cycle impacts without compromising mechanical performance (Zhao et al., 2022). </w:t>
      </w:r>
    </w:p>
    <w:p w14:paraId="4364F803" w14:textId="394CC1DB" w:rsidR="00875729" w:rsidRDefault="00875729" w:rsidP="00B93836">
      <w:pPr>
        <w:spacing w:line="480" w:lineRule="auto"/>
        <w:jc w:val="both"/>
        <w:rPr>
          <w:rFonts w:ascii="Arial" w:hAnsi="Arial" w:cs="Arial"/>
          <w:b/>
          <w:bCs/>
          <w:sz w:val="20"/>
          <w:szCs w:val="20"/>
          <w:u w:val="single"/>
          <w:lang w:val="en-US"/>
        </w:rPr>
      </w:pPr>
      <w:r w:rsidRPr="0059270C">
        <w:rPr>
          <w:rFonts w:ascii="Times New Roman" w:hAnsi="Times New Roman" w:cs="Times New Roman"/>
          <w:noProof/>
          <w:sz w:val="24"/>
          <w:szCs w:val="24"/>
          <w:lang w:val="en-US"/>
        </w:rPr>
        <w:drawing>
          <wp:anchor distT="0" distB="0" distL="114300" distR="114300" simplePos="0" relativeHeight="251702272" behindDoc="0" locked="0" layoutInCell="1" allowOverlap="1" wp14:anchorId="1F366F3A" wp14:editId="3A4A42E5">
            <wp:simplePos x="0" y="0"/>
            <wp:positionH relativeFrom="page">
              <wp:posOffset>1270635</wp:posOffset>
            </wp:positionH>
            <wp:positionV relativeFrom="paragraph">
              <wp:posOffset>26223</wp:posOffset>
            </wp:positionV>
            <wp:extent cx="5266437" cy="3037188"/>
            <wp:effectExtent l="19050" t="19050" r="10795" b="11430"/>
            <wp:wrapNone/>
            <wp:docPr id="11618234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091"/>
                    <a:stretch>
                      <a:fillRect/>
                    </a:stretch>
                  </pic:blipFill>
                  <pic:spPr bwMode="auto">
                    <a:xfrm>
                      <a:off x="0" y="0"/>
                      <a:ext cx="5266437" cy="303718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0A689D" w14:textId="0E32434E" w:rsidR="00875729" w:rsidRDefault="00875729" w:rsidP="00B93836">
      <w:pPr>
        <w:spacing w:line="480" w:lineRule="auto"/>
        <w:jc w:val="both"/>
        <w:rPr>
          <w:rFonts w:ascii="Arial" w:hAnsi="Arial" w:cs="Arial"/>
          <w:b/>
          <w:bCs/>
          <w:sz w:val="20"/>
          <w:szCs w:val="20"/>
          <w:u w:val="single"/>
          <w:lang w:val="en-US"/>
        </w:rPr>
      </w:pPr>
    </w:p>
    <w:p w14:paraId="55E09995" w14:textId="41C2C80A" w:rsidR="00875729" w:rsidRDefault="00875729" w:rsidP="00B93836">
      <w:pPr>
        <w:spacing w:line="480" w:lineRule="auto"/>
        <w:jc w:val="both"/>
        <w:rPr>
          <w:rFonts w:ascii="Arial" w:hAnsi="Arial" w:cs="Arial"/>
          <w:b/>
          <w:bCs/>
          <w:sz w:val="20"/>
          <w:szCs w:val="20"/>
          <w:u w:val="single"/>
          <w:lang w:val="en-US"/>
        </w:rPr>
      </w:pPr>
    </w:p>
    <w:p w14:paraId="4B28EF7D" w14:textId="77777777" w:rsidR="00875729" w:rsidRDefault="00875729" w:rsidP="00B93836">
      <w:pPr>
        <w:spacing w:line="480" w:lineRule="auto"/>
        <w:jc w:val="both"/>
        <w:rPr>
          <w:rFonts w:ascii="Arial" w:hAnsi="Arial" w:cs="Arial"/>
          <w:b/>
          <w:bCs/>
          <w:sz w:val="20"/>
          <w:szCs w:val="20"/>
          <w:u w:val="single"/>
          <w:lang w:val="en-US"/>
        </w:rPr>
      </w:pPr>
    </w:p>
    <w:p w14:paraId="61977A48" w14:textId="77777777" w:rsidR="00875729" w:rsidRDefault="00875729" w:rsidP="00B93836">
      <w:pPr>
        <w:spacing w:line="480" w:lineRule="auto"/>
        <w:jc w:val="both"/>
        <w:rPr>
          <w:rFonts w:ascii="Arial" w:hAnsi="Arial" w:cs="Arial"/>
          <w:b/>
          <w:bCs/>
          <w:sz w:val="20"/>
          <w:szCs w:val="20"/>
          <w:u w:val="single"/>
          <w:lang w:val="en-US"/>
        </w:rPr>
      </w:pPr>
    </w:p>
    <w:p w14:paraId="448B2609" w14:textId="77777777" w:rsidR="00875729" w:rsidRDefault="00875729" w:rsidP="00B93836">
      <w:pPr>
        <w:spacing w:line="480" w:lineRule="auto"/>
        <w:jc w:val="both"/>
        <w:rPr>
          <w:rFonts w:ascii="Arial" w:hAnsi="Arial" w:cs="Arial"/>
          <w:b/>
          <w:bCs/>
          <w:sz w:val="20"/>
          <w:szCs w:val="20"/>
          <w:u w:val="single"/>
          <w:lang w:val="en-US"/>
        </w:rPr>
      </w:pPr>
    </w:p>
    <w:p w14:paraId="26E55196" w14:textId="77777777" w:rsidR="00875729" w:rsidRDefault="00875729" w:rsidP="00B93836">
      <w:pPr>
        <w:spacing w:line="480" w:lineRule="auto"/>
        <w:jc w:val="both"/>
        <w:rPr>
          <w:rFonts w:ascii="Arial" w:hAnsi="Arial" w:cs="Arial"/>
          <w:b/>
          <w:bCs/>
          <w:sz w:val="20"/>
          <w:szCs w:val="20"/>
          <w:u w:val="single"/>
          <w:lang w:val="en-US"/>
        </w:rPr>
      </w:pPr>
    </w:p>
    <w:p w14:paraId="75B6DF59" w14:textId="77777777" w:rsidR="00875729" w:rsidRDefault="00875729" w:rsidP="00B93836">
      <w:pPr>
        <w:spacing w:line="480" w:lineRule="auto"/>
        <w:jc w:val="both"/>
        <w:rPr>
          <w:rFonts w:ascii="Arial" w:hAnsi="Arial" w:cs="Arial"/>
          <w:b/>
          <w:bCs/>
          <w:sz w:val="20"/>
          <w:szCs w:val="20"/>
          <w:u w:val="single"/>
          <w:lang w:val="en-US"/>
        </w:rPr>
      </w:pPr>
    </w:p>
    <w:p w14:paraId="01939891" w14:textId="0945C43E" w:rsidR="00875729" w:rsidRDefault="00875729" w:rsidP="00B93836">
      <w:pPr>
        <w:spacing w:line="480" w:lineRule="auto"/>
        <w:jc w:val="both"/>
        <w:rPr>
          <w:rFonts w:ascii="Arial" w:hAnsi="Arial" w:cs="Arial"/>
          <w:b/>
          <w:bCs/>
          <w:sz w:val="20"/>
          <w:szCs w:val="20"/>
          <w:u w:val="single"/>
          <w:lang w:val="en-US"/>
        </w:rPr>
      </w:pPr>
      <w:r>
        <w:rPr>
          <w:rFonts w:ascii="Arial" w:hAnsi="Arial" w:cs="Arial"/>
          <w:b/>
          <w:bCs/>
          <w:sz w:val="20"/>
          <w:szCs w:val="20"/>
        </w:rPr>
        <w:t xml:space="preserve">                   </w:t>
      </w:r>
      <w:r w:rsidRPr="0059270C">
        <w:rPr>
          <w:rFonts w:ascii="Arial" w:hAnsi="Arial" w:cs="Arial"/>
          <w:b/>
          <w:bCs/>
          <w:sz w:val="20"/>
          <w:szCs w:val="20"/>
        </w:rPr>
        <w:t>Figure 7</w:t>
      </w:r>
      <w:r w:rsidRPr="0059270C">
        <w:rPr>
          <w:rFonts w:ascii="Arial" w:hAnsi="Arial" w:cs="Arial"/>
          <w:sz w:val="20"/>
          <w:szCs w:val="20"/>
        </w:rPr>
        <w:t>. Comparative sustainability index of dolnet designs (High vs. Low Impact)</w:t>
      </w:r>
    </w:p>
    <w:p w14:paraId="2CE5B80D" w14:textId="77777777" w:rsidR="00875729" w:rsidRDefault="00875729" w:rsidP="00B93836">
      <w:pPr>
        <w:spacing w:line="480" w:lineRule="auto"/>
        <w:jc w:val="both"/>
        <w:rPr>
          <w:rFonts w:ascii="Arial" w:hAnsi="Arial" w:cs="Arial"/>
          <w:b/>
          <w:bCs/>
          <w:sz w:val="20"/>
          <w:szCs w:val="20"/>
          <w:u w:val="single"/>
          <w:lang w:val="en-US"/>
        </w:rPr>
      </w:pPr>
    </w:p>
    <w:p w14:paraId="7A04FD54" w14:textId="6259DFA5" w:rsidR="00492FA3" w:rsidRPr="0059270C" w:rsidRDefault="00492FA3" w:rsidP="00B93836">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lastRenderedPageBreak/>
        <w:t>3.8 Environmental impact hierarchy and design-performance relationships</w:t>
      </w:r>
    </w:p>
    <w:p w14:paraId="7320CA93" w14:textId="77777777" w:rsidR="00B24B93" w:rsidRDefault="004F3043" w:rsidP="002444E7">
      <w:pPr>
        <w:spacing w:line="480" w:lineRule="auto"/>
        <w:ind w:right="739" w:firstLine="720"/>
        <w:jc w:val="both"/>
        <w:rPr>
          <w:rFonts w:ascii="Arial" w:hAnsi="Arial" w:cs="Arial"/>
          <w:sz w:val="20"/>
          <w:szCs w:val="20"/>
        </w:rPr>
      </w:pPr>
      <w:r w:rsidRPr="0059270C">
        <w:rPr>
          <w:rFonts w:ascii="Arial" w:hAnsi="Arial" w:cs="Arial"/>
          <w:sz w:val="20"/>
          <w:szCs w:val="20"/>
        </w:rPr>
        <w:t>The wide variation in Global Warming Potential among dolnet designs highlights the central role of gear configuration and operational scale in determining environmental impact. Carbon footprints ranged from 311.86 kg CO</w:t>
      </w:r>
      <w:r w:rsidRPr="0059270C">
        <w:rPr>
          <w:rFonts w:ascii="Cambria Math" w:hAnsi="Cambria Math" w:cs="Cambria Math"/>
          <w:sz w:val="20"/>
          <w:szCs w:val="20"/>
        </w:rPr>
        <w:t>₂</w:t>
      </w:r>
      <w:r w:rsidRPr="0059270C">
        <w:rPr>
          <w:rFonts w:ascii="Arial" w:hAnsi="Arial" w:cs="Arial"/>
          <w:sz w:val="20"/>
          <w:szCs w:val="20"/>
        </w:rPr>
        <w:t xml:space="preserve"> </w:t>
      </w:r>
      <w:proofErr w:type="spellStart"/>
      <w:r w:rsidRPr="0059270C">
        <w:rPr>
          <w:rFonts w:ascii="Arial" w:hAnsi="Arial" w:cs="Arial"/>
          <w:sz w:val="20"/>
          <w:szCs w:val="20"/>
        </w:rPr>
        <w:t>eq</w:t>
      </w:r>
      <w:proofErr w:type="spellEnd"/>
      <w:r w:rsidRPr="0059270C">
        <w:rPr>
          <w:rFonts w:ascii="Arial" w:hAnsi="Arial" w:cs="Arial"/>
          <w:sz w:val="20"/>
          <w:szCs w:val="20"/>
        </w:rPr>
        <w:t xml:space="preserve"> for Mosquito </w:t>
      </w:r>
      <w:proofErr w:type="spellStart"/>
      <w:r w:rsidRPr="0059270C">
        <w:rPr>
          <w:rFonts w:ascii="Arial" w:hAnsi="Arial" w:cs="Arial"/>
          <w:sz w:val="20"/>
          <w:szCs w:val="20"/>
        </w:rPr>
        <w:t>dolnets</w:t>
      </w:r>
      <w:proofErr w:type="spellEnd"/>
      <w:r w:rsidRPr="0059270C">
        <w:rPr>
          <w:rFonts w:ascii="Arial" w:hAnsi="Arial" w:cs="Arial"/>
          <w:sz w:val="20"/>
          <w:szCs w:val="20"/>
        </w:rPr>
        <w:t xml:space="preserve"> to 1,060.81 kg CO</w:t>
      </w:r>
      <w:r w:rsidRPr="0059270C">
        <w:rPr>
          <w:rFonts w:ascii="Cambria Math" w:hAnsi="Cambria Math" w:cs="Cambria Math"/>
          <w:sz w:val="20"/>
          <w:szCs w:val="20"/>
        </w:rPr>
        <w:t>₂</w:t>
      </w:r>
      <w:r w:rsidRPr="0059270C">
        <w:rPr>
          <w:rFonts w:ascii="Arial" w:hAnsi="Arial" w:cs="Arial"/>
          <w:sz w:val="20"/>
          <w:szCs w:val="20"/>
        </w:rPr>
        <w:t xml:space="preserve"> </w:t>
      </w:r>
      <w:proofErr w:type="spellStart"/>
      <w:r w:rsidRPr="0059270C">
        <w:rPr>
          <w:rFonts w:ascii="Arial" w:hAnsi="Arial" w:cs="Arial"/>
          <w:sz w:val="20"/>
          <w:szCs w:val="20"/>
        </w:rPr>
        <w:t>eq</w:t>
      </w:r>
      <w:proofErr w:type="spellEnd"/>
      <w:r w:rsidRPr="0059270C">
        <w:rPr>
          <w:rFonts w:ascii="Arial" w:hAnsi="Arial" w:cs="Arial"/>
          <w:sz w:val="20"/>
          <w:szCs w:val="20"/>
        </w:rPr>
        <w:t xml:space="preserve"> for </w:t>
      </w:r>
      <w:proofErr w:type="spellStart"/>
      <w:r w:rsidRPr="0059270C">
        <w:rPr>
          <w:rFonts w:ascii="Arial" w:hAnsi="Arial" w:cs="Arial"/>
          <w:sz w:val="20"/>
          <w:szCs w:val="20"/>
        </w:rPr>
        <w:t>Dabang</w:t>
      </w:r>
      <w:proofErr w:type="spellEnd"/>
      <w:r w:rsidRPr="0059270C">
        <w:rPr>
          <w:rFonts w:ascii="Arial" w:hAnsi="Arial" w:cs="Arial"/>
          <w:sz w:val="20"/>
          <w:szCs w:val="20"/>
        </w:rPr>
        <w:t xml:space="preserve"> </w:t>
      </w:r>
      <w:proofErr w:type="spellStart"/>
      <w:r w:rsidRPr="0059270C">
        <w:rPr>
          <w:rFonts w:ascii="Arial" w:hAnsi="Arial" w:cs="Arial"/>
          <w:sz w:val="20"/>
          <w:szCs w:val="20"/>
        </w:rPr>
        <w:t>dolnets</w:t>
      </w:r>
      <w:proofErr w:type="spellEnd"/>
      <w:r w:rsidRPr="0059270C">
        <w:rPr>
          <w:rFonts w:ascii="Arial" w:hAnsi="Arial" w:cs="Arial"/>
          <w:sz w:val="20"/>
          <w:szCs w:val="20"/>
        </w:rPr>
        <w:t>, indicating more than a threefold difference driven by material intensity and fuel use. Most dolnets rely on energy-intensive synthetic polymers such as HDPE and nylon, whose production contributes substantially to life-cycle emissions, particularly in larger designs (Abdou et al., 2017). Consequently, heavier dolnets such as Dabang and Pachubandar exhibited higher GWP, whereas lighter variants like Bokshi and Mosquito performed better environmentally (Schneider et al., 2023). Fuel consumption during fishing operations remained the dominant contributor to impacts, followed by gear material manufacture and disposal. Eco-efficient designs with improved hydrodynamics can reduce fuel use by up to 20% (Nath et al., 2021), while adoption of lighter materials, alternative fuels, and recyclable or biodegradable netting can further lower emissions (Lee and Lee, 2010; Parker, 2016).</w:t>
      </w:r>
    </w:p>
    <w:p w14:paraId="2359151C" w14:textId="745B7191" w:rsidR="00C43ACB" w:rsidRPr="0059270C" w:rsidRDefault="009378C7" w:rsidP="002444E7">
      <w:pPr>
        <w:spacing w:line="480" w:lineRule="auto"/>
        <w:ind w:right="739" w:firstLine="720"/>
        <w:jc w:val="both"/>
        <w:rPr>
          <w:rFonts w:ascii="Arial" w:hAnsi="Arial" w:cs="Arial"/>
          <w:sz w:val="20"/>
          <w:szCs w:val="20"/>
          <w:lang w:val="en-US"/>
        </w:rPr>
      </w:pPr>
      <w:r>
        <w:rPr>
          <w:rFonts w:ascii="Arial" w:hAnsi="Arial" w:cs="Arial"/>
          <w:sz w:val="20"/>
          <w:szCs w:val="20"/>
        </w:rPr>
        <w:t>Figure 8 indicate</w:t>
      </w:r>
      <w:r w:rsidR="004F3043" w:rsidRPr="0059270C">
        <w:rPr>
          <w:rFonts w:ascii="Arial" w:hAnsi="Arial" w:cs="Arial"/>
          <w:sz w:val="20"/>
          <w:szCs w:val="20"/>
        </w:rPr>
        <w:t xml:space="preserve"> </w:t>
      </w:r>
      <w:r w:rsidRPr="009378C7">
        <w:rPr>
          <w:rFonts w:ascii="Arial" w:hAnsi="Arial" w:cs="Arial"/>
          <w:sz w:val="20"/>
          <w:szCs w:val="20"/>
        </w:rPr>
        <w:t>Sensitivity coefficients (0–1 scale) indicate the relative influence of each parameter. Fuel use consistently shows high influence across most categories, particularly GWP and fossil fuel depletion, confirming its dominant role in environmental performance. Mesh type and net material strongly affect marine ecotoxicity, acidification, and eutrophication, reflecting the importance of material selection in impact generation. Vessel size and engine efficiency moderately influence fossil fuel depletion and human toxicity, while trip duration significantly contributes to GWP and eutrophication. Depth of operation shows comparatively lower sensitivity across most categories. Overall, the analysis highlights that fuel consumption, gear material, and mesh configuration are the most critical variables determining environmental impacts in dolnet fisheries.</w:t>
      </w:r>
      <w:r>
        <w:rPr>
          <w:rFonts w:ascii="Arial" w:hAnsi="Arial" w:cs="Arial"/>
          <w:sz w:val="20"/>
          <w:szCs w:val="20"/>
        </w:rPr>
        <w:t xml:space="preserve"> </w:t>
      </w:r>
      <w:r w:rsidR="004F3043" w:rsidRPr="0059270C">
        <w:rPr>
          <w:rFonts w:ascii="Arial" w:hAnsi="Arial" w:cs="Arial"/>
          <w:sz w:val="20"/>
          <w:szCs w:val="20"/>
        </w:rPr>
        <w:t>Sensitivity analysis confirmed that fuel type, mesh material, and vessel size strongly influence environmental outcomes, underscoring the need for comprehensive LCA of larger, fuel-intensive vessels to inform mitigation strategies (</w:t>
      </w:r>
      <w:proofErr w:type="spellStart"/>
      <w:r w:rsidR="004F3043" w:rsidRPr="0059270C">
        <w:rPr>
          <w:rFonts w:ascii="Arial" w:hAnsi="Arial" w:cs="Arial"/>
          <w:sz w:val="20"/>
          <w:szCs w:val="20"/>
        </w:rPr>
        <w:t>Bastardie</w:t>
      </w:r>
      <w:proofErr w:type="spellEnd"/>
      <w:r w:rsidR="004F3043" w:rsidRPr="0059270C">
        <w:rPr>
          <w:rFonts w:ascii="Arial" w:hAnsi="Arial" w:cs="Arial"/>
          <w:sz w:val="20"/>
          <w:szCs w:val="20"/>
        </w:rPr>
        <w:t xml:space="preserve"> et al., 2022; Das and Edwin, 2016; Ziegler et al., 2016). Integrating these insights into fisheries policy can support a transition toward low-carbon, circular dolnet fisheries aligned with Sustainable Development Goal 14 (Gephart et al., 2021).</w:t>
      </w:r>
    </w:p>
    <w:p w14:paraId="4B3230C9" w14:textId="6A563F08" w:rsidR="00C43ACB" w:rsidRPr="0059270C" w:rsidRDefault="00C43ACB" w:rsidP="00B93836">
      <w:pPr>
        <w:spacing w:line="480" w:lineRule="auto"/>
        <w:jc w:val="both"/>
        <w:rPr>
          <w:rFonts w:ascii="Arial" w:hAnsi="Arial" w:cs="Arial"/>
          <w:sz w:val="20"/>
          <w:szCs w:val="20"/>
          <w:lang w:val="en-US"/>
        </w:rPr>
      </w:pPr>
    </w:p>
    <w:p w14:paraId="109B88AF" w14:textId="432DACA7" w:rsidR="00C43ACB" w:rsidRPr="0059270C" w:rsidRDefault="00C43ACB" w:rsidP="00B93836">
      <w:pPr>
        <w:spacing w:line="480" w:lineRule="auto"/>
        <w:jc w:val="both"/>
        <w:rPr>
          <w:rFonts w:ascii="Arial" w:hAnsi="Arial" w:cs="Arial"/>
          <w:b/>
          <w:bCs/>
          <w:sz w:val="20"/>
          <w:szCs w:val="20"/>
          <w:u w:val="single"/>
          <w:lang w:val="en-US"/>
        </w:rPr>
      </w:pPr>
    </w:p>
    <w:p w14:paraId="1D52EC87" w14:textId="1870D9A5" w:rsidR="002F7EE4" w:rsidRPr="0059270C" w:rsidRDefault="002F7EE4" w:rsidP="00B93836">
      <w:pPr>
        <w:suppressLineNumbers/>
        <w:spacing w:line="480" w:lineRule="auto"/>
        <w:ind w:firstLine="720"/>
        <w:jc w:val="both"/>
        <w:rPr>
          <w:rFonts w:ascii="Arial" w:hAnsi="Arial" w:cs="Arial"/>
          <w:lang w:val="en-US"/>
        </w:rPr>
      </w:pPr>
    </w:p>
    <w:p w14:paraId="2B0AA145" w14:textId="738C8332" w:rsidR="002F7EE4" w:rsidRPr="0059270C" w:rsidRDefault="002F7EE4" w:rsidP="00B93836">
      <w:pPr>
        <w:suppressLineNumbers/>
        <w:spacing w:line="480" w:lineRule="auto"/>
        <w:ind w:firstLine="720"/>
        <w:jc w:val="both"/>
        <w:rPr>
          <w:rFonts w:ascii="Arial" w:hAnsi="Arial" w:cs="Arial"/>
          <w:lang w:val="en-US"/>
        </w:rPr>
      </w:pPr>
    </w:p>
    <w:p w14:paraId="24CC67A8" w14:textId="09BD1391" w:rsidR="002F7EE4" w:rsidRPr="0059270C" w:rsidRDefault="009B2E24" w:rsidP="00B93836">
      <w:pPr>
        <w:suppressLineNumbers/>
        <w:spacing w:line="480" w:lineRule="auto"/>
        <w:ind w:firstLine="720"/>
        <w:jc w:val="both"/>
        <w:rPr>
          <w:rFonts w:ascii="Arial" w:hAnsi="Arial" w:cs="Arial"/>
          <w:lang w:val="en-US"/>
        </w:rPr>
      </w:pPr>
      <w:r w:rsidRPr="0059270C">
        <w:rPr>
          <w:rFonts w:ascii="Times New Roman" w:hAnsi="Times New Roman" w:cs="Times New Roman"/>
          <w:noProof/>
          <w:sz w:val="24"/>
          <w:szCs w:val="24"/>
          <w:lang w:val="en-US"/>
        </w:rPr>
        <w:drawing>
          <wp:anchor distT="0" distB="0" distL="114300" distR="114300" simplePos="0" relativeHeight="251704320" behindDoc="0" locked="0" layoutInCell="1" allowOverlap="1" wp14:anchorId="45F18B4B" wp14:editId="4EF911DE">
            <wp:simplePos x="0" y="0"/>
            <wp:positionH relativeFrom="page">
              <wp:posOffset>1636549</wp:posOffset>
            </wp:positionH>
            <wp:positionV relativeFrom="paragraph">
              <wp:posOffset>-230345</wp:posOffset>
            </wp:positionV>
            <wp:extent cx="4286291" cy="3282547"/>
            <wp:effectExtent l="19050" t="19050" r="19050" b="13335"/>
            <wp:wrapNone/>
            <wp:docPr id="1889561282" name="Picture 13" descr="A graph showing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61282" name="Picture 13" descr="A graph showing different colored bars&#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t="5393"/>
                    <a:stretch>
                      <a:fillRect/>
                    </a:stretch>
                  </pic:blipFill>
                  <pic:spPr bwMode="auto">
                    <a:xfrm>
                      <a:off x="0" y="0"/>
                      <a:ext cx="4294966" cy="328919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30A67" w14:textId="57933B3E" w:rsidR="002F7EE4" w:rsidRPr="0059270C" w:rsidRDefault="002F7EE4" w:rsidP="00B93836">
      <w:pPr>
        <w:suppressLineNumbers/>
        <w:spacing w:line="480" w:lineRule="auto"/>
        <w:ind w:firstLine="720"/>
        <w:jc w:val="both"/>
        <w:rPr>
          <w:rFonts w:ascii="Arial" w:hAnsi="Arial" w:cs="Arial"/>
          <w:lang w:val="en-US"/>
        </w:rPr>
      </w:pPr>
    </w:p>
    <w:p w14:paraId="16FC69A9" w14:textId="7D554A88" w:rsidR="002F7EE4" w:rsidRPr="0059270C" w:rsidRDefault="002F7EE4" w:rsidP="00B93836">
      <w:pPr>
        <w:suppressLineNumbers/>
        <w:spacing w:line="480" w:lineRule="auto"/>
        <w:ind w:firstLine="720"/>
        <w:jc w:val="both"/>
        <w:rPr>
          <w:rFonts w:ascii="Arial" w:hAnsi="Arial" w:cs="Arial"/>
          <w:lang w:val="en-US"/>
        </w:rPr>
      </w:pPr>
    </w:p>
    <w:p w14:paraId="58902929" w14:textId="77777777" w:rsidR="0062723C" w:rsidRDefault="0062723C" w:rsidP="00B24B93">
      <w:pPr>
        <w:suppressLineNumbers/>
        <w:spacing w:line="480" w:lineRule="auto"/>
        <w:rPr>
          <w:rFonts w:ascii="Arial" w:hAnsi="Arial" w:cs="Arial"/>
          <w:lang w:val="en-US"/>
        </w:rPr>
      </w:pPr>
    </w:p>
    <w:p w14:paraId="4B85C5B0" w14:textId="77777777" w:rsidR="00B24B93" w:rsidRDefault="00B24B93" w:rsidP="00B24B93">
      <w:pPr>
        <w:suppressLineNumbers/>
        <w:spacing w:line="480" w:lineRule="auto"/>
        <w:rPr>
          <w:rFonts w:ascii="Arial" w:hAnsi="Arial" w:cs="Arial"/>
          <w:b/>
          <w:bCs/>
          <w:sz w:val="20"/>
          <w:szCs w:val="20"/>
        </w:rPr>
      </w:pPr>
    </w:p>
    <w:p w14:paraId="7B623A1A" w14:textId="77777777" w:rsidR="009B2E24" w:rsidRDefault="009378C7" w:rsidP="009378C7">
      <w:pPr>
        <w:suppressLineNumbers/>
        <w:spacing w:line="480" w:lineRule="auto"/>
        <w:ind w:firstLine="720"/>
        <w:rPr>
          <w:rFonts w:ascii="Arial" w:hAnsi="Arial" w:cs="Arial"/>
          <w:b/>
          <w:bCs/>
          <w:sz w:val="20"/>
          <w:szCs w:val="20"/>
        </w:rPr>
      </w:pPr>
      <w:r>
        <w:rPr>
          <w:rFonts w:ascii="Arial" w:hAnsi="Arial" w:cs="Arial"/>
          <w:b/>
          <w:bCs/>
          <w:sz w:val="20"/>
          <w:szCs w:val="20"/>
        </w:rPr>
        <w:t xml:space="preserve">     </w:t>
      </w:r>
    </w:p>
    <w:p w14:paraId="1D1E58A8" w14:textId="77777777" w:rsidR="009B2E24" w:rsidRDefault="009B2E24" w:rsidP="009378C7">
      <w:pPr>
        <w:suppressLineNumbers/>
        <w:spacing w:line="480" w:lineRule="auto"/>
        <w:ind w:firstLine="720"/>
        <w:rPr>
          <w:rFonts w:ascii="Arial" w:hAnsi="Arial" w:cs="Arial"/>
          <w:b/>
          <w:bCs/>
          <w:sz w:val="20"/>
          <w:szCs w:val="20"/>
        </w:rPr>
      </w:pPr>
    </w:p>
    <w:p w14:paraId="1B948B9D" w14:textId="77777777" w:rsidR="009B2E24" w:rsidRDefault="009B2E24" w:rsidP="009378C7">
      <w:pPr>
        <w:suppressLineNumbers/>
        <w:spacing w:line="480" w:lineRule="auto"/>
        <w:ind w:firstLine="720"/>
        <w:rPr>
          <w:rFonts w:ascii="Arial" w:hAnsi="Arial" w:cs="Arial"/>
          <w:b/>
          <w:bCs/>
          <w:sz w:val="20"/>
          <w:szCs w:val="20"/>
        </w:rPr>
      </w:pPr>
    </w:p>
    <w:p w14:paraId="09364169" w14:textId="2FAD048E" w:rsidR="0062723C" w:rsidRPr="0062723C" w:rsidRDefault="009378C7" w:rsidP="009378C7">
      <w:pPr>
        <w:suppressLineNumbers/>
        <w:spacing w:line="480" w:lineRule="auto"/>
        <w:ind w:firstLine="720"/>
        <w:rPr>
          <w:rFonts w:ascii="Arial" w:hAnsi="Arial" w:cs="Arial"/>
          <w:sz w:val="20"/>
          <w:szCs w:val="20"/>
        </w:rPr>
      </w:pPr>
      <w:r>
        <w:rPr>
          <w:rFonts w:ascii="Arial" w:hAnsi="Arial" w:cs="Arial"/>
          <w:b/>
          <w:bCs/>
          <w:sz w:val="20"/>
          <w:szCs w:val="20"/>
        </w:rPr>
        <w:t xml:space="preserve">    </w:t>
      </w:r>
      <w:r w:rsidR="002F7EE4" w:rsidRPr="0059270C">
        <w:rPr>
          <w:rFonts w:ascii="Arial" w:hAnsi="Arial" w:cs="Arial"/>
          <w:b/>
          <w:bCs/>
          <w:sz w:val="20"/>
          <w:szCs w:val="20"/>
        </w:rPr>
        <w:t>Figure 8</w:t>
      </w:r>
      <w:r w:rsidR="002F7EE4" w:rsidRPr="0059270C">
        <w:rPr>
          <w:rFonts w:ascii="Arial" w:hAnsi="Arial" w:cs="Arial"/>
          <w:sz w:val="20"/>
          <w:szCs w:val="20"/>
        </w:rPr>
        <w:t>. Sensitivity matrix of key variables influencing environmental impacts</w:t>
      </w:r>
    </w:p>
    <w:p w14:paraId="081CB479" w14:textId="2D494F8A" w:rsidR="00627B17" w:rsidRPr="0059270C" w:rsidRDefault="00636BE2" w:rsidP="00B93836">
      <w:pPr>
        <w:spacing w:line="480" w:lineRule="auto"/>
        <w:jc w:val="both"/>
        <w:rPr>
          <w:rFonts w:ascii="Arial" w:hAnsi="Arial" w:cs="Arial"/>
          <w:b/>
          <w:bCs/>
          <w:sz w:val="20"/>
          <w:szCs w:val="20"/>
          <w:u w:val="single"/>
          <w:lang w:val="en-US"/>
        </w:rPr>
      </w:pPr>
      <w:r w:rsidRPr="0059270C">
        <w:rPr>
          <w:rFonts w:ascii="Arial" w:hAnsi="Arial" w:cs="Arial"/>
          <w:b/>
          <w:bCs/>
          <w:sz w:val="20"/>
          <w:szCs w:val="20"/>
          <w:u w:val="single"/>
          <w:lang w:val="en-US"/>
        </w:rPr>
        <w:t>3.</w:t>
      </w:r>
      <w:r w:rsidR="00555DCB" w:rsidRPr="0059270C">
        <w:rPr>
          <w:rFonts w:ascii="Arial" w:hAnsi="Arial" w:cs="Arial"/>
          <w:b/>
          <w:bCs/>
          <w:sz w:val="20"/>
          <w:szCs w:val="20"/>
          <w:u w:val="single"/>
          <w:lang w:val="en-US"/>
        </w:rPr>
        <w:t>9</w:t>
      </w:r>
      <w:r w:rsidRPr="0059270C">
        <w:rPr>
          <w:rFonts w:ascii="Arial" w:hAnsi="Arial" w:cs="Arial"/>
          <w:b/>
          <w:bCs/>
          <w:sz w:val="20"/>
          <w:szCs w:val="20"/>
          <w:u w:val="single"/>
          <w:lang w:val="en-US"/>
        </w:rPr>
        <w:t xml:space="preserve"> </w:t>
      </w:r>
      <w:r w:rsidR="00961136" w:rsidRPr="0059270C">
        <w:rPr>
          <w:rFonts w:ascii="Arial" w:hAnsi="Arial" w:cs="Arial"/>
          <w:b/>
          <w:bCs/>
          <w:sz w:val="20"/>
          <w:szCs w:val="20"/>
          <w:u w:val="single"/>
        </w:rPr>
        <w:t xml:space="preserve">Sustainability strategies for </w:t>
      </w:r>
      <w:r w:rsidR="00B24B93" w:rsidRPr="0059270C">
        <w:rPr>
          <w:rFonts w:ascii="Arial" w:hAnsi="Arial" w:cs="Arial"/>
          <w:b/>
          <w:bCs/>
          <w:sz w:val="20"/>
          <w:szCs w:val="20"/>
          <w:u w:val="single"/>
        </w:rPr>
        <w:t>small and large-scale</w:t>
      </w:r>
      <w:r w:rsidR="00961136" w:rsidRPr="0059270C">
        <w:rPr>
          <w:rFonts w:ascii="Arial" w:hAnsi="Arial" w:cs="Arial"/>
          <w:b/>
          <w:bCs/>
          <w:sz w:val="20"/>
          <w:szCs w:val="20"/>
          <w:u w:val="single"/>
        </w:rPr>
        <w:t xml:space="preserve"> fisheries</w:t>
      </w:r>
    </w:p>
    <w:p w14:paraId="66244EC7" w14:textId="5E39FE21" w:rsidR="00636BE2" w:rsidRPr="0059270C" w:rsidRDefault="00636BE2" w:rsidP="002444E7">
      <w:pPr>
        <w:spacing w:line="480" w:lineRule="auto"/>
        <w:ind w:right="739" w:firstLine="720"/>
        <w:jc w:val="both"/>
        <w:rPr>
          <w:rFonts w:ascii="Arial" w:hAnsi="Arial" w:cs="Arial"/>
          <w:sz w:val="20"/>
          <w:szCs w:val="20"/>
          <w:lang w:val="en-US"/>
        </w:rPr>
      </w:pPr>
      <w:r w:rsidRPr="0059270C">
        <w:rPr>
          <w:rFonts w:ascii="Arial" w:hAnsi="Arial" w:cs="Arial"/>
          <w:sz w:val="20"/>
          <w:szCs w:val="20"/>
          <w:lang w:val="en-US"/>
        </w:rPr>
        <w:t xml:space="preserve">The relationship between fishing scale and fuel consumption underscores the need for tailored policies that support small-scale fisheries while regulating larger operations to ensure sustainability (Sala et al., 2022) (Parker &amp; </w:t>
      </w:r>
      <w:proofErr w:type="spellStart"/>
      <w:r w:rsidRPr="0059270C">
        <w:rPr>
          <w:rFonts w:ascii="Arial" w:hAnsi="Arial" w:cs="Arial"/>
          <w:sz w:val="20"/>
          <w:szCs w:val="20"/>
          <w:lang w:val="en-US"/>
        </w:rPr>
        <w:t>Tyedmers</w:t>
      </w:r>
      <w:proofErr w:type="spellEnd"/>
      <w:r w:rsidRPr="0059270C">
        <w:rPr>
          <w:rFonts w:ascii="Arial" w:hAnsi="Arial" w:cs="Arial"/>
          <w:sz w:val="20"/>
          <w:szCs w:val="20"/>
          <w:lang w:val="en-US"/>
        </w:rPr>
        <w:t>, 2015). By fostering practices that enhance energy efficiency and reduce overcapacity, we can create a more balanced approach to fisheries management that benefits both the environment and local communities (</w:t>
      </w:r>
      <w:proofErr w:type="spellStart"/>
      <w:r w:rsidRPr="0059270C">
        <w:rPr>
          <w:rFonts w:ascii="Arial" w:hAnsi="Arial" w:cs="Arial"/>
          <w:sz w:val="20"/>
          <w:szCs w:val="20"/>
          <w:lang w:val="en-US"/>
        </w:rPr>
        <w:t>Verones</w:t>
      </w:r>
      <w:proofErr w:type="spellEnd"/>
      <w:r w:rsidRPr="0059270C">
        <w:rPr>
          <w:rFonts w:ascii="Arial" w:hAnsi="Arial" w:cs="Arial"/>
          <w:sz w:val="20"/>
          <w:szCs w:val="20"/>
          <w:lang w:val="en-US"/>
        </w:rPr>
        <w:t xml:space="preserve"> et al., 2017). Promoting sustainable fishing practices is vital for maintaining biodiversity and ensuring the resilience of marine ecosystems, which are increasingly threatened by climate change and overexploitation (Schneider et al., 2023). This balance is crucial as small-scale fisheries often provide significant economic and nutritional benefits to communities, contributing to food security and livelihoods (Drakeford et al., 2023).</w:t>
      </w:r>
    </w:p>
    <w:p w14:paraId="3D5FFE88" w14:textId="0FA88675" w:rsidR="00ED5D92" w:rsidRPr="0059270C" w:rsidRDefault="0055740D" w:rsidP="002444E7">
      <w:pPr>
        <w:spacing w:line="480" w:lineRule="auto"/>
        <w:ind w:right="739"/>
        <w:jc w:val="both"/>
        <w:rPr>
          <w:rFonts w:ascii="Arial" w:hAnsi="Arial" w:cs="Arial"/>
          <w:sz w:val="20"/>
          <w:szCs w:val="20"/>
          <w:lang w:val="en-US"/>
        </w:rPr>
      </w:pPr>
      <w:r w:rsidRPr="0059270C">
        <w:rPr>
          <w:rFonts w:ascii="Arial" w:hAnsi="Arial" w:cs="Arial"/>
          <w:b/>
          <w:bCs/>
          <w:sz w:val="20"/>
          <w:szCs w:val="20"/>
        </w:rPr>
        <w:t>Conclusion</w:t>
      </w:r>
      <w:r w:rsidRPr="0059270C">
        <w:rPr>
          <w:rFonts w:ascii="Arial" w:hAnsi="Arial" w:cs="Arial"/>
          <w:sz w:val="20"/>
          <w:szCs w:val="20"/>
        </w:rPr>
        <w:br/>
      </w:r>
      <w:r w:rsidR="00782216">
        <w:rPr>
          <w:rFonts w:ascii="Arial" w:hAnsi="Arial" w:cs="Arial"/>
          <w:sz w:val="20"/>
          <w:szCs w:val="20"/>
        </w:rPr>
        <w:t xml:space="preserve">                 </w:t>
      </w:r>
      <w:r w:rsidR="00ED5D92" w:rsidRPr="0059270C">
        <w:rPr>
          <w:rFonts w:ascii="Arial" w:hAnsi="Arial" w:cs="Arial"/>
          <w:sz w:val="20"/>
          <w:szCs w:val="20"/>
        </w:rPr>
        <w:t xml:space="preserve">This study assessed seven dolnet designs along the Maharashtra coast using Life Cycle Assessment and identified clear differences in environmental performance driven by fuel consumption, vessel scale, and material use. Mechanized designs such as Dabang and Pachubandar showed higher emissions due to intensive diesel use, while smaller artisanal systems like Mosquito and Bokshi exhibited lower impacts, demonstrating the benefits of low energy fishing. Synthetic polymers were major contributors to impacts, indicating the need for alternative materials and improved recycling. Energy </w:t>
      </w:r>
      <w:r w:rsidR="00ED5D92" w:rsidRPr="0059270C">
        <w:rPr>
          <w:rFonts w:ascii="Arial" w:hAnsi="Arial" w:cs="Arial"/>
          <w:sz w:val="20"/>
          <w:szCs w:val="20"/>
        </w:rPr>
        <w:lastRenderedPageBreak/>
        <w:t>efficient operations, lightweight selective gear, and biodegradable nets are key pathways toward sustainable, climate</w:t>
      </w:r>
      <w:r w:rsidR="009B2E24">
        <w:rPr>
          <w:rFonts w:ascii="Arial" w:hAnsi="Arial" w:cs="Arial"/>
          <w:sz w:val="20"/>
          <w:szCs w:val="20"/>
        </w:rPr>
        <w:t>-</w:t>
      </w:r>
      <w:r w:rsidR="00ED5D92" w:rsidRPr="0059270C">
        <w:rPr>
          <w:rFonts w:ascii="Arial" w:hAnsi="Arial" w:cs="Arial"/>
          <w:sz w:val="20"/>
          <w:szCs w:val="20"/>
        </w:rPr>
        <w:t>resilient dolnet fisheries aligned with Sustainable Development Goal 14.</w:t>
      </w:r>
    </w:p>
    <w:p w14:paraId="66A71E25" w14:textId="55CE399B" w:rsidR="006E38B0" w:rsidRPr="00782216" w:rsidRDefault="006E38B0" w:rsidP="00B93836">
      <w:pPr>
        <w:spacing w:after="0" w:line="480" w:lineRule="auto"/>
        <w:jc w:val="both"/>
        <w:rPr>
          <w:rFonts w:ascii="Arial" w:hAnsi="Arial" w:cs="Arial"/>
          <w:b/>
          <w:bCs/>
          <w:sz w:val="20"/>
          <w:szCs w:val="20"/>
        </w:rPr>
      </w:pPr>
      <w:r w:rsidRPr="00782216">
        <w:rPr>
          <w:rFonts w:ascii="Arial" w:hAnsi="Arial" w:cs="Arial"/>
          <w:b/>
          <w:bCs/>
          <w:sz w:val="20"/>
          <w:szCs w:val="20"/>
        </w:rPr>
        <w:t xml:space="preserve">Acknowledgment </w:t>
      </w:r>
    </w:p>
    <w:p w14:paraId="16A95859" w14:textId="79AEF943" w:rsidR="00DB1B72" w:rsidRPr="0059270C" w:rsidRDefault="006E38B0" w:rsidP="002444E7">
      <w:pPr>
        <w:spacing w:after="0" w:line="480" w:lineRule="auto"/>
        <w:ind w:right="739" w:firstLine="720"/>
        <w:jc w:val="both"/>
        <w:rPr>
          <w:rFonts w:ascii="Arial" w:hAnsi="Arial" w:cs="Arial"/>
          <w:sz w:val="20"/>
          <w:szCs w:val="20"/>
        </w:rPr>
      </w:pPr>
      <w:r w:rsidRPr="0059270C">
        <w:rPr>
          <w:rFonts w:ascii="Arial" w:hAnsi="Arial" w:cs="Arial"/>
          <w:sz w:val="20"/>
          <w:szCs w:val="20"/>
        </w:rPr>
        <w:t>Gratitude to the Director, ICAR-CIFT Cochin, Scientist-In-Charge Mumbai Research Centre, ICAR-CIFE Mumbai scientists, Fishing Technology Division (ICAR-CIFT Cochin), staff and Young Professionals of Mumbai Research Centre, and Maharashtra fishermen for their invaluable cooperation</w:t>
      </w:r>
      <w:r w:rsidRPr="0059270C">
        <w:rPr>
          <w:rFonts w:ascii="Arial" w:hAnsi="Arial" w:cs="Arial"/>
          <w:i/>
          <w:iCs/>
          <w:sz w:val="20"/>
          <w:szCs w:val="20"/>
        </w:rPr>
        <w:t xml:space="preserve"> </w:t>
      </w:r>
      <w:r w:rsidRPr="0059270C">
        <w:rPr>
          <w:rFonts w:ascii="Arial" w:hAnsi="Arial" w:cs="Arial"/>
          <w:sz w:val="20"/>
          <w:szCs w:val="20"/>
        </w:rPr>
        <w:t>and support.</w:t>
      </w:r>
    </w:p>
    <w:p w14:paraId="4990D3F4" w14:textId="77777777" w:rsidR="001E1BF0" w:rsidRPr="00782216" w:rsidRDefault="001E1BF0" w:rsidP="00B93836">
      <w:pPr>
        <w:spacing w:after="0" w:line="480" w:lineRule="auto"/>
        <w:jc w:val="both"/>
        <w:rPr>
          <w:rFonts w:ascii="Arial" w:hAnsi="Arial" w:cs="Arial"/>
          <w:sz w:val="20"/>
          <w:szCs w:val="20"/>
          <w:lang w:val="en-US"/>
        </w:rPr>
      </w:pPr>
      <w:r w:rsidRPr="00782216">
        <w:rPr>
          <w:rFonts w:ascii="Arial" w:hAnsi="Arial" w:cs="Arial"/>
          <w:b/>
          <w:bCs/>
          <w:sz w:val="20"/>
          <w:szCs w:val="20"/>
          <w:lang w:val="en-US"/>
        </w:rPr>
        <w:t>Authors’ Contributions</w:t>
      </w:r>
    </w:p>
    <w:p w14:paraId="25B0A905" w14:textId="056CB9E9" w:rsidR="00D206FC" w:rsidRPr="00782216" w:rsidRDefault="007F47E5" w:rsidP="00767F3B">
      <w:pPr>
        <w:spacing w:after="0" w:line="480" w:lineRule="auto"/>
        <w:ind w:right="829" w:firstLine="720"/>
        <w:jc w:val="both"/>
        <w:rPr>
          <w:rFonts w:ascii="Arial" w:hAnsi="Arial" w:cs="Arial"/>
          <w:sz w:val="20"/>
          <w:szCs w:val="20"/>
          <w:lang w:val="en-US"/>
        </w:rPr>
      </w:pPr>
      <w:r w:rsidRPr="0059270C">
        <w:rPr>
          <w:rFonts w:ascii="Arial" w:hAnsi="Arial" w:cs="Arial"/>
          <w:sz w:val="20"/>
          <w:szCs w:val="20"/>
          <w:lang w:val="en-US"/>
        </w:rPr>
        <w:t xml:space="preserve">Shravan Kumar Sharma (corresponding author) conceptualized and designed the study, conducted the Life Cycle Assessment and statistical analyses, interpreted results, and prepared the manuscript. Remesan MP and Asha Landge provided technical inputs and critical revisions. </w:t>
      </w:r>
      <w:proofErr w:type="spellStart"/>
      <w:r w:rsidRPr="0059270C">
        <w:rPr>
          <w:rFonts w:ascii="Arial" w:hAnsi="Arial" w:cs="Arial"/>
          <w:sz w:val="20"/>
          <w:szCs w:val="20"/>
          <w:lang w:val="en-US"/>
        </w:rPr>
        <w:t>Shashibhusan</w:t>
      </w:r>
      <w:proofErr w:type="spellEnd"/>
      <w:r w:rsidRPr="0059270C">
        <w:rPr>
          <w:rFonts w:ascii="Arial" w:hAnsi="Arial" w:cs="Arial"/>
          <w:sz w:val="20"/>
          <w:szCs w:val="20"/>
          <w:lang w:val="en-US"/>
        </w:rPr>
        <w:t xml:space="preserve"> and V. R. Madhu contributed to result interpretation and subject-matter insights. Paras Nath Jha supported LCA modelling, sensitivity analysis, and impact evaluation. Karankumar Ramteke assisted with technical review and manuscript refinement. Rujuta Rajendra Donadkar contributed to gear documentation, literature compilation, and figure and table preparation. Shalaka </w:t>
      </w:r>
      <w:proofErr w:type="spellStart"/>
      <w:r w:rsidRPr="0059270C">
        <w:rPr>
          <w:rFonts w:ascii="Arial" w:hAnsi="Arial" w:cs="Arial"/>
          <w:sz w:val="20"/>
          <w:szCs w:val="20"/>
          <w:lang w:val="en-US"/>
        </w:rPr>
        <w:t>Salunkhe</w:t>
      </w:r>
      <w:proofErr w:type="spellEnd"/>
      <w:r w:rsidRPr="0059270C">
        <w:rPr>
          <w:rFonts w:ascii="Arial" w:hAnsi="Arial" w:cs="Arial"/>
          <w:sz w:val="20"/>
          <w:szCs w:val="20"/>
          <w:lang w:val="en-US"/>
        </w:rPr>
        <w:t xml:space="preserve"> and Sumi </w:t>
      </w:r>
      <w:proofErr w:type="spellStart"/>
      <w:r w:rsidRPr="0059270C">
        <w:rPr>
          <w:rFonts w:ascii="Arial" w:hAnsi="Arial" w:cs="Arial"/>
          <w:sz w:val="20"/>
          <w:szCs w:val="20"/>
          <w:lang w:val="en-US"/>
        </w:rPr>
        <w:t>Panikar</w:t>
      </w:r>
      <w:proofErr w:type="spellEnd"/>
      <w:r w:rsidRPr="0059270C">
        <w:rPr>
          <w:rFonts w:ascii="Arial" w:hAnsi="Arial" w:cs="Arial"/>
          <w:sz w:val="20"/>
          <w:szCs w:val="20"/>
          <w:lang w:val="en-US"/>
        </w:rPr>
        <w:t xml:space="preserve"> provided technical inputs during revision, and Shubham Mahadik supported field data collection and preliminary processing. All authors reviewed and approved the final manuscript.</w:t>
      </w:r>
    </w:p>
    <w:p w14:paraId="0A17E433" w14:textId="2C968673" w:rsidR="006E38B0" w:rsidRPr="00782216" w:rsidRDefault="006E38B0" w:rsidP="00B93836">
      <w:pPr>
        <w:spacing w:after="0" w:line="480" w:lineRule="auto"/>
        <w:jc w:val="both"/>
        <w:rPr>
          <w:rFonts w:ascii="Arial" w:hAnsi="Arial" w:cs="Arial"/>
          <w:b/>
          <w:bCs/>
          <w:sz w:val="20"/>
          <w:szCs w:val="20"/>
        </w:rPr>
      </w:pPr>
      <w:r w:rsidRPr="00782216">
        <w:rPr>
          <w:rFonts w:ascii="Arial" w:hAnsi="Arial" w:cs="Arial"/>
          <w:b/>
          <w:bCs/>
          <w:sz w:val="20"/>
          <w:szCs w:val="20"/>
        </w:rPr>
        <w:t xml:space="preserve">Disclaimers </w:t>
      </w:r>
    </w:p>
    <w:p w14:paraId="652F1F31" w14:textId="2B67EEAE" w:rsidR="00782216" w:rsidRPr="00782216" w:rsidRDefault="00782216" w:rsidP="00767F3B">
      <w:pPr>
        <w:spacing w:after="0" w:line="480" w:lineRule="auto"/>
        <w:ind w:right="919" w:firstLine="720"/>
        <w:jc w:val="both"/>
        <w:rPr>
          <w:rFonts w:ascii="Arial" w:hAnsi="Arial" w:cs="Arial"/>
          <w:sz w:val="20"/>
          <w:szCs w:val="20"/>
        </w:rPr>
      </w:pPr>
      <w:r w:rsidRPr="00782216">
        <w:rPr>
          <w:rFonts w:ascii="Arial" w:hAnsi="Arial" w:cs="Arial"/>
          <w:sz w:val="20"/>
          <w:szCs w:val="20"/>
        </w:rPr>
        <w:t>The authors hereby declare that no generative artificial intelligence technologies, including Large Language Models such as ChatGPT, Copilot, or any text to image generation tools, were used at any stage during the writing, preparation, or editing of this manuscript.</w:t>
      </w:r>
    </w:p>
    <w:p w14:paraId="23ADC77E" w14:textId="0A25900F" w:rsidR="006E38B0" w:rsidRPr="00782216" w:rsidRDefault="006E38B0" w:rsidP="00782216">
      <w:pPr>
        <w:spacing w:after="0" w:line="480" w:lineRule="auto"/>
        <w:jc w:val="both"/>
        <w:rPr>
          <w:rFonts w:ascii="Arial" w:hAnsi="Arial" w:cs="Arial"/>
          <w:b/>
          <w:bCs/>
          <w:sz w:val="20"/>
          <w:szCs w:val="20"/>
        </w:rPr>
      </w:pPr>
      <w:r w:rsidRPr="00782216">
        <w:rPr>
          <w:rFonts w:ascii="Arial" w:hAnsi="Arial" w:cs="Arial"/>
          <w:b/>
          <w:bCs/>
          <w:sz w:val="20"/>
          <w:szCs w:val="20"/>
        </w:rPr>
        <w:t xml:space="preserve">Conflict of interest </w:t>
      </w:r>
    </w:p>
    <w:p w14:paraId="4C30835A" w14:textId="77777777" w:rsidR="00D206FC" w:rsidRPr="0059270C" w:rsidRDefault="00D206FC" w:rsidP="00767F3B">
      <w:pPr>
        <w:suppressLineNumbers/>
        <w:spacing w:after="0" w:line="480" w:lineRule="auto"/>
        <w:ind w:right="1009" w:firstLine="720"/>
        <w:jc w:val="both"/>
        <w:rPr>
          <w:rFonts w:ascii="Arial" w:hAnsi="Arial" w:cs="Arial"/>
          <w:sz w:val="20"/>
          <w:szCs w:val="20"/>
          <w:lang w:val="en-US"/>
        </w:rPr>
      </w:pPr>
      <w:r w:rsidRPr="0059270C">
        <w:rPr>
          <w:rFonts w:ascii="Arial" w:hAnsi="Arial" w:cs="Arial"/>
          <w:sz w:val="20"/>
          <w:szCs w:val="20"/>
          <w:lang w:val="en-US"/>
        </w:rPr>
        <w:t>The authors declare no conflicts of interest, and no funding or sponsorship influenced the study design, analysis, or publication.</w:t>
      </w:r>
    </w:p>
    <w:p w14:paraId="3FD35128" w14:textId="77777777" w:rsidR="00DC0AE7" w:rsidRPr="0059270C" w:rsidRDefault="00DC0AE7" w:rsidP="00B93836">
      <w:pPr>
        <w:suppressLineNumbers/>
        <w:spacing w:after="0" w:line="480" w:lineRule="auto"/>
        <w:ind w:firstLine="720"/>
        <w:jc w:val="both"/>
        <w:rPr>
          <w:rFonts w:ascii="Arial" w:hAnsi="Arial" w:cs="Arial"/>
          <w:b/>
          <w:bCs/>
          <w:i/>
          <w:iCs/>
          <w:lang w:val="en-US"/>
        </w:rPr>
      </w:pPr>
    </w:p>
    <w:p w14:paraId="06C5F6C5" w14:textId="77777777" w:rsidR="005D553F" w:rsidRPr="0059270C" w:rsidRDefault="005D553F" w:rsidP="00B93836">
      <w:pPr>
        <w:suppressLineNumbers/>
        <w:spacing w:after="0" w:line="480" w:lineRule="auto"/>
        <w:ind w:firstLine="720"/>
        <w:jc w:val="both"/>
        <w:rPr>
          <w:rFonts w:ascii="Arial" w:hAnsi="Arial" w:cs="Arial"/>
          <w:b/>
          <w:bCs/>
          <w:i/>
          <w:iCs/>
        </w:rPr>
      </w:pPr>
    </w:p>
    <w:p w14:paraId="1213B617" w14:textId="77777777" w:rsidR="00767F3B" w:rsidRDefault="00767F3B" w:rsidP="00767F3B">
      <w:pPr>
        <w:suppressLineNumbers/>
        <w:spacing w:after="0" w:line="480" w:lineRule="auto"/>
        <w:jc w:val="both"/>
        <w:rPr>
          <w:rFonts w:ascii="Arial" w:hAnsi="Arial" w:cs="Arial"/>
          <w:b/>
          <w:bCs/>
          <w:i/>
          <w:iCs/>
        </w:rPr>
      </w:pPr>
    </w:p>
    <w:p w14:paraId="611D747E" w14:textId="77777777" w:rsidR="00767F3B" w:rsidRPr="0059270C" w:rsidRDefault="00767F3B" w:rsidP="00767F3B">
      <w:pPr>
        <w:suppressLineNumbers/>
        <w:spacing w:after="0" w:line="480" w:lineRule="auto"/>
        <w:jc w:val="both"/>
        <w:rPr>
          <w:rFonts w:ascii="Arial" w:hAnsi="Arial" w:cs="Arial"/>
          <w:b/>
          <w:bCs/>
          <w:i/>
          <w:iCs/>
        </w:rPr>
      </w:pPr>
    </w:p>
    <w:p w14:paraId="50B2FFF2" w14:textId="77777777" w:rsidR="00875729" w:rsidRDefault="00875729" w:rsidP="00B93836">
      <w:pPr>
        <w:suppressLineNumbers/>
        <w:spacing w:after="0" w:line="480" w:lineRule="auto"/>
        <w:ind w:hanging="450"/>
        <w:jc w:val="both"/>
        <w:rPr>
          <w:rFonts w:ascii="Arial" w:hAnsi="Arial" w:cs="Arial"/>
          <w:b/>
          <w:bCs/>
        </w:rPr>
      </w:pPr>
    </w:p>
    <w:p w14:paraId="770E0B09" w14:textId="77777777" w:rsidR="00875729" w:rsidRDefault="00875729" w:rsidP="00B93836">
      <w:pPr>
        <w:suppressLineNumbers/>
        <w:spacing w:after="0" w:line="480" w:lineRule="auto"/>
        <w:ind w:hanging="450"/>
        <w:jc w:val="both"/>
        <w:rPr>
          <w:rFonts w:ascii="Arial" w:hAnsi="Arial" w:cs="Arial"/>
          <w:b/>
          <w:bCs/>
        </w:rPr>
      </w:pPr>
    </w:p>
    <w:p w14:paraId="356426CB" w14:textId="77777777" w:rsidR="00875729" w:rsidRDefault="00875729" w:rsidP="00B93836">
      <w:pPr>
        <w:suppressLineNumbers/>
        <w:spacing w:after="0" w:line="480" w:lineRule="auto"/>
        <w:ind w:hanging="450"/>
        <w:jc w:val="both"/>
        <w:rPr>
          <w:rFonts w:ascii="Arial" w:hAnsi="Arial" w:cs="Arial"/>
          <w:b/>
          <w:bCs/>
        </w:rPr>
      </w:pPr>
    </w:p>
    <w:p w14:paraId="0A8F7782" w14:textId="43552B1F" w:rsidR="008D5A9B" w:rsidRPr="0059270C" w:rsidRDefault="0084688A" w:rsidP="00B93836">
      <w:pPr>
        <w:suppressLineNumbers/>
        <w:spacing w:after="0" w:line="480" w:lineRule="auto"/>
        <w:ind w:hanging="450"/>
        <w:jc w:val="both"/>
        <w:rPr>
          <w:rFonts w:ascii="Arial" w:hAnsi="Arial" w:cs="Arial"/>
          <w:b/>
          <w:bCs/>
        </w:rPr>
      </w:pPr>
      <w:r w:rsidRPr="0059270C">
        <w:rPr>
          <w:rFonts w:ascii="Arial" w:hAnsi="Arial" w:cs="Arial"/>
          <w:b/>
          <w:bCs/>
        </w:rPr>
        <w:lastRenderedPageBreak/>
        <w:t xml:space="preserve">References </w:t>
      </w:r>
    </w:p>
    <w:p w14:paraId="65290863" w14:textId="77777777" w:rsidR="00151026" w:rsidRPr="0059270C" w:rsidRDefault="00151026" w:rsidP="00B93836">
      <w:pPr>
        <w:pStyle w:val="ListParagraph"/>
        <w:numPr>
          <w:ilvl w:val="0"/>
          <w:numId w:val="30"/>
        </w:numPr>
        <w:tabs>
          <w:tab w:val="left" w:pos="360"/>
        </w:tabs>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Abdou, K., </w:t>
      </w:r>
      <w:proofErr w:type="spellStart"/>
      <w:r w:rsidRPr="0059270C">
        <w:rPr>
          <w:rFonts w:ascii="Arial" w:eastAsia="Times New Roman" w:hAnsi="Arial" w:cs="Arial"/>
          <w:kern w:val="0"/>
          <w:sz w:val="20"/>
          <w:szCs w:val="20"/>
          <w:lang w:val="en-US" w:bidi="hi-IN"/>
          <w14:ligatures w14:val="none"/>
        </w:rPr>
        <w:t>Gascuel</w:t>
      </w:r>
      <w:proofErr w:type="spellEnd"/>
      <w:r w:rsidRPr="0059270C">
        <w:rPr>
          <w:rFonts w:ascii="Arial" w:eastAsia="Times New Roman" w:hAnsi="Arial" w:cs="Arial"/>
          <w:kern w:val="0"/>
          <w:sz w:val="20"/>
          <w:szCs w:val="20"/>
          <w:lang w:val="en-US" w:bidi="hi-IN"/>
          <w14:ligatures w14:val="none"/>
        </w:rPr>
        <w:t xml:space="preserve">, D., Aubin, J., </w:t>
      </w:r>
      <w:proofErr w:type="spellStart"/>
      <w:r w:rsidRPr="0059270C">
        <w:rPr>
          <w:rFonts w:ascii="Arial" w:eastAsia="Times New Roman" w:hAnsi="Arial" w:cs="Arial"/>
          <w:kern w:val="0"/>
          <w:sz w:val="20"/>
          <w:szCs w:val="20"/>
          <w:lang w:val="en-US" w:bidi="hi-IN"/>
          <w14:ligatures w14:val="none"/>
        </w:rPr>
        <w:t>Romdhane</w:t>
      </w:r>
      <w:proofErr w:type="spellEnd"/>
      <w:r w:rsidRPr="0059270C">
        <w:rPr>
          <w:rFonts w:ascii="Arial" w:eastAsia="Times New Roman" w:hAnsi="Arial" w:cs="Arial"/>
          <w:kern w:val="0"/>
          <w:sz w:val="20"/>
          <w:szCs w:val="20"/>
          <w:lang w:val="en-US" w:bidi="hi-IN"/>
          <w14:ligatures w14:val="none"/>
        </w:rPr>
        <w:t xml:space="preserve">, M.S., </w:t>
      </w:r>
      <w:proofErr w:type="spellStart"/>
      <w:r w:rsidRPr="0059270C">
        <w:rPr>
          <w:rFonts w:ascii="Arial" w:eastAsia="Times New Roman" w:hAnsi="Arial" w:cs="Arial"/>
          <w:kern w:val="0"/>
          <w:sz w:val="20"/>
          <w:szCs w:val="20"/>
          <w:lang w:val="en-US" w:bidi="hi-IN"/>
          <w14:ligatures w14:val="none"/>
        </w:rPr>
        <w:t>Lasram</w:t>
      </w:r>
      <w:proofErr w:type="spellEnd"/>
      <w:r w:rsidRPr="0059270C">
        <w:rPr>
          <w:rFonts w:ascii="Arial" w:eastAsia="Times New Roman" w:hAnsi="Arial" w:cs="Arial"/>
          <w:kern w:val="0"/>
          <w:sz w:val="20"/>
          <w:szCs w:val="20"/>
          <w:lang w:val="en-US" w:bidi="hi-IN"/>
          <w14:ligatures w14:val="none"/>
        </w:rPr>
        <w:t xml:space="preserve">, F.B.R. and </w:t>
      </w:r>
      <w:proofErr w:type="spellStart"/>
      <w:r w:rsidRPr="0059270C">
        <w:rPr>
          <w:rFonts w:ascii="Arial" w:eastAsia="Times New Roman" w:hAnsi="Arial" w:cs="Arial"/>
          <w:kern w:val="0"/>
          <w:sz w:val="20"/>
          <w:szCs w:val="20"/>
          <w:lang w:val="en-US" w:bidi="hi-IN"/>
          <w14:ligatures w14:val="none"/>
        </w:rPr>
        <w:t>Loc’h</w:t>
      </w:r>
      <w:proofErr w:type="spellEnd"/>
      <w:r w:rsidRPr="0059270C">
        <w:rPr>
          <w:rFonts w:ascii="Arial" w:eastAsia="Times New Roman" w:hAnsi="Arial" w:cs="Arial"/>
          <w:kern w:val="0"/>
          <w:sz w:val="20"/>
          <w:szCs w:val="20"/>
          <w:lang w:val="en-US" w:bidi="hi-IN"/>
          <w14:ligatures w14:val="none"/>
        </w:rPr>
        <w:t xml:space="preserve">, F.L. (2017). Environmental life cycle assessment of seafood production: A case study of trawler catches in Tunisia. </w:t>
      </w:r>
      <w:r w:rsidRPr="0059270C">
        <w:rPr>
          <w:rFonts w:ascii="Arial" w:eastAsia="Times New Roman" w:hAnsi="Arial" w:cs="Arial"/>
          <w:i/>
          <w:iCs/>
          <w:kern w:val="0"/>
          <w:sz w:val="20"/>
          <w:szCs w:val="20"/>
          <w:lang w:val="en-US" w:bidi="hi-IN"/>
          <w14:ligatures w14:val="none"/>
        </w:rPr>
        <w:t>Science of the Total Environment</w:t>
      </w:r>
      <w:r w:rsidRPr="0059270C">
        <w:rPr>
          <w:rFonts w:ascii="Arial" w:eastAsia="Times New Roman" w:hAnsi="Arial" w:cs="Arial"/>
          <w:kern w:val="0"/>
          <w:sz w:val="20"/>
          <w:szCs w:val="20"/>
          <w:lang w:val="en-US" w:bidi="hi-IN"/>
          <w14:ligatures w14:val="none"/>
        </w:rPr>
        <w:t xml:space="preserve">, 598, 298–310. </w:t>
      </w:r>
      <w:hyperlink r:id="rId17" w:tgtFrame="_new" w:history="1">
        <w:r w:rsidRPr="0059270C">
          <w:rPr>
            <w:rStyle w:val="Hyperlink"/>
            <w:rFonts w:ascii="Arial" w:eastAsia="Times New Roman" w:hAnsi="Arial" w:cs="Arial"/>
            <w:color w:val="auto"/>
            <w:kern w:val="0"/>
            <w:sz w:val="20"/>
            <w:szCs w:val="20"/>
            <w:lang w:val="en-US" w:bidi="hi-IN"/>
            <w14:ligatures w14:val="none"/>
          </w:rPr>
          <w:t>https://doi.org/10.1016/j.scitotenv.2017.08.067</w:t>
        </w:r>
      </w:hyperlink>
    </w:p>
    <w:p w14:paraId="7233A344" w14:textId="77777777" w:rsidR="00151026" w:rsidRPr="0059270C" w:rsidRDefault="00151026"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nb-NO" w:bidi="hi-IN"/>
          <w14:ligatures w14:val="none"/>
        </w:rPr>
        <w:t xml:space="preserve">Auwelant, E.V. den, Nimmegeers, P. and Passel, S.V. (2024). </w:t>
      </w:r>
      <w:r w:rsidRPr="0059270C">
        <w:rPr>
          <w:rFonts w:ascii="Arial" w:eastAsia="Times New Roman" w:hAnsi="Arial" w:cs="Arial"/>
          <w:kern w:val="0"/>
          <w:sz w:val="20"/>
          <w:szCs w:val="20"/>
          <w:lang w:val="en-US" w:bidi="hi-IN"/>
          <w14:ligatures w14:val="none"/>
        </w:rPr>
        <w:t xml:space="preserve">Life cycle assessment and circular practices in the woodworking sector: A systematic review. </w:t>
      </w:r>
      <w:r w:rsidRPr="0059270C">
        <w:rPr>
          <w:rFonts w:ascii="Arial" w:eastAsia="Times New Roman" w:hAnsi="Arial" w:cs="Arial"/>
          <w:i/>
          <w:iCs/>
          <w:kern w:val="0"/>
          <w:sz w:val="20"/>
          <w:szCs w:val="20"/>
          <w:lang w:val="en-US" w:bidi="hi-IN"/>
          <w14:ligatures w14:val="none"/>
        </w:rPr>
        <w:t>Clean Technologies and Environmental Policy</w:t>
      </w:r>
      <w:r w:rsidRPr="0059270C">
        <w:rPr>
          <w:rFonts w:ascii="Arial" w:eastAsia="Times New Roman" w:hAnsi="Arial" w:cs="Arial"/>
          <w:kern w:val="0"/>
          <w:sz w:val="20"/>
          <w:szCs w:val="20"/>
          <w:lang w:val="en-US" w:bidi="hi-IN"/>
          <w14:ligatures w14:val="none"/>
        </w:rPr>
        <w:t xml:space="preserve">. Springer </w:t>
      </w:r>
      <w:proofErr w:type="spellStart"/>
      <w:r w:rsidRPr="0059270C">
        <w:rPr>
          <w:rFonts w:ascii="Arial" w:eastAsia="Times New Roman" w:hAnsi="Arial" w:cs="Arial"/>
          <w:kern w:val="0"/>
          <w:sz w:val="20"/>
          <w:szCs w:val="20"/>
          <w:lang w:val="en-US" w:bidi="hi-IN"/>
          <w14:ligatures w14:val="none"/>
        </w:rPr>
        <w:t>Science+Business</w:t>
      </w:r>
      <w:proofErr w:type="spellEnd"/>
      <w:r w:rsidRPr="0059270C">
        <w:rPr>
          <w:rFonts w:ascii="Arial" w:eastAsia="Times New Roman" w:hAnsi="Arial" w:cs="Arial"/>
          <w:kern w:val="0"/>
          <w:sz w:val="20"/>
          <w:szCs w:val="20"/>
          <w:lang w:val="en-US" w:bidi="hi-IN"/>
          <w14:ligatures w14:val="none"/>
        </w:rPr>
        <w:t xml:space="preserve"> Media. </w:t>
      </w:r>
      <w:hyperlink r:id="rId18" w:tgtFrame="_new" w:history="1">
        <w:r w:rsidRPr="0059270C">
          <w:rPr>
            <w:rStyle w:val="Hyperlink"/>
            <w:rFonts w:ascii="Arial" w:eastAsia="Times New Roman" w:hAnsi="Arial" w:cs="Arial"/>
            <w:color w:val="auto"/>
            <w:kern w:val="0"/>
            <w:sz w:val="20"/>
            <w:szCs w:val="20"/>
            <w:lang w:val="en-US" w:bidi="hi-IN"/>
            <w14:ligatures w14:val="none"/>
          </w:rPr>
          <w:t>https://doi.org/10.1007/s10098-024-02915-x</w:t>
        </w:r>
      </w:hyperlink>
    </w:p>
    <w:p w14:paraId="7E3A9F8D" w14:textId="0F3E525E" w:rsidR="009E3A80" w:rsidRPr="0059270C" w:rsidRDefault="009E3A80"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bidi="hi-IN"/>
          <w14:ligatures w14:val="none"/>
        </w:rPr>
        <w:t>Avadí</w:t>
      </w:r>
      <w:proofErr w:type="spellEnd"/>
      <w:r w:rsidRPr="0059270C">
        <w:rPr>
          <w:rFonts w:ascii="Arial" w:eastAsia="Times New Roman" w:hAnsi="Arial" w:cs="Arial"/>
          <w:kern w:val="0"/>
          <w:sz w:val="20"/>
          <w:szCs w:val="20"/>
          <w:lang w:bidi="hi-IN"/>
          <w14:ligatures w14:val="none"/>
        </w:rPr>
        <w:t xml:space="preserve">, A., &amp; </w:t>
      </w:r>
      <w:proofErr w:type="spellStart"/>
      <w:r w:rsidRPr="0059270C">
        <w:rPr>
          <w:rFonts w:ascii="Arial" w:eastAsia="Times New Roman" w:hAnsi="Arial" w:cs="Arial"/>
          <w:kern w:val="0"/>
          <w:sz w:val="20"/>
          <w:szCs w:val="20"/>
          <w:lang w:bidi="hi-IN"/>
          <w14:ligatures w14:val="none"/>
        </w:rPr>
        <w:t>Fréon</w:t>
      </w:r>
      <w:proofErr w:type="spellEnd"/>
      <w:r w:rsidRPr="0059270C">
        <w:rPr>
          <w:rFonts w:ascii="Arial" w:eastAsia="Times New Roman" w:hAnsi="Arial" w:cs="Arial"/>
          <w:kern w:val="0"/>
          <w:sz w:val="20"/>
          <w:szCs w:val="20"/>
          <w:lang w:bidi="hi-IN"/>
          <w14:ligatures w14:val="none"/>
        </w:rPr>
        <w:t>, P. (2013). Life cycle assessment of fisheries: A review for fisheries scientists and managers. </w:t>
      </w:r>
      <w:r w:rsidRPr="0059270C">
        <w:rPr>
          <w:rFonts w:ascii="Arial" w:eastAsia="Times New Roman" w:hAnsi="Arial" w:cs="Arial"/>
          <w:i/>
          <w:iCs/>
          <w:kern w:val="0"/>
          <w:sz w:val="20"/>
          <w:szCs w:val="20"/>
          <w:lang w:bidi="hi-IN"/>
          <w14:ligatures w14:val="none"/>
        </w:rPr>
        <w:t>Fisheries Research</w:t>
      </w:r>
      <w:r w:rsidRPr="0059270C">
        <w:rPr>
          <w:rFonts w:ascii="Arial" w:eastAsia="Times New Roman" w:hAnsi="Arial" w:cs="Arial"/>
          <w:kern w:val="0"/>
          <w:sz w:val="20"/>
          <w:szCs w:val="20"/>
          <w:lang w:bidi="hi-IN"/>
          <w14:ligatures w14:val="none"/>
        </w:rPr>
        <w:t>, </w:t>
      </w:r>
      <w:r w:rsidRPr="0059270C">
        <w:rPr>
          <w:rFonts w:ascii="Arial" w:eastAsia="Times New Roman" w:hAnsi="Arial" w:cs="Arial"/>
          <w:i/>
          <w:iCs/>
          <w:kern w:val="0"/>
          <w:sz w:val="20"/>
          <w:szCs w:val="20"/>
          <w:lang w:bidi="hi-IN"/>
          <w14:ligatures w14:val="none"/>
        </w:rPr>
        <w:t>143</w:t>
      </w:r>
      <w:r w:rsidRPr="0059270C">
        <w:rPr>
          <w:rFonts w:ascii="Arial" w:eastAsia="Times New Roman" w:hAnsi="Arial" w:cs="Arial"/>
          <w:kern w:val="0"/>
          <w:sz w:val="20"/>
          <w:szCs w:val="20"/>
          <w:lang w:bidi="hi-IN"/>
          <w14:ligatures w14:val="none"/>
        </w:rPr>
        <w:t xml:space="preserve">, 21-38. </w:t>
      </w:r>
      <w:hyperlink r:id="rId19" w:history="1">
        <w:r w:rsidRPr="0059270C">
          <w:rPr>
            <w:rStyle w:val="Hyperlink"/>
            <w:rFonts w:ascii="Arial" w:eastAsia="Times New Roman" w:hAnsi="Arial" w:cs="Arial"/>
            <w:color w:val="auto"/>
            <w:kern w:val="0"/>
            <w:sz w:val="20"/>
            <w:szCs w:val="20"/>
            <w:lang w:bidi="hi-IN"/>
            <w14:ligatures w14:val="none"/>
          </w:rPr>
          <w:t>https://doi.org/10.1016/j.fishres.2013.01.006</w:t>
        </w:r>
      </w:hyperlink>
      <w:r w:rsidRPr="0059270C">
        <w:rPr>
          <w:rFonts w:ascii="Arial" w:eastAsia="Times New Roman" w:hAnsi="Arial" w:cs="Arial"/>
          <w:kern w:val="0"/>
          <w:sz w:val="20"/>
          <w:szCs w:val="20"/>
          <w:lang w:bidi="hi-IN"/>
          <w14:ligatures w14:val="none"/>
        </w:rPr>
        <w:t xml:space="preserve"> </w:t>
      </w:r>
    </w:p>
    <w:p w14:paraId="420B57B9" w14:textId="77777777" w:rsidR="00151026" w:rsidRPr="0059270C" w:rsidRDefault="00151026" w:rsidP="00B93836">
      <w:pPr>
        <w:pStyle w:val="ListParagraph"/>
        <w:numPr>
          <w:ilvl w:val="0"/>
          <w:numId w:val="30"/>
        </w:numPr>
        <w:spacing w:after="0" w:line="480" w:lineRule="auto"/>
        <w:jc w:val="both"/>
        <w:rPr>
          <w:rFonts w:ascii="Arial" w:eastAsia="Times New Roman" w:hAnsi="Arial" w:cs="Arial"/>
          <w:kern w:val="0"/>
          <w:sz w:val="20"/>
          <w:szCs w:val="20"/>
          <w:lang w:val="nb-NO" w:bidi="hi-IN"/>
          <w14:ligatures w14:val="none"/>
        </w:rPr>
      </w:pPr>
      <w:r w:rsidRPr="0059270C">
        <w:rPr>
          <w:rFonts w:ascii="Arial" w:eastAsia="Times New Roman" w:hAnsi="Arial" w:cs="Arial"/>
          <w:kern w:val="0"/>
          <w:sz w:val="20"/>
          <w:szCs w:val="20"/>
          <w:lang w:val="en-US" w:bidi="hi-IN"/>
          <w14:ligatures w14:val="none"/>
        </w:rPr>
        <w:t xml:space="preserve">Baley, C., Davies, P., </w:t>
      </w:r>
      <w:proofErr w:type="spellStart"/>
      <w:r w:rsidRPr="0059270C">
        <w:rPr>
          <w:rFonts w:ascii="Arial" w:eastAsia="Times New Roman" w:hAnsi="Arial" w:cs="Arial"/>
          <w:kern w:val="0"/>
          <w:sz w:val="20"/>
          <w:szCs w:val="20"/>
          <w:lang w:val="en-US" w:bidi="hi-IN"/>
          <w14:ligatures w14:val="none"/>
        </w:rPr>
        <w:t>Troalen</w:t>
      </w:r>
      <w:proofErr w:type="spellEnd"/>
      <w:r w:rsidRPr="0059270C">
        <w:rPr>
          <w:rFonts w:ascii="Arial" w:eastAsia="Times New Roman" w:hAnsi="Arial" w:cs="Arial"/>
          <w:kern w:val="0"/>
          <w:sz w:val="20"/>
          <w:szCs w:val="20"/>
          <w:lang w:val="en-US" w:bidi="hi-IN"/>
          <w14:ligatures w14:val="none"/>
        </w:rPr>
        <w:t xml:space="preserve">, W., Chamley, A., Dinham-Price, I., </w:t>
      </w:r>
      <w:proofErr w:type="spellStart"/>
      <w:r w:rsidRPr="0059270C">
        <w:rPr>
          <w:rFonts w:ascii="Arial" w:eastAsia="Times New Roman" w:hAnsi="Arial" w:cs="Arial"/>
          <w:kern w:val="0"/>
          <w:sz w:val="20"/>
          <w:szCs w:val="20"/>
          <w:lang w:val="en-US" w:bidi="hi-IN"/>
          <w14:ligatures w14:val="none"/>
        </w:rPr>
        <w:t>Marchandise</w:t>
      </w:r>
      <w:proofErr w:type="spellEnd"/>
      <w:r w:rsidRPr="0059270C">
        <w:rPr>
          <w:rFonts w:ascii="Arial" w:eastAsia="Times New Roman" w:hAnsi="Arial" w:cs="Arial"/>
          <w:kern w:val="0"/>
          <w:sz w:val="20"/>
          <w:szCs w:val="20"/>
          <w:lang w:val="en-US" w:bidi="hi-IN"/>
          <w14:ligatures w14:val="none"/>
        </w:rPr>
        <w:t xml:space="preserve">, A. and </w:t>
      </w:r>
      <w:proofErr w:type="spellStart"/>
      <w:r w:rsidRPr="0059270C">
        <w:rPr>
          <w:rFonts w:ascii="Arial" w:eastAsia="Times New Roman" w:hAnsi="Arial" w:cs="Arial"/>
          <w:kern w:val="0"/>
          <w:sz w:val="20"/>
          <w:szCs w:val="20"/>
          <w:lang w:val="en-US" w:bidi="hi-IN"/>
          <w14:ligatures w14:val="none"/>
        </w:rPr>
        <w:t>Kéryvin</w:t>
      </w:r>
      <w:proofErr w:type="spellEnd"/>
      <w:r w:rsidRPr="0059270C">
        <w:rPr>
          <w:rFonts w:ascii="Arial" w:eastAsia="Times New Roman" w:hAnsi="Arial" w:cs="Arial"/>
          <w:kern w:val="0"/>
          <w:sz w:val="20"/>
          <w:szCs w:val="20"/>
          <w:lang w:val="en-US" w:bidi="hi-IN"/>
          <w14:ligatures w14:val="none"/>
        </w:rPr>
        <w:t xml:space="preserve">, V. (2024). Sustainable polymer composite marine structures: Developments and challenges. </w:t>
      </w:r>
      <w:r w:rsidRPr="0059270C">
        <w:rPr>
          <w:rFonts w:ascii="Arial" w:eastAsia="Times New Roman" w:hAnsi="Arial" w:cs="Arial"/>
          <w:i/>
          <w:iCs/>
          <w:kern w:val="0"/>
          <w:sz w:val="20"/>
          <w:szCs w:val="20"/>
          <w:lang w:val="en-US" w:bidi="hi-IN"/>
          <w14:ligatures w14:val="none"/>
        </w:rPr>
        <w:t>Progress in Materials Science</w:t>
      </w:r>
      <w:r w:rsidRPr="0059270C">
        <w:rPr>
          <w:rFonts w:ascii="Arial" w:eastAsia="Times New Roman" w:hAnsi="Arial" w:cs="Arial"/>
          <w:kern w:val="0"/>
          <w:sz w:val="20"/>
          <w:szCs w:val="20"/>
          <w:lang w:val="en-US" w:bidi="hi-IN"/>
          <w14:ligatures w14:val="none"/>
        </w:rPr>
        <w:t xml:space="preserve">, 145, 101307. </w:t>
      </w:r>
      <w:hyperlink r:id="rId20" w:tgtFrame="_new" w:history="1">
        <w:r w:rsidRPr="0059270C">
          <w:rPr>
            <w:rStyle w:val="Hyperlink"/>
            <w:rFonts w:ascii="Arial" w:eastAsia="Times New Roman" w:hAnsi="Arial" w:cs="Arial"/>
            <w:color w:val="auto"/>
            <w:kern w:val="0"/>
            <w:sz w:val="20"/>
            <w:szCs w:val="20"/>
            <w:lang w:val="nb-NO" w:bidi="hi-IN"/>
            <w14:ligatures w14:val="none"/>
          </w:rPr>
          <w:t>https://doi.org/10.1016/j.pmatsci.2024.101307</w:t>
        </w:r>
      </w:hyperlink>
    </w:p>
    <w:p w14:paraId="35CD9563"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t>Bastardie</w:t>
      </w:r>
      <w:proofErr w:type="spellEnd"/>
      <w:r w:rsidRPr="0059270C">
        <w:rPr>
          <w:rFonts w:ascii="Arial" w:eastAsia="Times New Roman" w:hAnsi="Arial" w:cs="Arial"/>
          <w:kern w:val="0"/>
          <w:sz w:val="20"/>
          <w:szCs w:val="20"/>
          <w:lang w:val="en-US" w:bidi="hi-IN"/>
          <w14:ligatures w14:val="none"/>
        </w:rPr>
        <w:t xml:space="preserve">, F., Hornborg, S., Ziegler, F., Gislason, H. and Eigaard, O.R. (2022). Reducing the fuel use intensity of fisheries through efficient fishing techniques and recovered fish stocks. </w:t>
      </w:r>
      <w:r w:rsidRPr="0059270C">
        <w:rPr>
          <w:rFonts w:ascii="Arial" w:eastAsia="Times New Roman" w:hAnsi="Arial" w:cs="Arial"/>
          <w:i/>
          <w:iCs/>
          <w:kern w:val="0"/>
          <w:sz w:val="20"/>
          <w:szCs w:val="20"/>
          <w:lang w:val="en-US" w:bidi="hi-IN"/>
          <w14:ligatures w14:val="none"/>
        </w:rPr>
        <w:t>Frontiers in Marine Science</w:t>
      </w:r>
      <w:r w:rsidRPr="0059270C">
        <w:rPr>
          <w:rFonts w:ascii="Arial" w:eastAsia="Times New Roman" w:hAnsi="Arial" w:cs="Arial"/>
          <w:kern w:val="0"/>
          <w:sz w:val="20"/>
          <w:szCs w:val="20"/>
          <w:lang w:val="en-US" w:bidi="hi-IN"/>
          <w14:ligatures w14:val="none"/>
        </w:rPr>
        <w:t xml:space="preserve">, 9, 817335. </w:t>
      </w:r>
      <w:hyperlink r:id="rId21" w:tgtFrame="_new" w:history="1">
        <w:r w:rsidRPr="0059270C">
          <w:rPr>
            <w:rStyle w:val="Hyperlink"/>
            <w:rFonts w:ascii="Arial" w:eastAsia="Times New Roman" w:hAnsi="Arial" w:cs="Arial"/>
            <w:color w:val="auto"/>
            <w:kern w:val="0"/>
            <w:sz w:val="20"/>
            <w:szCs w:val="20"/>
            <w:lang w:val="en-US" w:bidi="hi-IN"/>
            <w14:ligatures w14:val="none"/>
          </w:rPr>
          <w:t>https://doi.org/10.3389/fmars.2022.817335</w:t>
        </w:r>
      </w:hyperlink>
    </w:p>
    <w:p w14:paraId="2AE8B66E"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t>Cavraro</w:t>
      </w:r>
      <w:proofErr w:type="spellEnd"/>
      <w:r w:rsidRPr="0059270C">
        <w:rPr>
          <w:rFonts w:ascii="Arial" w:eastAsia="Times New Roman" w:hAnsi="Arial" w:cs="Arial"/>
          <w:kern w:val="0"/>
          <w:sz w:val="20"/>
          <w:szCs w:val="20"/>
          <w:lang w:val="en-US" w:bidi="hi-IN"/>
          <w14:ligatures w14:val="none"/>
        </w:rPr>
        <w:t xml:space="preserve">, F., Monti, M.A., </w:t>
      </w:r>
      <w:proofErr w:type="spellStart"/>
      <w:r w:rsidRPr="0059270C">
        <w:rPr>
          <w:rFonts w:ascii="Arial" w:eastAsia="Times New Roman" w:hAnsi="Arial" w:cs="Arial"/>
          <w:kern w:val="0"/>
          <w:sz w:val="20"/>
          <w:szCs w:val="20"/>
          <w:lang w:val="en-US" w:bidi="hi-IN"/>
          <w14:ligatures w14:val="none"/>
        </w:rPr>
        <w:t>Caccin</w:t>
      </w:r>
      <w:proofErr w:type="spellEnd"/>
      <w:r w:rsidRPr="0059270C">
        <w:rPr>
          <w:rFonts w:ascii="Arial" w:eastAsia="Times New Roman" w:hAnsi="Arial" w:cs="Arial"/>
          <w:kern w:val="0"/>
          <w:sz w:val="20"/>
          <w:szCs w:val="20"/>
          <w:lang w:val="en-US" w:bidi="hi-IN"/>
          <w14:ligatures w14:val="none"/>
        </w:rPr>
        <w:t xml:space="preserve">, A., Fiori, F., </w:t>
      </w:r>
      <w:proofErr w:type="spellStart"/>
      <w:r w:rsidRPr="0059270C">
        <w:rPr>
          <w:rFonts w:ascii="Arial" w:eastAsia="Times New Roman" w:hAnsi="Arial" w:cs="Arial"/>
          <w:kern w:val="0"/>
          <w:sz w:val="20"/>
          <w:szCs w:val="20"/>
          <w:lang w:val="en-US" w:bidi="hi-IN"/>
          <w14:ligatures w14:val="none"/>
        </w:rPr>
        <w:t>Grati</w:t>
      </w:r>
      <w:proofErr w:type="spellEnd"/>
      <w:r w:rsidRPr="0059270C">
        <w:rPr>
          <w:rFonts w:ascii="Arial" w:eastAsia="Times New Roman" w:hAnsi="Arial" w:cs="Arial"/>
          <w:kern w:val="0"/>
          <w:sz w:val="20"/>
          <w:szCs w:val="20"/>
          <w:lang w:val="en-US" w:bidi="hi-IN"/>
          <w14:ligatures w14:val="none"/>
        </w:rPr>
        <w:t xml:space="preserve">, F., Russo, E., Scarcella, G., Vrdoljak, D., Matić-Skoko, S. and </w:t>
      </w:r>
      <w:proofErr w:type="spellStart"/>
      <w:r w:rsidRPr="0059270C">
        <w:rPr>
          <w:rFonts w:ascii="Arial" w:eastAsia="Times New Roman" w:hAnsi="Arial" w:cs="Arial"/>
          <w:kern w:val="0"/>
          <w:sz w:val="20"/>
          <w:szCs w:val="20"/>
          <w:lang w:val="en-US" w:bidi="hi-IN"/>
          <w14:ligatures w14:val="none"/>
        </w:rPr>
        <w:t>Pranovi</w:t>
      </w:r>
      <w:proofErr w:type="spellEnd"/>
      <w:r w:rsidRPr="0059270C">
        <w:rPr>
          <w:rFonts w:ascii="Arial" w:eastAsia="Times New Roman" w:hAnsi="Arial" w:cs="Arial"/>
          <w:kern w:val="0"/>
          <w:sz w:val="20"/>
          <w:szCs w:val="20"/>
          <w:lang w:val="en-US" w:bidi="hi-IN"/>
          <w14:ligatures w14:val="none"/>
        </w:rPr>
        <w:t xml:space="preserve">, F. (2023). Is the small-scale fishery more sustainable in terms of GHG emissions? A case study analysis from the Central Mediterranean Sea. </w:t>
      </w:r>
      <w:r w:rsidRPr="0059270C">
        <w:rPr>
          <w:rFonts w:ascii="Arial" w:eastAsia="Times New Roman" w:hAnsi="Arial" w:cs="Arial"/>
          <w:i/>
          <w:iCs/>
          <w:kern w:val="0"/>
          <w:sz w:val="20"/>
          <w:szCs w:val="20"/>
          <w:lang w:val="en-US" w:bidi="hi-IN"/>
          <w14:ligatures w14:val="none"/>
        </w:rPr>
        <w:t>Marine Policy</w:t>
      </w:r>
      <w:r w:rsidRPr="0059270C">
        <w:rPr>
          <w:rFonts w:ascii="Arial" w:eastAsia="Times New Roman" w:hAnsi="Arial" w:cs="Arial"/>
          <w:kern w:val="0"/>
          <w:sz w:val="20"/>
          <w:szCs w:val="20"/>
          <w:lang w:val="en-US" w:bidi="hi-IN"/>
          <w14:ligatures w14:val="none"/>
        </w:rPr>
        <w:t xml:space="preserve">, 148, 105474. </w:t>
      </w:r>
      <w:hyperlink r:id="rId22" w:tgtFrame="_new" w:history="1">
        <w:r w:rsidRPr="0059270C">
          <w:rPr>
            <w:rStyle w:val="Hyperlink"/>
            <w:rFonts w:ascii="Arial" w:eastAsia="Times New Roman" w:hAnsi="Arial" w:cs="Arial"/>
            <w:color w:val="auto"/>
            <w:kern w:val="0"/>
            <w:sz w:val="20"/>
            <w:szCs w:val="20"/>
            <w:lang w:val="en-US" w:bidi="hi-IN"/>
            <w14:ligatures w14:val="none"/>
          </w:rPr>
          <w:t>https://doi.org/10.1016/j.marpol.2023.105474</w:t>
        </w:r>
      </w:hyperlink>
    </w:p>
    <w:p w14:paraId="3CAB6E08"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t>Chassot</w:t>
      </w:r>
      <w:proofErr w:type="spellEnd"/>
      <w:r w:rsidRPr="0059270C">
        <w:rPr>
          <w:rFonts w:ascii="Arial" w:eastAsia="Times New Roman" w:hAnsi="Arial" w:cs="Arial"/>
          <w:kern w:val="0"/>
          <w:sz w:val="20"/>
          <w:szCs w:val="20"/>
          <w:lang w:val="en-US" w:bidi="hi-IN"/>
          <w14:ligatures w14:val="none"/>
        </w:rPr>
        <w:t xml:space="preserve">, E., Antoine, S., </w:t>
      </w:r>
      <w:proofErr w:type="spellStart"/>
      <w:r w:rsidRPr="0059270C">
        <w:rPr>
          <w:rFonts w:ascii="Arial" w:eastAsia="Times New Roman" w:hAnsi="Arial" w:cs="Arial"/>
          <w:kern w:val="0"/>
          <w:sz w:val="20"/>
          <w:szCs w:val="20"/>
          <w:lang w:val="en-US" w:bidi="hi-IN"/>
          <w14:ligatures w14:val="none"/>
        </w:rPr>
        <w:t>Guillotreau</w:t>
      </w:r>
      <w:proofErr w:type="spellEnd"/>
      <w:r w:rsidRPr="0059270C">
        <w:rPr>
          <w:rFonts w:ascii="Arial" w:eastAsia="Times New Roman" w:hAnsi="Arial" w:cs="Arial"/>
          <w:kern w:val="0"/>
          <w:sz w:val="20"/>
          <w:szCs w:val="20"/>
          <w:lang w:val="en-US" w:bidi="hi-IN"/>
          <w14:ligatures w14:val="none"/>
        </w:rPr>
        <w:t xml:space="preserve">, P., Lucas, J., Assan, C., Marguerite, M.A. and Bodin, N. (2021). Fuel consumption and air emissions in one of the world’s largest commercial fisheries. </w:t>
      </w:r>
      <w:r w:rsidRPr="0059270C">
        <w:rPr>
          <w:rFonts w:ascii="Arial" w:eastAsia="Times New Roman" w:hAnsi="Arial" w:cs="Arial"/>
          <w:i/>
          <w:iCs/>
          <w:kern w:val="0"/>
          <w:sz w:val="20"/>
          <w:szCs w:val="20"/>
          <w:lang w:val="en-US" w:bidi="hi-IN"/>
          <w14:ligatures w14:val="none"/>
        </w:rPr>
        <w:t>Environmental Pollution</w:t>
      </w:r>
      <w:r w:rsidRPr="0059270C">
        <w:rPr>
          <w:rFonts w:ascii="Arial" w:eastAsia="Times New Roman" w:hAnsi="Arial" w:cs="Arial"/>
          <w:kern w:val="0"/>
          <w:sz w:val="20"/>
          <w:szCs w:val="20"/>
          <w:lang w:val="en-US" w:bidi="hi-IN"/>
          <w14:ligatures w14:val="none"/>
        </w:rPr>
        <w:t xml:space="preserve">, 273, 116454. </w:t>
      </w:r>
      <w:hyperlink r:id="rId23" w:tgtFrame="_new" w:history="1">
        <w:r w:rsidRPr="0059270C">
          <w:rPr>
            <w:rStyle w:val="Hyperlink"/>
            <w:rFonts w:ascii="Arial" w:eastAsia="Times New Roman" w:hAnsi="Arial" w:cs="Arial"/>
            <w:color w:val="auto"/>
            <w:kern w:val="0"/>
            <w:sz w:val="20"/>
            <w:szCs w:val="20"/>
            <w:lang w:val="en-US" w:bidi="hi-IN"/>
            <w14:ligatures w14:val="none"/>
          </w:rPr>
          <w:t>https://doi.org/10.1016/j.envpol.2021.116454</w:t>
        </w:r>
      </w:hyperlink>
    </w:p>
    <w:p w14:paraId="17A8FB1B"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CMFRI (2020). </w:t>
      </w:r>
      <w:r w:rsidRPr="0059270C">
        <w:rPr>
          <w:rFonts w:ascii="Arial" w:eastAsia="Times New Roman" w:hAnsi="Arial" w:cs="Arial"/>
          <w:i/>
          <w:iCs/>
          <w:kern w:val="0"/>
          <w:sz w:val="20"/>
          <w:szCs w:val="20"/>
          <w:lang w:val="en-US" w:bidi="hi-IN"/>
          <w14:ligatures w14:val="none"/>
        </w:rPr>
        <w:t>CMFRI Annual Report 2020</w:t>
      </w:r>
      <w:r w:rsidRPr="0059270C">
        <w:rPr>
          <w:rFonts w:ascii="Arial" w:eastAsia="Times New Roman" w:hAnsi="Arial" w:cs="Arial"/>
          <w:kern w:val="0"/>
          <w:sz w:val="20"/>
          <w:szCs w:val="20"/>
          <w:lang w:val="en-US" w:bidi="hi-IN"/>
          <w14:ligatures w14:val="none"/>
        </w:rPr>
        <w:t>. Central Marine Fisheries Research Institute, Kochi, 266 pp.</w:t>
      </w:r>
    </w:p>
    <w:p w14:paraId="48B5F840"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Das, P.H.D. and Edwin, L. (2016). Comparative environmental life cycle assessment of Indian oil sardine fishery of Kerala, India. </w:t>
      </w:r>
      <w:r w:rsidRPr="0059270C">
        <w:rPr>
          <w:rFonts w:ascii="Arial" w:eastAsia="Times New Roman" w:hAnsi="Arial" w:cs="Arial"/>
          <w:i/>
          <w:iCs/>
          <w:kern w:val="0"/>
          <w:sz w:val="20"/>
          <w:szCs w:val="20"/>
          <w:lang w:val="en-US" w:bidi="hi-IN"/>
          <w14:ligatures w14:val="none"/>
        </w:rPr>
        <w:t>Indian Journal of Fisheries</w:t>
      </w:r>
      <w:r w:rsidRPr="0059270C">
        <w:rPr>
          <w:rFonts w:ascii="Arial" w:eastAsia="Times New Roman" w:hAnsi="Arial" w:cs="Arial"/>
          <w:kern w:val="0"/>
          <w:sz w:val="20"/>
          <w:szCs w:val="20"/>
          <w:lang w:val="en-US" w:bidi="hi-IN"/>
          <w14:ligatures w14:val="none"/>
        </w:rPr>
        <w:t>, 63(3), 38–44.</w:t>
      </w:r>
    </w:p>
    <w:p w14:paraId="6D0099D5"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Deshpande, P.C., Muntaha, S.T. and Alnes, R.B. (2023). Multi-stakeholder perspective to generate evidence and strategies for sustainable management of ropes from the fishing sector of Norway. </w:t>
      </w:r>
      <w:r w:rsidRPr="0059270C">
        <w:rPr>
          <w:rFonts w:ascii="Arial" w:eastAsia="Times New Roman" w:hAnsi="Arial" w:cs="Arial"/>
          <w:i/>
          <w:iCs/>
          <w:kern w:val="0"/>
          <w:sz w:val="20"/>
          <w:szCs w:val="20"/>
          <w:lang w:val="en-US" w:bidi="hi-IN"/>
          <w14:ligatures w14:val="none"/>
        </w:rPr>
        <w:t>Marine Pollution Bulletin</w:t>
      </w:r>
      <w:r w:rsidRPr="0059270C">
        <w:rPr>
          <w:rFonts w:ascii="Arial" w:eastAsia="Times New Roman" w:hAnsi="Arial" w:cs="Arial"/>
          <w:kern w:val="0"/>
          <w:sz w:val="20"/>
          <w:szCs w:val="20"/>
          <w:lang w:val="en-US" w:bidi="hi-IN"/>
          <w14:ligatures w14:val="none"/>
        </w:rPr>
        <w:t xml:space="preserve">, 197, 115798. </w:t>
      </w:r>
      <w:hyperlink r:id="rId24" w:tgtFrame="_new" w:history="1">
        <w:r w:rsidRPr="0059270C">
          <w:rPr>
            <w:rStyle w:val="Hyperlink"/>
            <w:rFonts w:ascii="Arial" w:eastAsia="Times New Roman" w:hAnsi="Arial" w:cs="Arial"/>
            <w:color w:val="auto"/>
            <w:kern w:val="0"/>
            <w:sz w:val="20"/>
            <w:szCs w:val="20"/>
            <w:lang w:val="en-US" w:bidi="hi-IN"/>
            <w14:ligatures w14:val="none"/>
          </w:rPr>
          <w:t>https://doi.org/10.1016/j.marpolbul.2023.115798</w:t>
        </w:r>
      </w:hyperlink>
    </w:p>
    <w:p w14:paraId="4B1A7F3B"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Drakeford, B.M., Forse, A. and </w:t>
      </w:r>
      <w:proofErr w:type="spellStart"/>
      <w:r w:rsidRPr="0059270C">
        <w:rPr>
          <w:rFonts w:ascii="Arial" w:eastAsia="Times New Roman" w:hAnsi="Arial" w:cs="Arial"/>
          <w:kern w:val="0"/>
          <w:sz w:val="20"/>
          <w:szCs w:val="20"/>
          <w:lang w:val="en-US" w:bidi="hi-IN"/>
          <w14:ligatures w14:val="none"/>
        </w:rPr>
        <w:t>Failler</w:t>
      </w:r>
      <w:proofErr w:type="spellEnd"/>
      <w:r w:rsidRPr="0059270C">
        <w:rPr>
          <w:rFonts w:ascii="Arial" w:eastAsia="Times New Roman" w:hAnsi="Arial" w:cs="Arial"/>
          <w:kern w:val="0"/>
          <w:sz w:val="20"/>
          <w:szCs w:val="20"/>
          <w:lang w:val="en-US" w:bidi="hi-IN"/>
          <w14:ligatures w14:val="none"/>
        </w:rPr>
        <w:t xml:space="preserve">, P. (2023). The economic impacts of introducing biodegradable fishing gear as a ghost-fishing mitigation in the English Channel static gear fishery. </w:t>
      </w:r>
      <w:r w:rsidRPr="0059270C">
        <w:rPr>
          <w:rFonts w:ascii="Arial" w:eastAsia="Times New Roman" w:hAnsi="Arial" w:cs="Arial"/>
          <w:i/>
          <w:iCs/>
          <w:kern w:val="0"/>
          <w:sz w:val="20"/>
          <w:szCs w:val="20"/>
          <w:lang w:val="en-US" w:bidi="hi-IN"/>
          <w14:ligatures w14:val="none"/>
        </w:rPr>
        <w:t>Marine Pollution Bulletin</w:t>
      </w:r>
      <w:r w:rsidRPr="0059270C">
        <w:rPr>
          <w:rFonts w:ascii="Arial" w:eastAsia="Times New Roman" w:hAnsi="Arial" w:cs="Arial"/>
          <w:kern w:val="0"/>
          <w:sz w:val="20"/>
          <w:szCs w:val="20"/>
          <w:lang w:val="en-US" w:bidi="hi-IN"/>
          <w14:ligatures w14:val="none"/>
        </w:rPr>
        <w:t xml:space="preserve">, 114918. </w:t>
      </w:r>
      <w:hyperlink r:id="rId25" w:tgtFrame="_new" w:history="1">
        <w:r w:rsidRPr="0059270C">
          <w:rPr>
            <w:rStyle w:val="Hyperlink"/>
            <w:rFonts w:ascii="Arial" w:eastAsia="Times New Roman" w:hAnsi="Arial" w:cs="Arial"/>
            <w:color w:val="auto"/>
            <w:kern w:val="0"/>
            <w:sz w:val="20"/>
            <w:szCs w:val="20"/>
            <w:lang w:val="en-US" w:bidi="hi-IN"/>
            <w14:ligatures w14:val="none"/>
          </w:rPr>
          <w:t>https://doi.org/10.1016/j.marpolbul.2023.114918</w:t>
        </w:r>
      </w:hyperlink>
    </w:p>
    <w:p w14:paraId="528FE834"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lastRenderedPageBreak/>
        <w:t xml:space="preserve">Gephart, J.A., Henriksson, P.J.G., Parker, R., </w:t>
      </w:r>
      <w:proofErr w:type="spellStart"/>
      <w:r w:rsidRPr="0059270C">
        <w:rPr>
          <w:rFonts w:ascii="Arial" w:eastAsia="Times New Roman" w:hAnsi="Arial" w:cs="Arial"/>
          <w:kern w:val="0"/>
          <w:sz w:val="20"/>
          <w:szCs w:val="20"/>
          <w:lang w:val="en-US" w:bidi="hi-IN"/>
          <w14:ligatures w14:val="none"/>
        </w:rPr>
        <w:t>Shepon</w:t>
      </w:r>
      <w:proofErr w:type="spellEnd"/>
      <w:r w:rsidRPr="0059270C">
        <w:rPr>
          <w:rFonts w:ascii="Arial" w:eastAsia="Times New Roman" w:hAnsi="Arial" w:cs="Arial"/>
          <w:kern w:val="0"/>
          <w:sz w:val="20"/>
          <w:szCs w:val="20"/>
          <w:lang w:val="en-US" w:bidi="hi-IN"/>
          <w14:ligatures w14:val="none"/>
        </w:rPr>
        <w:t xml:space="preserve">, A., Gorospe, K.D., Bergman, K., Eshel, G., Golden, C.D., Halpern, B.S., Hornborg, S., Jonell, M., </w:t>
      </w:r>
      <w:proofErr w:type="spellStart"/>
      <w:r w:rsidRPr="0059270C">
        <w:rPr>
          <w:rFonts w:ascii="Arial" w:eastAsia="Times New Roman" w:hAnsi="Arial" w:cs="Arial"/>
          <w:kern w:val="0"/>
          <w:sz w:val="20"/>
          <w:szCs w:val="20"/>
          <w:lang w:val="en-US" w:bidi="hi-IN"/>
          <w14:ligatures w14:val="none"/>
        </w:rPr>
        <w:t>Métian</w:t>
      </w:r>
      <w:proofErr w:type="spellEnd"/>
      <w:r w:rsidRPr="0059270C">
        <w:rPr>
          <w:rFonts w:ascii="Arial" w:eastAsia="Times New Roman" w:hAnsi="Arial" w:cs="Arial"/>
          <w:kern w:val="0"/>
          <w:sz w:val="20"/>
          <w:szCs w:val="20"/>
          <w:lang w:val="en-US" w:bidi="hi-IN"/>
          <w14:ligatures w14:val="none"/>
        </w:rPr>
        <w:t xml:space="preserve">, M., Mifflin, K., Newton, R., </w:t>
      </w:r>
      <w:proofErr w:type="spellStart"/>
      <w:r w:rsidRPr="0059270C">
        <w:rPr>
          <w:rFonts w:ascii="Arial" w:eastAsia="Times New Roman" w:hAnsi="Arial" w:cs="Arial"/>
          <w:kern w:val="0"/>
          <w:sz w:val="20"/>
          <w:szCs w:val="20"/>
          <w:lang w:val="en-US" w:bidi="hi-IN"/>
          <w14:ligatures w14:val="none"/>
        </w:rPr>
        <w:t>Tyedmers</w:t>
      </w:r>
      <w:proofErr w:type="spellEnd"/>
      <w:r w:rsidRPr="0059270C">
        <w:rPr>
          <w:rFonts w:ascii="Arial" w:eastAsia="Times New Roman" w:hAnsi="Arial" w:cs="Arial"/>
          <w:kern w:val="0"/>
          <w:sz w:val="20"/>
          <w:szCs w:val="20"/>
          <w:lang w:val="en-US" w:bidi="hi-IN"/>
          <w14:ligatures w14:val="none"/>
        </w:rPr>
        <w:t xml:space="preserve">, P., Zhang, W., Ziegler, F. and Troell, M. (2021). Environmental performance of blue foods. </w:t>
      </w:r>
      <w:r w:rsidRPr="0059270C">
        <w:rPr>
          <w:rFonts w:ascii="Arial" w:eastAsia="Times New Roman" w:hAnsi="Arial" w:cs="Arial"/>
          <w:i/>
          <w:iCs/>
          <w:kern w:val="0"/>
          <w:sz w:val="20"/>
          <w:szCs w:val="20"/>
          <w:lang w:val="en-US" w:bidi="hi-IN"/>
          <w14:ligatures w14:val="none"/>
        </w:rPr>
        <w:t>Nature</w:t>
      </w:r>
      <w:r w:rsidRPr="0059270C">
        <w:rPr>
          <w:rFonts w:ascii="Arial" w:eastAsia="Times New Roman" w:hAnsi="Arial" w:cs="Arial"/>
          <w:kern w:val="0"/>
          <w:sz w:val="20"/>
          <w:szCs w:val="20"/>
          <w:lang w:val="en-US" w:bidi="hi-IN"/>
          <w14:ligatures w14:val="none"/>
        </w:rPr>
        <w:t xml:space="preserve">, 597(7876), 360–367. </w:t>
      </w:r>
      <w:hyperlink r:id="rId26" w:tgtFrame="_new" w:history="1">
        <w:r w:rsidRPr="0059270C">
          <w:rPr>
            <w:rStyle w:val="Hyperlink"/>
            <w:rFonts w:ascii="Arial" w:eastAsia="Times New Roman" w:hAnsi="Arial" w:cs="Arial"/>
            <w:color w:val="auto"/>
            <w:kern w:val="0"/>
            <w:sz w:val="20"/>
            <w:szCs w:val="20"/>
            <w:lang w:val="en-US" w:bidi="hi-IN"/>
            <w14:ligatures w14:val="none"/>
          </w:rPr>
          <w:t>https://doi.org/10.1038/s41586-021-03889-2</w:t>
        </w:r>
      </w:hyperlink>
    </w:p>
    <w:p w14:paraId="177993F9"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Grimaldo, E., Herrmann, B., Jacques, N., </w:t>
      </w:r>
      <w:proofErr w:type="spellStart"/>
      <w:r w:rsidRPr="0059270C">
        <w:rPr>
          <w:rFonts w:ascii="Arial" w:eastAsia="Times New Roman" w:hAnsi="Arial" w:cs="Arial"/>
          <w:kern w:val="0"/>
          <w:sz w:val="20"/>
          <w:szCs w:val="20"/>
          <w:lang w:val="en-US" w:bidi="hi-IN"/>
          <w14:ligatures w14:val="none"/>
        </w:rPr>
        <w:t>Vollstad</w:t>
      </w:r>
      <w:proofErr w:type="spellEnd"/>
      <w:r w:rsidRPr="0059270C">
        <w:rPr>
          <w:rFonts w:ascii="Arial" w:eastAsia="Times New Roman" w:hAnsi="Arial" w:cs="Arial"/>
          <w:kern w:val="0"/>
          <w:sz w:val="20"/>
          <w:szCs w:val="20"/>
          <w:lang w:val="en-US" w:bidi="hi-IN"/>
          <w14:ligatures w14:val="none"/>
        </w:rPr>
        <w:t xml:space="preserve">, J. and Su, B., 2020. Effect of mechanical properties of monofilament twines on the catch efficiency of biodegradable gillnets. </w:t>
      </w:r>
      <w:proofErr w:type="spellStart"/>
      <w:r w:rsidRPr="0059270C">
        <w:rPr>
          <w:rFonts w:ascii="Arial" w:eastAsia="Times New Roman" w:hAnsi="Arial" w:cs="Arial"/>
          <w:i/>
          <w:iCs/>
          <w:kern w:val="0"/>
          <w:sz w:val="20"/>
          <w:szCs w:val="20"/>
          <w:lang w:val="en-US" w:bidi="hi-IN"/>
          <w14:ligatures w14:val="none"/>
        </w:rPr>
        <w:t>PLoS</w:t>
      </w:r>
      <w:proofErr w:type="spellEnd"/>
      <w:r w:rsidRPr="0059270C">
        <w:rPr>
          <w:rFonts w:ascii="Arial" w:eastAsia="Times New Roman" w:hAnsi="Arial" w:cs="Arial"/>
          <w:i/>
          <w:iCs/>
          <w:kern w:val="0"/>
          <w:sz w:val="20"/>
          <w:szCs w:val="20"/>
          <w:lang w:val="en-US" w:bidi="hi-IN"/>
          <w14:ligatures w14:val="none"/>
        </w:rPr>
        <w:t xml:space="preserve"> ONE</w:t>
      </w:r>
      <w:r w:rsidRPr="0059270C">
        <w:rPr>
          <w:rFonts w:ascii="Arial" w:eastAsia="Times New Roman" w:hAnsi="Arial" w:cs="Arial"/>
          <w:kern w:val="0"/>
          <w:sz w:val="20"/>
          <w:szCs w:val="20"/>
          <w:lang w:val="en-US" w:bidi="hi-IN"/>
          <w14:ligatures w14:val="none"/>
        </w:rPr>
        <w:t xml:space="preserve">, 15(9): e0234224. </w:t>
      </w:r>
      <w:hyperlink r:id="rId27" w:tgtFrame="_new" w:history="1">
        <w:r w:rsidRPr="0059270C">
          <w:rPr>
            <w:rStyle w:val="Hyperlink"/>
            <w:rFonts w:ascii="Arial" w:eastAsia="Times New Roman" w:hAnsi="Arial" w:cs="Arial"/>
            <w:color w:val="auto"/>
            <w:kern w:val="0"/>
            <w:sz w:val="20"/>
            <w:szCs w:val="20"/>
            <w:lang w:val="en-US" w:bidi="hi-IN"/>
            <w14:ligatures w14:val="none"/>
          </w:rPr>
          <w:t>https://doi.org/10.1371/journal.pone.0234224</w:t>
        </w:r>
      </w:hyperlink>
    </w:p>
    <w:p w14:paraId="2E2E8875"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Hornborg, S. and Smith, A.D.M., 2020. Fisheries for the future: Greenhouse gas emission consequences of different fishery reference points. </w:t>
      </w:r>
      <w:r w:rsidRPr="0059270C">
        <w:rPr>
          <w:rFonts w:ascii="Arial" w:eastAsia="Times New Roman" w:hAnsi="Arial" w:cs="Arial"/>
          <w:i/>
          <w:iCs/>
          <w:kern w:val="0"/>
          <w:sz w:val="20"/>
          <w:szCs w:val="20"/>
          <w:lang w:val="en-US" w:bidi="hi-IN"/>
          <w14:ligatures w14:val="none"/>
        </w:rPr>
        <w:t>ICES Journal of Marine Science</w:t>
      </w:r>
      <w:r w:rsidRPr="0059270C">
        <w:rPr>
          <w:rFonts w:ascii="Arial" w:eastAsia="Times New Roman" w:hAnsi="Arial" w:cs="Arial"/>
          <w:kern w:val="0"/>
          <w:sz w:val="20"/>
          <w:szCs w:val="20"/>
          <w:lang w:val="en-US" w:bidi="hi-IN"/>
          <w14:ligatures w14:val="none"/>
        </w:rPr>
        <w:t xml:space="preserve">, 77(5): 1666–1677. </w:t>
      </w:r>
      <w:hyperlink r:id="rId28" w:tgtFrame="_new" w:history="1">
        <w:r w:rsidRPr="0059270C">
          <w:rPr>
            <w:rStyle w:val="Hyperlink"/>
            <w:rFonts w:ascii="Arial" w:eastAsia="Times New Roman" w:hAnsi="Arial" w:cs="Arial"/>
            <w:color w:val="auto"/>
            <w:kern w:val="0"/>
            <w:sz w:val="20"/>
            <w:szCs w:val="20"/>
            <w:lang w:val="en-US" w:bidi="hi-IN"/>
            <w14:ligatures w14:val="none"/>
          </w:rPr>
          <w:t>https://doi.org/10.1093/icesjms/fsaa077</w:t>
        </w:r>
      </w:hyperlink>
    </w:p>
    <w:p w14:paraId="4A35B18B" w14:textId="77777777" w:rsidR="000E4C63" w:rsidRPr="0059270C"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Hornborg, S., Nilsson, P., Valentinsson, D. and Ziegler, F., 2012. Integrated environmental assessment of fisheries management: Swedish </w:t>
      </w:r>
      <w:proofErr w:type="spellStart"/>
      <w:r w:rsidRPr="0059270C">
        <w:rPr>
          <w:rFonts w:ascii="Arial" w:eastAsia="Times New Roman" w:hAnsi="Arial" w:cs="Arial"/>
          <w:kern w:val="0"/>
          <w:sz w:val="20"/>
          <w:szCs w:val="20"/>
          <w:lang w:val="en-US" w:bidi="hi-IN"/>
          <w14:ligatures w14:val="none"/>
        </w:rPr>
        <w:t>Nephrops</w:t>
      </w:r>
      <w:proofErr w:type="spellEnd"/>
      <w:r w:rsidRPr="0059270C">
        <w:rPr>
          <w:rFonts w:ascii="Arial" w:eastAsia="Times New Roman" w:hAnsi="Arial" w:cs="Arial"/>
          <w:kern w:val="0"/>
          <w:sz w:val="20"/>
          <w:szCs w:val="20"/>
          <w:lang w:val="en-US" w:bidi="hi-IN"/>
          <w14:ligatures w14:val="none"/>
        </w:rPr>
        <w:t xml:space="preserve"> trawl fisheries evaluated using a life cycle approach. </w:t>
      </w:r>
      <w:r w:rsidRPr="0059270C">
        <w:rPr>
          <w:rFonts w:ascii="Arial" w:eastAsia="Times New Roman" w:hAnsi="Arial" w:cs="Arial"/>
          <w:i/>
          <w:iCs/>
          <w:kern w:val="0"/>
          <w:sz w:val="20"/>
          <w:szCs w:val="20"/>
          <w:lang w:val="en-US" w:bidi="hi-IN"/>
          <w14:ligatures w14:val="none"/>
        </w:rPr>
        <w:t>Marine Policy</w:t>
      </w:r>
      <w:r w:rsidRPr="0059270C">
        <w:rPr>
          <w:rFonts w:ascii="Arial" w:eastAsia="Times New Roman" w:hAnsi="Arial" w:cs="Arial"/>
          <w:kern w:val="0"/>
          <w:sz w:val="20"/>
          <w:szCs w:val="20"/>
          <w:lang w:val="en-US" w:bidi="hi-IN"/>
          <w14:ligatures w14:val="none"/>
        </w:rPr>
        <w:t xml:space="preserve">, 36(6): 1193–1201. </w:t>
      </w:r>
      <w:hyperlink r:id="rId29" w:tgtFrame="_new" w:history="1">
        <w:r w:rsidRPr="0059270C">
          <w:rPr>
            <w:rStyle w:val="Hyperlink"/>
            <w:rFonts w:ascii="Arial" w:eastAsia="Times New Roman" w:hAnsi="Arial" w:cs="Arial"/>
            <w:color w:val="auto"/>
            <w:kern w:val="0"/>
            <w:sz w:val="20"/>
            <w:szCs w:val="20"/>
            <w:lang w:val="en-US" w:bidi="hi-IN"/>
            <w14:ligatures w14:val="none"/>
          </w:rPr>
          <w:t>https://doi.org/10.1016/j.marpol.2012.02.017</w:t>
        </w:r>
      </w:hyperlink>
    </w:p>
    <w:p w14:paraId="28034C1D" w14:textId="77777777" w:rsidR="006555AF" w:rsidRPr="0059270C"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Iburahim, A., Pradhan, S.K., Nirmal, T., Ratheesh Kumar, R., Kamat, S. and Shenoy, L., 2017. Catch composition and discards in set bagnets of Karanja estuary, Raigad, Maharashtra. </w:t>
      </w:r>
      <w:r w:rsidRPr="0059270C">
        <w:rPr>
          <w:rFonts w:ascii="Arial" w:eastAsia="Times New Roman" w:hAnsi="Arial" w:cs="Arial"/>
          <w:i/>
          <w:iCs/>
          <w:kern w:val="0"/>
          <w:sz w:val="20"/>
          <w:szCs w:val="20"/>
          <w:lang w:val="en-US" w:bidi="hi-IN"/>
          <w14:ligatures w14:val="none"/>
        </w:rPr>
        <w:t>Journal of Indian Fisheries Association</w:t>
      </w:r>
      <w:r w:rsidRPr="0059270C">
        <w:rPr>
          <w:rFonts w:ascii="Arial" w:eastAsia="Times New Roman" w:hAnsi="Arial" w:cs="Arial"/>
          <w:kern w:val="0"/>
          <w:sz w:val="20"/>
          <w:szCs w:val="20"/>
          <w:lang w:val="en-US" w:bidi="hi-IN"/>
          <w14:ligatures w14:val="none"/>
        </w:rPr>
        <w:t>, 44: 17–29.</w:t>
      </w:r>
    </w:p>
    <w:p w14:paraId="60C5F611" w14:textId="77777777" w:rsidR="00117817" w:rsidRPr="0059270C" w:rsidRDefault="00117817"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bidi="hi-IN"/>
          <w14:ligatures w14:val="none"/>
        </w:rPr>
        <w:t>Kazi, T. G., Mohite, A. S., &amp; Jadhav, R. R. (2011). Design and general characteristics of sole fish gill nets of Ratnagiri, Maharashtra. </w:t>
      </w:r>
      <w:r w:rsidRPr="0059270C">
        <w:rPr>
          <w:rFonts w:ascii="Arial" w:eastAsia="Times New Roman" w:hAnsi="Arial" w:cs="Arial"/>
          <w:i/>
          <w:iCs/>
          <w:kern w:val="0"/>
          <w:sz w:val="20"/>
          <w:szCs w:val="20"/>
          <w:lang w:bidi="hi-IN"/>
          <w14:ligatures w14:val="none"/>
        </w:rPr>
        <w:t>Indian Journal of Marine Sciences</w:t>
      </w:r>
      <w:r w:rsidRPr="0059270C">
        <w:rPr>
          <w:rFonts w:ascii="Arial" w:eastAsia="Times New Roman" w:hAnsi="Arial" w:cs="Arial"/>
          <w:kern w:val="0"/>
          <w:sz w:val="20"/>
          <w:szCs w:val="20"/>
          <w:lang w:bidi="hi-IN"/>
          <w14:ligatures w14:val="none"/>
        </w:rPr>
        <w:t>, </w:t>
      </w:r>
      <w:r w:rsidRPr="0059270C">
        <w:rPr>
          <w:rFonts w:ascii="Arial" w:eastAsia="Times New Roman" w:hAnsi="Arial" w:cs="Arial"/>
          <w:i/>
          <w:iCs/>
          <w:kern w:val="0"/>
          <w:sz w:val="20"/>
          <w:szCs w:val="20"/>
          <w:lang w:bidi="hi-IN"/>
          <w14:ligatures w14:val="none"/>
        </w:rPr>
        <w:t>40</w:t>
      </w:r>
      <w:r w:rsidRPr="0059270C">
        <w:rPr>
          <w:rFonts w:ascii="Arial" w:eastAsia="Times New Roman" w:hAnsi="Arial" w:cs="Arial"/>
          <w:kern w:val="0"/>
          <w:sz w:val="20"/>
          <w:szCs w:val="20"/>
          <w:lang w:bidi="hi-IN"/>
          <w14:ligatures w14:val="none"/>
        </w:rPr>
        <w:t>(5), 722.</w:t>
      </w:r>
    </w:p>
    <w:p w14:paraId="06856395" w14:textId="1BA33F74" w:rsidR="006555AF" w:rsidRPr="0059270C"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Kemp, P.S., Subbiah, G., Barnes, R., </w:t>
      </w:r>
      <w:proofErr w:type="spellStart"/>
      <w:r w:rsidRPr="0059270C">
        <w:rPr>
          <w:rFonts w:ascii="Arial" w:eastAsia="Times New Roman" w:hAnsi="Arial" w:cs="Arial"/>
          <w:kern w:val="0"/>
          <w:sz w:val="20"/>
          <w:szCs w:val="20"/>
          <w:lang w:val="en-US" w:bidi="hi-IN"/>
          <w14:ligatures w14:val="none"/>
        </w:rPr>
        <w:t>Boerder</w:t>
      </w:r>
      <w:proofErr w:type="spellEnd"/>
      <w:r w:rsidRPr="0059270C">
        <w:rPr>
          <w:rFonts w:ascii="Arial" w:eastAsia="Times New Roman" w:hAnsi="Arial" w:cs="Arial"/>
          <w:kern w:val="0"/>
          <w:sz w:val="20"/>
          <w:szCs w:val="20"/>
          <w:lang w:val="en-US" w:bidi="hi-IN"/>
          <w14:ligatures w14:val="none"/>
        </w:rPr>
        <w:t xml:space="preserve">, K., O’Leary, B.C., Stewart, B.D. and Williams, C., 2022. Future advances in UK marine fisheries policy: Integrated nexus management, technological advance, and shifting public opinion. </w:t>
      </w:r>
      <w:r w:rsidRPr="0059270C">
        <w:rPr>
          <w:rFonts w:ascii="Arial" w:eastAsia="Times New Roman" w:hAnsi="Arial" w:cs="Arial"/>
          <w:i/>
          <w:iCs/>
          <w:kern w:val="0"/>
          <w:sz w:val="20"/>
          <w:szCs w:val="20"/>
          <w:lang w:val="en-US" w:bidi="hi-IN"/>
          <w14:ligatures w14:val="none"/>
        </w:rPr>
        <w:t>Marine Policy</w:t>
      </w:r>
      <w:r w:rsidRPr="0059270C">
        <w:rPr>
          <w:rFonts w:ascii="Arial" w:eastAsia="Times New Roman" w:hAnsi="Arial" w:cs="Arial"/>
          <w:kern w:val="0"/>
          <w:sz w:val="20"/>
          <w:szCs w:val="20"/>
          <w:lang w:val="en-US" w:bidi="hi-IN"/>
          <w14:ligatures w14:val="none"/>
        </w:rPr>
        <w:t xml:space="preserve">, 147: 105335. </w:t>
      </w:r>
      <w:hyperlink r:id="rId30" w:tgtFrame="_new" w:history="1">
        <w:r w:rsidRPr="0059270C">
          <w:rPr>
            <w:rStyle w:val="Hyperlink"/>
            <w:rFonts w:ascii="Arial" w:eastAsia="Times New Roman" w:hAnsi="Arial" w:cs="Arial"/>
            <w:color w:val="auto"/>
            <w:kern w:val="0"/>
            <w:sz w:val="20"/>
            <w:szCs w:val="20"/>
            <w:lang w:val="en-US" w:bidi="hi-IN"/>
            <w14:ligatures w14:val="none"/>
          </w:rPr>
          <w:t>https://doi.org/10.1016/j.marpol.2022.105335</w:t>
        </w:r>
      </w:hyperlink>
    </w:p>
    <w:p w14:paraId="464A0C77" w14:textId="77777777" w:rsidR="006555AF" w:rsidRPr="0059270C"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Kim, S., Kim, P., Lim, J.P., An, H. and Suuronen, P., 2016. Use of biodegradable driftnets to prevent ghost fishing: physical properties and fishing performance for yellow croaker. </w:t>
      </w:r>
      <w:r w:rsidRPr="0059270C">
        <w:rPr>
          <w:rFonts w:ascii="Arial" w:eastAsia="Times New Roman" w:hAnsi="Arial" w:cs="Arial"/>
          <w:i/>
          <w:iCs/>
          <w:kern w:val="0"/>
          <w:sz w:val="20"/>
          <w:szCs w:val="20"/>
          <w:lang w:val="en-US" w:bidi="hi-IN"/>
          <w14:ligatures w14:val="none"/>
        </w:rPr>
        <w:t>Animal Conservation</w:t>
      </w:r>
      <w:r w:rsidRPr="0059270C">
        <w:rPr>
          <w:rFonts w:ascii="Arial" w:eastAsia="Times New Roman" w:hAnsi="Arial" w:cs="Arial"/>
          <w:kern w:val="0"/>
          <w:sz w:val="20"/>
          <w:szCs w:val="20"/>
          <w:lang w:val="en-US" w:bidi="hi-IN"/>
          <w14:ligatures w14:val="none"/>
        </w:rPr>
        <w:t xml:space="preserve">, 19(4): 309–319. </w:t>
      </w:r>
      <w:hyperlink r:id="rId31" w:tgtFrame="_new" w:history="1">
        <w:r w:rsidRPr="0059270C">
          <w:rPr>
            <w:rStyle w:val="Hyperlink"/>
            <w:rFonts w:ascii="Arial" w:eastAsia="Times New Roman" w:hAnsi="Arial" w:cs="Arial"/>
            <w:color w:val="auto"/>
            <w:kern w:val="0"/>
            <w:sz w:val="20"/>
            <w:szCs w:val="20"/>
            <w:lang w:val="en-US" w:bidi="hi-IN"/>
            <w14:ligatures w14:val="none"/>
          </w:rPr>
          <w:t>https://doi.org/10.1111/acv.12256</w:t>
        </w:r>
      </w:hyperlink>
    </w:p>
    <w:p w14:paraId="2FC098A6" w14:textId="77777777" w:rsidR="006555AF" w:rsidRPr="0059270C" w:rsidRDefault="006555AF"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Lee, J. and Lee, C.W., 2010. Low-carbon trawl design with analysis of gear drag and calculation of construction costs using numerical methods. </w:t>
      </w:r>
      <w:r w:rsidRPr="0059270C">
        <w:rPr>
          <w:rFonts w:ascii="Arial" w:hAnsi="Arial" w:cs="Arial"/>
          <w:i/>
          <w:iCs/>
          <w:sz w:val="20"/>
          <w:szCs w:val="20"/>
          <w:lang w:val="en-US"/>
        </w:rPr>
        <w:t>Korean Society of Fisheries Technology</w:t>
      </w:r>
      <w:r w:rsidRPr="0059270C">
        <w:rPr>
          <w:rFonts w:ascii="Arial" w:hAnsi="Arial" w:cs="Arial"/>
          <w:sz w:val="20"/>
          <w:szCs w:val="20"/>
          <w:lang w:val="en-US"/>
        </w:rPr>
        <w:t xml:space="preserve">, 46(4): 313–323. </w:t>
      </w:r>
      <w:hyperlink r:id="rId32" w:tgtFrame="_new" w:history="1">
        <w:r w:rsidRPr="0059270C">
          <w:rPr>
            <w:rStyle w:val="Hyperlink"/>
            <w:rFonts w:ascii="Arial" w:hAnsi="Arial" w:cs="Arial"/>
            <w:color w:val="auto"/>
            <w:sz w:val="20"/>
            <w:szCs w:val="20"/>
            <w:lang w:val="en-US"/>
          </w:rPr>
          <w:t>https://doi.org/10.3796/KSFT.2010.46.4.313</w:t>
        </w:r>
      </w:hyperlink>
    </w:p>
    <w:p w14:paraId="0AACF140" w14:textId="77777777" w:rsidR="006555AF" w:rsidRPr="0059270C" w:rsidRDefault="006555AF"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Liu, J. and So, P.Y., 2023. Analysis of positioning factors affecting the sustainable fishing gear – set net. </w:t>
      </w:r>
      <w:r w:rsidRPr="0059270C">
        <w:rPr>
          <w:rFonts w:ascii="Arial" w:hAnsi="Arial" w:cs="Arial"/>
          <w:i/>
          <w:iCs/>
          <w:sz w:val="20"/>
          <w:szCs w:val="20"/>
          <w:lang w:val="en-US"/>
        </w:rPr>
        <w:t>Fisheries Research</w:t>
      </w:r>
      <w:r w:rsidRPr="0059270C">
        <w:rPr>
          <w:rFonts w:ascii="Arial" w:hAnsi="Arial" w:cs="Arial"/>
          <w:sz w:val="20"/>
          <w:szCs w:val="20"/>
          <w:lang w:val="en-US"/>
        </w:rPr>
        <w:t xml:space="preserve">, 269: 106865. </w:t>
      </w:r>
      <w:hyperlink r:id="rId33" w:tgtFrame="_new" w:history="1">
        <w:r w:rsidRPr="0059270C">
          <w:rPr>
            <w:rStyle w:val="Hyperlink"/>
            <w:rFonts w:ascii="Arial" w:hAnsi="Arial" w:cs="Arial"/>
            <w:color w:val="auto"/>
            <w:sz w:val="20"/>
            <w:szCs w:val="20"/>
            <w:lang w:val="en-US"/>
          </w:rPr>
          <w:t>https://doi.org/10.1016/j.fishres.2023.106865</w:t>
        </w:r>
      </w:hyperlink>
    </w:p>
    <w:p w14:paraId="27AFC8AB" w14:textId="77777777" w:rsidR="006555AF" w:rsidRPr="0059270C" w:rsidRDefault="006555AF"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Liu, Y., Li, H., Huang, S., An, H., Santagata, R. and </w:t>
      </w:r>
      <w:proofErr w:type="spellStart"/>
      <w:r w:rsidRPr="0059270C">
        <w:rPr>
          <w:rFonts w:ascii="Arial" w:hAnsi="Arial" w:cs="Arial"/>
          <w:sz w:val="20"/>
          <w:szCs w:val="20"/>
          <w:lang w:val="en-US"/>
        </w:rPr>
        <w:t>Ulgiati</w:t>
      </w:r>
      <w:proofErr w:type="spellEnd"/>
      <w:r w:rsidRPr="0059270C">
        <w:rPr>
          <w:rFonts w:ascii="Arial" w:hAnsi="Arial" w:cs="Arial"/>
          <w:sz w:val="20"/>
          <w:szCs w:val="20"/>
          <w:lang w:val="en-US"/>
        </w:rPr>
        <w:t xml:space="preserve">, S., 2020. Environmental and economic impact assessment of iron and steel production: A call for shared responsibility in global trade. </w:t>
      </w:r>
      <w:r w:rsidRPr="0059270C">
        <w:rPr>
          <w:rFonts w:ascii="Arial" w:hAnsi="Arial" w:cs="Arial"/>
          <w:i/>
          <w:iCs/>
          <w:sz w:val="20"/>
          <w:szCs w:val="20"/>
          <w:lang w:val="en-US"/>
        </w:rPr>
        <w:t>Journal of Cleaner Production</w:t>
      </w:r>
      <w:r w:rsidRPr="0059270C">
        <w:rPr>
          <w:rFonts w:ascii="Arial" w:hAnsi="Arial" w:cs="Arial"/>
          <w:sz w:val="20"/>
          <w:szCs w:val="20"/>
          <w:lang w:val="en-US"/>
        </w:rPr>
        <w:t xml:space="preserve">, 269: 122239. </w:t>
      </w:r>
      <w:hyperlink r:id="rId34" w:tgtFrame="_new" w:history="1">
        <w:r w:rsidRPr="0059270C">
          <w:rPr>
            <w:rStyle w:val="Hyperlink"/>
            <w:rFonts w:ascii="Arial" w:hAnsi="Arial" w:cs="Arial"/>
            <w:color w:val="auto"/>
            <w:sz w:val="20"/>
            <w:szCs w:val="20"/>
            <w:lang w:val="en-US"/>
          </w:rPr>
          <w:t>https://doi.org/10.1016/j.jclepro.2020.122239</w:t>
        </w:r>
      </w:hyperlink>
    </w:p>
    <w:p w14:paraId="1DB2063D" w14:textId="77777777" w:rsidR="006555AF" w:rsidRPr="0059270C" w:rsidRDefault="006555AF" w:rsidP="00B93836">
      <w:pPr>
        <w:pStyle w:val="ListParagraph"/>
        <w:numPr>
          <w:ilvl w:val="0"/>
          <w:numId w:val="30"/>
        </w:numPr>
        <w:spacing w:after="0" w:line="480" w:lineRule="auto"/>
        <w:jc w:val="both"/>
        <w:rPr>
          <w:rFonts w:ascii="Arial" w:hAnsi="Arial" w:cs="Arial"/>
          <w:sz w:val="20"/>
          <w:szCs w:val="20"/>
          <w:lang w:val="en-US"/>
        </w:rPr>
      </w:pPr>
      <w:proofErr w:type="spellStart"/>
      <w:r w:rsidRPr="0059270C">
        <w:rPr>
          <w:rFonts w:ascii="Arial" w:hAnsi="Arial" w:cs="Arial"/>
          <w:sz w:val="20"/>
          <w:szCs w:val="20"/>
          <w:lang w:val="en-US"/>
        </w:rPr>
        <w:lastRenderedPageBreak/>
        <w:t>Loizidou</w:t>
      </w:r>
      <w:proofErr w:type="spellEnd"/>
      <w:r w:rsidRPr="0059270C">
        <w:rPr>
          <w:rFonts w:ascii="Arial" w:hAnsi="Arial" w:cs="Arial"/>
          <w:sz w:val="20"/>
          <w:szCs w:val="20"/>
          <w:lang w:val="en-US"/>
        </w:rPr>
        <w:t xml:space="preserve">, X.I., </w:t>
      </w:r>
      <w:proofErr w:type="spellStart"/>
      <w:r w:rsidRPr="0059270C">
        <w:rPr>
          <w:rFonts w:ascii="Arial" w:hAnsi="Arial" w:cs="Arial"/>
          <w:sz w:val="20"/>
          <w:szCs w:val="20"/>
          <w:lang w:val="en-US"/>
        </w:rPr>
        <w:t>Orthodoxou</w:t>
      </w:r>
      <w:proofErr w:type="spellEnd"/>
      <w:r w:rsidRPr="0059270C">
        <w:rPr>
          <w:rFonts w:ascii="Arial" w:hAnsi="Arial" w:cs="Arial"/>
          <w:sz w:val="20"/>
          <w:szCs w:val="20"/>
          <w:lang w:val="en-US"/>
        </w:rPr>
        <w:t xml:space="preserve">, D. and Godet, R., 2024. Bioplastic fishing nets as a sustainable alternative against ghost fishing: year-long testing among artisanal fishermen for operational effectiveness and social acceptance. </w:t>
      </w:r>
      <w:r w:rsidRPr="0059270C">
        <w:rPr>
          <w:rFonts w:ascii="Arial" w:hAnsi="Arial" w:cs="Arial"/>
          <w:i/>
          <w:iCs/>
          <w:sz w:val="20"/>
          <w:szCs w:val="20"/>
          <w:lang w:val="en-US"/>
        </w:rPr>
        <w:t>Marine Pollution Bulletin</w:t>
      </w:r>
      <w:r w:rsidRPr="0059270C">
        <w:rPr>
          <w:rFonts w:ascii="Arial" w:hAnsi="Arial" w:cs="Arial"/>
          <w:sz w:val="20"/>
          <w:szCs w:val="20"/>
          <w:lang w:val="en-US"/>
        </w:rPr>
        <w:t xml:space="preserve">, 209: 117300. </w:t>
      </w:r>
      <w:hyperlink r:id="rId35" w:tgtFrame="_new" w:history="1">
        <w:r w:rsidRPr="0059270C">
          <w:rPr>
            <w:rStyle w:val="Hyperlink"/>
            <w:rFonts w:ascii="Arial" w:hAnsi="Arial" w:cs="Arial"/>
            <w:color w:val="auto"/>
            <w:sz w:val="20"/>
            <w:szCs w:val="20"/>
            <w:lang w:val="en-US"/>
          </w:rPr>
          <w:t>https://doi.org/10.1016/j.marpolbul.2024.117300</w:t>
        </w:r>
      </w:hyperlink>
    </w:p>
    <w:p w14:paraId="51A61BE4" w14:textId="77777777" w:rsidR="006555AF" w:rsidRPr="0059270C" w:rsidRDefault="006555AF"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López-Arraiza, A., </w:t>
      </w:r>
      <w:proofErr w:type="spellStart"/>
      <w:r w:rsidRPr="0059270C">
        <w:rPr>
          <w:rFonts w:ascii="Arial" w:hAnsi="Arial" w:cs="Arial"/>
          <w:sz w:val="20"/>
          <w:szCs w:val="20"/>
          <w:lang w:val="en-US"/>
        </w:rPr>
        <w:t>Essamari</w:t>
      </w:r>
      <w:proofErr w:type="spellEnd"/>
      <w:r w:rsidRPr="0059270C">
        <w:rPr>
          <w:rFonts w:ascii="Arial" w:hAnsi="Arial" w:cs="Arial"/>
          <w:sz w:val="20"/>
          <w:szCs w:val="20"/>
          <w:lang w:val="en-US"/>
        </w:rPr>
        <w:t xml:space="preserve">, L., </w:t>
      </w:r>
      <w:proofErr w:type="spellStart"/>
      <w:r w:rsidRPr="0059270C">
        <w:rPr>
          <w:rFonts w:ascii="Arial" w:hAnsi="Arial" w:cs="Arial"/>
          <w:sz w:val="20"/>
          <w:szCs w:val="20"/>
          <w:lang w:val="en-US"/>
        </w:rPr>
        <w:t>Iturrondobeitia</w:t>
      </w:r>
      <w:proofErr w:type="spellEnd"/>
      <w:r w:rsidRPr="0059270C">
        <w:rPr>
          <w:rFonts w:ascii="Arial" w:hAnsi="Arial" w:cs="Arial"/>
          <w:sz w:val="20"/>
          <w:szCs w:val="20"/>
          <w:lang w:val="en-US"/>
        </w:rPr>
        <w:t xml:space="preserve">, M., </w:t>
      </w:r>
      <w:proofErr w:type="spellStart"/>
      <w:r w:rsidRPr="0059270C">
        <w:rPr>
          <w:rFonts w:ascii="Arial" w:hAnsi="Arial" w:cs="Arial"/>
          <w:sz w:val="20"/>
          <w:szCs w:val="20"/>
          <w:lang w:val="en-US"/>
        </w:rPr>
        <w:t>Boullosa-Falces</w:t>
      </w:r>
      <w:proofErr w:type="spellEnd"/>
      <w:r w:rsidRPr="0059270C">
        <w:rPr>
          <w:rFonts w:ascii="Arial" w:hAnsi="Arial" w:cs="Arial"/>
          <w:sz w:val="20"/>
          <w:szCs w:val="20"/>
          <w:lang w:val="en-US"/>
        </w:rPr>
        <w:t xml:space="preserve">, D. and </w:t>
      </w:r>
      <w:proofErr w:type="spellStart"/>
      <w:r w:rsidRPr="0059270C">
        <w:rPr>
          <w:rFonts w:ascii="Arial" w:hAnsi="Arial" w:cs="Arial"/>
          <w:sz w:val="20"/>
          <w:szCs w:val="20"/>
          <w:lang w:val="en-US"/>
        </w:rPr>
        <w:t>Justel</w:t>
      </w:r>
      <w:proofErr w:type="spellEnd"/>
      <w:r w:rsidRPr="0059270C">
        <w:rPr>
          <w:rFonts w:ascii="Arial" w:hAnsi="Arial" w:cs="Arial"/>
          <w:sz w:val="20"/>
          <w:szCs w:val="20"/>
          <w:lang w:val="en-US"/>
        </w:rPr>
        <w:t xml:space="preserve">, D., 2025. Life cycle assessment of glass </w:t>
      </w:r>
      <w:proofErr w:type="spellStart"/>
      <w:r w:rsidRPr="0059270C">
        <w:rPr>
          <w:rFonts w:ascii="Arial" w:hAnsi="Arial" w:cs="Arial"/>
          <w:sz w:val="20"/>
          <w:szCs w:val="20"/>
          <w:lang w:val="en-US"/>
        </w:rPr>
        <w:t>fibre</w:t>
      </w:r>
      <w:proofErr w:type="spellEnd"/>
      <w:r w:rsidRPr="0059270C">
        <w:rPr>
          <w:rFonts w:ascii="Arial" w:hAnsi="Arial" w:cs="Arial"/>
          <w:sz w:val="20"/>
          <w:szCs w:val="20"/>
          <w:lang w:val="en-US"/>
        </w:rPr>
        <w:t xml:space="preserve"> versus flax </w:t>
      </w:r>
      <w:proofErr w:type="spellStart"/>
      <w:r w:rsidRPr="0059270C">
        <w:rPr>
          <w:rFonts w:ascii="Arial" w:hAnsi="Arial" w:cs="Arial"/>
          <w:sz w:val="20"/>
          <w:szCs w:val="20"/>
          <w:lang w:val="en-US"/>
        </w:rPr>
        <w:t>fibre</w:t>
      </w:r>
      <w:proofErr w:type="spellEnd"/>
      <w:r w:rsidRPr="0059270C">
        <w:rPr>
          <w:rFonts w:ascii="Arial" w:hAnsi="Arial" w:cs="Arial"/>
          <w:sz w:val="20"/>
          <w:szCs w:val="20"/>
          <w:lang w:val="en-US"/>
        </w:rPr>
        <w:t xml:space="preserve"> reinforced composite ship hulls. </w:t>
      </w:r>
      <w:r w:rsidRPr="0059270C">
        <w:rPr>
          <w:rFonts w:ascii="Arial" w:hAnsi="Arial" w:cs="Arial"/>
          <w:i/>
          <w:iCs/>
          <w:sz w:val="20"/>
          <w:szCs w:val="20"/>
          <w:lang w:val="en-US"/>
        </w:rPr>
        <w:t>Scientific Reports</w:t>
      </w:r>
      <w:r w:rsidRPr="0059270C">
        <w:rPr>
          <w:rFonts w:ascii="Arial" w:hAnsi="Arial" w:cs="Arial"/>
          <w:sz w:val="20"/>
          <w:szCs w:val="20"/>
          <w:lang w:val="en-US"/>
        </w:rPr>
        <w:t xml:space="preserve">, 15(1). </w:t>
      </w:r>
      <w:hyperlink r:id="rId36" w:tgtFrame="_new" w:history="1">
        <w:r w:rsidRPr="0059270C">
          <w:rPr>
            <w:rStyle w:val="Hyperlink"/>
            <w:rFonts w:ascii="Arial" w:hAnsi="Arial" w:cs="Arial"/>
            <w:color w:val="auto"/>
            <w:sz w:val="20"/>
            <w:szCs w:val="20"/>
            <w:lang w:val="en-US"/>
          </w:rPr>
          <w:t>https://doi.org/10.1038/s41598-025-00811-y</w:t>
        </w:r>
      </w:hyperlink>
    </w:p>
    <w:p w14:paraId="0CE32E41" w14:textId="7D7258EA" w:rsidR="00B20C71" w:rsidRPr="0059270C" w:rsidRDefault="00D15AFE" w:rsidP="00B20C71">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Mohiuddin, K., Ahmed, S., Uddin, M.S., Mi, J.J. and Wang, X., 2024. Emissions estimation of offshore fishing vessels: evidence from real-time voyage data. </w:t>
      </w:r>
      <w:r w:rsidRPr="0059270C">
        <w:rPr>
          <w:rFonts w:ascii="Arial" w:eastAsia="Times New Roman" w:hAnsi="Arial" w:cs="Arial"/>
          <w:i/>
          <w:iCs/>
          <w:kern w:val="0"/>
          <w:sz w:val="20"/>
          <w:szCs w:val="20"/>
          <w:lang w:val="en-US" w:bidi="hi-IN"/>
          <w14:ligatures w14:val="none"/>
        </w:rPr>
        <w:t>Environment, Development and Sustainability</w:t>
      </w:r>
      <w:r w:rsidRPr="0059270C">
        <w:rPr>
          <w:rFonts w:ascii="Arial" w:eastAsia="Times New Roman" w:hAnsi="Arial" w:cs="Arial"/>
          <w:kern w:val="0"/>
          <w:sz w:val="20"/>
          <w:szCs w:val="20"/>
          <w:lang w:val="en-US" w:bidi="hi-IN"/>
          <w14:ligatures w14:val="none"/>
        </w:rPr>
        <w:t xml:space="preserve">. </w:t>
      </w:r>
      <w:hyperlink r:id="rId37" w:tgtFrame="_new" w:history="1">
        <w:r w:rsidRPr="0059270C">
          <w:rPr>
            <w:rStyle w:val="Hyperlink"/>
            <w:rFonts w:ascii="Arial" w:eastAsia="Times New Roman" w:hAnsi="Arial" w:cs="Arial"/>
            <w:color w:val="auto"/>
            <w:kern w:val="0"/>
            <w:sz w:val="20"/>
            <w:szCs w:val="20"/>
            <w:lang w:val="en-US" w:bidi="hi-IN"/>
            <w14:ligatures w14:val="none"/>
          </w:rPr>
          <w:t>https://doi.org/10.1007/s10668-024-04967-x</w:t>
        </w:r>
      </w:hyperlink>
      <w:r w:rsidR="00B20C71" w:rsidRPr="0059270C">
        <w:t xml:space="preserve"> </w:t>
      </w:r>
    </w:p>
    <w:p w14:paraId="33C86AB9" w14:textId="2193ED60" w:rsidR="00B20C71" w:rsidRPr="0059270C" w:rsidRDefault="00B20C71" w:rsidP="00B20C71">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bidi="hi-IN"/>
          <w14:ligatures w14:val="none"/>
        </w:rPr>
        <w:t>Nath Jha, P. (2021). Carbon Footprint and Associated Environmental Impacts in Construction of Fishing Vessels: A Preliminary Study.</w:t>
      </w:r>
      <w:r w:rsidRPr="0059270C">
        <w:rPr>
          <w:rFonts w:ascii="Arial" w:hAnsi="Arial" w:cs="Arial"/>
          <w:sz w:val="20"/>
          <w:szCs w:val="20"/>
          <w:shd w:val="clear" w:color="auto" w:fill="FFFFFF"/>
        </w:rPr>
        <w:t xml:space="preserve"> </w:t>
      </w:r>
      <w:r w:rsidRPr="0059270C">
        <w:rPr>
          <w:rFonts w:ascii="Arial" w:eastAsia="Times New Roman" w:hAnsi="Arial" w:cs="Arial"/>
          <w:i/>
          <w:iCs/>
          <w:kern w:val="0"/>
          <w:sz w:val="20"/>
          <w:szCs w:val="20"/>
          <w:lang w:bidi="hi-IN"/>
          <w14:ligatures w14:val="none"/>
        </w:rPr>
        <w:t>agris.fao.org</w:t>
      </w:r>
      <w:r w:rsidRPr="0059270C">
        <w:rPr>
          <w:rFonts w:ascii="Arial" w:eastAsia="Times New Roman" w:hAnsi="Arial" w:cs="Arial"/>
          <w:kern w:val="0"/>
          <w:sz w:val="20"/>
          <w:szCs w:val="20"/>
          <w:lang w:bidi="hi-IN"/>
          <w14:ligatures w14:val="none"/>
        </w:rPr>
        <w:t>.</w:t>
      </w:r>
      <w:r w:rsidRPr="0059270C">
        <w:t xml:space="preserve"> </w:t>
      </w:r>
      <w:hyperlink r:id="rId38" w:history="1">
        <w:r w:rsidRPr="0059270C">
          <w:rPr>
            <w:rStyle w:val="Hyperlink"/>
            <w:rFonts w:ascii="Arial" w:eastAsia="Times New Roman" w:hAnsi="Arial" w:cs="Arial"/>
            <w:color w:val="auto"/>
            <w:kern w:val="0"/>
            <w:sz w:val="20"/>
            <w:szCs w:val="20"/>
            <w:lang w:bidi="hi-IN"/>
            <w14:ligatures w14:val="none"/>
          </w:rPr>
          <w:t>https://agris.fao.org/search/en/providers/122648/records/647480982d3f560f80b161f0</w:t>
        </w:r>
      </w:hyperlink>
    </w:p>
    <w:p w14:paraId="0916929D" w14:textId="6B169799"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Nwankwo, C.O., Mahachi, J., </w:t>
      </w:r>
      <w:proofErr w:type="spellStart"/>
      <w:r w:rsidRPr="0059270C">
        <w:rPr>
          <w:rFonts w:ascii="Arial" w:eastAsia="Times New Roman" w:hAnsi="Arial" w:cs="Arial"/>
          <w:kern w:val="0"/>
          <w:sz w:val="20"/>
          <w:szCs w:val="20"/>
          <w:lang w:val="en-US" w:bidi="hi-IN"/>
          <w14:ligatures w14:val="none"/>
        </w:rPr>
        <w:t>Olukanni</w:t>
      </w:r>
      <w:proofErr w:type="spellEnd"/>
      <w:r w:rsidRPr="0059270C">
        <w:rPr>
          <w:rFonts w:ascii="Arial" w:eastAsia="Times New Roman" w:hAnsi="Arial" w:cs="Arial"/>
          <w:kern w:val="0"/>
          <w:sz w:val="20"/>
          <w:szCs w:val="20"/>
          <w:lang w:val="en-US" w:bidi="hi-IN"/>
          <w14:ligatures w14:val="none"/>
        </w:rPr>
        <w:t xml:space="preserve">, D.O. and Musonda, I., 2022. Natural </w:t>
      </w:r>
      <w:proofErr w:type="spellStart"/>
      <w:r w:rsidRPr="0059270C">
        <w:rPr>
          <w:rFonts w:ascii="Arial" w:eastAsia="Times New Roman" w:hAnsi="Arial" w:cs="Arial"/>
          <w:kern w:val="0"/>
          <w:sz w:val="20"/>
          <w:szCs w:val="20"/>
          <w:lang w:val="en-US" w:bidi="hi-IN"/>
          <w14:ligatures w14:val="none"/>
        </w:rPr>
        <w:t>fibres</w:t>
      </w:r>
      <w:proofErr w:type="spellEnd"/>
      <w:r w:rsidRPr="0059270C">
        <w:rPr>
          <w:rFonts w:ascii="Arial" w:eastAsia="Times New Roman" w:hAnsi="Arial" w:cs="Arial"/>
          <w:kern w:val="0"/>
          <w:sz w:val="20"/>
          <w:szCs w:val="20"/>
          <w:lang w:val="en-US" w:bidi="hi-IN"/>
          <w14:ligatures w14:val="none"/>
        </w:rPr>
        <w:t xml:space="preserve"> and biopolymers in FRP composites for strengthening concrete structures: a mixed review. </w:t>
      </w:r>
      <w:r w:rsidRPr="0059270C">
        <w:rPr>
          <w:rFonts w:ascii="Arial" w:eastAsia="Times New Roman" w:hAnsi="Arial" w:cs="Arial"/>
          <w:i/>
          <w:iCs/>
          <w:kern w:val="0"/>
          <w:sz w:val="20"/>
          <w:szCs w:val="20"/>
          <w:lang w:val="en-US" w:bidi="hi-IN"/>
          <w14:ligatures w14:val="none"/>
        </w:rPr>
        <w:t>Construction and Building Materials</w:t>
      </w:r>
      <w:r w:rsidRPr="0059270C">
        <w:rPr>
          <w:rFonts w:ascii="Arial" w:eastAsia="Times New Roman" w:hAnsi="Arial" w:cs="Arial"/>
          <w:kern w:val="0"/>
          <w:sz w:val="20"/>
          <w:szCs w:val="20"/>
          <w:lang w:val="en-US" w:bidi="hi-IN"/>
          <w14:ligatures w14:val="none"/>
        </w:rPr>
        <w:t xml:space="preserve">, 363: 129661. </w:t>
      </w:r>
      <w:hyperlink r:id="rId39" w:tgtFrame="_new" w:history="1">
        <w:r w:rsidRPr="0059270C">
          <w:rPr>
            <w:rStyle w:val="Hyperlink"/>
            <w:rFonts w:ascii="Arial" w:eastAsia="Times New Roman" w:hAnsi="Arial" w:cs="Arial"/>
            <w:color w:val="auto"/>
            <w:kern w:val="0"/>
            <w:sz w:val="20"/>
            <w:szCs w:val="20"/>
            <w:lang w:val="en-US" w:bidi="hi-IN"/>
            <w14:ligatures w14:val="none"/>
          </w:rPr>
          <w:t>https://doi.org/10.1016/j.conbuildmat.2022.129661</w:t>
        </w:r>
      </w:hyperlink>
    </w:p>
    <w:p w14:paraId="42033F0B"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Najmudeen, T.M., 2023. Overview of marine fisheries of India. </w:t>
      </w:r>
      <w:r w:rsidRPr="0059270C">
        <w:rPr>
          <w:rFonts w:ascii="Arial" w:eastAsia="Times New Roman" w:hAnsi="Arial" w:cs="Arial"/>
          <w:i/>
          <w:iCs/>
          <w:kern w:val="0"/>
          <w:sz w:val="20"/>
          <w:szCs w:val="20"/>
          <w:lang w:val="en-US" w:bidi="hi-IN"/>
          <w14:ligatures w14:val="none"/>
        </w:rPr>
        <w:t>International Workshop-cum-Training on Fisheries Management and Aquaculture</w:t>
      </w:r>
      <w:r w:rsidRPr="0059270C">
        <w:rPr>
          <w:rFonts w:ascii="Arial" w:eastAsia="Times New Roman" w:hAnsi="Arial" w:cs="Arial"/>
          <w:kern w:val="0"/>
          <w:sz w:val="20"/>
          <w:szCs w:val="20"/>
          <w:lang w:val="en-US" w:bidi="hi-IN"/>
          <w14:ligatures w14:val="none"/>
        </w:rPr>
        <w:t>.</w:t>
      </w:r>
    </w:p>
    <w:p w14:paraId="119650B5" w14:textId="442942BC" w:rsidR="00D15AFE" w:rsidRPr="0059270C" w:rsidRDefault="00375B60"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bidi="hi-IN"/>
          <w14:ligatures w14:val="none"/>
        </w:rPr>
        <w:t>Parker, R. W. R. (2016). </w:t>
      </w:r>
      <w:r w:rsidRPr="0059270C">
        <w:rPr>
          <w:rFonts w:ascii="Arial" w:eastAsia="Times New Roman" w:hAnsi="Arial" w:cs="Arial"/>
          <w:i/>
          <w:iCs/>
          <w:kern w:val="0"/>
          <w:sz w:val="20"/>
          <w:szCs w:val="20"/>
          <w:lang w:bidi="hi-IN"/>
          <w14:ligatures w14:val="none"/>
        </w:rPr>
        <w:t>Energy performance of wild-capture marine fisheries at global, regional, and local scales</w:t>
      </w:r>
      <w:r w:rsidRPr="0059270C">
        <w:rPr>
          <w:rFonts w:ascii="Arial" w:eastAsia="Times New Roman" w:hAnsi="Arial" w:cs="Arial"/>
          <w:kern w:val="0"/>
          <w:sz w:val="20"/>
          <w:szCs w:val="20"/>
          <w:lang w:bidi="hi-IN"/>
          <w14:ligatures w14:val="none"/>
        </w:rPr>
        <w:t> (Doctoral dissertation, University of Tasmania).</w:t>
      </w:r>
      <w:r w:rsidR="00D15AFE" w:rsidRPr="0059270C">
        <w:rPr>
          <w:rFonts w:ascii="Arial" w:eastAsia="Times New Roman" w:hAnsi="Arial" w:cs="Arial"/>
          <w:kern w:val="0"/>
          <w:sz w:val="20"/>
          <w:szCs w:val="20"/>
          <w:lang w:val="en-US" w:bidi="hi-IN"/>
          <w14:ligatures w14:val="none"/>
        </w:rPr>
        <w:t xml:space="preserve"> </w:t>
      </w:r>
    </w:p>
    <w:p w14:paraId="6734C230" w14:textId="415989BF" w:rsidR="00DD7320" w:rsidRPr="0059270C" w:rsidRDefault="00DD7320"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bidi="hi-IN"/>
          <w14:ligatures w14:val="none"/>
        </w:rPr>
        <w:t xml:space="preserve">Parker, R. W., Blanchard, J. L., Gardner, C., Green, B. S., Hartmann, K., </w:t>
      </w:r>
      <w:proofErr w:type="spellStart"/>
      <w:r w:rsidRPr="0059270C">
        <w:rPr>
          <w:rFonts w:ascii="Arial" w:eastAsia="Times New Roman" w:hAnsi="Arial" w:cs="Arial"/>
          <w:kern w:val="0"/>
          <w:sz w:val="20"/>
          <w:szCs w:val="20"/>
          <w:lang w:bidi="hi-IN"/>
          <w14:ligatures w14:val="none"/>
        </w:rPr>
        <w:t>Tyedmers</w:t>
      </w:r>
      <w:proofErr w:type="spellEnd"/>
      <w:r w:rsidRPr="0059270C">
        <w:rPr>
          <w:rFonts w:ascii="Arial" w:eastAsia="Times New Roman" w:hAnsi="Arial" w:cs="Arial"/>
          <w:kern w:val="0"/>
          <w:sz w:val="20"/>
          <w:szCs w:val="20"/>
          <w:lang w:bidi="hi-IN"/>
          <w14:ligatures w14:val="none"/>
        </w:rPr>
        <w:t>, P. H., &amp; Watson, R. A. (2018). Fuel use and greenhouse gas emissions of world fisheries. </w:t>
      </w:r>
      <w:r w:rsidRPr="0059270C">
        <w:rPr>
          <w:rFonts w:ascii="Arial" w:eastAsia="Times New Roman" w:hAnsi="Arial" w:cs="Arial"/>
          <w:i/>
          <w:iCs/>
          <w:kern w:val="0"/>
          <w:sz w:val="20"/>
          <w:szCs w:val="20"/>
          <w:lang w:bidi="hi-IN"/>
          <w14:ligatures w14:val="none"/>
        </w:rPr>
        <w:t>Nature Climate Change</w:t>
      </w:r>
      <w:r w:rsidRPr="0059270C">
        <w:rPr>
          <w:rFonts w:ascii="Arial" w:eastAsia="Times New Roman" w:hAnsi="Arial" w:cs="Arial"/>
          <w:kern w:val="0"/>
          <w:sz w:val="20"/>
          <w:szCs w:val="20"/>
          <w:lang w:bidi="hi-IN"/>
          <w14:ligatures w14:val="none"/>
        </w:rPr>
        <w:t>, </w:t>
      </w:r>
      <w:r w:rsidRPr="0059270C">
        <w:rPr>
          <w:rFonts w:ascii="Arial" w:eastAsia="Times New Roman" w:hAnsi="Arial" w:cs="Arial"/>
          <w:i/>
          <w:iCs/>
          <w:kern w:val="0"/>
          <w:sz w:val="20"/>
          <w:szCs w:val="20"/>
          <w:lang w:bidi="hi-IN"/>
          <w14:ligatures w14:val="none"/>
        </w:rPr>
        <w:t>8</w:t>
      </w:r>
      <w:r w:rsidRPr="0059270C">
        <w:rPr>
          <w:rFonts w:ascii="Arial" w:eastAsia="Times New Roman" w:hAnsi="Arial" w:cs="Arial"/>
          <w:kern w:val="0"/>
          <w:sz w:val="20"/>
          <w:szCs w:val="20"/>
          <w:lang w:bidi="hi-IN"/>
          <w14:ligatures w14:val="none"/>
        </w:rPr>
        <w:t>(4), 333-337.</w:t>
      </w:r>
    </w:p>
    <w:p w14:paraId="4B89C2C9" w14:textId="77777777" w:rsidR="00375B60" w:rsidRPr="0059270C" w:rsidRDefault="00375B60"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nb-NO" w:bidi="hi-IN"/>
          <w14:ligatures w14:val="none"/>
        </w:rPr>
        <w:t xml:space="preserve">Parker, R. W., &amp; Tyedmers, P. H. (2015). </w:t>
      </w:r>
      <w:r w:rsidRPr="0059270C">
        <w:rPr>
          <w:rFonts w:ascii="Arial" w:eastAsia="Times New Roman" w:hAnsi="Arial" w:cs="Arial"/>
          <w:kern w:val="0"/>
          <w:sz w:val="20"/>
          <w:szCs w:val="20"/>
          <w:lang w:bidi="hi-IN"/>
          <w14:ligatures w14:val="none"/>
        </w:rPr>
        <w:t>Fuel consumption of global fishing fleets: current understanding and knowledge gaps. </w:t>
      </w:r>
      <w:r w:rsidRPr="0059270C">
        <w:rPr>
          <w:rFonts w:ascii="Arial" w:eastAsia="Times New Roman" w:hAnsi="Arial" w:cs="Arial"/>
          <w:i/>
          <w:iCs/>
          <w:kern w:val="0"/>
          <w:sz w:val="20"/>
          <w:szCs w:val="20"/>
          <w:lang w:bidi="hi-IN"/>
          <w14:ligatures w14:val="none"/>
        </w:rPr>
        <w:t>Fish and Fisheries</w:t>
      </w:r>
      <w:r w:rsidRPr="0059270C">
        <w:rPr>
          <w:rFonts w:ascii="Arial" w:eastAsia="Times New Roman" w:hAnsi="Arial" w:cs="Arial"/>
          <w:kern w:val="0"/>
          <w:sz w:val="20"/>
          <w:szCs w:val="20"/>
          <w:lang w:bidi="hi-IN"/>
          <w14:ligatures w14:val="none"/>
        </w:rPr>
        <w:t>, </w:t>
      </w:r>
      <w:r w:rsidRPr="0059270C">
        <w:rPr>
          <w:rFonts w:ascii="Arial" w:eastAsia="Times New Roman" w:hAnsi="Arial" w:cs="Arial"/>
          <w:i/>
          <w:iCs/>
          <w:kern w:val="0"/>
          <w:sz w:val="20"/>
          <w:szCs w:val="20"/>
          <w:lang w:bidi="hi-IN"/>
          <w14:ligatures w14:val="none"/>
        </w:rPr>
        <w:t>16</w:t>
      </w:r>
      <w:r w:rsidRPr="0059270C">
        <w:rPr>
          <w:rFonts w:ascii="Arial" w:eastAsia="Times New Roman" w:hAnsi="Arial" w:cs="Arial"/>
          <w:kern w:val="0"/>
          <w:sz w:val="20"/>
          <w:szCs w:val="20"/>
          <w:lang w:bidi="hi-IN"/>
          <w14:ligatures w14:val="none"/>
        </w:rPr>
        <w:t>(4), 684-696.</w:t>
      </w:r>
    </w:p>
    <w:p w14:paraId="2360FC84" w14:textId="40991364"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Pradhan, S.K., Iburahim, S.A., Dayaram, N.A. and Shenoy, L., 2019. Catch composition and mapping of dol net fishery of </w:t>
      </w:r>
      <w:proofErr w:type="spellStart"/>
      <w:r w:rsidRPr="0059270C">
        <w:rPr>
          <w:rFonts w:ascii="Arial" w:eastAsia="Times New Roman" w:hAnsi="Arial" w:cs="Arial"/>
          <w:kern w:val="0"/>
          <w:sz w:val="20"/>
          <w:szCs w:val="20"/>
          <w:lang w:val="en-US" w:bidi="hi-IN"/>
          <w14:ligatures w14:val="none"/>
        </w:rPr>
        <w:t>Bhayander</w:t>
      </w:r>
      <w:proofErr w:type="spellEnd"/>
      <w:r w:rsidRPr="0059270C">
        <w:rPr>
          <w:rFonts w:ascii="Arial" w:eastAsia="Times New Roman" w:hAnsi="Arial" w:cs="Arial"/>
          <w:kern w:val="0"/>
          <w:sz w:val="20"/>
          <w:szCs w:val="20"/>
          <w:lang w:val="en-US" w:bidi="hi-IN"/>
          <w14:ligatures w14:val="none"/>
        </w:rPr>
        <w:t xml:space="preserve"> Estuary, Thane, Maharashtra. </w:t>
      </w:r>
      <w:r w:rsidRPr="0059270C">
        <w:rPr>
          <w:rFonts w:ascii="Arial" w:eastAsia="Times New Roman" w:hAnsi="Arial" w:cs="Arial"/>
          <w:i/>
          <w:iCs/>
          <w:kern w:val="0"/>
          <w:sz w:val="20"/>
          <w:szCs w:val="20"/>
          <w:lang w:val="en-US" w:bidi="hi-IN"/>
          <w14:ligatures w14:val="none"/>
        </w:rPr>
        <w:t>Journal of Entomology and Zoology Studies</w:t>
      </w:r>
      <w:r w:rsidRPr="0059270C">
        <w:rPr>
          <w:rFonts w:ascii="Arial" w:eastAsia="Times New Roman" w:hAnsi="Arial" w:cs="Arial"/>
          <w:kern w:val="0"/>
          <w:sz w:val="20"/>
          <w:szCs w:val="20"/>
          <w:lang w:val="en-US" w:bidi="hi-IN"/>
          <w14:ligatures w14:val="none"/>
        </w:rPr>
        <w:t>, 7(5): 81–88.</w:t>
      </w:r>
    </w:p>
    <w:p w14:paraId="5AC41F1B"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Rashedi, A., Khanam, T., Jeong, B. and Hussain, M., 2022. Evaluation of environmental sustainability matrix of </w:t>
      </w:r>
      <w:proofErr w:type="spellStart"/>
      <w:r w:rsidRPr="0059270C">
        <w:rPr>
          <w:rFonts w:ascii="Arial" w:eastAsia="Times New Roman" w:hAnsi="Arial" w:cs="Arial"/>
          <w:kern w:val="0"/>
          <w:sz w:val="20"/>
          <w:szCs w:val="20"/>
          <w:lang w:val="en-US" w:bidi="hi-IN"/>
          <w14:ligatures w14:val="none"/>
        </w:rPr>
        <w:t>Deepgen</w:t>
      </w:r>
      <w:proofErr w:type="spellEnd"/>
      <w:r w:rsidRPr="0059270C">
        <w:rPr>
          <w:rFonts w:ascii="Arial" w:eastAsia="Times New Roman" w:hAnsi="Arial" w:cs="Arial"/>
          <w:kern w:val="0"/>
          <w:sz w:val="20"/>
          <w:szCs w:val="20"/>
          <w:lang w:val="en-US" w:bidi="hi-IN"/>
          <w14:ligatures w14:val="none"/>
        </w:rPr>
        <w:t xml:space="preserve"> tidal turbine. </w:t>
      </w:r>
      <w:r w:rsidRPr="0059270C">
        <w:rPr>
          <w:rFonts w:ascii="Arial" w:eastAsia="Times New Roman" w:hAnsi="Arial" w:cs="Arial"/>
          <w:i/>
          <w:iCs/>
          <w:kern w:val="0"/>
          <w:sz w:val="20"/>
          <w:szCs w:val="20"/>
          <w:lang w:val="en-US" w:bidi="hi-IN"/>
          <w14:ligatures w14:val="none"/>
        </w:rPr>
        <w:t>Ocean Engineering</w:t>
      </w:r>
      <w:r w:rsidRPr="0059270C">
        <w:rPr>
          <w:rFonts w:ascii="Arial" w:eastAsia="Times New Roman" w:hAnsi="Arial" w:cs="Arial"/>
          <w:kern w:val="0"/>
          <w:sz w:val="20"/>
          <w:szCs w:val="20"/>
          <w:lang w:val="en-US" w:bidi="hi-IN"/>
          <w14:ligatures w14:val="none"/>
        </w:rPr>
        <w:t xml:space="preserve">, 266: 113031. </w:t>
      </w:r>
      <w:hyperlink r:id="rId40" w:tgtFrame="_new" w:history="1">
        <w:r w:rsidRPr="0059270C">
          <w:rPr>
            <w:rStyle w:val="Hyperlink"/>
            <w:rFonts w:ascii="Arial" w:eastAsia="Times New Roman" w:hAnsi="Arial" w:cs="Arial"/>
            <w:color w:val="auto"/>
            <w:kern w:val="0"/>
            <w:sz w:val="20"/>
            <w:szCs w:val="20"/>
            <w:lang w:val="en-US" w:bidi="hi-IN"/>
            <w14:ligatures w14:val="none"/>
          </w:rPr>
          <w:t>https://doi.org/10.1016/j.oceaneng.2022.113031</w:t>
        </w:r>
      </w:hyperlink>
    </w:p>
    <w:p w14:paraId="30EA2FC4"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Roul, S.K., Raju, S.S., Ghosh, S., Jeeva, C.J., </w:t>
      </w:r>
      <w:proofErr w:type="spellStart"/>
      <w:r w:rsidRPr="0059270C">
        <w:rPr>
          <w:rFonts w:ascii="Arial" w:eastAsia="Times New Roman" w:hAnsi="Arial" w:cs="Arial"/>
          <w:kern w:val="0"/>
          <w:sz w:val="20"/>
          <w:szCs w:val="20"/>
          <w:lang w:val="en-US" w:bidi="hi-IN"/>
          <w14:ligatures w14:val="none"/>
        </w:rPr>
        <w:t>Narayanakumar</w:t>
      </w:r>
      <w:proofErr w:type="spellEnd"/>
      <w:r w:rsidRPr="0059270C">
        <w:rPr>
          <w:rFonts w:ascii="Arial" w:eastAsia="Times New Roman" w:hAnsi="Arial" w:cs="Arial"/>
          <w:kern w:val="0"/>
          <w:sz w:val="20"/>
          <w:szCs w:val="20"/>
          <w:lang w:val="en-US" w:bidi="hi-IN"/>
          <w14:ligatures w14:val="none"/>
        </w:rPr>
        <w:t xml:space="preserve">, R. and </w:t>
      </w:r>
      <w:proofErr w:type="spellStart"/>
      <w:r w:rsidRPr="0059270C">
        <w:rPr>
          <w:rFonts w:ascii="Arial" w:eastAsia="Times New Roman" w:hAnsi="Arial" w:cs="Arial"/>
          <w:kern w:val="0"/>
          <w:sz w:val="20"/>
          <w:szCs w:val="20"/>
          <w:lang w:val="en-US" w:bidi="hi-IN"/>
          <w14:ligatures w14:val="none"/>
        </w:rPr>
        <w:t>Pattnaik</w:t>
      </w:r>
      <w:proofErr w:type="spellEnd"/>
      <w:r w:rsidRPr="0059270C">
        <w:rPr>
          <w:rFonts w:ascii="Arial" w:eastAsia="Times New Roman" w:hAnsi="Arial" w:cs="Arial"/>
          <w:kern w:val="0"/>
          <w:sz w:val="20"/>
          <w:szCs w:val="20"/>
          <w:lang w:val="en-US" w:bidi="hi-IN"/>
          <w14:ligatures w14:val="none"/>
        </w:rPr>
        <w:t xml:space="preserve">, P., 2023. Economic evaluation of marine fishing operations in </w:t>
      </w:r>
      <w:proofErr w:type="spellStart"/>
      <w:r w:rsidRPr="0059270C">
        <w:rPr>
          <w:rFonts w:ascii="Arial" w:eastAsia="Times New Roman" w:hAnsi="Arial" w:cs="Arial"/>
          <w:kern w:val="0"/>
          <w:sz w:val="20"/>
          <w:szCs w:val="20"/>
          <w:lang w:val="en-US" w:bidi="hi-IN"/>
          <w14:ligatures w14:val="none"/>
        </w:rPr>
        <w:t>Purba</w:t>
      </w:r>
      <w:proofErr w:type="spellEnd"/>
      <w:r w:rsidRPr="0059270C">
        <w:rPr>
          <w:rFonts w:ascii="Arial" w:eastAsia="Times New Roman" w:hAnsi="Arial" w:cs="Arial"/>
          <w:kern w:val="0"/>
          <w:sz w:val="20"/>
          <w:szCs w:val="20"/>
          <w:lang w:val="en-US" w:bidi="hi-IN"/>
          <w14:ligatures w14:val="none"/>
        </w:rPr>
        <w:t xml:space="preserve"> </w:t>
      </w:r>
      <w:proofErr w:type="spellStart"/>
      <w:r w:rsidRPr="0059270C">
        <w:rPr>
          <w:rFonts w:ascii="Arial" w:eastAsia="Times New Roman" w:hAnsi="Arial" w:cs="Arial"/>
          <w:kern w:val="0"/>
          <w:sz w:val="20"/>
          <w:szCs w:val="20"/>
          <w:lang w:val="en-US" w:bidi="hi-IN"/>
          <w14:ligatures w14:val="none"/>
        </w:rPr>
        <w:t>Medinipur</w:t>
      </w:r>
      <w:proofErr w:type="spellEnd"/>
      <w:r w:rsidRPr="0059270C">
        <w:rPr>
          <w:rFonts w:ascii="Arial" w:eastAsia="Times New Roman" w:hAnsi="Arial" w:cs="Arial"/>
          <w:kern w:val="0"/>
          <w:sz w:val="20"/>
          <w:szCs w:val="20"/>
          <w:lang w:val="en-US" w:bidi="hi-IN"/>
          <w14:ligatures w14:val="none"/>
        </w:rPr>
        <w:t xml:space="preserve"> district of West Bengal, India. </w:t>
      </w:r>
      <w:r w:rsidRPr="0059270C">
        <w:rPr>
          <w:rFonts w:ascii="Arial" w:eastAsia="Times New Roman" w:hAnsi="Arial" w:cs="Arial"/>
          <w:i/>
          <w:iCs/>
          <w:kern w:val="0"/>
          <w:sz w:val="20"/>
          <w:szCs w:val="20"/>
          <w:lang w:val="en-US" w:bidi="hi-IN"/>
          <w14:ligatures w14:val="none"/>
        </w:rPr>
        <w:t>Journal of the Marine Biological Association of India</w:t>
      </w:r>
      <w:r w:rsidRPr="0059270C">
        <w:rPr>
          <w:rFonts w:ascii="Arial" w:eastAsia="Times New Roman" w:hAnsi="Arial" w:cs="Arial"/>
          <w:kern w:val="0"/>
          <w:sz w:val="20"/>
          <w:szCs w:val="20"/>
          <w:lang w:val="en-US" w:bidi="hi-IN"/>
          <w14:ligatures w14:val="none"/>
        </w:rPr>
        <w:t xml:space="preserve">, 65(2): 46. </w:t>
      </w:r>
      <w:hyperlink r:id="rId41" w:tgtFrame="_new" w:history="1">
        <w:r w:rsidRPr="0059270C">
          <w:rPr>
            <w:rStyle w:val="Hyperlink"/>
            <w:rFonts w:ascii="Arial" w:eastAsia="Times New Roman" w:hAnsi="Arial" w:cs="Arial"/>
            <w:color w:val="auto"/>
            <w:kern w:val="0"/>
            <w:sz w:val="20"/>
            <w:szCs w:val="20"/>
            <w:lang w:val="en-US" w:bidi="hi-IN"/>
            <w14:ligatures w14:val="none"/>
          </w:rPr>
          <w:t>https://doi.org/10.6024/jmbai.2023.65.2.2396-07</w:t>
        </w:r>
      </w:hyperlink>
    </w:p>
    <w:p w14:paraId="23374DB1"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lastRenderedPageBreak/>
        <w:t>Rijnsdorp</w:t>
      </w:r>
      <w:proofErr w:type="spellEnd"/>
      <w:r w:rsidRPr="0059270C">
        <w:rPr>
          <w:rFonts w:ascii="Arial" w:eastAsia="Times New Roman" w:hAnsi="Arial" w:cs="Arial"/>
          <w:kern w:val="0"/>
          <w:sz w:val="20"/>
          <w:szCs w:val="20"/>
          <w:lang w:val="en-US" w:bidi="hi-IN"/>
          <w14:ligatures w14:val="none"/>
        </w:rPr>
        <w:t xml:space="preserve">, A.D., </w:t>
      </w:r>
      <w:proofErr w:type="spellStart"/>
      <w:r w:rsidRPr="0059270C">
        <w:rPr>
          <w:rFonts w:ascii="Arial" w:eastAsia="Times New Roman" w:hAnsi="Arial" w:cs="Arial"/>
          <w:kern w:val="0"/>
          <w:sz w:val="20"/>
          <w:szCs w:val="20"/>
          <w:lang w:val="en-US" w:bidi="hi-IN"/>
          <w14:ligatures w14:val="none"/>
        </w:rPr>
        <w:t>Eigaard</w:t>
      </w:r>
      <w:proofErr w:type="spellEnd"/>
      <w:r w:rsidRPr="0059270C">
        <w:rPr>
          <w:rFonts w:ascii="Arial" w:eastAsia="Times New Roman" w:hAnsi="Arial" w:cs="Arial"/>
          <w:kern w:val="0"/>
          <w:sz w:val="20"/>
          <w:szCs w:val="20"/>
          <w:lang w:val="en-US" w:bidi="hi-IN"/>
          <w14:ligatures w14:val="none"/>
        </w:rPr>
        <w:t xml:space="preserve">, O.R., Kenny, A., Hiddink, J.G., Hamon, K.G., Piet, G.J., Sala, A., Nielsen, J.R., Polet, H., </w:t>
      </w:r>
      <w:proofErr w:type="spellStart"/>
      <w:r w:rsidRPr="0059270C">
        <w:rPr>
          <w:rFonts w:ascii="Arial" w:eastAsia="Times New Roman" w:hAnsi="Arial" w:cs="Arial"/>
          <w:kern w:val="0"/>
          <w:sz w:val="20"/>
          <w:szCs w:val="20"/>
          <w:lang w:val="en-US" w:bidi="hi-IN"/>
          <w14:ligatures w14:val="none"/>
        </w:rPr>
        <w:t>Laffargue</w:t>
      </w:r>
      <w:proofErr w:type="spellEnd"/>
      <w:r w:rsidRPr="0059270C">
        <w:rPr>
          <w:rFonts w:ascii="Arial" w:eastAsia="Times New Roman" w:hAnsi="Arial" w:cs="Arial"/>
          <w:kern w:val="0"/>
          <w:sz w:val="20"/>
          <w:szCs w:val="20"/>
          <w:lang w:val="en-US" w:bidi="hi-IN"/>
          <w14:ligatures w14:val="none"/>
        </w:rPr>
        <w:t>, P., Zengin, M. and Gregersen, Ó., 2017. Assessing and mitigating bottom trawling: Final BENTHIS Project Report (Benthic Ecosystem Fisheries Impact Study). Technical University of Denmark, Copenhagen, 28 pp.</w:t>
      </w:r>
    </w:p>
    <w:p w14:paraId="1A25AA01" w14:textId="77777777" w:rsidR="00D15AFE" w:rsidRPr="0059270C" w:rsidRDefault="00D15AFE"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Sala, A., Damalas, D., </w:t>
      </w:r>
      <w:proofErr w:type="spellStart"/>
      <w:r w:rsidRPr="0059270C">
        <w:rPr>
          <w:rFonts w:ascii="Arial" w:hAnsi="Arial" w:cs="Arial"/>
          <w:sz w:val="20"/>
          <w:szCs w:val="20"/>
          <w:lang w:val="en-US"/>
        </w:rPr>
        <w:t>Labanchi</w:t>
      </w:r>
      <w:proofErr w:type="spellEnd"/>
      <w:r w:rsidRPr="0059270C">
        <w:rPr>
          <w:rFonts w:ascii="Arial" w:hAnsi="Arial" w:cs="Arial"/>
          <w:sz w:val="20"/>
          <w:szCs w:val="20"/>
          <w:lang w:val="en-US"/>
        </w:rPr>
        <w:t xml:space="preserve">, L., </w:t>
      </w:r>
      <w:proofErr w:type="spellStart"/>
      <w:r w:rsidRPr="0059270C">
        <w:rPr>
          <w:rFonts w:ascii="Arial" w:hAnsi="Arial" w:cs="Arial"/>
          <w:sz w:val="20"/>
          <w:szCs w:val="20"/>
          <w:lang w:val="en-US"/>
        </w:rPr>
        <w:t>Martinsohn</w:t>
      </w:r>
      <w:proofErr w:type="spellEnd"/>
      <w:r w:rsidRPr="0059270C">
        <w:rPr>
          <w:rFonts w:ascii="Arial" w:hAnsi="Arial" w:cs="Arial"/>
          <w:sz w:val="20"/>
          <w:szCs w:val="20"/>
          <w:lang w:val="en-US"/>
        </w:rPr>
        <w:t xml:space="preserve">, J.T., Moro, F., Sabatella, R.F. and Notti, E., 2022. Energy audit and carbon footprint in trawl fisheries. </w:t>
      </w:r>
      <w:r w:rsidRPr="0059270C">
        <w:rPr>
          <w:rFonts w:ascii="Arial" w:hAnsi="Arial" w:cs="Arial"/>
          <w:i/>
          <w:iCs/>
          <w:sz w:val="20"/>
          <w:szCs w:val="20"/>
          <w:lang w:val="en-US"/>
        </w:rPr>
        <w:t>Scientific Data</w:t>
      </w:r>
      <w:r w:rsidRPr="0059270C">
        <w:rPr>
          <w:rFonts w:ascii="Arial" w:hAnsi="Arial" w:cs="Arial"/>
          <w:sz w:val="20"/>
          <w:szCs w:val="20"/>
          <w:lang w:val="en-US"/>
        </w:rPr>
        <w:t xml:space="preserve">, 9: 314. </w:t>
      </w:r>
      <w:hyperlink r:id="rId42" w:tgtFrame="_new" w:history="1">
        <w:r w:rsidRPr="0059270C">
          <w:rPr>
            <w:rStyle w:val="Hyperlink"/>
            <w:rFonts w:ascii="Arial" w:hAnsi="Arial" w:cs="Arial"/>
            <w:color w:val="auto"/>
            <w:sz w:val="20"/>
            <w:szCs w:val="20"/>
            <w:lang w:val="en-US"/>
          </w:rPr>
          <w:t>https://doi.org/10.1038/s41597-022-01478-0</w:t>
        </w:r>
      </w:hyperlink>
    </w:p>
    <w:p w14:paraId="31F79EEA" w14:textId="77777777" w:rsidR="00D15AFE" w:rsidRPr="0059270C" w:rsidRDefault="00D15AFE"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Sathianandan, T.V., Mohamed, K.S., Jayasankar, J., Kuriakose, S., Mini, K.G., Varghese, E. and Deepthi, A., 2021. Status of Indian marine fish stocks: modelling stock biomass dynamics in </w:t>
      </w:r>
      <w:proofErr w:type="spellStart"/>
      <w:r w:rsidRPr="0059270C">
        <w:rPr>
          <w:rFonts w:ascii="Arial" w:hAnsi="Arial" w:cs="Arial"/>
          <w:sz w:val="20"/>
          <w:szCs w:val="20"/>
          <w:lang w:val="en-US"/>
        </w:rPr>
        <w:t>multigear</w:t>
      </w:r>
      <w:proofErr w:type="spellEnd"/>
      <w:r w:rsidRPr="0059270C">
        <w:rPr>
          <w:rFonts w:ascii="Arial" w:hAnsi="Arial" w:cs="Arial"/>
          <w:sz w:val="20"/>
          <w:szCs w:val="20"/>
          <w:lang w:val="en-US"/>
        </w:rPr>
        <w:t xml:space="preserve"> fisheries. </w:t>
      </w:r>
      <w:r w:rsidRPr="0059270C">
        <w:rPr>
          <w:rFonts w:ascii="Arial" w:hAnsi="Arial" w:cs="Arial"/>
          <w:i/>
          <w:iCs/>
          <w:sz w:val="20"/>
          <w:szCs w:val="20"/>
          <w:lang w:val="en-US"/>
        </w:rPr>
        <w:t>ICES Journal of Marine Science</w:t>
      </w:r>
      <w:r w:rsidRPr="0059270C">
        <w:rPr>
          <w:rFonts w:ascii="Arial" w:hAnsi="Arial" w:cs="Arial"/>
          <w:sz w:val="20"/>
          <w:szCs w:val="20"/>
          <w:lang w:val="en-US"/>
        </w:rPr>
        <w:t>, 78(5): 1744–1757.</w:t>
      </w:r>
    </w:p>
    <w:p w14:paraId="0398337B" w14:textId="77777777" w:rsidR="00D15AFE" w:rsidRPr="0059270C" w:rsidRDefault="00D15AFE" w:rsidP="00B93836">
      <w:pPr>
        <w:pStyle w:val="ListParagraph"/>
        <w:numPr>
          <w:ilvl w:val="0"/>
          <w:numId w:val="30"/>
        </w:numPr>
        <w:spacing w:after="0" w:line="480" w:lineRule="auto"/>
        <w:jc w:val="both"/>
        <w:rPr>
          <w:rFonts w:ascii="Arial" w:hAnsi="Arial" w:cs="Arial"/>
          <w:sz w:val="20"/>
          <w:szCs w:val="20"/>
          <w:lang w:val="en-US"/>
        </w:rPr>
      </w:pPr>
      <w:proofErr w:type="spellStart"/>
      <w:r w:rsidRPr="0059270C">
        <w:rPr>
          <w:rFonts w:ascii="Arial" w:hAnsi="Arial" w:cs="Arial"/>
          <w:sz w:val="20"/>
          <w:szCs w:val="20"/>
          <w:lang w:val="en-US"/>
        </w:rPr>
        <w:t>Somorin</w:t>
      </w:r>
      <w:proofErr w:type="spellEnd"/>
      <w:r w:rsidRPr="0059270C">
        <w:rPr>
          <w:rFonts w:ascii="Arial" w:hAnsi="Arial" w:cs="Arial"/>
          <w:sz w:val="20"/>
          <w:szCs w:val="20"/>
          <w:lang w:val="en-US"/>
        </w:rPr>
        <w:t xml:space="preserve">, T., Lorenzo, G.D. and Kolios, A., 2017. Life-cycle assessment of self-generated electricity in Nigeria and Jatropha biodiesel as an alternative power fuel. </w:t>
      </w:r>
      <w:r w:rsidRPr="0059270C">
        <w:rPr>
          <w:rFonts w:ascii="Arial" w:hAnsi="Arial" w:cs="Arial"/>
          <w:i/>
          <w:iCs/>
          <w:sz w:val="20"/>
          <w:szCs w:val="20"/>
          <w:lang w:val="en-US"/>
        </w:rPr>
        <w:t>Renewable Energy</w:t>
      </w:r>
      <w:r w:rsidRPr="0059270C">
        <w:rPr>
          <w:rFonts w:ascii="Arial" w:hAnsi="Arial" w:cs="Arial"/>
          <w:sz w:val="20"/>
          <w:szCs w:val="20"/>
          <w:lang w:val="en-US"/>
        </w:rPr>
        <w:t xml:space="preserve">, 113: 966–975. </w:t>
      </w:r>
      <w:hyperlink r:id="rId43" w:tgtFrame="_new" w:history="1">
        <w:r w:rsidRPr="0059270C">
          <w:rPr>
            <w:rStyle w:val="Hyperlink"/>
            <w:rFonts w:ascii="Arial" w:hAnsi="Arial" w:cs="Arial"/>
            <w:color w:val="auto"/>
            <w:sz w:val="20"/>
            <w:szCs w:val="20"/>
            <w:lang w:val="en-US"/>
          </w:rPr>
          <w:t>https://doi.org/10.1016/j.renene.2017.06.073</w:t>
        </w:r>
      </w:hyperlink>
    </w:p>
    <w:p w14:paraId="42F9419D" w14:textId="33B0D5FD"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Thomas, S.N. and Sandhya, K., 2019. Netting materials for fishing gear with special reference to resource conservation and energy saving. In: ICAR-Central Institute of Fisheries Technology eBooks.</w:t>
      </w:r>
      <w:r w:rsidR="002B554C" w:rsidRPr="0059270C">
        <w:rPr>
          <w:rFonts w:ascii="Arial" w:eastAsia="Times New Roman" w:hAnsi="Arial" w:cs="Arial"/>
          <w:kern w:val="0"/>
          <w:sz w:val="20"/>
          <w:szCs w:val="20"/>
          <w:lang w:val="en-US" w:bidi="hi-IN"/>
          <w14:ligatures w14:val="none"/>
        </w:rPr>
        <w:t xml:space="preserve"> </w:t>
      </w:r>
      <w:r w:rsidRPr="0059270C">
        <w:rPr>
          <w:rFonts w:ascii="Arial" w:eastAsia="Times New Roman" w:hAnsi="Arial" w:cs="Arial"/>
          <w:kern w:val="0"/>
          <w:sz w:val="20"/>
          <w:szCs w:val="20"/>
          <w:lang w:val="en-US" w:bidi="hi-IN"/>
          <w14:ligatures w14:val="none"/>
        </w:rPr>
        <w:t xml:space="preserve">Available at: </w:t>
      </w:r>
      <w:hyperlink r:id="rId44" w:tgtFrame="_new" w:history="1">
        <w:r w:rsidRPr="0059270C">
          <w:rPr>
            <w:rStyle w:val="Hyperlink"/>
            <w:rFonts w:ascii="Arial" w:eastAsia="Times New Roman" w:hAnsi="Arial" w:cs="Arial"/>
            <w:color w:val="auto"/>
            <w:kern w:val="0"/>
            <w:sz w:val="20"/>
            <w:szCs w:val="20"/>
            <w:lang w:val="en-US" w:bidi="hi-IN"/>
            <w14:ligatures w14:val="none"/>
          </w:rPr>
          <w:t>https://krishi.icar.gov.in/jspui/bitstream/123456789/30998/2/03_Netting%20Materials%20for%20Fishing%20Gear.pdf</w:t>
        </w:r>
      </w:hyperlink>
    </w:p>
    <w:p w14:paraId="6F570DFB"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t>Tyedmers</w:t>
      </w:r>
      <w:proofErr w:type="spellEnd"/>
      <w:r w:rsidRPr="0059270C">
        <w:rPr>
          <w:rFonts w:ascii="Arial" w:eastAsia="Times New Roman" w:hAnsi="Arial" w:cs="Arial"/>
          <w:kern w:val="0"/>
          <w:sz w:val="20"/>
          <w:szCs w:val="20"/>
          <w:lang w:val="en-US" w:bidi="hi-IN"/>
          <w14:ligatures w14:val="none"/>
        </w:rPr>
        <w:t xml:space="preserve">, P.H., Watson, R. and Pauly, D., 2005. Fueling global fishing fleets. </w:t>
      </w:r>
      <w:proofErr w:type="spellStart"/>
      <w:r w:rsidRPr="0059270C">
        <w:rPr>
          <w:rFonts w:ascii="Arial" w:eastAsia="Times New Roman" w:hAnsi="Arial" w:cs="Arial"/>
          <w:i/>
          <w:iCs/>
          <w:kern w:val="0"/>
          <w:sz w:val="20"/>
          <w:szCs w:val="20"/>
          <w:lang w:val="en-US" w:bidi="hi-IN"/>
          <w14:ligatures w14:val="none"/>
        </w:rPr>
        <w:t>Ambio</w:t>
      </w:r>
      <w:proofErr w:type="spellEnd"/>
      <w:r w:rsidRPr="0059270C">
        <w:rPr>
          <w:rFonts w:ascii="Arial" w:eastAsia="Times New Roman" w:hAnsi="Arial" w:cs="Arial"/>
          <w:kern w:val="0"/>
          <w:sz w:val="20"/>
          <w:szCs w:val="20"/>
          <w:lang w:val="en-US" w:bidi="hi-IN"/>
          <w14:ligatures w14:val="none"/>
        </w:rPr>
        <w:t>, 34(8): 635–638.</w:t>
      </w:r>
    </w:p>
    <w:p w14:paraId="79C0503D"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59270C">
        <w:rPr>
          <w:rFonts w:ascii="Arial" w:eastAsia="Times New Roman" w:hAnsi="Arial" w:cs="Arial"/>
          <w:kern w:val="0"/>
          <w:sz w:val="20"/>
          <w:szCs w:val="20"/>
          <w:lang w:val="en-US" w:bidi="hi-IN"/>
          <w14:ligatures w14:val="none"/>
        </w:rPr>
        <w:t xml:space="preserve">Vázquez-Rowe, I., Villanueva-Rey, P., Iribarren, D., Moreira, M.T. and Feijoo, G., 2012. Joint life cycle assessment and data envelopment analysis of grape production for </w:t>
      </w:r>
      <w:proofErr w:type="spellStart"/>
      <w:r w:rsidRPr="0059270C">
        <w:rPr>
          <w:rFonts w:ascii="Arial" w:eastAsia="Times New Roman" w:hAnsi="Arial" w:cs="Arial"/>
          <w:kern w:val="0"/>
          <w:sz w:val="20"/>
          <w:szCs w:val="20"/>
          <w:lang w:val="en-US" w:bidi="hi-IN"/>
          <w14:ligatures w14:val="none"/>
        </w:rPr>
        <w:t>vinification</w:t>
      </w:r>
      <w:proofErr w:type="spellEnd"/>
      <w:r w:rsidRPr="0059270C">
        <w:rPr>
          <w:rFonts w:ascii="Arial" w:eastAsia="Times New Roman" w:hAnsi="Arial" w:cs="Arial"/>
          <w:kern w:val="0"/>
          <w:sz w:val="20"/>
          <w:szCs w:val="20"/>
          <w:lang w:val="en-US" w:bidi="hi-IN"/>
          <w14:ligatures w14:val="none"/>
        </w:rPr>
        <w:t xml:space="preserve"> in the </w:t>
      </w:r>
      <w:proofErr w:type="spellStart"/>
      <w:r w:rsidRPr="0059270C">
        <w:rPr>
          <w:rFonts w:ascii="Arial" w:eastAsia="Times New Roman" w:hAnsi="Arial" w:cs="Arial"/>
          <w:kern w:val="0"/>
          <w:sz w:val="20"/>
          <w:szCs w:val="20"/>
          <w:lang w:val="en-US" w:bidi="hi-IN"/>
          <w14:ligatures w14:val="none"/>
        </w:rPr>
        <w:t>Rías</w:t>
      </w:r>
      <w:proofErr w:type="spellEnd"/>
      <w:r w:rsidRPr="0059270C">
        <w:rPr>
          <w:rFonts w:ascii="Arial" w:eastAsia="Times New Roman" w:hAnsi="Arial" w:cs="Arial"/>
          <w:kern w:val="0"/>
          <w:sz w:val="20"/>
          <w:szCs w:val="20"/>
          <w:lang w:val="en-US" w:bidi="hi-IN"/>
          <w14:ligatures w14:val="none"/>
        </w:rPr>
        <w:t xml:space="preserve"> </w:t>
      </w:r>
      <w:proofErr w:type="spellStart"/>
      <w:r w:rsidRPr="0059270C">
        <w:rPr>
          <w:rFonts w:ascii="Arial" w:eastAsia="Times New Roman" w:hAnsi="Arial" w:cs="Arial"/>
          <w:kern w:val="0"/>
          <w:sz w:val="20"/>
          <w:szCs w:val="20"/>
          <w:lang w:val="en-US" w:bidi="hi-IN"/>
          <w14:ligatures w14:val="none"/>
        </w:rPr>
        <w:t>Baixas</w:t>
      </w:r>
      <w:proofErr w:type="spellEnd"/>
      <w:r w:rsidRPr="0059270C">
        <w:rPr>
          <w:rFonts w:ascii="Arial" w:eastAsia="Times New Roman" w:hAnsi="Arial" w:cs="Arial"/>
          <w:kern w:val="0"/>
          <w:sz w:val="20"/>
          <w:szCs w:val="20"/>
          <w:lang w:val="en-US" w:bidi="hi-IN"/>
          <w14:ligatures w14:val="none"/>
        </w:rPr>
        <w:t xml:space="preserve"> appellation (NW Spain). </w:t>
      </w:r>
      <w:r w:rsidRPr="0059270C">
        <w:rPr>
          <w:rFonts w:ascii="Arial" w:eastAsia="Times New Roman" w:hAnsi="Arial" w:cs="Arial"/>
          <w:i/>
          <w:iCs/>
          <w:kern w:val="0"/>
          <w:sz w:val="20"/>
          <w:szCs w:val="20"/>
          <w:lang w:val="en-US" w:bidi="hi-IN"/>
          <w14:ligatures w14:val="none"/>
        </w:rPr>
        <w:t>Journal of Cleaner Production</w:t>
      </w:r>
      <w:r w:rsidRPr="0059270C">
        <w:rPr>
          <w:rFonts w:ascii="Arial" w:eastAsia="Times New Roman" w:hAnsi="Arial" w:cs="Arial"/>
          <w:kern w:val="0"/>
          <w:sz w:val="20"/>
          <w:szCs w:val="20"/>
          <w:lang w:val="en-US" w:bidi="hi-IN"/>
          <w14:ligatures w14:val="none"/>
        </w:rPr>
        <w:t>, 27: 92–102.</w:t>
      </w:r>
    </w:p>
    <w:p w14:paraId="61D33051" w14:textId="77777777" w:rsidR="00D15AFE" w:rsidRPr="0059270C"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59270C">
        <w:rPr>
          <w:rFonts w:ascii="Arial" w:eastAsia="Times New Roman" w:hAnsi="Arial" w:cs="Arial"/>
          <w:kern w:val="0"/>
          <w:sz w:val="20"/>
          <w:szCs w:val="20"/>
          <w:lang w:val="en-US" w:bidi="hi-IN"/>
          <w14:ligatures w14:val="none"/>
        </w:rPr>
        <w:t>Verones</w:t>
      </w:r>
      <w:proofErr w:type="spellEnd"/>
      <w:r w:rsidRPr="0059270C">
        <w:rPr>
          <w:rFonts w:ascii="Arial" w:eastAsia="Times New Roman" w:hAnsi="Arial" w:cs="Arial"/>
          <w:kern w:val="0"/>
          <w:sz w:val="20"/>
          <w:szCs w:val="20"/>
          <w:lang w:val="en-US" w:bidi="hi-IN"/>
          <w14:ligatures w14:val="none"/>
        </w:rPr>
        <w:t xml:space="preserve">, F., Bolowich, A.F., Ebata, K., Boutson, A., Arimoto, T. and Ishikawa, S., 2017. A case study of life cycle impacts of small-scale fishing techniques in Thailand. </w:t>
      </w:r>
      <w:r w:rsidRPr="0059270C">
        <w:rPr>
          <w:rFonts w:ascii="Arial" w:eastAsia="Times New Roman" w:hAnsi="Arial" w:cs="Arial"/>
          <w:i/>
          <w:iCs/>
          <w:kern w:val="0"/>
          <w:sz w:val="20"/>
          <w:szCs w:val="20"/>
          <w:lang w:val="en-US" w:bidi="hi-IN"/>
          <w14:ligatures w14:val="none"/>
        </w:rPr>
        <w:t>Sustainable Environment</w:t>
      </w:r>
      <w:r w:rsidRPr="0059270C">
        <w:rPr>
          <w:rFonts w:ascii="Arial" w:eastAsia="Times New Roman" w:hAnsi="Arial" w:cs="Arial"/>
          <w:kern w:val="0"/>
          <w:sz w:val="20"/>
          <w:szCs w:val="20"/>
          <w:lang w:val="en-US" w:bidi="hi-IN"/>
          <w14:ligatures w14:val="none"/>
        </w:rPr>
        <w:t xml:space="preserve">, 3(1): 1387959. </w:t>
      </w:r>
      <w:hyperlink r:id="rId45" w:tgtFrame="_new" w:history="1">
        <w:r w:rsidRPr="0059270C">
          <w:rPr>
            <w:rStyle w:val="Hyperlink"/>
            <w:rFonts w:ascii="Arial" w:eastAsia="Times New Roman" w:hAnsi="Arial" w:cs="Arial"/>
            <w:color w:val="auto"/>
            <w:kern w:val="0"/>
            <w:sz w:val="20"/>
            <w:szCs w:val="20"/>
            <w:lang w:val="en-US" w:bidi="hi-IN"/>
            <w14:ligatures w14:val="none"/>
          </w:rPr>
          <w:t>https://doi.org/10.1080/23311843.2017.1387959</w:t>
        </w:r>
      </w:hyperlink>
    </w:p>
    <w:p w14:paraId="3EBCF953" w14:textId="77777777" w:rsidR="00D15AFE" w:rsidRPr="0059270C" w:rsidRDefault="00D15AFE"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Zhao, X., Liu, G., Sun, W. and Li, Z., 2022. Environmental benefits of recycled polymer use in fishing gear products: A life cycle perspective. </w:t>
      </w:r>
      <w:r w:rsidRPr="0059270C">
        <w:rPr>
          <w:rFonts w:ascii="Arial" w:hAnsi="Arial" w:cs="Arial"/>
          <w:i/>
          <w:iCs/>
          <w:sz w:val="20"/>
          <w:szCs w:val="20"/>
          <w:lang w:val="en-US"/>
        </w:rPr>
        <w:t>Journal of Cleaner Production</w:t>
      </w:r>
      <w:r w:rsidRPr="0059270C">
        <w:rPr>
          <w:rFonts w:ascii="Arial" w:hAnsi="Arial" w:cs="Arial"/>
          <w:sz w:val="20"/>
          <w:szCs w:val="20"/>
          <w:lang w:val="en-US"/>
        </w:rPr>
        <w:t>, 356: 131872.</w:t>
      </w:r>
    </w:p>
    <w:p w14:paraId="72B5AD61" w14:textId="77777777" w:rsidR="00D15AFE" w:rsidRPr="0059270C" w:rsidRDefault="00D15AFE" w:rsidP="00B93836">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nb-NO"/>
        </w:rPr>
        <w:t xml:space="preserve">Ziegler, F. and Hornborg, S., 2014. </w:t>
      </w:r>
      <w:r w:rsidRPr="0059270C">
        <w:rPr>
          <w:rFonts w:ascii="Arial" w:hAnsi="Arial" w:cs="Arial"/>
          <w:sz w:val="20"/>
          <w:szCs w:val="20"/>
          <w:lang w:val="en-US"/>
        </w:rPr>
        <w:t xml:space="preserve">Stock size matters more than vessel size: The fuel efficiency of Swedish demersal trawl fisheries 2002–2010. </w:t>
      </w:r>
      <w:r w:rsidRPr="0059270C">
        <w:rPr>
          <w:rFonts w:ascii="Arial" w:hAnsi="Arial" w:cs="Arial"/>
          <w:i/>
          <w:iCs/>
          <w:sz w:val="20"/>
          <w:szCs w:val="20"/>
          <w:lang w:val="en-US"/>
        </w:rPr>
        <w:t>Marine Policy</w:t>
      </w:r>
      <w:r w:rsidRPr="0059270C">
        <w:rPr>
          <w:rFonts w:ascii="Arial" w:hAnsi="Arial" w:cs="Arial"/>
          <w:sz w:val="20"/>
          <w:szCs w:val="20"/>
          <w:lang w:val="en-US"/>
        </w:rPr>
        <w:t>, 44: 72–81.</w:t>
      </w:r>
    </w:p>
    <w:p w14:paraId="74850FE4" w14:textId="10F32A75" w:rsidR="00A31321" w:rsidRPr="006C224C" w:rsidRDefault="00D15AFE" w:rsidP="006C224C">
      <w:pPr>
        <w:pStyle w:val="ListParagraph"/>
        <w:numPr>
          <w:ilvl w:val="0"/>
          <w:numId w:val="30"/>
        </w:numPr>
        <w:spacing w:after="0" w:line="480" w:lineRule="auto"/>
        <w:jc w:val="both"/>
        <w:rPr>
          <w:rFonts w:ascii="Arial" w:hAnsi="Arial" w:cs="Arial"/>
          <w:sz w:val="20"/>
          <w:szCs w:val="20"/>
          <w:lang w:val="en-US"/>
        </w:rPr>
      </w:pPr>
      <w:r w:rsidRPr="0059270C">
        <w:rPr>
          <w:rFonts w:ascii="Arial" w:hAnsi="Arial" w:cs="Arial"/>
          <w:sz w:val="20"/>
          <w:szCs w:val="20"/>
          <w:lang w:val="en-US"/>
        </w:rPr>
        <w:t xml:space="preserve">Ziegler, F., Hornborg, S., Green, B.S., Eigaard, O.R., Farmery, A.K., Hammar, L., Hartmann, K., Molander, S., Parker, R., </w:t>
      </w:r>
      <w:proofErr w:type="spellStart"/>
      <w:r w:rsidRPr="0059270C">
        <w:rPr>
          <w:rFonts w:ascii="Arial" w:hAnsi="Arial" w:cs="Arial"/>
          <w:sz w:val="20"/>
          <w:szCs w:val="20"/>
          <w:lang w:val="en-US"/>
        </w:rPr>
        <w:t>Hognes</w:t>
      </w:r>
      <w:proofErr w:type="spellEnd"/>
      <w:r w:rsidRPr="0059270C">
        <w:rPr>
          <w:rFonts w:ascii="Arial" w:hAnsi="Arial" w:cs="Arial"/>
          <w:sz w:val="20"/>
          <w:szCs w:val="20"/>
          <w:lang w:val="en-US"/>
        </w:rPr>
        <w:t>, E.S., Vázquez</w:t>
      </w:r>
      <w:r w:rsidRPr="0059270C">
        <w:rPr>
          <w:rFonts w:ascii="Cambria Math" w:hAnsi="Cambria Math" w:cs="Cambria Math"/>
          <w:sz w:val="20"/>
          <w:szCs w:val="20"/>
          <w:lang w:val="en-US"/>
        </w:rPr>
        <w:t>‐</w:t>
      </w:r>
      <w:r w:rsidRPr="0059270C">
        <w:rPr>
          <w:rFonts w:ascii="Arial" w:hAnsi="Arial" w:cs="Arial"/>
          <w:sz w:val="20"/>
          <w:szCs w:val="20"/>
          <w:lang w:val="en-US"/>
        </w:rPr>
        <w:t xml:space="preserve">Rowe, I. and Smith, A.D.M., 2016. Expanding the concept of sustainable seafood using Life Cycle Assessment. </w:t>
      </w:r>
      <w:r w:rsidRPr="0059270C">
        <w:rPr>
          <w:rFonts w:ascii="Arial" w:hAnsi="Arial" w:cs="Arial"/>
          <w:i/>
          <w:iCs/>
          <w:sz w:val="20"/>
          <w:szCs w:val="20"/>
          <w:lang w:val="en-US"/>
        </w:rPr>
        <w:t>Fish and Fisheries</w:t>
      </w:r>
      <w:r w:rsidRPr="0059270C">
        <w:rPr>
          <w:rFonts w:ascii="Arial" w:hAnsi="Arial" w:cs="Arial"/>
          <w:sz w:val="20"/>
          <w:szCs w:val="20"/>
          <w:lang w:val="en-US"/>
        </w:rPr>
        <w:t xml:space="preserve">, 17(4): 1073. </w:t>
      </w:r>
      <w:hyperlink r:id="rId46" w:tgtFrame="_new" w:history="1">
        <w:r w:rsidRPr="0059270C">
          <w:rPr>
            <w:rStyle w:val="Hyperlink"/>
            <w:rFonts w:ascii="Arial" w:hAnsi="Arial" w:cs="Arial"/>
            <w:color w:val="auto"/>
            <w:sz w:val="20"/>
            <w:szCs w:val="20"/>
            <w:lang w:val="en-US"/>
          </w:rPr>
          <w:t>https://doi.org/10.1111/faf.12159</w:t>
        </w:r>
      </w:hyperlink>
    </w:p>
    <w:sectPr w:rsidR="00A31321" w:rsidRPr="006C224C" w:rsidSect="00B93836">
      <w:type w:val="continuous"/>
      <w:pgSz w:w="11906" w:h="16838"/>
      <w:pgMar w:top="907" w:right="547"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9C86" w14:textId="77777777" w:rsidR="00272280" w:rsidRDefault="00272280" w:rsidP="00EA7E36">
      <w:pPr>
        <w:spacing w:after="0" w:line="240" w:lineRule="auto"/>
      </w:pPr>
      <w:r>
        <w:separator/>
      </w:r>
    </w:p>
  </w:endnote>
  <w:endnote w:type="continuationSeparator" w:id="0">
    <w:p w14:paraId="73CDD74A" w14:textId="77777777" w:rsidR="00272280" w:rsidRDefault="00272280" w:rsidP="00EA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6B1F" w14:textId="35DB98E5" w:rsidR="0087585E" w:rsidRDefault="0087585E">
    <w:pPr>
      <w:pStyle w:val="Footer"/>
    </w:pPr>
  </w:p>
  <w:p w14:paraId="0674556A" w14:textId="77777777" w:rsidR="00FF4853" w:rsidRDefault="00FF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9739" w14:textId="77777777" w:rsidR="00272280" w:rsidRDefault="00272280" w:rsidP="00EA7E36">
      <w:pPr>
        <w:spacing w:after="0" w:line="240" w:lineRule="auto"/>
      </w:pPr>
      <w:r>
        <w:separator/>
      </w:r>
    </w:p>
  </w:footnote>
  <w:footnote w:type="continuationSeparator" w:id="0">
    <w:p w14:paraId="39036C1D" w14:textId="77777777" w:rsidR="00272280" w:rsidRDefault="00272280" w:rsidP="00EA7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36BA"/>
    <w:multiLevelType w:val="multilevel"/>
    <w:tmpl w:val="63D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6DA5"/>
    <w:multiLevelType w:val="multilevel"/>
    <w:tmpl w:val="3DC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16E36"/>
    <w:multiLevelType w:val="hybridMultilevel"/>
    <w:tmpl w:val="AC8AC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B47F56"/>
    <w:multiLevelType w:val="multilevel"/>
    <w:tmpl w:val="ACA4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155D4"/>
    <w:multiLevelType w:val="multilevel"/>
    <w:tmpl w:val="F846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C0519"/>
    <w:multiLevelType w:val="multilevel"/>
    <w:tmpl w:val="643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56F32"/>
    <w:multiLevelType w:val="multilevel"/>
    <w:tmpl w:val="5D56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90FF4"/>
    <w:multiLevelType w:val="multilevel"/>
    <w:tmpl w:val="864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D241E"/>
    <w:multiLevelType w:val="multilevel"/>
    <w:tmpl w:val="B3F6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A5D38"/>
    <w:multiLevelType w:val="hybridMultilevel"/>
    <w:tmpl w:val="0B98114A"/>
    <w:lvl w:ilvl="0" w:tplc="7A5EC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86C57"/>
    <w:multiLevelType w:val="multilevel"/>
    <w:tmpl w:val="3DA2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45566"/>
    <w:multiLevelType w:val="multilevel"/>
    <w:tmpl w:val="FB0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61222"/>
    <w:multiLevelType w:val="multilevel"/>
    <w:tmpl w:val="8ED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C5D4F"/>
    <w:multiLevelType w:val="multilevel"/>
    <w:tmpl w:val="CB2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27B6A"/>
    <w:multiLevelType w:val="multilevel"/>
    <w:tmpl w:val="E23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573D5"/>
    <w:multiLevelType w:val="multilevel"/>
    <w:tmpl w:val="1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80A9E"/>
    <w:multiLevelType w:val="hybridMultilevel"/>
    <w:tmpl w:val="8DD0EF9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C24233"/>
    <w:multiLevelType w:val="multilevel"/>
    <w:tmpl w:val="C58C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60D2E"/>
    <w:multiLevelType w:val="multilevel"/>
    <w:tmpl w:val="A70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15329"/>
    <w:multiLevelType w:val="multilevel"/>
    <w:tmpl w:val="1492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95D76"/>
    <w:multiLevelType w:val="multilevel"/>
    <w:tmpl w:val="8D4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E5ADB"/>
    <w:multiLevelType w:val="hybridMultilevel"/>
    <w:tmpl w:val="47724478"/>
    <w:lvl w:ilvl="0" w:tplc="21D8E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259CB"/>
    <w:multiLevelType w:val="multilevel"/>
    <w:tmpl w:val="334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85276"/>
    <w:multiLevelType w:val="multilevel"/>
    <w:tmpl w:val="813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D3AEE"/>
    <w:multiLevelType w:val="multilevel"/>
    <w:tmpl w:val="DBF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97712"/>
    <w:multiLevelType w:val="multilevel"/>
    <w:tmpl w:val="6388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C03B0"/>
    <w:multiLevelType w:val="multilevel"/>
    <w:tmpl w:val="6730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9092F"/>
    <w:multiLevelType w:val="multilevel"/>
    <w:tmpl w:val="0F2A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93943"/>
    <w:multiLevelType w:val="hybridMultilevel"/>
    <w:tmpl w:val="D4E287FA"/>
    <w:lvl w:ilvl="0" w:tplc="FC366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F6AB2"/>
    <w:multiLevelType w:val="hybridMultilevel"/>
    <w:tmpl w:val="38FEF63A"/>
    <w:lvl w:ilvl="0" w:tplc="881E58C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2"/>
  </w:num>
  <w:num w:numId="2">
    <w:abstractNumId w:val="10"/>
  </w:num>
  <w:num w:numId="3">
    <w:abstractNumId w:val="15"/>
  </w:num>
  <w:num w:numId="4">
    <w:abstractNumId w:val="7"/>
  </w:num>
  <w:num w:numId="5">
    <w:abstractNumId w:val="8"/>
  </w:num>
  <w:num w:numId="6">
    <w:abstractNumId w:val="27"/>
  </w:num>
  <w:num w:numId="7">
    <w:abstractNumId w:val="5"/>
  </w:num>
  <w:num w:numId="8">
    <w:abstractNumId w:val="18"/>
  </w:num>
  <w:num w:numId="9">
    <w:abstractNumId w:val="24"/>
  </w:num>
  <w:num w:numId="10">
    <w:abstractNumId w:val="1"/>
  </w:num>
  <w:num w:numId="11">
    <w:abstractNumId w:val="4"/>
  </w:num>
  <w:num w:numId="12">
    <w:abstractNumId w:val="26"/>
  </w:num>
  <w:num w:numId="13">
    <w:abstractNumId w:val="13"/>
  </w:num>
  <w:num w:numId="14">
    <w:abstractNumId w:val="11"/>
  </w:num>
  <w:num w:numId="15">
    <w:abstractNumId w:val="20"/>
  </w:num>
  <w:num w:numId="16">
    <w:abstractNumId w:val="3"/>
  </w:num>
  <w:num w:numId="17">
    <w:abstractNumId w:val="17"/>
  </w:num>
  <w:num w:numId="18">
    <w:abstractNumId w:val="6"/>
  </w:num>
  <w:num w:numId="19">
    <w:abstractNumId w:val="14"/>
  </w:num>
  <w:num w:numId="20">
    <w:abstractNumId w:val="23"/>
  </w:num>
  <w:num w:numId="21">
    <w:abstractNumId w:val="0"/>
  </w:num>
  <w:num w:numId="22">
    <w:abstractNumId w:val="12"/>
  </w:num>
  <w:num w:numId="23">
    <w:abstractNumId w:val="25"/>
  </w:num>
  <w:num w:numId="24">
    <w:abstractNumId w:val="19"/>
  </w:num>
  <w:num w:numId="25">
    <w:abstractNumId w:val="9"/>
  </w:num>
  <w:num w:numId="26">
    <w:abstractNumId w:val="21"/>
  </w:num>
  <w:num w:numId="27">
    <w:abstractNumId w:val="28"/>
  </w:num>
  <w:num w:numId="28">
    <w:abstractNumId w:val="29"/>
  </w:num>
  <w:num w:numId="29">
    <w:abstractNumId w:val="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46"/>
    <w:rsid w:val="00001AE8"/>
    <w:rsid w:val="00007A4C"/>
    <w:rsid w:val="000102E1"/>
    <w:rsid w:val="00011768"/>
    <w:rsid w:val="00017C24"/>
    <w:rsid w:val="00017E71"/>
    <w:rsid w:val="0002744E"/>
    <w:rsid w:val="00027C1A"/>
    <w:rsid w:val="00030809"/>
    <w:rsid w:val="00033B95"/>
    <w:rsid w:val="00035068"/>
    <w:rsid w:val="000363B2"/>
    <w:rsid w:val="00041219"/>
    <w:rsid w:val="00042223"/>
    <w:rsid w:val="00042268"/>
    <w:rsid w:val="00053DB1"/>
    <w:rsid w:val="000545C0"/>
    <w:rsid w:val="00057B08"/>
    <w:rsid w:val="0006604F"/>
    <w:rsid w:val="00073BD3"/>
    <w:rsid w:val="00077C7E"/>
    <w:rsid w:val="00080020"/>
    <w:rsid w:val="000823D0"/>
    <w:rsid w:val="000846E2"/>
    <w:rsid w:val="000850E0"/>
    <w:rsid w:val="00090642"/>
    <w:rsid w:val="000A7A83"/>
    <w:rsid w:val="000B08E0"/>
    <w:rsid w:val="000B1087"/>
    <w:rsid w:val="000B3D82"/>
    <w:rsid w:val="000B58A0"/>
    <w:rsid w:val="000B78D6"/>
    <w:rsid w:val="000B7A0C"/>
    <w:rsid w:val="000C61A7"/>
    <w:rsid w:val="000C7502"/>
    <w:rsid w:val="000E4C63"/>
    <w:rsid w:val="000F1FC8"/>
    <w:rsid w:val="000F3CA0"/>
    <w:rsid w:val="000F636E"/>
    <w:rsid w:val="00114CCE"/>
    <w:rsid w:val="0011541E"/>
    <w:rsid w:val="00117817"/>
    <w:rsid w:val="00121269"/>
    <w:rsid w:val="0012356C"/>
    <w:rsid w:val="001240C1"/>
    <w:rsid w:val="001340C0"/>
    <w:rsid w:val="0013772F"/>
    <w:rsid w:val="00137895"/>
    <w:rsid w:val="00151026"/>
    <w:rsid w:val="00151610"/>
    <w:rsid w:val="00153598"/>
    <w:rsid w:val="001552CF"/>
    <w:rsid w:val="001632A2"/>
    <w:rsid w:val="0016461E"/>
    <w:rsid w:val="001679BF"/>
    <w:rsid w:val="00171F47"/>
    <w:rsid w:val="0017400C"/>
    <w:rsid w:val="001813D3"/>
    <w:rsid w:val="001A131F"/>
    <w:rsid w:val="001A2C5A"/>
    <w:rsid w:val="001A3FA3"/>
    <w:rsid w:val="001A5260"/>
    <w:rsid w:val="001B5D69"/>
    <w:rsid w:val="001B7A67"/>
    <w:rsid w:val="001C1E62"/>
    <w:rsid w:val="001C2D35"/>
    <w:rsid w:val="001C2ED2"/>
    <w:rsid w:val="001D020F"/>
    <w:rsid w:val="001D12FA"/>
    <w:rsid w:val="001E1BF0"/>
    <w:rsid w:val="001E214D"/>
    <w:rsid w:val="001E4B0D"/>
    <w:rsid w:val="001F2CF7"/>
    <w:rsid w:val="001F423A"/>
    <w:rsid w:val="001F425B"/>
    <w:rsid w:val="001F694C"/>
    <w:rsid w:val="00204731"/>
    <w:rsid w:val="00204F6E"/>
    <w:rsid w:val="00210F42"/>
    <w:rsid w:val="00210FED"/>
    <w:rsid w:val="002157AD"/>
    <w:rsid w:val="002236BF"/>
    <w:rsid w:val="00224032"/>
    <w:rsid w:val="00224949"/>
    <w:rsid w:val="00227875"/>
    <w:rsid w:val="002318A3"/>
    <w:rsid w:val="0024405A"/>
    <w:rsid w:val="002444E7"/>
    <w:rsid w:val="002462EA"/>
    <w:rsid w:val="0024765B"/>
    <w:rsid w:val="002524CD"/>
    <w:rsid w:val="00252658"/>
    <w:rsid w:val="0025789D"/>
    <w:rsid w:val="0026775D"/>
    <w:rsid w:val="00272280"/>
    <w:rsid w:val="002805AB"/>
    <w:rsid w:val="002807CD"/>
    <w:rsid w:val="00280A85"/>
    <w:rsid w:val="00282899"/>
    <w:rsid w:val="002840F9"/>
    <w:rsid w:val="00290624"/>
    <w:rsid w:val="00292EB1"/>
    <w:rsid w:val="00295179"/>
    <w:rsid w:val="00296600"/>
    <w:rsid w:val="002A0252"/>
    <w:rsid w:val="002A29C5"/>
    <w:rsid w:val="002A57D2"/>
    <w:rsid w:val="002A5A2F"/>
    <w:rsid w:val="002A6F1C"/>
    <w:rsid w:val="002A7C94"/>
    <w:rsid w:val="002B0B66"/>
    <w:rsid w:val="002B1832"/>
    <w:rsid w:val="002B554C"/>
    <w:rsid w:val="002C5A92"/>
    <w:rsid w:val="002C718C"/>
    <w:rsid w:val="002D04D5"/>
    <w:rsid w:val="002D15EA"/>
    <w:rsid w:val="002D56C3"/>
    <w:rsid w:val="002D5FB0"/>
    <w:rsid w:val="002D7AA8"/>
    <w:rsid w:val="002E4593"/>
    <w:rsid w:val="002F23EC"/>
    <w:rsid w:val="002F2F97"/>
    <w:rsid w:val="002F5240"/>
    <w:rsid w:val="002F56BA"/>
    <w:rsid w:val="002F66D4"/>
    <w:rsid w:val="002F6A26"/>
    <w:rsid w:val="002F6FBA"/>
    <w:rsid w:val="002F7EE4"/>
    <w:rsid w:val="00302F62"/>
    <w:rsid w:val="0030349F"/>
    <w:rsid w:val="00310A09"/>
    <w:rsid w:val="0031607C"/>
    <w:rsid w:val="003203B6"/>
    <w:rsid w:val="00322E29"/>
    <w:rsid w:val="00324DFD"/>
    <w:rsid w:val="003262E1"/>
    <w:rsid w:val="0033759C"/>
    <w:rsid w:val="00337DAE"/>
    <w:rsid w:val="00344A20"/>
    <w:rsid w:val="003515D7"/>
    <w:rsid w:val="00351D29"/>
    <w:rsid w:val="0035305F"/>
    <w:rsid w:val="00356278"/>
    <w:rsid w:val="00357FB5"/>
    <w:rsid w:val="00364728"/>
    <w:rsid w:val="00365038"/>
    <w:rsid w:val="003757E7"/>
    <w:rsid w:val="00375B60"/>
    <w:rsid w:val="0038128F"/>
    <w:rsid w:val="00382F5D"/>
    <w:rsid w:val="00385740"/>
    <w:rsid w:val="00387297"/>
    <w:rsid w:val="003877C2"/>
    <w:rsid w:val="003909D3"/>
    <w:rsid w:val="00390BD4"/>
    <w:rsid w:val="00397CEF"/>
    <w:rsid w:val="00397E01"/>
    <w:rsid w:val="003A1098"/>
    <w:rsid w:val="003A3EAC"/>
    <w:rsid w:val="003B041A"/>
    <w:rsid w:val="003B5FF4"/>
    <w:rsid w:val="003C2316"/>
    <w:rsid w:val="003C4809"/>
    <w:rsid w:val="003C6E59"/>
    <w:rsid w:val="003D2B0D"/>
    <w:rsid w:val="003D3004"/>
    <w:rsid w:val="003E1B9E"/>
    <w:rsid w:val="00406A42"/>
    <w:rsid w:val="00406CF8"/>
    <w:rsid w:val="004074BE"/>
    <w:rsid w:val="00410229"/>
    <w:rsid w:val="00415949"/>
    <w:rsid w:val="00443AB2"/>
    <w:rsid w:val="00445960"/>
    <w:rsid w:val="00447328"/>
    <w:rsid w:val="004509D6"/>
    <w:rsid w:val="00451C2C"/>
    <w:rsid w:val="00455129"/>
    <w:rsid w:val="004579B7"/>
    <w:rsid w:val="00463ACE"/>
    <w:rsid w:val="00470ADE"/>
    <w:rsid w:val="00471335"/>
    <w:rsid w:val="004874F5"/>
    <w:rsid w:val="00492FA3"/>
    <w:rsid w:val="00493113"/>
    <w:rsid w:val="004A1DC6"/>
    <w:rsid w:val="004A2B0D"/>
    <w:rsid w:val="004B0496"/>
    <w:rsid w:val="004B4483"/>
    <w:rsid w:val="004B49EC"/>
    <w:rsid w:val="004C0258"/>
    <w:rsid w:val="004C1840"/>
    <w:rsid w:val="004C2F39"/>
    <w:rsid w:val="004C7C83"/>
    <w:rsid w:val="004D657A"/>
    <w:rsid w:val="004D65FC"/>
    <w:rsid w:val="004D6795"/>
    <w:rsid w:val="004E2AE4"/>
    <w:rsid w:val="004E3F07"/>
    <w:rsid w:val="004E7EE1"/>
    <w:rsid w:val="004F294A"/>
    <w:rsid w:val="004F3043"/>
    <w:rsid w:val="005014C8"/>
    <w:rsid w:val="00506F52"/>
    <w:rsid w:val="00513EAD"/>
    <w:rsid w:val="0051513B"/>
    <w:rsid w:val="005161A9"/>
    <w:rsid w:val="00516C3C"/>
    <w:rsid w:val="00516CB3"/>
    <w:rsid w:val="00517295"/>
    <w:rsid w:val="00520A17"/>
    <w:rsid w:val="00525573"/>
    <w:rsid w:val="0053107C"/>
    <w:rsid w:val="00532555"/>
    <w:rsid w:val="0053553C"/>
    <w:rsid w:val="00540942"/>
    <w:rsid w:val="005544E8"/>
    <w:rsid w:val="00555DCB"/>
    <w:rsid w:val="0055740D"/>
    <w:rsid w:val="00563D3B"/>
    <w:rsid w:val="0057096A"/>
    <w:rsid w:val="005848C8"/>
    <w:rsid w:val="00585B1E"/>
    <w:rsid w:val="00586259"/>
    <w:rsid w:val="0059270C"/>
    <w:rsid w:val="00597825"/>
    <w:rsid w:val="005C6D9A"/>
    <w:rsid w:val="005D0203"/>
    <w:rsid w:val="005D553F"/>
    <w:rsid w:val="005D78AD"/>
    <w:rsid w:val="005E18D4"/>
    <w:rsid w:val="005E293C"/>
    <w:rsid w:val="005E6E58"/>
    <w:rsid w:val="005E7789"/>
    <w:rsid w:val="005E7F5E"/>
    <w:rsid w:val="005F70AA"/>
    <w:rsid w:val="00605529"/>
    <w:rsid w:val="00605E91"/>
    <w:rsid w:val="00620B18"/>
    <w:rsid w:val="00623772"/>
    <w:rsid w:val="0062723C"/>
    <w:rsid w:val="00627B17"/>
    <w:rsid w:val="0063150C"/>
    <w:rsid w:val="00636BE2"/>
    <w:rsid w:val="006373C8"/>
    <w:rsid w:val="00641983"/>
    <w:rsid w:val="00641EED"/>
    <w:rsid w:val="00646CE8"/>
    <w:rsid w:val="00651D31"/>
    <w:rsid w:val="006555AF"/>
    <w:rsid w:val="0066657A"/>
    <w:rsid w:val="00671B71"/>
    <w:rsid w:val="00675EF9"/>
    <w:rsid w:val="00676C57"/>
    <w:rsid w:val="00686321"/>
    <w:rsid w:val="00686354"/>
    <w:rsid w:val="006919AB"/>
    <w:rsid w:val="00693632"/>
    <w:rsid w:val="006965F8"/>
    <w:rsid w:val="00697EB2"/>
    <w:rsid w:val="006A05A9"/>
    <w:rsid w:val="006A3B8A"/>
    <w:rsid w:val="006A5081"/>
    <w:rsid w:val="006A59B8"/>
    <w:rsid w:val="006B2A84"/>
    <w:rsid w:val="006B3AF6"/>
    <w:rsid w:val="006C09D4"/>
    <w:rsid w:val="006C224C"/>
    <w:rsid w:val="006C41F4"/>
    <w:rsid w:val="006C428D"/>
    <w:rsid w:val="006C4B4F"/>
    <w:rsid w:val="006C5891"/>
    <w:rsid w:val="006D0454"/>
    <w:rsid w:val="006D664C"/>
    <w:rsid w:val="006D7DC3"/>
    <w:rsid w:val="006E1B2D"/>
    <w:rsid w:val="006E38B0"/>
    <w:rsid w:val="006E4211"/>
    <w:rsid w:val="006E7AE0"/>
    <w:rsid w:val="006F4042"/>
    <w:rsid w:val="006F61C1"/>
    <w:rsid w:val="006F70F0"/>
    <w:rsid w:val="006F76FB"/>
    <w:rsid w:val="00706658"/>
    <w:rsid w:val="00714828"/>
    <w:rsid w:val="007248A2"/>
    <w:rsid w:val="007263D4"/>
    <w:rsid w:val="007346C5"/>
    <w:rsid w:val="007362F5"/>
    <w:rsid w:val="00741AA9"/>
    <w:rsid w:val="0074351C"/>
    <w:rsid w:val="00745DFE"/>
    <w:rsid w:val="007503EB"/>
    <w:rsid w:val="007506C1"/>
    <w:rsid w:val="00750C2B"/>
    <w:rsid w:val="007540A7"/>
    <w:rsid w:val="00757709"/>
    <w:rsid w:val="00765A3A"/>
    <w:rsid w:val="00767F3B"/>
    <w:rsid w:val="007701B2"/>
    <w:rsid w:val="007705F0"/>
    <w:rsid w:val="007710E7"/>
    <w:rsid w:val="00772FFC"/>
    <w:rsid w:val="00775229"/>
    <w:rsid w:val="00782216"/>
    <w:rsid w:val="00782716"/>
    <w:rsid w:val="00787F2A"/>
    <w:rsid w:val="007B1E8E"/>
    <w:rsid w:val="007B3320"/>
    <w:rsid w:val="007B47D5"/>
    <w:rsid w:val="007C0A37"/>
    <w:rsid w:val="007C1795"/>
    <w:rsid w:val="007C4FA3"/>
    <w:rsid w:val="007C5584"/>
    <w:rsid w:val="007C5994"/>
    <w:rsid w:val="007C6336"/>
    <w:rsid w:val="007C6B10"/>
    <w:rsid w:val="007D1158"/>
    <w:rsid w:val="007D4AEC"/>
    <w:rsid w:val="007D7BED"/>
    <w:rsid w:val="007E0289"/>
    <w:rsid w:val="007E1CBB"/>
    <w:rsid w:val="007F03E9"/>
    <w:rsid w:val="007F19B3"/>
    <w:rsid w:val="007F47E5"/>
    <w:rsid w:val="007F7FF9"/>
    <w:rsid w:val="00804F02"/>
    <w:rsid w:val="0081304A"/>
    <w:rsid w:val="008137BD"/>
    <w:rsid w:val="008228AE"/>
    <w:rsid w:val="00831C31"/>
    <w:rsid w:val="00833EDD"/>
    <w:rsid w:val="00834135"/>
    <w:rsid w:val="00840B0A"/>
    <w:rsid w:val="00840F9A"/>
    <w:rsid w:val="0084688A"/>
    <w:rsid w:val="00851930"/>
    <w:rsid w:val="00855708"/>
    <w:rsid w:val="008647A8"/>
    <w:rsid w:val="008675CD"/>
    <w:rsid w:val="0087238D"/>
    <w:rsid w:val="00875729"/>
    <w:rsid w:val="0087585E"/>
    <w:rsid w:val="00876E79"/>
    <w:rsid w:val="00877FF5"/>
    <w:rsid w:val="008847B1"/>
    <w:rsid w:val="00886F51"/>
    <w:rsid w:val="00894EB5"/>
    <w:rsid w:val="008A4B9F"/>
    <w:rsid w:val="008B5412"/>
    <w:rsid w:val="008B5427"/>
    <w:rsid w:val="008D54B4"/>
    <w:rsid w:val="008D5A9B"/>
    <w:rsid w:val="008D70BF"/>
    <w:rsid w:val="008D7D0F"/>
    <w:rsid w:val="008E4E01"/>
    <w:rsid w:val="008E575D"/>
    <w:rsid w:val="008F0DC1"/>
    <w:rsid w:val="008F7096"/>
    <w:rsid w:val="008F75C5"/>
    <w:rsid w:val="008F7F6D"/>
    <w:rsid w:val="00904C57"/>
    <w:rsid w:val="0091238E"/>
    <w:rsid w:val="009155CF"/>
    <w:rsid w:val="00917281"/>
    <w:rsid w:val="0092112E"/>
    <w:rsid w:val="00927DD4"/>
    <w:rsid w:val="00931879"/>
    <w:rsid w:val="009378C7"/>
    <w:rsid w:val="00944EF5"/>
    <w:rsid w:val="0094550A"/>
    <w:rsid w:val="00946145"/>
    <w:rsid w:val="00946EFC"/>
    <w:rsid w:val="0094704F"/>
    <w:rsid w:val="00950C88"/>
    <w:rsid w:val="0095116B"/>
    <w:rsid w:val="00953294"/>
    <w:rsid w:val="00955E3D"/>
    <w:rsid w:val="00961136"/>
    <w:rsid w:val="009731A5"/>
    <w:rsid w:val="009757F4"/>
    <w:rsid w:val="0097711C"/>
    <w:rsid w:val="009904A7"/>
    <w:rsid w:val="009905E0"/>
    <w:rsid w:val="009A1DC7"/>
    <w:rsid w:val="009A3F71"/>
    <w:rsid w:val="009B2E24"/>
    <w:rsid w:val="009C043C"/>
    <w:rsid w:val="009C280D"/>
    <w:rsid w:val="009D0595"/>
    <w:rsid w:val="009D1561"/>
    <w:rsid w:val="009D4E89"/>
    <w:rsid w:val="009D55A2"/>
    <w:rsid w:val="009D6CD6"/>
    <w:rsid w:val="009E23D3"/>
    <w:rsid w:val="009E3A80"/>
    <w:rsid w:val="009F3BC5"/>
    <w:rsid w:val="009F53DC"/>
    <w:rsid w:val="00A07CBE"/>
    <w:rsid w:val="00A20F8E"/>
    <w:rsid w:val="00A240BF"/>
    <w:rsid w:val="00A24FFF"/>
    <w:rsid w:val="00A31321"/>
    <w:rsid w:val="00A4021C"/>
    <w:rsid w:val="00A42F31"/>
    <w:rsid w:val="00A4324A"/>
    <w:rsid w:val="00A54FF5"/>
    <w:rsid w:val="00A55CA8"/>
    <w:rsid w:val="00A56385"/>
    <w:rsid w:val="00A56B44"/>
    <w:rsid w:val="00A700EF"/>
    <w:rsid w:val="00A72C29"/>
    <w:rsid w:val="00A7765D"/>
    <w:rsid w:val="00A952C0"/>
    <w:rsid w:val="00AA270E"/>
    <w:rsid w:val="00AA56A5"/>
    <w:rsid w:val="00AA6783"/>
    <w:rsid w:val="00AB2092"/>
    <w:rsid w:val="00AB658C"/>
    <w:rsid w:val="00AB7532"/>
    <w:rsid w:val="00AD370B"/>
    <w:rsid w:val="00AD38A4"/>
    <w:rsid w:val="00AE1BE6"/>
    <w:rsid w:val="00AE40EA"/>
    <w:rsid w:val="00AF096F"/>
    <w:rsid w:val="00AF2C63"/>
    <w:rsid w:val="00AF5209"/>
    <w:rsid w:val="00AF5D4B"/>
    <w:rsid w:val="00B02472"/>
    <w:rsid w:val="00B0261B"/>
    <w:rsid w:val="00B02661"/>
    <w:rsid w:val="00B03F50"/>
    <w:rsid w:val="00B061B6"/>
    <w:rsid w:val="00B07E15"/>
    <w:rsid w:val="00B10447"/>
    <w:rsid w:val="00B13F17"/>
    <w:rsid w:val="00B16FA5"/>
    <w:rsid w:val="00B20C71"/>
    <w:rsid w:val="00B24B93"/>
    <w:rsid w:val="00B27873"/>
    <w:rsid w:val="00B27EDB"/>
    <w:rsid w:val="00B413FF"/>
    <w:rsid w:val="00B42FA0"/>
    <w:rsid w:val="00B45B8C"/>
    <w:rsid w:val="00B55240"/>
    <w:rsid w:val="00B5709D"/>
    <w:rsid w:val="00B631F8"/>
    <w:rsid w:val="00B71BF8"/>
    <w:rsid w:val="00B93836"/>
    <w:rsid w:val="00B97C49"/>
    <w:rsid w:val="00BA06CB"/>
    <w:rsid w:val="00BA4069"/>
    <w:rsid w:val="00BB143B"/>
    <w:rsid w:val="00BB38BE"/>
    <w:rsid w:val="00BB443A"/>
    <w:rsid w:val="00BB5088"/>
    <w:rsid w:val="00BB754F"/>
    <w:rsid w:val="00BC11B3"/>
    <w:rsid w:val="00BC16B0"/>
    <w:rsid w:val="00BC432F"/>
    <w:rsid w:val="00BC6535"/>
    <w:rsid w:val="00BC6E51"/>
    <w:rsid w:val="00BE2D92"/>
    <w:rsid w:val="00BE3DAD"/>
    <w:rsid w:val="00BF09FE"/>
    <w:rsid w:val="00BF1DD1"/>
    <w:rsid w:val="00BF6C96"/>
    <w:rsid w:val="00BF7231"/>
    <w:rsid w:val="00BF75B9"/>
    <w:rsid w:val="00BF77CE"/>
    <w:rsid w:val="00C03251"/>
    <w:rsid w:val="00C0747D"/>
    <w:rsid w:val="00C11719"/>
    <w:rsid w:val="00C13266"/>
    <w:rsid w:val="00C1330B"/>
    <w:rsid w:val="00C21AE8"/>
    <w:rsid w:val="00C2604F"/>
    <w:rsid w:val="00C26949"/>
    <w:rsid w:val="00C324FE"/>
    <w:rsid w:val="00C3459E"/>
    <w:rsid w:val="00C37FE2"/>
    <w:rsid w:val="00C40EDC"/>
    <w:rsid w:val="00C43ACB"/>
    <w:rsid w:val="00C60319"/>
    <w:rsid w:val="00C64281"/>
    <w:rsid w:val="00C66F9B"/>
    <w:rsid w:val="00C74EE2"/>
    <w:rsid w:val="00C8467E"/>
    <w:rsid w:val="00C90CA2"/>
    <w:rsid w:val="00C91F8B"/>
    <w:rsid w:val="00C97C85"/>
    <w:rsid w:val="00CA7A35"/>
    <w:rsid w:val="00CB1020"/>
    <w:rsid w:val="00CB1D58"/>
    <w:rsid w:val="00CC472F"/>
    <w:rsid w:val="00CC4E11"/>
    <w:rsid w:val="00CF1F9A"/>
    <w:rsid w:val="00CF2EB6"/>
    <w:rsid w:val="00CF353D"/>
    <w:rsid w:val="00CF59CB"/>
    <w:rsid w:val="00CF6D7E"/>
    <w:rsid w:val="00D01499"/>
    <w:rsid w:val="00D022E6"/>
    <w:rsid w:val="00D03866"/>
    <w:rsid w:val="00D04E47"/>
    <w:rsid w:val="00D14FE8"/>
    <w:rsid w:val="00D15AFE"/>
    <w:rsid w:val="00D206FC"/>
    <w:rsid w:val="00D23825"/>
    <w:rsid w:val="00D23CD5"/>
    <w:rsid w:val="00D23CFC"/>
    <w:rsid w:val="00D27B69"/>
    <w:rsid w:val="00D366DA"/>
    <w:rsid w:val="00D369DC"/>
    <w:rsid w:val="00D36ED0"/>
    <w:rsid w:val="00D3756D"/>
    <w:rsid w:val="00D50C5C"/>
    <w:rsid w:val="00D51D49"/>
    <w:rsid w:val="00D52650"/>
    <w:rsid w:val="00D545DC"/>
    <w:rsid w:val="00D5687B"/>
    <w:rsid w:val="00D65A7D"/>
    <w:rsid w:val="00D6612C"/>
    <w:rsid w:val="00D8415D"/>
    <w:rsid w:val="00DB1B72"/>
    <w:rsid w:val="00DB28C3"/>
    <w:rsid w:val="00DB4B38"/>
    <w:rsid w:val="00DB5BBE"/>
    <w:rsid w:val="00DB6027"/>
    <w:rsid w:val="00DB6E6D"/>
    <w:rsid w:val="00DB7D14"/>
    <w:rsid w:val="00DC028F"/>
    <w:rsid w:val="00DC0AE7"/>
    <w:rsid w:val="00DC528F"/>
    <w:rsid w:val="00DC57A5"/>
    <w:rsid w:val="00DC6124"/>
    <w:rsid w:val="00DD32C4"/>
    <w:rsid w:val="00DD3F4F"/>
    <w:rsid w:val="00DD7320"/>
    <w:rsid w:val="00DE052C"/>
    <w:rsid w:val="00DE0F6E"/>
    <w:rsid w:val="00DE6664"/>
    <w:rsid w:val="00DF3C01"/>
    <w:rsid w:val="00E07DCA"/>
    <w:rsid w:val="00E1153C"/>
    <w:rsid w:val="00E12014"/>
    <w:rsid w:val="00E1301F"/>
    <w:rsid w:val="00E1375C"/>
    <w:rsid w:val="00E13941"/>
    <w:rsid w:val="00E1543C"/>
    <w:rsid w:val="00E278B0"/>
    <w:rsid w:val="00E31588"/>
    <w:rsid w:val="00E35AE4"/>
    <w:rsid w:val="00E374DA"/>
    <w:rsid w:val="00E436AC"/>
    <w:rsid w:val="00E51426"/>
    <w:rsid w:val="00E62D98"/>
    <w:rsid w:val="00E655A1"/>
    <w:rsid w:val="00E65915"/>
    <w:rsid w:val="00E6653D"/>
    <w:rsid w:val="00E6753A"/>
    <w:rsid w:val="00E73143"/>
    <w:rsid w:val="00EA10EF"/>
    <w:rsid w:val="00EA7E36"/>
    <w:rsid w:val="00EB544D"/>
    <w:rsid w:val="00EB74C7"/>
    <w:rsid w:val="00EC5FE0"/>
    <w:rsid w:val="00ED4BD1"/>
    <w:rsid w:val="00ED5D92"/>
    <w:rsid w:val="00EE02E3"/>
    <w:rsid w:val="00EE1096"/>
    <w:rsid w:val="00EE42D8"/>
    <w:rsid w:val="00EE5101"/>
    <w:rsid w:val="00EF0858"/>
    <w:rsid w:val="00EF0F60"/>
    <w:rsid w:val="00EF6013"/>
    <w:rsid w:val="00F13465"/>
    <w:rsid w:val="00F1463A"/>
    <w:rsid w:val="00F21FA3"/>
    <w:rsid w:val="00F23962"/>
    <w:rsid w:val="00F23C0B"/>
    <w:rsid w:val="00F24E3B"/>
    <w:rsid w:val="00F26571"/>
    <w:rsid w:val="00F44DFB"/>
    <w:rsid w:val="00F46D56"/>
    <w:rsid w:val="00F47C2A"/>
    <w:rsid w:val="00F47F7F"/>
    <w:rsid w:val="00F5419B"/>
    <w:rsid w:val="00F54560"/>
    <w:rsid w:val="00F578DF"/>
    <w:rsid w:val="00F61F18"/>
    <w:rsid w:val="00F70ACE"/>
    <w:rsid w:val="00F7286A"/>
    <w:rsid w:val="00F82446"/>
    <w:rsid w:val="00F84DF8"/>
    <w:rsid w:val="00F87E92"/>
    <w:rsid w:val="00F91F81"/>
    <w:rsid w:val="00FA057B"/>
    <w:rsid w:val="00FA4E86"/>
    <w:rsid w:val="00FB679D"/>
    <w:rsid w:val="00FC7C5A"/>
    <w:rsid w:val="00FD13A7"/>
    <w:rsid w:val="00FE060A"/>
    <w:rsid w:val="00FE16C2"/>
    <w:rsid w:val="00FE25F5"/>
    <w:rsid w:val="00FE3B21"/>
    <w:rsid w:val="00FE654C"/>
    <w:rsid w:val="00FE7433"/>
    <w:rsid w:val="00FF0A74"/>
    <w:rsid w:val="00FF4853"/>
    <w:rsid w:val="00FF5C6E"/>
    <w:rsid w:val="00FF78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EDAA"/>
  <w15:chartTrackingRefBased/>
  <w15:docId w15:val="{6146DE92-CCD5-4E34-BDB9-F99A495A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446"/>
    <w:rPr>
      <w:rFonts w:eastAsiaTheme="majorEastAsia" w:cstheme="majorBidi"/>
      <w:color w:val="272727" w:themeColor="text1" w:themeTint="D8"/>
    </w:rPr>
  </w:style>
  <w:style w:type="paragraph" w:styleId="Title">
    <w:name w:val="Title"/>
    <w:basedOn w:val="Normal"/>
    <w:next w:val="Normal"/>
    <w:link w:val="TitleChar"/>
    <w:uiPriority w:val="10"/>
    <w:qFormat/>
    <w:rsid w:val="00F82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446"/>
    <w:pPr>
      <w:spacing w:before="160"/>
      <w:jc w:val="center"/>
    </w:pPr>
    <w:rPr>
      <w:i/>
      <w:iCs/>
      <w:color w:val="404040" w:themeColor="text1" w:themeTint="BF"/>
    </w:rPr>
  </w:style>
  <w:style w:type="character" w:customStyle="1" w:styleId="QuoteChar">
    <w:name w:val="Quote Char"/>
    <w:basedOn w:val="DefaultParagraphFont"/>
    <w:link w:val="Quote"/>
    <w:uiPriority w:val="29"/>
    <w:rsid w:val="00F82446"/>
    <w:rPr>
      <w:i/>
      <w:iCs/>
      <w:color w:val="404040" w:themeColor="text1" w:themeTint="BF"/>
    </w:rPr>
  </w:style>
  <w:style w:type="paragraph" w:styleId="ListParagraph">
    <w:name w:val="List Paragraph"/>
    <w:basedOn w:val="Normal"/>
    <w:uiPriority w:val="34"/>
    <w:qFormat/>
    <w:rsid w:val="00F82446"/>
    <w:pPr>
      <w:ind w:left="720"/>
      <w:contextualSpacing/>
    </w:pPr>
  </w:style>
  <w:style w:type="character" w:styleId="IntenseEmphasis">
    <w:name w:val="Intense Emphasis"/>
    <w:basedOn w:val="DefaultParagraphFont"/>
    <w:uiPriority w:val="21"/>
    <w:qFormat/>
    <w:rsid w:val="00F82446"/>
    <w:rPr>
      <w:i/>
      <w:iCs/>
      <w:color w:val="2F5496" w:themeColor="accent1" w:themeShade="BF"/>
    </w:rPr>
  </w:style>
  <w:style w:type="paragraph" w:styleId="IntenseQuote">
    <w:name w:val="Intense Quote"/>
    <w:basedOn w:val="Normal"/>
    <w:next w:val="Normal"/>
    <w:link w:val="IntenseQuoteChar"/>
    <w:uiPriority w:val="30"/>
    <w:qFormat/>
    <w:rsid w:val="00F8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446"/>
    <w:rPr>
      <w:i/>
      <w:iCs/>
      <w:color w:val="2F5496" w:themeColor="accent1" w:themeShade="BF"/>
    </w:rPr>
  </w:style>
  <w:style w:type="character" w:styleId="IntenseReference">
    <w:name w:val="Intense Reference"/>
    <w:basedOn w:val="DefaultParagraphFont"/>
    <w:uiPriority w:val="32"/>
    <w:qFormat/>
    <w:rsid w:val="00F82446"/>
    <w:rPr>
      <w:b/>
      <w:bCs/>
      <w:smallCaps/>
      <w:color w:val="2F5496" w:themeColor="accent1" w:themeShade="BF"/>
      <w:spacing w:val="5"/>
    </w:rPr>
  </w:style>
  <w:style w:type="table" w:styleId="TableGrid">
    <w:name w:val="Table Grid"/>
    <w:basedOn w:val="TableNormal"/>
    <w:uiPriority w:val="39"/>
    <w:rsid w:val="00E7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330B"/>
    <w:rPr>
      <w:rFonts w:ascii="Times New Roman" w:hAnsi="Times New Roman" w:cs="Times New Roman"/>
      <w:sz w:val="24"/>
      <w:szCs w:val="24"/>
    </w:rPr>
  </w:style>
  <w:style w:type="character" w:styleId="LineNumber">
    <w:name w:val="line number"/>
    <w:basedOn w:val="DefaultParagraphFont"/>
    <w:uiPriority w:val="99"/>
    <w:semiHidden/>
    <w:unhideWhenUsed/>
    <w:rsid w:val="00A20F8E"/>
  </w:style>
  <w:style w:type="paragraph" w:styleId="Header">
    <w:name w:val="header"/>
    <w:basedOn w:val="Normal"/>
    <w:link w:val="HeaderChar"/>
    <w:uiPriority w:val="99"/>
    <w:unhideWhenUsed/>
    <w:rsid w:val="00EA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E36"/>
  </w:style>
  <w:style w:type="paragraph" w:styleId="Footer">
    <w:name w:val="footer"/>
    <w:basedOn w:val="Normal"/>
    <w:link w:val="FooterChar"/>
    <w:uiPriority w:val="99"/>
    <w:unhideWhenUsed/>
    <w:rsid w:val="00EA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E36"/>
  </w:style>
  <w:style w:type="character" w:styleId="Hyperlink">
    <w:name w:val="Hyperlink"/>
    <w:basedOn w:val="DefaultParagraphFont"/>
    <w:uiPriority w:val="99"/>
    <w:unhideWhenUsed/>
    <w:rsid w:val="008D5A9B"/>
    <w:rPr>
      <w:color w:val="0563C1" w:themeColor="hyperlink"/>
      <w:u w:val="single"/>
    </w:rPr>
  </w:style>
  <w:style w:type="character" w:styleId="UnresolvedMention">
    <w:name w:val="Unresolved Mention"/>
    <w:basedOn w:val="DefaultParagraphFont"/>
    <w:uiPriority w:val="99"/>
    <w:semiHidden/>
    <w:unhideWhenUsed/>
    <w:rsid w:val="008D5A9B"/>
    <w:rPr>
      <w:color w:val="605E5C"/>
      <w:shd w:val="clear" w:color="auto" w:fill="E1DFDD"/>
    </w:rPr>
  </w:style>
  <w:style w:type="paragraph" w:styleId="Bibliography">
    <w:name w:val="Bibliography"/>
    <w:basedOn w:val="Normal"/>
    <w:next w:val="Normal"/>
    <w:uiPriority w:val="37"/>
    <w:semiHidden/>
    <w:unhideWhenUsed/>
    <w:rsid w:val="00F44DFB"/>
  </w:style>
  <w:style w:type="paragraph" w:styleId="Revision">
    <w:name w:val="Revision"/>
    <w:hidden/>
    <w:uiPriority w:val="99"/>
    <w:semiHidden/>
    <w:rsid w:val="00953294"/>
    <w:pPr>
      <w:spacing w:after="0" w:line="240" w:lineRule="auto"/>
    </w:pPr>
  </w:style>
  <w:style w:type="character" w:styleId="CommentReference">
    <w:name w:val="annotation reference"/>
    <w:basedOn w:val="DefaultParagraphFont"/>
    <w:uiPriority w:val="99"/>
    <w:semiHidden/>
    <w:unhideWhenUsed/>
    <w:rsid w:val="00953294"/>
    <w:rPr>
      <w:sz w:val="16"/>
      <w:szCs w:val="16"/>
    </w:rPr>
  </w:style>
  <w:style w:type="paragraph" w:styleId="CommentText">
    <w:name w:val="annotation text"/>
    <w:basedOn w:val="Normal"/>
    <w:link w:val="CommentTextChar"/>
    <w:uiPriority w:val="99"/>
    <w:unhideWhenUsed/>
    <w:rsid w:val="00953294"/>
    <w:pPr>
      <w:spacing w:line="240" w:lineRule="auto"/>
    </w:pPr>
    <w:rPr>
      <w:sz w:val="20"/>
      <w:szCs w:val="20"/>
    </w:rPr>
  </w:style>
  <w:style w:type="character" w:customStyle="1" w:styleId="CommentTextChar">
    <w:name w:val="Comment Text Char"/>
    <w:basedOn w:val="DefaultParagraphFont"/>
    <w:link w:val="CommentText"/>
    <w:uiPriority w:val="99"/>
    <w:rsid w:val="00953294"/>
    <w:rPr>
      <w:sz w:val="20"/>
      <w:szCs w:val="20"/>
    </w:rPr>
  </w:style>
  <w:style w:type="paragraph" w:styleId="CommentSubject">
    <w:name w:val="annotation subject"/>
    <w:basedOn w:val="CommentText"/>
    <w:next w:val="CommentText"/>
    <w:link w:val="CommentSubjectChar"/>
    <w:uiPriority w:val="99"/>
    <w:semiHidden/>
    <w:unhideWhenUsed/>
    <w:rsid w:val="00953294"/>
    <w:rPr>
      <w:b/>
      <w:bCs/>
    </w:rPr>
  </w:style>
  <w:style w:type="character" w:customStyle="1" w:styleId="CommentSubjectChar">
    <w:name w:val="Comment Subject Char"/>
    <w:basedOn w:val="CommentTextChar"/>
    <w:link w:val="CommentSubject"/>
    <w:uiPriority w:val="99"/>
    <w:semiHidden/>
    <w:rsid w:val="00953294"/>
    <w:rPr>
      <w:b/>
      <w:bCs/>
      <w:sz w:val="20"/>
      <w:szCs w:val="20"/>
    </w:rPr>
  </w:style>
  <w:style w:type="character" w:styleId="FollowedHyperlink">
    <w:name w:val="FollowedHyperlink"/>
    <w:basedOn w:val="DefaultParagraphFont"/>
    <w:uiPriority w:val="99"/>
    <w:semiHidden/>
    <w:unhideWhenUsed/>
    <w:rsid w:val="00117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0748">
      <w:bodyDiv w:val="1"/>
      <w:marLeft w:val="0"/>
      <w:marRight w:val="0"/>
      <w:marTop w:val="0"/>
      <w:marBottom w:val="0"/>
      <w:divBdr>
        <w:top w:val="none" w:sz="0" w:space="0" w:color="auto"/>
        <w:left w:val="none" w:sz="0" w:space="0" w:color="auto"/>
        <w:bottom w:val="none" w:sz="0" w:space="0" w:color="auto"/>
        <w:right w:val="none" w:sz="0" w:space="0" w:color="auto"/>
      </w:divBdr>
    </w:div>
    <w:div w:id="152187428">
      <w:bodyDiv w:val="1"/>
      <w:marLeft w:val="0"/>
      <w:marRight w:val="0"/>
      <w:marTop w:val="0"/>
      <w:marBottom w:val="0"/>
      <w:divBdr>
        <w:top w:val="none" w:sz="0" w:space="0" w:color="auto"/>
        <w:left w:val="none" w:sz="0" w:space="0" w:color="auto"/>
        <w:bottom w:val="none" w:sz="0" w:space="0" w:color="auto"/>
        <w:right w:val="none" w:sz="0" w:space="0" w:color="auto"/>
      </w:divBdr>
    </w:div>
    <w:div w:id="175776968">
      <w:bodyDiv w:val="1"/>
      <w:marLeft w:val="0"/>
      <w:marRight w:val="0"/>
      <w:marTop w:val="0"/>
      <w:marBottom w:val="0"/>
      <w:divBdr>
        <w:top w:val="none" w:sz="0" w:space="0" w:color="auto"/>
        <w:left w:val="none" w:sz="0" w:space="0" w:color="auto"/>
        <w:bottom w:val="none" w:sz="0" w:space="0" w:color="auto"/>
        <w:right w:val="none" w:sz="0" w:space="0" w:color="auto"/>
      </w:divBdr>
    </w:div>
    <w:div w:id="244534761">
      <w:bodyDiv w:val="1"/>
      <w:marLeft w:val="0"/>
      <w:marRight w:val="0"/>
      <w:marTop w:val="0"/>
      <w:marBottom w:val="0"/>
      <w:divBdr>
        <w:top w:val="none" w:sz="0" w:space="0" w:color="auto"/>
        <w:left w:val="none" w:sz="0" w:space="0" w:color="auto"/>
        <w:bottom w:val="none" w:sz="0" w:space="0" w:color="auto"/>
        <w:right w:val="none" w:sz="0" w:space="0" w:color="auto"/>
      </w:divBdr>
    </w:div>
    <w:div w:id="279922864">
      <w:bodyDiv w:val="1"/>
      <w:marLeft w:val="0"/>
      <w:marRight w:val="0"/>
      <w:marTop w:val="0"/>
      <w:marBottom w:val="0"/>
      <w:divBdr>
        <w:top w:val="none" w:sz="0" w:space="0" w:color="auto"/>
        <w:left w:val="none" w:sz="0" w:space="0" w:color="auto"/>
        <w:bottom w:val="none" w:sz="0" w:space="0" w:color="auto"/>
        <w:right w:val="none" w:sz="0" w:space="0" w:color="auto"/>
      </w:divBdr>
    </w:div>
    <w:div w:id="316495463">
      <w:bodyDiv w:val="1"/>
      <w:marLeft w:val="0"/>
      <w:marRight w:val="0"/>
      <w:marTop w:val="0"/>
      <w:marBottom w:val="0"/>
      <w:divBdr>
        <w:top w:val="none" w:sz="0" w:space="0" w:color="auto"/>
        <w:left w:val="none" w:sz="0" w:space="0" w:color="auto"/>
        <w:bottom w:val="none" w:sz="0" w:space="0" w:color="auto"/>
        <w:right w:val="none" w:sz="0" w:space="0" w:color="auto"/>
      </w:divBdr>
    </w:div>
    <w:div w:id="322439533">
      <w:bodyDiv w:val="1"/>
      <w:marLeft w:val="0"/>
      <w:marRight w:val="0"/>
      <w:marTop w:val="0"/>
      <w:marBottom w:val="0"/>
      <w:divBdr>
        <w:top w:val="none" w:sz="0" w:space="0" w:color="auto"/>
        <w:left w:val="none" w:sz="0" w:space="0" w:color="auto"/>
        <w:bottom w:val="none" w:sz="0" w:space="0" w:color="auto"/>
        <w:right w:val="none" w:sz="0" w:space="0" w:color="auto"/>
      </w:divBdr>
      <w:divsChild>
        <w:div w:id="5443530">
          <w:marLeft w:val="0"/>
          <w:marRight w:val="0"/>
          <w:marTop w:val="0"/>
          <w:marBottom w:val="0"/>
          <w:divBdr>
            <w:top w:val="none" w:sz="0" w:space="0" w:color="auto"/>
            <w:left w:val="none" w:sz="0" w:space="0" w:color="auto"/>
            <w:bottom w:val="none" w:sz="0" w:space="0" w:color="auto"/>
            <w:right w:val="none" w:sz="0" w:space="0" w:color="auto"/>
          </w:divBdr>
          <w:divsChild>
            <w:div w:id="682513170">
              <w:marLeft w:val="0"/>
              <w:marRight w:val="0"/>
              <w:marTop w:val="0"/>
              <w:marBottom w:val="0"/>
              <w:divBdr>
                <w:top w:val="none" w:sz="0" w:space="0" w:color="auto"/>
                <w:left w:val="none" w:sz="0" w:space="0" w:color="auto"/>
                <w:bottom w:val="none" w:sz="0" w:space="0" w:color="auto"/>
                <w:right w:val="none" w:sz="0" w:space="0" w:color="auto"/>
              </w:divBdr>
              <w:divsChild>
                <w:div w:id="338585571">
                  <w:marLeft w:val="0"/>
                  <w:marRight w:val="0"/>
                  <w:marTop w:val="0"/>
                  <w:marBottom w:val="0"/>
                  <w:divBdr>
                    <w:top w:val="none" w:sz="0" w:space="0" w:color="auto"/>
                    <w:left w:val="none" w:sz="0" w:space="0" w:color="auto"/>
                    <w:bottom w:val="none" w:sz="0" w:space="0" w:color="auto"/>
                    <w:right w:val="none" w:sz="0" w:space="0" w:color="auto"/>
                  </w:divBdr>
                  <w:divsChild>
                    <w:div w:id="1300653330">
                      <w:marLeft w:val="0"/>
                      <w:marRight w:val="0"/>
                      <w:marTop w:val="0"/>
                      <w:marBottom w:val="0"/>
                      <w:divBdr>
                        <w:top w:val="none" w:sz="0" w:space="0" w:color="auto"/>
                        <w:left w:val="none" w:sz="0" w:space="0" w:color="auto"/>
                        <w:bottom w:val="none" w:sz="0" w:space="0" w:color="auto"/>
                        <w:right w:val="none" w:sz="0" w:space="0" w:color="auto"/>
                      </w:divBdr>
                      <w:divsChild>
                        <w:div w:id="869804220">
                          <w:marLeft w:val="0"/>
                          <w:marRight w:val="0"/>
                          <w:marTop w:val="0"/>
                          <w:marBottom w:val="0"/>
                          <w:divBdr>
                            <w:top w:val="none" w:sz="0" w:space="0" w:color="auto"/>
                            <w:left w:val="none" w:sz="0" w:space="0" w:color="auto"/>
                            <w:bottom w:val="none" w:sz="0" w:space="0" w:color="auto"/>
                            <w:right w:val="none" w:sz="0" w:space="0" w:color="auto"/>
                          </w:divBdr>
                          <w:divsChild>
                            <w:div w:id="20443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439985">
          <w:marLeft w:val="0"/>
          <w:marRight w:val="0"/>
          <w:marTop w:val="0"/>
          <w:marBottom w:val="0"/>
          <w:divBdr>
            <w:top w:val="none" w:sz="0" w:space="0" w:color="auto"/>
            <w:left w:val="none" w:sz="0" w:space="0" w:color="auto"/>
            <w:bottom w:val="none" w:sz="0" w:space="0" w:color="auto"/>
            <w:right w:val="none" w:sz="0" w:space="0" w:color="auto"/>
          </w:divBdr>
          <w:divsChild>
            <w:div w:id="1872838683">
              <w:marLeft w:val="0"/>
              <w:marRight w:val="0"/>
              <w:marTop w:val="0"/>
              <w:marBottom w:val="0"/>
              <w:divBdr>
                <w:top w:val="none" w:sz="0" w:space="0" w:color="auto"/>
                <w:left w:val="none" w:sz="0" w:space="0" w:color="auto"/>
                <w:bottom w:val="none" w:sz="0" w:space="0" w:color="auto"/>
                <w:right w:val="none" w:sz="0" w:space="0" w:color="auto"/>
              </w:divBdr>
              <w:divsChild>
                <w:div w:id="701131242">
                  <w:marLeft w:val="0"/>
                  <w:marRight w:val="0"/>
                  <w:marTop w:val="0"/>
                  <w:marBottom w:val="0"/>
                  <w:divBdr>
                    <w:top w:val="none" w:sz="0" w:space="0" w:color="auto"/>
                    <w:left w:val="none" w:sz="0" w:space="0" w:color="auto"/>
                    <w:bottom w:val="none" w:sz="0" w:space="0" w:color="auto"/>
                    <w:right w:val="none" w:sz="0" w:space="0" w:color="auto"/>
                  </w:divBdr>
                  <w:divsChild>
                    <w:div w:id="1954285473">
                      <w:marLeft w:val="0"/>
                      <w:marRight w:val="0"/>
                      <w:marTop w:val="0"/>
                      <w:marBottom w:val="0"/>
                      <w:divBdr>
                        <w:top w:val="none" w:sz="0" w:space="0" w:color="auto"/>
                        <w:left w:val="none" w:sz="0" w:space="0" w:color="auto"/>
                        <w:bottom w:val="none" w:sz="0" w:space="0" w:color="auto"/>
                        <w:right w:val="none" w:sz="0" w:space="0" w:color="auto"/>
                      </w:divBdr>
                      <w:divsChild>
                        <w:div w:id="1341084984">
                          <w:marLeft w:val="0"/>
                          <w:marRight w:val="0"/>
                          <w:marTop w:val="0"/>
                          <w:marBottom w:val="0"/>
                          <w:divBdr>
                            <w:top w:val="none" w:sz="0" w:space="0" w:color="auto"/>
                            <w:left w:val="none" w:sz="0" w:space="0" w:color="auto"/>
                            <w:bottom w:val="none" w:sz="0" w:space="0" w:color="auto"/>
                            <w:right w:val="none" w:sz="0" w:space="0" w:color="auto"/>
                          </w:divBdr>
                          <w:divsChild>
                            <w:div w:id="601030731">
                              <w:marLeft w:val="0"/>
                              <w:marRight w:val="0"/>
                              <w:marTop w:val="0"/>
                              <w:marBottom w:val="0"/>
                              <w:divBdr>
                                <w:top w:val="none" w:sz="0" w:space="0" w:color="auto"/>
                                <w:left w:val="none" w:sz="0" w:space="0" w:color="auto"/>
                                <w:bottom w:val="none" w:sz="0" w:space="0" w:color="auto"/>
                                <w:right w:val="none" w:sz="0" w:space="0" w:color="auto"/>
                              </w:divBdr>
                              <w:divsChild>
                                <w:div w:id="10082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84334">
          <w:marLeft w:val="0"/>
          <w:marRight w:val="0"/>
          <w:marTop w:val="0"/>
          <w:marBottom w:val="0"/>
          <w:divBdr>
            <w:top w:val="none" w:sz="0" w:space="0" w:color="auto"/>
            <w:left w:val="none" w:sz="0" w:space="0" w:color="auto"/>
            <w:bottom w:val="none" w:sz="0" w:space="0" w:color="auto"/>
            <w:right w:val="none" w:sz="0" w:space="0" w:color="auto"/>
          </w:divBdr>
          <w:divsChild>
            <w:div w:id="699741833">
              <w:marLeft w:val="0"/>
              <w:marRight w:val="0"/>
              <w:marTop w:val="0"/>
              <w:marBottom w:val="0"/>
              <w:divBdr>
                <w:top w:val="none" w:sz="0" w:space="0" w:color="auto"/>
                <w:left w:val="none" w:sz="0" w:space="0" w:color="auto"/>
                <w:bottom w:val="none" w:sz="0" w:space="0" w:color="auto"/>
                <w:right w:val="none" w:sz="0" w:space="0" w:color="auto"/>
              </w:divBdr>
              <w:divsChild>
                <w:div w:id="1867402683">
                  <w:marLeft w:val="0"/>
                  <w:marRight w:val="0"/>
                  <w:marTop w:val="0"/>
                  <w:marBottom w:val="0"/>
                  <w:divBdr>
                    <w:top w:val="none" w:sz="0" w:space="0" w:color="auto"/>
                    <w:left w:val="none" w:sz="0" w:space="0" w:color="auto"/>
                    <w:bottom w:val="none" w:sz="0" w:space="0" w:color="auto"/>
                    <w:right w:val="none" w:sz="0" w:space="0" w:color="auto"/>
                  </w:divBdr>
                  <w:divsChild>
                    <w:div w:id="614022528">
                      <w:marLeft w:val="0"/>
                      <w:marRight w:val="0"/>
                      <w:marTop w:val="0"/>
                      <w:marBottom w:val="0"/>
                      <w:divBdr>
                        <w:top w:val="none" w:sz="0" w:space="0" w:color="auto"/>
                        <w:left w:val="none" w:sz="0" w:space="0" w:color="auto"/>
                        <w:bottom w:val="none" w:sz="0" w:space="0" w:color="auto"/>
                        <w:right w:val="none" w:sz="0" w:space="0" w:color="auto"/>
                      </w:divBdr>
                      <w:divsChild>
                        <w:div w:id="1522546452">
                          <w:marLeft w:val="0"/>
                          <w:marRight w:val="0"/>
                          <w:marTop w:val="0"/>
                          <w:marBottom w:val="0"/>
                          <w:divBdr>
                            <w:top w:val="none" w:sz="0" w:space="0" w:color="auto"/>
                            <w:left w:val="none" w:sz="0" w:space="0" w:color="auto"/>
                            <w:bottom w:val="none" w:sz="0" w:space="0" w:color="auto"/>
                            <w:right w:val="none" w:sz="0" w:space="0" w:color="auto"/>
                          </w:divBdr>
                          <w:divsChild>
                            <w:div w:id="1442913261">
                              <w:marLeft w:val="0"/>
                              <w:marRight w:val="0"/>
                              <w:marTop w:val="0"/>
                              <w:marBottom w:val="0"/>
                              <w:divBdr>
                                <w:top w:val="none" w:sz="0" w:space="0" w:color="auto"/>
                                <w:left w:val="none" w:sz="0" w:space="0" w:color="auto"/>
                                <w:bottom w:val="none" w:sz="0" w:space="0" w:color="auto"/>
                                <w:right w:val="none" w:sz="0" w:space="0" w:color="auto"/>
                              </w:divBdr>
                              <w:divsChild>
                                <w:div w:id="154107461">
                                  <w:marLeft w:val="0"/>
                                  <w:marRight w:val="0"/>
                                  <w:marTop w:val="0"/>
                                  <w:marBottom w:val="0"/>
                                  <w:divBdr>
                                    <w:top w:val="none" w:sz="0" w:space="0" w:color="auto"/>
                                    <w:left w:val="none" w:sz="0" w:space="0" w:color="auto"/>
                                    <w:bottom w:val="none" w:sz="0" w:space="0" w:color="auto"/>
                                    <w:right w:val="none" w:sz="0" w:space="0" w:color="auto"/>
                                  </w:divBdr>
                                  <w:divsChild>
                                    <w:div w:id="1502626354">
                                      <w:marLeft w:val="0"/>
                                      <w:marRight w:val="0"/>
                                      <w:marTop w:val="0"/>
                                      <w:marBottom w:val="0"/>
                                      <w:divBdr>
                                        <w:top w:val="none" w:sz="0" w:space="0" w:color="auto"/>
                                        <w:left w:val="none" w:sz="0" w:space="0" w:color="auto"/>
                                        <w:bottom w:val="none" w:sz="0" w:space="0" w:color="auto"/>
                                        <w:right w:val="none" w:sz="0" w:space="0" w:color="auto"/>
                                      </w:divBdr>
                                    </w:div>
                                  </w:divsChild>
                                </w:div>
                                <w:div w:id="990405470">
                                  <w:marLeft w:val="0"/>
                                  <w:marRight w:val="0"/>
                                  <w:marTop w:val="0"/>
                                  <w:marBottom w:val="0"/>
                                  <w:divBdr>
                                    <w:top w:val="none" w:sz="0" w:space="0" w:color="auto"/>
                                    <w:left w:val="none" w:sz="0" w:space="0" w:color="auto"/>
                                    <w:bottom w:val="none" w:sz="0" w:space="0" w:color="auto"/>
                                    <w:right w:val="none" w:sz="0" w:space="0" w:color="auto"/>
                                  </w:divBdr>
                                  <w:divsChild>
                                    <w:div w:id="945817719">
                                      <w:marLeft w:val="0"/>
                                      <w:marRight w:val="0"/>
                                      <w:marTop w:val="0"/>
                                      <w:marBottom w:val="0"/>
                                      <w:divBdr>
                                        <w:top w:val="none" w:sz="0" w:space="0" w:color="auto"/>
                                        <w:left w:val="none" w:sz="0" w:space="0" w:color="auto"/>
                                        <w:bottom w:val="none" w:sz="0" w:space="0" w:color="auto"/>
                                        <w:right w:val="none" w:sz="0" w:space="0" w:color="auto"/>
                                      </w:divBdr>
                                    </w:div>
                                  </w:divsChild>
                                </w:div>
                                <w:div w:id="768235028">
                                  <w:marLeft w:val="0"/>
                                  <w:marRight w:val="0"/>
                                  <w:marTop w:val="0"/>
                                  <w:marBottom w:val="0"/>
                                  <w:divBdr>
                                    <w:top w:val="none" w:sz="0" w:space="0" w:color="auto"/>
                                    <w:left w:val="none" w:sz="0" w:space="0" w:color="auto"/>
                                    <w:bottom w:val="none" w:sz="0" w:space="0" w:color="auto"/>
                                    <w:right w:val="none" w:sz="0" w:space="0" w:color="auto"/>
                                  </w:divBdr>
                                  <w:divsChild>
                                    <w:div w:id="8861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12281">
      <w:bodyDiv w:val="1"/>
      <w:marLeft w:val="0"/>
      <w:marRight w:val="0"/>
      <w:marTop w:val="0"/>
      <w:marBottom w:val="0"/>
      <w:divBdr>
        <w:top w:val="none" w:sz="0" w:space="0" w:color="auto"/>
        <w:left w:val="none" w:sz="0" w:space="0" w:color="auto"/>
        <w:bottom w:val="none" w:sz="0" w:space="0" w:color="auto"/>
        <w:right w:val="none" w:sz="0" w:space="0" w:color="auto"/>
      </w:divBdr>
    </w:div>
    <w:div w:id="642734498">
      <w:bodyDiv w:val="1"/>
      <w:marLeft w:val="0"/>
      <w:marRight w:val="0"/>
      <w:marTop w:val="0"/>
      <w:marBottom w:val="0"/>
      <w:divBdr>
        <w:top w:val="none" w:sz="0" w:space="0" w:color="auto"/>
        <w:left w:val="none" w:sz="0" w:space="0" w:color="auto"/>
        <w:bottom w:val="none" w:sz="0" w:space="0" w:color="auto"/>
        <w:right w:val="none" w:sz="0" w:space="0" w:color="auto"/>
      </w:divBdr>
      <w:divsChild>
        <w:div w:id="78396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790203">
          <w:marLeft w:val="0"/>
          <w:marRight w:val="0"/>
          <w:marTop w:val="0"/>
          <w:marBottom w:val="0"/>
          <w:divBdr>
            <w:top w:val="none" w:sz="0" w:space="0" w:color="auto"/>
            <w:left w:val="none" w:sz="0" w:space="0" w:color="auto"/>
            <w:bottom w:val="none" w:sz="0" w:space="0" w:color="auto"/>
            <w:right w:val="none" w:sz="0" w:space="0" w:color="auto"/>
          </w:divBdr>
          <w:divsChild>
            <w:div w:id="511991747">
              <w:marLeft w:val="0"/>
              <w:marRight w:val="0"/>
              <w:marTop w:val="0"/>
              <w:marBottom w:val="0"/>
              <w:divBdr>
                <w:top w:val="none" w:sz="0" w:space="0" w:color="auto"/>
                <w:left w:val="none" w:sz="0" w:space="0" w:color="auto"/>
                <w:bottom w:val="none" w:sz="0" w:space="0" w:color="auto"/>
                <w:right w:val="none" w:sz="0" w:space="0" w:color="auto"/>
              </w:divBdr>
            </w:div>
          </w:divsChild>
        </w:div>
        <w:div w:id="648679406">
          <w:marLeft w:val="0"/>
          <w:marRight w:val="0"/>
          <w:marTop w:val="0"/>
          <w:marBottom w:val="0"/>
          <w:divBdr>
            <w:top w:val="none" w:sz="0" w:space="0" w:color="auto"/>
            <w:left w:val="none" w:sz="0" w:space="0" w:color="auto"/>
            <w:bottom w:val="none" w:sz="0" w:space="0" w:color="auto"/>
            <w:right w:val="none" w:sz="0" w:space="0" w:color="auto"/>
          </w:divBdr>
          <w:divsChild>
            <w:div w:id="16936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974">
      <w:bodyDiv w:val="1"/>
      <w:marLeft w:val="0"/>
      <w:marRight w:val="0"/>
      <w:marTop w:val="0"/>
      <w:marBottom w:val="0"/>
      <w:divBdr>
        <w:top w:val="none" w:sz="0" w:space="0" w:color="auto"/>
        <w:left w:val="none" w:sz="0" w:space="0" w:color="auto"/>
        <w:bottom w:val="none" w:sz="0" w:space="0" w:color="auto"/>
        <w:right w:val="none" w:sz="0" w:space="0" w:color="auto"/>
      </w:divBdr>
      <w:divsChild>
        <w:div w:id="1554079995">
          <w:marLeft w:val="0"/>
          <w:marRight w:val="0"/>
          <w:marTop w:val="0"/>
          <w:marBottom w:val="0"/>
          <w:divBdr>
            <w:top w:val="none" w:sz="0" w:space="0" w:color="auto"/>
            <w:left w:val="none" w:sz="0" w:space="0" w:color="auto"/>
            <w:bottom w:val="none" w:sz="0" w:space="0" w:color="auto"/>
            <w:right w:val="none" w:sz="0" w:space="0" w:color="auto"/>
          </w:divBdr>
          <w:divsChild>
            <w:div w:id="20772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6279">
      <w:bodyDiv w:val="1"/>
      <w:marLeft w:val="0"/>
      <w:marRight w:val="0"/>
      <w:marTop w:val="0"/>
      <w:marBottom w:val="0"/>
      <w:divBdr>
        <w:top w:val="none" w:sz="0" w:space="0" w:color="auto"/>
        <w:left w:val="none" w:sz="0" w:space="0" w:color="auto"/>
        <w:bottom w:val="none" w:sz="0" w:space="0" w:color="auto"/>
        <w:right w:val="none" w:sz="0" w:space="0" w:color="auto"/>
      </w:divBdr>
    </w:div>
    <w:div w:id="974915237">
      <w:bodyDiv w:val="1"/>
      <w:marLeft w:val="0"/>
      <w:marRight w:val="0"/>
      <w:marTop w:val="0"/>
      <w:marBottom w:val="0"/>
      <w:divBdr>
        <w:top w:val="none" w:sz="0" w:space="0" w:color="auto"/>
        <w:left w:val="none" w:sz="0" w:space="0" w:color="auto"/>
        <w:bottom w:val="none" w:sz="0" w:space="0" w:color="auto"/>
        <w:right w:val="none" w:sz="0" w:space="0" w:color="auto"/>
      </w:divBdr>
    </w:div>
    <w:div w:id="1033773786">
      <w:bodyDiv w:val="1"/>
      <w:marLeft w:val="0"/>
      <w:marRight w:val="0"/>
      <w:marTop w:val="0"/>
      <w:marBottom w:val="0"/>
      <w:divBdr>
        <w:top w:val="none" w:sz="0" w:space="0" w:color="auto"/>
        <w:left w:val="none" w:sz="0" w:space="0" w:color="auto"/>
        <w:bottom w:val="none" w:sz="0" w:space="0" w:color="auto"/>
        <w:right w:val="none" w:sz="0" w:space="0" w:color="auto"/>
      </w:divBdr>
    </w:div>
    <w:div w:id="1149320067">
      <w:bodyDiv w:val="1"/>
      <w:marLeft w:val="0"/>
      <w:marRight w:val="0"/>
      <w:marTop w:val="0"/>
      <w:marBottom w:val="0"/>
      <w:divBdr>
        <w:top w:val="none" w:sz="0" w:space="0" w:color="auto"/>
        <w:left w:val="none" w:sz="0" w:space="0" w:color="auto"/>
        <w:bottom w:val="none" w:sz="0" w:space="0" w:color="auto"/>
        <w:right w:val="none" w:sz="0" w:space="0" w:color="auto"/>
      </w:divBdr>
      <w:divsChild>
        <w:div w:id="137573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968976">
          <w:marLeft w:val="0"/>
          <w:marRight w:val="0"/>
          <w:marTop w:val="0"/>
          <w:marBottom w:val="0"/>
          <w:divBdr>
            <w:top w:val="none" w:sz="0" w:space="0" w:color="auto"/>
            <w:left w:val="none" w:sz="0" w:space="0" w:color="auto"/>
            <w:bottom w:val="none" w:sz="0" w:space="0" w:color="auto"/>
            <w:right w:val="none" w:sz="0" w:space="0" w:color="auto"/>
          </w:divBdr>
          <w:divsChild>
            <w:div w:id="1952010570">
              <w:marLeft w:val="0"/>
              <w:marRight w:val="0"/>
              <w:marTop w:val="0"/>
              <w:marBottom w:val="0"/>
              <w:divBdr>
                <w:top w:val="none" w:sz="0" w:space="0" w:color="auto"/>
                <w:left w:val="none" w:sz="0" w:space="0" w:color="auto"/>
                <w:bottom w:val="none" w:sz="0" w:space="0" w:color="auto"/>
                <w:right w:val="none" w:sz="0" w:space="0" w:color="auto"/>
              </w:divBdr>
            </w:div>
          </w:divsChild>
        </w:div>
        <w:div w:id="1018578687">
          <w:marLeft w:val="0"/>
          <w:marRight w:val="0"/>
          <w:marTop w:val="0"/>
          <w:marBottom w:val="0"/>
          <w:divBdr>
            <w:top w:val="none" w:sz="0" w:space="0" w:color="auto"/>
            <w:left w:val="none" w:sz="0" w:space="0" w:color="auto"/>
            <w:bottom w:val="none" w:sz="0" w:space="0" w:color="auto"/>
            <w:right w:val="none" w:sz="0" w:space="0" w:color="auto"/>
          </w:divBdr>
          <w:divsChild>
            <w:div w:id="20979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8591">
      <w:bodyDiv w:val="1"/>
      <w:marLeft w:val="0"/>
      <w:marRight w:val="0"/>
      <w:marTop w:val="0"/>
      <w:marBottom w:val="0"/>
      <w:divBdr>
        <w:top w:val="none" w:sz="0" w:space="0" w:color="auto"/>
        <w:left w:val="none" w:sz="0" w:space="0" w:color="auto"/>
        <w:bottom w:val="none" w:sz="0" w:space="0" w:color="auto"/>
        <w:right w:val="none" w:sz="0" w:space="0" w:color="auto"/>
      </w:divBdr>
    </w:div>
    <w:div w:id="1355767763">
      <w:bodyDiv w:val="1"/>
      <w:marLeft w:val="0"/>
      <w:marRight w:val="0"/>
      <w:marTop w:val="0"/>
      <w:marBottom w:val="0"/>
      <w:divBdr>
        <w:top w:val="none" w:sz="0" w:space="0" w:color="auto"/>
        <w:left w:val="none" w:sz="0" w:space="0" w:color="auto"/>
        <w:bottom w:val="none" w:sz="0" w:space="0" w:color="auto"/>
        <w:right w:val="none" w:sz="0" w:space="0" w:color="auto"/>
      </w:divBdr>
    </w:div>
    <w:div w:id="1386879155">
      <w:bodyDiv w:val="1"/>
      <w:marLeft w:val="0"/>
      <w:marRight w:val="0"/>
      <w:marTop w:val="0"/>
      <w:marBottom w:val="0"/>
      <w:divBdr>
        <w:top w:val="none" w:sz="0" w:space="0" w:color="auto"/>
        <w:left w:val="none" w:sz="0" w:space="0" w:color="auto"/>
        <w:bottom w:val="none" w:sz="0" w:space="0" w:color="auto"/>
        <w:right w:val="none" w:sz="0" w:space="0" w:color="auto"/>
      </w:divBdr>
    </w:div>
    <w:div w:id="1447506458">
      <w:bodyDiv w:val="1"/>
      <w:marLeft w:val="0"/>
      <w:marRight w:val="0"/>
      <w:marTop w:val="0"/>
      <w:marBottom w:val="0"/>
      <w:divBdr>
        <w:top w:val="none" w:sz="0" w:space="0" w:color="auto"/>
        <w:left w:val="none" w:sz="0" w:space="0" w:color="auto"/>
        <w:bottom w:val="none" w:sz="0" w:space="0" w:color="auto"/>
        <w:right w:val="none" w:sz="0" w:space="0" w:color="auto"/>
      </w:divBdr>
      <w:divsChild>
        <w:div w:id="533268991">
          <w:marLeft w:val="0"/>
          <w:marRight w:val="0"/>
          <w:marTop w:val="0"/>
          <w:marBottom w:val="0"/>
          <w:divBdr>
            <w:top w:val="none" w:sz="0" w:space="0" w:color="auto"/>
            <w:left w:val="none" w:sz="0" w:space="0" w:color="auto"/>
            <w:bottom w:val="none" w:sz="0" w:space="0" w:color="auto"/>
            <w:right w:val="none" w:sz="0" w:space="0" w:color="auto"/>
          </w:divBdr>
        </w:div>
        <w:div w:id="528301433">
          <w:marLeft w:val="0"/>
          <w:marRight w:val="0"/>
          <w:marTop w:val="0"/>
          <w:marBottom w:val="0"/>
          <w:divBdr>
            <w:top w:val="none" w:sz="0" w:space="0" w:color="auto"/>
            <w:left w:val="none" w:sz="0" w:space="0" w:color="auto"/>
            <w:bottom w:val="none" w:sz="0" w:space="0" w:color="auto"/>
            <w:right w:val="none" w:sz="0" w:space="0" w:color="auto"/>
          </w:divBdr>
        </w:div>
        <w:div w:id="697315190">
          <w:marLeft w:val="0"/>
          <w:marRight w:val="0"/>
          <w:marTop w:val="0"/>
          <w:marBottom w:val="0"/>
          <w:divBdr>
            <w:top w:val="none" w:sz="0" w:space="0" w:color="auto"/>
            <w:left w:val="none" w:sz="0" w:space="0" w:color="auto"/>
            <w:bottom w:val="none" w:sz="0" w:space="0" w:color="auto"/>
            <w:right w:val="none" w:sz="0" w:space="0" w:color="auto"/>
          </w:divBdr>
        </w:div>
        <w:div w:id="1461681564">
          <w:marLeft w:val="0"/>
          <w:marRight w:val="0"/>
          <w:marTop w:val="0"/>
          <w:marBottom w:val="0"/>
          <w:divBdr>
            <w:top w:val="none" w:sz="0" w:space="0" w:color="auto"/>
            <w:left w:val="none" w:sz="0" w:space="0" w:color="auto"/>
            <w:bottom w:val="none" w:sz="0" w:space="0" w:color="auto"/>
            <w:right w:val="none" w:sz="0" w:space="0" w:color="auto"/>
          </w:divBdr>
        </w:div>
        <w:div w:id="1896895393">
          <w:marLeft w:val="0"/>
          <w:marRight w:val="0"/>
          <w:marTop w:val="0"/>
          <w:marBottom w:val="0"/>
          <w:divBdr>
            <w:top w:val="none" w:sz="0" w:space="0" w:color="auto"/>
            <w:left w:val="none" w:sz="0" w:space="0" w:color="auto"/>
            <w:bottom w:val="none" w:sz="0" w:space="0" w:color="auto"/>
            <w:right w:val="none" w:sz="0" w:space="0" w:color="auto"/>
          </w:divBdr>
        </w:div>
      </w:divsChild>
    </w:div>
    <w:div w:id="1475752882">
      <w:bodyDiv w:val="1"/>
      <w:marLeft w:val="0"/>
      <w:marRight w:val="0"/>
      <w:marTop w:val="0"/>
      <w:marBottom w:val="0"/>
      <w:divBdr>
        <w:top w:val="none" w:sz="0" w:space="0" w:color="auto"/>
        <w:left w:val="none" w:sz="0" w:space="0" w:color="auto"/>
        <w:bottom w:val="none" w:sz="0" w:space="0" w:color="auto"/>
        <w:right w:val="none" w:sz="0" w:space="0" w:color="auto"/>
      </w:divBdr>
    </w:div>
    <w:div w:id="1535541076">
      <w:bodyDiv w:val="1"/>
      <w:marLeft w:val="0"/>
      <w:marRight w:val="0"/>
      <w:marTop w:val="0"/>
      <w:marBottom w:val="0"/>
      <w:divBdr>
        <w:top w:val="none" w:sz="0" w:space="0" w:color="auto"/>
        <w:left w:val="none" w:sz="0" w:space="0" w:color="auto"/>
        <w:bottom w:val="none" w:sz="0" w:space="0" w:color="auto"/>
        <w:right w:val="none" w:sz="0" w:space="0" w:color="auto"/>
      </w:divBdr>
    </w:div>
    <w:div w:id="1577787719">
      <w:bodyDiv w:val="1"/>
      <w:marLeft w:val="0"/>
      <w:marRight w:val="0"/>
      <w:marTop w:val="0"/>
      <w:marBottom w:val="0"/>
      <w:divBdr>
        <w:top w:val="none" w:sz="0" w:space="0" w:color="auto"/>
        <w:left w:val="none" w:sz="0" w:space="0" w:color="auto"/>
        <w:bottom w:val="none" w:sz="0" w:space="0" w:color="auto"/>
        <w:right w:val="none" w:sz="0" w:space="0" w:color="auto"/>
      </w:divBdr>
    </w:div>
    <w:div w:id="1624068617">
      <w:bodyDiv w:val="1"/>
      <w:marLeft w:val="0"/>
      <w:marRight w:val="0"/>
      <w:marTop w:val="0"/>
      <w:marBottom w:val="0"/>
      <w:divBdr>
        <w:top w:val="none" w:sz="0" w:space="0" w:color="auto"/>
        <w:left w:val="none" w:sz="0" w:space="0" w:color="auto"/>
        <w:bottom w:val="none" w:sz="0" w:space="0" w:color="auto"/>
        <w:right w:val="none" w:sz="0" w:space="0" w:color="auto"/>
      </w:divBdr>
    </w:div>
    <w:div w:id="1777749744">
      <w:bodyDiv w:val="1"/>
      <w:marLeft w:val="0"/>
      <w:marRight w:val="0"/>
      <w:marTop w:val="0"/>
      <w:marBottom w:val="0"/>
      <w:divBdr>
        <w:top w:val="none" w:sz="0" w:space="0" w:color="auto"/>
        <w:left w:val="none" w:sz="0" w:space="0" w:color="auto"/>
        <w:bottom w:val="none" w:sz="0" w:space="0" w:color="auto"/>
        <w:right w:val="none" w:sz="0" w:space="0" w:color="auto"/>
      </w:divBdr>
      <w:divsChild>
        <w:div w:id="573049331">
          <w:marLeft w:val="0"/>
          <w:marRight w:val="0"/>
          <w:marTop w:val="0"/>
          <w:marBottom w:val="0"/>
          <w:divBdr>
            <w:top w:val="none" w:sz="0" w:space="0" w:color="auto"/>
            <w:left w:val="none" w:sz="0" w:space="0" w:color="auto"/>
            <w:bottom w:val="none" w:sz="0" w:space="0" w:color="auto"/>
            <w:right w:val="none" w:sz="0" w:space="0" w:color="auto"/>
          </w:divBdr>
          <w:divsChild>
            <w:div w:id="1937055113">
              <w:marLeft w:val="0"/>
              <w:marRight w:val="0"/>
              <w:marTop w:val="0"/>
              <w:marBottom w:val="0"/>
              <w:divBdr>
                <w:top w:val="none" w:sz="0" w:space="0" w:color="auto"/>
                <w:left w:val="none" w:sz="0" w:space="0" w:color="auto"/>
                <w:bottom w:val="none" w:sz="0" w:space="0" w:color="auto"/>
                <w:right w:val="none" w:sz="0" w:space="0" w:color="auto"/>
              </w:divBdr>
              <w:divsChild>
                <w:div w:id="839613735">
                  <w:marLeft w:val="0"/>
                  <w:marRight w:val="0"/>
                  <w:marTop w:val="0"/>
                  <w:marBottom w:val="0"/>
                  <w:divBdr>
                    <w:top w:val="none" w:sz="0" w:space="0" w:color="auto"/>
                    <w:left w:val="none" w:sz="0" w:space="0" w:color="auto"/>
                    <w:bottom w:val="none" w:sz="0" w:space="0" w:color="auto"/>
                    <w:right w:val="none" w:sz="0" w:space="0" w:color="auto"/>
                  </w:divBdr>
                  <w:divsChild>
                    <w:div w:id="383407708">
                      <w:marLeft w:val="0"/>
                      <w:marRight w:val="0"/>
                      <w:marTop w:val="0"/>
                      <w:marBottom w:val="0"/>
                      <w:divBdr>
                        <w:top w:val="none" w:sz="0" w:space="0" w:color="auto"/>
                        <w:left w:val="none" w:sz="0" w:space="0" w:color="auto"/>
                        <w:bottom w:val="none" w:sz="0" w:space="0" w:color="auto"/>
                        <w:right w:val="none" w:sz="0" w:space="0" w:color="auto"/>
                      </w:divBdr>
                      <w:divsChild>
                        <w:div w:id="1199734453">
                          <w:marLeft w:val="0"/>
                          <w:marRight w:val="0"/>
                          <w:marTop w:val="0"/>
                          <w:marBottom w:val="0"/>
                          <w:divBdr>
                            <w:top w:val="none" w:sz="0" w:space="0" w:color="auto"/>
                            <w:left w:val="none" w:sz="0" w:space="0" w:color="auto"/>
                            <w:bottom w:val="none" w:sz="0" w:space="0" w:color="auto"/>
                            <w:right w:val="none" w:sz="0" w:space="0" w:color="auto"/>
                          </w:divBdr>
                          <w:divsChild>
                            <w:div w:id="13470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725">
          <w:marLeft w:val="0"/>
          <w:marRight w:val="0"/>
          <w:marTop w:val="0"/>
          <w:marBottom w:val="0"/>
          <w:divBdr>
            <w:top w:val="none" w:sz="0" w:space="0" w:color="auto"/>
            <w:left w:val="none" w:sz="0" w:space="0" w:color="auto"/>
            <w:bottom w:val="none" w:sz="0" w:space="0" w:color="auto"/>
            <w:right w:val="none" w:sz="0" w:space="0" w:color="auto"/>
          </w:divBdr>
          <w:divsChild>
            <w:div w:id="947009813">
              <w:marLeft w:val="0"/>
              <w:marRight w:val="0"/>
              <w:marTop w:val="0"/>
              <w:marBottom w:val="0"/>
              <w:divBdr>
                <w:top w:val="none" w:sz="0" w:space="0" w:color="auto"/>
                <w:left w:val="none" w:sz="0" w:space="0" w:color="auto"/>
                <w:bottom w:val="none" w:sz="0" w:space="0" w:color="auto"/>
                <w:right w:val="none" w:sz="0" w:space="0" w:color="auto"/>
              </w:divBdr>
              <w:divsChild>
                <w:div w:id="254020040">
                  <w:marLeft w:val="0"/>
                  <w:marRight w:val="0"/>
                  <w:marTop w:val="0"/>
                  <w:marBottom w:val="0"/>
                  <w:divBdr>
                    <w:top w:val="none" w:sz="0" w:space="0" w:color="auto"/>
                    <w:left w:val="none" w:sz="0" w:space="0" w:color="auto"/>
                    <w:bottom w:val="none" w:sz="0" w:space="0" w:color="auto"/>
                    <w:right w:val="none" w:sz="0" w:space="0" w:color="auto"/>
                  </w:divBdr>
                  <w:divsChild>
                    <w:div w:id="1752701981">
                      <w:marLeft w:val="0"/>
                      <w:marRight w:val="0"/>
                      <w:marTop w:val="0"/>
                      <w:marBottom w:val="0"/>
                      <w:divBdr>
                        <w:top w:val="none" w:sz="0" w:space="0" w:color="auto"/>
                        <w:left w:val="none" w:sz="0" w:space="0" w:color="auto"/>
                        <w:bottom w:val="none" w:sz="0" w:space="0" w:color="auto"/>
                        <w:right w:val="none" w:sz="0" w:space="0" w:color="auto"/>
                      </w:divBdr>
                      <w:divsChild>
                        <w:div w:id="996030274">
                          <w:marLeft w:val="0"/>
                          <w:marRight w:val="0"/>
                          <w:marTop w:val="0"/>
                          <w:marBottom w:val="0"/>
                          <w:divBdr>
                            <w:top w:val="none" w:sz="0" w:space="0" w:color="auto"/>
                            <w:left w:val="none" w:sz="0" w:space="0" w:color="auto"/>
                            <w:bottom w:val="none" w:sz="0" w:space="0" w:color="auto"/>
                            <w:right w:val="none" w:sz="0" w:space="0" w:color="auto"/>
                          </w:divBdr>
                          <w:divsChild>
                            <w:div w:id="253980431">
                              <w:marLeft w:val="0"/>
                              <w:marRight w:val="0"/>
                              <w:marTop w:val="0"/>
                              <w:marBottom w:val="0"/>
                              <w:divBdr>
                                <w:top w:val="none" w:sz="0" w:space="0" w:color="auto"/>
                                <w:left w:val="none" w:sz="0" w:space="0" w:color="auto"/>
                                <w:bottom w:val="none" w:sz="0" w:space="0" w:color="auto"/>
                                <w:right w:val="none" w:sz="0" w:space="0" w:color="auto"/>
                              </w:divBdr>
                              <w:divsChild>
                                <w:div w:id="1066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35534">
          <w:marLeft w:val="0"/>
          <w:marRight w:val="0"/>
          <w:marTop w:val="0"/>
          <w:marBottom w:val="0"/>
          <w:divBdr>
            <w:top w:val="none" w:sz="0" w:space="0" w:color="auto"/>
            <w:left w:val="none" w:sz="0" w:space="0" w:color="auto"/>
            <w:bottom w:val="none" w:sz="0" w:space="0" w:color="auto"/>
            <w:right w:val="none" w:sz="0" w:space="0" w:color="auto"/>
          </w:divBdr>
          <w:divsChild>
            <w:div w:id="592471941">
              <w:marLeft w:val="0"/>
              <w:marRight w:val="0"/>
              <w:marTop w:val="0"/>
              <w:marBottom w:val="0"/>
              <w:divBdr>
                <w:top w:val="none" w:sz="0" w:space="0" w:color="auto"/>
                <w:left w:val="none" w:sz="0" w:space="0" w:color="auto"/>
                <w:bottom w:val="none" w:sz="0" w:space="0" w:color="auto"/>
                <w:right w:val="none" w:sz="0" w:space="0" w:color="auto"/>
              </w:divBdr>
              <w:divsChild>
                <w:div w:id="78915971">
                  <w:marLeft w:val="0"/>
                  <w:marRight w:val="0"/>
                  <w:marTop w:val="0"/>
                  <w:marBottom w:val="0"/>
                  <w:divBdr>
                    <w:top w:val="none" w:sz="0" w:space="0" w:color="auto"/>
                    <w:left w:val="none" w:sz="0" w:space="0" w:color="auto"/>
                    <w:bottom w:val="none" w:sz="0" w:space="0" w:color="auto"/>
                    <w:right w:val="none" w:sz="0" w:space="0" w:color="auto"/>
                  </w:divBdr>
                  <w:divsChild>
                    <w:div w:id="787626412">
                      <w:marLeft w:val="0"/>
                      <w:marRight w:val="0"/>
                      <w:marTop w:val="0"/>
                      <w:marBottom w:val="0"/>
                      <w:divBdr>
                        <w:top w:val="none" w:sz="0" w:space="0" w:color="auto"/>
                        <w:left w:val="none" w:sz="0" w:space="0" w:color="auto"/>
                        <w:bottom w:val="none" w:sz="0" w:space="0" w:color="auto"/>
                        <w:right w:val="none" w:sz="0" w:space="0" w:color="auto"/>
                      </w:divBdr>
                      <w:divsChild>
                        <w:div w:id="1560822319">
                          <w:marLeft w:val="0"/>
                          <w:marRight w:val="0"/>
                          <w:marTop w:val="0"/>
                          <w:marBottom w:val="0"/>
                          <w:divBdr>
                            <w:top w:val="none" w:sz="0" w:space="0" w:color="auto"/>
                            <w:left w:val="none" w:sz="0" w:space="0" w:color="auto"/>
                            <w:bottom w:val="none" w:sz="0" w:space="0" w:color="auto"/>
                            <w:right w:val="none" w:sz="0" w:space="0" w:color="auto"/>
                          </w:divBdr>
                          <w:divsChild>
                            <w:div w:id="1100104014">
                              <w:marLeft w:val="0"/>
                              <w:marRight w:val="0"/>
                              <w:marTop w:val="0"/>
                              <w:marBottom w:val="0"/>
                              <w:divBdr>
                                <w:top w:val="none" w:sz="0" w:space="0" w:color="auto"/>
                                <w:left w:val="none" w:sz="0" w:space="0" w:color="auto"/>
                                <w:bottom w:val="none" w:sz="0" w:space="0" w:color="auto"/>
                                <w:right w:val="none" w:sz="0" w:space="0" w:color="auto"/>
                              </w:divBdr>
                              <w:divsChild>
                                <w:div w:id="69739980">
                                  <w:marLeft w:val="0"/>
                                  <w:marRight w:val="0"/>
                                  <w:marTop w:val="0"/>
                                  <w:marBottom w:val="0"/>
                                  <w:divBdr>
                                    <w:top w:val="none" w:sz="0" w:space="0" w:color="auto"/>
                                    <w:left w:val="none" w:sz="0" w:space="0" w:color="auto"/>
                                    <w:bottom w:val="none" w:sz="0" w:space="0" w:color="auto"/>
                                    <w:right w:val="none" w:sz="0" w:space="0" w:color="auto"/>
                                  </w:divBdr>
                                  <w:divsChild>
                                    <w:div w:id="1133327167">
                                      <w:marLeft w:val="0"/>
                                      <w:marRight w:val="0"/>
                                      <w:marTop w:val="0"/>
                                      <w:marBottom w:val="0"/>
                                      <w:divBdr>
                                        <w:top w:val="none" w:sz="0" w:space="0" w:color="auto"/>
                                        <w:left w:val="none" w:sz="0" w:space="0" w:color="auto"/>
                                        <w:bottom w:val="none" w:sz="0" w:space="0" w:color="auto"/>
                                        <w:right w:val="none" w:sz="0" w:space="0" w:color="auto"/>
                                      </w:divBdr>
                                    </w:div>
                                  </w:divsChild>
                                </w:div>
                                <w:div w:id="947389872">
                                  <w:marLeft w:val="0"/>
                                  <w:marRight w:val="0"/>
                                  <w:marTop w:val="0"/>
                                  <w:marBottom w:val="0"/>
                                  <w:divBdr>
                                    <w:top w:val="none" w:sz="0" w:space="0" w:color="auto"/>
                                    <w:left w:val="none" w:sz="0" w:space="0" w:color="auto"/>
                                    <w:bottom w:val="none" w:sz="0" w:space="0" w:color="auto"/>
                                    <w:right w:val="none" w:sz="0" w:space="0" w:color="auto"/>
                                  </w:divBdr>
                                  <w:divsChild>
                                    <w:div w:id="1154301290">
                                      <w:marLeft w:val="0"/>
                                      <w:marRight w:val="0"/>
                                      <w:marTop w:val="0"/>
                                      <w:marBottom w:val="0"/>
                                      <w:divBdr>
                                        <w:top w:val="none" w:sz="0" w:space="0" w:color="auto"/>
                                        <w:left w:val="none" w:sz="0" w:space="0" w:color="auto"/>
                                        <w:bottom w:val="none" w:sz="0" w:space="0" w:color="auto"/>
                                        <w:right w:val="none" w:sz="0" w:space="0" w:color="auto"/>
                                      </w:divBdr>
                                    </w:div>
                                  </w:divsChild>
                                </w:div>
                                <w:div w:id="1210726349">
                                  <w:marLeft w:val="0"/>
                                  <w:marRight w:val="0"/>
                                  <w:marTop w:val="0"/>
                                  <w:marBottom w:val="0"/>
                                  <w:divBdr>
                                    <w:top w:val="none" w:sz="0" w:space="0" w:color="auto"/>
                                    <w:left w:val="none" w:sz="0" w:space="0" w:color="auto"/>
                                    <w:bottom w:val="none" w:sz="0" w:space="0" w:color="auto"/>
                                    <w:right w:val="none" w:sz="0" w:space="0" w:color="auto"/>
                                  </w:divBdr>
                                  <w:divsChild>
                                    <w:div w:id="1063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737064">
      <w:bodyDiv w:val="1"/>
      <w:marLeft w:val="0"/>
      <w:marRight w:val="0"/>
      <w:marTop w:val="0"/>
      <w:marBottom w:val="0"/>
      <w:divBdr>
        <w:top w:val="none" w:sz="0" w:space="0" w:color="auto"/>
        <w:left w:val="none" w:sz="0" w:space="0" w:color="auto"/>
        <w:bottom w:val="none" w:sz="0" w:space="0" w:color="auto"/>
        <w:right w:val="none" w:sz="0" w:space="0" w:color="auto"/>
      </w:divBdr>
    </w:div>
    <w:div w:id="1813712828">
      <w:bodyDiv w:val="1"/>
      <w:marLeft w:val="0"/>
      <w:marRight w:val="0"/>
      <w:marTop w:val="0"/>
      <w:marBottom w:val="0"/>
      <w:divBdr>
        <w:top w:val="none" w:sz="0" w:space="0" w:color="auto"/>
        <w:left w:val="none" w:sz="0" w:space="0" w:color="auto"/>
        <w:bottom w:val="none" w:sz="0" w:space="0" w:color="auto"/>
        <w:right w:val="none" w:sz="0" w:space="0" w:color="auto"/>
      </w:divBdr>
    </w:div>
    <w:div w:id="1833178944">
      <w:bodyDiv w:val="1"/>
      <w:marLeft w:val="0"/>
      <w:marRight w:val="0"/>
      <w:marTop w:val="0"/>
      <w:marBottom w:val="0"/>
      <w:divBdr>
        <w:top w:val="none" w:sz="0" w:space="0" w:color="auto"/>
        <w:left w:val="none" w:sz="0" w:space="0" w:color="auto"/>
        <w:bottom w:val="none" w:sz="0" w:space="0" w:color="auto"/>
        <w:right w:val="none" w:sz="0" w:space="0" w:color="auto"/>
      </w:divBdr>
    </w:div>
    <w:div w:id="1844854411">
      <w:bodyDiv w:val="1"/>
      <w:marLeft w:val="0"/>
      <w:marRight w:val="0"/>
      <w:marTop w:val="0"/>
      <w:marBottom w:val="0"/>
      <w:divBdr>
        <w:top w:val="none" w:sz="0" w:space="0" w:color="auto"/>
        <w:left w:val="none" w:sz="0" w:space="0" w:color="auto"/>
        <w:bottom w:val="none" w:sz="0" w:space="0" w:color="auto"/>
        <w:right w:val="none" w:sz="0" w:space="0" w:color="auto"/>
      </w:divBdr>
    </w:div>
    <w:div w:id="1865632204">
      <w:bodyDiv w:val="1"/>
      <w:marLeft w:val="0"/>
      <w:marRight w:val="0"/>
      <w:marTop w:val="0"/>
      <w:marBottom w:val="0"/>
      <w:divBdr>
        <w:top w:val="none" w:sz="0" w:space="0" w:color="auto"/>
        <w:left w:val="none" w:sz="0" w:space="0" w:color="auto"/>
        <w:bottom w:val="none" w:sz="0" w:space="0" w:color="auto"/>
        <w:right w:val="none" w:sz="0" w:space="0" w:color="auto"/>
      </w:divBdr>
      <w:divsChild>
        <w:div w:id="1985237858">
          <w:marLeft w:val="0"/>
          <w:marRight w:val="0"/>
          <w:marTop w:val="0"/>
          <w:marBottom w:val="0"/>
          <w:divBdr>
            <w:top w:val="none" w:sz="0" w:space="0" w:color="auto"/>
            <w:left w:val="none" w:sz="0" w:space="0" w:color="auto"/>
            <w:bottom w:val="none" w:sz="0" w:space="0" w:color="auto"/>
            <w:right w:val="none" w:sz="0" w:space="0" w:color="auto"/>
          </w:divBdr>
          <w:divsChild>
            <w:div w:id="17006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9350">
      <w:bodyDiv w:val="1"/>
      <w:marLeft w:val="0"/>
      <w:marRight w:val="0"/>
      <w:marTop w:val="0"/>
      <w:marBottom w:val="0"/>
      <w:divBdr>
        <w:top w:val="none" w:sz="0" w:space="0" w:color="auto"/>
        <w:left w:val="none" w:sz="0" w:space="0" w:color="auto"/>
        <w:bottom w:val="none" w:sz="0" w:space="0" w:color="auto"/>
        <w:right w:val="none" w:sz="0" w:space="0" w:color="auto"/>
      </w:divBdr>
    </w:div>
    <w:div w:id="1924950111">
      <w:bodyDiv w:val="1"/>
      <w:marLeft w:val="0"/>
      <w:marRight w:val="0"/>
      <w:marTop w:val="0"/>
      <w:marBottom w:val="0"/>
      <w:divBdr>
        <w:top w:val="none" w:sz="0" w:space="0" w:color="auto"/>
        <w:left w:val="none" w:sz="0" w:space="0" w:color="auto"/>
        <w:bottom w:val="none" w:sz="0" w:space="0" w:color="auto"/>
        <w:right w:val="none" w:sz="0" w:space="0" w:color="auto"/>
      </w:divBdr>
    </w:div>
    <w:div w:id="1973365545">
      <w:bodyDiv w:val="1"/>
      <w:marLeft w:val="0"/>
      <w:marRight w:val="0"/>
      <w:marTop w:val="0"/>
      <w:marBottom w:val="0"/>
      <w:divBdr>
        <w:top w:val="none" w:sz="0" w:space="0" w:color="auto"/>
        <w:left w:val="none" w:sz="0" w:space="0" w:color="auto"/>
        <w:bottom w:val="none" w:sz="0" w:space="0" w:color="auto"/>
        <w:right w:val="none" w:sz="0" w:space="0" w:color="auto"/>
      </w:divBdr>
      <w:divsChild>
        <w:div w:id="723025903">
          <w:marLeft w:val="0"/>
          <w:marRight w:val="0"/>
          <w:marTop w:val="0"/>
          <w:marBottom w:val="0"/>
          <w:divBdr>
            <w:top w:val="none" w:sz="0" w:space="0" w:color="auto"/>
            <w:left w:val="none" w:sz="0" w:space="0" w:color="auto"/>
            <w:bottom w:val="none" w:sz="0" w:space="0" w:color="auto"/>
            <w:right w:val="none" w:sz="0" w:space="0" w:color="auto"/>
          </w:divBdr>
        </w:div>
        <w:div w:id="30689037">
          <w:marLeft w:val="0"/>
          <w:marRight w:val="0"/>
          <w:marTop w:val="0"/>
          <w:marBottom w:val="0"/>
          <w:divBdr>
            <w:top w:val="none" w:sz="0" w:space="0" w:color="auto"/>
            <w:left w:val="none" w:sz="0" w:space="0" w:color="auto"/>
            <w:bottom w:val="none" w:sz="0" w:space="0" w:color="auto"/>
            <w:right w:val="none" w:sz="0" w:space="0" w:color="auto"/>
          </w:divBdr>
        </w:div>
        <w:div w:id="118770242">
          <w:marLeft w:val="0"/>
          <w:marRight w:val="0"/>
          <w:marTop w:val="0"/>
          <w:marBottom w:val="0"/>
          <w:divBdr>
            <w:top w:val="none" w:sz="0" w:space="0" w:color="auto"/>
            <w:left w:val="none" w:sz="0" w:space="0" w:color="auto"/>
            <w:bottom w:val="none" w:sz="0" w:space="0" w:color="auto"/>
            <w:right w:val="none" w:sz="0" w:space="0" w:color="auto"/>
          </w:divBdr>
        </w:div>
        <w:div w:id="1647203868">
          <w:marLeft w:val="0"/>
          <w:marRight w:val="0"/>
          <w:marTop w:val="0"/>
          <w:marBottom w:val="0"/>
          <w:divBdr>
            <w:top w:val="none" w:sz="0" w:space="0" w:color="auto"/>
            <w:left w:val="none" w:sz="0" w:space="0" w:color="auto"/>
            <w:bottom w:val="none" w:sz="0" w:space="0" w:color="auto"/>
            <w:right w:val="none" w:sz="0" w:space="0" w:color="auto"/>
          </w:divBdr>
        </w:div>
        <w:div w:id="255292314">
          <w:marLeft w:val="0"/>
          <w:marRight w:val="0"/>
          <w:marTop w:val="0"/>
          <w:marBottom w:val="0"/>
          <w:divBdr>
            <w:top w:val="none" w:sz="0" w:space="0" w:color="auto"/>
            <w:left w:val="none" w:sz="0" w:space="0" w:color="auto"/>
            <w:bottom w:val="none" w:sz="0" w:space="0" w:color="auto"/>
            <w:right w:val="none" w:sz="0" w:space="0" w:color="auto"/>
          </w:divBdr>
        </w:div>
      </w:divsChild>
    </w:div>
    <w:div w:id="1988195874">
      <w:bodyDiv w:val="1"/>
      <w:marLeft w:val="0"/>
      <w:marRight w:val="0"/>
      <w:marTop w:val="0"/>
      <w:marBottom w:val="0"/>
      <w:divBdr>
        <w:top w:val="none" w:sz="0" w:space="0" w:color="auto"/>
        <w:left w:val="none" w:sz="0" w:space="0" w:color="auto"/>
        <w:bottom w:val="none" w:sz="0" w:space="0" w:color="auto"/>
        <w:right w:val="none" w:sz="0" w:space="0" w:color="auto"/>
      </w:divBdr>
    </w:div>
    <w:div w:id="20377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07/s10098-024-02915-x" TargetMode="External"/><Relationship Id="rId26" Type="http://schemas.openxmlformats.org/officeDocument/2006/relationships/hyperlink" Target="https://doi.org/10.1038/s41586-021-03889-2" TargetMode="External"/><Relationship Id="rId39" Type="http://schemas.openxmlformats.org/officeDocument/2006/relationships/hyperlink" Target="https://doi.org/10.1016/j.conbuildmat.2022.129661" TargetMode="External"/><Relationship Id="rId21" Type="http://schemas.openxmlformats.org/officeDocument/2006/relationships/hyperlink" Target="https://doi.org/10.3389/fmars.2022.817335" TargetMode="External"/><Relationship Id="rId34" Type="http://schemas.openxmlformats.org/officeDocument/2006/relationships/hyperlink" Target="https://doi.org/10.1016/j.jclepro.2020.122239" TargetMode="External"/><Relationship Id="rId42" Type="http://schemas.openxmlformats.org/officeDocument/2006/relationships/hyperlink" Target="https://doi.org/10.1038/s41597-022-01478-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doi.org/10.1016/j.marpol.2012.0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marpolbul.2023.115798" TargetMode="External"/><Relationship Id="rId32" Type="http://schemas.openxmlformats.org/officeDocument/2006/relationships/hyperlink" Target="https://doi.org/10.3796/KSFT.2010.46.4.313" TargetMode="External"/><Relationship Id="rId37" Type="http://schemas.openxmlformats.org/officeDocument/2006/relationships/hyperlink" Target="https://doi.org/10.1007/s10668-024-04967-x" TargetMode="External"/><Relationship Id="rId40" Type="http://schemas.openxmlformats.org/officeDocument/2006/relationships/hyperlink" Target="https://doi.org/10.1016/j.oceaneng.2022.113031" TargetMode="External"/><Relationship Id="rId45" Type="http://schemas.openxmlformats.org/officeDocument/2006/relationships/hyperlink" Target="https://doi.org/10.1080/23311843.2017.1387959"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16/j.envpol.2021.116454" TargetMode="External"/><Relationship Id="rId28" Type="http://schemas.openxmlformats.org/officeDocument/2006/relationships/hyperlink" Target="https://doi.org/10.1093/icesjms/fsaa077" TargetMode="External"/><Relationship Id="rId36" Type="http://schemas.openxmlformats.org/officeDocument/2006/relationships/hyperlink" Target="https://doi.org/10.1038/s41598-025-00811-y" TargetMode="External"/><Relationship Id="rId10" Type="http://schemas.openxmlformats.org/officeDocument/2006/relationships/image" Target="media/image3.jpeg"/><Relationship Id="rId19" Type="http://schemas.openxmlformats.org/officeDocument/2006/relationships/hyperlink" Target="https://doi.org/10.1016/j.fishres.2013.01.006" TargetMode="External"/><Relationship Id="rId31" Type="http://schemas.openxmlformats.org/officeDocument/2006/relationships/hyperlink" Target="https://doi.org/10.1111/acv.12256" TargetMode="External"/><Relationship Id="rId44" Type="http://schemas.openxmlformats.org/officeDocument/2006/relationships/hyperlink" Target="https://krishi.icar.gov.in/jspui/bitstream/123456789/30998/2/03_Netting%20Materials%20for%20Fishing%20Gea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doi.org/10.1016/j.marpol.2023.105474" TargetMode="External"/><Relationship Id="rId27" Type="http://schemas.openxmlformats.org/officeDocument/2006/relationships/hyperlink" Target="https://doi.org/10.1371/journal.pone.0234224" TargetMode="External"/><Relationship Id="rId30" Type="http://schemas.openxmlformats.org/officeDocument/2006/relationships/hyperlink" Target="https://doi.org/10.1016/j.marpol.2022.105335" TargetMode="External"/><Relationship Id="rId35" Type="http://schemas.openxmlformats.org/officeDocument/2006/relationships/hyperlink" Target="https://doi.org/10.1016/j.marpolbul.2024.117300" TargetMode="External"/><Relationship Id="rId43" Type="http://schemas.openxmlformats.org/officeDocument/2006/relationships/hyperlink" Target="https://doi.org/10.1016/j.renene.2017.06.073"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1016/j.scitotenv.2017.08.067" TargetMode="External"/><Relationship Id="rId25" Type="http://schemas.openxmlformats.org/officeDocument/2006/relationships/hyperlink" Target="https://doi.org/10.1016/j.marpolbul.2023.114918" TargetMode="External"/><Relationship Id="rId33" Type="http://schemas.openxmlformats.org/officeDocument/2006/relationships/hyperlink" Target="https://doi.org/10.1016/j.fishres.2023.106865" TargetMode="External"/><Relationship Id="rId38" Type="http://schemas.openxmlformats.org/officeDocument/2006/relationships/hyperlink" Target="https://agris.fao.org/search/en/providers/122648/records/647480982d3f560f80b161f0" TargetMode="External"/><Relationship Id="rId46" Type="http://schemas.openxmlformats.org/officeDocument/2006/relationships/hyperlink" Target="https://doi.org/10.1111/faf.12159" TargetMode="External"/><Relationship Id="rId20" Type="http://schemas.openxmlformats.org/officeDocument/2006/relationships/hyperlink" Target="https://doi.org/10.1016/j.pmatsci.2024.101307" TargetMode="External"/><Relationship Id="rId41" Type="http://schemas.openxmlformats.org/officeDocument/2006/relationships/hyperlink" Target="https://doi.org/10.6024/jmbai.2023.65.2.23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CFCC-EF4D-491C-A720-D9A752C6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 Sharma</dc:creator>
  <cp:keywords/>
  <dc:description/>
  <cp:lastModifiedBy>SDI 1022</cp:lastModifiedBy>
  <cp:revision>10</cp:revision>
  <cp:lastPrinted>2025-11-18T05:36:00Z</cp:lastPrinted>
  <dcterms:created xsi:type="dcterms:W3CDTF">2026-02-20T11:05:00Z</dcterms:created>
  <dcterms:modified xsi:type="dcterms:W3CDTF">2026-02-27T06:49:00Z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id="7QVFq9VG"/&gt;&lt;style id="http://www.zotero.org/styles/apa" locale="en-US" hasBibliography="1" bibliographyStyleHasBeenSet="0"/&gt;&lt;prefs&gt;&lt;pref name="fieldType" value="Field"/&gt;&lt;/prefs&gt;&lt;/data&gt;</vt:lpwstr>
  </property>
</Properties>
</file>