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58C3" w:rsidRPr="00790ADA" w:rsidRDefault="00956C2D" w:rsidP="00956C2D">
      <w:pPr>
        <w:pStyle w:val="Author"/>
        <w:spacing w:line="240" w:lineRule="auto"/>
        <w:rPr>
          <w:rFonts w:ascii="Arial" w:hAnsi="Arial" w:cs="Arial"/>
          <w:sz w:val="36"/>
        </w:rPr>
      </w:pPr>
      <w:r w:rsidRPr="00956C2D">
        <w:rPr>
          <w:rFonts w:ascii="Arial" w:hAnsi="Arial" w:cs="Arial"/>
          <w:bCs/>
          <w:iCs/>
          <w:kern w:val="28"/>
          <w:sz w:val="36"/>
        </w:rPr>
        <w:t>Spatial–Temporal Assessment of Urban River Contamination Dynamics: Water Quality Index and Pollution Index of Pune Metropolitan Region, India.</w:t>
      </w:r>
    </w:p>
    <w:p w:rsidR="00B54899" w:rsidRDefault="00B54899" w:rsidP="00441B6F">
      <w:pPr>
        <w:pStyle w:val="Author"/>
        <w:spacing w:line="240" w:lineRule="auto"/>
        <w:rPr>
          <w:rFonts w:ascii="Arial" w:hAnsi="Arial" w:cs="Arial"/>
        </w:rPr>
      </w:pPr>
    </w:p>
    <w:p w:rsidR="00790ADA" w:rsidRPr="009B58F5" w:rsidRDefault="00790ADA" w:rsidP="00441B6F">
      <w:pPr>
        <w:pStyle w:val="Affiliation"/>
        <w:spacing w:after="0" w:line="240" w:lineRule="auto"/>
        <w:jc w:val="both"/>
        <w:rPr>
          <w:rFonts w:ascii="Arial" w:hAnsi="Arial" w:cs="Arial"/>
        </w:rPr>
      </w:pPr>
      <w:bookmarkStart w:id="0" w:name="_GoBack"/>
      <w:bookmarkEnd w:id="0"/>
    </w:p>
    <w:p w:rsidR="002C57D2" w:rsidRPr="00FB3A86" w:rsidRDefault="002C57D2" w:rsidP="00441B6F">
      <w:pPr>
        <w:pStyle w:val="Affiliation"/>
        <w:spacing w:after="0" w:line="240" w:lineRule="auto"/>
        <w:jc w:val="both"/>
        <w:rPr>
          <w:rFonts w:ascii="Arial" w:hAnsi="Arial" w:cs="Arial"/>
        </w:rPr>
      </w:pPr>
    </w:p>
    <w:p w:rsidR="00B01FCD" w:rsidRPr="00FB3A86" w:rsidRDefault="00B50FA9" w:rsidP="00441B6F">
      <w:pPr>
        <w:pStyle w:val="Copyright"/>
        <w:spacing w:after="0" w:line="240" w:lineRule="auto"/>
        <w:jc w:val="both"/>
        <w:rPr>
          <w:rFonts w:ascii="Arial" w:hAnsi="Arial" w:cs="Arial"/>
        </w:rPr>
        <w:sectPr w:rsidR="00B01FCD" w:rsidRPr="00FB3A86" w:rsidSect="00613AEC">
          <w:footerReference w:type="first" r:id="rId8"/>
          <w:pgSz w:w="12240" w:h="15840" w:code="1"/>
          <w:pgMar w:top="1440" w:right="2016" w:bottom="2016" w:left="2016" w:header="720" w:footer="1296" w:gutter="0"/>
          <w:lnNumType w:countBy="1" w:restart="continuous"/>
          <w:cols w:space="720"/>
          <w:titlePg/>
          <w:docGrid w:linePitch="272"/>
        </w:sectPr>
      </w:pPr>
      <w:r>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rsidR="009B58F5"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rsidR="000A47D0" w:rsidRPr="00FB3A86" w:rsidRDefault="000A47D0"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rsidTr="001E44FE">
        <w:tc>
          <w:tcPr>
            <w:tcW w:w="9576" w:type="dxa"/>
            <w:shd w:val="clear" w:color="auto" w:fill="F2F2F2"/>
          </w:tcPr>
          <w:p w:rsidR="00D247DF" w:rsidRPr="00D247DF" w:rsidRDefault="00D247DF" w:rsidP="00D247DF">
            <w:pPr>
              <w:pStyle w:val="Body"/>
              <w:spacing w:after="0"/>
              <w:rPr>
                <w:rFonts w:ascii="Arial" w:eastAsia="Calibri" w:hAnsi="Arial" w:cs="Arial"/>
                <w:szCs w:val="22"/>
              </w:rPr>
            </w:pPr>
            <w:r w:rsidRPr="00D247DF">
              <w:rPr>
                <w:rFonts w:ascii="Arial" w:eastAsia="Calibri" w:hAnsi="Arial" w:cs="Arial"/>
                <w:b/>
                <w:bCs/>
                <w:szCs w:val="22"/>
              </w:rPr>
              <w:t>Aims:</w:t>
            </w:r>
            <w:r>
              <w:rPr>
                <w:rFonts w:ascii="Arial" w:eastAsia="Calibri" w:hAnsi="Arial" w:cs="Arial"/>
                <w:b/>
                <w:bCs/>
                <w:szCs w:val="22"/>
              </w:rPr>
              <w:t xml:space="preserve"> </w:t>
            </w:r>
            <w:r w:rsidRPr="00D247DF">
              <w:rPr>
                <w:rFonts w:ascii="Arial" w:eastAsia="Calibri" w:hAnsi="Arial" w:cs="Arial"/>
                <w:szCs w:val="22"/>
              </w:rPr>
              <w:t>To evaluate Water Quality Index (WQI) and Comprehensive Pollution Index (CPI) across 1</w:t>
            </w:r>
            <w:r w:rsidR="00672A2B">
              <w:rPr>
                <w:rFonts w:ascii="Arial" w:eastAsia="Calibri" w:hAnsi="Arial" w:cs="Arial"/>
                <w:szCs w:val="22"/>
              </w:rPr>
              <w:t>3</w:t>
            </w:r>
            <w:r w:rsidRPr="00D247DF">
              <w:rPr>
                <w:rFonts w:ascii="Arial" w:eastAsia="Calibri" w:hAnsi="Arial" w:cs="Arial"/>
                <w:szCs w:val="22"/>
              </w:rPr>
              <w:t xml:space="preserve"> sites of </w:t>
            </w:r>
            <w:r w:rsidR="00346D93">
              <w:rPr>
                <w:rFonts w:ascii="Arial" w:eastAsia="Calibri" w:hAnsi="Arial" w:cs="Arial"/>
                <w:szCs w:val="22"/>
              </w:rPr>
              <w:t xml:space="preserve">the </w:t>
            </w:r>
            <w:r w:rsidRPr="00D247DF">
              <w:rPr>
                <w:rFonts w:ascii="Arial" w:eastAsia="Calibri" w:hAnsi="Arial" w:cs="Arial"/>
                <w:szCs w:val="22"/>
              </w:rPr>
              <w:t xml:space="preserve">Mula-Mutha river systems </w:t>
            </w:r>
            <w:r w:rsidR="00346D93">
              <w:rPr>
                <w:rFonts w:ascii="Arial" w:eastAsia="Calibri" w:hAnsi="Arial" w:cs="Arial"/>
                <w:szCs w:val="22"/>
              </w:rPr>
              <w:t>flowing through</w:t>
            </w:r>
            <w:r w:rsidRPr="00D247DF">
              <w:rPr>
                <w:rFonts w:ascii="Arial" w:eastAsia="Calibri" w:hAnsi="Arial" w:cs="Arial"/>
                <w:szCs w:val="22"/>
              </w:rPr>
              <w:t xml:space="preserve"> Pune Metropolitan Region, identify spatiotemporal pollution hotspots, and recommend sewage treatment plant (STP) interventions for policymakers.</w:t>
            </w:r>
          </w:p>
          <w:p w:rsidR="00D247DF" w:rsidRPr="00D247DF" w:rsidRDefault="00D247DF" w:rsidP="00D247DF">
            <w:pPr>
              <w:pStyle w:val="Body"/>
              <w:spacing w:after="0"/>
              <w:rPr>
                <w:rFonts w:ascii="Arial" w:eastAsia="Calibri" w:hAnsi="Arial" w:cs="Arial"/>
                <w:szCs w:val="22"/>
              </w:rPr>
            </w:pPr>
            <w:r w:rsidRPr="00D247DF">
              <w:rPr>
                <w:rFonts w:ascii="Arial" w:eastAsia="Calibri" w:hAnsi="Arial" w:cs="Arial"/>
                <w:b/>
                <w:bCs/>
                <w:szCs w:val="22"/>
              </w:rPr>
              <w:t>Study design:</w:t>
            </w:r>
            <w:r>
              <w:rPr>
                <w:rFonts w:ascii="Arial" w:eastAsia="Calibri" w:hAnsi="Arial" w:cs="Arial"/>
                <w:b/>
                <w:bCs/>
                <w:szCs w:val="22"/>
              </w:rPr>
              <w:t xml:space="preserve"> </w:t>
            </w:r>
            <w:r w:rsidR="00933A06" w:rsidRPr="00933A06">
              <w:rPr>
                <w:rFonts w:ascii="Arial" w:eastAsia="Calibri" w:hAnsi="Arial" w:cs="Arial"/>
                <w:szCs w:val="22"/>
              </w:rPr>
              <w:t xml:space="preserve">A five-year observational study </w:t>
            </w:r>
            <w:proofErr w:type="spellStart"/>
            <w:r w:rsidR="00AA653B">
              <w:rPr>
                <w:rFonts w:ascii="Arial" w:eastAsia="Calibri" w:hAnsi="Arial" w:cs="Arial"/>
                <w:szCs w:val="22"/>
              </w:rPr>
              <w:t>analysed</w:t>
            </w:r>
            <w:proofErr w:type="spellEnd"/>
            <w:r w:rsidR="00933A06" w:rsidRPr="00933A06">
              <w:rPr>
                <w:rFonts w:ascii="Arial" w:eastAsia="Calibri" w:hAnsi="Arial" w:cs="Arial"/>
                <w:szCs w:val="22"/>
              </w:rPr>
              <w:t xml:space="preserve"> water quality using basic statistics and advanced methods like PCA, factor analysis, correlation, and cluster analysis on physical, chemical, and biological parameters.</w:t>
            </w:r>
          </w:p>
          <w:p w:rsidR="00D247DF" w:rsidRPr="00D247DF" w:rsidRDefault="00D247DF" w:rsidP="00D247DF">
            <w:pPr>
              <w:pStyle w:val="Body"/>
              <w:spacing w:after="0"/>
              <w:rPr>
                <w:rFonts w:ascii="Arial" w:eastAsia="Calibri" w:hAnsi="Arial" w:cs="Arial"/>
                <w:szCs w:val="22"/>
              </w:rPr>
            </w:pPr>
            <w:r w:rsidRPr="00346D93">
              <w:rPr>
                <w:rFonts w:ascii="Arial" w:eastAsia="Calibri" w:hAnsi="Arial" w:cs="Arial"/>
                <w:b/>
                <w:bCs/>
                <w:szCs w:val="22"/>
              </w:rPr>
              <w:t>Place and Duration of Study:</w:t>
            </w:r>
            <w:r w:rsidR="00346D93">
              <w:rPr>
                <w:rFonts w:ascii="Arial" w:eastAsia="Calibri" w:hAnsi="Arial" w:cs="Arial"/>
                <w:szCs w:val="22"/>
              </w:rPr>
              <w:t xml:space="preserve"> </w:t>
            </w:r>
            <w:r w:rsidR="005061FD" w:rsidRPr="005061FD">
              <w:rPr>
                <w:rFonts w:ascii="Arial" w:eastAsia="Calibri" w:hAnsi="Arial" w:cs="Arial"/>
                <w:szCs w:val="22"/>
              </w:rPr>
              <w:t>The investigation was carried out along the Mula-Mutha river systems within the Pune Metropolitan Region, Maharashtra, India, spanning from January 2020 to December 2024.</w:t>
            </w:r>
          </w:p>
          <w:p w:rsidR="00D247DF" w:rsidRPr="00D247DF" w:rsidRDefault="00D247DF" w:rsidP="00D247DF">
            <w:pPr>
              <w:pStyle w:val="Body"/>
              <w:spacing w:after="0"/>
              <w:rPr>
                <w:rFonts w:ascii="Arial" w:eastAsia="Calibri" w:hAnsi="Arial" w:cs="Arial"/>
                <w:szCs w:val="22"/>
              </w:rPr>
            </w:pPr>
            <w:r w:rsidRPr="00D247DF">
              <w:rPr>
                <w:rFonts w:ascii="Arial" w:eastAsia="Calibri" w:hAnsi="Arial" w:cs="Arial"/>
                <w:b/>
                <w:bCs/>
                <w:szCs w:val="22"/>
              </w:rPr>
              <w:t>Methodology:</w:t>
            </w:r>
            <w:r>
              <w:rPr>
                <w:rFonts w:ascii="Arial" w:eastAsia="Calibri" w:hAnsi="Arial" w:cs="Arial"/>
                <w:szCs w:val="22"/>
              </w:rPr>
              <w:t xml:space="preserve"> </w:t>
            </w:r>
            <w:r w:rsidRPr="00D247DF">
              <w:rPr>
                <w:rFonts w:ascii="Arial" w:eastAsia="Calibri" w:hAnsi="Arial" w:cs="Arial"/>
                <w:szCs w:val="22"/>
              </w:rPr>
              <w:t xml:space="preserve">390 water samples collected from 13 sites </w:t>
            </w:r>
            <w:r w:rsidR="00346D93">
              <w:rPr>
                <w:rFonts w:ascii="Arial" w:eastAsia="Calibri" w:hAnsi="Arial" w:cs="Arial"/>
                <w:szCs w:val="22"/>
              </w:rPr>
              <w:t xml:space="preserve">were </w:t>
            </w:r>
            <w:proofErr w:type="spellStart"/>
            <w:r w:rsidR="00346D93">
              <w:rPr>
                <w:rFonts w:ascii="Arial" w:eastAsia="Calibri" w:hAnsi="Arial" w:cs="Arial"/>
                <w:szCs w:val="22"/>
              </w:rPr>
              <w:t>analysed</w:t>
            </w:r>
            <w:proofErr w:type="spellEnd"/>
            <w:r w:rsidRPr="00D247DF">
              <w:rPr>
                <w:rFonts w:ascii="Arial" w:eastAsia="Calibri" w:hAnsi="Arial" w:cs="Arial"/>
                <w:szCs w:val="22"/>
              </w:rPr>
              <w:t xml:space="preserve"> for pH, EC, TDS, BOD, COD, DO, Cl</w:t>
            </w:r>
            <w:r w:rsidRPr="00D247DF">
              <w:rPr>
                <w:rFonts w:ascii="Cambria Math" w:eastAsia="Calibri" w:hAnsi="Cambria Math" w:cs="Cambria Math"/>
                <w:szCs w:val="22"/>
              </w:rPr>
              <w:t>⁻</w:t>
            </w:r>
            <w:r w:rsidRPr="00D247DF">
              <w:rPr>
                <w:rFonts w:ascii="Arial" w:eastAsia="Calibri" w:hAnsi="Arial" w:cs="Arial"/>
                <w:szCs w:val="22"/>
              </w:rPr>
              <w:t>, SO</w:t>
            </w:r>
            <w:r w:rsidRPr="00D247DF">
              <w:rPr>
                <w:rFonts w:ascii="Cambria Math" w:eastAsia="Calibri" w:hAnsi="Cambria Math" w:cs="Cambria Math"/>
                <w:szCs w:val="22"/>
              </w:rPr>
              <w:t>₄</w:t>
            </w:r>
            <w:r w:rsidRPr="00D247DF">
              <w:rPr>
                <w:rFonts w:ascii="Arial" w:eastAsia="Calibri" w:hAnsi="Arial" w:cs="Arial"/>
                <w:szCs w:val="22"/>
              </w:rPr>
              <w:t>²</w:t>
            </w:r>
            <w:r w:rsidRPr="00D247DF">
              <w:rPr>
                <w:rFonts w:ascii="Cambria Math" w:eastAsia="Calibri" w:hAnsi="Cambria Math" w:cs="Cambria Math"/>
                <w:szCs w:val="22"/>
              </w:rPr>
              <w:t>⁻</w:t>
            </w:r>
            <w:r w:rsidRPr="00D247DF">
              <w:rPr>
                <w:rFonts w:ascii="Arial" w:eastAsia="Calibri" w:hAnsi="Arial" w:cs="Arial"/>
                <w:szCs w:val="22"/>
              </w:rPr>
              <w:t>, Mg²</w:t>
            </w:r>
            <w:r w:rsidRPr="00D247DF">
              <w:rPr>
                <w:rFonts w:ascii="Cambria Math" w:eastAsia="Calibri" w:hAnsi="Cambria Math" w:cs="Cambria Math"/>
                <w:szCs w:val="22"/>
              </w:rPr>
              <w:t>⁺</w:t>
            </w:r>
            <w:r w:rsidRPr="00D247DF">
              <w:rPr>
                <w:rFonts w:ascii="Arial" w:eastAsia="Calibri" w:hAnsi="Arial" w:cs="Arial"/>
                <w:szCs w:val="22"/>
              </w:rPr>
              <w:t xml:space="preserve"> and other parameters using standard methods. BIS-WQI and CPI </w:t>
            </w:r>
            <w:r w:rsidR="00346D93">
              <w:rPr>
                <w:rFonts w:ascii="Arial" w:eastAsia="Calibri" w:hAnsi="Arial" w:cs="Arial"/>
                <w:szCs w:val="22"/>
              </w:rPr>
              <w:t xml:space="preserve">were </w:t>
            </w:r>
            <w:r w:rsidRPr="00D247DF">
              <w:rPr>
                <w:rFonts w:ascii="Arial" w:eastAsia="Calibri" w:hAnsi="Arial" w:cs="Arial"/>
                <w:szCs w:val="22"/>
              </w:rPr>
              <w:t xml:space="preserve">calculated; multivariate techniques </w:t>
            </w:r>
            <w:r w:rsidR="00AA653B">
              <w:rPr>
                <w:rFonts w:ascii="Arial" w:eastAsia="Calibri" w:hAnsi="Arial" w:cs="Arial"/>
                <w:szCs w:val="22"/>
              </w:rPr>
              <w:t>were used to identify</w:t>
            </w:r>
            <w:r w:rsidRPr="00D247DF">
              <w:rPr>
                <w:rFonts w:ascii="Arial" w:eastAsia="Calibri" w:hAnsi="Arial" w:cs="Arial"/>
                <w:szCs w:val="22"/>
              </w:rPr>
              <w:t xml:space="preserve"> pollution sources and spatial patterns.</w:t>
            </w:r>
          </w:p>
          <w:p w:rsidR="00D247DF" w:rsidRPr="00D247DF" w:rsidRDefault="00D247DF" w:rsidP="00D247DF">
            <w:pPr>
              <w:pStyle w:val="Body"/>
              <w:spacing w:after="0"/>
              <w:rPr>
                <w:rFonts w:ascii="Arial" w:eastAsia="Calibri" w:hAnsi="Arial" w:cs="Arial"/>
                <w:szCs w:val="22"/>
              </w:rPr>
            </w:pPr>
            <w:r w:rsidRPr="00D247DF">
              <w:rPr>
                <w:rFonts w:ascii="Arial" w:eastAsia="Calibri" w:hAnsi="Arial" w:cs="Arial"/>
                <w:b/>
                <w:bCs/>
                <w:szCs w:val="22"/>
              </w:rPr>
              <w:t>Results:</w:t>
            </w:r>
            <w:r>
              <w:rPr>
                <w:rFonts w:ascii="Arial" w:eastAsia="Calibri" w:hAnsi="Arial" w:cs="Arial"/>
                <w:szCs w:val="22"/>
              </w:rPr>
              <w:t xml:space="preserve"> </w:t>
            </w:r>
            <w:r w:rsidRPr="00D247DF">
              <w:rPr>
                <w:rFonts w:ascii="Arial" w:eastAsia="Calibri" w:hAnsi="Arial" w:cs="Arial"/>
                <w:szCs w:val="22"/>
              </w:rPr>
              <w:t xml:space="preserve">Physicochemical parameters showed moderate alkalinity with frequent BIS limit exceedances: pH 7.36–8.06, TDS 57–633 mg/L, BOD 8.9–298 mg/L, low DO 2.8–5.2 mg/L (r=-0.44 with BOD). Mula River sites exhibited greater deterioration than Mutha. PCA explained 65.71% anthropogenic pollution variance; strong correlations included TDS-hardness (r=0.984), EC-BOD (r=0.842). Cluster analysis identified clean upstream sites (S-9, S-1) vs. downstream hotspots (S-3, S-7, S-10); WQI-CPI classified most sites </w:t>
            </w:r>
            <w:r w:rsidR="00346D93">
              <w:rPr>
                <w:rFonts w:ascii="Arial" w:eastAsia="Calibri" w:hAnsi="Arial" w:cs="Arial"/>
                <w:szCs w:val="22"/>
              </w:rPr>
              <w:t xml:space="preserve">as </w:t>
            </w:r>
            <w:r w:rsidRPr="00D247DF">
              <w:rPr>
                <w:rFonts w:ascii="Arial" w:eastAsia="Calibri" w:hAnsi="Arial" w:cs="Arial"/>
                <w:szCs w:val="22"/>
              </w:rPr>
              <w:t>poor at urban confluences.</w:t>
            </w:r>
          </w:p>
          <w:p w:rsidR="00505F06" w:rsidRPr="00BA1B01" w:rsidRDefault="00D247DF" w:rsidP="00D247DF">
            <w:pPr>
              <w:pStyle w:val="Body"/>
              <w:spacing w:after="0"/>
              <w:rPr>
                <w:rFonts w:ascii="Arial" w:eastAsia="Calibri" w:hAnsi="Arial" w:cs="Arial"/>
                <w:szCs w:val="22"/>
              </w:rPr>
            </w:pPr>
            <w:r w:rsidRPr="00D247DF">
              <w:rPr>
                <w:rFonts w:ascii="Arial" w:eastAsia="Calibri" w:hAnsi="Arial" w:cs="Arial"/>
                <w:b/>
                <w:bCs/>
                <w:szCs w:val="22"/>
              </w:rPr>
              <w:t>Conclusion:</w:t>
            </w:r>
            <w:r>
              <w:rPr>
                <w:rFonts w:ascii="Arial" w:eastAsia="Calibri" w:hAnsi="Arial" w:cs="Arial"/>
                <w:szCs w:val="22"/>
              </w:rPr>
              <w:t xml:space="preserve"> </w:t>
            </w:r>
            <w:r w:rsidR="005061FD" w:rsidRPr="005061FD">
              <w:rPr>
                <w:rFonts w:ascii="Arial" w:eastAsia="Calibri" w:hAnsi="Arial" w:cs="Arial"/>
                <w:szCs w:val="22"/>
              </w:rPr>
              <w:t xml:space="preserve">The findings </w:t>
            </w:r>
            <w:r w:rsidR="005061FD">
              <w:rPr>
                <w:rFonts w:ascii="Arial" w:eastAsia="Calibri" w:hAnsi="Arial" w:cs="Arial"/>
                <w:szCs w:val="22"/>
              </w:rPr>
              <w:t xml:space="preserve">highlight progressive urban-induced degradation of the Mula-Mutha river system, needing </w:t>
            </w:r>
            <w:proofErr w:type="spellStart"/>
            <w:r w:rsidR="00AA653B">
              <w:rPr>
                <w:rFonts w:ascii="Arial" w:eastAsia="Calibri" w:hAnsi="Arial" w:cs="Arial"/>
                <w:szCs w:val="22"/>
              </w:rPr>
              <w:t>prioritised</w:t>
            </w:r>
            <w:proofErr w:type="spellEnd"/>
            <w:r w:rsidR="005061FD" w:rsidRPr="005061FD">
              <w:rPr>
                <w:rFonts w:ascii="Arial" w:eastAsia="Calibri" w:hAnsi="Arial" w:cs="Arial"/>
                <w:szCs w:val="22"/>
              </w:rPr>
              <w:t xml:space="preserve"> installation and upgrading of STPs at identified pollution hotspots to mitigate ecological risks and safeguard public health. </w:t>
            </w:r>
            <w:r w:rsidRPr="00D247DF">
              <w:rPr>
                <w:rFonts w:ascii="Arial" w:eastAsia="Calibri" w:hAnsi="Arial" w:cs="Arial"/>
                <w:szCs w:val="22"/>
              </w:rPr>
              <w:t>Study methodology applicable to global urban river systems for contamination mapping and policy intervention.</w:t>
            </w:r>
          </w:p>
        </w:tc>
      </w:tr>
    </w:tbl>
    <w:p w:rsidR="00636EB2" w:rsidRDefault="00636EB2" w:rsidP="00441B6F">
      <w:pPr>
        <w:pStyle w:val="Body"/>
        <w:spacing w:after="0"/>
        <w:rPr>
          <w:rFonts w:ascii="Arial" w:hAnsi="Arial" w:cs="Arial"/>
          <w:i/>
        </w:rPr>
      </w:pPr>
    </w:p>
    <w:p w:rsidR="00505F06" w:rsidRPr="00A24E7E" w:rsidRDefault="00A24E7E" w:rsidP="000A47D0">
      <w:pPr>
        <w:pStyle w:val="Body"/>
        <w:ind w:left="-90"/>
        <w:rPr>
          <w:rFonts w:ascii="Arial" w:hAnsi="Arial" w:cs="Arial"/>
          <w:i/>
        </w:rPr>
      </w:pPr>
      <w:r>
        <w:rPr>
          <w:rFonts w:ascii="Arial" w:hAnsi="Arial" w:cs="Arial"/>
          <w:i/>
        </w:rPr>
        <w:t xml:space="preserve">Keywords: </w:t>
      </w:r>
      <w:r w:rsidR="005C41C8" w:rsidRPr="005C41C8">
        <w:rPr>
          <w:rFonts w:ascii="Arial" w:hAnsi="Arial" w:cs="Arial"/>
          <w:i/>
        </w:rPr>
        <w:t>Water Quality Index (WQI); Comprehensive Pollution Index (CPI); Mula-Mutha River system; PCA / Factor analysis; urban runoff</w:t>
      </w:r>
    </w:p>
    <w:p w:rsidR="00626309" w:rsidRPr="00FB3A86" w:rsidRDefault="00902823" w:rsidP="00120F7E">
      <w:pPr>
        <w:pStyle w:val="AbstHead"/>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rsidR="008C5A2C" w:rsidRPr="008C5A2C" w:rsidRDefault="008C5A2C" w:rsidP="008C5A2C">
      <w:pPr>
        <w:pStyle w:val="Body"/>
        <w:rPr>
          <w:rFonts w:ascii="Arial" w:hAnsi="Arial" w:cs="Arial"/>
        </w:rPr>
      </w:pPr>
      <w:r w:rsidRPr="008C5A2C">
        <w:rPr>
          <w:rFonts w:ascii="Arial" w:hAnsi="Arial" w:cs="Arial"/>
        </w:rPr>
        <w:t xml:space="preserve">The Urban rivers are lifelines for metropolitan regions, yet they are increasingly susceptible to contamination due to rapid </w:t>
      </w:r>
      <w:proofErr w:type="spellStart"/>
      <w:r w:rsidRPr="008C5A2C">
        <w:rPr>
          <w:rFonts w:ascii="Arial" w:hAnsi="Arial" w:cs="Arial"/>
        </w:rPr>
        <w:t>urbanisation</w:t>
      </w:r>
      <w:proofErr w:type="spellEnd"/>
      <w:r w:rsidRPr="008C5A2C">
        <w:rPr>
          <w:rFonts w:ascii="Arial" w:hAnsi="Arial" w:cs="Arial"/>
        </w:rPr>
        <w:t xml:space="preserve"> and </w:t>
      </w:r>
      <w:proofErr w:type="spellStart"/>
      <w:r w:rsidRPr="008C5A2C">
        <w:rPr>
          <w:rFonts w:ascii="Arial" w:hAnsi="Arial" w:cs="Arial"/>
        </w:rPr>
        <w:t>industrialisation</w:t>
      </w:r>
      <w:proofErr w:type="spellEnd"/>
      <w:r w:rsidRPr="008C5A2C">
        <w:rPr>
          <w:rFonts w:ascii="Arial" w:hAnsi="Arial" w:cs="Arial"/>
        </w:rPr>
        <w:t xml:space="preserve"> (Suthar et al. 2010; </w:t>
      </w:r>
      <w:proofErr w:type="spellStart"/>
      <w:r w:rsidRPr="008C5A2C">
        <w:rPr>
          <w:rFonts w:ascii="Arial" w:hAnsi="Arial" w:cs="Arial"/>
        </w:rPr>
        <w:t>Sahu</w:t>
      </w:r>
      <w:proofErr w:type="spellEnd"/>
      <w:r w:rsidRPr="008C5A2C">
        <w:rPr>
          <w:rFonts w:ascii="Arial" w:hAnsi="Arial" w:cs="Arial"/>
        </w:rPr>
        <w:t xml:space="preserve"> et al. 2015a). The Pune Metropolitan Region (PMR), one of the fastest-growing megacities in the state of Maharashtra in India. It is sustained by the Mula–Mutha river system that provides essential water resources and receives a significant amount of untreated sewage, industrial sewage, and urban runoff. Over the past two decades, exponential population growth and uncontrolled urban expansion have intensified stress on these river ecosystems. To evaluate such contamination dynamics, composite indices like the Water Quality Index </w:t>
      </w:r>
      <w:r w:rsidRPr="008C5A2C">
        <w:rPr>
          <w:rFonts w:ascii="Arial" w:hAnsi="Arial" w:cs="Arial"/>
        </w:rPr>
        <w:lastRenderedPageBreak/>
        <w:t>(WQI) and Comprehensive Pollution Index (CPI) propose robust tools for integrating physicochemical and biological parameters (</w:t>
      </w:r>
      <w:proofErr w:type="spellStart"/>
      <w:r w:rsidRPr="008C5A2C">
        <w:rPr>
          <w:rFonts w:ascii="Arial" w:hAnsi="Arial" w:cs="Arial"/>
        </w:rPr>
        <w:t>Shil</w:t>
      </w:r>
      <w:proofErr w:type="spellEnd"/>
      <w:r w:rsidRPr="008C5A2C">
        <w:rPr>
          <w:rFonts w:ascii="Arial" w:hAnsi="Arial" w:cs="Arial"/>
        </w:rPr>
        <w:t xml:space="preserve"> et al. 2019; </w:t>
      </w:r>
      <w:proofErr w:type="spellStart"/>
      <w:r w:rsidRPr="008C5A2C">
        <w:rPr>
          <w:rFonts w:ascii="Arial" w:hAnsi="Arial" w:cs="Arial"/>
        </w:rPr>
        <w:t>Chidiac</w:t>
      </w:r>
      <w:proofErr w:type="spellEnd"/>
      <w:r w:rsidRPr="008C5A2C">
        <w:rPr>
          <w:rFonts w:ascii="Arial" w:hAnsi="Arial" w:cs="Arial"/>
        </w:rPr>
        <w:t xml:space="preserve"> et al. 2023). These indices have been applied in diverse contexts to classify water quality, identify pollution hotspots, and guide policy interventions (</w:t>
      </w:r>
      <w:proofErr w:type="spellStart"/>
      <w:r w:rsidRPr="008C5A2C">
        <w:rPr>
          <w:rFonts w:ascii="Arial" w:hAnsi="Arial" w:cs="Arial"/>
        </w:rPr>
        <w:t>Mukate</w:t>
      </w:r>
      <w:proofErr w:type="spellEnd"/>
      <w:r w:rsidRPr="008C5A2C">
        <w:rPr>
          <w:rFonts w:ascii="Arial" w:hAnsi="Arial" w:cs="Arial"/>
        </w:rPr>
        <w:t xml:space="preserve"> et al. 2019a; Wang et al. 2017a). CPI has been used to quantify cumulative pollution loads, offering a complementary perspective to WQI by </w:t>
      </w:r>
      <w:proofErr w:type="spellStart"/>
      <w:r w:rsidRPr="008C5A2C">
        <w:rPr>
          <w:rFonts w:ascii="Arial" w:hAnsi="Arial" w:cs="Arial"/>
        </w:rPr>
        <w:t>emphasising</w:t>
      </w:r>
      <w:proofErr w:type="spellEnd"/>
      <w:r w:rsidRPr="008C5A2C">
        <w:rPr>
          <w:rFonts w:ascii="Arial" w:hAnsi="Arial" w:cs="Arial"/>
        </w:rPr>
        <w:t xml:space="preserve"> pollutant concentrations relative to permissible limits (</w:t>
      </w:r>
      <w:proofErr w:type="spellStart"/>
      <w:r w:rsidRPr="008C5A2C">
        <w:rPr>
          <w:rFonts w:ascii="Arial" w:hAnsi="Arial" w:cs="Arial"/>
        </w:rPr>
        <w:t>Kulandaivel</w:t>
      </w:r>
      <w:proofErr w:type="spellEnd"/>
      <w:r w:rsidRPr="008C5A2C">
        <w:rPr>
          <w:rFonts w:ascii="Arial" w:hAnsi="Arial" w:cs="Arial"/>
        </w:rPr>
        <w:t xml:space="preserve"> et al. 2009; Pramanik et al. 2020; </w:t>
      </w:r>
      <w:proofErr w:type="spellStart"/>
      <w:r w:rsidRPr="008C5A2C">
        <w:rPr>
          <w:rFonts w:ascii="Arial" w:hAnsi="Arial" w:cs="Arial"/>
        </w:rPr>
        <w:t>Soueilem</w:t>
      </w:r>
      <w:proofErr w:type="spellEnd"/>
      <w:r w:rsidRPr="008C5A2C">
        <w:rPr>
          <w:rFonts w:ascii="Arial" w:hAnsi="Arial" w:cs="Arial"/>
        </w:rPr>
        <w:t xml:space="preserve"> et al. 2025). WQI-CPI have emerged as an effective tool for simplifying complex water quality datasets into single, interpretable values (Fan et al. 2010; </w:t>
      </w:r>
      <w:proofErr w:type="spellStart"/>
      <w:r w:rsidRPr="008C5A2C">
        <w:rPr>
          <w:rFonts w:ascii="Arial" w:hAnsi="Arial" w:cs="Arial"/>
        </w:rPr>
        <w:t>Ewaid</w:t>
      </w:r>
      <w:proofErr w:type="spellEnd"/>
      <w:r w:rsidRPr="008C5A2C">
        <w:rPr>
          <w:rFonts w:ascii="Arial" w:hAnsi="Arial" w:cs="Arial"/>
        </w:rPr>
        <w:t xml:space="preserve"> and Abed 2017; Hossain and Patra 2020). This study </w:t>
      </w:r>
      <w:proofErr w:type="spellStart"/>
      <w:r w:rsidRPr="008C5A2C">
        <w:rPr>
          <w:rFonts w:ascii="Arial" w:hAnsi="Arial" w:cs="Arial"/>
        </w:rPr>
        <w:t>utilises</w:t>
      </w:r>
      <w:proofErr w:type="spellEnd"/>
      <w:r w:rsidRPr="008C5A2C">
        <w:rPr>
          <w:rFonts w:ascii="Arial" w:hAnsi="Arial" w:cs="Arial"/>
        </w:rPr>
        <w:t xml:space="preserve"> the WQI and CPI to evaluate the contamination status of the Mula–Mutha rivers across 13 sites within the PMR between 2020 and 2024. Previous studies highlighted the application of WQI proposed by Horton (1965), which laid the foundation for subsequent adaptations, including the National Sanitation Foundation WQI (NSFWQI), Canadian Council of Ministers of the Environment WQI (CCMEWQI), and Bureau of Indian Standards WQI (BISWQI). The previous studies of water quality have used various statistical techniques to </w:t>
      </w:r>
      <w:proofErr w:type="spellStart"/>
      <w:r w:rsidRPr="008C5A2C">
        <w:rPr>
          <w:rFonts w:ascii="Arial" w:hAnsi="Arial" w:cs="Arial"/>
        </w:rPr>
        <w:t>analyse</w:t>
      </w:r>
      <w:proofErr w:type="spellEnd"/>
      <w:r w:rsidRPr="008C5A2C">
        <w:rPr>
          <w:rFonts w:ascii="Arial" w:hAnsi="Arial" w:cs="Arial"/>
        </w:rPr>
        <w:t xml:space="preserve"> the hydrogeochemical composition of water sources and have </w:t>
      </w:r>
      <w:proofErr w:type="spellStart"/>
      <w:r w:rsidRPr="008C5A2C">
        <w:rPr>
          <w:rFonts w:ascii="Arial" w:hAnsi="Arial" w:cs="Arial"/>
        </w:rPr>
        <w:t>emphasised</w:t>
      </w:r>
      <w:proofErr w:type="spellEnd"/>
      <w:r w:rsidRPr="008C5A2C">
        <w:rPr>
          <w:rFonts w:ascii="Arial" w:hAnsi="Arial" w:cs="Arial"/>
        </w:rPr>
        <w:t xml:space="preserve"> the presence of silicates, carbonates, alkali and alkaline earth metals, heavy metals, </w:t>
      </w:r>
      <w:proofErr w:type="spellStart"/>
      <w:r w:rsidRPr="008C5A2C">
        <w:rPr>
          <w:rFonts w:ascii="Arial" w:hAnsi="Arial" w:cs="Arial"/>
        </w:rPr>
        <w:t>etc</w:t>
      </w:r>
      <w:proofErr w:type="spellEnd"/>
      <w:r w:rsidRPr="008C5A2C">
        <w:rPr>
          <w:rFonts w:ascii="Arial" w:hAnsi="Arial" w:cs="Arial"/>
        </w:rPr>
        <w:t xml:space="preserve"> (Tyagi et al. 2020; Jadhav et al. 2022). </w:t>
      </w:r>
    </w:p>
    <w:p w:rsidR="008C5A2C" w:rsidRPr="008C5A2C" w:rsidRDefault="008C5A2C" w:rsidP="008C5A2C">
      <w:pPr>
        <w:pStyle w:val="Body"/>
        <w:rPr>
          <w:rFonts w:ascii="Arial" w:hAnsi="Arial" w:cs="Arial"/>
        </w:rPr>
      </w:pPr>
      <w:r w:rsidRPr="008C5A2C">
        <w:rPr>
          <w:rFonts w:ascii="Arial" w:hAnsi="Arial" w:cs="Arial"/>
        </w:rPr>
        <w:t>Furthermore, statistical techniques—such as correlation analysis, Principal Component Analysis (PCA), and cluster analysis—help understand the spatial and temporal variability of pollutants, distinguishing natural processes from anthropogenic pressures (</w:t>
      </w:r>
      <w:proofErr w:type="spellStart"/>
      <w:r w:rsidRPr="008C5A2C">
        <w:rPr>
          <w:rFonts w:ascii="Arial" w:hAnsi="Arial" w:cs="Arial"/>
        </w:rPr>
        <w:t>Kassahun</w:t>
      </w:r>
      <w:proofErr w:type="spellEnd"/>
      <w:r w:rsidRPr="008C5A2C">
        <w:rPr>
          <w:rFonts w:ascii="Arial" w:hAnsi="Arial" w:cs="Arial"/>
        </w:rPr>
        <w:t xml:space="preserve"> and </w:t>
      </w:r>
      <w:proofErr w:type="spellStart"/>
      <w:r w:rsidRPr="008C5A2C">
        <w:rPr>
          <w:rFonts w:ascii="Arial" w:hAnsi="Arial" w:cs="Arial"/>
        </w:rPr>
        <w:t>Kebedee</w:t>
      </w:r>
      <w:proofErr w:type="spellEnd"/>
      <w:r w:rsidRPr="008C5A2C">
        <w:rPr>
          <w:rFonts w:ascii="Arial" w:hAnsi="Arial" w:cs="Arial"/>
        </w:rPr>
        <w:t xml:space="preserve"> 2012). The primary focus of the present study was to assess the relationship between the physicochemical properties, using multicriteria statistical techniques such as correlation matrix, principal component analysis (PCA), and Factor analysis to determine potential correlation between chemical pollutants and water quality parameters (Sharma et al. 2023; Singh et al. 2024). To identify different geochemical properties of water such as Na+-Clˉ type, Mixed Ca2+- Mg2+- Clˉ type, Mixed Ca2+- Na+- HCO3ˉ type, Ca2+--Clˉ type, scattered plot of (Ca2+ + Mg2+) vs (HCO3ˉ + SO42ˉ), etc. were </w:t>
      </w:r>
      <w:proofErr w:type="spellStart"/>
      <w:r w:rsidRPr="008C5A2C">
        <w:rPr>
          <w:rFonts w:ascii="Arial" w:hAnsi="Arial" w:cs="Arial"/>
        </w:rPr>
        <w:t>analysed</w:t>
      </w:r>
      <w:proofErr w:type="spellEnd"/>
      <w:r w:rsidRPr="008C5A2C">
        <w:rPr>
          <w:rFonts w:ascii="Arial" w:hAnsi="Arial" w:cs="Arial"/>
        </w:rPr>
        <w:t>. Many scholars have suggested WQI as a reliable term to depict the overall quality of surface water because there are numerous physical, chemical, and biological water quality criteria (</w:t>
      </w:r>
      <w:proofErr w:type="spellStart"/>
      <w:r w:rsidRPr="008C5A2C">
        <w:rPr>
          <w:rFonts w:ascii="Arial" w:hAnsi="Arial" w:cs="Arial"/>
        </w:rPr>
        <w:t>Alam</w:t>
      </w:r>
      <w:proofErr w:type="spellEnd"/>
      <w:r w:rsidRPr="008C5A2C">
        <w:rPr>
          <w:rFonts w:ascii="Arial" w:hAnsi="Arial" w:cs="Arial"/>
        </w:rPr>
        <w:t xml:space="preserve"> et al. 2007; </w:t>
      </w:r>
      <w:proofErr w:type="spellStart"/>
      <w:r w:rsidRPr="008C5A2C">
        <w:rPr>
          <w:rFonts w:ascii="Arial" w:hAnsi="Arial" w:cs="Arial"/>
        </w:rPr>
        <w:t>Ewaid</w:t>
      </w:r>
      <w:proofErr w:type="spellEnd"/>
      <w:r w:rsidRPr="008C5A2C">
        <w:rPr>
          <w:rFonts w:ascii="Arial" w:hAnsi="Arial" w:cs="Arial"/>
        </w:rPr>
        <w:t xml:space="preserve"> and Abed 2017; </w:t>
      </w:r>
      <w:proofErr w:type="spellStart"/>
      <w:r w:rsidRPr="008C5A2C">
        <w:rPr>
          <w:rFonts w:ascii="Arial" w:hAnsi="Arial" w:cs="Arial"/>
        </w:rPr>
        <w:t>Şener</w:t>
      </w:r>
      <w:proofErr w:type="spellEnd"/>
      <w:r w:rsidRPr="008C5A2C">
        <w:rPr>
          <w:rFonts w:ascii="Arial" w:hAnsi="Arial" w:cs="Arial"/>
        </w:rPr>
        <w:t xml:space="preserve"> et al. 2017).  As a result, maintaining the health of any water source requires routine monitoring of specific water quality parameters to ensure good quality of water. In order to provide a primary database for routine monitoring of the quality of the water, identifying any current or potential future is essential (</w:t>
      </w:r>
      <w:proofErr w:type="spellStart"/>
      <w:r w:rsidRPr="008C5A2C">
        <w:rPr>
          <w:rFonts w:ascii="Arial" w:hAnsi="Arial" w:cs="Arial"/>
        </w:rPr>
        <w:t>Alobaidy</w:t>
      </w:r>
      <w:proofErr w:type="spellEnd"/>
      <w:r w:rsidRPr="008C5A2C">
        <w:rPr>
          <w:rFonts w:ascii="Arial" w:hAnsi="Arial" w:cs="Arial"/>
        </w:rPr>
        <w:t xml:space="preserve"> et al. 2010; Gonçalves and </w:t>
      </w:r>
      <w:proofErr w:type="spellStart"/>
      <w:r w:rsidRPr="008C5A2C">
        <w:rPr>
          <w:rFonts w:ascii="Arial" w:hAnsi="Arial" w:cs="Arial"/>
        </w:rPr>
        <w:t>Alpuim</w:t>
      </w:r>
      <w:proofErr w:type="spellEnd"/>
      <w:r w:rsidRPr="008C5A2C">
        <w:rPr>
          <w:rFonts w:ascii="Arial" w:hAnsi="Arial" w:cs="Arial"/>
        </w:rPr>
        <w:t xml:space="preserve"> 2011; Ahmed et al. 2020; </w:t>
      </w:r>
      <w:proofErr w:type="spellStart"/>
      <w:r w:rsidRPr="008C5A2C">
        <w:rPr>
          <w:rFonts w:ascii="Arial" w:hAnsi="Arial" w:cs="Arial"/>
        </w:rPr>
        <w:t>Olubukola</w:t>
      </w:r>
      <w:proofErr w:type="spellEnd"/>
      <w:r w:rsidRPr="008C5A2C">
        <w:rPr>
          <w:rFonts w:ascii="Arial" w:hAnsi="Arial" w:cs="Arial"/>
        </w:rPr>
        <w:t xml:space="preserve"> </w:t>
      </w:r>
      <w:proofErr w:type="spellStart"/>
      <w:r w:rsidRPr="008C5A2C">
        <w:rPr>
          <w:rFonts w:ascii="Arial" w:hAnsi="Arial" w:cs="Arial"/>
        </w:rPr>
        <w:t>Ajoke</w:t>
      </w:r>
      <w:proofErr w:type="spellEnd"/>
      <w:r w:rsidRPr="008C5A2C">
        <w:rPr>
          <w:rFonts w:ascii="Arial" w:hAnsi="Arial" w:cs="Arial"/>
        </w:rPr>
        <w:t xml:space="preserve"> </w:t>
      </w:r>
      <w:proofErr w:type="spellStart"/>
      <w:r w:rsidRPr="008C5A2C">
        <w:rPr>
          <w:rFonts w:ascii="Arial" w:hAnsi="Arial" w:cs="Arial"/>
        </w:rPr>
        <w:t>Adelagun</w:t>
      </w:r>
      <w:proofErr w:type="spellEnd"/>
      <w:r w:rsidRPr="008C5A2C">
        <w:rPr>
          <w:rFonts w:ascii="Arial" w:hAnsi="Arial" w:cs="Arial"/>
        </w:rPr>
        <w:t xml:space="preserve"> et al. 2021; </w:t>
      </w:r>
      <w:proofErr w:type="spellStart"/>
      <w:r w:rsidRPr="008C5A2C">
        <w:rPr>
          <w:rFonts w:ascii="Arial" w:hAnsi="Arial" w:cs="Arial"/>
        </w:rPr>
        <w:t>Ngente</w:t>
      </w:r>
      <w:proofErr w:type="spellEnd"/>
      <w:r w:rsidRPr="008C5A2C">
        <w:rPr>
          <w:rFonts w:ascii="Arial" w:hAnsi="Arial" w:cs="Arial"/>
        </w:rPr>
        <w:t xml:space="preserve"> and Mishra 2024). With the use of Geographic Information System (GIS) technology, the current data collection on water resources is evaluated, tracked, and distributed spatially (</w:t>
      </w:r>
      <w:proofErr w:type="spellStart"/>
      <w:r w:rsidRPr="008C5A2C">
        <w:rPr>
          <w:rFonts w:ascii="Arial" w:hAnsi="Arial" w:cs="Arial"/>
        </w:rPr>
        <w:t>Antonakos</w:t>
      </w:r>
      <w:proofErr w:type="spellEnd"/>
      <w:r w:rsidRPr="008C5A2C">
        <w:rPr>
          <w:rFonts w:ascii="Arial" w:hAnsi="Arial" w:cs="Arial"/>
        </w:rPr>
        <w:t xml:space="preserve"> and </w:t>
      </w:r>
      <w:proofErr w:type="spellStart"/>
      <w:r w:rsidRPr="008C5A2C">
        <w:rPr>
          <w:rFonts w:ascii="Arial" w:hAnsi="Arial" w:cs="Arial"/>
        </w:rPr>
        <w:t>Lambrakis</w:t>
      </w:r>
      <w:proofErr w:type="spellEnd"/>
      <w:r w:rsidRPr="008C5A2C">
        <w:rPr>
          <w:rFonts w:ascii="Arial" w:hAnsi="Arial" w:cs="Arial"/>
        </w:rPr>
        <w:t xml:space="preserve"> 2021; Dheeraj et al. 2023; </w:t>
      </w:r>
      <w:proofErr w:type="spellStart"/>
      <w:r w:rsidRPr="008C5A2C">
        <w:rPr>
          <w:rFonts w:ascii="Arial" w:hAnsi="Arial" w:cs="Arial"/>
        </w:rPr>
        <w:t>Sarmah</w:t>
      </w:r>
      <w:proofErr w:type="spellEnd"/>
      <w:r w:rsidRPr="008C5A2C">
        <w:rPr>
          <w:rFonts w:ascii="Arial" w:hAnsi="Arial" w:cs="Arial"/>
        </w:rPr>
        <w:t xml:space="preserve"> and </w:t>
      </w:r>
      <w:proofErr w:type="spellStart"/>
      <w:r w:rsidRPr="008C5A2C">
        <w:rPr>
          <w:rFonts w:ascii="Arial" w:hAnsi="Arial" w:cs="Arial"/>
        </w:rPr>
        <w:t>Sarma</w:t>
      </w:r>
      <w:proofErr w:type="spellEnd"/>
      <w:r w:rsidRPr="008C5A2C">
        <w:rPr>
          <w:rFonts w:ascii="Arial" w:hAnsi="Arial" w:cs="Arial"/>
        </w:rPr>
        <w:t xml:space="preserve"> 2023; Kumar and Singh 2024). The Inverse Distance Weighted (IDW) interpolation method and fuzzy logic proved to be effective tools for reviewing and evaluating the findings (Gupta et al. 2015; </w:t>
      </w:r>
      <w:proofErr w:type="spellStart"/>
      <w:r w:rsidRPr="008C5A2C">
        <w:rPr>
          <w:rFonts w:ascii="Arial" w:hAnsi="Arial" w:cs="Arial"/>
        </w:rPr>
        <w:t>Sarmah</w:t>
      </w:r>
      <w:proofErr w:type="spellEnd"/>
      <w:r w:rsidRPr="008C5A2C">
        <w:rPr>
          <w:rFonts w:ascii="Arial" w:hAnsi="Arial" w:cs="Arial"/>
        </w:rPr>
        <w:t xml:space="preserve"> and </w:t>
      </w:r>
      <w:proofErr w:type="spellStart"/>
      <w:r w:rsidRPr="008C5A2C">
        <w:rPr>
          <w:rFonts w:ascii="Arial" w:hAnsi="Arial" w:cs="Arial"/>
        </w:rPr>
        <w:t>Sarma</w:t>
      </w:r>
      <w:proofErr w:type="spellEnd"/>
      <w:r w:rsidRPr="008C5A2C">
        <w:rPr>
          <w:rFonts w:ascii="Arial" w:hAnsi="Arial" w:cs="Arial"/>
        </w:rPr>
        <w:t xml:space="preserve"> 2023; Zafar et al. 2024). </w:t>
      </w:r>
    </w:p>
    <w:p w:rsidR="008C5A2C" w:rsidRPr="008C5A2C" w:rsidRDefault="008C5A2C" w:rsidP="008C5A2C">
      <w:pPr>
        <w:pStyle w:val="Body"/>
        <w:rPr>
          <w:rFonts w:ascii="Arial" w:hAnsi="Arial" w:cs="Arial"/>
        </w:rPr>
      </w:pPr>
      <w:r w:rsidRPr="008C5A2C">
        <w:rPr>
          <w:rFonts w:ascii="Arial" w:hAnsi="Arial" w:cs="Arial"/>
        </w:rPr>
        <w:t xml:space="preserve">The parameters of an </w:t>
      </w:r>
      <w:proofErr w:type="spellStart"/>
      <w:r w:rsidRPr="008C5A2C">
        <w:rPr>
          <w:rFonts w:ascii="Arial" w:hAnsi="Arial" w:cs="Arial"/>
        </w:rPr>
        <w:t>analysed</w:t>
      </w:r>
      <w:proofErr w:type="spellEnd"/>
      <w:r w:rsidRPr="008C5A2C">
        <w:rPr>
          <w:rFonts w:ascii="Arial" w:hAnsi="Arial" w:cs="Arial"/>
        </w:rPr>
        <w:t xml:space="preserve"> sample are compared with the set of quality standards to evaluate the water quality, considering changes resulting from entirely anthropogenic activities and its natural state (</w:t>
      </w:r>
      <w:proofErr w:type="spellStart"/>
      <w:r w:rsidRPr="008C5A2C">
        <w:rPr>
          <w:rFonts w:ascii="Arial" w:hAnsi="Arial" w:cs="Arial"/>
        </w:rPr>
        <w:t>Ramakrishnaiah</w:t>
      </w:r>
      <w:proofErr w:type="spellEnd"/>
      <w:r w:rsidRPr="008C5A2C">
        <w:rPr>
          <w:rFonts w:ascii="Arial" w:hAnsi="Arial" w:cs="Arial"/>
        </w:rPr>
        <w:t xml:space="preserve"> et al. 2009; Thai-Hoang et al. 2022). This helps the local community to regulate their water resources effectively and provide estimated data that will be useful for future water administration and protection plans (</w:t>
      </w:r>
      <w:proofErr w:type="spellStart"/>
      <w:r w:rsidRPr="008C5A2C">
        <w:rPr>
          <w:rFonts w:ascii="Arial" w:hAnsi="Arial" w:cs="Arial"/>
        </w:rPr>
        <w:t>Sahu</w:t>
      </w:r>
      <w:proofErr w:type="spellEnd"/>
      <w:r w:rsidRPr="008C5A2C">
        <w:rPr>
          <w:rFonts w:ascii="Arial" w:hAnsi="Arial" w:cs="Arial"/>
        </w:rPr>
        <w:t xml:space="preserve"> et al. 2015b; </w:t>
      </w:r>
      <w:proofErr w:type="spellStart"/>
      <w:r w:rsidRPr="008C5A2C">
        <w:rPr>
          <w:rFonts w:ascii="Arial" w:hAnsi="Arial" w:cs="Arial"/>
        </w:rPr>
        <w:t>Basuri</w:t>
      </w:r>
      <w:proofErr w:type="spellEnd"/>
      <w:r w:rsidRPr="008C5A2C">
        <w:rPr>
          <w:rFonts w:ascii="Arial" w:hAnsi="Arial" w:cs="Arial"/>
        </w:rPr>
        <w:t xml:space="preserve"> et al. 2020). The present study aims to [1] determine the physical and chemical water quality parameters, [2] assess the water quality of Mula-Mutha Rivers by evaluating water quality index (WQI) [3] to evaluate other pollution index such as Comprehensive pollution index (CPI) of the rivers, [4] create WQI, CPI and CI map based on GIS, [5] discuss the urgent need of sewage treatment plants and the suitability of water for various purposes in the vicinity of PMR. </w:t>
      </w:r>
    </w:p>
    <w:p w:rsidR="00790ADA" w:rsidRDefault="008C5A2C" w:rsidP="008C5A2C">
      <w:pPr>
        <w:pStyle w:val="Body"/>
        <w:spacing w:after="0"/>
        <w:rPr>
          <w:rFonts w:ascii="Arial" w:hAnsi="Arial" w:cs="Arial"/>
        </w:rPr>
      </w:pPr>
      <w:r w:rsidRPr="008C5A2C">
        <w:rPr>
          <w:rFonts w:ascii="Arial" w:hAnsi="Arial" w:cs="Arial"/>
        </w:rPr>
        <w:lastRenderedPageBreak/>
        <w:t xml:space="preserve">The research highlighted critical contamination sites, identified the pollution index of the river system and suggested the urgent need for water management practices. The WQI and CPI indices enable researchers and policymakers to classify water quality, identify pollution hotspots, and </w:t>
      </w:r>
      <w:proofErr w:type="spellStart"/>
      <w:r w:rsidRPr="008C5A2C">
        <w:rPr>
          <w:rFonts w:ascii="Arial" w:hAnsi="Arial" w:cs="Arial"/>
        </w:rPr>
        <w:t>prioritise</w:t>
      </w:r>
      <w:proofErr w:type="spellEnd"/>
      <w:r w:rsidRPr="008C5A2C">
        <w:rPr>
          <w:rFonts w:ascii="Arial" w:hAnsi="Arial" w:cs="Arial"/>
        </w:rPr>
        <w:t xml:space="preserve"> interventions such as sewage treatment plant (STP) installations. </w:t>
      </w:r>
    </w:p>
    <w:p w:rsidR="008C5A2C" w:rsidRPr="00FB3A86" w:rsidRDefault="008C5A2C" w:rsidP="008C5A2C">
      <w:pPr>
        <w:pStyle w:val="Body"/>
        <w:spacing w:after="0"/>
        <w:rPr>
          <w:rFonts w:ascii="Arial" w:hAnsi="Arial" w:cs="Arial"/>
        </w:rPr>
      </w:pPr>
    </w:p>
    <w:p w:rsidR="00790ADA" w:rsidRDefault="00902823" w:rsidP="001E622F">
      <w:pPr>
        <w:pStyle w:val="AbstHead"/>
        <w:jc w:val="both"/>
        <w:rPr>
          <w:rFonts w:ascii="Arial" w:hAnsi="Arial" w:cs="Arial"/>
        </w:rPr>
      </w:pPr>
      <w:r>
        <w:rPr>
          <w:rFonts w:ascii="Arial" w:hAnsi="Arial" w:cs="Arial"/>
        </w:rPr>
        <w:t>2. material and method</w:t>
      </w:r>
      <w:r w:rsidR="00000F8F">
        <w:rPr>
          <w:rFonts w:ascii="Arial" w:hAnsi="Arial" w:cs="Arial"/>
        </w:rPr>
        <w:t xml:space="preserve">s </w:t>
      </w:r>
    </w:p>
    <w:p w:rsidR="002F114E" w:rsidRPr="002F114E" w:rsidRDefault="002F114E" w:rsidP="002F114E">
      <w:pPr>
        <w:autoSpaceDE w:val="0"/>
        <w:autoSpaceDN w:val="0"/>
        <w:adjustRightInd w:val="0"/>
        <w:rPr>
          <w:rFonts w:ascii="Arial" w:hAnsi="Arial" w:cs="Arial"/>
          <w:b/>
          <w:bCs/>
          <w:color w:val="000000"/>
          <w:sz w:val="22"/>
          <w:szCs w:val="22"/>
        </w:rPr>
      </w:pPr>
      <w:r w:rsidRPr="002F114E">
        <w:rPr>
          <w:rFonts w:ascii="Arial" w:hAnsi="Arial" w:cs="Arial"/>
          <w:b/>
          <w:caps/>
          <w:sz w:val="22"/>
          <w:szCs w:val="22"/>
        </w:rPr>
        <w:t xml:space="preserve">2.1 </w:t>
      </w:r>
      <w:r w:rsidRPr="002F114E">
        <w:rPr>
          <w:rFonts w:ascii="Arial" w:hAnsi="Arial" w:cs="Arial"/>
          <w:b/>
          <w:sz w:val="22"/>
          <w:szCs w:val="22"/>
        </w:rPr>
        <w:t>Study Area</w:t>
      </w:r>
    </w:p>
    <w:p w:rsidR="00824A6A" w:rsidRPr="009F05B2" w:rsidRDefault="00824A6A" w:rsidP="00B92E9A">
      <w:pPr>
        <w:spacing w:before="240"/>
        <w:jc w:val="both"/>
        <w:rPr>
          <w:rFonts w:ascii="Arial" w:hAnsi="Arial" w:cs="Arial"/>
        </w:rPr>
      </w:pPr>
      <w:r w:rsidRPr="009F05B2">
        <w:rPr>
          <w:rFonts w:ascii="Arial" w:hAnsi="Arial" w:cs="Arial"/>
        </w:rPr>
        <w:t xml:space="preserve">Pune city is the eighth-largest by geographical area and the seventh-largest populated metropolitan region in India. The study area extends from 18°27'54.71" to 18°35'35.19" North longitude to 73°44'5.55" to 74°1'3.22" East latitude, near the western boundary of the Deccan Plateau </w:t>
      </w:r>
      <w:bookmarkStart w:id="1" w:name="ZOTERO_BREF_9dnLVGTZ9FH5"/>
      <w:r w:rsidRPr="009F05B2">
        <w:rPr>
          <w:rFonts w:ascii="Arial" w:hAnsi="Arial" w:cs="Arial"/>
        </w:rPr>
        <w:t>(</w:t>
      </w:r>
      <w:proofErr w:type="spellStart"/>
      <w:r w:rsidRPr="009F05B2">
        <w:rPr>
          <w:rFonts w:ascii="Arial" w:hAnsi="Arial" w:cs="Arial"/>
        </w:rPr>
        <w:t>Wagh</w:t>
      </w:r>
      <w:proofErr w:type="spellEnd"/>
      <w:r w:rsidRPr="009F05B2">
        <w:rPr>
          <w:rFonts w:ascii="Arial" w:hAnsi="Arial" w:cs="Arial"/>
        </w:rPr>
        <w:t xml:space="preserve"> et al.)</w:t>
      </w:r>
      <w:bookmarkEnd w:id="1"/>
      <w:r w:rsidRPr="009F05B2">
        <w:rPr>
          <w:rFonts w:ascii="Arial" w:hAnsi="Arial" w:cs="Arial"/>
        </w:rPr>
        <w:t>. The Mula-Mutha river system (MMRS) is formed by the confluence of the Mula river and Mutha river, tributaries of the Bhima river, along which the metropolitan city of Pune</w:t>
      </w:r>
      <w:bookmarkStart w:id="2" w:name="ZOTERO_BREF_UEKMU3GWqVSF"/>
      <w:r w:rsidRPr="009F05B2">
        <w:rPr>
          <w:rFonts w:ascii="Arial" w:hAnsi="Arial" w:cs="Arial"/>
        </w:rPr>
        <w:t xml:space="preserve"> (Abhyankar et al. 2020)</w:t>
      </w:r>
      <w:bookmarkEnd w:id="2"/>
      <w:r w:rsidRPr="009F05B2">
        <w:rPr>
          <w:rFonts w:ascii="Arial" w:hAnsi="Arial" w:cs="Arial"/>
        </w:rPr>
        <w:t xml:space="preserve">. The rivers serve as an important source of drinking water supply and carry most of the sewage from domestic, residential and industrial zones in PMR </w:t>
      </w:r>
      <w:bookmarkStart w:id="3" w:name="ZOTERO_BREF_umWSEAGomgN0"/>
      <w:r w:rsidRPr="009F05B2">
        <w:rPr>
          <w:rFonts w:ascii="Arial" w:hAnsi="Arial" w:cs="Arial"/>
        </w:rPr>
        <w:t>(</w:t>
      </w:r>
      <w:proofErr w:type="spellStart"/>
      <w:r w:rsidRPr="009F05B2">
        <w:rPr>
          <w:rFonts w:ascii="Arial" w:hAnsi="Arial" w:cs="Arial"/>
        </w:rPr>
        <w:t>Sahu</w:t>
      </w:r>
      <w:proofErr w:type="spellEnd"/>
      <w:r w:rsidRPr="009F05B2">
        <w:rPr>
          <w:rFonts w:ascii="Arial" w:hAnsi="Arial" w:cs="Arial"/>
        </w:rPr>
        <w:t xml:space="preserve"> et al. 2015a; Shinde et al. 2018)</w:t>
      </w:r>
      <w:bookmarkEnd w:id="3"/>
      <w:r w:rsidRPr="009F05B2">
        <w:rPr>
          <w:rFonts w:ascii="Arial" w:hAnsi="Arial" w:cs="Arial"/>
        </w:rPr>
        <w:t xml:space="preserve">. The rivers flow right across the city and meet together in the heart of the city. About 16.23 km after confluence, the Mula river flows 22.2 km towards the west, and the Mutha river flows 10.4 km long towards the southwest of the central Pune, meeting the </w:t>
      </w:r>
      <w:proofErr w:type="spellStart"/>
      <w:r w:rsidRPr="009F05B2">
        <w:rPr>
          <w:rFonts w:ascii="Arial" w:hAnsi="Arial" w:cs="Arial"/>
        </w:rPr>
        <w:t>Khadakwasla</w:t>
      </w:r>
      <w:proofErr w:type="spellEnd"/>
      <w:r w:rsidRPr="009F05B2">
        <w:rPr>
          <w:rFonts w:ascii="Arial" w:hAnsi="Arial" w:cs="Arial"/>
        </w:rPr>
        <w:t xml:space="preserve"> dam within PMR limits</w:t>
      </w:r>
      <w:bookmarkStart w:id="4" w:name="ZOTERO_BREF_97oZnH1kuUes"/>
      <w:r w:rsidRPr="009F05B2">
        <w:rPr>
          <w:rFonts w:ascii="Arial" w:hAnsi="Arial" w:cs="Arial"/>
        </w:rPr>
        <w:t xml:space="preserve"> </w:t>
      </w:r>
      <w:bookmarkStart w:id="5" w:name="ZOTERO_BREF_vyM1g5ZTgBbU"/>
      <w:bookmarkEnd w:id="4"/>
      <w:r w:rsidRPr="009F05B2">
        <w:rPr>
          <w:rFonts w:ascii="Arial" w:hAnsi="Arial" w:cs="Arial"/>
        </w:rPr>
        <w:t>(Jadhav et al. 2022)</w:t>
      </w:r>
      <w:bookmarkEnd w:id="5"/>
      <w:r w:rsidRPr="009F05B2">
        <w:rPr>
          <w:rFonts w:ascii="Arial" w:hAnsi="Arial" w:cs="Arial"/>
        </w:rPr>
        <w:t xml:space="preserve">. The width of both the rivers changes during the monsoon and dry seasons from 130 to 90 m, respectively. The river bed is larger with the elevation gain of the Mula-Mutha river as 428 and 524 m, while the average slope reduces to 2.1% and 2.3%, respectively. </w:t>
      </w:r>
      <w:r w:rsidRPr="009F05B2">
        <w:rPr>
          <w:rFonts w:ascii="Arial" w:hAnsi="Arial" w:cs="Arial"/>
          <w:lang w:eastAsia="en-IN"/>
        </w:rPr>
        <w:t xml:space="preserve">The Mula River reaches Pune city close to </w:t>
      </w:r>
      <w:proofErr w:type="spellStart"/>
      <w:r w:rsidRPr="009F05B2">
        <w:rPr>
          <w:rFonts w:ascii="Arial" w:hAnsi="Arial" w:cs="Arial"/>
          <w:lang w:eastAsia="en-IN"/>
        </w:rPr>
        <w:t>Balewadi</w:t>
      </w:r>
      <w:proofErr w:type="spellEnd"/>
      <w:r w:rsidRPr="009F05B2">
        <w:rPr>
          <w:rFonts w:ascii="Arial" w:hAnsi="Arial" w:cs="Arial"/>
          <w:lang w:eastAsia="en-IN"/>
        </w:rPr>
        <w:t xml:space="preserve"> after originating at </w:t>
      </w:r>
      <w:proofErr w:type="spellStart"/>
      <w:r w:rsidRPr="009F05B2">
        <w:rPr>
          <w:rFonts w:ascii="Arial" w:hAnsi="Arial" w:cs="Arial"/>
          <w:lang w:eastAsia="en-IN"/>
        </w:rPr>
        <w:t>Deoghar</w:t>
      </w:r>
      <w:proofErr w:type="spellEnd"/>
      <w:r w:rsidRPr="009F05B2">
        <w:rPr>
          <w:rFonts w:ascii="Arial" w:hAnsi="Arial" w:cs="Arial"/>
          <w:lang w:eastAsia="en-IN"/>
        </w:rPr>
        <w:t xml:space="preserve">, 70 km west of Pune, and being dammed at </w:t>
      </w:r>
      <w:proofErr w:type="spellStart"/>
      <w:r w:rsidRPr="009F05B2">
        <w:rPr>
          <w:rFonts w:ascii="Arial" w:hAnsi="Arial" w:cs="Arial"/>
          <w:lang w:eastAsia="en-IN"/>
        </w:rPr>
        <w:t>Mulshi</w:t>
      </w:r>
      <w:proofErr w:type="spellEnd"/>
      <w:r w:rsidRPr="009F05B2">
        <w:rPr>
          <w:rFonts w:ascii="Arial" w:hAnsi="Arial" w:cs="Arial"/>
          <w:lang w:eastAsia="en-IN"/>
        </w:rPr>
        <w:t xml:space="preserve">, close to the Western Ghats. It meets the Mutha River on the right bank and the </w:t>
      </w:r>
      <w:proofErr w:type="spellStart"/>
      <w:r w:rsidRPr="009F05B2">
        <w:rPr>
          <w:rFonts w:ascii="Arial" w:hAnsi="Arial" w:cs="Arial"/>
          <w:lang w:eastAsia="en-IN"/>
        </w:rPr>
        <w:t>Pavana</w:t>
      </w:r>
      <w:proofErr w:type="spellEnd"/>
      <w:r w:rsidRPr="009F05B2">
        <w:rPr>
          <w:rFonts w:ascii="Arial" w:hAnsi="Arial" w:cs="Arial"/>
          <w:lang w:eastAsia="en-IN"/>
        </w:rPr>
        <w:t xml:space="preserve"> River on the left bank farther downstream in Pune city to become the Mula-Mutha River, which then empties into the Bhima River. </w:t>
      </w:r>
      <w:r w:rsidRPr="009F05B2">
        <w:rPr>
          <w:rFonts w:ascii="Arial" w:hAnsi="Arial" w:cs="Arial"/>
        </w:rPr>
        <w:t xml:space="preserve">Another important source of fresh water is the </w:t>
      </w:r>
      <w:proofErr w:type="spellStart"/>
      <w:r w:rsidRPr="009F05B2">
        <w:rPr>
          <w:rFonts w:ascii="Arial" w:hAnsi="Arial" w:cs="Arial"/>
        </w:rPr>
        <w:t>Khadakwasla</w:t>
      </w:r>
      <w:proofErr w:type="spellEnd"/>
      <w:r w:rsidRPr="009F05B2">
        <w:rPr>
          <w:rFonts w:ascii="Arial" w:hAnsi="Arial" w:cs="Arial"/>
        </w:rPr>
        <w:t xml:space="preserve"> dam, which is constructed over the upper region of </w:t>
      </w:r>
      <w:proofErr w:type="spellStart"/>
      <w:r w:rsidRPr="009F05B2">
        <w:rPr>
          <w:rFonts w:ascii="Arial" w:hAnsi="Arial" w:cs="Arial"/>
        </w:rPr>
        <w:t>Narhe-Khadakwasla</w:t>
      </w:r>
      <w:proofErr w:type="spellEnd"/>
      <w:r w:rsidRPr="009F05B2">
        <w:rPr>
          <w:rFonts w:ascii="Arial" w:hAnsi="Arial" w:cs="Arial"/>
        </w:rPr>
        <w:t xml:space="preserve"> settlement of the Mutha river.</w:t>
      </w:r>
    </w:p>
    <w:p w:rsidR="00824A6A" w:rsidRPr="009F05B2" w:rsidRDefault="00824A6A" w:rsidP="00B92E9A">
      <w:pPr>
        <w:spacing w:before="240"/>
        <w:jc w:val="both"/>
        <w:rPr>
          <w:rFonts w:ascii="Arial" w:hAnsi="Arial" w:cs="Arial"/>
        </w:rPr>
      </w:pPr>
      <w:r w:rsidRPr="009F05B2">
        <w:rPr>
          <w:rFonts w:ascii="Arial" w:hAnsi="Arial" w:cs="Arial"/>
        </w:rPr>
        <w:t>Demographically, population density (5890 persons/</w:t>
      </w:r>
      <w:proofErr w:type="spellStart"/>
      <w:r w:rsidRPr="009F05B2">
        <w:rPr>
          <w:rFonts w:ascii="Arial" w:hAnsi="Arial" w:cs="Arial"/>
        </w:rPr>
        <w:t>sq</w:t>
      </w:r>
      <w:proofErr w:type="spellEnd"/>
      <w:r w:rsidRPr="009F05B2">
        <w:rPr>
          <w:rFonts w:ascii="Arial" w:hAnsi="Arial" w:cs="Arial"/>
        </w:rPr>
        <w:t xml:space="preserve"> km) of </w:t>
      </w:r>
      <w:proofErr w:type="spellStart"/>
      <w:r w:rsidRPr="009F05B2">
        <w:rPr>
          <w:rFonts w:ascii="Arial" w:hAnsi="Arial" w:cs="Arial"/>
        </w:rPr>
        <w:t>Narhe-Khadakwasla</w:t>
      </w:r>
      <w:proofErr w:type="spellEnd"/>
      <w:r w:rsidRPr="009F05B2">
        <w:rPr>
          <w:rFonts w:ascii="Arial" w:hAnsi="Arial" w:cs="Arial"/>
        </w:rPr>
        <w:t xml:space="preserve"> along the Mutha River is comparatively less than the lower region of Pune Station-</w:t>
      </w:r>
      <w:proofErr w:type="spellStart"/>
      <w:r w:rsidRPr="009F05B2">
        <w:rPr>
          <w:rFonts w:ascii="Arial" w:hAnsi="Arial" w:cs="Arial"/>
        </w:rPr>
        <w:t>Mundhwa</w:t>
      </w:r>
      <w:proofErr w:type="spellEnd"/>
      <w:r w:rsidRPr="009F05B2">
        <w:rPr>
          <w:rFonts w:ascii="Arial" w:hAnsi="Arial" w:cs="Arial"/>
        </w:rPr>
        <w:t>. The Pune Station-</w:t>
      </w:r>
      <w:proofErr w:type="spellStart"/>
      <w:r w:rsidRPr="009F05B2">
        <w:rPr>
          <w:rFonts w:ascii="Arial" w:hAnsi="Arial" w:cs="Arial"/>
        </w:rPr>
        <w:t>Mundhwa</w:t>
      </w:r>
      <w:proofErr w:type="spellEnd"/>
      <w:r w:rsidRPr="009F05B2">
        <w:rPr>
          <w:rFonts w:ascii="Arial" w:hAnsi="Arial" w:cs="Arial"/>
        </w:rPr>
        <w:t xml:space="preserve"> region has the highest population density (9600 persons/</w:t>
      </w:r>
      <w:proofErr w:type="spellStart"/>
      <w:r w:rsidRPr="009F05B2">
        <w:rPr>
          <w:rFonts w:ascii="Arial" w:hAnsi="Arial" w:cs="Arial"/>
        </w:rPr>
        <w:t>sq</w:t>
      </w:r>
      <w:proofErr w:type="spellEnd"/>
      <w:r w:rsidRPr="009F05B2">
        <w:rPr>
          <w:rFonts w:ascii="Arial" w:hAnsi="Arial" w:cs="Arial"/>
        </w:rPr>
        <w:t xml:space="preserve"> km), where heavy small-scale industrial activities </w:t>
      </w:r>
      <w:bookmarkStart w:id="6" w:name="ZOTERO_BREF_4tVJrH1fSuIj"/>
      <w:r w:rsidRPr="009F05B2">
        <w:rPr>
          <w:rFonts w:ascii="Arial" w:hAnsi="Arial" w:cs="Arial"/>
        </w:rPr>
        <w:t>(Mali, 2013)</w:t>
      </w:r>
      <w:bookmarkEnd w:id="6"/>
      <w:r w:rsidRPr="009F05B2">
        <w:rPr>
          <w:rFonts w:ascii="Arial" w:hAnsi="Arial" w:cs="Arial"/>
        </w:rPr>
        <w:t xml:space="preserve"> are performed. On the other hand, the banks of the Mula river have moderate population density with diverse economic livelihoods like agriculture, dairy farms and cottage industries. </w:t>
      </w:r>
    </w:p>
    <w:p w:rsidR="00824A6A" w:rsidRPr="009F05B2" w:rsidRDefault="00824A6A" w:rsidP="00824A6A">
      <w:pPr>
        <w:spacing w:after="100" w:afterAutospacing="1"/>
        <w:rPr>
          <w:rFonts w:ascii="Arial" w:hAnsi="Arial" w:cs="Arial"/>
          <w:lang w:val="en-IN" w:eastAsia="en-IN" w:bidi="mr-IN"/>
        </w:rPr>
      </w:pPr>
      <w:r w:rsidRPr="009F05B2">
        <w:rPr>
          <w:rFonts w:ascii="Arial" w:hAnsi="Arial" w:cs="Arial"/>
          <w:noProof/>
          <w:lang w:val="en-IN" w:eastAsia="en-IN" w:bidi="mr-IN"/>
        </w:rPr>
        <w:lastRenderedPageBreak/>
        <w:drawing>
          <wp:inline distT="0" distB="0" distL="0" distR="0" wp14:anchorId="0E80FEEA" wp14:editId="05C01055">
            <wp:extent cx="6236208" cy="3931920"/>
            <wp:effectExtent l="19050" t="19050" r="12700" b="11430"/>
            <wp:docPr id="1" name="Picture 1" descr="D:\Sonal\Lalit Project 2023\0Trainings ,workshops and conferences\25 IJEG-NAGI-IGS-Swatej WQI Pune\Final writeup n maps UWQ-WQI\1 Maps UWQ-WQI\Final maps\high quality maps\Figure 1. Location map of study area showing water sample st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al\Lalit Project 2023\0Trainings ,workshops and conferences\25 IJEG-NAGI-IGS-Swatej WQI Pune\Final writeup n maps UWQ-WQI\1 Maps UWQ-WQI\Final maps\high quality maps\Figure 1. Location map of study area showing water sample station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804" r="4471" b="11061"/>
                    <a:stretch/>
                  </pic:blipFill>
                  <pic:spPr bwMode="auto">
                    <a:xfrm>
                      <a:off x="0" y="0"/>
                      <a:ext cx="6236208" cy="393192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24A6A" w:rsidRPr="009F05B2" w:rsidRDefault="00824A6A" w:rsidP="00824A6A">
      <w:pPr>
        <w:jc w:val="center"/>
        <w:rPr>
          <w:rFonts w:ascii="Arial" w:hAnsi="Arial" w:cs="Arial"/>
          <w:b/>
          <w:bCs/>
        </w:rPr>
      </w:pPr>
      <w:r w:rsidRPr="009F05B2">
        <w:rPr>
          <w:rFonts w:ascii="Arial" w:hAnsi="Arial" w:cs="Arial"/>
          <w:b/>
          <w:bCs/>
          <w:color w:val="000000"/>
          <w:lang w:eastAsia="en-IN" w:bidi="mr-IN"/>
        </w:rPr>
        <w:t>Fig. 1. Location map of the study area showing the site of water samples</w:t>
      </w:r>
    </w:p>
    <w:p w:rsidR="00824A6A" w:rsidRPr="009F05B2" w:rsidRDefault="00824A6A" w:rsidP="00824A6A">
      <w:pPr>
        <w:ind w:firstLine="720"/>
        <w:jc w:val="both"/>
        <w:rPr>
          <w:rFonts w:ascii="Arial" w:hAnsi="Arial" w:cs="Arial"/>
        </w:rPr>
      </w:pPr>
    </w:p>
    <w:p w:rsidR="00824A6A" w:rsidRPr="009F05B2" w:rsidRDefault="00824A6A" w:rsidP="00B92E9A">
      <w:pPr>
        <w:spacing w:after="240"/>
        <w:jc w:val="both"/>
        <w:rPr>
          <w:rFonts w:ascii="Arial" w:hAnsi="Arial" w:cs="Arial"/>
        </w:rPr>
      </w:pPr>
      <w:r w:rsidRPr="009F05B2">
        <w:rPr>
          <w:rFonts w:ascii="Arial" w:hAnsi="Arial" w:cs="Arial"/>
        </w:rPr>
        <w:t>According to the Maharashtra Pollution Control Board (MPCB) Pune Region, there are 52 water quality monitoring stations, which are the source points of water pollution discharging into the MMRS</w:t>
      </w:r>
      <w:bookmarkStart w:id="7" w:name="ZOTERO_BREF_bL2fJcUHyiBc"/>
      <w:r w:rsidRPr="009F05B2">
        <w:rPr>
          <w:rFonts w:ascii="Arial" w:hAnsi="Arial" w:cs="Arial"/>
        </w:rPr>
        <w:t xml:space="preserve"> </w:t>
      </w:r>
      <w:bookmarkStart w:id="8" w:name="ZOTERO_BREF_6cjicIfYRphc"/>
      <w:bookmarkEnd w:id="7"/>
      <w:r w:rsidRPr="009F05B2">
        <w:rPr>
          <w:rFonts w:ascii="Arial" w:hAnsi="Arial" w:cs="Arial"/>
        </w:rPr>
        <w:t>(Mal and Adhikari 2021)</w:t>
      </w:r>
      <w:bookmarkEnd w:id="8"/>
      <w:r w:rsidRPr="009F05B2">
        <w:rPr>
          <w:rFonts w:ascii="Arial" w:hAnsi="Arial" w:cs="Arial"/>
        </w:rPr>
        <w:t xml:space="preserve">. For the present study, water samples were collected from thirteen sampling sites within PMR limits. The total sewage discharge into the rivers is estimated at 177 million </w:t>
      </w:r>
      <w:proofErr w:type="spellStart"/>
      <w:r w:rsidRPr="009F05B2">
        <w:rPr>
          <w:rFonts w:ascii="Arial" w:hAnsi="Arial" w:cs="Arial"/>
        </w:rPr>
        <w:t>litres</w:t>
      </w:r>
      <w:proofErr w:type="spellEnd"/>
      <w:r w:rsidRPr="009F05B2">
        <w:rPr>
          <w:rFonts w:ascii="Arial" w:hAnsi="Arial" w:cs="Arial"/>
        </w:rPr>
        <w:t xml:space="preserve"> per day (MLD) at MMRS, according to PMC. According to the MPCB annual report (2024), due to very high-risk levels of pollution, including 125 MLD of untreated sewage water, MMRS within the Pune region is classified in WQI - Class IV. The uncontrolled discharge of industrial effluents is another major cause of the high WQI of MMRS, which makes it inappropriate for potable water. </w:t>
      </w:r>
      <w:r w:rsidRPr="009F05B2">
        <w:rPr>
          <w:rFonts w:ascii="Arial" w:hAnsi="Arial" w:cs="Arial"/>
          <w:lang w:eastAsia="en-IN"/>
        </w:rPr>
        <w:t xml:space="preserve">All the water sample sites are exposed to urban </w:t>
      </w:r>
      <w:proofErr w:type="spellStart"/>
      <w:r w:rsidRPr="009F05B2">
        <w:rPr>
          <w:rFonts w:ascii="Arial" w:hAnsi="Arial" w:cs="Arial"/>
          <w:lang w:eastAsia="en-IN"/>
        </w:rPr>
        <w:t>utilisation</w:t>
      </w:r>
      <w:proofErr w:type="spellEnd"/>
      <w:r w:rsidRPr="009F05B2">
        <w:rPr>
          <w:rFonts w:ascii="Arial" w:hAnsi="Arial" w:cs="Arial"/>
          <w:lang w:eastAsia="en-IN"/>
        </w:rPr>
        <w:t xml:space="preserve"> (</w:t>
      </w:r>
      <w:r w:rsidRPr="009F05B2">
        <w:rPr>
          <w:rFonts w:ascii="Arial" w:hAnsi="Arial" w:cs="Arial"/>
        </w:rPr>
        <w:t>Fig. 1)</w:t>
      </w:r>
      <w:r w:rsidRPr="009F05B2">
        <w:rPr>
          <w:rFonts w:ascii="Arial" w:hAnsi="Arial" w:cs="Arial"/>
          <w:lang w:eastAsia="en-IN"/>
        </w:rPr>
        <w:t>.</w:t>
      </w:r>
    </w:p>
    <w:p w:rsidR="00824A6A" w:rsidRPr="009F05B2" w:rsidRDefault="00824A6A" w:rsidP="00273A0A">
      <w:pPr>
        <w:autoSpaceDE w:val="0"/>
        <w:autoSpaceDN w:val="0"/>
        <w:adjustRightInd w:val="0"/>
        <w:jc w:val="both"/>
        <w:rPr>
          <w:rFonts w:ascii="Arial" w:hAnsi="Arial" w:cs="Arial"/>
        </w:rPr>
      </w:pPr>
      <w:r w:rsidRPr="009F05B2">
        <w:rPr>
          <w:rFonts w:ascii="Arial" w:hAnsi="Arial" w:cs="Arial"/>
        </w:rPr>
        <w:t>Another aspect of PMR is its largest IT industry, an important automobile and manufacturing sector of India. These industries serve as major consumers of fresh water, also using mandatory rainwater harvesting techniques and sewage treatment plants</w:t>
      </w:r>
      <w:bookmarkStart w:id="9" w:name="ZOTERO_BREF_YGogh1dErumY"/>
      <w:r w:rsidRPr="009F05B2">
        <w:rPr>
          <w:rFonts w:ascii="Arial" w:hAnsi="Arial" w:cs="Arial"/>
        </w:rPr>
        <w:t xml:space="preserve"> (</w:t>
      </w:r>
      <w:proofErr w:type="spellStart"/>
      <w:r w:rsidRPr="009F05B2">
        <w:rPr>
          <w:rFonts w:ascii="Arial" w:hAnsi="Arial" w:cs="Arial"/>
        </w:rPr>
        <w:t>Pawar</w:t>
      </w:r>
      <w:proofErr w:type="spellEnd"/>
      <w:r w:rsidRPr="009F05B2">
        <w:rPr>
          <w:rFonts w:ascii="Arial" w:hAnsi="Arial" w:cs="Arial"/>
        </w:rPr>
        <w:t xml:space="preserve"> and </w:t>
      </w:r>
      <w:proofErr w:type="spellStart"/>
      <w:r w:rsidRPr="009F05B2">
        <w:rPr>
          <w:rFonts w:ascii="Arial" w:hAnsi="Arial" w:cs="Arial"/>
        </w:rPr>
        <w:t>Sonawane</w:t>
      </w:r>
      <w:proofErr w:type="spellEnd"/>
      <w:r w:rsidRPr="009F05B2">
        <w:rPr>
          <w:rFonts w:ascii="Arial" w:hAnsi="Arial" w:cs="Arial"/>
        </w:rPr>
        <w:t xml:space="preserve"> 2012; Ahmed et al. 2022)</w:t>
      </w:r>
      <w:bookmarkEnd w:id="9"/>
      <w:r w:rsidRPr="009F05B2">
        <w:rPr>
          <w:rFonts w:ascii="Arial" w:hAnsi="Arial" w:cs="Arial"/>
        </w:rPr>
        <w:t>. However, many of these facilities are poorly maintained and hardly meet the criteria before releasing their untreated water into rivers, which ultimately causes contamination.</w:t>
      </w:r>
      <w:r w:rsidR="00FE2604">
        <w:rPr>
          <w:rFonts w:ascii="Arial" w:hAnsi="Arial" w:cs="Arial"/>
        </w:rPr>
        <w:t xml:space="preserve"> </w:t>
      </w:r>
      <w:r w:rsidR="00FE2604" w:rsidRPr="00FE2604">
        <w:rPr>
          <w:rFonts w:ascii="Arial" w:hAnsi="Arial" w:cs="Arial"/>
        </w:rPr>
        <w:t xml:space="preserve">The present study was initiated with the physiographic study of the Mula-Mutha rivers. The river flow morphology and drainage pattern of the rivers were studied. Water sampling sites were selected based on the locations of extreme sewage points. Nearly 390 water samples were collected during five consecutive years from 2020 to 2024. </w:t>
      </w:r>
    </w:p>
    <w:p w:rsidR="00A03B96" w:rsidRDefault="00A03B96" w:rsidP="00441B6F">
      <w:pPr>
        <w:pStyle w:val="Body"/>
        <w:spacing w:after="0"/>
        <w:rPr>
          <w:rFonts w:ascii="Arial" w:hAnsi="Arial" w:cs="Arial"/>
        </w:rPr>
      </w:pPr>
    </w:p>
    <w:p w:rsidR="001852BA" w:rsidRDefault="00AA74E0" w:rsidP="001852BA">
      <w:pPr>
        <w:jc w:val="both"/>
        <w:rPr>
          <w:rFonts w:ascii="Arial" w:hAnsi="Arial" w:cs="Arial"/>
          <w:b/>
          <w:bCs/>
          <w:color w:val="131313"/>
          <w:sz w:val="22"/>
          <w:szCs w:val="22"/>
          <w:lang w:bidi="mr-IN"/>
        </w:rPr>
      </w:pPr>
      <w:r w:rsidRPr="00C30A0F">
        <w:rPr>
          <w:rFonts w:ascii="Arial" w:hAnsi="Arial" w:cs="Arial"/>
          <w:b/>
          <w:caps/>
          <w:sz w:val="22"/>
        </w:rPr>
        <w:t>2.</w:t>
      </w:r>
      <w:r w:rsidR="001852BA">
        <w:rPr>
          <w:rFonts w:ascii="Arial" w:hAnsi="Arial" w:cs="Arial"/>
          <w:b/>
          <w:caps/>
          <w:sz w:val="22"/>
        </w:rPr>
        <w:t>2</w:t>
      </w:r>
      <w:r w:rsidRPr="00C30A0F">
        <w:rPr>
          <w:rFonts w:ascii="Arial" w:hAnsi="Arial" w:cs="Arial"/>
          <w:b/>
          <w:caps/>
          <w:sz w:val="22"/>
        </w:rPr>
        <w:t xml:space="preserve"> </w:t>
      </w:r>
      <w:r w:rsidR="001852BA" w:rsidRPr="008C1253">
        <w:rPr>
          <w:rFonts w:ascii="Arial" w:hAnsi="Arial" w:cs="Arial"/>
          <w:b/>
          <w:bCs/>
          <w:color w:val="131313"/>
          <w:sz w:val="22"/>
          <w:szCs w:val="22"/>
          <w:lang w:bidi="mr-IN"/>
        </w:rPr>
        <w:t>Data collection and pre-processing</w:t>
      </w:r>
    </w:p>
    <w:p w:rsidR="001D1E29" w:rsidRPr="009F05B2" w:rsidRDefault="001D1E29" w:rsidP="00B92E9A">
      <w:pPr>
        <w:jc w:val="both"/>
        <w:rPr>
          <w:rFonts w:ascii="Arial" w:hAnsi="Arial" w:cs="Arial"/>
          <w:lang w:eastAsia="en-IN" w:bidi="mr-IN"/>
        </w:rPr>
      </w:pPr>
      <w:r w:rsidRPr="009F05B2">
        <w:rPr>
          <w:rFonts w:ascii="Arial" w:hAnsi="Arial" w:cs="Arial"/>
        </w:rPr>
        <w:lastRenderedPageBreak/>
        <w:t xml:space="preserve">A total of 390 samples were collected from 13 sampling sites along the route of the Mula-Mutha rivers within the PMR region limits. The samples were collected in sterile capped </w:t>
      </w:r>
      <w:proofErr w:type="spellStart"/>
      <w:r w:rsidRPr="009F05B2">
        <w:rPr>
          <w:rFonts w:ascii="Arial" w:hAnsi="Arial" w:cs="Arial"/>
        </w:rPr>
        <w:t>polycab</w:t>
      </w:r>
      <w:proofErr w:type="spellEnd"/>
      <w:r w:rsidRPr="009F05B2">
        <w:rPr>
          <w:rFonts w:ascii="Arial" w:hAnsi="Arial" w:cs="Arial"/>
        </w:rPr>
        <w:t xml:space="preserve"> </w:t>
      </w:r>
      <w:r w:rsidRPr="009F05B2">
        <w:rPr>
          <w:rFonts w:ascii="Arial" w:hAnsi="Arial" w:cs="Arial"/>
          <w:lang w:eastAsia="en-IN" w:bidi="mr-IN"/>
        </w:rPr>
        <w:t>bottles</w:t>
      </w:r>
      <w:r w:rsidRPr="009F05B2">
        <w:rPr>
          <w:rFonts w:ascii="Arial" w:hAnsi="Arial" w:cs="Arial"/>
        </w:rPr>
        <w:t xml:space="preserve"> of one </w:t>
      </w:r>
      <w:proofErr w:type="spellStart"/>
      <w:r w:rsidRPr="009F05B2">
        <w:rPr>
          <w:rFonts w:ascii="Arial" w:hAnsi="Arial" w:cs="Arial"/>
        </w:rPr>
        <w:t>litre</w:t>
      </w:r>
      <w:proofErr w:type="spellEnd"/>
      <w:r w:rsidRPr="009F05B2">
        <w:rPr>
          <w:rFonts w:ascii="Arial" w:hAnsi="Arial" w:cs="Arial"/>
        </w:rPr>
        <w:t xml:space="preserve"> capacity as per the standard procedures prescribed by the American Public Health Association (APHA) under a non-contaminated environment </w:t>
      </w:r>
      <w:bookmarkStart w:id="10" w:name="ZOTERO_BREF_eAWtwFt5NFcb"/>
      <w:r w:rsidRPr="009F05B2">
        <w:rPr>
          <w:rFonts w:ascii="Arial" w:hAnsi="Arial" w:cs="Arial"/>
        </w:rPr>
        <w:t xml:space="preserve">(Gupta et al. 2015; Dheeraj et al. 2023; </w:t>
      </w:r>
      <w:proofErr w:type="spellStart"/>
      <w:r w:rsidRPr="009F05B2">
        <w:rPr>
          <w:rFonts w:ascii="Arial" w:hAnsi="Arial" w:cs="Arial"/>
        </w:rPr>
        <w:t>Soueilem</w:t>
      </w:r>
      <w:proofErr w:type="spellEnd"/>
      <w:r w:rsidRPr="009F05B2">
        <w:rPr>
          <w:rFonts w:ascii="Arial" w:hAnsi="Arial" w:cs="Arial"/>
        </w:rPr>
        <w:t xml:space="preserve"> et al. 2025)</w:t>
      </w:r>
      <w:bookmarkEnd w:id="10"/>
      <w:r w:rsidRPr="009F05B2">
        <w:rPr>
          <w:rFonts w:ascii="Arial" w:hAnsi="Arial" w:cs="Arial"/>
        </w:rPr>
        <w:t xml:space="preserve">). </w:t>
      </w:r>
      <w:r w:rsidRPr="009F05B2">
        <w:rPr>
          <w:rFonts w:ascii="Arial" w:hAnsi="Arial" w:cs="Arial"/>
          <w:lang w:eastAsia="en-IN" w:bidi="mr-IN"/>
        </w:rPr>
        <w:t xml:space="preserve">The labelled bottles used for sampling were stored at 4°C in large, sealed plastic ice-cold containers and were taken to the lab for additional processing within 6 hours after being collected. The absolute location of all the sample sites was recorded during the sampling using a handheld GPS device, as mentioned in Table 1. </w:t>
      </w:r>
    </w:p>
    <w:p w:rsidR="001D1E29" w:rsidRPr="009F05B2" w:rsidRDefault="001D1E29" w:rsidP="0051775F">
      <w:pPr>
        <w:spacing w:after="240"/>
        <w:jc w:val="center"/>
        <w:rPr>
          <w:rFonts w:ascii="Arial" w:hAnsi="Arial" w:cs="Arial"/>
          <w:lang w:eastAsia="en-IN" w:bidi="mr-IN"/>
        </w:rPr>
      </w:pPr>
      <w:r w:rsidRPr="009F05B2">
        <w:rPr>
          <w:rFonts w:ascii="Arial" w:hAnsi="Arial" w:cs="Arial"/>
          <w:b/>
        </w:rPr>
        <w:t>Table 1:</w:t>
      </w:r>
      <w:r w:rsidRPr="009F05B2">
        <w:rPr>
          <w:rFonts w:ascii="Arial" w:hAnsi="Arial" w:cs="Arial"/>
        </w:rPr>
        <w:t xml:space="preserve"> </w:t>
      </w:r>
      <w:r w:rsidRPr="00E21BBF">
        <w:rPr>
          <w:rFonts w:ascii="Arial" w:hAnsi="Arial" w:cs="Arial"/>
          <w:b/>
          <w:bCs/>
        </w:rPr>
        <w:t>Sample collection sites.</w:t>
      </w:r>
    </w:p>
    <w:tbl>
      <w:tblPr>
        <w:tblW w:w="0" w:type="auto"/>
        <w:jc w:val="center"/>
        <w:tblLook w:val="04A0" w:firstRow="1" w:lastRow="0" w:firstColumn="1" w:lastColumn="0" w:noHBand="0" w:noVBand="1"/>
      </w:tblPr>
      <w:tblGrid>
        <w:gridCol w:w="928"/>
        <w:gridCol w:w="2229"/>
        <w:gridCol w:w="1636"/>
        <w:gridCol w:w="1085"/>
        <w:gridCol w:w="1187"/>
      </w:tblGrid>
      <w:tr w:rsidR="00D9078D" w:rsidRPr="00EE5D0A" w:rsidTr="00645B20">
        <w:trPr>
          <w:trHeight w:val="257"/>
          <w:jc w:val="center"/>
        </w:trPr>
        <w:tc>
          <w:tcPr>
            <w:tcW w:w="0" w:type="auto"/>
            <w:vMerge w:val="restart"/>
            <w:tcBorders>
              <w:top w:val="single" w:sz="4" w:space="0" w:color="auto"/>
              <w:bottom w:val="single" w:sz="4" w:space="0" w:color="auto"/>
            </w:tcBorders>
            <w:shd w:val="clear" w:color="auto" w:fill="auto"/>
            <w:noWrap/>
            <w:hideMark/>
          </w:tcPr>
          <w:p w:rsidR="00DC1DC7" w:rsidRPr="00EE5D0A" w:rsidRDefault="001D1E29" w:rsidP="00421F84">
            <w:pPr>
              <w:jc w:val="center"/>
              <w:rPr>
                <w:rFonts w:ascii="Arial" w:hAnsi="Arial" w:cs="Arial"/>
                <w:b/>
                <w:bCs/>
                <w:lang w:eastAsia="en-IN" w:bidi="mr-IN"/>
              </w:rPr>
            </w:pPr>
            <w:r w:rsidRPr="00EE5D0A">
              <w:rPr>
                <w:rFonts w:ascii="Arial" w:hAnsi="Arial" w:cs="Arial"/>
                <w:b/>
                <w:bCs/>
                <w:lang w:eastAsia="en-IN" w:bidi="mr-IN"/>
              </w:rPr>
              <w:t xml:space="preserve">Sample </w:t>
            </w:r>
          </w:p>
          <w:p w:rsidR="001D1E29" w:rsidRPr="00EE5D0A" w:rsidRDefault="001D1E29" w:rsidP="00421F84">
            <w:pPr>
              <w:jc w:val="center"/>
              <w:rPr>
                <w:rFonts w:ascii="Arial" w:hAnsi="Arial" w:cs="Arial"/>
                <w:b/>
                <w:bCs/>
                <w:lang w:eastAsia="en-IN" w:bidi="mr-IN"/>
              </w:rPr>
            </w:pPr>
            <w:r w:rsidRPr="00EE5D0A">
              <w:rPr>
                <w:rFonts w:ascii="Arial" w:hAnsi="Arial" w:cs="Arial"/>
                <w:b/>
                <w:bCs/>
                <w:lang w:eastAsia="en-IN" w:bidi="mr-IN"/>
              </w:rPr>
              <w:t>no.</w:t>
            </w:r>
          </w:p>
        </w:tc>
        <w:tc>
          <w:tcPr>
            <w:tcW w:w="0" w:type="auto"/>
            <w:vMerge w:val="restart"/>
            <w:tcBorders>
              <w:top w:val="single" w:sz="4" w:space="0" w:color="auto"/>
              <w:bottom w:val="single" w:sz="4" w:space="0" w:color="auto"/>
            </w:tcBorders>
            <w:shd w:val="clear" w:color="auto" w:fill="auto"/>
            <w:noWrap/>
            <w:hideMark/>
          </w:tcPr>
          <w:p w:rsidR="001D1E29" w:rsidRPr="00EE5D0A" w:rsidRDefault="001D1E29" w:rsidP="00421F84">
            <w:pPr>
              <w:rPr>
                <w:rFonts w:ascii="Arial" w:hAnsi="Arial" w:cs="Arial"/>
                <w:lang w:eastAsia="en-IN" w:bidi="mr-IN"/>
              </w:rPr>
            </w:pPr>
            <w:r w:rsidRPr="00EE5D0A">
              <w:rPr>
                <w:rFonts w:ascii="Arial" w:hAnsi="Arial" w:cs="Arial"/>
                <w:b/>
                <w:bCs/>
                <w:color w:val="000000"/>
                <w:lang w:eastAsia="en-IN" w:bidi="mr-IN"/>
              </w:rPr>
              <w:t>Sample Sites</w:t>
            </w:r>
          </w:p>
        </w:tc>
        <w:tc>
          <w:tcPr>
            <w:tcW w:w="1636" w:type="dxa"/>
            <w:vMerge w:val="restart"/>
            <w:tcBorders>
              <w:top w:val="single" w:sz="4" w:space="0" w:color="auto"/>
              <w:bottom w:val="single" w:sz="4" w:space="0" w:color="auto"/>
            </w:tcBorders>
            <w:vAlign w:val="center"/>
          </w:tcPr>
          <w:p w:rsidR="001D1E29" w:rsidRPr="00EE5D0A" w:rsidRDefault="001D1E29" w:rsidP="00421F84">
            <w:pPr>
              <w:rPr>
                <w:rFonts w:ascii="Arial" w:hAnsi="Arial" w:cs="Arial"/>
                <w:b/>
                <w:bCs/>
                <w:color w:val="000000"/>
                <w:lang w:eastAsia="en-IN" w:bidi="mr-IN"/>
              </w:rPr>
            </w:pPr>
            <w:r w:rsidRPr="00EE5D0A">
              <w:rPr>
                <w:rFonts w:ascii="Arial" w:hAnsi="Arial" w:cs="Arial"/>
                <w:b/>
                <w:bCs/>
                <w:color w:val="000000"/>
                <w:lang w:eastAsia="en-IN" w:bidi="mr-IN"/>
              </w:rPr>
              <w:t>Name of river</w:t>
            </w:r>
          </w:p>
        </w:tc>
        <w:tc>
          <w:tcPr>
            <w:tcW w:w="2272" w:type="dxa"/>
            <w:gridSpan w:val="2"/>
            <w:tcBorders>
              <w:top w:val="single" w:sz="4" w:space="0" w:color="auto"/>
              <w:bottom w:val="single" w:sz="4" w:space="0" w:color="auto"/>
            </w:tcBorders>
            <w:shd w:val="clear" w:color="auto" w:fill="auto"/>
            <w:noWrap/>
            <w:hideMark/>
          </w:tcPr>
          <w:p w:rsidR="001D1E29" w:rsidRPr="00EE5D0A" w:rsidRDefault="001D1E29" w:rsidP="00421F84">
            <w:pPr>
              <w:jc w:val="center"/>
              <w:rPr>
                <w:rFonts w:ascii="Arial" w:hAnsi="Arial" w:cs="Arial"/>
                <w:b/>
                <w:bCs/>
                <w:color w:val="000000"/>
                <w:lang w:eastAsia="en-IN" w:bidi="mr-IN"/>
              </w:rPr>
            </w:pPr>
            <w:r w:rsidRPr="00EE5D0A">
              <w:rPr>
                <w:rFonts w:ascii="Arial" w:hAnsi="Arial" w:cs="Arial"/>
                <w:b/>
                <w:bCs/>
                <w:color w:val="000000"/>
                <w:lang w:eastAsia="en-IN" w:bidi="mr-IN"/>
              </w:rPr>
              <w:t>GPS Location</w:t>
            </w:r>
          </w:p>
        </w:tc>
      </w:tr>
      <w:tr w:rsidR="001D1E29" w:rsidRPr="00EE5D0A" w:rsidTr="00645B20">
        <w:trPr>
          <w:trHeight w:val="254"/>
          <w:jc w:val="center"/>
        </w:trPr>
        <w:tc>
          <w:tcPr>
            <w:tcW w:w="0" w:type="auto"/>
            <w:vMerge/>
            <w:tcBorders>
              <w:top w:val="single" w:sz="4" w:space="0" w:color="auto"/>
              <w:bottom w:val="single" w:sz="4" w:space="0" w:color="auto"/>
            </w:tcBorders>
            <w:shd w:val="clear" w:color="auto" w:fill="auto"/>
            <w:noWrap/>
            <w:vAlign w:val="bottom"/>
            <w:hideMark/>
          </w:tcPr>
          <w:p w:rsidR="001D1E29" w:rsidRPr="00EE5D0A" w:rsidRDefault="001D1E29" w:rsidP="00421F84">
            <w:pPr>
              <w:rPr>
                <w:rFonts w:ascii="Arial" w:hAnsi="Arial" w:cs="Arial"/>
                <w:b/>
                <w:bCs/>
                <w:color w:val="000000"/>
                <w:lang w:eastAsia="en-IN" w:bidi="mr-IN"/>
              </w:rPr>
            </w:pPr>
          </w:p>
        </w:tc>
        <w:tc>
          <w:tcPr>
            <w:tcW w:w="0" w:type="auto"/>
            <w:vMerge/>
            <w:tcBorders>
              <w:top w:val="single" w:sz="4" w:space="0" w:color="auto"/>
              <w:bottom w:val="single" w:sz="4" w:space="0" w:color="auto"/>
            </w:tcBorders>
            <w:shd w:val="clear" w:color="auto" w:fill="auto"/>
            <w:noWrap/>
            <w:vAlign w:val="bottom"/>
            <w:hideMark/>
          </w:tcPr>
          <w:p w:rsidR="001D1E29" w:rsidRPr="00EE5D0A" w:rsidRDefault="001D1E29" w:rsidP="00421F84">
            <w:pPr>
              <w:rPr>
                <w:rFonts w:ascii="Arial" w:hAnsi="Arial" w:cs="Arial"/>
                <w:b/>
                <w:bCs/>
                <w:color w:val="000000"/>
                <w:lang w:eastAsia="en-IN" w:bidi="mr-IN"/>
              </w:rPr>
            </w:pPr>
          </w:p>
        </w:tc>
        <w:tc>
          <w:tcPr>
            <w:tcW w:w="1636" w:type="dxa"/>
            <w:vMerge/>
            <w:tcBorders>
              <w:top w:val="single" w:sz="4" w:space="0" w:color="auto"/>
              <w:bottom w:val="single" w:sz="4" w:space="0" w:color="auto"/>
            </w:tcBorders>
            <w:vAlign w:val="center"/>
          </w:tcPr>
          <w:p w:rsidR="001D1E29" w:rsidRPr="00EE5D0A" w:rsidRDefault="001D1E29" w:rsidP="00421F84">
            <w:pPr>
              <w:rPr>
                <w:rFonts w:ascii="Arial" w:hAnsi="Arial" w:cs="Arial"/>
                <w:b/>
                <w:bCs/>
                <w:color w:val="000000"/>
                <w:lang w:eastAsia="en-IN" w:bidi="mr-IN"/>
              </w:rPr>
            </w:pPr>
          </w:p>
        </w:tc>
        <w:tc>
          <w:tcPr>
            <w:tcW w:w="1085" w:type="dxa"/>
            <w:tcBorders>
              <w:top w:val="single" w:sz="4" w:space="0" w:color="auto"/>
              <w:bottom w:val="single" w:sz="4" w:space="0" w:color="auto"/>
            </w:tcBorders>
            <w:shd w:val="clear" w:color="auto" w:fill="auto"/>
            <w:noWrap/>
            <w:vAlign w:val="center"/>
            <w:hideMark/>
          </w:tcPr>
          <w:p w:rsidR="001D1E29" w:rsidRPr="00EE5D0A" w:rsidRDefault="001D1E29" w:rsidP="00421F84">
            <w:pPr>
              <w:ind w:firstLine="28"/>
              <w:rPr>
                <w:rFonts w:ascii="Arial" w:hAnsi="Arial" w:cs="Arial"/>
                <w:b/>
                <w:bCs/>
                <w:color w:val="000000"/>
                <w:lang w:eastAsia="en-IN" w:bidi="mr-IN"/>
              </w:rPr>
            </w:pPr>
            <w:r w:rsidRPr="00EE5D0A">
              <w:rPr>
                <w:rFonts w:ascii="Arial" w:hAnsi="Arial" w:cs="Arial"/>
                <w:b/>
                <w:bCs/>
                <w:color w:val="000000"/>
                <w:lang w:eastAsia="en-IN" w:bidi="mr-IN"/>
              </w:rPr>
              <w:t>Latitude</w:t>
            </w:r>
          </w:p>
        </w:tc>
        <w:tc>
          <w:tcPr>
            <w:tcW w:w="0" w:type="auto"/>
            <w:tcBorders>
              <w:top w:val="single" w:sz="4" w:space="0" w:color="auto"/>
              <w:bottom w:val="single" w:sz="4" w:space="0" w:color="auto"/>
            </w:tcBorders>
            <w:shd w:val="clear" w:color="auto" w:fill="auto"/>
            <w:noWrap/>
            <w:hideMark/>
          </w:tcPr>
          <w:p w:rsidR="001D1E29" w:rsidRPr="00EE5D0A" w:rsidRDefault="001D1E29" w:rsidP="00421F84">
            <w:pPr>
              <w:jc w:val="both"/>
              <w:rPr>
                <w:rFonts w:ascii="Arial" w:hAnsi="Arial" w:cs="Arial"/>
                <w:b/>
                <w:bCs/>
                <w:color w:val="000000"/>
                <w:lang w:eastAsia="en-IN" w:bidi="mr-IN"/>
              </w:rPr>
            </w:pPr>
            <w:r w:rsidRPr="00EE5D0A">
              <w:rPr>
                <w:rFonts w:ascii="Arial" w:hAnsi="Arial" w:cs="Arial"/>
                <w:b/>
                <w:bCs/>
                <w:color w:val="000000"/>
                <w:lang w:eastAsia="en-IN" w:bidi="mr-IN"/>
              </w:rPr>
              <w:t>Longitude</w:t>
            </w:r>
          </w:p>
        </w:tc>
      </w:tr>
      <w:tr w:rsidR="001D1E29" w:rsidRPr="00EE5D0A" w:rsidTr="00645B20">
        <w:trPr>
          <w:trHeight w:val="257"/>
          <w:jc w:val="center"/>
        </w:trPr>
        <w:tc>
          <w:tcPr>
            <w:tcW w:w="0" w:type="auto"/>
            <w:tcBorders>
              <w:top w:val="single" w:sz="4" w:space="0" w:color="auto"/>
            </w:tcBorders>
            <w:shd w:val="clear" w:color="auto" w:fill="auto"/>
            <w:noWrap/>
            <w:vAlign w:val="bottom"/>
          </w:tcPr>
          <w:p w:rsidR="001D1E29" w:rsidRPr="00EE5D0A" w:rsidRDefault="001D1E29" w:rsidP="00421F84">
            <w:pPr>
              <w:pStyle w:val="ListParagraph"/>
              <w:numPr>
                <w:ilvl w:val="0"/>
                <w:numId w:val="31"/>
              </w:numPr>
              <w:spacing w:after="0" w:line="240" w:lineRule="auto"/>
              <w:rPr>
                <w:rFonts w:ascii="Arial" w:eastAsia="Times New Roman" w:hAnsi="Arial" w:cs="Arial"/>
                <w:color w:val="000000"/>
                <w:sz w:val="20"/>
                <w:lang w:val="en-GB" w:eastAsia="en-IN"/>
              </w:rPr>
            </w:pPr>
          </w:p>
        </w:tc>
        <w:tc>
          <w:tcPr>
            <w:tcW w:w="0" w:type="auto"/>
            <w:tcBorders>
              <w:top w:val="single" w:sz="4" w:space="0" w:color="auto"/>
            </w:tcBorders>
            <w:shd w:val="clear" w:color="auto" w:fill="auto"/>
            <w:noWrap/>
            <w:vAlign w:val="bottom"/>
            <w:hideMark/>
          </w:tcPr>
          <w:p w:rsidR="001D1E29" w:rsidRPr="00EE5D0A" w:rsidRDefault="001D1E29" w:rsidP="00421F84">
            <w:pPr>
              <w:rPr>
                <w:rFonts w:ascii="Arial" w:hAnsi="Arial" w:cs="Arial"/>
                <w:color w:val="000000"/>
                <w:lang w:eastAsia="en-IN" w:bidi="mr-IN"/>
              </w:rPr>
            </w:pPr>
            <w:proofErr w:type="spellStart"/>
            <w:r w:rsidRPr="00EE5D0A">
              <w:rPr>
                <w:rFonts w:ascii="Arial" w:hAnsi="Arial" w:cs="Arial"/>
                <w:color w:val="000000"/>
                <w:lang w:eastAsia="en-IN" w:bidi="mr-IN"/>
              </w:rPr>
              <w:t>Vitthalwadi</w:t>
            </w:r>
            <w:proofErr w:type="spellEnd"/>
            <w:r w:rsidRPr="00EE5D0A">
              <w:rPr>
                <w:rFonts w:ascii="Arial" w:hAnsi="Arial" w:cs="Arial"/>
                <w:color w:val="000000"/>
                <w:lang w:eastAsia="en-IN" w:bidi="mr-IN"/>
              </w:rPr>
              <w:t xml:space="preserve"> </w:t>
            </w:r>
          </w:p>
        </w:tc>
        <w:tc>
          <w:tcPr>
            <w:tcW w:w="1636" w:type="dxa"/>
            <w:tcBorders>
              <w:top w:val="single" w:sz="4" w:space="0" w:color="auto"/>
            </w:tcBorders>
            <w:vAlign w:val="center"/>
          </w:tcPr>
          <w:p w:rsidR="001D1E29" w:rsidRPr="00EE5D0A" w:rsidRDefault="001D1E29" w:rsidP="00421F84">
            <w:pPr>
              <w:rPr>
                <w:rFonts w:ascii="Arial" w:hAnsi="Arial" w:cs="Arial"/>
                <w:color w:val="000000"/>
                <w:lang w:eastAsia="en-IN" w:bidi="mr-IN"/>
              </w:rPr>
            </w:pPr>
            <w:r w:rsidRPr="00EE5D0A">
              <w:rPr>
                <w:rFonts w:ascii="Arial" w:hAnsi="Arial" w:cs="Arial"/>
                <w:color w:val="000000"/>
                <w:lang w:eastAsia="en-IN" w:bidi="mr-IN"/>
              </w:rPr>
              <w:t>Bhima River</w:t>
            </w:r>
          </w:p>
        </w:tc>
        <w:tc>
          <w:tcPr>
            <w:tcW w:w="1085" w:type="dxa"/>
            <w:tcBorders>
              <w:top w:val="single" w:sz="4" w:space="0" w:color="auto"/>
            </w:tcBorders>
            <w:shd w:val="clear" w:color="auto" w:fill="auto"/>
            <w:noWrap/>
            <w:vAlign w:val="center"/>
            <w:hideMark/>
          </w:tcPr>
          <w:p w:rsidR="001D1E29" w:rsidRPr="00EE5D0A" w:rsidRDefault="001D1E29" w:rsidP="00421F84">
            <w:pPr>
              <w:ind w:right="66"/>
              <w:rPr>
                <w:rFonts w:ascii="Arial" w:hAnsi="Arial" w:cs="Arial"/>
                <w:color w:val="000000"/>
                <w:lang w:eastAsia="en-IN" w:bidi="mr-IN"/>
              </w:rPr>
            </w:pPr>
            <w:r w:rsidRPr="00EE5D0A">
              <w:rPr>
                <w:rFonts w:ascii="Arial" w:hAnsi="Arial" w:cs="Arial"/>
                <w:color w:val="000000"/>
                <w:lang w:eastAsia="en-IN" w:bidi="mr-IN"/>
              </w:rPr>
              <w:t>18.4855</w:t>
            </w:r>
          </w:p>
        </w:tc>
        <w:tc>
          <w:tcPr>
            <w:tcW w:w="0" w:type="auto"/>
            <w:tcBorders>
              <w:top w:val="single" w:sz="4" w:space="0" w:color="auto"/>
            </w:tcBorders>
            <w:shd w:val="clear" w:color="auto" w:fill="auto"/>
            <w:noWrap/>
            <w:vAlign w:val="bottom"/>
            <w:hideMark/>
          </w:tcPr>
          <w:p w:rsidR="001D1E29" w:rsidRPr="00EE5D0A" w:rsidRDefault="001D1E29" w:rsidP="00421F84">
            <w:pPr>
              <w:rPr>
                <w:rFonts w:ascii="Arial" w:hAnsi="Arial" w:cs="Arial"/>
                <w:color w:val="000000"/>
                <w:lang w:eastAsia="en-IN" w:bidi="mr-IN"/>
              </w:rPr>
            </w:pPr>
            <w:r w:rsidRPr="00EE5D0A">
              <w:rPr>
                <w:rFonts w:ascii="Arial" w:hAnsi="Arial" w:cs="Arial"/>
                <w:color w:val="000000"/>
                <w:lang w:eastAsia="en-IN" w:bidi="mr-IN"/>
              </w:rPr>
              <w:t>73.8264</w:t>
            </w:r>
          </w:p>
        </w:tc>
      </w:tr>
      <w:tr w:rsidR="001D1E29" w:rsidRPr="00EE5D0A" w:rsidTr="00645B20">
        <w:trPr>
          <w:trHeight w:val="257"/>
          <w:jc w:val="center"/>
        </w:trPr>
        <w:tc>
          <w:tcPr>
            <w:tcW w:w="0" w:type="auto"/>
            <w:shd w:val="clear" w:color="auto" w:fill="auto"/>
            <w:noWrap/>
            <w:vAlign w:val="bottom"/>
          </w:tcPr>
          <w:p w:rsidR="001D1E29" w:rsidRPr="00EE5D0A" w:rsidRDefault="001D1E29" w:rsidP="00421F84">
            <w:pPr>
              <w:pStyle w:val="ListParagraph"/>
              <w:numPr>
                <w:ilvl w:val="0"/>
                <w:numId w:val="31"/>
              </w:numPr>
              <w:spacing w:after="0" w:line="240" w:lineRule="auto"/>
              <w:rPr>
                <w:rFonts w:ascii="Arial" w:eastAsia="Times New Roman" w:hAnsi="Arial" w:cs="Arial"/>
                <w:color w:val="000000"/>
                <w:sz w:val="20"/>
                <w:lang w:val="en-GB" w:eastAsia="en-IN"/>
              </w:rPr>
            </w:pPr>
          </w:p>
        </w:tc>
        <w:tc>
          <w:tcPr>
            <w:tcW w:w="0" w:type="auto"/>
            <w:shd w:val="clear" w:color="auto" w:fill="auto"/>
            <w:noWrap/>
            <w:vAlign w:val="bottom"/>
            <w:hideMark/>
          </w:tcPr>
          <w:p w:rsidR="001D1E29" w:rsidRPr="00EE5D0A" w:rsidRDefault="001D1E29" w:rsidP="00421F84">
            <w:pPr>
              <w:rPr>
                <w:rFonts w:ascii="Arial" w:hAnsi="Arial" w:cs="Arial"/>
                <w:color w:val="000000"/>
                <w:lang w:eastAsia="en-IN" w:bidi="mr-IN"/>
              </w:rPr>
            </w:pPr>
            <w:proofErr w:type="spellStart"/>
            <w:r w:rsidRPr="00EE5D0A">
              <w:rPr>
                <w:rFonts w:ascii="Arial" w:hAnsi="Arial" w:cs="Arial"/>
                <w:color w:val="000000"/>
                <w:lang w:eastAsia="en-IN" w:bidi="mr-IN"/>
              </w:rPr>
              <w:t>Bundgarden</w:t>
            </w:r>
            <w:proofErr w:type="spellEnd"/>
            <w:r w:rsidRPr="00EE5D0A">
              <w:rPr>
                <w:rFonts w:ascii="Arial" w:hAnsi="Arial" w:cs="Arial"/>
                <w:color w:val="000000"/>
                <w:lang w:eastAsia="en-IN" w:bidi="mr-IN"/>
              </w:rPr>
              <w:t xml:space="preserve"> </w:t>
            </w:r>
          </w:p>
        </w:tc>
        <w:tc>
          <w:tcPr>
            <w:tcW w:w="1636" w:type="dxa"/>
            <w:vAlign w:val="center"/>
          </w:tcPr>
          <w:p w:rsidR="001D1E29" w:rsidRPr="00EE5D0A" w:rsidRDefault="001D1E29" w:rsidP="00421F84">
            <w:pPr>
              <w:rPr>
                <w:rFonts w:ascii="Arial" w:hAnsi="Arial" w:cs="Arial"/>
                <w:color w:val="000000"/>
                <w:lang w:eastAsia="en-IN" w:bidi="mr-IN"/>
              </w:rPr>
            </w:pPr>
            <w:r w:rsidRPr="00EE5D0A">
              <w:rPr>
                <w:rFonts w:ascii="Arial" w:hAnsi="Arial" w:cs="Arial"/>
                <w:color w:val="000000"/>
                <w:lang w:eastAsia="en-IN" w:bidi="mr-IN"/>
              </w:rPr>
              <w:t>Bhima</w:t>
            </w:r>
          </w:p>
        </w:tc>
        <w:tc>
          <w:tcPr>
            <w:tcW w:w="1085" w:type="dxa"/>
            <w:shd w:val="clear" w:color="auto" w:fill="auto"/>
            <w:noWrap/>
            <w:vAlign w:val="center"/>
            <w:hideMark/>
          </w:tcPr>
          <w:p w:rsidR="001D1E29" w:rsidRPr="00EE5D0A" w:rsidRDefault="001D1E29" w:rsidP="00421F84">
            <w:pPr>
              <w:ind w:right="66"/>
              <w:rPr>
                <w:rFonts w:ascii="Arial" w:hAnsi="Arial" w:cs="Arial"/>
                <w:color w:val="000000"/>
                <w:lang w:eastAsia="en-IN" w:bidi="mr-IN"/>
              </w:rPr>
            </w:pPr>
            <w:r w:rsidRPr="00EE5D0A">
              <w:rPr>
                <w:rFonts w:ascii="Arial" w:hAnsi="Arial" w:cs="Arial"/>
                <w:color w:val="000000"/>
                <w:lang w:eastAsia="en-IN" w:bidi="mr-IN"/>
              </w:rPr>
              <w:t>18.5430</w:t>
            </w:r>
          </w:p>
        </w:tc>
        <w:tc>
          <w:tcPr>
            <w:tcW w:w="0" w:type="auto"/>
            <w:shd w:val="clear" w:color="auto" w:fill="auto"/>
            <w:noWrap/>
            <w:vAlign w:val="bottom"/>
            <w:hideMark/>
          </w:tcPr>
          <w:p w:rsidR="001D1E29" w:rsidRPr="00EE5D0A" w:rsidRDefault="001D1E29" w:rsidP="00421F84">
            <w:pPr>
              <w:rPr>
                <w:rFonts w:ascii="Arial" w:hAnsi="Arial" w:cs="Arial"/>
                <w:color w:val="000000"/>
                <w:lang w:eastAsia="en-IN" w:bidi="mr-IN"/>
              </w:rPr>
            </w:pPr>
            <w:r w:rsidRPr="00EE5D0A">
              <w:rPr>
                <w:rFonts w:ascii="Arial" w:hAnsi="Arial" w:cs="Arial"/>
                <w:color w:val="000000"/>
                <w:lang w:eastAsia="en-IN" w:bidi="mr-IN"/>
              </w:rPr>
              <w:t>73.8829</w:t>
            </w:r>
          </w:p>
        </w:tc>
      </w:tr>
      <w:tr w:rsidR="001D1E29" w:rsidRPr="00EE5D0A" w:rsidTr="00645B20">
        <w:trPr>
          <w:trHeight w:val="257"/>
          <w:jc w:val="center"/>
        </w:trPr>
        <w:tc>
          <w:tcPr>
            <w:tcW w:w="0" w:type="auto"/>
            <w:shd w:val="clear" w:color="auto" w:fill="auto"/>
            <w:noWrap/>
          </w:tcPr>
          <w:p w:rsidR="001D1E29" w:rsidRPr="00EE5D0A" w:rsidRDefault="001D1E29" w:rsidP="00421F84">
            <w:pPr>
              <w:pStyle w:val="ListParagraph"/>
              <w:numPr>
                <w:ilvl w:val="0"/>
                <w:numId w:val="31"/>
              </w:numPr>
              <w:spacing w:after="0" w:line="240" w:lineRule="auto"/>
              <w:rPr>
                <w:rFonts w:ascii="Arial" w:eastAsia="Times New Roman" w:hAnsi="Arial" w:cs="Arial"/>
                <w:color w:val="000000"/>
                <w:sz w:val="20"/>
                <w:lang w:val="en-GB" w:eastAsia="en-IN"/>
              </w:rPr>
            </w:pPr>
          </w:p>
        </w:tc>
        <w:tc>
          <w:tcPr>
            <w:tcW w:w="0" w:type="auto"/>
            <w:shd w:val="clear" w:color="auto" w:fill="auto"/>
            <w:noWrap/>
            <w:vAlign w:val="bottom"/>
            <w:hideMark/>
          </w:tcPr>
          <w:p w:rsidR="001D1E29" w:rsidRPr="00EE5D0A" w:rsidRDefault="001D1E29" w:rsidP="00421F84">
            <w:pPr>
              <w:rPr>
                <w:rFonts w:ascii="Arial" w:hAnsi="Arial" w:cs="Arial"/>
                <w:color w:val="000000"/>
                <w:lang w:eastAsia="en-IN" w:bidi="mr-IN"/>
              </w:rPr>
            </w:pPr>
            <w:r w:rsidRPr="00EE5D0A">
              <w:rPr>
                <w:rFonts w:ascii="Arial" w:hAnsi="Arial" w:cs="Arial"/>
                <w:color w:val="000000"/>
                <w:lang w:eastAsia="en-IN" w:bidi="mr-IN"/>
              </w:rPr>
              <w:t xml:space="preserve">Sangam bridge </w:t>
            </w:r>
          </w:p>
        </w:tc>
        <w:tc>
          <w:tcPr>
            <w:tcW w:w="1636" w:type="dxa"/>
            <w:vAlign w:val="center"/>
          </w:tcPr>
          <w:p w:rsidR="001D1E29" w:rsidRPr="00EE5D0A" w:rsidRDefault="001D1E29" w:rsidP="00421F84">
            <w:pPr>
              <w:ind w:firstLineChars="4" w:firstLine="8"/>
              <w:rPr>
                <w:rFonts w:ascii="Arial" w:hAnsi="Arial" w:cs="Arial"/>
                <w:color w:val="000000"/>
                <w:lang w:eastAsia="en-IN" w:bidi="mr-IN"/>
              </w:rPr>
            </w:pPr>
            <w:r w:rsidRPr="00EE5D0A">
              <w:rPr>
                <w:rFonts w:ascii="Arial" w:hAnsi="Arial" w:cs="Arial"/>
                <w:color w:val="000000"/>
                <w:lang w:eastAsia="en-IN" w:bidi="mr-IN"/>
              </w:rPr>
              <w:t>Mutha River</w:t>
            </w:r>
          </w:p>
        </w:tc>
        <w:tc>
          <w:tcPr>
            <w:tcW w:w="1085" w:type="dxa"/>
            <w:shd w:val="clear" w:color="auto" w:fill="auto"/>
            <w:noWrap/>
            <w:vAlign w:val="center"/>
            <w:hideMark/>
          </w:tcPr>
          <w:p w:rsidR="001D1E29" w:rsidRPr="00EE5D0A" w:rsidRDefault="001D1E29" w:rsidP="00421F84">
            <w:pPr>
              <w:ind w:right="66"/>
              <w:rPr>
                <w:rFonts w:ascii="Arial" w:hAnsi="Arial" w:cs="Arial"/>
                <w:color w:val="000000"/>
                <w:lang w:eastAsia="en-IN" w:bidi="mr-IN"/>
              </w:rPr>
            </w:pPr>
            <w:r w:rsidRPr="00EE5D0A">
              <w:rPr>
                <w:rFonts w:ascii="Arial" w:hAnsi="Arial" w:cs="Arial"/>
                <w:color w:val="000000"/>
                <w:lang w:eastAsia="en-IN" w:bidi="mr-IN"/>
              </w:rPr>
              <w:t>18.5292</w:t>
            </w:r>
          </w:p>
        </w:tc>
        <w:tc>
          <w:tcPr>
            <w:tcW w:w="0" w:type="auto"/>
            <w:shd w:val="clear" w:color="auto" w:fill="auto"/>
            <w:noWrap/>
            <w:vAlign w:val="bottom"/>
            <w:hideMark/>
          </w:tcPr>
          <w:p w:rsidR="001D1E29" w:rsidRPr="00EE5D0A" w:rsidRDefault="001D1E29" w:rsidP="00421F84">
            <w:pPr>
              <w:rPr>
                <w:rFonts w:ascii="Arial" w:hAnsi="Arial" w:cs="Arial"/>
                <w:color w:val="000000"/>
                <w:lang w:eastAsia="en-IN" w:bidi="mr-IN"/>
              </w:rPr>
            </w:pPr>
            <w:r w:rsidRPr="00EE5D0A">
              <w:rPr>
                <w:rFonts w:ascii="Arial" w:hAnsi="Arial" w:cs="Arial"/>
                <w:color w:val="000000"/>
                <w:lang w:eastAsia="en-IN" w:bidi="mr-IN"/>
              </w:rPr>
              <w:t>73.8605</w:t>
            </w:r>
          </w:p>
        </w:tc>
      </w:tr>
      <w:tr w:rsidR="001D1E29" w:rsidRPr="00EE5D0A" w:rsidTr="00645B20">
        <w:trPr>
          <w:trHeight w:val="257"/>
          <w:jc w:val="center"/>
        </w:trPr>
        <w:tc>
          <w:tcPr>
            <w:tcW w:w="0" w:type="auto"/>
            <w:shd w:val="clear" w:color="auto" w:fill="auto"/>
            <w:noWrap/>
            <w:vAlign w:val="bottom"/>
          </w:tcPr>
          <w:p w:rsidR="001D1E29" w:rsidRPr="00EE5D0A" w:rsidRDefault="001D1E29" w:rsidP="00421F84">
            <w:pPr>
              <w:pStyle w:val="ListParagraph"/>
              <w:numPr>
                <w:ilvl w:val="0"/>
                <w:numId w:val="31"/>
              </w:numPr>
              <w:spacing w:after="0" w:line="240" w:lineRule="auto"/>
              <w:rPr>
                <w:rFonts w:ascii="Arial" w:eastAsia="Times New Roman" w:hAnsi="Arial" w:cs="Arial"/>
                <w:color w:val="000000"/>
                <w:sz w:val="20"/>
                <w:lang w:val="en-GB" w:eastAsia="en-IN"/>
              </w:rPr>
            </w:pPr>
          </w:p>
        </w:tc>
        <w:tc>
          <w:tcPr>
            <w:tcW w:w="0" w:type="auto"/>
            <w:shd w:val="clear" w:color="auto" w:fill="auto"/>
            <w:noWrap/>
            <w:vAlign w:val="bottom"/>
            <w:hideMark/>
          </w:tcPr>
          <w:p w:rsidR="001D1E29" w:rsidRPr="00EE5D0A" w:rsidRDefault="001D1E29" w:rsidP="00421F84">
            <w:pPr>
              <w:rPr>
                <w:rFonts w:ascii="Arial" w:hAnsi="Arial" w:cs="Arial"/>
                <w:color w:val="000000"/>
                <w:lang w:eastAsia="en-IN" w:bidi="mr-IN"/>
              </w:rPr>
            </w:pPr>
            <w:proofErr w:type="spellStart"/>
            <w:r w:rsidRPr="00EE5D0A">
              <w:rPr>
                <w:rFonts w:ascii="Arial" w:hAnsi="Arial" w:cs="Arial"/>
                <w:color w:val="000000"/>
                <w:lang w:eastAsia="en-IN" w:bidi="mr-IN"/>
              </w:rPr>
              <w:t>Mundhwa</w:t>
            </w:r>
            <w:proofErr w:type="spellEnd"/>
            <w:r w:rsidRPr="00EE5D0A">
              <w:rPr>
                <w:rFonts w:ascii="Arial" w:hAnsi="Arial" w:cs="Arial"/>
                <w:color w:val="000000"/>
                <w:lang w:eastAsia="en-IN" w:bidi="mr-IN"/>
              </w:rPr>
              <w:t xml:space="preserve"> bridge</w:t>
            </w:r>
          </w:p>
        </w:tc>
        <w:tc>
          <w:tcPr>
            <w:tcW w:w="1636" w:type="dxa"/>
            <w:vAlign w:val="center"/>
          </w:tcPr>
          <w:p w:rsidR="001D1E29" w:rsidRPr="00EE5D0A" w:rsidRDefault="001D1E29" w:rsidP="00421F84">
            <w:pPr>
              <w:rPr>
                <w:rFonts w:ascii="Arial" w:hAnsi="Arial" w:cs="Arial"/>
                <w:color w:val="000000"/>
                <w:lang w:eastAsia="en-IN" w:bidi="mr-IN"/>
              </w:rPr>
            </w:pPr>
            <w:r w:rsidRPr="00EE5D0A">
              <w:rPr>
                <w:rFonts w:ascii="Arial" w:hAnsi="Arial" w:cs="Arial"/>
                <w:color w:val="000000"/>
                <w:lang w:eastAsia="en-IN" w:bidi="mr-IN"/>
              </w:rPr>
              <w:t>Mula -Mutha</w:t>
            </w:r>
          </w:p>
        </w:tc>
        <w:tc>
          <w:tcPr>
            <w:tcW w:w="1085" w:type="dxa"/>
            <w:shd w:val="clear" w:color="auto" w:fill="auto"/>
            <w:noWrap/>
            <w:vAlign w:val="center"/>
            <w:hideMark/>
          </w:tcPr>
          <w:p w:rsidR="001D1E29" w:rsidRPr="00EE5D0A" w:rsidRDefault="001D1E29" w:rsidP="00421F84">
            <w:pPr>
              <w:ind w:right="66"/>
              <w:rPr>
                <w:rFonts w:ascii="Arial" w:hAnsi="Arial" w:cs="Arial"/>
                <w:color w:val="000000"/>
                <w:lang w:eastAsia="en-IN" w:bidi="mr-IN"/>
              </w:rPr>
            </w:pPr>
            <w:r w:rsidRPr="00EE5D0A">
              <w:rPr>
                <w:rFonts w:ascii="Arial" w:hAnsi="Arial" w:cs="Arial"/>
                <w:color w:val="000000"/>
                <w:lang w:eastAsia="en-IN" w:bidi="mr-IN"/>
              </w:rPr>
              <w:t>18.5360</w:t>
            </w:r>
          </w:p>
        </w:tc>
        <w:tc>
          <w:tcPr>
            <w:tcW w:w="0" w:type="auto"/>
            <w:shd w:val="clear" w:color="auto" w:fill="auto"/>
            <w:noWrap/>
            <w:vAlign w:val="bottom"/>
            <w:hideMark/>
          </w:tcPr>
          <w:p w:rsidR="001D1E29" w:rsidRPr="00EE5D0A" w:rsidRDefault="001D1E29" w:rsidP="00421F84">
            <w:pPr>
              <w:rPr>
                <w:rFonts w:ascii="Arial" w:hAnsi="Arial" w:cs="Arial"/>
                <w:color w:val="000000"/>
                <w:lang w:eastAsia="en-IN" w:bidi="mr-IN"/>
              </w:rPr>
            </w:pPr>
            <w:r w:rsidRPr="00EE5D0A">
              <w:rPr>
                <w:rFonts w:ascii="Arial" w:hAnsi="Arial" w:cs="Arial"/>
                <w:color w:val="000000"/>
                <w:lang w:eastAsia="en-IN" w:bidi="mr-IN"/>
              </w:rPr>
              <w:t>73.9334</w:t>
            </w:r>
          </w:p>
        </w:tc>
      </w:tr>
      <w:tr w:rsidR="001D1E29" w:rsidRPr="00EE5D0A" w:rsidTr="00645B20">
        <w:trPr>
          <w:trHeight w:val="257"/>
          <w:jc w:val="center"/>
        </w:trPr>
        <w:tc>
          <w:tcPr>
            <w:tcW w:w="0" w:type="auto"/>
            <w:shd w:val="clear" w:color="auto" w:fill="auto"/>
            <w:noWrap/>
            <w:vAlign w:val="bottom"/>
          </w:tcPr>
          <w:p w:rsidR="001D1E29" w:rsidRPr="00EE5D0A" w:rsidRDefault="001D1E29" w:rsidP="00421F84">
            <w:pPr>
              <w:pStyle w:val="ListParagraph"/>
              <w:numPr>
                <w:ilvl w:val="0"/>
                <w:numId w:val="31"/>
              </w:numPr>
              <w:spacing w:after="0" w:line="240" w:lineRule="auto"/>
              <w:rPr>
                <w:rFonts w:ascii="Arial" w:eastAsia="Times New Roman" w:hAnsi="Arial" w:cs="Arial"/>
                <w:color w:val="000000"/>
                <w:sz w:val="20"/>
                <w:lang w:val="en-GB" w:eastAsia="en-IN"/>
              </w:rPr>
            </w:pPr>
          </w:p>
        </w:tc>
        <w:tc>
          <w:tcPr>
            <w:tcW w:w="0" w:type="auto"/>
            <w:shd w:val="clear" w:color="auto" w:fill="auto"/>
            <w:noWrap/>
            <w:vAlign w:val="bottom"/>
            <w:hideMark/>
          </w:tcPr>
          <w:p w:rsidR="001D1E29" w:rsidRPr="00EE5D0A" w:rsidRDefault="001D1E29" w:rsidP="00421F84">
            <w:pPr>
              <w:rPr>
                <w:rFonts w:ascii="Arial" w:hAnsi="Arial" w:cs="Arial"/>
                <w:color w:val="000000"/>
                <w:lang w:eastAsia="en-IN" w:bidi="mr-IN"/>
              </w:rPr>
            </w:pPr>
            <w:r w:rsidRPr="00EE5D0A">
              <w:rPr>
                <w:rFonts w:ascii="Arial" w:hAnsi="Arial" w:cs="Arial"/>
                <w:color w:val="000000"/>
                <w:lang w:eastAsia="en-IN" w:bidi="mr-IN"/>
              </w:rPr>
              <w:t>Aundh bridge -Aundh</w:t>
            </w:r>
          </w:p>
        </w:tc>
        <w:tc>
          <w:tcPr>
            <w:tcW w:w="1636" w:type="dxa"/>
            <w:vAlign w:val="center"/>
          </w:tcPr>
          <w:p w:rsidR="001D1E29" w:rsidRPr="00EE5D0A" w:rsidRDefault="001D1E29" w:rsidP="00421F84">
            <w:pPr>
              <w:ind w:firstLineChars="4" w:firstLine="8"/>
              <w:rPr>
                <w:rFonts w:ascii="Arial" w:hAnsi="Arial" w:cs="Arial"/>
                <w:color w:val="000000"/>
                <w:lang w:eastAsia="en-IN" w:bidi="mr-IN"/>
              </w:rPr>
            </w:pPr>
            <w:r w:rsidRPr="00EE5D0A">
              <w:rPr>
                <w:rFonts w:ascii="Arial" w:hAnsi="Arial" w:cs="Arial"/>
                <w:color w:val="000000"/>
                <w:lang w:eastAsia="en-IN" w:bidi="mr-IN"/>
              </w:rPr>
              <w:t>Mula River</w:t>
            </w:r>
          </w:p>
        </w:tc>
        <w:tc>
          <w:tcPr>
            <w:tcW w:w="1085" w:type="dxa"/>
            <w:shd w:val="clear" w:color="auto" w:fill="auto"/>
            <w:noWrap/>
            <w:vAlign w:val="center"/>
            <w:hideMark/>
          </w:tcPr>
          <w:p w:rsidR="001D1E29" w:rsidRPr="00EE5D0A" w:rsidRDefault="001D1E29" w:rsidP="00421F84">
            <w:pPr>
              <w:ind w:right="66"/>
              <w:rPr>
                <w:rFonts w:ascii="Arial" w:hAnsi="Arial" w:cs="Arial"/>
                <w:color w:val="000000"/>
                <w:lang w:eastAsia="en-IN" w:bidi="mr-IN"/>
              </w:rPr>
            </w:pPr>
            <w:r w:rsidRPr="00EE5D0A">
              <w:rPr>
                <w:rFonts w:ascii="Arial" w:hAnsi="Arial" w:cs="Arial"/>
                <w:color w:val="000000"/>
                <w:lang w:eastAsia="en-IN" w:bidi="mr-IN"/>
              </w:rPr>
              <w:t>18.5677</w:t>
            </w:r>
          </w:p>
        </w:tc>
        <w:tc>
          <w:tcPr>
            <w:tcW w:w="0" w:type="auto"/>
            <w:shd w:val="clear" w:color="auto" w:fill="auto"/>
            <w:noWrap/>
            <w:vAlign w:val="bottom"/>
            <w:hideMark/>
          </w:tcPr>
          <w:p w:rsidR="001D1E29" w:rsidRPr="00EE5D0A" w:rsidRDefault="001D1E29" w:rsidP="00421F84">
            <w:pPr>
              <w:rPr>
                <w:rFonts w:ascii="Arial" w:hAnsi="Arial" w:cs="Arial"/>
                <w:color w:val="000000"/>
                <w:lang w:eastAsia="en-IN" w:bidi="mr-IN"/>
              </w:rPr>
            </w:pPr>
            <w:r w:rsidRPr="00EE5D0A">
              <w:rPr>
                <w:rFonts w:ascii="Arial" w:hAnsi="Arial" w:cs="Arial"/>
                <w:color w:val="000000"/>
                <w:lang w:eastAsia="en-IN" w:bidi="mr-IN"/>
              </w:rPr>
              <w:t>73.8133</w:t>
            </w:r>
          </w:p>
        </w:tc>
      </w:tr>
      <w:tr w:rsidR="001D1E29" w:rsidRPr="00EE5D0A" w:rsidTr="00645B20">
        <w:trPr>
          <w:trHeight w:val="257"/>
          <w:jc w:val="center"/>
        </w:trPr>
        <w:tc>
          <w:tcPr>
            <w:tcW w:w="0" w:type="auto"/>
            <w:shd w:val="clear" w:color="auto" w:fill="auto"/>
            <w:noWrap/>
          </w:tcPr>
          <w:p w:rsidR="001D1E29" w:rsidRPr="00EE5D0A" w:rsidRDefault="001D1E29" w:rsidP="00421F84">
            <w:pPr>
              <w:pStyle w:val="ListParagraph"/>
              <w:numPr>
                <w:ilvl w:val="0"/>
                <w:numId w:val="31"/>
              </w:numPr>
              <w:spacing w:after="0" w:line="240" w:lineRule="auto"/>
              <w:rPr>
                <w:rFonts w:ascii="Arial" w:eastAsia="Times New Roman" w:hAnsi="Arial" w:cs="Arial"/>
                <w:color w:val="000000"/>
                <w:sz w:val="20"/>
                <w:lang w:val="en-GB" w:eastAsia="en-IN"/>
              </w:rPr>
            </w:pPr>
          </w:p>
        </w:tc>
        <w:tc>
          <w:tcPr>
            <w:tcW w:w="0" w:type="auto"/>
            <w:shd w:val="clear" w:color="auto" w:fill="auto"/>
            <w:noWrap/>
            <w:hideMark/>
          </w:tcPr>
          <w:p w:rsidR="001D1E29" w:rsidRPr="00EE5D0A" w:rsidRDefault="001D1E29" w:rsidP="00421F84">
            <w:pPr>
              <w:rPr>
                <w:rFonts w:ascii="Arial" w:hAnsi="Arial" w:cs="Arial"/>
                <w:color w:val="000000"/>
                <w:lang w:eastAsia="en-IN" w:bidi="mr-IN"/>
              </w:rPr>
            </w:pPr>
            <w:r w:rsidRPr="00EE5D0A">
              <w:rPr>
                <w:rFonts w:ascii="Arial" w:hAnsi="Arial" w:cs="Arial"/>
                <w:color w:val="000000"/>
                <w:lang w:eastAsia="en-IN" w:bidi="mr-IN"/>
              </w:rPr>
              <w:t xml:space="preserve">Harrington Bridge </w:t>
            </w:r>
          </w:p>
        </w:tc>
        <w:tc>
          <w:tcPr>
            <w:tcW w:w="1636" w:type="dxa"/>
            <w:vAlign w:val="center"/>
          </w:tcPr>
          <w:p w:rsidR="001D1E29" w:rsidRPr="00EE5D0A" w:rsidRDefault="001D1E29" w:rsidP="00421F84">
            <w:pPr>
              <w:ind w:right="-126" w:firstLine="8"/>
              <w:rPr>
                <w:rFonts w:ascii="Arial" w:hAnsi="Arial" w:cs="Arial"/>
                <w:color w:val="000000"/>
                <w:lang w:eastAsia="en-IN" w:bidi="mr-IN"/>
              </w:rPr>
            </w:pPr>
            <w:r w:rsidRPr="00EE5D0A">
              <w:rPr>
                <w:rFonts w:ascii="Arial" w:hAnsi="Arial" w:cs="Arial"/>
                <w:color w:val="000000"/>
                <w:lang w:eastAsia="en-IN" w:bidi="mr-IN"/>
              </w:rPr>
              <w:t>MPC</w:t>
            </w:r>
          </w:p>
        </w:tc>
        <w:tc>
          <w:tcPr>
            <w:tcW w:w="1085" w:type="dxa"/>
            <w:shd w:val="clear" w:color="auto" w:fill="auto"/>
            <w:noWrap/>
            <w:vAlign w:val="center"/>
            <w:hideMark/>
          </w:tcPr>
          <w:p w:rsidR="001D1E29" w:rsidRPr="00EE5D0A" w:rsidRDefault="001D1E29" w:rsidP="00421F84">
            <w:pPr>
              <w:ind w:right="66"/>
              <w:rPr>
                <w:rFonts w:ascii="Arial" w:hAnsi="Arial" w:cs="Arial"/>
                <w:color w:val="000000"/>
                <w:lang w:eastAsia="en-IN" w:bidi="mr-IN"/>
              </w:rPr>
            </w:pPr>
            <w:r w:rsidRPr="00EE5D0A">
              <w:rPr>
                <w:rFonts w:ascii="Arial" w:hAnsi="Arial" w:cs="Arial"/>
                <w:color w:val="000000"/>
                <w:lang w:eastAsia="en-IN" w:bidi="mr-IN"/>
              </w:rPr>
              <w:t>18.5731</w:t>
            </w:r>
          </w:p>
        </w:tc>
        <w:tc>
          <w:tcPr>
            <w:tcW w:w="0" w:type="auto"/>
            <w:shd w:val="clear" w:color="auto" w:fill="auto"/>
            <w:noWrap/>
            <w:vAlign w:val="bottom"/>
            <w:hideMark/>
          </w:tcPr>
          <w:p w:rsidR="001D1E29" w:rsidRPr="00EE5D0A" w:rsidRDefault="001D1E29" w:rsidP="00421F84">
            <w:pPr>
              <w:rPr>
                <w:rFonts w:ascii="Arial" w:hAnsi="Arial" w:cs="Arial"/>
                <w:color w:val="000000"/>
                <w:lang w:eastAsia="en-IN" w:bidi="mr-IN"/>
              </w:rPr>
            </w:pPr>
            <w:r w:rsidRPr="00EE5D0A">
              <w:rPr>
                <w:rFonts w:ascii="Arial" w:hAnsi="Arial" w:cs="Arial"/>
                <w:color w:val="000000"/>
                <w:lang w:eastAsia="en-IN" w:bidi="mr-IN"/>
              </w:rPr>
              <w:t>73.8320</w:t>
            </w:r>
          </w:p>
        </w:tc>
      </w:tr>
      <w:tr w:rsidR="001D1E29" w:rsidRPr="00EE5D0A" w:rsidTr="00645B20">
        <w:trPr>
          <w:trHeight w:val="257"/>
          <w:jc w:val="center"/>
        </w:trPr>
        <w:tc>
          <w:tcPr>
            <w:tcW w:w="0" w:type="auto"/>
            <w:shd w:val="clear" w:color="auto" w:fill="auto"/>
            <w:noWrap/>
            <w:vAlign w:val="bottom"/>
          </w:tcPr>
          <w:p w:rsidR="001D1E29" w:rsidRPr="00EE5D0A" w:rsidRDefault="001D1E29" w:rsidP="00421F84">
            <w:pPr>
              <w:pStyle w:val="ListParagraph"/>
              <w:numPr>
                <w:ilvl w:val="0"/>
                <w:numId w:val="31"/>
              </w:numPr>
              <w:spacing w:after="0" w:line="240" w:lineRule="auto"/>
              <w:rPr>
                <w:rFonts w:ascii="Arial" w:eastAsia="Times New Roman" w:hAnsi="Arial" w:cs="Arial"/>
                <w:color w:val="000000"/>
                <w:sz w:val="20"/>
                <w:lang w:val="en-GB" w:eastAsia="en-IN"/>
              </w:rPr>
            </w:pPr>
          </w:p>
        </w:tc>
        <w:tc>
          <w:tcPr>
            <w:tcW w:w="0" w:type="auto"/>
            <w:shd w:val="clear" w:color="auto" w:fill="auto"/>
            <w:noWrap/>
            <w:vAlign w:val="bottom"/>
            <w:hideMark/>
          </w:tcPr>
          <w:p w:rsidR="001D1E29" w:rsidRPr="00EE5D0A" w:rsidRDefault="001D1E29" w:rsidP="00421F84">
            <w:pPr>
              <w:rPr>
                <w:rFonts w:ascii="Arial" w:hAnsi="Arial" w:cs="Arial"/>
                <w:color w:val="000000"/>
                <w:lang w:eastAsia="en-IN" w:bidi="mr-IN"/>
              </w:rPr>
            </w:pPr>
            <w:r w:rsidRPr="00EE5D0A">
              <w:rPr>
                <w:rFonts w:ascii="Arial" w:hAnsi="Arial" w:cs="Arial"/>
                <w:color w:val="000000"/>
                <w:lang w:eastAsia="en-IN" w:bidi="mr-IN"/>
              </w:rPr>
              <w:t xml:space="preserve">Veer Savarkar Bhavan </w:t>
            </w:r>
          </w:p>
        </w:tc>
        <w:tc>
          <w:tcPr>
            <w:tcW w:w="1636" w:type="dxa"/>
            <w:vAlign w:val="center"/>
          </w:tcPr>
          <w:p w:rsidR="001D1E29" w:rsidRPr="00EE5D0A" w:rsidRDefault="001D1E29" w:rsidP="00421F84">
            <w:pPr>
              <w:ind w:firstLineChars="4" w:firstLine="8"/>
              <w:rPr>
                <w:rFonts w:ascii="Arial" w:hAnsi="Arial" w:cs="Arial"/>
                <w:color w:val="000000"/>
                <w:lang w:eastAsia="en-IN" w:bidi="mr-IN"/>
              </w:rPr>
            </w:pPr>
            <w:r w:rsidRPr="00EE5D0A">
              <w:rPr>
                <w:rFonts w:ascii="Arial" w:hAnsi="Arial" w:cs="Arial"/>
                <w:color w:val="000000"/>
                <w:lang w:eastAsia="en-IN" w:bidi="mr-IN"/>
              </w:rPr>
              <w:t>Mutha River</w:t>
            </w:r>
          </w:p>
        </w:tc>
        <w:tc>
          <w:tcPr>
            <w:tcW w:w="1085" w:type="dxa"/>
            <w:shd w:val="clear" w:color="auto" w:fill="auto"/>
            <w:noWrap/>
            <w:vAlign w:val="center"/>
            <w:hideMark/>
          </w:tcPr>
          <w:p w:rsidR="001D1E29" w:rsidRPr="00EE5D0A" w:rsidRDefault="001D1E29" w:rsidP="00421F84">
            <w:pPr>
              <w:ind w:right="66"/>
              <w:rPr>
                <w:rFonts w:ascii="Arial" w:hAnsi="Arial" w:cs="Arial"/>
                <w:color w:val="000000"/>
                <w:lang w:eastAsia="en-IN" w:bidi="mr-IN"/>
              </w:rPr>
            </w:pPr>
            <w:r w:rsidRPr="00EE5D0A">
              <w:rPr>
                <w:rFonts w:ascii="Arial" w:hAnsi="Arial" w:cs="Arial"/>
                <w:color w:val="000000"/>
                <w:lang w:eastAsia="en-IN" w:bidi="mr-IN"/>
              </w:rPr>
              <w:t>18.5210</w:t>
            </w:r>
          </w:p>
        </w:tc>
        <w:tc>
          <w:tcPr>
            <w:tcW w:w="0" w:type="auto"/>
            <w:shd w:val="clear" w:color="auto" w:fill="auto"/>
            <w:noWrap/>
            <w:vAlign w:val="bottom"/>
            <w:hideMark/>
          </w:tcPr>
          <w:p w:rsidR="001D1E29" w:rsidRPr="00EE5D0A" w:rsidRDefault="001D1E29" w:rsidP="00421F84">
            <w:pPr>
              <w:rPr>
                <w:rFonts w:ascii="Arial" w:hAnsi="Arial" w:cs="Arial"/>
                <w:color w:val="000000"/>
                <w:lang w:eastAsia="en-IN" w:bidi="mr-IN"/>
              </w:rPr>
            </w:pPr>
            <w:r w:rsidRPr="00EE5D0A">
              <w:rPr>
                <w:rFonts w:ascii="Arial" w:hAnsi="Arial" w:cs="Arial"/>
                <w:color w:val="000000"/>
                <w:lang w:eastAsia="en-IN" w:bidi="mr-IN"/>
              </w:rPr>
              <w:t>73.8497</w:t>
            </w:r>
          </w:p>
        </w:tc>
      </w:tr>
      <w:tr w:rsidR="001D1E29" w:rsidRPr="00EE5D0A" w:rsidTr="00645B20">
        <w:trPr>
          <w:trHeight w:val="257"/>
          <w:jc w:val="center"/>
        </w:trPr>
        <w:tc>
          <w:tcPr>
            <w:tcW w:w="0" w:type="auto"/>
            <w:shd w:val="clear" w:color="auto" w:fill="auto"/>
            <w:noWrap/>
            <w:vAlign w:val="bottom"/>
          </w:tcPr>
          <w:p w:rsidR="001D1E29" w:rsidRPr="00EE5D0A" w:rsidRDefault="001D1E29" w:rsidP="00421F84">
            <w:pPr>
              <w:pStyle w:val="ListParagraph"/>
              <w:numPr>
                <w:ilvl w:val="0"/>
                <w:numId w:val="31"/>
              </w:numPr>
              <w:spacing w:after="0" w:line="240" w:lineRule="auto"/>
              <w:rPr>
                <w:rFonts w:ascii="Arial" w:eastAsia="Times New Roman" w:hAnsi="Arial" w:cs="Arial"/>
                <w:color w:val="000000"/>
                <w:sz w:val="20"/>
                <w:lang w:val="en-GB" w:eastAsia="en-IN"/>
              </w:rPr>
            </w:pPr>
          </w:p>
        </w:tc>
        <w:tc>
          <w:tcPr>
            <w:tcW w:w="0" w:type="auto"/>
            <w:shd w:val="clear" w:color="auto" w:fill="auto"/>
            <w:noWrap/>
            <w:vAlign w:val="bottom"/>
            <w:hideMark/>
          </w:tcPr>
          <w:p w:rsidR="001D1E29" w:rsidRPr="00EE5D0A" w:rsidRDefault="001D1E29" w:rsidP="00421F84">
            <w:pPr>
              <w:rPr>
                <w:rFonts w:ascii="Arial" w:hAnsi="Arial" w:cs="Arial"/>
                <w:color w:val="000000"/>
                <w:lang w:eastAsia="en-IN" w:bidi="mr-IN"/>
              </w:rPr>
            </w:pPr>
            <w:r w:rsidRPr="00EE5D0A">
              <w:rPr>
                <w:rFonts w:ascii="Arial" w:hAnsi="Arial" w:cs="Arial"/>
                <w:color w:val="000000"/>
                <w:lang w:eastAsia="en-IN" w:bidi="mr-IN"/>
              </w:rPr>
              <w:t>Deccan Bridge</w:t>
            </w:r>
          </w:p>
        </w:tc>
        <w:tc>
          <w:tcPr>
            <w:tcW w:w="1636" w:type="dxa"/>
            <w:vAlign w:val="center"/>
          </w:tcPr>
          <w:p w:rsidR="001D1E29" w:rsidRPr="00EE5D0A" w:rsidRDefault="001D1E29" w:rsidP="00421F84">
            <w:pPr>
              <w:ind w:firstLineChars="4" w:firstLine="8"/>
              <w:rPr>
                <w:rFonts w:ascii="Arial" w:hAnsi="Arial" w:cs="Arial"/>
                <w:color w:val="000000"/>
                <w:lang w:eastAsia="en-IN" w:bidi="mr-IN"/>
              </w:rPr>
            </w:pPr>
            <w:r w:rsidRPr="00EE5D0A">
              <w:rPr>
                <w:rFonts w:ascii="Arial" w:hAnsi="Arial" w:cs="Arial"/>
                <w:color w:val="000000"/>
                <w:lang w:eastAsia="en-IN" w:bidi="mr-IN"/>
              </w:rPr>
              <w:t>Mutha</w:t>
            </w:r>
          </w:p>
        </w:tc>
        <w:tc>
          <w:tcPr>
            <w:tcW w:w="1085" w:type="dxa"/>
            <w:shd w:val="clear" w:color="auto" w:fill="auto"/>
            <w:noWrap/>
            <w:vAlign w:val="center"/>
            <w:hideMark/>
          </w:tcPr>
          <w:p w:rsidR="001D1E29" w:rsidRPr="00EE5D0A" w:rsidRDefault="001D1E29" w:rsidP="00421F84">
            <w:pPr>
              <w:ind w:right="66"/>
              <w:rPr>
                <w:rFonts w:ascii="Arial" w:hAnsi="Arial" w:cs="Arial"/>
                <w:color w:val="000000"/>
                <w:lang w:eastAsia="en-IN" w:bidi="mr-IN"/>
              </w:rPr>
            </w:pPr>
            <w:r w:rsidRPr="00EE5D0A">
              <w:rPr>
                <w:rFonts w:ascii="Arial" w:hAnsi="Arial" w:cs="Arial"/>
                <w:color w:val="000000"/>
                <w:lang w:eastAsia="en-IN" w:bidi="mr-IN"/>
              </w:rPr>
              <w:t>18.5139</w:t>
            </w:r>
          </w:p>
        </w:tc>
        <w:tc>
          <w:tcPr>
            <w:tcW w:w="0" w:type="auto"/>
            <w:shd w:val="clear" w:color="auto" w:fill="auto"/>
            <w:noWrap/>
            <w:vAlign w:val="bottom"/>
            <w:hideMark/>
          </w:tcPr>
          <w:p w:rsidR="001D1E29" w:rsidRPr="00EE5D0A" w:rsidRDefault="001D1E29" w:rsidP="00421F84">
            <w:pPr>
              <w:rPr>
                <w:rFonts w:ascii="Arial" w:hAnsi="Arial" w:cs="Arial"/>
                <w:color w:val="000000"/>
                <w:lang w:eastAsia="en-IN" w:bidi="mr-IN"/>
              </w:rPr>
            </w:pPr>
            <w:r w:rsidRPr="00EE5D0A">
              <w:rPr>
                <w:rFonts w:ascii="Arial" w:hAnsi="Arial" w:cs="Arial"/>
                <w:color w:val="000000"/>
                <w:lang w:eastAsia="en-IN" w:bidi="mr-IN"/>
              </w:rPr>
              <w:t>73.8433</w:t>
            </w:r>
          </w:p>
        </w:tc>
      </w:tr>
      <w:tr w:rsidR="001D1E29" w:rsidRPr="00EE5D0A" w:rsidTr="00645B20">
        <w:trPr>
          <w:trHeight w:val="257"/>
          <w:jc w:val="center"/>
        </w:trPr>
        <w:tc>
          <w:tcPr>
            <w:tcW w:w="0" w:type="auto"/>
            <w:shd w:val="clear" w:color="auto" w:fill="auto"/>
            <w:noWrap/>
            <w:vAlign w:val="bottom"/>
          </w:tcPr>
          <w:p w:rsidR="001D1E29" w:rsidRPr="00EE5D0A" w:rsidRDefault="001D1E29" w:rsidP="00421F84">
            <w:pPr>
              <w:pStyle w:val="ListParagraph"/>
              <w:numPr>
                <w:ilvl w:val="0"/>
                <w:numId w:val="31"/>
              </w:numPr>
              <w:spacing w:after="0" w:line="240" w:lineRule="auto"/>
              <w:rPr>
                <w:rFonts w:ascii="Arial" w:eastAsia="Times New Roman" w:hAnsi="Arial" w:cs="Arial"/>
                <w:color w:val="000000"/>
                <w:sz w:val="20"/>
                <w:lang w:val="en-GB" w:eastAsia="en-IN"/>
              </w:rPr>
            </w:pPr>
          </w:p>
        </w:tc>
        <w:tc>
          <w:tcPr>
            <w:tcW w:w="0" w:type="auto"/>
            <w:shd w:val="clear" w:color="auto" w:fill="auto"/>
            <w:noWrap/>
            <w:vAlign w:val="bottom"/>
            <w:hideMark/>
          </w:tcPr>
          <w:p w:rsidR="001D1E29" w:rsidRPr="00EE5D0A" w:rsidRDefault="001D1E29" w:rsidP="00421F84">
            <w:pPr>
              <w:rPr>
                <w:rFonts w:ascii="Arial" w:hAnsi="Arial" w:cs="Arial"/>
                <w:color w:val="000000"/>
                <w:lang w:eastAsia="en-IN" w:bidi="mr-IN"/>
              </w:rPr>
            </w:pPr>
            <w:proofErr w:type="spellStart"/>
            <w:r w:rsidRPr="00EE5D0A">
              <w:rPr>
                <w:rFonts w:ascii="Arial" w:hAnsi="Arial" w:cs="Arial"/>
                <w:color w:val="000000"/>
                <w:lang w:eastAsia="en-IN" w:bidi="mr-IN"/>
              </w:rPr>
              <w:t>Khadakwasla</w:t>
            </w:r>
            <w:proofErr w:type="spellEnd"/>
            <w:r w:rsidRPr="00EE5D0A">
              <w:rPr>
                <w:rFonts w:ascii="Arial" w:hAnsi="Arial" w:cs="Arial"/>
                <w:color w:val="000000"/>
                <w:lang w:eastAsia="en-IN" w:bidi="mr-IN"/>
              </w:rPr>
              <w:t xml:space="preserve"> Dam</w:t>
            </w:r>
          </w:p>
        </w:tc>
        <w:tc>
          <w:tcPr>
            <w:tcW w:w="1636" w:type="dxa"/>
            <w:vAlign w:val="center"/>
          </w:tcPr>
          <w:p w:rsidR="001D1E29" w:rsidRPr="00EE5D0A" w:rsidRDefault="001D1E29" w:rsidP="00421F84">
            <w:pPr>
              <w:ind w:firstLineChars="4" w:firstLine="8"/>
              <w:rPr>
                <w:rFonts w:ascii="Arial" w:hAnsi="Arial" w:cs="Arial"/>
                <w:color w:val="000000"/>
                <w:lang w:eastAsia="en-IN" w:bidi="mr-IN"/>
              </w:rPr>
            </w:pPr>
            <w:r w:rsidRPr="00EE5D0A">
              <w:rPr>
                <w:rFonts w:ascii="Arial" w:hAnsi="Arial" w:cs="Arial"/>
                <w:color w:val="000000"/>
                <w:lang w:eastAsia="en-IN" w:bidi="mr-IN"/>
              </w:rPr>
              <w:t>Dam on Mutha</w:t>
            </w:r>
          </w:p>
        </w:tc>
        <w:tc>
          <w:tcPr>
            <w:tcW w:w="1085" w:type="dxa"/>
            <w:shd w:val="clear" w:color="auto" w:fill="auto"/>
            <w:noWrap/>
            <w:vAlign w:val="center"/>
            <w:hideMark/>
          </w:tcPr>
          <w:p w:rsidR="001D1E29" w:rsidRPr="00EE5D0A" w:rsidRDefault="001D1E29" w:rsidP="00421F84">
            <w:pPr>
              <w:ind w:right="66"/>
              <w:rPr>
                <w:rFonts w:ascii="Arial" w:hAnsi="Arial" w:cs="Arial"/>
                <w:color w:val="000000"/>
                <w:lang w:eastAsia="en-IN" w:bidi="mr-IN"/>
              </w:rPr>
            </w:pPr>
            <w:r w:rsidRPr="00EE5D0A">
              <w:rPr>
                <w:rFonts w:ascii="Arial" w:hAnsi="Arial" w:cs="Arial"/>
                <w:color w:val="000000"/>
                <w:lang w:eastAsia="en-IN" w:bidi="mr-IN"/>
              </w:rPr>
              <w:t>18.4388</w:t>
            </w:r>
          </w:p>
        </w:tc>
        <w:tc>
          <w:tcPr>
            <w:tcW w:w="0" w:type="auto"/>
            <w:shd w:val="clear" w:color="auto" w:fill="auto"/>
            <w:noWrap/>
            <w:vAlign w:val="bottom"/>
            <w:hideMark/>
          </w:tcPr>
          <w:p w:rsidR="001D1E29" w:rsidRPr="00EE5D0A" w:rsidRDefault="001D1E29" w:rsidP="00421F84">
            <w:pPr>
              <w:rPr>
                <w:rFonts w:ascii="Arial" w:hAnsi="Arial" w:cs="Arial"/>
                <w:color w:val="000000"/>
                <w:lang w:eastAsia="en-IN" w:bidi="mr-IN"/>
              </w:rPr>
            </w:pPr>
            <w:r w:rsidRPr="00EE5D0A">
              <w:rPr>
                <w:rFonts w:ascii="Arial" w:hAnsi="Arial" w:cs="Arial"/>
                <w:color w:val="000000"/>
                <w:lang w:eastAsia="en-IN" w:bidi="mr-IN"/>
              </w:rPr>
              <w:t>73.7725</w:t>
            </w:r>
          </w:p>
        </w:tc>
      </w:tr>
      <w:tr w:rsidR="001D1E29" w:rsidRPr="00EE5D0A" w:rsidTr="00645B20">
        <w:trPr>
          <w:trHeight w:val="257"/>
          <w:jc w:val="center"/>
        </w:trPr>
        <w:tc>
          <w:tcPr>
            <w:tcW w:w="0" w:type="auto"/>
            <w:shd w:val="clear" w:color="auto" w:fill="auto"/>
            <w:noWrap/>
            <w:vAlign w:val="bottom"/>
          </w:tcPr>
          <w:p w:rsidR="001D1E29" w:rsidRPr="00EE5D0A" w:rsidRDefault="001D1E29" w:rsidP="00421F84">
            <w:pPr>
              <w:pStyle w:val="ListParagraph"/>
              <w:numPr>
                <w:ilvl w:val="0"/>
                <w:numId w:val="31"/>
              </w:numPr>
              <w:spacing w:after="0" w:line="240" w:lineRule="auto"/>
              <w:rPr>
                <w:rFonts w:ascii="Arial" w:eastAsia="Times New Roman" w:hAnsi="Arial" w:cs="Arial"/>
                <w:color w:val="000000"/>
                <w:sz w:val="20"/>
                <w:lang w:val="en-GB" w:eastAsia="en-IN"/>
              </w:rPr>
            </w:pPr>
          </w:p>
        </w:tc>
        <w:tc>
          <w:tcPr>
            <w:tcW w:w="0" w:type="auto"/>
            <w:shd w:val="clear" w:color="auto" w:fill="auto"/>
            <w:noWrap/>
            <w:vAlign w:val="bottom"/>
            <w:hideMark/>
          </w:tcPr>
          <w:p w:rsidR="001D1E29" w:rsidRPr="00EE5D0A" w:rsidRDefault="001D1E29" w:rsidP="00421F84">
            <w:pPr>
              <w:rPr>
                <w:rFonts w:ascii="Arial" w:hAnsi="Arial" w:cs="Arial"/>
                <w:color w:val="000000"/>
                <w:lang w:eastAsia="en-IN" w:bidi="mr-IN"/>
              </w:rPr>
            </w:pPr>
            <w:proofErr w:type="spellStart"/>
            <w:r w:rsidRPr="00EE5D0A">
              <w:rPr>
                <w:rFonts w:ascii="Arial" w:hAnsi="Arial" w:cs="Arial"/>
                <w:color w:val="000000"/>
                <w:lang w:eastAsia="en-IN" w:bidi="mr-IN"/>
              </w:rPr>
              <w:t>Kasarwadi</w:t>
            </w:r>
            <w:proofErr w:type="spellEnd"/>
          </w:p>
        </w:tc>
        <w:tc>
          <w:tcPr>
            <w:tcW w:w="1636" w:type="dxa"/>
            <w:vAlign w:val="center"/>
          </w:tcPr>
          <w:p w:rsidR="001D1E29" w:rsidRPr="00EE5D0A" w:rsidRDefault="001D1E29" w:rsidP="00421F84">
            <w:pPr>
              <w:ind w:firstLineChars="4" w:firstLine="8"/>
              <w:rPr>
                <w:rFonts w:ascii="Arial" w:hAnsi="Arial" w:cs="Arial"/>
                <w:color w:val="000000"/>
                <w:lang w:eastAsia="en-IN" w:bidi="mr-IN"/>
              </w:rPr>
            </w:pPr>
            <w:r w:rsidRPr="00EE5D0A">
              <w:rPr>
                <w:rFonts w:ascii="Arial" w:hAnsi="Arial" w:cs="Arial"/>
                <w:color w:val="000000"/>
                <w:lang w:eastAsia="en-IN" w:bidi="mr-IN"/>
              </w:rPr>
              <w:t>Pawana River</w:t>
            </w:r>
          </w:p>
        </w:tc>
        <w:tc>
          <w:tcPr>
            <w:tcW w:w="1085" w:type="dxa"/>
            <w:shd w:val="clear" w:color="auto" w:fill="auto"/>
            <w:noWrap/>
            <w:vAlign w:val="center"/>
            <w:hideMark/>
          </w:tcPr>
          <w:p w:rsidR="001D1E29" w:rsidRPr="00EE5D0A" w:rsidRDefault="001D1E29" w:rsidP="00421F84">
            <w:pPr>
              <w:ind w:right="66"/>
              <w:rPr>
                <w:rFonts w:ascii="Arial" w:hAnsi="Arial" w:cs="Arial"/>
                <w:color w:val="000000"/>
                <w:lang w:eastAsia="en-IN" w:bidi="mr-IN"/>
              </w:rPr>
            </w:pPr>
            <w:r w:rsidRPr="00EE5D0A">
              <w:rPr>
                <w:rFonts w:ascii="Arial" w:hAnsi="Arial" w:cs="Arial"/>
                <w:color w:val="000000"/>
                <w:lang w:eastAsia="en-IN" w:bidi="mr-IN"/>
              </w:rPr>
              <w:t>18.6048</w:t>
            </w:r>
          </w:p>
        </w:tc>
        <w:tc>
          <w:tcPr>
            <w:tcW w:w="0" w:type="auto"/>
            <w:shd w:val="clear" w:color="auto" w:fill="auto"/>
            <w:noWrap/>
            <w:vAlign w:val="bottom"/>
            <w:hideMark/>
          </w:tcPr>
          <w:p w:rsidR="001D1E29" w:rsidRPr="00EE5D0A" w:rsidRDefault="001D1E29" w:rsidP="00421F84">
            <w:pPr>
              <w:rPr>
                <w:rFonts w:ascii="Arial" w:hAnsi="Arial" w:cs="Arial"/>
                <w:color w:val="000000"/>
                <w:lang w:eastAsia="en-IN" w:bidi="mr-IN"/>
              </w:rPr>
            </w:pPr>
            <w:r w:rsidRPr="00EE5D0A">
              <w:rPr>
                <w:rFonts w:ascii="Arial" w:hAnsi="Arial" w:cs="Arial"/>
                <w:color w:val="000000"/>
                <w:lang w:eastAsia="en-IN" w:bidi="mr-IN"/>
              </w:rPr>
              <w:t>73.8200</w:t>
            </w:r>
          </w:p>
        </w:tc>
      </w:tr>
      <w:tr w:rsidR="001D1E29" w:rsidRPr="00EE5D0A" w:rsidTr="00645B20">
        <w:trPr>
          <w:trHeight w:val="257"/>
          <w:jc w:val="center"/>
        </w:trPr>
        <w:tc>
          <w:tcPr>
            <w:tcW w:w="0" w:type="auto"/>
            <w:shd w:val="clear" w:color="auto" w:fill="auto"/>
            <w:noWrap/>
            <w:vAlign w:val="bottom"/>
          </w:tcPr>
          <w:p w:rsidR="001D1E29" w:rsidRPr="00EE5D0A" w:rsidRDefault="001D1E29" w:rsidP="00421F84">
            <w:pPr>
              <w:pStyle w:val="ListParagraph"/>
              <w:numPr>
                <w:ilvl w:val="0"/>
                <w:numId w:val="31"/>
              </w:numPr>
              <w:spacing w:after="0" w:line="240" w:lineRule="auto"/>
              <w:rPr>
                <w:rFonts w:ascii="Arial" w:eastAsia="Times New Roman" w:hAnsi="Arial" w:cs="Arial"/>
                <w:color w:val="000000"/>
                <w:sz w:val="20"/>
                <w:lang w:val="en-GB" w:eastAsia="en-IN"/>
              </w:rPr>
            </w:pPr>
          </w:p>
        </w:tc>
        <w:tc>
          <w:tcPr>
            <w:tcW w:w="0" w:type="auto"/>
            <w:shd w:val="clear" w:color="auto" w:fill="auto"/>
            <w:noWrap/>
            <w:vAlign w:val="bottom"/>
            <w:hideMark/>
          </w:tcPr>
          <w:p w:rsidR="001D1E29" w:rsidRPr="00EE5D0A" w:rsidRDefault="001D1E29" w:rsidP="00421F84">
            <w:pPr>
              <w:rPr>
                <w:rFonts w:ascii="Arial" w:hAnsi="Arial" w:cs="Arial"/>
                <w:color w:val="000000"/>
                <w:lang w:eastAsia="en-IN" w:bidi="mr-IN"/>
              </w:rPr>
            </w:pPr>
            <w:proofErr w:type="spellStart"/>
            <w:r w:rsidRPr="00EE5D0A">
              <w:rPr>
                <w:rFonts w:ascii="Arial" w:hAnsi="Arial" w:cs="Arial"/>
                <w:color w:val="000000"/>
                <w:lang w:eastAsia="en-IN" w:bidi="mr-IN"/>
              </w:rPr>
              <w:t>Dapodi</w:t>
            </w:r>
            <w:proofErr w:type="spellEnd"/>
            <w:r w:rsidRPr="00EE5D0A">
              <w:rPr>
                <w:rFonts w:ascii="Arial" w:hAnsi="Arial" w:cs="Arial"/>
                <w:color w:val="000000"/>
                <w:lang w:eastAsia="en-IN" w:bidi="mr-IN"/>
              </w:rPr>
              <w:t xml:space="preserve"> bridge </w:t>
            </w:r>
          </w:p>
        </w:tc>
        <w:tc>
          <w:tcPr>
            <w:tcW w:w="1636" w:type="dxa"/>
            <w:vAlign w:val="center"/>
          </w:tcPr>
          <w:p w:rsidR="001D1E29" w:rsidRPr="00EE5D0A" w:rsidRDefault="001D1E29" w:rsidP="00421F84">
            <w:pPr>
              <w:ind w:firstLineChars="4" w:firstLine="8"/>
              <w:rPr>
                <w:rFonts w:ascii="Arial" w:hAnsi="Arial" w:cs="Arial"/>
                <w:color w:val="000000"/>
                <w:lang w:eastAsia="en-IN" w:bidi="mr-IN"/>
              </w:rPr>
            </w:pPr>
            <w:r w:rsidRPr="00EE5D0A">
              <w:rPr>
                <w:rFonts w:ascii="Arial" w:hAnsi="Arial" w:cs="Arial"/>
                <w:color w:val="000000"/>
                <w:lang w:eastAsia="en-IN" w:bidi="mr-IN"/>
              </w:rPr>
              <w:t>Pawana</w:t>
            </w:r>
          </w:p>
        </w:tc>
        <w:tc>
          <w:tcPr>
            <w:tcW w:w="1085" w:type="dxa"/>
            <w:shd w:val="clear" w:color="auto" w:fill="auto"/>
            <w:noWrap/>
            <w:vAlign w:val="center"/>
            <w:hideMark/>
          </w:tcPr>
          <w:p w:rsidR="001D1E29" w:rsidRPr="00EE5D0A" w:rsidRDefault="001D1E29" w:rsidP="00421F84">
            <w:pPr>
              <w:ind w:right="66"/>
              <w:rPr>
                <w:rFonts w:ascii="Arial" w:hAnsi="Arial" w:cs="Arial"/>
                <w:color w:val="000000"/>
                <w:lang w:eastAsia="en-IN" w:bidi="mr-IN"/>
              </w:rPr>
            </w:pPr>
            <w:r w:rsidRPr="00EE5D0A">
              <w:rPr>
                <w:rFonts w:ascii="Arial" w:hAnsi="Arial" w:cs="Arial"/>
                <w:color w:val="000000"/>
                <w:lang w:eastAsia="en-IN" w:bidi="mr-IN"/>
              </w:rPr>
              <w:t>18.5829</w:t>
            </w:r>
          </w:p>
        </w:tc>
        <w:tc>
          <w:tcPr>
            <w:tcW w:w="0" w:type="auto"/>
            <w:shd w:val="clear" w:color="auto" w:fill="auto"/>
            <w:noWrap/>
            <w:vAlign w:val="bottom"/>
            <w:hideMark/>
          </w:tcPr>
          <w:p w:rsidR="001D1E29" w:rsidRPr="00EE5D0A" w:rsidRDefault="001D1E29" w:rsidP="00421F84">
            <w:pPr>
              <w:rPr>
                <w:rFonts w:ascii="Arial" w:hAnsi="Arial" w:cs="Arial"/>
                <w:color w:val="000000"/>
                <w:lang w:eastAsia="en-IN" w:bidi="mr-IN"/>
              </w:rPr>
            </w:pPr>
            <w:r w:rsidRPr="00EE5D0A">
              <w:rPr>
                <w:rFonts w:ascii="Arial" w:hAnsi="Arial" w:cs="Arial"/>
                <w:color w:val="000000"/>
                <w:lang w:eastAsia="en-IN" w:bidi="mr-IN"/>
              </w:rPr>
              <w:t>73.8259</w:t>
            </w:r>
          </w:p>
        </w:tc>
      </w:tr>
      <w:tr w:rsidR="001D1E29" w:rsidRPr="00EE5D0A" w:rsidTr="00645B20">
        <w:trPr>
          <w:trHeight w:val="257"/>
          <w:jc w:val="center"/>
        </w:trPr>
        <w:tc>
          <w:tcPr>
            <w:tcW w:w="0" w:type="auto"/>
            <w:shd w:val="clear" w:color="auto" w:fill="auto"/>
            <w:noWrap/>
            <w:vAlign w:val="bottom"/>
          </w:tcPr>
          <w:p w:rsidR="001D1E29" w:rsidRPr="00EE5D0A" w:rsidRDefault="001D1E29" w:rsidP="00421F84">
            <w:pPr>
              <w:pStyle w:val="ListParagraph"/>
              <w:numPr>
                <w:ilvl w:val="0"/>
                <w:numId w:val="31"/>
              </w:numPr>
              <w:spacing w:after="0" w:line="240" w:lineRule="auto"/>
              <w:rPr>
                <w:rFonts w:ascii="Arial" w:eastAsia="Times New Roman" w:hAnsi="Arial" w:cs="Arial"/>
                <w:color w:val="000000"/>
                <w:sz w:val="20"/>
                <w:lang w:val="en-GB" w:eastAsia="en-IN"/>
              </w:rPr>
            </w:pPr>
          </w:p>
        </w:tc>
        <w:tc>
          <w:tcPr>
            <w:tcW w:w="0" w:type="auto"/>
            <w:shd w:val="clear" w:color="auto" w:fill="auto"/>
            <w:noWrap/>
            <w:vAlign w:val="bottom"/>
            <w:hideMark/>
          </w:tcPr>
          <w:p w:rsidR="001D1E29" w:rsidRPr="00EE5D0A" w:rsidRDefault="001D1E29" w:rsidP="00421F84">
            <w:pPr>
              <w:rPr>
                <w:rFonts w:ascii="Arial" w:hAnsi="Arial" w:cs="Arial"/>
                <w:color w:val="000000"/>
                <w:lang w:eastAsia="en-IN" w:bidi="mr-IN"/>
              </w:rPr>
            </w:pPr>
            <w:r w:rsidRPr="00EE5D0A">
              <w:rPr>
                <w:rFonts w:ascii="Arial" w:hAnsi="Arial" w:cs="Arial"/>
                <w:color w:val="000000"/>
                <w:lang w:eastAsia="en-IN" w:bidi="mr-IN"/>
              </w:rPr>
              <w:t xml:space="preserve">Chinchwad </w:t>
            </w:r>
            <w:proofErr w:type="spellStart"/>
            <w:r w:rsidRPr="00EE5D0A">
              <w:rPr>
                <w:rFonts w:ascii="Arial" w:hAnsi="Arial" w:cs="Arial"/>
                <w:color w:val="000000"/>
                <w:lang w:eastAsia="en-IN" w:bidi="mr-IN"/>
              </w:rPr>
              <w:t>gaon</w:t>
            </w:r>
            <w:proofErr w:type="spellEnd"/>
          </w:p>
        </w:tc>
        <w:tc>
          <w:tcPr>
            <w:tcW w:w="1636" w:type="dxa"/>
            <w:vAlign w:val="center"/>
          </w:tcPr>
          <w:p w:rsidR="001D1E29" w:rsidRPr="00EE5D0A" w:rsidRDefault="001D1E29" w:rsidP="00421F84">
            <w:pPr>
              <w:rPr>
                <w:rFonts w:ascii="Arial" w:hAnsi="Arial" w:cs="Arial"/>
                <w:color w:val="000000"/>
                <w:lang w:eastAsia="en-IN" w:bidi="mr-IN"/>
              </w:rPr>
            </w:pPr>
            <w:r w:rsidRPr="00EE5D0A">
              <w:rPr>
                <w:rFonts w:ascii="Arial" w:hAnsi="Arial" w:cs="Arial"/>
                <w:color w:val="000000"/>
                <w:lang w:eastAsia="en-IN" w:bidi="mr-IN"/>
              </w:rPr>
              <w:t>Pawana</w:t>
            </w:r>
          </w:p>
        </w:tc>
        <w:tc>
          <w:tcPr>
            <w:tcW w:w="1085" w:type="dxa"/>
            <w:shd w:val="clear" w:color="auto" w:fill="auto"/>
            <w:noWrap/>
            <w:vAlign w:val="center"/>
            <w:hideMark/>
          </w:tcPr>
          <w:p w:rsidR="001D1E29" w:rsidRPr="00EE5D0A" w:rsidRDefault="001D1E29" w:rsidP="00421F84">
            <w:pPr>
              <w:ind w:right="66"/>
              <w:rPr>
                <w:rFonts w:ascii="Arial" w:hAnsi="Arial" w:cs="Arial"/>
                <w:color w:val="000000"/>
                <w:lang w:eastAsia="en-IN" w:bidi="mr-IN"/>
              </w:rPr>
            </w:pPr>
            <w:r w:rsidRPr="00EE5D0A">
              <w:rPr>
                <w:rFonts w:ascii="Arial" w:hAnsi="Arial" w:cs="Arial"/>
                <w:color w:val="000000"/>
                <w:lang w:eastAsia="en-IN" w:bidi="mr-IN"/>
              </w:rPr>
              <w:t>18.6279</w:t>
            </w:r>
          </w:p>
        </w:tc>
        <w:tc>
          <w:tcPr>
            <w:tcW w:w="0" w:type="auto"/>
            <w:shd w:val="clear" w:color="auto" w:fill="auto"/>
            <w:noWrap/>
            <w:vAlign w:val="bottom"/>
            <w:hideMark/>
          </w:tcPr>
          <w:p w:rsidR="001D1E29" w:rsidRPr="00EE5D0A" w:rsidRDefault="001D1E29" w:rsidP="00421F84">
            <w:pPr>
              <w:rPr>
                <w:rFonts w:ascii="Arial" w:hAnsi="Arial" w:cs="Arial"/>
                <w:color w:val="000000"/>
                <w:lang w:eastAsia="en-IN" w:bidi="mr-IN"/>
              </w:rPr>
            </w:pPr>
            <w:r w:rsidRPr="00EE5D0A">
              <w:rPr>
                <w:rFonts w:ascii="Arial" w:hAnsi="Arial" w:cs="Arial"/>
                <w:color w:val="000000"/>
                <w:lang w:eastAsia="en-IN" w:bidi="mr-IN"/>
              </w:rPr>
              <w:t>73.7758</w:t>
            </w:r>
          </w:p>
        </w:tc>
      </w:tr>
      <w:tr w:rsidR="00645B20" w:rsidRPr="00EE5D0A" w:rsidTr="00645B20">
        <w:trPr>
          <w:trHeight w:val="257"/>
          <w:jc w:val="center"/>
        </w:trPr>
        <w:tc>
          <w:tcPr>
            <w:tcW w:w="0" w:type="auto"/>
            <w:tcBorders>
              <w:bottom w:val="single" w:sz="4" w:space="0" w:color="auto"/>
            </w:tcBorders>
            <w:shd w:val="clear" w:color="auto" w:fill="auto"/>
            <w:noWrap/>
            <w:vAlign w:val="bottom"/>
            <w:hideMark/>
          </w:tcPr>
          <w:p w:rsidR="001D1E29" w:rsidRPr="00EE5D0A" w:rsidRDefault="001D1E29" w:rsidP="00421F84">
            <w:pPr>
              <w:pStyle w:val="ListParagraph"/>
              <w:numPr>
                <w:ilvl w:val="0"/>
                <w:numId w:val="31"/>
              </w:numPr>
              <w:spacing w:after="0" w:line="240" w:lineRule="auto"/>
              <w:rPr>
                <w:rFonts w:ascii="Arial" w:eastAsia="Times New Roman" w:hAnsi="Arial" w:cs="Arial"/>
                <w:color w:val="000000"/>
                <w:sz w:val="20"/>
                <w:lang w:val="en-GB" w:eastAsia="en-IN"/>
              </w:rPr>
            </w:pPr>
          </w:p>
        </w:tc>
        <w:tc>
          <w:tcPr>
            <w:tcW w:w="0" w:type="auto"/>
            <w:tcBorders>
              <w:bottom w:val="single" w:sz="4" w:space="0" w:color="auto"/>
            </w:tcBorders>
            <w:shd w:val="clear" w:color="auto" w:fill="auto"/>
            <w:noWrap/>
            <w:vAlign w:val="bottom"/>
            <w:hideMark/>
          </w:tcPr>
          <w:p w:rsidR="001D1E29" w:rsidRPr="00EE5D0A" w:rsidRDefault="001D1E29" w:rsidP="00421F84">
            <w:pPr>
              <w:rPr>
                <w:rFonts w:ascii="Arial" w:hAnsi="Arial" w:cs="Arial"/>
                <w:color w:val="000000"/>
                <w:lang w:eastAsia="en-IN" w:bidi="mr-IN"/>
              </w:rPr>
            </w:pPr>
            <w:proofErr w:type="spellStart"/>
            <w:r w:rsidRPr="00EE5D0A">
              <w:rPr>
                <w:rFonts w:ascii="Arial" w:hAnsi="Arial" w:cs="Arial"/>
                <w:color w:val="000000"/>
                <w:lang w:eastAsia="en-IN" w:bidi="mr-IN"/>
              </w:rPr>
              <w:t>Pimprigaon</w:t>
            </w:r>
            <w:proofErr w:type="spellEnd"/>
          </w:p>
        </w:tc>
        <w:tc>
          <w:tcPr>
            <w:tcW w:w="1636" w:type="dxa"/>
            <w:tcBorders>
              <w:bottom w:val="single" w:sz="4" w:space="0" w:color="auto"/>
            </w:tcBorders>
            <w:vAlign w:val="center"/>
          </w:tcPr>
          <w:p w:rsidR="001D1E29" w:rsidRPr="00EE5D0A" w:rsidRDefault="001D1E29" w:rsidP="00421F84">
            <w:pPr>
              <w:ind w:firstLineChars="4" w:firstLine="8"/>
              <w:rPr>
                <w:rFonts w:ascii="Arial" w:hAnsi="Arial" w:cs="Arial"/>
                <w:color w:val="000000"/>
                <w:lang w:eastAsia="en-IN" w:bidi="mr-IN"/>
              </w:rPr>
            </w:pPr>
            <w:r w:rsidRPr="00EE5D0A">
              <w:rPr>
                <w:rFonts w:ascii="Arial" w:hAnsi="Arial" w:cs="Arial"/>
                <w:color w:val="000000"/>
                <w:lang w:eastAsia="en-IN" w:bidi="mr-IN"/>
              </w:rPr>
              <w:t>Pawana</w:t>
            </w:r>
          </w:p>
        </w:tc>
        <w:tc>
          <w:tcPr>
            <w:tcW w:w="1085" w:type="dxa"/>
            <w:tcBorders>
              <w:bottom w:val="single" w:sz="4" w:space="0" w:color="auto"/>
            </w:tcBorders>
            <w:shd w:val="clear" w:color="auto" w:fill="auto"/>
            <w:noWrap/>
            <w:vAlign w:val="center"/>
            <w:hideMark/>
          </w:tcPr>
          <w:p w:rsidR="001D1E29" w:rsidRPr="00EE5D0A" w:rsidRDefault="001D1E29" w:rsidP="00421F84">
            <w:pPr>
              <w:ind w:right="66"/>
              <w:rPr>
                <w:rFonts w:ascii="Arial" w:hAnsi="Arial" w:cs="Arial"/>
                <w:color w:val="000000"/>
                <w:lang w:eastAsia="en-IN" w:bidi="mr-IN"/>
              </w:rPr>
            </w:pPr>
            <w:r w:rsidRPr="00EE5D0A">
              <w:rPr>
                <w:rFonts w:ascii="Arial" w:hAnsi="Arial" w:cs="Arial"/>
                <w:color w:val="000000"/>
                <w:lang w:eastAsia="en-IN" w:bidi="mr-IN"/>
              </w:rPr>
              <w:t>18.6074</w:t>
            </w:r>
          </w:p>
        </w:tc>
        <w:tc>
          <w:tcPr>
            <w:tcW w:w="0" w:type="auto"/>
            <w:tcBorders>
              <w:bottom w:val="single" w:sz="4" w:space="0" w:color="auto"/>
            </w:tcBorders>
            <w:shd w:val="clear" w:color="auto" w:fill="auto"/>
            <w:noWrap/>
            <w:vAlign w:val="bottom"/>
            <w:hideMark/>
          </w:tcPr>
          <w:p w:rsidR="001D1E29" w:rsidRPr="00EE5D0A" w:rsidRDefault="001D1E29" w:rsidP="00421F84">
            <w:pPr>
              <w:rPr>
                <w:rFonts w:ascii="Arial" w:hAnsi="Arial" w:cs="Arial"/>
                <w:color w:val="000000"/>
                <w:lang w:eastAsia="en-IN" w:bidi="mr-IN"/>
              </w:rPr>
            </w:pPr>
            <w:r w:rsidRPr="00EE5D0A">
              <w:rPr>
                <w:rFonts w:ascii="Arial" w:hAnsi="Arial" w:cs="Arial"/>
                <w:color w:val="000000"/>
                <w:lang w:eastAsia="en-IN" w:bidi="mr-IN"/>
              </w:rPr>
              <w:t>73.7964</w:t>
            </w:r>
          </w:p>
        </w:tc>
      </w:tr>
    </w:tbl>
    <w:p w:rsidR="001852BA" w:rsidRDefault="001852BA" w:rsidP="00461AD9">
      <w:pPr>
        <w:rPr>
          <w:rFonts w:ascii="Arial" w:hAnsi="Arial" w:cs="Arial"/>
          <w:b/>
          <w:bCs/>
          <w:color w:val="131313"/>
          <w:sz w:val="22"/>
          <w:szCs w:val="22"/>
          <w:lang w:bidi="mr-IN"/>
        </w:rPr>
      </w:pPr>
    </w:p>
    <w:p w:rsidR="001852BA" w:rsidRPr="008C1253" w:rsidRDefault="001852BA" w:rsidP="001852BA">
      <w:pPr>
        <w:spacing w:after="240"/>
        <w:jc w:val="both"/>
        <w:rPr>
          <w:rFonts w:ascii="Arial" w:hAnsi="Arial" w:cs="Arial"/>
          <w:b/>
          <w:bCs/>
          <w:color w:val="131313"/>
          <w:sz w:val="22"/>
          <w:szCs w:val="22"/>
          <w:lang w:bidi="mr-IN"/>
        </w:rPr>
      </w:pPr>
      <w:r>
        <w:rPr>
          <w:rFonts w:ascii="Arial" w:hAnsi="Arial" w:cs="Arial"/>
          <w:b/>
          <w:bCs/>
          <w:color w:val="131313"/>
          <w:sz w:val="22"/>
          <w:szCs w:val="22"/>
          <w:lang w:bidi="mr-IN"/>
        </w:rPr>
        <w:t xml:space="preserve">2.3 </w:t>
      </w:r>
      <w:r w:rsidRPr="008C1253">
        <w:rPr>
          <w:rFonts w:ascii="Arial" w:hAnsi="Arial" w:cs="Arial"/>
          <w:b/>
          <w:bCs/>
          <w:sz w:val="22"/>
          <w:szCs w:val="22"/>
          <w:lang w:eastAsia="en-IN" w:bidi="mr-IN"/>
        </w:rPr>
        <w:t>Identification of parameters</w:t>
      </w:r>
    </w:p>
    <w:p w:rsidR="00BF3ADD" w:rsidRPr="009F05B2" w:rsidRDefault="00C30A0F" w:rsidP="00B92E9A">
      <w:pPr>
        <w:jc w:val="both"/>
        <w:rPr>
          <w:rFonts w:ascii="Arial" w:hAnsi="Arial" w:cs="Arial"/>
        </w:rPr>
      </w:pPr>
      <w:r w:rsidRPr="00C30A0F">
        <w:rPr>
          <w:rFonts w:ascii="Arial" w:hAnsi="Arial" w:cs="Arial"/>
          <w:b/>
          <w:sz w:val="22"/>
        </w:rPr>
        <w:t xml:space="preserve"> </w:t>
      </w:r>
      <w:r w:rsidR="00BF3ADD" w:rsidRPr="009F05B2">
        <w:rPr>
          <w:rFonts w:ascii="Arial" w:hAnsi="Arial" w:cs="Arial"/>
        </w:rPr>
        <w:t>Seven physio-chemical parameters, including pH, Total Dissolved Salts (TDS), Total Hardness (TH), Electrical conductivity (EC), Chloride (Cl</w:t>
      </w:r>
      <w:r w:rsidR="00BF3ADD" w:rsidRPr="009F05B2">
        <w:rPr>
          <w:rFonts w:ascii="Arial" w:hAnsi="Arial" w:cs="Arial"/>
          <w:vertAlign w:val="superscript"/>
        </w:rPr>
        <w:t>-</w:t>
      </w:r>
      <w:r w:rsidR="00BF3ADD" w:rsidRPr="009F05B2">
        <w:rPr>
          <w:rFonts w:ascii="Arial" w:hAnsi="Arial" w:cs="Arial"/>
        </w:rPr>
        <w:t>), Sulphate (SO</w:t>
      </w:r>
      <w:r w:rsidR="00BF3ADD" w:rsidRPr="009F05B2">
        <w:rPr>
          <w:rFonts w:ascii="Arial" w:hAnsi="Arial" w:cs="Arial"/>
          <w:vertAlign w:val="superscript"/>
        </w:rPr>
        <w:t>4</w:t>
      </w:r>
      <w:r w:rsidR="00BF3ADD" w:rsidRPr="009F05B2">
        <w:rPr>
          <w:rFonts w:ascii="Arial" w:hAnsi="Arial" w:cs="Arial"/>
        </w:rPr>
        <w:t>), Calcium (Ca</w:t>
      </w:r>
      <w:r w:rsidR="00BF3ADD" w:rsidRPr="009F05B2">
        <w:rPr>
          <w:rFonts w:ascii="Arial" w:hAnsi="Arial" w:cs="Arial"/>
          <w:vertAlign w:val="superscript"/>
        </w:rPr>
        <w:t>+2</w:t>
      </w:r>
      <w:r w:rsidR="00BF3ADD" w:rsidRPr="009F05B2">
        <w:rPr>
          <w:rFonts w:ascii="Arial" w:hAnsi="Arial" w:cs="Arial"/>
        </w:rPr>
        <w:t>), and Magnesium (Mg</w:t>
      </w:r>
      <w:r w:rsidR="00BF3ADD" w:rsidRPr="009F05B2">
        <w:rPr>
          <w:rFonts w:ascii="Arial" w:hAnsi="Arial" w:cs="Arial"/>
          <w:vertAlign w:val="superscript"/>
        </w:rPr>
        <w:t>+2</w:t>
      </w:r>
      <w:r w:rsidR="00BF3ADD" w:rsidRPr="009F05B2">
        <w:rPr>
          <w:rFonts w:ascii="Arial" w:hAnsi="Arial" w:cs="Arial"/>
        </w:rPr>
        <w:t>), were calculated, while six biological parameters, pH, Biochemical Oxygen Demand (BOD), Chemical Oxygen Demand (COD), Dissolved Oxygen (DO), Nitrate (NO</w:t>
      </w:r>
      <w:r w:rsidR="00BF3ADD" w:rsidRPr="009F05B2">
        <w:rPr>
          <w:rFonts w:ascii="Arial" w:hAnsi="Arial" w:cs="Arial"/>
          <w:vertAlign w:val="superscript"/>
        </w:rPr>
        <w:t>2</w:t>
      </w:r>
      <w:r w:rsidR="00BF3ADD" w:rsidRPr="009F05B2">
        <w:rPr>
          <w:rFonts w:ascii="Arial" w:hAnsi="Arial" w:cs="Arial"/>
        </w:rPr>
        <w:t xml:space="preserve">), and one microbial parameter i.e. Fecal Coliform (FC), were recorded with an annual average of consecutive years from 2020 to 2024. An auto digital pH meter (0.1 pH resolution AVI-33A) was used to record and estimate the pH of samples. EC and TDS were measured using the ACUTEK instrument model COM-500. Chloride, Nitrate and Sulphate were estimated by using the Titrimetric Method, which helped to determine the concentration of these parameters in the samples. Calcium, magnesium and total hardness were </w:t>
      </w:r>
      <w:proofErr w:type="spellStart"/>
      <w:r w:rsidR="00BF3ADD" w:rsidRPr="009F05B2">
        <w:rPr>
          <w:rFonts w:ascii="Arial" w:hAnsi="Arial" w:cs="Arial"/>
        </w:rPr>
        <w:t>analysed</w:t>
      </w:r>
      <w:proofErr w:type="spellEnd"/>
      <w:r w:rsidR="00BF3ADD" w:rsidRPr="009F05B2">
        <w:rPr>
          <w:rFonts w:ascii="Arial" w:hAnsi="Arial" w:cs="Arial"/>
        </w:rPr>
        <w:t xml:space="preserve"> using the standard EDTA titration Method specified in APHA. BOD and DO were estimated with the BOD titrimetric method and titrimetric method. COD was estimated by the potassium dichromate oxidation reflux method, as it needed to be processed and </w:t>
      </w:r>
      <w:proofErr w:type="spellStart"/>
      <w:r w:rsidR="00BF3ADD" w:rsidRPr="009F05B2">
        <w:rPr>
          <w:rFonts w:ascii="Arial" w:hAnsi="Arial" w:cs="Arial"/>
        </w:rPr>
        <w:t>analysed</w:t>
      </w:r>
      <w:proofErr w:type="spellEnd"/>
      <w:r w:rsidR="00BF3ADD" w:rsidRPr="009F05B2">
        <w:rPr>
          <w:rFonts w:ascii="Arial" w:hAnsi="Arial" w:cs="Arial"/>
        </w:rPr>
        <w:t xml:space="preserve"> at the early hours of sample collection. The Fecal Coliform is a waterborne bacterium, and its presence indicates contamination of drinking water due to untreated sewage </w:t>
      </w:r>
      <w:bookmarkStart w:id="11" w:name="ZOTERO_BREF_9tTxw8X4OQ54"/>
      <w:r w:rsidR="00BF3ADD" w:rsidRPr="009F05B2">
        <w:rPr>
          <w:rFonts w:ascii="Arial" w:hAnsi="Arial" w:cs="Arial"/>
        </w:rPr>
        <w:t>(</w:t>
      </w:r>
      <w:proofErr w:type="spellStart"/>
      <w:r w:rsidR="00BF3ADD" w:rsidRPr="009F05B2">
        <w:rPr>
          <w:rFonts w:ascii="Arial" w:hAnsi="Arial" w:cs="Arial"/>
        </w:rPr>
        <w:t>Thériault</w:t>
      </w:r>
      <w:proofErr w:type="spellEnd"/>
      <w:r w:rsidR="00BF3ADD" w:rsidRPr="009F05B2">
        <w:rPr>
          <w:rFonts w:ascii="Arial" w:hAnsi="Arial" w:cs="Arial"/>
        </w:rPr>
        <w:t xml:space="preserve"> and Duchesne 2015; </w:t>
      </w:r>
      <w:proofErr w:type="spellStart"/>
      <w:r w:rsidR="00BF3ADD" w:rsidRPr="009F05B2">
        <w:rPr>
          <w:rFonts w:ascii="Arial" w:hAnsi="Arial" w:cs="Arial"/>
        </w:rPr>
        <w:t>Tambi</w:t>
      </w:r>
      <w:proofErr w:type="spellEnd"/>
      <w:r w:rsidR="00BF3ADD" w:rsidRPr="009F05B2">
        <w:rPr>
          <w:rFonts w:ascii="Arial" w:hAnsi="Arial" w:cs="Arial"/>
        </w:rPr>
        <w:t xml:space="preserve"> et al. 2023)</w:t>
      </w:r>
      <w:bookmarkEnd w:id="11"/>
      <w:r w:rsidR="00BF3ADD" w:rsidRPr="009F05B2">
        <w:rPr>
          <w:rFonts w:ascii="Arial" w:hAnsi="Arial" w:cs="Arial"/>
        </w:rPr>
        <w:t xml:space="preserve">. With the help of laboratory filtration, incubation and fermentation methods, the presence of Fecal Coliform bacteria was measured. All the analysis was performed to estimate </w:t>
      </w:r>
      <w:proofErr w:type="spellStart"/>
      <w:r w:rsidR="00BF3ADD" w:rsidRPr="009F05B2">
        <w:rPr>
          <w:rFonts w:ascii="Arial" w:hAnsi="Arial" w:cs="Arial"/>
        </w:rPr>
        <w:t>physico</w:t>
      </w:r>
      <w:proofErr w:type="spellEnd"/>
      <w:r w:rsidR="00BF3ADD" w:rsidRPr="009F05B2">
        <w:rPr>
          <w:rFonts w:ascii="Arial" w:hAnsi="Arial" w:cs="Arial"/>
        </w:rPr>
        <w:t xml:space="preserve">-chemical parameters as mentioned in Table 2. </w:t>
      </w:r>
    </w:p>
    <w:p w:rsidR="00BF3ADD" w:rsidRPr="00E21BBF" w:rsidRDefault="00BF3ADD" w:rsidP="00DB04F3">
      <w:pPr>
        <w:spacing w:before="240" w:after="240"/>
        <w:jc w:val="center"/>
        <w:rPr>
          <w:rFonts w:ascii="Arial" w:hAnsi="Arial" w:cs="Arial"/>
          <w:b/>
        </w:rPr>
      </w:pPr>
      <w:r w:rsidRPr="00E21BBF">
        <w:rPr>
          <w:rFonts w:ascii="Arial" w:hAnsi="Arial" w:cs="Arial"/>
          <w:b/>
        </w:rPr>
        <w:t>Table 2: Physicochemical Parameters studied and analytical methods applied to measure using APHA standards.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1325"/>
        <w:gridCol w:w="1433"/>
        <w:gridCol w:w="3109"/>
      </w:tblGrid>
      <w:tr w:rsidR="00163C46" w:rsidRPr="009F05B2" w:rsidTr="00DB04F3">
        <w:trPr>
          <w:trHeight w:val="242"/>
          <w:jc w:val="center"/>
        </w:trPr>
        <w:tc>
          <w:tcPr>
            <w:tcW w:w="0" w:type="auto"/>
            <w:tcBorders>
              <w:top w:val="single" w:sz="4" w:space="0" w:color="auto"/>
              <w:bottom w:val="single" w:sz="4" w:space="0" w:color="auto"/>
            </w:tcBorders>
          </w:tcPr>
          <w:p w:rsidR="00163C46" w:rsidRPr="009F05B2" w:rsidRDefault="00163C46" w:rsidP="00195B60">
            <w:pPr>
              <w:rPr>
                <w:rFonts w:ascii="Arial" w:hAnsi="Arial" w:cs="Arial"/>
                <w:b/>
                <w:bCs/>
                <w:sz w:val="20"/>
                <w:szCs w:val="20"/>
              </w:rPr>
            </w:pPr>
            <w:r w:rsidRPr="009F05B2">
              <w:rPr>
                <w:rFonts w:ascii="Arial" w:hAnsi="Arial" w:cs="Arial"/>
                <w:b/>
                <w:bCs/>
                <w:sz w:val="20"/>
                <w:szCs w:val="20"/>
              </w:rPr>
              <w:t>Parameters</w:t>
            </w:r>
          </w:p>
        </w:tc>
        <w:tc>
          <w:tcPr>
            <w:tcW w:w="0" w:type="auto"/>
            <w:tcBorders>
              <w:top w:val="single" w:sz="4" w:space="0" w:color="auto"/>
              <w:bottom w:val="single" w:sz="4" w:space="0" w:color="auto"/>
            </w:tcBorders>
          </w:tcPr>
          <w:p w:rsidR="00163C46" w:rsidRPr="009F05B2" w:rsidRDefault="00163C46" w:rsidP="00195B60">
            <w:pPr>
              <w:ind w:left="518" w:hanging="86"/>
              <w:rPr>
                <w:rFonts w:ascii="Arial" w:hAnsi="Arial" w:cs="Arial"/>
                <w:b/>
                <w:bCs/>
                <w:sz w:val="20"/>
                <w:szCs w:val="20"/>
              </w:rPr>
            </w:pPr>
            <w:r w:rsidRPr="009F05B2">
              <w:rPr>
                <w:rFonts w:ascii="Arial" w:hAnsi="Arial" w:cs="Arial"/>
                <w:b/>
                <w:bCs/>
                <w:sz w:val="20"/>
                <w:szCs w:val="20"/>
              </w:rPr>
              <w:t>Units</w:t>
            </w:r>
          </w:p>
        </w:tc>
        <w:tc>
          <w:tcPr>
            <w:tcW w:w="0" w:type="auto"/>
            <w:tcBorders>
              <w:top w:val="single" w:sz="4" w:space="0" w:color="auto"/>
              <w:bottom w:val="single" w:sz="4" w:space="0" w:color="auto"/>
            </w:tcBorders>
          </w:tcPr>
          <w:p w:rsidR="00163C46" w:rsidRPr="009F05B2" w:rsidRDefault="00163C46" w:rsidP="00195B60">
            <w:pPr>
              <w:rPr>
                <w:rFonts w:ascii="Arial" w:hAnsi="Arial" w:cs="Arial"/>
                <w:b/>
                <w:bCs/>
                <w:sz w:val="20"/>
                <w:szCs w:val="20"/>
              </w:rPr>
            </w:pPr>
            <w:r w:rsidRPr="009F05B2">
              <w:rPr>
                <w:rFonts w:ascii="Arial" w:hAnsi="Arial" w:cs="Arial"/>
                <w:b/>
                <w:bCs/>
                <w:sz w:val="20"/>
                <w:szCs w:val="20"/>
              </w:rPr>
              <w:t xml:space="preserve">Indian </w:t>
            </w:r>
            <w:r w:rsidRPr="009F05B2">
              <w:rPr>
                <w:rFonts w:ascii="Arial" w:hAnsi="Arial" w:cs="Arial"/>
                <w:b/>
                <w:bCs/>
                <w:sz w:val="20"/>
                <w:szCs w:val="20"/>
              </w:rPr>
              <w:lastRenderedPageBreak/>
              <w:t>standard</w:t>
            </w:r>
          </w:p>
        </w:tc>
        <w:tc>
          <w:tcPr>
            <w:tcW w:w="0" w:type="auto"/>
            <w:tcBorders>
              <w:top w:val="single" w:sz="4" w:space="0" w:color="auto"/>
              <w:bottom w:val="single" w:sz="4" w:space="0" w:color="auto"/>
            </w:tcBorders>
          </w:tcPr>
          <w:p w:rsidR="00163C46" w:rsidRPr="009F05B2" w:rsidRDefault="00163C46" w:rsidP="00195B60">
            <w:pPr>
              <w:rPr>
                <w:rFonts w:ascii="Arial" w:hAnsi="Arial" w:cs="Arial"/>
                <w:b/>
                <w:bCs/>
                <w:sz w:val="20"/>
                <w:szCs w:val="20"/>
              </w:rPr>
            </w:pPr>
            <w:r w:rsidRPr="009F05B2">
              <w:rPr>
                <w:rFonts w:ascii="Arial" w:hAnsi="Arial" w:cs="Arial"/>
                <w:b/>
                <w:bCs/>
                <w:sz w:val="20"/>
                <w:szCs w:val="20"/>
              </w:rPr>
              <w:lastRenderedPageBreak/>
              <w:t xml:space="preserve">Applied Analytical Method </w:t>
            </w:r>
          </w:p>
        </w:tc>
      </w:tr>
      <w:tr w:rsidR="00163C46" w:rsidRPr="009F05B2" w:rsidTr="00AD01A8">
        <w:trPr>
          <w:trHeight w:val="253"/>
          <w:jc w:val="center"/>
        </w:trPr>
        <w:tc>
          <w:tcPr>
            <w:tcW w:w="0" w:type="auto"/>
            <w:tcBorders>
              <w:top w:val="single" w:sz="4" w:space="0" w:color="auto"/>
            </w:tcBorders>
          </w:tcPr>
          <w:p w:rsidR="00163C46" w:rsidRPr="009F05B2" w:rsidRDefault="00163C46" w:rsidP="00195B60">
            <w:pPr>
              <w:rPr>
                <w:rFonts w:ascii="Arial" w:hAnsi="Arial" w:cs="Arial"/>
                <w:sz w:val="20"/>
                <w:szCs w:val="20"/>
              </w:rPr>
            </w:pPr>
            <w:r w:rsidRPr="009F05B2">
              <w:rPr>
                <w:rFonts w:ascii="Arial" w:hAnsi="Arial" w:cs="Arial"/>
                <w:sz w:val="20"/>
                <w:szCs w:val="20"/>
              </w:rPr>
              <w:t>Electrical conductivity (EC)</w:t>
            </w:r>
          </w:p>
        </w:tc>
        <w:tc>
          <w:tcPr>
            <w:tcW w:w="0" w:type="auto"/>
            <w:tcBorders>
              <w:top w:val="single" w:sz="4" w:space="0" w:color="auto"/>
            </w:tcBorders>
          </w:tcPr>
          <w:p w:rsidR="00163C46" w:rsidRPr="009F05B2" w:rsidRDefault="00163C46" w:rsidP="00195B60">
            <w:pPr>
              <w:ind w:left="518" w:hanging="86"/>
              <w:rPr>
                <w:rFonts w:ascii="Arial" w:hAnsi="Arial" w:cs="Arial"/>
                <w:sz w:val="20"/>
                <w:szCs w:val="20"/>
              </w:rPr>
            </w:pPr>
            <w:r w:rsidRPr="009F05B2">
              <w:rPr>
                <w:rFonts w:ascii="Arial" w:hAnsi="Arial" w:cs="Arial"/>
                <w:sz w:val="20"/>
                <w:szCs w:val="20"/>
              </w:rPr>
              <w:t>s/m</w:t>
            </w:r>
          </w:p>
        </w:tc>
        <w:tc>
          <w:tcPr>
            <w:tcW w:w="0" w:type="auto"/>
            <w:tcBorders>
              <w:top w:val="single" w:sz="4" w:space="0" w:color="auto"/>
            </w:tcBorders>
          </w:tcPr>
          <w:p w:rsidR="00163C46" w:rsidRPr="009F05B2" w:rsidRDefault="00163C46" w:rsidP="00195B60">
            <w:pPr>
              <w:rPr>
                <w:rFonts w:ascii="Arial" w:hAnsi="Arial" w:cs="Arial"/>
                <w:sz w:val="20"/>
                <w:szCs w:val="20"/>
              </w:rPr>
            </w:pPr>
            <w:r w:rsidRPr="009F05B2">
              <w:rPr>
                <w:rFonts w:ascii="Arial" w:hAnsi="Arial" w:cs="Arial"/>
                <w:sz w:val="20"/>
                <w:szCs w:val="20"/>
              </w:rPr>
              <w:t>0-0.25</w:t>
            </w:r>
          </w:p>
        </w:tc>
        <w:tc>
          <w:tcPr>
            <w:tcW w:w="0" w:type="auto"/>
            <w:tcBorders>
              <w:top w:val="single" w:sz="4" w:space="0" w:color="auto"/>
            </w:tcBorders>
          </w:tcPr>
          <w:p w:rsidR="00163C46" w:rsidRPr="009F05B2" w:rsidRDefault="00163C46" w:rsidP="00195B60">
            <w:pPr>
              <w:rPr>
                <w:rFonts w:ascii="Arial" w:hAnsi="Arial" w:cs="Arial"/>
                <w:sz w:val="20"/>
                <w:szCs w:val="20"/>
              </w:rPr>
            </w:pPr>
            <w:r w:rsidRPr="009F05B2">
              <w:rPr>
                <w:rFonts w:ascii="Arial" w:hAnsi="Arial" w:cs="Arial"/>
                <w:sz w:val="20"/>
                <w:szCs w:val="20"/>
              </w:rPr>
              <w:t>Conductivity meter (ACUTEK)</w:t>
            </w:r>
          </w:p>
        </w:tc>
      </w:tr>
      <w:tr w:rsidR="00163C46" w:rsidRPr="009F05B2" w:rsidTr="00AD01A8">
        <w:trPr>
          <w:trHeight w:val="242"/>
          <w:jc w:val="center"/>
        </w:trPr>
        <w:tc>
          <w:tcPr>
            <w:tcW w:w="0" w:type="auto"/>
          </w:tcPr>
          <w:p w:rsidR="00163C46" w:rsidRPr="009F05B2" w:rsidRDefault="00163C46" w:rsidP="00195B60">
            <w:pPr>
              <w:rPr>
                <w:rFonts w:ascii="Arial" w:hAnsi="Arial" w:cs="Arial"/>
                <w:sz w:val="20"/>
                <w:szCs w:val="20"/>
              </w:rPr>
            </w:pPr>
            <w:r w:rsidRPr="009F05B2">
              <w:rPr>
                <w:rFonts w:ascii="Arial" w:hAnsi="Arial" w:cs="Arial"/>
                <w:sz w:val="20"/>
                <w:szCs w:val="20"/>
              </w:rPr>
              <w:t>pH</w:t>
            </w:r>
          </w:p>
        </w:tc>
        <w:tc>
          <w:tcPr>
            <w:tcW w:w="0" w:type="auto"/>
          </w:tcPr>
          <w:p w:rsidR="00163C46" w:rsidRPr="009F05B2" w:rsidRDefault="00163C46" w:rsidP="00195B60">
            <w:pPr>
              <w:ind w:left="518" w:hanging="86"/>
              <w:rPr>
                <w:rFonts w:ascii="Arial" w:hAnsi="Arial" w:cs="Arial"/>
                <w:sz w:val="20"/>
                <w:szCs w:val="20"/>
              </w:rPr>
            </w:pPr>
            <w:r w:rsidRPr="009F05B2">
              <w:rPr>
                <w:rFonts w:ascii="Arial" w:hAnsi="Arial" w:cs="Arial"/>
                <w:sz w:val="20"/>
                <w:szCs w:val="20"/>
              </w:rPr>
              <w:t>-</w:t>
            </w:r>
          </w:p>
        </w:tc>
        <w:tc>
          <w:tcPr>
            <w:tcW w:w="0" w:type="auto"/>
          </w:tcPr>
          <w:p w:rsidR="00163C46" w:rsidRPr="009F05B2" w:rsidRDefault="00163C46" w:rsidP="00195B60">
            <w:pPr>
              <w:rPr>
                <w:rFonts w:ascii="Arial" w:hAnsi="Arial" w:cs="Arial"/>
                <w:sz w:val="20"/>
                <w:szCs w:val="20"/>
              </w:rPr>
            </w:pPr>
            <w:r w:rsidRPr="009F05B2">
              <w:rPr>
                <w:rFonts w:ascii="Arial" w:hAnsi="Arial" w:cs="Arial"/>
                <w:sz w:val="20"/>
                <w:szCs w:val="20"/>
              </w:rPr>
              <w:t>6.5-7.5</w:t>
            </w:r>
          </w:p>
        </w:tc>
        <w:tc>
          <w:tcPr>
            <w:tcW w:w="0" w:type="auto"/>
          </w:tcPr>
          <w:p w:rsidR="00163C46" w:rsidRPr="009F05B2" w:rsidRDefault="00163C46" w:rsidP="00195B60">
            <w:pPr>
              <w:rPr>
                <w:rFonts w:ascii="Arial" w:hAnsi="Arial" w:cs="Arial"/>
                <w:sz w:val="20"/>
                <w:szCs w:val="20"/>
              </w:rPr>
            </w:pPr>
            <w:r w:rsidRPr="009F05B2">
              <w:rPr>
                <w:rFonts w:ascii="Arial" w:hAnsi="Arial" w:cs="Arial"/>
                <w:sz w:val="20"/>
                <w:szCs w:val="20"/>
              </w:rPr>
              <w:t>pH meter</w:t>
            </w:r>
          </w:p>
        </w:tc>
      </w:tr>
      <w:tr w:rsidR="00163C46" w:rsidRPr="009F05B2" w:rsidTr="00AD01A8">
        <w:trPr>
          <w:trHeight w:val="242"/>
          <w:jc w:val="center"/>
        </w:trPr>
        <w:tc>
          <w:tcPr>
            <w:tcW w:w="0" w:type="auto"/>
          </w:tcPr>
          <w:p w:rsidR="00163C46" w:rsidRPr="009F05B2" w:rsidRDefault="00163C46" w:rsidP="00195B60">
            <w:pPr>
              <w:rPr>
                <w:rFonts w:ascii="Arial" w:hAnsi="Arial" w:cs="Arial"/>
                <w:sz w:val="20"/>
                <w:szCs w:val="20"/>
              </w:rPr>
            </w:pPr>
            <w:r w:rsidRPr="009F05B2">
              <w:rPr>
                <w:rFonts w:ascii="Arial" w:hAnsi="Arial" w:cs="Arial"/>
                <w:sz w:val="20"/>
                <w:szCs w:val="20"/>
              </w:rPr>
              <w:t>Total Dissolved Salts (TDS)</w:t>
            </w:r>
          </w:p>
        </w:tc>
        <w:tc>
          <w:tcPr>
            <w:tcW w:w="0" w:type="auto"/>
          </w:tcPr>
          <w:p w:rsidR="00163C46" w:rsidRPr="009F05B2" w:rsidRDefault="00163C46" w:rsidP="00195B60">
            <w:pPr>
              <w:ind w:left="518" w:hanging="86"/>
              <w:rPr>
                <w:rFonts w:ascii="Arial" w:hAnsi="Arial" w:cs="Arial"/>
                <w:sz w:val="20"/>
                <w:szCs w:val="20"/>
              </w:rPr>
            </w:pPr>
            <w:r w:rsidRPr="009F05B2">
              <w:rPr>
                <w:rFonts w:ascii="Arial" w:hAnsi="Arial" w:cs="Arial"/>
                <w:sz w:val="20"/>
                <w:szCs w:val="20"/>
              </w:rPr>
              <w:t>mg/l</w:t>
            </w:r>
          </w:p>
        </w:tc>
        <w:tc>
          <w:tcPr>
            <w:tcW w:w="0" w:type="auto"/>
          </w:tcPr>
          <w:p w:rsidR="00163C46" w:rsidRPr="009F05B2" w:rsidRDefault="00163C46" w:rsidP="00195B60">
            <w:pPr>
              <w:rPr>
                <w:rFonts w:ascii="Arial" w:hAnsi="Arial" w:cs="Arial"/>
                <w:sz w:val="20"/>
                <w:szCs w:val="20"/>
              </w:rPr>
            </w:pPr>
            <w:r w:rsidRPr="009F05B2">
              <w:rPr>
                <w:rFonts w:ascii="Arial" w:hAnsi="Arial" w:cs="Arial"/>
                <w:sz w:val="20"/>
                <w:szCs w:val="20"/>
              </w:rPr>
              <w:t>50-300</w:t>
            </w:r>
          </w:p>
        </w:tc>
        <w:tc>
          <w:tcPr>
            <w:tcW w:w="0" w:type="auto"/>
          </w:tcPr>
          <w:p w:rsidR="00163C46" w:rsidRPr="009F05B2" w:rsidRDefault="00163C46" w:rsidP="00195B60">
            <w:pPr>
              <w:rPr>
                <w:rFonts w:ascii="Arial" w:hAnsi="Arial" w:cs="Arial"/>
                <w:sz w:val="20"/>
                <w:szCs w:val="20"/>
              </w:rPr>
            </w:pPr>
            <w:r w:rsidRPr="009F05B2">
              <w:rPr>
                <w:rFonts w:ascii="Arial" w:hAnsi="Arial" w:cs="Arial"/>
                <w:sz w:val="20"/>
                <w:szCs w:val="20"/>
              </w:rPr>
              <w:t>Instrument (ACUTEK)</w:t>
            </w:r>
          </w:p>
        </w:tc>
      </w:tr>
      <w:tr w:rsidR="00163C46" w:rsidRPr="009F05B2" w:rsidTr="00AD01A8">
        <w:trPr>
          <w:trHeight w:val="242"/>
          <w:jc w:val="center"/>
        </w:trPr>
        <w:tc>
          <w:tcPr>
            <w:tcW w:w="0" w:type="auto"/>
          </w:tcPr>
          <w:p w:rsidR="00163C46" w:rsidRPr="009F05B2" w:rsidRDefault="00163C46" w:rsidP="00195B60">
            <w:pPr>
              <w:rPr>
                <w:rFonts w:ascii="Arial" w:hAnsi="Arial" w:cs="Arial"/>
                <w:sz w:val="20"/>
                <w:szCs w:val="20"/>
              </w:rPr>
            </w:pPr>
            <w:r w:rsidRPr="009F05B2">
              <w:rPr>
                <w:rFonts w:ascii="Arial" w:hAnsi="Arial" w:cs="Arial"/>
                <w:sz w:val="20"/>
                <w:szCs w:val="20"/>
              </w:rPr>
              <w:t>Chloride (Cl</w:t>
            </w:r>
            <w:r w:rsidRPr="009F05B2">
              <w:rPr>
                <w:rFonts w:ascii="Arial" w:hAnsi="Arial" w:cs="Arial"/>
                <w:sz w:val="20"/>
                <w:szCs w:val="20"/>
                <w:vertAlign w:val="superscript"/>
              </w:rPr>
              <w:t>-</w:t>
            </w:r>
            <w:r w:rsidRPr="009F05B2">
              <w:rPr>
                <w:rFonts w:ascii="Arial" w:hAnsi="Arial" w:cs="Arial"/>
                <w:sz w:val="20"/>
                <w:szCs w:val="20"/>
              </w:rPr>
              <w:t>)</w:t>
            </w:r>
          </w:p>
        </w:tc>
        <w:tc>
          <w:tcPr>
            <w:tcW w:w="0" w:type="auto"/>
          </w:tcPr>
          <w:p w:rsidR="00163C46" w:rsidRPr="009F05B2" w:rsidRDefault="00163C46" w:rsidP="00195B60">
            <w:pPr>
              <w:ind w:left="518" w:hanging="86"/>
              <w:rPr>
                <w:rFonts w:ascii="Arial" w:hAnsi="Arial" w:cs="Arial"/>
                <w:sz w:val="20"/>
                <w:szCs w:val="20"/>
              </w:rPr>
            </w:pPr>
            <w:r w:rsidRPr="009F05B2">
              <w:rPr>
                <w:rFonts w:ascii="Arial" w:hAnsi="Arial" w:cs="Arial"/>
                <w:sz w:val="20"/>
                <w:szCs w:val="20"/>
              </w:rPr>
              <w:t>mg/l</w:t>
            </w:r>
          </w:p>
        </w:tc>
        <w:tc>
          <w:tcPr>
            <w:tcW w:w="0" w:type="auto"/>
          </w:tcPr>
          <w:p w:rsidR="00163C46" w:rsidRPr="009F05B2" w:rsidRDefault="00163C46" w:rsidP="00195B60">
            <w:pPr>
              <w:rPr>
                <w:rFonts w:ascii="Arial" w:hAnsi="Arial" w:cs="Arial"/>
                <w:sz w:val="20"/>
                <w:szCs w:val="20"/>
              </w:rPr>
            </w:pPr>
            <w:r w:rsidRPr="009F05B2">
              <w:rPr>
                <w:rFonts w:ascii="Arial" w:hAnsi="Arial" w:cs="Arial"/>
                <w:sz w:val="20"/>
                <w:szCs w:val="20"/>
              </w:rPr>
              <w:t>250</w:t>
            </w:r>
          </w:p>
        </w:tc>
        <w:tc>
          <w:tcPr>
            <w:tcW w:w="0" w:type="auto"/>
          </w:tcPr>
          <w:p w:rsidR="00163C46" w:rsidRPr="009F05B2" w:rsidRDefault="00163C46" w:rsidP="00195B60">
            <w:pPr>
              <w:rPr>
                <w:rFonts w:ascii="Arial" w:hAnsi="Arial" w:cs="Arial"/>
                <w:sz w:val="20"/>
                <w:szCs w:val="20"/>
              </w:rPr>
            </w:pPr>
            <w:r w:rsidRPr="009F05B2">
              <w:rPr>
                <w:rFonts w:ascii="Arial" w:hAnsi="Arial" w:cs="Arial"/>
                <w:sz w:val="20"/>
                <w:szCs w:val="20"/>
              </w:rPr>
              <w:t>Titrimetric Method</w:t>
            </w:r>
          </w:p>
        </w:tc>
      </w:tr>
      <w:tr w:rsidR="00163C46" w:rsidRPr="009F05B2" w:rsidTr="00AD01A8">
        <w:trPr>
          <w:trHeight w:val="242"/>
          <w:jc w:val="center"/>
        </w:trPr>
        <w:tc>
          <w:tcPr>
            <w:tcW w:w="0" w:type="auto"/>
          </w:tcPr>
          <w:p w:rsidR="00163C46" w:rsidRPr="009F05B2" w:rsidRDefault="00163C46" w:rsidP="00195B60">
            <w:pPr>
              <w:rPr>
                <w:rFonts w:ascii="Arial" w:hAnsi="Arial" w:cs="Arial"/>
                <w:sz w:val="20"/>
                <w:szCs w:val="20"/>
              </w:rPr>
            </w:pPr>
            <w:r w:rsidRPr="009F05B2">
              <w:rPr>
                <w:rFonts w:ascii="Arial" w:hAnsi="Arial" w:cs="Arial"/>
                <w:sz w:val="20"/>
                <w:szCs w:val="20"/>
              </w:rPr>
              <w:t>Sulphate (SO</w:t>
            </w:r>
            <w:r w:rsidRPr="009F05B2">
              <w:rPr>
                <w:rFonts w:ascii="Arial" w:hAnsi="Arial" w:cs="Arial"/>
                <w:sz w:val="20"/>
                <w:szCs w:val="20"/>
                <w:vertAlign w:val="superscript"/>
              </w:rPr>
              <w:t>4</w:t>
            </w:r>
            <w:r w:rsidRPr="009F05B2">
              <w:rPr>
                <w:rFonts w:ascii="Arial" w:hAnsi="Arial" w:cs="Arial"/>
                <w:sz w:val="20"/>
                <w:szCs w:val="20"/>
              </w:rPr>
              <w:t>)</w:t>
            </w:r>
          </w:p>
        </w:tc>
        <w:tc>
          <w:tcPr>
            <w:tcW w:w="0" w:type="auto"/>
          </w:tcPr>
          <w:p w:rsidR="00163C46" w:rsidRPr="009F05B2" w:rsidRDefault="00163C46" w:rsidP="00195B60">
            <w:pPr>
              <w:ind w:left="518" w:hanging="86"/>
              <w:rPr>
                <w:rFonts w:ascii="Arial" w:hAnsi="Arial" w:cs="Arial"/>
                <w:sz w:val="20"/>
                <w:szCs w:val="20"/>
              </w:rPr>
            </w:pPr>
            <w:r w:rsidRPr="009F05B2">
              <w:rPr>
                <w:rFonts w:ascii="Arial" w:hAnsi="Arial" w:cs="Arial"/>
                <w:sz w:val="20"/>
                <w:szCs w:val="20"/>
              </w:rPr>
              <w:t>mg/l</w:t>
            </w:r>
          </w:p>
        </w:tc>
        <w:tc>
          <w:tcPr>
            <w:tcW w:w="0" w:type="auto"/>
          </w:tcPr>
          <w:p w:rsidR="00163C46" w:rsidRPr="009F05B2" w:rsidRDefault="00163C46" w:rsidP="00195B60">
            <w:pPr>
              <w:rPr>
                <w:rFonts w:ascii="Arial" w:hAnsi="Arial" w:cs="Arial"/>
                <w:sz w:val="20"/>
                <w:szCs w:val="20"/>
              </w:rPr>
            </w:pPr>
            <w:r w:rsidRPr="009F05B2">
              <w:rPr>
                <w:rFonts w:ascii="Arial" w:hAnsi="Arial" w:cs="Arial"/>
                <w:sz w:val="20"/>
                <w:szCs w:val="20"/>
              </w:rPr>
              <w:t>200</w:t>
            </w:r>
          </w:p>
        </w:tc>
        <w:tc>
          <w:tcPr>
            <w:tcW w:w="0" w:type="auto"/>
          </w:tcPr>
          <w:p w:rsidR="00163C46" w:rsidRPr="009F05B2" w:rsidRDefault="00163C46" w:rsidP="00195B60">
            <w:pPr>
              <w:rPr>
                <w:rFonts w:ascii="Arial" w:hAnsi="Arial" w:cs="Arial"/>
                <w:sz w:val="20"/>
                <w:szCs w:val="20"/>
              </w:rPr>
            </w:pPr>
            <w:r w:rsidRPr="009F05B2">
              <w:rPr>
                <w:rFonts w:ascii="Arial" w:hAnsi="Arial" w:cs="Arial"/>
                <w:sz w:val="20"/>
                <w:szCs w:val="20"/>
              </w:rPr>
              <w:t>Titrimetric Method</w:t>
            </w:r>
          </w:p>
        </w:tc>
      </w:tr>
      <w:tr w:rsidR="00163C46" w:rsidRPr="009F05B2" w:rsidTr="00AD01A8">
        <w:trPr>
          <w:trHeight w:val="242"/>
          <w:jc w:val="center"/>
        </w:trPr>
        <w:tc>
          <w:tcPr>
            <w:tcW w:w="0" w:type="auto"/>
          </w:tcPr>
          <w:p w:rsidR="00163C46" w:rsidRPr="009F05B2" w:rsidRDefault="00163C46" w:rsidP="00195B60">
            <w:pPr>
              <w:rPr>
                <w:rFonts w:ascii="Arial" w:hAnsi="Arial" w:cs="Arial"/>
                <w:sz w:val="20"/>
                <w:szCs w:val="20"/>
              </w:rPr>
            </w:pPr>
            <w:r w:rsidRPr="009F05B2">
              <w:rPr>
                <w:rFonts w:ascii="Arial" w:hAnsi="Arial" w:cs="Arial"/>
                <w:sz w:val="20"/>
                <w:szCs w:val="20"/>
              </w:rPr>
              <w:t>Calcium (Ca</w:t>
            </w:r>
            <w:r w:rsidRPr="009F05B2">
              <w:rPr>
                <w:rFonts w:ascii="Arial" w:hAnsi="Arial" w:cs="Arial"/>
                <w:sz w:val="20"/>
                <w:szCs w:val="20"/>
                <w:vertAlign w:val="superscript"/>
              </w:rPr>
              <w:t>+2</w:t>
            </w:r>
            <w:r w:rsidRPr="009F05B2">
              <w:rPr>
                <w:rFonts w:ascii="Arial" w:hAnsi="Arial" w:cs="Arial"/>
                <w:sz w:val="20"/>
                <w:szCs w:val="20"/>
              </w:rPr>
              <w:t>)</w:t>
            </w:r>
          </w:p>
        </w:tc>
        <w:tc>
          <w:tcPr>
            <w:tcW w:w="0" w:type="auto"/>
          </w:tcPr>
          <w:p w:rsidR="00163C46" w:rsidRPr="009F05B2" w:rsidRDefault="00163C46" w:rsidP="00195B60">
            <w:pPr>
              <w:ind w:left="518" w:hanging="86"/>
              <w:rPr>
                <w:rFonts w:ascii="Arial" w:hAnsi="Arial" w:cs="Arial"/>
                <w:sz w:val="20"/>
                <w:szCs w:val="20"/>
              </w:rPr>
            </w:pPr>
            <w:r w:rsidRPr="009F05B2">
              <w:rPr>
                <w:rFonts w:ascii="Arial" w:hAnsi="Arial" w:cs="Arial"/>
                <w:sz w:val="20"/>
                <w:szCs w:val="20"/>
              </w:rPr>
              <w:t>mg/l</w:t>
            </w:r>
          </w:p>
        </w:tc>
        <w:tc>
          <w:tcPr>
            <w:tcW w:w="0" w:type="auto"/>
          </w:tcPr>
          <w:p w:rsidR="00163C46" w:rsidRPr="009F05B2" w:rsidRDefault="00163C46" w:rsidP="00195B60">
            <w:pPr>
              <w:rPr>
                <w:rFonts w:ascii="Arial" w:hAnsi="Arial" w:cs="Arial"/>
                <w:sz w:val="20"/>
                <w:szCs w:val="20"/>
              </w:rPr>
            </w:pPr>
            <w:r w:rsidRPr="009F05B2">
              <w:rPr>
                <w:rFonts w:ascii="Arial" w:hAnsi="Arial" w:cs="Arial"/>
                <w:sz w:val="20"/>
                <w:szCs w:val="20"/>
              </w:rPr>
              <w:t>75</w:t>
            </w:r>
          </w:p>
        </w:tc>
        <w:tc>
          <w:tcPr>
            <w:tcW w:w="0" w:type="auto"/>
          </w:tcPr>
          <w:p w:rsidR="00163C46" w:rsidRPr="009F05B2" w:rsidRDefault="00163C46" w:rsidP="00195B60">
            <w:pPr>
              <w:rPr>
                <w:rFonts w:ascii="Arial" w:hAnsi="Arial" w:cs="Arial"/>
                <w:sz w:val="20"/>
                <w:szCs w:val="20"/>
              </w:rPr>
            </w:pPr>
            <w:r w:rsidRPr="009F05B2">
              <w:rPr>
                <w:rFonts w:ascii="Arial" w:hAnsi="Arial" w:cs="Arial"/>
                <w:sz w:val="20"/>
                <w:szCs w:val="20"/>
              </w:rPr>
              <w:t>EDTA Titration Method</w:t>
            </w:r>
          </w:p>
        </w:tc>
      </w:tr>
      <w:tr w:rsidR="00163C46" w:rsidRPr="009F05B2" w:rsidTr="00AD01A8">
        <w:trPr>
          <w:trHeight w:val="242"/>
          <w:jc w:val="center"/>
        </w:trPr>
        <w:tc>
          <w:tcPr>
            <w:tcW w:w="0" w:type="auto"/>
          </w:tcPr>
          <w:p w:rsidR="00163C46" w:rsidRPr="009F05B2" w:rsidRDefault="00163C46" w:rsidP="00195B60">
            <w:pPr>
              <w:rPr>
                <w:rFonts w:ascii="Arial" w:hAnsi="Arial" w:cs="Arial"/>
                <w:sz w:val="20"/>
                <w:szCs w:val="20"/>
              </w:rPr>
            </w:pPr>
            <w:r w:rsidRPr="009F05B2">
              <w:rPr>
                <w:rFonts w:ascii="Arial" w:hAnsi="Arial" w:cs="Arial"/>
                <w:sz w:val="20"/>
                <w:szCs w:val="20"/>
              </w:rPr>
              <w:t>Magnesium (Mg</w:t>
            </w:r>
            <w:r w:rsidRPr="009F05B2">
              <w:rPr>
                <w:rFonts w:ascii="Arial" w:hAnsi="Arial" w:cs="Arial"/>
                <w:sz w:val="20"/>
                <w:szCs w:val="20"/>
                <w:vertAlign w:val="superscript"/>
              </w:rPr>
              <w:t>+2</w:t>
            </w:r>
            <w:r w:rsidRPr="009F05B2">
              <w:rPr>
                <w:rFonts w:ascii="Arial" w:hAnsi="Arial" w:cs="Arial"/>
                <w:sz w:val="20"/>
                <w:szCs w:val="20"/>
              </w:rPr>
              <w:t>)</w:t>
            </w:r>
          </w:p>
        </w:tc>
        <w:tc>
          <w:tcPr>
            <w:tcW w:w="0" w:type="auto"/>
          </w:tcPr>
          <w:p w:rsidR="00163C46" w:rsidRPr="009F05B2" w:rsidRDefault="00163C46" w:rsidP="00195B60">
            <w:pPr>
              <w:ind w:left="518" w:hanging="86"/>
              <w:rPr>
                <w:rFonts w:ascii="Arial" w:hAnsi="Arial" w:cs="Arial"/>
                <w:sz w:val="20"/>
                <w:szCs w:val="20"/>
              </w:rPr>
            </w:pPr>
            <w:r w:rsidRPr="009F05B2">
              <w:rPr>
                <w:rFonts w:ascii="Arial" w:hAnsi="Arial" w:cs="Arial"/>
                <w:sz w:val="20"/>
                <w:szCs w:val="20"/>
              </w:rPr>
              <w:t>mg/l</w:t>
            </w:r>
          </w:p>
        </w:tc>
        <w:tc>
          <w:tcPr>
            <w:tcW w:w="0" w:type="auto"/>
          </w:tcPr>
          <w:p w:rsidR="00163C46" w:rsidRPr="009F05B2" w:rsidRDefault="00163C46" w:rsidP="00195B60">
            <w:pPr>
              <w:rPr>
                <w:rFonts w:ascii="Arial" w:hAnsi="Arial" w:cs="Arial"/>
                <w:sz w:val="20"/>
                <w:szCs w:val="20"/>
              </w:rPr>
            </w:pPr>
            <w:r w:rsidRPr="009F05B2">
              <w:rPr>
                <w:rFonts w:ascii="Arial" w:hAnsi="Arial" w:cs="Arial"/>
                <w:sz w:val="20"/>
                <w:szCs w:val="20"/>
              </w:rPr>
              <w:t>30</w:t>
            </w:r>
          </w:p>
        </w:tc>
        <w:tc>
          <w:tcPr>
            <w:tcW w:w="0" w:type="auto"/>
          </w:tcPr>
          <w:p w:rsidR="00163C46" w:rsidRPr="009F05B2" w:rsidRDefault="00163C46" w:rsidP="00195B60">
            <w:pPr>
              <w:rPr>
                <w:rFonts w:ascii="Arial" w:hAnsi="Arial" w:cs="Arial"/>
                <w:sz w:val="20"/>
                <w:szCs w:val="20"/>
              </w:rPr>
            </w:pPr>
            <w:r w:rsidRPr="009F05B2">
              <w:rPr>
                <w:rFonts w:ascii="Arial" w:hAnsi="Arial" w:cs="Arial"/>
                <w:sz w:val="20"/>
                <w:szCs w:val="20"/>
              </w:rPr>
              <w:t>EDTA Titration Method</w:t>
            </w:r>
          </w:p>
        </w:tc>
      </w:tr>
      <w:tr w:rsidR="00163C46" w:rsidRPr="009F05B2" w:rsidTr="00AD01A8">
        <w:trPr>
          <w:trHeight w:val="242"/>
          <w:jc w:val="center"/>
        </w:trPr>
        <w:tc>
          <w:tcPr>
            <w:tcW w:w="0" w:type="auto"/>
          </w:tcPr>
          <w:p w:rsidR="00163C46" w:rsidRPr="009F05B2" w:rsidRDefault="00163C46" w:rsidP="00195B60">
            <w:pPr>
              <w:rPr>
                <w:rFonts w:ascii="Arial" w:hAnsi="Arial" w:cs="Arial"/>
                <w:sz w:val="20"/>
                <w:szCs w:val="20"/>
              </w:rPr>
            </w:pPr>
            <w:r w:rsidRPr="009F05B2">
              <w:rPr>
                <w:rFonts w:ascii="Arial" w:hAnsi="Arial" w:cs="Arial"/>
                <w:sz w:val="20"/>
                <w:szCs w:val="20"/>
              </w:rPr>
              <w:t>Total Hardness (TH)</w:t>
            </w:r>
          </w:p>
        </w:tc>
        <w:tc>
          <w:tcPr>
            <w:tcW w:w="0" w:type="auto"/>
          </w:tcPr>
          <w:p w:rsidR="00163C46" w:rsidRPr="009F05B2" w:rsidRDefault="00163C46" w:rsidP="00195B60">
            <w:pPr>
              <w:ind w:left="518" w:hanging="86"/>
              <w:rPr>
                <w:rFonts w:ascii="Arial" w:hAnsi="Arial" w:cs="Arial"/>
                <w:sz w:val="20"/>
                <w:szCs w:val="20"/>
              </w:rPr>
            </w:pPr>
            <w:r w:rsidRPr="009F05B2">
              <w:rPr>
                <w:rFonts w:ascii="Arial" w:hAnsi="Arial" w:cs="Arial"/>
                <w:sz w:val="20"/>
                <w:szCs w:val="20"/>
              </w:rPr>
              <w:t>mg/l</w:t>
            </w:r>
          </w:p>
        </w:tc>
        <w:tc>
          <w:tcPr>
            <w:tcW w:w="0" w:type="auto"/>
          </w:tcPr>
          <w:p w:rsidR="00163C46" w:rsidRPr="009F05B2" w:rsidRDefault="00163C46" w:rsidP="00195B60">
            <w:pPr>
              <w:rPr>
                <w:rFonts w:ascii="Arial" w:hAnsi="Arial" w:cs="Arial"/>
                <w:sz w:val="20"/>
                <w:szCs w:val="20"/>
              </w:rPr>
            </w:pPr>
            <w:r w:rsidRPr="009F05B2">
              <w:rPr>
                <w:rFonts w:ascii="Arial" w:hAnsi="Arial" w:cs="Arial"/>
                <w:sz w:val="20"/>
                <w:szCs w:val="20"/>
              </w:rPr>
              <w:t>75-300</w:t>
            </w:r>
          </w:p>
        </w:tc>
        <w:tc>
          <w:tcPr>
            <w:tcW w:w="0" w:type="auto"/>
          </w:tcPr>
          <w:p w:rsidR="00163C46" w:rsidRPr="009F05B2" w:rsidRDefault="00163C46" w:rsidP="00195B60">
            <w:pPr>
              <w:rPr>
                <w:rFonts w:ascii="Arial" w:hAnsi="Arial" w:cs="Arial"/>
                <w:sz w:val="20"/>
                <w:szCs w:val="20"/>
              </w:rPr>
            </w:pPr>
            <w:r w:rsidRPr="009F05B2">
              <w:rPr>
                <w:rFonts w:ascii="Arial" w:hAnsi="Arial" w:cs="Arial"/>
                <w:sz w:val="20"/>
                <w:szCs w:val="20"/>
              </w:rPr>
              <w:t>EDTA Titration Method</w:t>
            </w:r>
          </w:p>
        </w:tc>
      </w:tr>
      <w:tr w:rsidR="00163C46" w:rsidRPr="009F05B2" w:rsidTr="00AD01A8">
        <w:trPr>
          <w:trHeight w:val="242"/>
          <w:jc w:val="center"/>
        </w:trPr>
        <w:tc>
          <w:tcPr>
            <w:tcW w:w="0" w:type="auto"/>
          </w:tcPr>
          <w:p w:rsidR="00163C46" w:rsidRPr="009F05B2" w:rsidRDefault="00163C46" w:rsidP="00195B60">
            <w:pPr>
              <w:rPr>
                <w:rFonts w:ascii="Arial" w:hAnsi="Arial" w:cs="Arial"/>
                <w:sz w:val="20"/>
                <w:szCs w:val="20"/>
              </w:rPr>
            </w:pPr>
            <w:r w:rsidRPr="009F05B2">
              <w:rPr>
                <w:rFonts w:ascii="Arial" w:hAnsi="Arial" w:cs="Arial"/>
                <w:sz w:val="20"/>
                <w:szCs w:val="20"/>
              </w:rPr>
              <w:t>Biochemical Oxygen Demand (BOD)</w:t>
            </w:r>
          </w:p>
        </w:tc>
        <w:tc>
          <w:tcPr>
            <w:tcW w:w="0" w:type="auto"/>
          </w:tcPr>
          <w:p w:rsidR="00163C46" w:rsidRPr="009F05B2" w:rsidRDefault="00163C46" w:rsidP="00195B60">
            <w:pPr>
              <w:ind w:left="518" w:hanging="86"/>
              <w:rPr>
                <w:rFonts w:ascii="Arial" w:hAnsi="Arial" w:cs="Arial"/>
                <w:sz w:val="20"/>
                <w:szCs w:val="20"/>
              </w:rPr>
            </w:pPr>
            <w:r w:rsidRPr="009F05B2">
              <w:rPr>
                <w:rFonts w:ascii="Arial" w:hAnsi="Arial" w:cs="Arial"/>
                <w:sz w:val="20"/>
                <w:szCs w:val="20"/>
              </w:rPr>
              <w:t>mg/l</w:t>
            </w:r>
          </w:p>
        </w:tc>
        <w:tc>
          <w:tcPr>
            <w:tcW w:w="0" w:type="auto"/>
          </w:tcPr>
          <w:p w:rsidR="00163C46" w:rsidRPr="009F05B2" w:rsidRDefault="00163C46" w:rsidP="00195B60">
            <w:pPr>
              <w:rPr>
                <w:rFonts w:ascii="Arial" w:hAnsi="Arial" w:cs="Arial"/>
                <w:sz w:val="20"/>
                <w:szCs w:val="20"/>
              </w:rPr>
            </w:pPr>
            <w:r w:rsidRPr="009F05B2">
              <w:rPr>
                <w:rFonts w:ascii="Arial" w:hAnsi="Arial" w:cs="Arial"/>
                <w:sz w:val="20"/>
                <w:szCs w:val="20"/>
              </w:rPr>
              <w:t>30</w:t>
            </w:r>
          </w:p>
        </w:tc>
        <w:tc>
          <w:tcPr>
            <w:tcW w:w="0" w:type="auto"/>
          </w:tcPr>
          <w:p w:rsidR="00163C46" w:rsidRPr="009F05B2" w:rsidRDefault="00163C46" w:rsidP="00195B60">
            <w:pPr>
              <w:rPr>
                <w:rFonts w:ascii="Arial" w:hAnsi="Arial" w:cs="Arial"/>
                <w:sz w:val="20"/>
                <w:szCs w:val="20"/>
              </w:rPr>
            </w:pPr>
            <w:r w:rsidRPr="009F05B2">
              <w:rPr>
                <w:rFonts w:ascii="Arial" w:hAnsi="Arial" w:cs="Arial"/>
                <w:sz w:val="20"/>
                <w:szCs w:val="20"/>
              </w:rPr>
              <w:t>BOD Titrimetric Method</w:t>
            </w:r>
          </w:p>
        </w:tc>
      </w:tr>
      <w:tr w:rsidR="00163C46" w:rsidRPr="009F05B2" w:rsidTr="00AD01A8">
        <w:trPr>
          <w:trHeight w:val="242"/>
          <w:jc w:val="center"/>
        </w:trPr>
        <w:tc>
          <w:tcPr>
            <w:tcW w:w="0" w:type="auto"/>
          </w:tcPr>
          <w:p w:rsidR="00163C46" w:rsidRPr="009F05B2" w:rsidRDefault="00163C46" w:rsidP="00195B60">
            <w:pPr>
              <w:rPr>
                <w:rFonts w:ascii="Arial" w:hAnsi="Arial" w:cs="Arial"/>
                <w:sz w:val="20"/>
                <w:szCs w:val="20"/>
              </w:rPr>
            </w:pPr>
            <w:r w:rsidRPr="009F05B2">
              <w:rPr>
                <w:rFonts w:ascii="Arial" w:hAnsi="Arial" w:cs="Arial"/>
                <w:sz w:val="20"/>
                <w:szCs w:val="20"/>
              </w:rPr>
              <w:t>Chemical Oxygen Demand (COD)</w:t>
            </w:r>
          </w:p>
        </w:tc>
        <w:tc>
          <w:tcPr>
            <w:tcW w:w="0" w:type="auto"/>
          </w:tcPr>
          <w:p w:rsidR="00163C46" w:rsidRPr="009F05B2" w:rsidRDefault="00163C46" w:rsidP="00195B60">
            <w:pPr>
              <w:ind w:left="518" w:hanging="86"/>
              <w:rPr>
                <w:rFonts w:ascii="Arial" w:hAnsi="Arial" w:cs="Arial"/>
                <w:sz w:val="20"/>
                <w:szCs w:val="20"/>
              </w:rPr>
            </w:pPr>
            <w:r w:rsidRPr="009F05B2">
              <w:rPr>
                <w:rFonts w:ascii="Arial" w:hAnsi="Arial" w:cs="Arial"/>
                <w:sz w:val="20"/>
                <w:szCs w:val="20"/>
              </w:rPr>
              <w:t>mg/l</w:t>
            </w:r>
          </w:p>
        </w:tc>
        <w:tc>
          <w:tcPr>
            <w:tcW w:w="0" w:type="auto"/>
          </w:tcPr>
          <w:p w:rsidR="00163C46" w:rsidRPr="009F05B2" w:rsidRDefault="00163C46" w:rsidP="00195B60">
            <w:pPr>
              <w:rPr>
                <w:rFonts w:ascii="Arial" w:hAnsi="Arial" w:cs="Arial"/>
                <w:sz w:val="20"/>
                <w:szCs w:val="20"/>
              </w:rPr>
            </w:pPr>
            <w:r w:rsidRPr="009F05B2">
              <w:rPr>
                <w:rFonts w:ascii="Arial" w:hAnsi="Arial" w:cs="Arial"/>
                <w:sz w:val="20"/>
                <w:szCs w:val="20"/>
              </w:rPr>
              <w:t>250</w:t>
            </w:r>
          </w:p>
        </w:tc>
        <w:tc>
          <w:tcPr>
            <w:tcW w:w="0" w:type="auto"/>
          </w:tcPr>
          <w:p w:rsidR="00163C46" w:rsidRPr="009F05B2" w:rsidRDefault="00163C46" w:rsidP="00195B60">
            <w:pPr>
              <w:rPr>
                <w:rFonts w:ascii="Arial" w:hAnsi="Arial" w:cs="Arial"/>
                <w:sz w:val="20"/>
                <w:szCs w:val="20"/>
              </w:rPr>
            </w:pPr>
            <w:r w:rsidRPr="009F05B2">
              <w:rPr>
                <w:rFonts w:ascii="Arial" w:hAnsi="Arial" w:cs="Arial"/>
                <w:sz w:val="20"/>
                <w:szCs w:val="20"/>
              </w:rPr>
              <w:t>Potassium Dichromate oxidation reflux method</w:t>
            </w:r>
          </w:p>
        </w:tc>
      </w:tr>
      <w:tr w:rsidR="00163C46" w:rsidRPr="009F05B2" w:rsidTr="00AD01A8">
        <w:trPr>
          <w:trHeight w:val="242"/>
          <w:jc w:val="center"/>
        </w:trPr>
        <w:tc>
          <w:tcPr>
            <w:tcW w:w="0" w:type="auto"/>
          </w:tcPr>
          <w:p w:rsidR="00163C46" w:rsidRPr="009F05B2" w:rsidRDefault="00163C46" w:rsidP="00195B60">
            <w:pPr>
              <w:rPr>
                <w:rFonts w:ascii="Arial" w:hAnsi="Arial" w:cs="Arial"/>
                <w:sz w:val="20"/>
                <w:szCs w:val="20"/>
              </w:rPr>
            </w:pPr>
            <w:r w:rsidRPr="009F05B2">
              <w:rPr>
                <w:rFonts w:ascii="Arial" w:hAnsi="Arial" w:cs="Arial"/>
                <w:sz w:val="20"/>
                <w:szCs w:val="20"/>
              </w:rPr>
              <w:t>Dissolved Oxygen (DO)</w:t>
            </w:r>
          </w:p>
        </w:tc>
        <w:tc>
          <w:tcPr>
            <w:tcW w:w="0" w:type="auto"/>
          </w:tcPr>
          <w:p w:rsidR="00163C46" w:rsidRPr="009F05B2" w:rsidRDefault="00163C46" w:rsidP="00195B60">
            <w:pPr>
              <w:ind w:left="518" w:hanging="86"/>
              <w:rPr>
                <w:rFonts w:ascii="Arial" w:hAnsi="Arial" w:cs="Arial"/>
                <w:sz w:val="20"/>
                <w:szCs w:val="20"/>
              </w:rPr>
            </w:pPr>
            <w:r w:rsidRPr="009F05B2">
              <w:rPr>
                <w:rFonts w:ascii="Arial" w:hAnsi="Arial" w:cs="Arial"/>
                <w:sz w:val="20"/>
                <w:szCs w:val="20"/>
              </w:rPr>
              <w:t>mg/l</w:t>
            </w:r>
          </w:p>
        </w:tc>
        <w:tc>
          <w:tcPr>
            <w:tcW w:w="0" w:type="auto"/>
          </w:tcPr>
          <w:p w:rsidR="00163C46" w:rsidRPr="009F05B2" w:rsidRDefault="00163C46" w:rsidP="00195B60">
            <w:pPr>
              <w:rPr>
                <w:rFonts w:ascii="Arial" w:hAnsi="Arial" w:cs="Arial"/>
                <w:sz w:val="20"/>
                <w:szCs w:val="20"/>
              </w:rPr>
            </w:pPr>
            <w:r w:rsidRPr="009F05B2">
              <w:rPr>
                <w:rFonts w:ascii="Arial" w:hAnsi="Arial" w:cs="Arial"/>
                <w:sz w:val="20"/>
                <w:szCs w:val="20"/>
              </w:rPr>
              <w:t>7.6-8</w:t>
            </w:r>
          </w:p>
        </w:tc>
        <w:tc>
          <w:tcPr>
            <w:tcW w:w="0" w:type="auto"/>
          </w:tcPr>
          <w:p w:rsidR="00163C46" w:rsidRPr="009F05B2" w:rsidRDefault="00163C46" w:rsidP="00195B60">
            <w:pPr>
              <w:rPr>
                <w:rFonts w:ascii="Arial" w:hAnsi="Arial" w:cs="Arial"/>
                <w:sz w:val="20"/>
                <w:szCs w:val="20"/>
              </w:rPr>
            </w:pPr>
            <w:r w:rsidRPr="009F05B2">
              <w:rPr>
                <w:rFonts w:ascii="Arial" w:hAnsi="Arial" w:cs="Arial"/>
                <w:sz w:val="20"/>
                <w:szCs w:val="20"/>
              </w:rPr>
              <w:t>Titrimetric Method</w:t>
            </w:r>
          </w:p>
        </w:tc>
      </w:tr>
      <w:tr w:rsidR="00163C46" w:rsidRPr="009F05B2" w:rsidTr="00AD01A8">
        <w:trPr>
          <w:trHeight w:val="242"/>
          <w:jc w:val="center"/>
        </w:trPr>
        <w:tc>
          <w:tcPr>
            <w:tcW w:w="0" w:type="auto"/>
          </w:tcPr>
          <w:p w:rsidR="00163C46" w:rsidRPr="009F05B2" w:rsidRDefault="00163C46" w:rsidP="00195B60">
            <w:pPr>
              <w:rPr>
                <w:rFonts w:ascii="Arial" w:hAnsi="Arial" w:cs="Arial"/>
                <w:sz w:val="20"/>
                <w:szCs w:val="20"/>
              </w:rPr>
            </w:pPr>
            <w:r w:rsidRPr="009F05B2">
              <w:rPr>
                <w:rFonts w:ascii="Arial" w:hAnsi="Arial" w:cs="Arial"/>
                <w:sz w:val="20"/>
                <w:szCs w:val="20"/>
              </w:rPr>
              <w:t>Nitrate (NO</w:t>
            </w:r>
            <w:r w:rsidRPr="009F05B2">
              <w:rPr>
                <w:rFonts w:ascii="Arial" w:hAnsi="Arial" w:cs="Arial"/>
                <w:sz w:val="20"/>
                <w:szCs w:val="20"/>
                <w:vertAlign w:val="superscript"/>
              </w:rPr>
              <w:t>2</w:t>
            </w:r>
            <w:r w:rsidRPr="009F05B2">
              <w:rPr>
                <w:rFonts w:ascii="Arial" w:hAnsi="Arial" w:cs="Arial"/>
                <w:sz w:val="20"/>
                <w:szCs w:val="20"/>
              </w:rPr>
              <w:t>)</w:t>
            </w:r>
          </w:p>
        </w:tc>
        <w:tc>
          <w:tcPr>
            <w:tcW w:w="0" w:type="auto"/>
          </w:tcPr>
          <w:p w:rsidR="00163C46" w:rsidRPr="009F05B2" w:rsidRDefault="00163C46" w:rsidP="00195B60">
            <w:pPr>
              <w:ind w:left="518" w:hanging="86"/>
              <w:rPr>
                <w:rFonts w:ascii="Arial" w:hAnsi="Arial" w:cs="Arial"/>
                <w:sz w:val="20"/>
                <w:szCs w:val="20"/>
              </w:rPr>
            </w:pPr>
            <w:r w:rsidRPr="009F05B2">
              <w:rPr>
                <w:rFonts w:ascii="Arial" w:hAnsi="Arial" w:cs="Arial"/>
                <w:sz w:val="20"/>
                <w:szCs w:val="20"/>
              </w:rPr>
              <w:t>mg/l</w:t>
            </w:r>
          </w:p>
        </w:tc>
        <w:tc>
          <w:tcPr>
            <w:tcW w:w="0" w:type="auto"/>
          </w:tcPr>
          <w:p w:rsidR="00163C46" w:rsidRPr="009F05B2" w:rsidRDefault="00163C46" w:rsidP="00195B60">
            <w:pPr>
              <w:rPr>
                <w:rFonts w:ascii="Arial" w:hAnsi="Arial" w:cs="Arial"/>
                <w:sz w:val="20"/>
                <w:szCs w:val="20"/>
              </w:rPr>
            </w:pPr>
            <w:r w:rsidRPr="009F05B2">
              <w:rPr>
                <w:rFonts w:ascii="Arial" w:hAnsi="Arial" w:cs="Arial"/>
                <w:sz w:val="20"/>
                <w:szCs w:val="20"/>
              </w:rPr>
              <w:t>45</w:t>
            </w:r>
          </w:p>
        </w:tc>
        <w:tc>
          <w:tcPr>
            <w:tcW w:w="0" w:type="auto"/>
          </w:tcPr>
          <w:p w:rsidR="00163C46" w:rsidRPr="009F05B2" w:rsidRDefault="00163C46" w:rsidP="00195B60">
            <w:pPr>
              <w:rPr>
                <w:rFonts w:ascii="Arial" w:hAnsi="Arial" w:cs="Arial"/>
                <w:sz w:val="20"/>
                <w:szCs w:val="20"/>
              </w:rPr>
            </w:pPr>
            <w:r w:rsidRPr="009F05B2">
              <w:rPr>
                <w:rFonts w:ascii="Arial" w:hAnsi="Arial" w:cs="Arial"/>
                <w:sz w:val="20"/>
                <w:szCs w:val="20"/>
              </w:rPr>
              <w:t>Titrimetric Method</w:t>
            </w:r>
          </w:p>
        </w:tc>
      </w:tr>
      <w:tr w:rsidR="00163C46" w:rsidRPr="009F05B2" w:rsidTr="00DB04F3">
        <w:trPr>
          <w:trHeight w:val="242"/>
          <w:jc w:val="center"/>
        </w:trPr>
        <w:tc>
          <w:tcPr>
            <w:tcW w:w="0" w:type="auto"/>
            <w:tcBorders>
              <w:bottom w:val="single" w:sz="4" w:space="0" w:color="auto"/>
            </w:tcBorders>
          </w:tcPr>
          <w:p w:rsidR="00163C46" w:rsidRPr="009F05B2" w:rsidRDefault="00163C46" w:rsidP="00195B60">
            <w:pPr>
              <w:rPr>
                <w:rFonts w:ascii="Arial" w:hAnsi="Arial" w:cs="Arial"/>
                <w:sz w:val="20"/>
                <w:szCs w:val="20"/>
              </w:rPr>
            </w:pPr>
            <w:r w:rsidRPr="009F05B2">
              <w:rPr>
                <w:rFonts w:ascii="Arial" w:hAnsi="Arial" w:cs="Arial"/>
                <w:sz w:val="20"/>
                <w:szCs w:val="20"/>
              </w:rPr>
              <w:t>Fecal Coliform (FC)</w:t>
            </w:r>
          </w:p>
        </w:tc>
        <w:tc>
          <w:tcPr>
            <w:tcW w:w="0" w:type="auto"/>
            <w:tcBorders>
              <w:bottom w:val="single" w:sz="4" w:space="0" w:color="auto"/>
            </w:tcBorders>
          </w:tcPr>
          <w:p w:rsidR="00163C46" w:rsidRPr="009F05B2" w:rsidRDefault="00163C46" w:rsidP="00195B60">
            <w:pPr>
              <w:ind w:left="518" w:hanging="536"/>
              <w:rPr>
                <w:rFonts w:ascii="Arial" w:hAnsi="Arial" w:cs="Arial"/>
                <w:sz w:val="20"/>
                <w:szCs w:val="20"/>
              </w:rPr>
            </w:pPr>
            <w:r w:rsidRPr="009F05B2">
              <w:rPr>
                <w:rFonts w:ascii="Arial" w:hAnsi="Arial" w:cs="Arial"/>
                <w:sz w:val="20"/>
                <w:szCs w:val="20"/>
              </w:rPr>
              <w:t>(</w:t>
            </w:r>
            <w:r w:rsidRPr="009F05B2">
              <w:rPr>
                <w:rFonts w:ascii="Arial" w:hAnsi="Arial" w:cs="Arial"/>
                <w:color w:val="001D35"/>
                <w:sz w:val="20"/>
                <w:szCs w:val="20"/>
                <w:shd w:val="clear" w:color="auto" w:fill="FFFFFF"/>
              </w:rPr>
              <w:t>*</w:t>
            </w:r>
            <w:proofErr w:type="spellStart"/>
            <w:r w:rsidRPr="009F05B2">
              <w:rPr>
                <w:rFonts w:ascii="Arial" w:hAnsi="Arial" w:cs="Arial"/>
                <w:color w:val="001D35"/>
                <w:sz w:val="20"/>
                <w:szCs w:val="20"/>
                <w:shd w:val="clear" w:color="auto" w:fill="FFFFFF"/>
              </w:rPr>
              <w:t>mpn</w:t>
            </w:r>
            <w:proofErr w:type="spellEnd"/>
            <w:r w:rsidRPr="009F05B2">
              <w:rPr>
                <w:rFonts w:ascii="Arial" w:hAnsi="Arial" w:cs="Arial"/>
                <w:sz w:val="20"/>
                <w:szCs w:val="20"/>
              </w:rPr>
              <w:t>/100 ml)</w:t>
            </w:r>
          </w:p>
        </w:tc>
        <w:tc>
          <w:tcPr>
            <w:tcW w:w="0" w:type="auto"/>
            <w:tcBorders>
              <w:bottom w:val="single" w:sz="4" w:space="0" w:color="auto"/>
            </w:tcBorders>
          </w:tcPr>
          <w:p w:rsidR="00163C46" w:rsidRPr="009F05B2" w:rsidRDefault="00163C46" w:rsidP="00195B60">
            <w:pPr>
              <w:rPr>
                <w:rFonts w:ascii="Arial" w:hAnsi="Arial" w:cs="Arial"/>
                <w:sz w:val="20"/>
                <w:szCs w:val="20"/>
              </w:rPr>
            </w:pPr>
            <w:r w:rsidRPr="009F05B2">
              <w:rPr>
                <w:rFonts w:ascii="Arial" w:hAnsi="Arial" w:cs="Arial"/>
                <w:sz w:val="20"/>
                <w:szCs w:val="20"/>
              </w:rPr>
              <w:t>0-500</w:t>
            </w:r>
          </w:p>
        </w:tc>
        <w:tc>
          <w:tcPr>
            <w:tcW w:w="0" w:type="auto"/>
            <w:tcBorders>
              <w:bottom w:val="single" w:sz="4" w:space="0" w:color="auto"/>
            </w:tcBorders>
          </w:tcPr>
          <w:p w:rsidR="00163C46" w:rsidRPr="009F05B2" w:rsidRDefault="00163C46" w:rsidP="00195B60">
            <w:pPr>
              <w:rPr>
                <w:rFonts w:ascii="Arial" w:hAnsi="Arial" w:cs="Arial"/>
                <w:sz w:val="20"/>
                <w:szCs w:val="20"/>
              </w:rPr>
            </w:pPr>
            <w:r w:rsidRPr="009F05B2">
              <w:rPr>
                <w:rFonts w:ascii="Arial" w:hAnsi="Arial" w:cs="Arial"/>
                <w:sz w:val="20"/>
                <w:szCs w:val="20"/>
              </w:rPr>
              <w:t>Filtration, Incubation and Fermentation Method</w:t>
            </w:r>
          </w:p>
        </w:tc>
      </w:tr>
    </w:tbl>
    <w:p w:rsidR="00BF3ADD" w:rsidRPr="00E21BBF" w:rsidRDefault="00BF3ADD" w:rsidP="00BF3ADD">
      <w:pPr>
        <w:rPr>
          <w:rFonts w:ascii="Arial" w:hAnsi="Arial" w:cs="Arial"/>
          <w:i/>
          <w:iCs/>
          <w:color w:val="001D35"/>
          <w:shd w:val="clear" w:color="auto" w:fill="FFFFFF"/>
        </w:rPr>
      </w:pPr>
      <w:r w:rsidRPr="00E21BBF">
        <w:rPr>
          <w:rFonts w:ascii="Arial" w:hAnsi="Arial" w:cs="Arial"/>
          <w:i/>
          <w:iCs/>
          <w:color w:val="001D35"/>
          <w:shd w:val="clear" w:color="auto" w:fill="FFFFFF"/>
        </w:rPr>
        <w:t>*Most Probable Number (</w:t>
      </w:r>
      <w:proofErr w:type="spellStart"/>
      <w:r w:rsidRPr="00E21BBF">
        <w:rPr>
          <w:rFonts w:ascii="Arial" w:hAnsi="Arial" w:cs="Arial"/>
          <w:i/>
          <w:iCs/>
          <w:color w:val="001D35"/>
          <w:shd w:val="clear" w:color="auto" w:fill="FFFFFF"/>
        </w:rPr>
        <w:t>mpn</w:t>
      </w:r>
      <w:proofErr w:type="spellEnd"/>
      <w:r w:rsidRPr="00E21BBF">
        <w:rPr>
          <w:rFonts w:ascii="Arial" w:hAnsi="Arial" w:cs="Arial"/>
          <w:i/>
          <w:iCs/>
          <w:color w:val="001D35"/>
          <w:shd w:val="clear" w:color="auto" w:fill="FFFFFF"/>
        </w:rPr>
        <w:t>)</w:t>
      </w:r>
    </w:p>
    <w:p w:rsidR="001852BA" w:rsidRDefault="001852BA" w:rsidP="001852BA">
      <w:pPr>
        <w:pStyle w:val="Body"/>
        <w:spacing w:after="0"/>
        <w:rPr>
          <w:rFonts w:ascii="Arial" w:hAnsi="Arial" w:cs="Arial"/>
        </w:rPr>
      </w:pPr>
    </w:p>
    <w:p w:rsidR="001852BA" w:rsidRDefault="00AD01A8" w:rsidP="00441B6F">
      <w:pPr>
        <w:pStyle w:val="Body"/>
        <w:spacing w:after="0"/>
        <w:rPr>
          <w:rFonts w:ascii="Arial" w:hAnsi="Arial" w:cs="Arial"/>
          <w:b/>
          <w:bCs/>
          <w:sz w:val="22"/>
          <w:szCs w:val="22"/>
          <w:lang w:eastAsia="en-IN" w:bidi="mr-IN"/>
        </w:rPr>
      </w:pPr>
      <w:r w:rsidRPr="00E95C2A">
        <w:rPr>
          <w:rFonts w:ascii="Arial" w:hAnsi="Arial" w:cs="Arial"/>
          <w:b/>
          <w:bCs/>
          <w:color w:val="131313"/>
          <w:sz w:val="22"/>
          <w:szCs w:val="22"/>
          <w:lang w:bidi="mr-IN"/>
        </w:rPr>
        <w:t xml:space="preserve">2.4 </w:t>
      </w:r>
      <w:r w:rsidRPr="00E95C2A">
        <w:rPr>
          <w:rFonts w:ascii="Arial" w:hAnsi="Arial" w:cs="Arial"/>
          <w:b/>
          <w:bCs/>
          <w:sz w:val="22"/>
          <w:szCs w:val="22"/>
          <w:lang w:eastAsia="en-IN" w:bidi="mr-IN"/>
        </w:rPr>
        <w:t>Quality Control and Calibration standards (QC)</w:t>
      </w:r>
    </w:p>
    <w:p w:rsidR="00385132" w:rsidRDefault="00385132" w:rsidP="00385132">
      <w:pPr>
        <w:spacing w:before="240"/>
        <w:jc w:val="both"/>
        <w:rPr>
          <w:rFonts w:ascii="Arial" w:hAnsi="Arial" w:cs="Arial"/>
        </w:rPr>
      </w:pPr>
      <w:r w:rsidRPr="00385132">
        <w:rPr>
          <w:rFonts w:ascii="Arial" w:hAnsi="Arial" w:cs="Arial"/>
        </w:rPr>
        <w:t xml:space="preserve">According to APHA guidelines, standard solutions were used to primarily calibrate all the instruments used for all analyses as a preparatory step to preserve the precision and accuracy of the equipment and instruments used during analysis. All of the electrodes were thoroughly cleaned with double-distilled water before each in situ analysis. For optimal </w:t>
      </w:r>
      <w:proofErr w:type="spellStart"/>
      <w:r w:rsidRPr="00385132">
        <w:rPr>
          <w:rFonts w:ascii="Arial" w:hAnsi="Arial" w:cs="Arial"/>
        </w:rPr>
        <w:t>stabilisation</w:t>
      </w:r>
      <w:proofErr w:type="spellEnd"/>
      <w:r w:rsidRPr="00385132">
        <w:rPr>
          <w:rFonts w:ascii="Arial" w:hAnsi="Arial" w:cs="Arial"/>
        </w:rPr>
        <w:t xml:space="preserve"> time, probes were conditioned in the sample before each usage. Initially washed and dried pH probe was calibrated using newly produced solutions of buffers from two different units. A blank sample was performed for each chemical analysis, and at least three observations were made for every quality parameter. Throughout the analysis, standard operating procedures were implemented for every instrument and chemical analysis with sufficient safety. </w:t>
      </w:r>
    </w:p>
    <w:p w:rsidR="00AD01A8" w:rsidRPr="00E95C2A" w:rsidRDefault="00A7338B" w:rsidP="00AD01A8">
      <w:pPr>
        <w:spacing w:before="240"/>
        <w:rPr>
          <w:rFonts w:ascii="Arial" w:hAnsi="Arial" w:cs="Arial"/>
          <w:b/>
          <w:bCs/>
          <w:color w:val="001D35"/>
          <w:sz w:val="22"/>
          <w:szCs w:val="22"/>
          <w:shd w:val="clear" w:color="auto" w:fill="FFFFFF"/>
        </w:rPr>
      </w:pPr>
      <w:r w:rsidRPr="00E95C2A">
        <w:rPr>
          <w:rFonts w:ascii="Arial" w:hAnsi="Arial" w:cs="Arial"/>
          <w:b/>
          <w:bCs/>
          <w:color w:val="131313"/>
          <w:sz w:val="22"/>
          <w:szCs w:val="22"/>
          <w:lang w:bidi="mr-IN"/>
        </w:rPr>
        <w:t>2.5 Water</w:t>
      </w:r>
      <w:r w:rsidR="00AD01A8" w:rsidRPr="00E95C2A">
        <w:rPr>
          <w:rFonts w:ascii="Arial" w:hAnsi="Arial" w:cs="Arial"/>
          <w:b/>
          <w:bCs/>
          <w:color w:val="001D35"/>
          <w:sz w:val="22"/>
          <w:szCs w:val="22"/>
          <w:shd w:val="clear" w:color="auto" w:fill="FFFFFF"/>
        </w:rPr>
        <w:t xml:space="preserve"> quality and statistical analysis </w:t>
      </w:r>
    </w:p>
    <w:p w:rsidR="00AD01A8" w:rsidRDefault="00AD01A8" w:rsidP="00441B6F">
      <w:pPr>
        <w:pStyle w:val="Body"/>
        <w:spacing w:after="0"/>
        <w:rPr>
          <w:rFonts w:ascii="Arial" w:hAnsi="Arial" w:cs="Arial"/>
        </w:rPr>
      </w:pPr>
    </w:p>
    <w:p w:rsidR="00AD01A8" w:rsidRDefault="006A63DE" w:rsidP="00441B6F">
      <w:pPr>
        <w:pStyle w:val="Body"/>
        <w:spacing w:after="0"/>
        <w:rPr>
          <w:rFonts w:ascii="Arial" w:hAnsi="Arial" w:cs="Arial"/>
        </w:rPr>
      </w:pPr>
      <w:r w:rsidRPr="009F05B2">
        <w:rPr>
          <w:rFonts w:ascii="Arial" w:hAnsi="Arial" w:cs="Arial"/>
        </w:rPr>
        <w:t xml:space="preserve">Various statistical techniques were employed to </w:t>
      </w:r>
      <w:proofErr w:type="spellStart"/>
      <w:r w:rsidRPr="009F05B2">
        <w:rPr>
          <w:rFonts w:ascii="Arial" w:hAnsi="Arial" w:cs="Arial"/>
        </w:rPr>
        <w:t>analyse</w:t>
      </w:r>
      <w:proofErr w:type="spellEnd"/>
      <w:r w:rsidRPr="009F05B2">
        <w:rPr>
          <w:rFonts w:ascii="Arial" w:hAnsi="Arial" w:cs="Arial"/>
        </w:rPr>
        <w:t xml:space="preserve"> the water quality in the</w:t>
      </w:r>
      <w:r w:rsidRPr="009F05B2">
        <w:rPr>
          <w:rFonts w:ascii="Arial" w:hAnsi="Arial" w:cs="Arial"/>
          <w:color w:val="60657B"/>
          <w:shd w:val="clear" w:color="auto" w:fill="FFFFFF"/>
        </w:rPr>
        <w:t xml:space="preserve"> </w:t>
      </w:r>
      <w:r w:rsidRPr="009F05B2">
        <w:rPr>
          <w:rFonts w:ascii="Arial" w:hAnsi="Arial" w:cs="Arial"/>
        </w:rPr>
        <w:t>Sampling sites area. To assess the spatial and temporal differences among 14 water quality parameters collected from sampling sites in the PMR. The data gathered and calculated were examined using statistical methods to determine the normality of the water quality parameters. Descriptive statistical analysis, including mean, standard deviation, and coefficient of variation, was conducted to evaluate significant variations in mean values of the water quality parameters</w:t>
      </w:r>
      <w:bookmarkStart w:id="12" w:name="ZOTERO_BREF_v1V6rfXmHWLv"/>
      <w:r w:rsidR="00A7338B">
        <w:rPr>
          <w:rFonts w:ascii="Arial" w:hAnsi="Arial" w:cs="Arial"/>
        </w:rPr>
        <w:t xml:space="preserve"> </w:t>
      </w:r>
      <w:r w:rsidRPr="009F05B2">
        <w:rPr>
          <w:rFonts w:ascii="Arial" w:hAnsi="Arial" w:cs="Arial"/>
        </w:rPr>
        <w:t>(Zhao et al. 2012)</w:t>
      </w:r>
      <w:bookmarkEnd w:id="12"/>
      <w:r w:rsidRPr="009F05B2">
        <w:rPr>
          <w:rFonts w:ascii="Arial" w:hAnsi="Arial" w:cs="Arial"/>
        </w:rPr>
        <w:t xml:space="preserve">. Inferential statistics, such as Multiple Linear Regression, were </w:t>
      </w:r>
      <w:proofErr w:type="spellStart"/>
      <w:r w:rsidRPr="009F05B2">
        <w:rPr>
          <w:rFonts w:ascii="Arial" w:hAnsi="Arial" w:cs="Arial"/>
        </w:rPr>
        <w:t>utilised</w:t>
      </w:r>
      <w:proofErr w:type="spellEnd"/>
      <w:r w:rsidRPr="009F05B2">
        <w:rPr>
          <w:rFonts w:ascii="Arial" w:hAnsi="Arial" w:cs="Arial"/>
        </w:rPr>
        <w:t xml:space="preserve"> to explore the relationship between a dependent variable and multiple independent variables. Multivariate techniques, including correlation, Principal Component Analysis (PCA), cluster analysis, factor analysis, Box and Whiskers plot and trend detection, were applied to identify spatial changes in water parameters</w:t>
      </w:r>
      <w:bookmarkStart w:id="13" w:name="ZOTERO_BREF_0lCGrGDq2rPw"/>
      <w:r w:rsidR="00A7338B">
        <w:rPr>
          <w:rFonts w:ascii="Arial" w:hAnsi="Arial" w:cs="Arial"/>
        </w:rPr>
        <w:t xml:space="preserve"> </w:t>
      </w:r>
      <w:r w:rsidRPr="009F05B2">
        <w:rPr>
          <w:rFonts w:ascii="Arial" w:hAnsi="Arial" w:cs="Arial"/>
        </w:rPr>
        <w:t>(Fan et al. 2010)</w:t>
      </w:r>
      <w:bookmarkEnd w:id="13"/>
      <w:r w:rsidRPr="009F05B2">
        <w:rPr>
          <w:rFonts w:ascii="Arial" w:hAnsi="Arial" w:cs="Arial"/>
        </w:rPr>
        <w:t xml:space="preserve">. PCA was implemented to </w:t>
      </w:r>
      <w:proofErr w:type="spellStart"/>
      <w:r w:rsidRPr="009F05B2">
        <w:rPr>
          <w:rFonts w:ascii="Arial" w:hAnsi="Arial" w:cs="Arial"/>
        </w:rPr>
        <w:t>analyse</w:t>
      </w:r>
      <w:proofErr w:type="spellEnd"/>
      <w:r w:rsidRPr="009F05B2">
        <w:rPr>
          <w:rFonts w:ascii="Arial" w:hAnsi="Arial" w:cs="Arial"/>
        </w:rPr>
        <w:t xml:space="preserve"> the spatial and temporal variations in water quality, identify pollution factors, and </w:t>
      </w:r>
      <w:proofErr w:type="spellStart"/>
      <w:r w:rsidR="001F5AA4">
        <w:rPr>
          <w:rFonts w:ascii="Arial" w:hAnsi="Arial" w:cs="Arial"/>
        </w:rPr>
        <w:t>recognise</w:t>
      </w:r>
      <w:proofErr w:type="spellEnd"/>
      <w:r w:rsidRPr="009F05B2">
        <w:rPr>
          <w:rFonts w:ascii="Arial" w:hAnsi="Arial" w:cs="Arial"/>
        </w:rPr>
        <w:t xml:space="preserve"> sources of pollution relevant to water quality analysis. Pearson’s correlation coefficient (r) was computed to evaluate the relationships between variables. Sampling sites were grouped in cluster analysis based on their similarities, facilitating the identification of areas with comparable water quality characteristics. These methods were applied to enhance understanding of the data, identify patterns, sources of pollution, predict trends, and consolidate multiple parameters into a </w:t>
      </w:r>
      <w:r w:rsidRPr="009F05B2">
        <w:rPr>
          <w:rFonts w:ascii="Arial" w:hAnsi="Arial" w:cs="Arial"/>
        </w:rPr>
        <w:lastRenderedPageBreak/>
        <w:t xml:space="preserve">singular Water Quality Index </w:t>
      </w:r>
      <w:bookmarkStart w:id="14" w:name="ZOTERO_BREF_WJl3uK6eiVj2"/>
      <w:r w:rsidRPr="009F05B2">
        <w:rPr>
          <w:rFonts w:ascii="Arial" w:hAnsi="Arial" w:cs="Arial"/>
        </w:rPr>
        <w:t>(Ahmed et al. 2020; Kumar and Singh 2024)</w:t>
      </w:r>
      <w:bookmarkEnd w:id="14"/>
      <w:r w:rsidRPr="009F05B2">
        <w:rPr>
          <w:rFonts w:ascii="Arial" w:hAnsi="Arial" w:cs="Arial"/>
        </w:rPr>
        <w:t xml:space="preserve">. Piper diagrams and box plots were created to visually depict the composition of key parameters in the water samples. These analyses acted as additional methods to demonstrate the deterioration of water quality. </w:t>
      </w:r>
    </w:p>
    <w:p w:rsidR="006A63DE" w:rsidRDefault="006A63DE" w:rsidP="00441B6F">
      <w:pPr>
        <w:pStyle w:val="Body"/>
        <w:spacing w:after="0"/>
        <w:rPr>
          <w:rFonts w:ascii="Arial" w:hAnsi="Arial" w:cs="Arial"/>
        </w:rPr>
      </w:pPr>
    </w:p>
    <w:p w:rsidR="00AD01A8" w:rsidRPr="00E95C2A" w:rsidRDefault="00AD01A8" w:rsidP="00AD01A8">
      <w:pPr>
        <w:autoSpaceDE w:val="0"/>
        <w:autoSpaceDN w:val="0"/>
        <w:adjustRightInd w:val="0"/>
        <w:jc w:val="both"/>
        <w:rPr>
          <w:rFonts w:ascii="Arial" w:eastAsia="Corbel-Bold" w:hAnsi="Arial" w:cs="Arial"/>
          <w:b/>
          <w:bCs/>
          <w:sz w:val="22"/>
          <w:szCs w:val="22"/>
          <w:lang w:bidi="mr-IN"/>
        </w:rPr>
      </w:pPr>
      <w:r w:rsidRPr="00E95C2A">
        <w:rPr>
          <w:rFonts w:ascii="Arial" w:eastAsia="Corbel-Bold" w:hAnsi="Arial" w:cs="Arial"/>
          <w:b/>
          <w:bCs/>
          <w:sz w:val="22"/>
          <w:szCs w:val="22"/>
          <w:lang w:bidi="mr-IN"/>
        </w:rPr>
        <w:t>2.6 Water quality index (WQI)</w:t>
      </w:r>
    </w:p>
    <w:p w:rsidR="00037F87" w:rsidRPr="009F05B2" w:rsidRDefault="00037F87" w:rsidP="00B92E9A">
      <w:pPr>
        <w:autoSpaceDE w:val="0"/>
        <w:autoSpaceDN w:val="0"/>
        <w:adjustRightInd w:val="0"/>
        <w:spacing w:before="240"/>
        <w:jc w:val="both"/>
        <w:rPr>
          <w:rFonts w:ascii="Arial" w:hAnsi="Arial" w:cs="Arial"/>
          <w:color w:val="000000"/>
          <w:lang w:bidi="mr-IN"/>
        </w:rPr>
      </w:pPr>
      <w:r w:rsidRPr="009F05B2">
        <w:rPr>
          <w:rFonts w:ascii="Arial" w:hAnsi="Arial" w:cs="Arial"/>
          <w:color w:val="000000"/>
          <w:lang w:bidi="mr-IN"/>
        </w:rPr>
        <w:t xml:space="preserve">The water quality index (WQI) is considered an efficient means to determine overall water quality </w:t>
      </w:r>
      <w:bookmarkStart w:id="15" w:name="ZOTERO_BREF_c3s9J4mjnnI8"/>
      <w:r w:rsidRPr="009F05B2">
        <w:rPr>
          <w:rFonts w:ascii="Arial" w:hAnsi="Arial" w:cs="Arial"/>
        </w:rPr>
        <w:t>(Shankar and Balasubramanya 2008; Reta et al. 2019; Uddin et al. 2021; Zafar et al. 2024)</w:t>
      </w:r>
      <w:bookmarkEnd w:id="15"/>
      <w:r w:rsidRPr="009F05B2">
        <w:rPr>
          <w:rFonts w:ascii="Arial" w:hAnsi="Arial" w:cs="Arial"/>
          <w:color w:val="000000"/>
          <w:lang w:bidi="mr-IN"/>
        </w:rPr>
        <w:t xml:space="preserve">. </w:t>
      </w:r>
      <w:r w:rsidRPr="009F05B2">
        <w:rPr>
          <w:rFonts w:ascii="Arial" w:eastAsia="MinionPro-Regular" w:hAnsi="Arial" w:cs="Arial"/>
          <w:lang w:bidi="mr-IN"/>
        </w:rPr>
        <w:t xml:space="preserve">It is the </w:t>
      </w:r>
      <w:r w:rsidRPr="009F05B2">
        <w:rPr>
          <w:rFonts w:ascii="Arial" w:hAnsi="Arial" w:cs="Arial"/>
          <w:lang w:eastAsia="en-IN" w:bidi="mr-IN"/>
        </w:rPr>
        <w:t>evaluation method that shows the cumulative impact of all water quality parameters on the water quality for human</w:t>
      </w:r>
      <w:r w:rsidRPr="009F05B2">
        <w:rPr>
          <w:rFonts w:ascii="Arial" w:eastAsia="MinionPro-Regular" w:hAnsi="Arial" w:cs="Arial"/>
          <w:lang w:bidi="mr-IN"/>
        </w:rPr>
        <w:t xml:space="preserve"> consumption </w:t>
      </w:r>
      <w:bookmarkStart w:id="16" w:name="ZOTERO_BREF_0J4IGmjeC6y0"/>
      <w:r w:rsidRPr="009F05B2">
        <w:rPr>
          <w:rFonts w:ascii="Arial" w:hAnsi="Arial" w:cs="Arial"/>
        </w:rPr>
        <w:t>(</w:t>
      </w:r>
      <w:proofErr w:type="spellStart"/>
      <w:r w:rsidRPr="009F05B2">
        <w:rPr>
          <w:rFonts w:ascii="Arial" w:hAnsi="Arial" w:cs="Arial"/>
        </w:rPr>
        <w:t>Basuri</w:t>
      </w:r>
      <w:proofErr w:type="spellEnd"/>
      <w:r w:rsidRPr="009F05B2">
        <w:rPr>
          <w:rFonts w:ascii="Arial" w:hAnsi="Arial" w:cs="Arial"/>
        </w:rPr>
        <w:t xml:space="preserve"> et al. 2020; Chacko and Jayaram 2025)</w:t>
      </w:r>
      <w:bookmarkEnd w:id="16"/>
      <w:r w:rsidRPr="009F05B2">
        <w:rPr>
          <w:rFonts w:ascii="Arial" w:hAnsi="Arial" w:cs="Arial"/>
          <w:color w:val="000000"/>
          <w:lang w:bidi="mr-IN"/>
        </w:rPr>
        <w:t xml:space="preserve">. It integrates the different water quality parameters into a single-valued unitless integer </w:t>
      </w:r>
      <w:bookmarkStart w:id="17" w:name="ZOTERO_BREF_IFXJTcywyhSo"/>
      <w:r w:rsidRPr="009F05B2">
        <w:rPr>
          <w:rFonts w:ascii="Arial" w:hAnsi="Arial" w:cs="Arial"/>
        </w:rPr>
        <w:t>(Wang et al. 2017b; Gaur et al. 2022)</w:t>
      </w:r>
      <w:bookmarkEnd w:id="17"/>
      <w:r w:rsidRPr="009F05B2">
        <w:rPr>
          <w:rFonts w:ascii="Arial" w:hAnsi="Arial" w:cs="Arial"/>
          <w:color w:val="000000"/>
          <w:lang w:bidi="mr-IN"/>
        </w:rPr>
        <w:fldChar w:fldCharType="begin"/>
      </w:r>
      <w:r w:rsidR="00540813">
        <w:rPr>
          <w:rFonts w:ascii="Arial" w:hAnsi="Arial" w:cs="Arial"/>
          <w:color w:val="000000"/>
          <w:lang w:bidi="mr-IN"/>
        </w:rPr>
        <w:instrText xml:space="preserve"> ADDIN ZOTERO_ITEM CSL_CITATION {"citationID":"OotIefy4","properties":{"formattedCitation":"(Wang et al., 2017)","plainCitation":"(Wang et al., 2017)","noteIndex":0},"citationItems":[{"id":"7AoAF8BM/iqEOebl5","uris":["http://zotero.org/users/8828115/items/BPTKLRE5"],"itemData":{"id":1127,"type":"article-journal","abstract":"Abstract\n            \n              The water quality index (WQI) has been used to identify threats to water quality and to support better water resource management. This study combines a machine learning algorithm, WQI, and remote sensing spectral indices (difference index, DI; ratio index, RI; and normalized difference index, NDI) through fractional derivatives methods and in turn establishes a model for estimating and assessing the WQI. The results show that the calculated WQI values range between 56.61 and 2,886.51. We also explore the relationship between reflectance data and the WQI. The number of bands with correlation coefficients passing a significance test at 0.01 first increases and then decreases with a peak appearing after 1.6 orders. WQI and DI as well as RI and NDI correlation coefficients between optimal band combinations of the peak also appear after 1.6 orders with R\n              2\n              values of 0.92, 0.58 and 0.92. Finally, 22 WQI estimation models were established by POS-SVR to compare the predictive effects of these models. The models based on a spectral index of 1.6 were found to perform much better than the others, with an R\n              2\n              of 0.92, an RMSE of 58.4, and an RPD of 2.81 and a slope of curve fitting of 0.97.","container-title":"Scientific Reports","DOI":"10.1038/s41598-017-12853-y","ISSN":"2045-2322","issue":"1","journalAbbreviation":"Sci Rep","language":"en","page":"12858","source":"DOI.org (Crossref)","title":"Evaluation of water quality based on a machine learning algorithm and water quality index for the Ebinur Lake Watershed, China","volume":"7","author":[{"family":"Wang","given":"Xiaoping"},{"family":"Zhang","given":"Fei"},{"family":"Ding","given":"Jianli"}],"issued":{"date-parts":[["2017",10,9]]}}}],"schema":"https://github.com/citation-style-language/schema/raw/master/csl-citation.json"} </w:instrText>
      </w:r>
      <w:r w:rsidRPr="009F05B2">
        <w:rPr>
          <w:rFonts w:ascii="Arial" w:hAnsi="Arial" w:cs="Arial"/>
          <w:color w:val="000000"/>
          <w:lang w:bidi="mr-IN"/>
        </w:rPr>
        <w:fldChar w:fldCharType="end"/>
      </w:r>
      <w:r w:rsidR="00540813" w:rsidRPr="00540813">
        <w:rPr>
          <w:rFonts w:ascii="Arial" w:hAnsi="Arial" w:cs="Arial"/>
          <w:color w:val="000000"/>
          <w:lang w:bidi="mr-IN"/>
        </w:rPr>
        <w:t>(Wang et al., 2017)</w:t>
      </w:r>
      <w:r w:rsidRPr="009F05B2">
        <w:rPr>
          <w:rFonts w:ascii="Arial" w:hAnsi="Arial" w:cs="Arial"/>
          <w:color w:val="000000"/>
          <w:lang w:bidi="mr-IN"/>
        </w:rPr>
        <w:t xml:space="preserve">. Initially, WQI was developed by Horton (1965) in the United States by selecting 10 most commonly used water quality variables like dissolved oxygen (DO), pH, coliforms, specific conductance, alkalinity and chloride, etc. and has been widely applied and accepted in European, African and Asian countries </w:t>
      </w:r>
      <w:bookmarkStart w:id="18" w:name="ZOTERO_BREF_JlykqRbj9mUx"/>
      <w:r w:rsidRPr="009F05B2">
        <w:rPr>
          <w:rFonts w:ascii="Arial" w:hAnsi="Arial" w:cs="Arial"/>
        </w:rPr>
        <w:t>(</w:t>
      </w:r>
      <w:proofErr w:type="spellStart"/>
      <w:r w:rsidRPr="009F05B2">
        <w:rPr>
          <w:rFonts w:ascii="Arial" w:hAnsi="Arial" w:cs="Arial"/>
        </w:rPr>
        <w:t>Hoseinzadeh</w:t>
      </w:r>
      <w:proofErr w:type="spellEnd"/>
      <w:r w:rsidRPr="009F05B2">
        <w:rPr>
          <w:rFonts w:ascii="Arial" w:hAnsi="Arial" w:cs="Arial"/>
        </w:rPr>
        <w:t xml:space="preserve"> et al. 2015; </w:t>
      </w:r>
      <w:proofErr w:type="spellStart"/>
      <w:r w:rsidRPr="009F05B2">
        <w:rPr>
          <w:rFonts w:ascii="Arial" w:hAnsi="Arial" w:cs="Arial"/>
        </w:rPr>
        <w:t>Chidiac</w:t>
      </w:r>
      <w:proofErr w:type="spellEnd"/>
      <w:r w:rsidRPr="009F05B2">
        <w:rPr>
          <w:rFonts w:ascii="Arial" w:hAnsi="Arial" w:cs="Arial"/>
        </w:rPr>
        <w:t xml:space="preserve"> et al. 2023)</w:t>
      </w:r>
      <w:bookmarkEnd w:id="18"/>
      <w:r w:rsidRPr="009F05B2">
        <w:rPr>
          <w:rFonts w:ascii="Arial" w:hAnsi="Arial" w:cs="Arial"/>
          <w:color w:val="000000"/>
          <w:lang w:bidi="mr-IN"/>
        </w:rPr>
        <w:t xml:space="preserve">. The assigned weight reflected the significance of a parameter for a particular use and had a considerable impact on the index. </w:t>
      </w:r>
      <w:r w:rsidRPr="009F05B2">
        <w:rPr>
          <w:rFonts w:ascii="Arial" w:eastAsia="MinionPro-Regular" w:hAnsi="Arial" w:cs="Arial"/>
          <w:lang w:bidi="mr-IN"/>
        </w:rPr>
        <w:t xml:space="preserve">Several national and international organizations have formulated a huge number of water indices such as </w:t>
      </w:r>
      <w:r w:rsidRPr="009F05B2">
        <w:rPr>
          <w:rFonts w:ascii="Arial" w:hAnsi="Arial" w:cs="Arial"/>
        </w:rPr>
        <w:t xml:space="preserve">Integrated Water Quality Index (IWQI), the </w:t>
      </w:r>
      <w:r w:rsidRPr="009F05B2">
        <w:rPr>
          <w:rFonts w:ascii="Arial" w:hAnsi="Arial" w:cs="Arial"/>
          <w:lang w:bidi="mr-IN"/>
        </w:rPr>
        <w:t xml:space="preserve">National Sanitation </w:t>
      </w:r>
      <w:r w:rsidRPr="009F05B2">
        <w:rPr>
          <w:rFonts w:ascii="Arial" w:hAnsi="Arial" w:cs="Arial"/>
        </w:rPr>
        <w:t>Foundation Water</w:t>
      </w:r>
      <w:r w:rsidRPr="009F05B2">
        <w:rPr>
          <w:rFonts w:ascii="Arial" w:hAnsi="Arial" w:cs="Arial"/>
          <w:lang w:bidi="mr-IN"/>
        </w:rPr>
        <w:t xml:space="preserve"> Quality Index (NSFWQI),</w:t>
      </w:r>
      <w:r w:rsidRPr="009F05B2">
        <w:rPr>
          <w:rFonts w:ascii="Arial" w:hAnsi="Arial" w:cs="Arial"/>
        </w:rPr>
        <w:t xml:space="preserve"> </w:t>
      </w:r>
      <w:r w:rsidRPr="009F05B2">
        <w:rPr>
          <w:rFonts w:ascii="Arial" w:hAnsi="Arial" w:cs="Arial"/>
          <w:lang w:bidi="mr-IN"/>
        </w:rPr>
        <w:t xml:space="preserve">Weighted Arithmetic Water Quality Index (WAWQI), the </w:t>
      </w:r>
      <w:r w:rsidRPr="009F05B2">
        <w:rPr>
          <w:rFonts w:ascii="Arial" w:hAnsi="Arial" w:cs="Arial"/>
        </w:rPr>
        <w:t>Sanitation Foundation Water Quality Index (NSF-WQI), the China Specified weighted Water Quality Index (CSWQI), Canadian</w:t>
      </w:r>
      <w:r w:rsidRPr="009F05B2">
        <w:rPr>
          <w:rFonts w:ascii="Arial" w:hAnsi="Arial" w:cs="Arial"/>
          <w:lang w:bidi="mr-IN"/>
        </w:rPr>
        <w:t xml:space="preserve"> Council of Ministers of the Environment Water Quality Index</w:t>
      </w:r>
      <w:r w:rsidRPr="009F05B2">
        <w:rPr>
          <w:rFonts w:ascii="Arial" w:hAnsi="Arial" w:cs="Arial"/>
        </w:rPr>
        <w:t xml:space="preserve"> </w:t>
      </w:r>
      <w:r w:rsidRPr="009F05B2">
        <w:rPr>
          <w:rFonts w:ascii="Arial" w:hAnsi="Arial" w:cs="Arial"/>
          <w:lang w:bidi="mr-IN"/>
        </w:rPr>
        <w:t>(CCMEWQI),</w:t>
      </w:r>
      <w:r w:rsidRPr="009F05B2">
        <w:rPr>
          <w:rFonts w:ascii="Arial" w:hAnsi="Arial" w:cs="Arial"/>
        </w:rPr>
        <w:t xml:space="preserve"> Bureau of Indian standards Water Quality Index (BISWQI), </w:t>
      </w:r>
      <w:r w:rsidRPr="009F05B2">
        <w:rPr>
          <w:rFonts w:ascii="Arial" w:hAnsi="Arial" w:cs="Arial"/>
          <w:lang w:bidi="mr-IN"/>
        </w:rPr>
        <w:t xml:space="preserve"> </w:t>
      </w:r>
      <w:r w:rsidRPr="009F05B2">
        <w:rPr>
          <w:rFonts w:ascii="Arial" w:hAnsi="Arial" w:cs="Arial"/>
        </w:rPr>
        <w:t xml:space="preserve">Malaysia Water Quality Index (MWQI), and </w:t>
      </w:r>
      <w:r w:rsidRPr="009F05B2">
        <w:rPr>
          <w:rFonts w:ascii="Arial" w:hAnsi="Arial" w:cs="Arial"/>
          <w:lang w:bidi="mr-IN"/>
        </w:rPr>
        <w:t>Oregon Water indices</w:t>
      </w:r>
      <w:r w:rsidRPr="009F05B2">
        <w:rPr>
          <w:rFonts w:ascii="Arial" w:hAnsi="Arial" w:cs="Arial"/>
        </w:rPr>
        <w:t xml:space="preserve"> (OWI), etc.</w:t>
      </w:r>
      <w:r w:rsidRPr="009F05B2">
        <w:rPr>
          <w:rFonts w:ascii="Arial" w:hAnsi="Arial" w:cs="Arial"/>
          <w:lang w:bidi="mr-IN"/>
        </w:rPr>
        <w:t xml:space="preserve"> which are </w:t>
      </w:r>
      <w:proofErr w:type="spellStart"/>
      <w:r w:rsidRPr="009F05B2">
        <w:rPr>
          <w:rFonts w:ascii="Arial" w:hAnsi="Arial" w:cs="Arial"/>
          <w:lang w:bidi="mr-IN"/>
        </w:rPr>
        <w:t>recognised</w:t>
      </w:r>
      <w:proofErr w:type="spellEnd"/>
      <w:r w:rsidRPr="009F05B2">
        <w:rPr>
          <w:rFonts w:ascii="Arial" w:hAnsi="Arial" w:cs="Arial"/>
          <w:lang w:bidi="mr-IN"/>
        </w:rPr>
        <w:t xml:space="preserve"> and followed worldwide</w:t>
      </w:r>
      <w:r w:rsidRPr="009F05B2">
        <w:rPr>
          <w:rFonts w:ascii="Arial" w:hAnsi="Arial" w:cs="Arial"/>
        </w:rPr>
        <w:t>.</w:t>
      </w:r>
    </w:p>
    <w:p w:rsidR="00037F87" w:rsidRPr="009F05B2" w:rsidRDefault="00037F87" w:rsidP="00B92E9A">
      <w:pPr>
        <w:autoSpaceDE w:val="0"/>
        <w:autoSpaceDN w:val="0"/>
        <w:adjustRightInd w:val="0"/>
        <w:spacing w:before="240"/>
        <w:jc w:val="both"/>
        <w:rPr>
          <w:rStyle w:val="uv3um"/>
          <w:rFonts w:ascii="Arial" w:eastAsia="CIDFont+F3" w:hAnsi="Arial" w:cs="Arial"/>
          <w:color w:val="C00000"/>
          <w:lang w:bidi="mr-IN"/>
        </w:rPr>
      </w:pPr>
      <w:r w:rsidRPr="009F05B2">
        <w:rPr>
          <w:rFonts w:ascii="Arial" w:eastAsia="MinionPro-Regular" w:hAnsi="Arial" w:cs="Arial"/>
          <w:lang w:bidi="mr-IN"/>
        </w:rPr>
        <w:t>In the present study</w:t>
      </w:r>
      <w:bookmarkStart w:id="19" w:name="_Hlk213676040"/>
      <w:r w:rsidRPr="009F05B2">
        <w:rPr>
          <w:rFonts w:ascii="Arial" w:eastAsia="MinionPro-Regular" w:hAnsi="Arial" w:cs="Arial"/>
          <w:lang w:bidi="mr-IN"/>
        </w:rPr>
        <w:t xml:space="preserve">, the water quality index was determined using the method outlined by the </w:t>
      </w:r>
      <w:r w:rsidRPr="009F05B2">
        <w:rPr>
          <w:rFonts w:ascii="Arial" w:hAnsi="Arial" w:cs="Arial"/>
        </w:rPr>
        <w:t>Bureau of Indian Standards Water Quality Index (BISWQI)</w:t>
      </w:r>
      <w:r w:rsidRPr="009F05B2">
        <w:rPr>
          <w:rFonts w:ascii="Arial" w:eastAsia="MinionPro-Regular" w:hAnsi="Arial" w:cs="Arial"/>
          <w:lang w:bidi="mr-IN"/>
        </w:rPr>
        <w:t xml:space="preserve">. </w:t>
      </w:r>
      <w:bookmarkEnd w:id="19"/>
      <w:r w:rsidRPr="009F05B2">
        <w:rPr>
          <w:rFonts w:ascii="Arial" w:eastAsia="MinionPro-Regular" w:hAnsi="Arial" w:cs="Arial"/>
          <w:lang w:bidi="mr-IN"/>
        </w:rPr>
        <w:t xml:space="preserve">The average values of 14 </w:t>
      </w:r>
      <w:proofErr w:type="spellStart"/>
      <w:r w:rsidRPr="009F05B2">
        <w:rPr>
          <w:rFonts w:ascii="Arial" w:eastAsia="MinionPro-Regular" w:hAnsi="Arial" w:cs="Arial"/>
          <w:lang w:bidi="mr-IN"/>
        </w:rPr>
        <w:t>analysed</w:t>
      </w:r>
      <w:proofErr w:type="spellEnd"/>
      <w:r w:rsidRPr="009F05B2">
        <w:rPr>
          <w:rFonts w:ascii="Arial" w:eastAsia="MinionPro-Regular" w:hAnsi="Arial" w:cs="Arial"/>
          <w:lang w:bidi="mr-IN"/>
        </w:rPr>
        <w:t xml:space="preserve"> parameters (pH, EC, TDS, Clˉ, Brˉ, SO</w:t>
      </w:r>
      <w:r w:rsidRPr="009F05B2">
        <w:rPr>
          <w:rFonts w:ascii="Arial" w:eastAsia="MinionPro-Regular" w:hAnsi="Arial" w:cs="Arial"/>
          <w:vertAlign w:val="superscript"/>
          <w:lang w:bidi="mr-IN"/>
        </w:rPr>
        <w:t>4</w:t>
      </w:r>
      <w:r w:rsidRPr="009F05B2">
        <w:rPr>
          <w:rFonts w:ascii="Arial" w:eastAsia="MinionPro-Regular" w:hAnsi="Arial" w:cs="Arial"/>
          <w:lang w:bidi="mr-IN"/>
        </w:rPr>
        <w:t xml:space="preserve">, </w:t>
      </w:r>
      <w:r w:rsidRPr="009F05B2">
        <w:rPr>
          <w:rFonts w:ascii="Arial" w:eastAsia="MinionPro-Regular" w:hAnsi="Arial" w:cs="Arial"/>
        </w:rPr>
        <w:t>Ca</w:t>
      </w:r>
      <w:r w:rsidRPr="009F05B2">
        <w:rPr>
          <w:rFonts w:ascii="Arial" w:eastAsia="MinionPro-Regular" w:hAnsi="Arial" w:cs="Arial"/>
          <w:vertAlign w:val="superscript"/>
        </w:rPr>
        <w:t>2+</w:t>
      </w:r>
      <w:r w:rsidRPr="009F05B2">
        <w:rPr>
          <w:rFonts w:ascii="Arial" w:eastAsia="MinionPro-Regular" w:hAnsi="Arial" w:cs="Arial"/>
          <w:vertAlign w:val="subscript"/>
        </w:rPr>
        <w:t xml:space="preserve">, </w:t>
      </w:r>
      <w:r w:rsidRPr="009F05B2">
        <w:rPr>
          <w:rFonts w:ascii="Arial" w:eastAsia="MinionPro-Regular" w:hAnsi="Arial" w:cs="Arial"/>
          <w:lang w:bidi="mr-IN"/>
        </w:rPr>
        <w:t>Mg</w:t>
      </w:r>
      <w:r w:rsidRPr="009F05B2">
        <w:rPr>
          <w:rFonts w:ascii="Arial" w:eastAsia="MinionPro-Regular" w:hAnsi="Arial" w:cs="Arial"/>
          <w:vertAlign w:val="superscript"/>
          <w:lang w:bidi="mr-IN"/>
        </w:rPr>
        <w:t>+2</w:t>
      </w:r>
      <w:r w:rsidRPr="009F05B2">
        <w:rPr>
          <w:rFonts w:ascii="Arial" w:eastAsia="MinionPro-Regular" w:hAnsi="Arial" w:cs="Arial"/>
          <w:lang w:bidi="mr-IN"/>
        </w:rPr>
        <w:t xml:space="preserve">, hardness, BOD, COD, DO, Nitrate, Fecal coliform) from 14 sampling sites and 390 water samples were included in the calculations. </w:t>
      </w:r>
    </w:p>
    <w:p w:rsidR="00037F87" w:rsidRPr="009F05B2" w:rsidRDefault="00037F87" w:rsidP="00B92E9A">
      <w:pPr>
        <w:spacing w:before="240"/>
        <w:jc w:val="both"/>
        <w:rPr>
          <w:rFonts w:ascii="Arial" w:hAnsi="Arial" w:cs="Arial"/>
          <w:lang w:eastAsia="en-IN" w:bidi="mr-IN"/>
        </w:rPr>
      </w:pPr>
      <w:r w:rsidRPr="009F05B2">
        <w:rPr>
          <w:rFonts w:ascii="Arial" w:hAnsi="Arial" w:cs="Arial"/>
          <w:lang w:eastAsia="en-IN" w:bidi="mr-IN"/>
        </w:rPr>
        <w:t xml:space="preserve">Initially, the management goals and the environmental factors of the study region are taken into consideration while making the selection of parameters for water quality measurement. Secondly, all parameters were converted from collected sample data with various dimensions and units into a common scale and a non-dimensional scale using various descriptive and multivariate statistical techniques. Thirdly, each parameter was given a weight based on its significance and effect on water quality. Finally, aggregated values were used to produce the final WQI, which is the total of all the parameters' ratings and weights. </w:t>
      </w:r>
    </w:p>
    <w:p w:rsidR="00037F87" w:rsidRPr="009F05B2" w:rsidRDefault="00037F87" w:rsidP="00273A0A">
      <w:pPr>
        <w:spacing w:after="240"/>
        <w:jc w:val="both"/>
        <w:rPr>
          <w:rFonts w:ascii="Arial" w:hAnsi="Arial" w:cs="Arial"/>
        </w:rPr>
      </w:pPr>
      <w:r w:rsidRPr="009F05B2">
        <w:rPr>
          <w:rFonts w:ascii="Arial" w:hAnsi="Arial" w:cs="Arial"/>
          <w:lang w:eastAsia="en-IN" w:bidi="mr-IN"/>
        </w:rPr>
        <w:t xml:space="preserve">To compute WQI, according to the Bureau of Indian Standards Water Quality Index (BIS WQI), a national water quality index for India was used, which is based on parameters established by the Indian government under IS: 10500 </w:t>
      </w:r>
      <w:r w:rsidRPr="009F05B2">
        <w:rPr>
          <w:rFonts w:ascii="Arial" w:hAnsi="Arial" w:cs="Arial"/>
          <w:lang w:eastAsia="en-IN" w:bidi="mr-IN"/>
        </w:rPr>
        <w:fldChar w:fldCharType="begin"/>
      </w:r>
      <w:r w:rsidR="00540813">
        <w:rPr>
          <w:rFonts w:ascii="Arial" w:hAnsi="Arial" w:cs="Arial"/>
          <w:lang w:eastAsia="en-IN" w:bidi="mr-IN"/>
        </w:rPr>
        <w:instrText xml:space="preserve"> ADDIN ZOTERO_ITEM CSL_CITATION {"citationID":"8YComo07","properties":{"formattedCitation":"(Alobaidy et al., 2010)","plainCitation":"(Alobaidy et al., 2010)","noteIndex":0},"citationItems":[{"id":"7AoAF8BM/AaUpu4O7","uris":["http://zotero.org/users/8828115/items/GEINNJW7"],"itemData":{"id":1139,"type":"article-journal","abstract":"Water Quality Index (WQI) was applied in Dokan Lake, Kurdistan region, Iraq using ten water quality parameters (pH, Dissolved Oxygen, Turbidity, Conductivity, Hardness, Alkalinity, Sodium, Biochemical Oxygen Demand, Nitrate and Nitrite). The relative weight assigned to each parameter ranged from 1 to 4 based on the importance of the parameter for aquatic life. The results indicated that water quality of Dokan Lake declined from Good in the years 1978, 1979, 1980, 1999, 2000 and 2008 to Poor in 2009. The impact of various anthropogenic activities was evident on some parameters such as the EC and BOD. It is suggested that monitoring of the lake is necessary for proper management. Application of the WQI is also suggested as a very helpful tool that enables the public and decision makers to evaluate water quality of lakes in Iraq.","container-title":"Journal of Water Resource and Protection","DOI":"10.4236/jwarp.2010.29093","ISSN":"1945-3094, 1945-3108","issue":"09","journalAbbreviation":"JWARP","language":"en","license":"http://creativecommons.org/licenses/by/4.0/","page":"792-798","source":"DOI.org (Crossref)","title":"Application of Water Quality Index for Assessment of Dokan Lake Ecosystem, Kurdistan Region, Iraq","volume":"02","author":[{"family":"Alobaidy","given":"Abdul Hameed M. Jawad"},{"family":"Abid","given":"Haider S."},{"family":"Maulood","given":"Bahram K."}],"issued":{"date-parts":[["2010"]]}}}],"schema":"https://github.com/citation-style-language/schema/raw/master/csl-citation.json"} </w:instrText>
      </w:r>
      <w:r w:rsidRPr="009F05B2">
        <w:rPr>
          <w:rFonts w:ascii="Arial" w:hAnsi="Arial" w:cs="Arial"/>
          <w:lang w:eastAsia="en-IN" w:bidi="mr-IN"/>
        </w:rPr>
        <w:fldChar w:fldCharType="separate"/>
      </w:r>
      <w:r w:rsidR="00540813" w:rsidRPr="00540813">
        <w:rPr>
          <w:rFonts w:ascii="Arial" w:hAnsi="Arial" w:cs="Arial"/>
        </w:rPr>
        <w:t>(Alobaidy et al., 2010)</w:t>
      </w:r>
      <w:r w:rsidRPr="009F05B2">
        <w:rPr>
          <w:rFonts w:ascii="Arial" w:hAnsi="Arial" w:cs="Arial"/>
          <w:lang w:eastAsia="en-IN" w:bidi="mr-IN"/>
        </w:rPr>
        <w:fldChar w:fldCharType="end"/>
      </w:r>
      <w:r w:rsidRPr="009F05B2">
        <w:rPr>
          <w:rFonts w:ascii="Arial" w:hAnsi="Arial" w:cs="Arial"/>
          <w:lang w:eastAsia="en-IN" w:bidi="mr-IN"/>
        </w:rPr>
        <w:t xml:space="preserve">. The BISWQI Standards were compared to the sample data values to determine the index. For the present study, WQI was calculated using the </w:t>
      </w:r>
      <w:r w:rsidRPr="009F05B2">
        <w:rPr>
          <w:rFonts w:ascii="Arial" w:hAnsi="Arial" w:cs="Arial"/>
          <w:lang w:bidi="mr-IN"/>
        </w:rPr>
        <w:t xml:space="preserve">weighted arithmetic index method for each parameter </w:t>
      </w:r>
      <w:r w:rsidRPr="009F05B2">
        <w:rPr>
          <w:rFonts w:ascii="Arial" w:hAnsi="Arial" w:cs="Arial"/>
          <w:lang w:eastAsia="en-IN" w:bidi="mr-IN"/>
        </w:rPr>
        <w:t>(</w:t>
      </w:r>
      <w:r w:rsidRPr="009F05B2">
        <w:rPr>
          <w:rFonts w:ascii="Arial" w:hAnsi="Arial" w:cs="Arial"/>
          <w:i/>
          <w:iCs/>
          <w:lang w:eastAsia="en-IN" w:bidi="mr-IN"/>
        </w:rPr>
        <w:t>qi</w:t>
      </w:r>
      <w:r w:rsidRPr="009F05B2">
        <w:rPr>
          <w:rFonts w:ascii="Arial" w:hAnsi="Arial" w:cs="Arial"/>
          <w:lang w:eastAsia="en-IN" w:bidi="mr-IN"/>
        </w:rPr>
        <w:t xml:space="preserve">) </w:t>
      </w:r>
      <w:r w:rsidRPr="009F05B2">
        <w:rPr>
          <w:rFonts w:ascii="Arial" w:hAnsi="Arial" w:cs="Arial"/>
          <w:lang w:bidi="mr-IN"/>
        </w:rPr>
        <w:t xml:space="preserve">by the method adopted by </w:t>
      </w:r>
      <w:proofErr w:type="spellStart"/>
      <w:r w:rsidRPr="009F05B2">
        <w:rPr>
          <w:rFonts w:ascii="Arial" w:hAnsi="Arial" w:cs="Arial"/>
        </w:rPr>
        <w:t>Soueilem</w:t>
      </w:r>
      <w:proofErr w:type="spellEnd"/>
      <w:r w:rsidRPr="009F05B2">
        <w:rPr>
          <w:rFonts w:ascii="Arial" w:hAnsi="Arial" w:cs="Arial"/>
        </w:rPr>
        <w:t xml:space="preserve"> et al. (2025). </w:t>
      </w:r>
    </w:p>
    <w:p w:rsidR="00037F87" w:rsidRPr="009F05B2" w:rsidRDefault="00037F87" w:rsidP="00037F87">
      <w:pPr>
        <w:jc w:val="both"/>
        <w:rPr>
          <w:rFonts w:ascii="Arial" w:hAnsi="Arial" w:cs="Arial"/>
        </w:rPr>
      </w:pPr>
      <m:oMath>
        <m:r>
          <w:rPr>
            <w:rFonts w:ascii="Cambria Math" w:hAnsi="Cambria Math" w:cs="Arial"/>
          </w:rPr>
          <m:t>qi=</m:t>
        </m:r>
        <m:f>
          <m:fPr>
            <m:ctrlPr>
              <w:rPr>
                <w:rFonts w:ascii="Cambria Math" w:hAnsi="Cambria Math" w:cs="Arial"/>
                <w:i/>
              </w:rPr>
            </m:ctrlPr>
          </m:fPr>
          <m:num>
            <m:r>
              <w:rPr>
                <w:rFonts w:ascii="Cambria Math" w:hAnsi="Cambria Math" w:cs="Arial"/>
              </w:rPr>
              <m:t>Ci</m:t>
            </m:r>
          </m:num>
          <m:den>
            <m:r>
              <w:rPr>
                <w:rFonts w:ascii="Cambria Math" w:hAnsi="Cambria Math" w:cs="Arial"/>
              </w:rPr>
              <m:t>Si</m:t>
            </m:r>
          </m:den>
        </m:f>
        <m:r>
          <m:rPr>
            <m:sty m:val="p"/>
          </m:rPr>
          <w:rPr>
            <w:rFonts w:ascii="Cambria Math" w:hAnsi="Cambria Math" w:cs="Arial"/>
          </w:rPr>
          <m:t xml:space="preserve"> x </m:t>
        </m:r>
        <m:r>
          <w:rPr>
            <w:rFonts w:ascii="Cambria Math" w:hAnsi="Cambria Math" w:cs="Arial"/>
          </w:rPr>
          <m:t xml:space="preserve"> 100</m:t>
        </m:r>
      </m:oMath>
      <w:r w:rsidRPr="009F05B2">
        <w:rPr>
          <w:rFonts w:ascii="Arial" w:eastAsiaTheme="minorEastAsia" w:hAnsi="Arial" w:cs="Arial"/>
        </w:rPr>
        <w:t xml:space="preserve">                                                                                                                </w:t>
      </w:r>
      <w:r w:rsidR="00AA4A94">
        <w:rPr>
          <w:rFonts w:ascii="Arial" w:eastAsiaTheme="minorEastAsia" w:hAnsi="Arial" w:cs="Arial"/>
        </w:rPr>
        <w:t xml:space="preserve">         </w:t>
      </w:r>
      <w:r w:rsidRPr="009F05B2">
        <w:rPr>
          <w:rFonts w:ascii="Arial" w:eastAsiaTheme="minorEastAsia" w:hAnsi="Arial" w:cs="Arial"/>
        </w:rPr>
        <w:t xml:space="preserve"> (1)</w:t>
      </w:r>
    </w:p>
    <w:p w:rsidR="00037F87" w:rsidRPr="009F05B2" w:rsidRDefault="00037F87" w:rsidP="005B1F50">
      <w:pPr>
        <w:spacing w:before="240" w:after="240"/>
        <w:jc w:val="both"/>
        <w:rPr>
          <w:rFonts w:ascii="Arial" w:hAnsi="Arial" w:cs="Arial"/>
          <w:i/>
          <w:iCs/>
          <w:lang w:eastAsia="en-IN" w:bidi="mr-IN"/>
        </w:rPr>
      </w:pPr>
      <w:r w:rsidRPr="009F05B2">
        <w:rPr>
          <w:rFonts w:ascii="Arial" w:hAnsi="Arial" w:cs="Arial"/>
          <w:lang w:eastAsia="en-IN" w:bidi="mr-IN"/>
        </w:rPr>
        <w:t>Each parameter (</w:t>
      </w:r>
      <w:r w:rsidRPr="009F05B2">
        <w:rPr>
          <w:rFonts w:ascii="Arial" w:hAnsi="Arial" w:cs="Arial"/>
          <w:i/>
          <w:iCs/>
          <w:lang w:eastAsia="en-IN" w:bidi="mr-IN"/>
        </w:rPr>
        <w:t>qi</w:t>
      </w:r>
      <w:r w:rsidRPr="009F05B2">
        <w:rPr>
          <w:rFonts w:ascii="Arial" w:hAnsi="Arial" w:cs="Arial"/>
          <w:lang w:eastAsia="en-IN" w:bidi="mr-IN"/>
        </w:rPr>
        <w:t>) is calculated by dividing the concentration (</w:t>
      </w:r>
      <w:r w:rsidRPr="009F05B2">
        <w:rPr>
          <w:rFonts w:ascii="Arial" w:hAnsi="Arial" w:cs="Arial"/>
          <w:i/>
          <w:iCs/>
          <w:lang w:eastAsia="en-IN" w:bidi="mr-IN"/>
        </w:rPr>
        <w:t>Ci</w:t>
      </w:r>
      <w:r w:rsidRPr="009F05B2">
        <w:rPr>
          <w:rFonts w:ascii="Arial" w:hAnsi="Arial" w:cs="Arial"/>
          <w:lang w:eastAsia="en-IN" w:bidi="mr-IN"/>
        </w:rPr>
        <w:t xml:space="preserve">) scale of </w:t>
      </w:r>
      <w:proofErr w:type="spellStart"/>
      <w:r w:rsidRPr="009F05B2">
        <w:rPr>
          <w:rFonts w:ascii="Arial" w:hAnsi="Arial" w:cs="Arial"/>
          <w:i/>
          <w:iCs/>
          <w:lang w:eastAsia="en-IN" w:bidi="mr-IN"/>
        </w:rPr>
        <w:t>i</w:t>
      </w:r>
      <w:r w:rsidRPr="009F05B2">
        <w:rPr>
          <w:rFonts w:ascii="Arial" w:hAnsi="Arial" w:cs="Arial"/>
          <w:lang w:eastAsia="en-IN" w:bidi="mr-IN"/>
        </w:rPr>
        <w:t>th</w:t>
      </w:r>
      <w:proofErr w:type="spellEnd"/>
      <w:r w:rsidRPr="009F05B2">
        <w:rPr>
          <w:rFonts w:ascii="Arial" w:hAnsi="Arial" w:cs="Arial"/>
          <w:lang w:eastAsia="en-IN" w:bidi="mr-IN"/>
        </w:rPr>
        <w:t xml:space="preserve"> parameter in each water sample by its respective standard permissible concentration of </w:t>
      </w:r>
      <w:proofErr w:type="spellStart"/>
      <w:r w:rsidRPr="009F05B2">
        <w:rPr>
          <w:rFonts w:ascii="Arial" w:hAnsi="Arial" w:cs="Arial"/>
          <w:i/>
          <w:iCs/>
          <w:lang w:eastAsia="en-IN" w:bidi="mr-IN"/>
        </w:rPr>
        <w:t>i</w:t>
      </w:r>
      <w:r w:rsidRPr="009F05B2">
        <w:rPr>
          <w:rFonts w:ascii="Arial" w:hAnsi="Arial" w:cs="Arial"/>
          <w:lang w:eastAsia="en-IN" w:bidi="mr-IN"/>
        </w:rPr>
        <w:t>th</w:t>
      </w:r>
      <w:proofErr w:type="spellEnd"/>
      <w:r w:rsidRPr="009F05B2">
        <w:rPr>
          <w:rFonts w:ascii="Arial" w:hAnsi="Arial" w:cs="Arial"/>
          <w:lang w:eastAsia="en-IN" w:bidi="mr-IN"/>
        </w:rPr>
        <w:t xml:space="preserve"> parameter (</w:t>
      </w:r>
      <w:r w:rsidRPr="009F05B2">
        <w:rPr>
          <w:rFonts w:ascii="Arial" w:hAnsi="Arial" w:cs="Arial"/>
          <w:i/>
          <w:iCs/>
          <w:lang w:eastAsia="en-IN" w:bidi="mr-IN"/>
        </w:rPr>
        <w:t>Si</w:t>
      </w:r>
      <w:r w:rsidRPr="009F05B2">
        <w:rPr>
          <w:rFonts w:ascii="Arial" w:hAnsi="Arial" w:cs="Arial"/>
          <w:lang w:eastAsia="en-IN" w:bidi="mr-IN"/>
        </w:rPr>
        <w:t>) and the weighted percentage is assessed by multiplying it by 100. The relative weighted parameter (</w:t>
      </w:r>
      <w:r w:rsidRPr="009F05B2">
        <w:rPr>
          <w:rFonts w:ascii="Arial" w:hAnsi="Arial" w:cs="Arial"/>
          <w:i/>
          <w:iCs/>
          <w:lang w:eastAsia="en-IN" w:bidi="mr-IN"/>
        </w:rPr>
        <w:t>Wi</w:t>
      </w:r>
      <w:r w:rsidRPr="009F05B2">
        <w:rPr>
          <w:rFonts w:ascii="Arial" w:hAnsi="Arial" w:cs="Arial"/>
          <w:lang w:eastAsia="en-IN" w:bidi="mr-IN"/>
        </w:rPr>
        <w:t xml:space="preserve">) is calculated using a value inversely proportional to the </w:t>
      </w:r>
      <w:r w:rsidRPr="009F05B2">
        <w:rPr>
          <w:rFonts w:ascii="Arial" w:hAnsi="Arial" w:cs="Arial"/>
          <w:i/>
          <w:iCs/>
          <w:lang w:eastAsia="en-IN" w:bidi="mr-IN"/>
        </w:rPr>
        <w:t xml:space="preserve">Si, </w:t>
      </w:r>
    </w:p>
    <w:p w:rsidR="00037F87" w:rsidRPr="009F05B2" w:rsidRDefault="00037F87" w:rsidP="00037F87">
      <w:pPr>
        <w:jc w:val="both"/>
        <w:rPr>
          <w:rFonts w:ascii="Arial" w:hAnsi="Arial" w:cs="Arial"/>
          <w:lang w:eastAsia="en-IN" w:bidi="mr-IN"/>
        </w:rPr>
      </w:pPr>
      <w:r w:rsidRPr="009F05B2">
        <w:rPr>
          <w:rFonts w:ascii="Arial" w:hAnsi="Arial" w:cs="Arial"/>
          <w:i/>
          <w:lang w:eastAsia="en-IN" w:bidi="mr-IN"/>
        </w:rPr>
        <w:lastRenderedPageBreak/>
        <w:t xml:space="preserve"> </w:t>
      </w:r>
      <m:oMath>
        <m:r>
          <w:rPr>
            <w:rFonts w:ascii="Cambria Math" w:hAnsi="Cambria Math" w:cs="Arial"/>
            <w:lang w:eastAsia="en-IN" w:bidi="mr-IN"/>
          </w:rPr>
          <m:t xml:space="preserve">Wi= </m:t>
        </m:r>
        <m:f>
          <m:fPr>
            <m:ctrlPr>
              <w:rPr>
                <w:rFonts w:ascii="Cambria Math" w:hAnsi="Cambria Math" w:cs="Arial"/>
                <w:i/>
                <w:lang w:eastAsia="en-IN" w:bidi="mr-IN"/>
              </w:rPr>
            </m:ctrlPr>
          </m:fPr>
          <m:num>
            <m:r>
              <w:rPr>
                <w:rFonts w:ascii="Cambria Math" w:hAnsi="Cambria Math" w:cs="Arial"/>
                <w:lang w:eastAsia="en-IN" w:bidi="mr-IN"/>
              </w:rPr>
              <m:t>1</m:t>
            </m:r>
          </m:num>
          <m:den>
            <m:r>
              <w:rPr>
                <w:rFonts w:ascii="Cambria Math" w:hAnsi="Cambria Math" w:cs="Arial"/>
                <w:lang w:eastAsia="en-IN" w:bidi="mr-IN"/>
              </w:rPr>
              <m:t>Si</m:t>
            </m:r>
          </m:den>
        </m:f>
      </m:oMath>
      <w:r w:rsidRPr="009F05B2">
        <w:rPr>
          <w:rFonts w:ascii="Arial" w:hAnsi="Arial" w:cs="Arial"/>
          <w:lang w:eastAsia="en-IN" w:bidi="mr-IN"/>
        </w:rPr>
        <w:t xml:space="preserve">                                               </w:t>
      </w:r>
      <w:r>
        <w:rPr>
          <w:rFonts w:ascii="Arial" w:hAnsi="Arial" w:cs="Arial"/>
          <w:lang w:eastAsia="en-IN" w:bidi="mr-IN"/>
        </w:rPr>
        <w:t xml:space="preserve">  </w:t>
      </w:r>
      <w:r w:rsidRPr="009F05B2">
        <w:rPr>
          <w:rFonts w:ascii="Arial" w:hAnsi="Arial" w:cs="Arial"/>
          <w:lang w:eastAsia="en-IN" w:bidi="mr-IN"/>
        </w:rPr>
        <w:t xml:space="preserve">                                                                            </w:t>
      </w:r>
      <w:r w:rsidR="00AA4A94">
        <w:rPr>
          <w:rFonts w:ascii="Arial" w:eastAsiaTheme="minorEastAsia" w:hAnsi="Arial" w:cs="Arial"/>
        </w:rPr>
        <w:t xml:space="preserve">    </w:t>
      </w:r>
      <w:r w:rsidRPr="009F05B2">
        <w:rPr>
          <w:rFonts w:ascii="Arial" w:eastAsiaTheme="minorEastAsia" w:hAnsi="Arial" w:cs="Arial"/>
        </w:rPr>
        <w:t>(2)</w:t>
      </w:r>
    </w:p>
    <w:p w:rsidR="00037F87" w:rsidRPr="009F05B2" w:rsidRDefault="00037F87" w:rsidP="00037F87">
      <w:pPr>
        <w:autoSpaceDE w:val="0"/>
        <w:autoSpaceDN w:val="0"/>
        <w:adjustRightInd w:val="0"/>
        <w:rPr>
          <w:rFonts w:ascii="Arial" w:hAnsi="Arial" w:cs="Arial"/>
        </w:rPr>
      </w:pPr>
      <w:r w:rsidRPr="009F05B2">
        <w:rPr>
          <w:rFonts w:ascii="Arial" w:hAnsi="Arial" w:cs="Arial"/>
        </w:rPr>
        <w:t xml:space="preserve">The overall WQI is calculated by aggregating the quality rating of </w:t>
      </w:r>
      <w:r w:rsidRPr="009F05B2">
        <w:rPr>
          <w:rFonts w:ascii="Arial" w:hAnsi="Arial" w:cs="Arial"/>
          <w:i/>
          <w:iCs/>
        </w:rPr>
        <w:t xml:space="preserve">qi </w:t>
      </w:r>
      <w:r w:rsidRPr="009F05B2">
        <w:rPr>
          <w:rFonts w:ascii="Arial" w:hAnsi="Arial" w:cs="Arial"/>
        </w:rPr>
        <w:t>with</w:t>
      </w:r>
      <w:r w:rsidRPr="009F05B2">
        <w:rPr>
          <w:rFonts w:ascii="Arial" w:hAnsi="Arial" w:cs="Arial"/>
          <w:i/>
          <w:iCs/>
        </w:rPr>
        <w:t xml:space="preserve"> Wi </w:t>
      </w:r>
      <w:r w:rsidRPr="009F05B2">
        <w:rPr>
          <w:rFonts w:ascii="Arial" w:hAnsi="Arial" w:cs="Arial"/>
        </w:rPr>
        <w:t>linearly,</w:t>
      </w:r>
    </w:p>
    <w:p w:rsidR="00037F87" w:rsidRPr="009F05B2" w:rsidRDefault="00037F87" w:rsidP="00037F87">
      <w:pPr>
        <w:autoSpaceDE w:val="0"/>
        <w:autoSpaceDN w:val="0"/>
        <w:adjustRightInd w:val="0"/>
        <w:rPr>
          <w:rFonts w:ascii="Arial" w:hAnsi="Arial" w:cs="Arial"/>
          <w:color w:val="7030A0"/>
        </w:rPr>
      </w:pPr>
    </w:p>
    <w:p w:rsidR="00037F87" w:rsidRPr="009F05B2" w:rsidRDefault="00037F87" w:rsidP="00037F87">
      <w:pPr>
        <w:autoSpaceDE w:val="0"/>
        <w:autoSpaceDN w:val="0"/>
        <w:adjustRightInd w:val="0"/>
        <w:rPr>
          <w:rFonts w:ascii="Arial" w:eastAsiaTheme="minorEastAsia" w:hAnsi="Arial" w:cs="Arial"/>
        </w:rPr>
      </w:pPr>
      <m:oMath>
        <m:r>
          <w:rPr>
            <w:rFonts w:ascii="Cambria Math" w:hAnsi="Cambria Math" w:cs="Arial"/>
          </w:rPr>
          <m:t xml:space="preserve">WQI= </m:t>
        </m:r>
        <m:nary>
          <m:naryPr>
            <m:chr m:val="∑"/>
            <m:limLoc m:val="subSup"/>
            <m:ctrlPr>
              <w:rPr>
                <w:rFonts w:ascii="Cambria Math" w:hAnsi="Cambria Math" w:cs="Arial"/>
                <w:i/>
              </w:rPr>
            </m:ctrlPr>
          </m:naryPr>
          <m:sub>
            <m:r>
              <w:rPr>
                <w:rFonts w:ascii="Cambria Math" w:hAnsi="Cambria Math" w:cs="Arial"/>
              </w:rPr>
              <m:t>i=1</m:t>
            </m:r>
          </m:sub>
          <m:sup>
            <m:r>
              <w:rPr>
                <w:rFonts w:ascii="Cambria Math" w:hAnsi="Cambria Math" w:cs="Arial"/>
              </w:rPr>
              <m:t>n</m:t>
            </m:r>
          </m:sup>
          <m:e>
            <m:r>
              <w:rPr>
                <w:rFonts w:ascii="Cambria Math" w:hAnsi="Cambria Math" w:cs="Arial"/>
              </w:rPr>
              <m:t xml:space="preserve">(wi </m:t>
            </m:r>
            <m:r>
              <m:rPr>
                <m:sty m:val="p"/>
              </m:rPr>
              <w:rPr>
                <w:rFonts w:ascii="Cambria Math" w:hAnsi="Cambria Math" w:cs="Arial"/>
              </w:rPr>
              <m:t>x</m:t>
            </m:r>
            <m:r>
              <w:rPr>
                <w:rFonts w:ascii="Cambria Math" w:hAnsi="Cambria Math" w:cs="Arial"/>
              </w:rPr>
              <m:t xml:space="preserve"> qi)</m:t>
            </m:r>
          </m:e>
        </m:nary>
      </m:oMath>
      <w:r w:rsidRPr="009F05B2">
        <w:rPr>
          <w:rFonts w:ascii="Arial" w:eastAsiaTheme="minorEastAsia" w:hAnsi="Arial" w:cs="Arial"/>
        </w:rPr>
        <w:t xml:space="preserve">                                                                                             </w:t>
      </w:r>
      <w:r>
        <w:rPr>
          <w:rFonts w:ascii="Arial" w:eastAsiaTheme="minorEastAsia" w:hAnsi="Arial" w:cs="Arial"/>
        </w:rPr>
        <w:t xml:space="preserve">  </w:t>
      </w:r>
      <w:r w:rsidRPr="009F05B2">
        <w:rPr>
          <w:rFonts w:ascii="Arial" w:eastAsiaTheme="minorEastAsia" w:hAnsi="Arial" w:cs="Arial"/>
        </w:rPr>
        <w:t xml:space="preserve">           </w:t>
      </w:r>
      <w:r w:rsidR="00AA4A94">
        <w:rPr>
          <w:rFonts w:ascii="Arial" w:eastAsiaTheme="minorEastAsia" w:hAnsi="Arial" w:cs="Arial"/>
        </w:rPr>
        <w:t xml:space="preserve">    </w:t>
      </w:r>
      <w:r w:rsidRPr="009F05B2">
        <w:rPr>
          <w:rFonts w:ascii="Arial" w:eastAsiaTheme="minorEastAsia" w:hAnsi="Arial" w:cs="Arial"/>
        </w:rPr>
        <w:t>(3)</w:t>
      </w:r>
    </w:p>
    <w:p w:rsidR="00037F87" w:rsidRPr="009F05B2" w:rsidRDefault="00037F87" w:rsidP="00037F87">
      <w:pPr>
        <w:spacing w:before="240"/>
        <w:rPr>
          <w:rFonts w:ascii="Arial" w:hAnsi="Arial" w:cs="Arial"/>
          <w:lang w:eastAsia="en-IN" w:bidi="mr-IN"/>
        </w:rPr>
      </w:pPr>
      <w:r w:rsidRPr="009F05B2">
        <w:rPr>
          <w:rFonts w:ascii="Arial" w:hAnsi="Arial" w:cs="Arial"/>
          <w:i/>
          <w:iCs/>
          <w:lang w:eastAsia="en-IN" w:bidi="mr-IN"/>
        </w:rPr>
        <w:t>qi</w:t>
      </w:r>
      <w:r w:rsidRPr="009F05B2">
        <w:rPr>
          <w:rFonts w:ascii="Arial" w:hAnsi="Arial" w:cs="Arial"/>
          <w:lang w:eastAsia="en-IN" w:bidi="mr-IN"/>
        </w:rPr>
        <w:t xml:space="preserve"> is the quality rating value that represents the relative value of characteristics in relation to their standard permitted value (</w:t>
      </w:r>
      <w:r w:rsidRPr="009F05B2">
        <w:rPr>
          <w:rFonts w:ascii="Arial" w:hAnsi="Arial" w:cs="Arial"/>
          <w:i/>
          <w:iCs/>
          <w:lang w:eastAsia="en-IN" w:bidi="mr-IN"/>
        </w:rPr>
        <w:t xml:space="preserve">Si) </w:t>
      </w:r>
      <w:r w:rsidRPr="009F05B2">
        <w:rPr>
          <w:rFonts w:ascii="Arial" w:hAnsi="Arial" w:cs="Arial"/>
          <w:i/>
          <w:iCs/>
          <w:lang w:eastAsia="en-IN" w:bidi="mr-IN"/>
        </w:rPr>
        <w:fldChar w:fldCharType="begin"/>
      </w:r>
      <w:r w:rsidR="00540813">
        <w:rPr>
          <w:rFonts w:ascii="Arial" w:hAnsi="Arial" w:cs="Arial"/>
          <w:i/>
          <w:iCs/>
          <w:lang w:eastAsia="en-IN" w:bidi="mr-IN"/>
        </w:rPr>
        <w:instrText xml:space="preserve"> ADDIN ZOTERO_ITEM CSL_CITATION {"citationID":"YEkpRmFV","properties":{"formattedCitation":"(Mukate et al., 2019)","plainCitation":"(Mukate et al., 2019)","noteIndex":0},"citationItems":[{"id":"7AoAF8BM/r8q7X1F0","uris":["http://zotero.org/users/8828115/items/URDVDPPI"],"itemData":{"id":1236,"type":"article-journal","abstract":"Several water quality indices are used to evaluate water suitability for potable use; however, every index has strengths and weaknesses which limits the applicability and ease of use. There is a need to develop a universally accepted water quality index (WQI) which is flexible enough to represent drinking water suitability all over world. A new water quality index has been developed. The concentration of any parameter below desirable limit as well as above permissible limit will contribute to the overall increase in the index value; therefore the index is called as Integrated Water Quality Index (IWQI). In traditional WQI, desirable or permissible limits are evaluated as the standard allowable limit but in the IWQI we consider both the limits are considered, avoiding the confusion around the adoption of standard values. Based on this concept, IWQI has been classified into 5 categories viz. excellent (&lt; 1), good (1–2), marginal (2–3), poor (3–5) and unsuitable (&gt; 5); depends on the concentration of cations (Ca, Mg, Na and K), anions (Cl, SO4 and NO3) and other parameters (pH, TDS) present in groundwater samples. The result reveals that 2% samples excellent for drinking, 39% good, 43% marginal, 8% poor and 8% unsuitable for drinking. The results are obtained at 20% deficit of its maximum permissible limit and can be adjusted per user need to alert water managers of possible human health concerns with drinking water. The water quality is mainly affected due to the industrial and agricultural inputs into the aquifer system. The North West region is influenced by anthropogenic inputs from industrial effluents, whereas the South West region is affected from agricultural runoff due to a high level of agricultural activity. The IWQI is flexible, unbiased, easy to calculate and time saving, and will provide useful information to prioritize and maintain the water quality of potable sources and reduce human health impacts from using poor-quality groundwater resources.","container-title":"Ecological Indicators","DOI":"10.1016/j.ecolind.2019.01.034","ISSN":"1470160X","journalAbbreviation":"Ecological Indicators","language":"en","page":"348-354","source":"DOI.org (Crossref)","title":"Development of new integrated water quality index (IWQI) model to evaluate the drinking suitability of water","volume":"101","author":[{"family":"Mukate","given":"Shrikant"},{"family":"Wagh","given":"Vasant"},{"family":"Panaskar","given":"Dipak"},{"family":"Jacobs","given":"James A."},{"family":"Sawant","given":"Akash"}],"issued":{"date-parts":[["2019",6]]}}}],"schema":"https://github.com/citation-style-language/schema/raw/master/csl-citation.json"} </w:instrText>
      </w:r>
      <w:r w:rsidRPr="009F05B2">
        <w:rPr>
          <w:rFonts w:ascii="Arial" w:hAnsi="Arial" w:cs="Arial"/>
          <w:i/>
          <w:iCs/>
          <w:lang w:eastAsia="en-IN" w:bidi="mr-IN"/>
        </w:rPr>
        <w:fldChar w:fldCharType="separate"/>
      </w:r>
      <w:r w:rsidR="00540813" w:rsidRPr="00540813">
        <w:rPr>
          <w:rFonts w:ascii="Arial" w:hAnsi="Arial" w:cs="Arial"/>
        </w:rPr>
        <w:t>(Mukate et al., 2019)</w:t>
      </w:r>
      <w:r w:rsidRPr="009F05B2">
        <w:rPr>
          <w:rFonts w:ascii="Arial" w:hAnsi="Arial" w:cs="Arial"/>
          <w:i/>
          <w:iCs/>
          <w:lang w:eastAsia="en-IN" w:bidi="mr-IN"/>
        </w:rPr>
        <w:fldChar w:fldCharType="end"/>
      </w:r>
      <w:r w:rsidRPr="009F05B2">
        <w:rPr>
          <w:rFonts w:ascii="Arial" w:hAnsi="Arial" w:cs="Arial"/>
          <w:i/>
          <w:iCs/>
          <w:lang w:eastAsia="en-IN" w:bidi="mr-IN"/>
        </w:rPr>
        <w:t>.</w:t>
      </w:r>
      <w:r w:rsidRPr="009F05B2">
        <w:rPr>
          <w:rFonts w:ascii="Arial" w:hAnsi="Arial" w:cs="Arial"/>
          <w:lang w:eastAsia="en-IN" w:bidi="mr-IN"/>
        </w:rPr>
        <w:t xml:space="preserve"> </w:t>
      </w:r>
    </w:p>
    <w:p w:rsidR="00037F87" w:rsidRPr="009F05B2" w:rsidRDefault="00037F87" w:rsidP="00037F87">
      <w:pPr>
        <w:autoSpaceDE w:val="0"/>
        <w:autoSpaceDN w:val="0"/>
        <w:adjustRightInd w:val="0"/>
        <w:rPr>
          <w:rFonts w:ascii="Arial" w:hAnsi="Arial" w:cs="Arial"/>
          <w:color w:val="7030A0"/>
        </w:rPr>
      </w:pPr>
    </w:p>
    <w:p w:rsidR="00037F87" w:rsidRPr="009F05B2" w:rsidRDefault="00037F87" w:rsidP="00037F87">
      <w:pPr>
        <w:autoSpaceDE w:val="0"/>
        <w:autoSpaceDN w:val="0"/>
        <w:adjustRightInd w:val="0"/>
        <w:rPr>
          <w:rFonts w:ascii="Arial" w:hAnsi="Arial" w:cs="Arial"/>
          <w:color w:val="7030A0"/>
        </w:rPr>
      </w:pPr>
      <m:oMath>
        <m:r>
          <w:rPr>
            <w:rFonts w:ascii="Cambria Math" w:hAnsi="Cambria Math" w:cs="Arial"/>
          </w:rPr>
          <m:t xml:space="preserve">WQI= </m:t>
        </m:r>
        <m:f>
          <m:fPr>
            <m:ctrlPr>
              <w:rPr>
                <w:rFonts w:ascii="Cambria Math" w:hAnsi="Cambria Math" w:cs="Arial"/>
                <w:i/>
              </w:rPr>
            </m:ctrlPr>
          </m:fPr>
          <m:num>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r>
                  <w:rPr>
                    <w:rFonts w:ascii="Cambria Math" w:hAnsi="Cambria Math" w:cs="Arial"/>
                  </w:rPr>
                  <m:t>qiWi</m:t>
                </m:r>
              </m:e>
            </m:nary>
          </m:num>
          <m:den>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r>
                  <w:rPr>
                    <w:rFonts w:ascii="Cambria Math" w:hAnsi="Cambria Math" w:cs="Arial"/>
                  </w:rPr>
                  <m:t>Wi</m:t>
                </m:r>
              </m:e>
            </m:nary>
          </m:den>
        </m:f>
      </m:oMath>
      <w:r w:rsidRPr="009F05B2">
        <w:rPr>
          <w:rFonts w:ascii="Arial" w:eastAsiaTheme="minorEastAsia" w:hAnsi="Arial" w:cs="Arial"/>
        </w:rPr>
        <w:t xml:space="preserve">                                                                                                                  </w:t>
      </w:r>
      <w:r w:rsidR="00AA4A94">
        <w:rPr>
          <w:rFonts w:ascii="Arial" w:eastAsiaTheme="minorEastAsia" w:hAnsi="Arial" w:cs="Arial"/>
        </w:rPr>
        <w:t xml:space="preserve">    </w:t>
      </w:r>
      <w:r w:rsidRPr="009F05B2">
        <w:rPr>
          <w:rFonts w:ascii="Arial" w:eastAsiaTheme="minorEastAsia" w:hAnsi="Arial" w:cs="Arial"/>
        </w:rPr>
        <w:t>(4)</w:t>
      </w:r>
    </w:p>
    <w:p w:rsidR="00037F87" w:rsidRPr="009F05B2" w:rsidRDefault="00037F87" w:rsidP="00037F87">
      <w:pPr>
        <w:autoSpaceDE w:val="0"/>
        <w:autoSpaceDN w:val="0"/>
        <w:adjustRightInd w:val="0"/>
        <w:rPr>
          <w:rFonts w:ascii="Arial" w:hAnsi="Arial" w:cs="Arial"/>
          <w:color w:val="7030A0"/>
        </w:rPr>
      </w:pPr>
      <w:r w:rsidRPr="009F05B2">
        <w:rPr>
          <w:rFonts w:ascii="Arial" w:hAnsi="Arial" w:cs="Arial"/>
          <w:color w:val="7030A0"/>
        </w:rPr>
        <w:t xml:space="preserve"> </w:t>
      </w:r>
    </w:p>
    <w:p w:rsidR="00037F87" w:rsidRPr="009F05B2" w:rsidRDefault="00037F87" w:rsidP="00037F87">
      <w:pPr>
        <w:autoSpaceDE w:val="0"/>
        <w:autoSpaceDN w:val="0"/>
        <w:adjustRightInd w:val="0"/>
        <w:jc w:val="both"/>
        <w:rPr>
          <w:rFonts w:ascii="Arial" w:hAnsi="Arial" w:cs="Arial"/>
        </w:rPr>
      </w:pPr>
      <w:r w:rsidRPr="009F05B2">
        <w:rPr>
          <w:rFonts w:ascii="Arial" w:hAnsi="Arial" w:cs="Arial"/>
        </w:rPr>
        <w:t xml:space="preserve">The overall WQI rating is evaluated, and potable water quality was set at 100. The determined WQI value ratings are classified into five classes based on the Central Environment Pollution Control Board (CEPCB) of the study area (MPCB, 2025), as mentioned in Table 3. </w:t>
      </w:r>
    </w:p>
    <w:p w:rsidR="00037F87" w:rsidRPr="009F05B2" w:rsidRDefault="00037F87" w:rsidP="00DB04F3">
      <w:pPr>
        <w:spacing w:after="240"/>
        <w:jc w:val="center"/>
        <w:rPr>
          <w:rFonts w:ascii="Arial" w:hAnsi="Arial" w:cs="Arial"/>
          <w:lang w:eastAsia="en-IN" w:bidi="mr-IN"/>
        </w:rPr>
      </w:pPr>
      <w:r w:rsidRPr="009F05B2">
        <w:rPr>
          <w:rFonts w:ascii="Arial" w:hAnsi="Arial" w:cs="Arial"/>
          <w:b/>
        </w:rPr>
        <w:t>Table 3:</w:t>
      </w:r>
      <w:r w:rsidRPr="009F05B2">
        <w:rPr>
          <w:rFonts w:ascii="Arial" w:hAnsi="Arial" w:cs="Arial"/>
        </w:rPr>
        <w:t xml:space="preserve"> </w:t>
      </w:r>
      <w:r w:rsidRPr="00E21BBF">
        <w:rPr>
          <w:rFonts w:ascii="Arial" w:hAnsi="Arial" w:cs="Arial"/>
          <w:b/>
          <w:bCs/>
        </w:rPr>
        <w:t>Categories of WQI rating.</w:t>
      </w:r>
    </w:p>
    <w:tbl>
      <w:tblPr>
        <w:tblW w:w="7993" w:type="dxa"/>
        <w:tblBorders>
          <w:top w:val="single" w:sz="4" w:space="0" w:color="auto"/>
        </w:tblBorders>
        <w:tblLook w:val="04A0" w:firstRow="1" w:lastRow="0" w:firstColumn="1" w:lastColumn="0" w:noHBand="0" w:noVBand="1"/>
      </w:tblPr>
      <w:tblGrid>
        <w:gridCol w:w="839"/>
        <w:gridCol w:w="1578"/>
        <w:gridCol w:w="2291"/>
        <w:gridCol w:w="3285"/>
      </w:tblGrid>
      <w:tr w:rsidR="00037F87" w:rsidRPr="009F05B2" w:rsidTr="003705A7">
        <w:trPr>
          <w:trHeight w:val="175"/>
        </w:trPr>
        <w:tc>
          <w:tcPr>
            <w:tcW w:w="0" w:type="auto"/>
            <w:tcBorders>
              <w:top w:val="single" w:sz="4" w:space="0" w:color="auto"/>
              <w:bottom w:val="single" w:sz="4" w:space="0" w:color="auto"/>
            </w:tcBorders>
            <w:shd w:val="clear" w:color="auto" w:fill="auto"/>
            <w:noWrap/>
            <w:hideMark/>
          </w:tcPr>
          <w:p w:rsidR="00037F87" w:rsidRPr="009F05B2" w:rsidRDefault="00037F87" w:rsidP="00EF2787">
            <w:pPr>
              <w:rPr>
                <w:rFonts w:ascii="Arial" w:hAnsi="Arial" w:cs="Arial"/>
                <w:lang w:eastAsia="en-IN" w:bidi="mr-IN"/>
              </w:rPr>
            </w:pPr>
            <w:r w:rsidRPr="009F05B2">
              <w:rPr>
                <w:rFonts w:ascii="Arial" w:hAnsi="Arial" w:cs="Arial"/>
                <w:b/>
                <w:bCs/>
                <w:color w:val="000000"/>
                <w:lang w:eastAsia="en-IN" w:bidi="mr-IN"/>
              </w:rPr>
              <w:t>WQI</w:t>
            </w:r>
          </w:p>
        </w:tc>
        <w:tc>
          <w:tcPr>
            <w:tcW w:w="0" w:type="auto"/>
            <w:tcBorders>
              <w:top w:val="single" w:sz="4" w:space="0" w:color="auto"/>
              <w:bottom w:val="single" w:sz="4" w:space="0" w:color="auto"/>
            </w:tcBorders>
            <w:vAlign w:val="center"/>
          </w:tcPr>
          <w:p w:rsidR="00037F87" w:rsidRPr="009F05B2" w:rsidRDefault="00037F87" w:rsidP="00EF2787">
            <w:pPr>
              <w:ind w:left="-60" w:hanging="378"/>
              <w:rPr>
                <w:rFonts w:ascii="Arial" w:hAnsi="Arial" w:cs="Arial"/>
                <w:b/>
                <w:bCs/>
                <w:color w:val="000000"/>
                <w:lang w:eastAsia="en-IN" w:bidi="mr-IN"/>
              </w:rPr>
            </w:pPr>
            <w:r w:rsidRPr="009F05B2">
              <w:rPr>
                <w:rFonts w:ascii="Arial" w:hAnsi="Arial" w:cs="Arial"/>
                <w:b/>
                <w:bCs/>
                <w:color w:val="000000"/>
                <w:lang w:eastAsia="en-IN" w:bidi="mr-IN"/>
              </w:rPr>
              <w:t xml:space="preserve">        Quality rating</w:t>
            </w:r>
          </w:p>
        </w:tc>
        <w:tc>
          <w:tcPr>
            <w:tcW w:w="2291" w:type="dxa"/>
            <w:tcBorders>
              <w:top w:val="single" w:sz="4" w:space="0" w:color="auto"/>
              <w:bottom w:val="single" w:sz="4" w:space="0" w:color="auto"/>
            </w:tcBorders>
          </w:tcPr>
          <w:p w:rsidR="00037F87" w:rsidRPr="009F05B2" w:rsidRDefault="00037F87" w:rsidP="00EF2787">
            <w:pPr>
              <w:ind w:hanging="300"/>
              <w:rPr>
                <w:rFonts w:ascii="Arial" w:hAnsi="Arial" w:cs="Arial"/>
                <w:b/>
                <w:bCs/>
                <w:color w:val="000000"/>
                <w:lang w:eastAsia="en-IN" w:bidi="mr-IN"/>
              </w:rPr>
            </w:pPr>
            <w:r w:rsidRPr="009F05B2">
              <w:rPr>
                <w:rFonts w:ascii="Arial" w:hAnsi="Arial" w:cs="Arial"/>
                <w:b/>
                <w:bCs/>
                <w:color w:val="000000"/>
                <w:lang w:eastAsia="en-IN" w:bidi="mr-IN"/>
              </w:rPr>
              <w:t xml:space="preserve">        Remarks</w:t>
            </w:r>
          </w:p>
        </w:tc>
        <w:tc>
          <w:tcPr>
            <w:tcW w:w="2865" w:type="dxa"/>
            <w:tcBorders>
              <w:top w:val="single" w:sz="4" w:space="0" w:color="auto"/>
              <w:bottom w:val="single" w:sz="4" w:space="0" w:color="auto"/>
            </w:tcBorders>
          </w:tcPr>
          <w:p w:rsidR="00037F87" w:rsidRPr="009F05B2" w:rsidRDefault="00037F87" w:rsidP="00EF2787">
            <w:pPr>
              <w:rPr>
                <w:rFonts w:ascii="Arial" w:hAnsi="Arial" w:cs="Arial"/>
                <w:b/>
                <w:bCs/>
                <w:color w:val="000000"/>
                <w:lang w:eastAsia="en-IN" w:bidi="mr-IN"/>
              </w:rPr>
            </w:pPr>
            <w:r w:rsidRPr="009F05B2">
              <w:rPr>
                <w:rFonts w:ascii="Arial" w:hAnsi="Arial" w:cs="Arial"/>
                <w:b/>
                <w:bCs/>
                <w:color w:val="000000"/>
                <w:lang w:eastAsia="en-IN" w:bidi="mr-IN"/>
              </w:rPr>
              <w:t>Possible uses</w:t>
            </w:r>
          </w:p>
        </w:tc>
      </w:tr>
      <w:tr w:rsidR="00037F87" w:rsidRPr="009F05B2" w:rsidTr="003705A7">
        <w:trPr>
          <w:trHeight w:val="141"/>
        </w:trPr>
        <w:tc>
          <w:tcPr>
            <w:tcW w:w="0" w:type="auto"/>
            <w:tcBorders>
              <w:top w:val="single" w:sz="4" w:space="0" w:color="auto"/>
            </w:tcBorders>
            <w:shd w:val="clear" w:color="auto" w:fill="auto"/>
            <w:noWrap/>
          </w:tcPr>
          <w:p w:rsidR="00037F87" w:rsidRPr="009F05B2" w:rsidRDefault="00037F87" w:rsidP="00EF2787">
            <w:pPr>
              <w:rPr>
                <w:rFonts w:ascii="Arial" w:hAnsi="Arial" w:cs="Arial"/>
                <w:color w:val="000000"/>
                <w:lang w:eastAsia="en-IN" w:bidi="mr-IN"/>
              </w:rPr>
            </w:pPr>
            <w:r w:rsidRPr="009F05B2">
              <w:rPr>
                <w:rFonts w:ascii="Arial" w:hAnsi="Arial" w:cs="Arial"/>
                <w:color w:val="000000"/>
                <w:lang w:eastAsia="en-IN" w:bidi="mr-IN"/>
              </w:rPr>
              <w:t>91-100</w:t>
            </w:r>
          </w:p>
        </w:tc>
        <w:tc>
          <w:tcPr>
            <w:tcW w:w="0" w:type="auto"/>
            <w:tcBorders>
              <w:top w:val="single" w:sz="4" w:space="0" w:color="auto"/>
            </w:tcBorders>
          </w:tcPr>
          <w:p w:rsidR="00037F87" w:rsidRPr="009F05B2" w:rsidRDefault="00037F87" w:rsidP="00EF2787">
            <w:pPr>
              <w:rPr>
                <w:rFonts w:ascii="Arial" w:hAnsi="Arial" w:cs="Arial"/>
                <w:color w:val="000000"/>
                <w:lang w:eastAsia="en-IN" w:bidi="mr-IN"/>
              </w:rPr>
            </w:pPr>
            <w:r w:rsidRPr="009F05B2">
              <w:rPr>
                <w:rFonts w:ascii="Arial" w:hAnsi="Arial" w:cs="Arial"/>
                <w:color w:val="000000"/>
                <w:lang w:eastAsia="en-IN" w:bidi="mr-IN"/>
              </w:rPr>
              <w:t>Excellent water</w:t>
            </w:r>
          </w:p>
        </w:tc>
        <w:tc>
          <w:tcPr>
            <w:tcW w:w="0" w:type="auto"/>
            <w:tcBorders>
              <w:top w:val="single" w:sz="4" w:space="0" w:color="auto"/>
            </w:tcBorders>
          </w:tcPr>
          <w:p w:rsidR="00037F87" w:rsidRPr="009F05B2" w:rsidRDefault="00037F87" w:rsidP="00EF2787">
            <w:pPr>
              <w:rPr>
                <w:rFonts w:ascii="Arial" w:hAnsi="Arial" w:cs="Arial"/>
                <w:color w:val="000000"/>
                <w:lang w:eastAsia="en-IN" w:bidi="mr-IN"/>
              </w:rPr>
            </w:pPr>
            <w:r w:rsidRPr="009F05B2">
              <w:rPr>
                <w:rFonts w:ascii="Arial" w:hAnsi="Arial" w:cs="Arial"/>
                <w:color w:val="000000"/>
                <w:lang w:eastAsia="en-IN" w:bidi="mr-IN"/>
              </w:rPr>
              <w:t>Non-polluted</w:t>
            </w:r>
          </w:p>
        </w:tc>
        <w:tc>
          <w:tcPr>
            <w:tcW w:w="0" w:type="auto"/>
            <w:tcBorders>
              <w:top w:val="nil"/>
              <w:bottom w:val="nil"/>
            </w:tcBorders>
          </w:tcPr>
          <w:p w:rsidR="00037F87" w:rsidRPr="009F05B2" w:rsidRDefault="00037F87" w:rsidP="00EF2787">
            <w:pPr>
              <w:rPr>
                <w:rFonts w:ascii="Arial" w:hAnsi="Arial" w:cs="Arial"/>
                <w:color w:val="000000"/>
                <w:lang w:eastAsia="en-IN" w:bidi="mr-IN"/>
              </w:rPr>
            </w:pPr>
            <w:r w:rsidRPr="009F05B2">
              <w:rPr>
                <w:rFonts w:ascii="Arial" w:hAnsi="Arial" w:cs="Arial"/>
                <w:color w:val="000000"/>
                <w:lang w:eastAsia="en-IN" w:bidi="mr-IN"/>
              </w:rPr>
              <w:t>Drinking, agriculture and industrial</w:t>
            </w:r>
          </w:p>
        </w:tc>
      </w:tr>
      <w:tr w:rsidR="00037F87" w:rsidRPr="009F05B2" w:rsidTr="003705A7">
        <w:trPr>
          <w:trHeight w:val="141"/>
        </w:trPr>
        <w:tc>
          <w:tcPr>
            <w:tcW w:w="0" w:type="auto"/>
            <w:shd w:val="clear" w:color="auto" w:fill="auto"/>
            <w:noWrap/>
          </w:tcPr>
          <w:p w:rsidR="00037F87" w:rsidRPr="009F05B2" w:rsidRDefault="00037F87" w:rsidP="00EF2787">
            <w:pPr>
              <w:rPr>
                <w:rFonts w:ascii="Arial" w:hAnsi="Arial" w:cs="Arial"/>
                <w:color w:val="000000"/>
                <w:lang w:eastAsia="en-IN" w:bidi="mr-IN"/>
              </w:rPr>
            </w:pPr>
            <w:r w:rsidRPr="009F05B2">
              <w:rPr>
                <w:rFonts w:ascii="Arial" w:hAnsi="Arial" w:cs="Arial"/>
                <w:color w:val="000000"/>
                <w:lang w:eastAsia="en-IN" w:bidi="mr-IN"/>
              </w:rPr>
              <w:t>71-90</w:t>
            </w:r>
          </w:p>
        </w:tc>
        <w:tc>
          <w:tcPr>
            <w:tcW w:w="0" w:type="auto"/>
          </w:tcPr>
          <w:p w:rsidR="00037F87" w:rsidRPr="009F05B2" w:rsidRDefault="00037F87" w:rsidP="00EF2787">
            <w:pPr>
              <w:ind w:firstLineChars="6" w:firstLine="12"/>
              <w:rPr>
                <w:rFonts w:ascii="Arial" w:hAnsi="Arial" w:cs="Arial"/>
                <w:color w:val="000000"/>
                <w:lang w:eastAsia="en-IN" w:bidi="mr-IN"/>
              </w:rPr>
            </w:pPr>
            <w:r w:rsidRPr="009F05B2">
              <w:rPr>
                <w:rFonts w:ascii="Arial" w:hAnsi="Arial" w:cs="Arial"/>
                <w:color w:val="000000"/>
                <w:lang w:eastAsia="en-IN" w:bidi="mr-IN"/>
              </w:rPr>
              <w:t>Good water</w:t>
            </w:r>
          </w:p>
        </w:tc>
        <w:tc>
          <w:tcPr>
            <w:tcW w:w="0" w:type="auto"/>
          </w:tcPr>
          <w:p w:rsidR="00037F87" w:rsidRPr="009F05B2" w:rsidRDefault="00037F87" w:rsidP="00EF2787">
            <w:pPr>
              <w:rPr>
                <w:rFonts w:ascii="Arial" w:hAnsi="Arial" w:cs="Arial"/>
                <w:color w:val="000000"/>
                <w:lang w:eastAsia="en-IN" w:bidi="mr-IN"/>
              </w:rPr>
            </w:pPr>
            <w:r w:rsidRPr="009F05B2">
              <w:rPr>
                <w:rFonts w:ascii="Arial" w:hAnsi="Arial" w:cs="Arial"/>
                <w:color w:val="000000"/>
                <w:lang w:eastAsia="en-IN" w:bidi="mr-IN"/>
              </w:rPr>
              <w:t>Non-polluted</w:t>
            </w:r>
          </w:p>
        </w:tc>
        <w:tc>
          <w:tcPr>
            <w:tcW w:w="0" w:type="auto"/>
            <w:tcBorders>
              <w:top w:val="nil"/>
            </w:tcBorders>
          </w:tcPr>
          <w:p w:rsidR="00037F87" w:rsidRPr="009F05B2" w:rsidRDefault="00037F87" w:rsidP="00EF2787">
            <w:pPr>
              <w:rPr>
                <w:rFonts w:ascii="Arial" w:hAnsi="Arial" w:cs="Arial"/>
                <w:color w:val="000000"/>
                <w:lang w:eastAsia="en-IN" w:bidi="mr-IN"/>
              </w:rPr>
            </w:pPr>
            <w:r w:rsidRPr="009F05B2">
              <w:rPr>
                <w:rFonts w:ascii="Arial" w:hAnsi="Arial" w:cs="Arial"/>
                <w:color w:val="000000"/>
                <w:lang w:eastAsia="en-IN" w:bidi="mr-IN"/>
              </w:rPr>
              <w:t xml:space="preserve">Domestic agriculture and industrial </w:t>
            </w:r>
          </w:p>
        </w:tc>
      </w:tr>
      <w:tr w:rsidR="00037F87" w:rsidRPr="009F05B2" w:rsidTr="003705A7">
        <w:trPr>
          <w:trHeight w:val="141"/>
        </w:trPr>
        <w:tc>
          <w:tcPr>
            <w:tcW w:w="0" w:type="auto"/>
            <w:shd w:val="clear" w:color="auto" w:fill="auto"/>
            <w:noWrap/>
          </w:tcPr>
          <w:p w:rsidR="00037F87" w:rsidRPr="009F05B2" w:rsidRDefault="00037F87" w:rsidP="00EF2787">
            <w:pPr>
              <w:rPr>
                <w:rFonts w:ascii="Arial" w:hAnsi="Arial" w:cs="Arial"/>
                <w:color w:val="000000"/>
                <w:lang w:eastAsia="en-IN" w:bidi="mr-IN"/>
              </w:rPr>
            </w:pPr>
            <w:r w:rsidRPr="009F05B2">
              <w:rPr>
                <w:rFonts w:ascii="Arial" w:hAnsi="Arial" w:cs="Arial"/>
                <w:color w:val="000000"/>
                <w:lang w:eastAsia="en-IN" w:bidi="mr-IN"/>
              </w:rPr>
              <w:t>51-70</w:t>
            </w:r>
          </w:p>
        </w:tc>
        <w:tc>
          <w:tcPr>
            <w:tcW w:w="0" w:type="auto"/>
          </w:tcPr>
          <w:p w:rsidR="00037F87" w:rsidRPr="009F05B2" w:rsidRDefault="00037F87" w:rsidP="00EF2787">
            <w:pPr>
              <w:ind w:firstLineChars="6" w:firstLine="12"/>
              <w:rPr>
                <w:rFonts w:ascii="Arial" w:hAnsi="Arial" w:cs="Arial"/>
                <w:color w:val="000000"/>
                <w:lang w:eastAsia="en-IN" w:bidi="mr-IN"/>
              </w:rPr>
            </w:pPr>
            <w:r w:rsidRPr="009F05B2">
              <w:rPr>
                <w:rFonts w:ascii="Arial" w:hAnsi="Arial" w:cs="Arial"/>
                <w:color w:val="000000"/>
                <w:lang w:eastAsia="en-IN" w:bidi="mr-IN"/>
              </w:rPr>
              <w:t>Average</w:t>
            </w:r>
          </w:p>
        </w:tc>
        <w:tc>
          <w:tcPr>
            <w:tcW w:w="0" w:type="auto"/>
          </w:tcPr>
          <w:p w:rsidR="00037F87" w:rsidRPr="009F05B2" w:rsidRDefault="00037F87" w:rsidP="00EF2787">
            <w:pPr>
              <w:rPr>
                <w:rFonts w:ascii="Arial" w:hAnsi="Arial" w:cs="Arial"/>
                <w:color w:val="000000"/>
                <w:lang w:eastAsia="en-IN" w:bidi="mr-IN"/>
              </w:rPr>
            </w:pPr>
            <w:r w:rsidRPr="009F05B2">
              <w:rPr>
                <w:rFonts w:ascii="Arial" w:hAnsi="Arial" w:cs="Arial"/>
                <w:color w:val="000000"/>
                <w:lang w:eastAsia="en-IN" w:bidi="mr-IN"/>
              </w:rPr>
              <w:t>Polluted</w:t>
            </w:r>
          </w:p>
        </w:tc>
        <w:tc>
          <w:tcPr>
            <w:tcW w:w="0" w:type="auto"/>
          </w:tcPr>
          <w:p w:rsidR="00037F87" w:rsidRPr="009F05B2" w:rsidRDefault="00037F87" w:rsidP="00EF2787">
            <w:pPr>
              <w:rPr>
                <w:rFonts w:ascii="Arial" w:hAnsi="Arial" w:cs="Arial"/>
                <w:color w:val="000000"/>
                <w:lang w:eastAsia="en-IN" w:bidi="mr-IN"/>
              </w:rPr>
            </w:pPr>
            <w:r w:rsidRPr="009F05B2">
              <w:rPr>
                <w:rFonts w:ascii="Arial" w:hAnsi="Arial" w:cs="Arial"/>
                <w:color w:val="000000"/>
                <w:lang w:eastAsia="en-IN" w:bidi="mr-IN"/>
              </w:rPr>
              <w:t xml:space="preserve">Agriculture and industrial </w:t>
            </w:r>
          </w:p>
        </w:tc>
      </w:tr>
      <w:tr w:rsidR="00037F87" w:rsidRPr="009F05B2" w:rsidTr="003705A7">
        <w:trPr>
          <w:trHeight w:val="141"/>
        </w:trPr>
        <w:tc>
          <w:tcPr>
            <w:tcW w:w="0" w:type="auto"/>
            <w:tcBorders>
              <w:bottom w:val="nil"/>
            </w:tcBorders>
            <w:shd w:val="clear" w:color="auto" w:fill="auto"/>
            <w:noWrap/>
          </w:tcPr>
          <w:p w:rsidR="00037F87" w:rsidRPr="009F05B2" w:rsidRDefault="00037F87" w:rsidP="00EF2787">
            <w:pPr>
              <w:rPr>
                <w:rFonts w:ascii="Arial" w:hAnsi="Arial" w:cs="Arial"/>
                <w:color w:val="000000"/>
                <w:lang w:eastAsia="en-IN" w:bidi="mr-IN"/>
              </w:rPr>
            </w:pPr>
            <w:r w:rsidRPr="009F05B2">
              <w:rPr>
                <w:rFonts w:ascii="Arial" w:hAnsi="Arial" w:cs="Arial"/>
                <w:color w:val="000000"/>
                <w:lang w:eastAsia="en-IN" w:bidi="mr-IN"/>
              </w:rPr>
              <w:t>26-50</w:t>
            </w:r>
          </w:p>
        </w:tc>
        <w:tc>
          <w:tcPr>
            <w:tcW w:w="0" w:type="auto"/>
            <w:tcBorders>
              <w:bottom w:val="nil"/>
            </w:tcBorders>
          </w:tcPr>
          <w:p w:rsidR="00037F87" w:rsidRPr="009F05B2" w:rsidRDefault="00037F87" w:rsidP="00EF2787">
            <w:pPr>
              <w:ind w:firstLineChars="6" w:firstLine="12"/>
              <w:rPr>
                <w:rFonts w:ascii="Arial" w:hAnsi="Arial" w:cs="Arial"/>
                <w:color w:val="000000"/>
                <w:lang w:eastAsia="en-IN" w:bidi="mr-IN"/>
              </w:rPr>
            </w:pPr>
            <w:r w:rsidRPr="009F05B2">
              <w:rPr>
                <w:rFonts w:ascii="Arial" w:hAnsi="Arial" w:cs="Arial"/>
                <w:color w:val="000000"/>
                <w:lang w:eastAsia="en-IN" w:bidi="mr-IN"/>
              </w:rPr>
              <w:t>Poor</w:t>
            </w:r>
          </w:p>
        </w:tc>
        <w:tc>
          <w:tcPr>
            <w:tcW w:w="0" w:type="auto"/>
            <w:tcBorders>
              <w:bottom w:val="nil"/>
            </w:tcBorders>
          </w:tcPr>
          <w:p w:rsidR="00037F87" w:rsidRPr="009F05B2" w:rsidRDefault="00037F87" w:rsidP="00EF2787">
            <w:pPr>
              <w:rPr>
                <w:rFonts w:ascii="Arial" w:hAnsi="Arial" w:cs="Arial"/>
                <w:color w:val="000000"/>
                <w:lang w:eastAsia="en-IN" w:bidi="mr-IN"/>
              </w:rPr>
            </w:pPr>
            <w:r w:rsidRPr="009F05B2">
              <w:rPr>
                <w:rFonts w:ascii="Arial" w:hAnsi="Arial" w:cs="Arial"/>
                <w:color w:val="000000"/>
                <w:lang w:eastAsia="en-IN" w:bidi="mr-IN"/>
              </w:rPr>
              <w:t>Heavily Polluted</w:t>
            </w:r>
          </w:p>
        </w:tc>
        <w:tc>
          <w:tcPr>
            <w:tcW w:w="0" w:type="auto"/>
            <w:tcBorders>
              <w:bottom w:val="nil"/>
            </w:tcBorders>
          </w:tcPr>
          <w:p w:rsidR="00037F87" w:rsidRPr="009F05B2" w:rsidRDefault="00037F87" w:rsidP="00EF2787">
            <w:pPr>
              <w:rPr>
                <w:rFonts w:ascii="Arial" w:hAnsi="Arial" w:cs="Arial"/>
                <w:color w:val="000000"/>
                <w:lang w:eastAsia="en-IN" w:bidi="mr-IN"/>
              </w:rPr>
            </w:pPr>
            <w:r w:rsidRPr="009F05B2">
              <w:rPr>
                <w:rFonts w:ascii="Arial" w:hAnsi="Arial" w:cs="Arial"/>
                <w:color w:val="000000"/>
                <w:lang w:eastAsia="en-IN" w:bidi="mr-IN"/>
              </w:rPr>
              <w:t xml:space="preserve">Restricted use for agriculture </w:t>
            </w:r>
          </w:p>
        </w:tc>
      </w:tr>
      <w:tr w:rsidR="00037F87" w:rsidRPr="009F05B2" w:rsidTr="003705A7">
        <w:trPr>
          <w:trHeight w:val="141"/>
        </w:trPr>
        <w:tc>
          <w:tcPr>
            <w:tcW w:w="0" w:type="auto"/>
            <w:tcBorders>
              <w:top w:val="nil"/>
              <w:bottom w:val="single" w:sz="4" w:space="0" w:color="auto"/>
            </w:tcBorders>
            <w:shd w:val="clear" w:color="auto" w:fill="auto"/>
            <w:noWrap/>
          </w:tcPr>
          <w:p w:rsidR="00037F87" w:rsidRPr="009F05B2" w:rsidRDefault="00037F87" w:rsidP="00EF2787">
            <w:pPr>
              <w:rPr>
                <w:rFonts w:ascii="Arial" w:hAnsi="Arial" w:cs="Arial"/>
                <w:color w:val="000000"/>
                <w:lang w:eastAsia="en-IN" w:bidi="mr-IN"/>
              </w:rPr>
            </w:pPr>
            <w:r w:rsidRPr="009F05B2">
              <w:rPr>
                <w:rFonts w:ascii="Arial" w:hAnsi="Arial" w:cs="Arial"/>
                <w:color w:val="000000"/>
                <w:lang w:eastAsia="en-IN" w:bidi="mr-IN"/>
              </w:rPr>
              <w:t>0-25</w:t>
            </w:r>
          </w:p>
        </w:tc>
        <w:tc>
          <w:tcPr>
            <w:tcW w:w="0" w:type="auto"/>
            <w:tcBorders>
              <w:top w:val="nil"/>
              <w:bottom w:val="single" w:sz="4" w:space="0" w:color="auto"/>
            </w:tcBorders>
          </w:tcPr>
          <w:p w:rsidR="00037F87" w:rsidRPr="009F05B2" w:rsidRDefault="00037F87" w:rsidP="00EF2787">
            <w:pPr>
              <w:rPr>
                <w:rFonts w:ascii="Arial" w:hAnsi="Arial" w:cs="Arial"/>
                <w:color w:val="000000"/>
                <w:lang w:eastAsia="en-IN" w:bidi="mr-IN"/>
              </w:rPr>
            </w:pPr>
            <w:r w:rsidRPr="009F05B2">
              <w:rPr>
                <w:rFonts w:ascii="Arial" w:hAnsi="Arial" w:cs="Arial"/>
                <w:color w:val="000000"/>
                <w:lang w:eastAsia="en-IN" w:bidi="mr-IN"/>
              </w:rPr>
              <w:t>Unsuitable for drinking</w:t>
            </w:r>
          </w:p>
        </w:tc>
        <w:tc>
          <w:tcPr>
            <w:tcW w:w="0" w:type="auto"/>
            <w:tcBorders>
              <w:top w:val="nil"/>
              <w:bottom w:val="single" w:sz="4" w:space="0" w:color="auto"/>
            </w:tcBorders>
          </w:tcPr>
          <w:p w:rsidR="00037F87" w:rsidRPr="009F05B2" w:rsidRDefault="00037F87" w:rsidP="00EF2787">
            <w:pPr>
              <w:rPr>
                <w:rFonts w:ascii="Arial" w:hAnsi="Arial" w:cs="Arial"/>
                <w:color w:val="000000"/>
                <w:lang w:eastAsia="en-IN" w:bidi="mr-IN"/>
              </w:rPr>
            </w:pPr>
            <w:r w:rsidRPr="009F05B2">
              <w:rPr>
                <w:rFonts w:ascii="Arial" w:hAnsi="Arial" w:cs="Arial"/>
                <w:color w:val="000000"/>
                <w:lang w:eastAsia="en-IN" w:bidi="mr-IN"/>
              </w:rPr>
              <w:t>Unsuitable for any use</w:t>
            </w:r>
          </w:p>
        </w:tc>
        <w:tc>
          <w:tcPr>
            <w:tcW w:w="0" w:type="auto"/>
            <w:tcBorders>
              <w:top w:val="nil"/>
              <w:bottom w:val="single" w:sz="4" w:space="0" w:color="auto"/>
            </w:tcBorders>
          </w:tcPr>
          <w:p w:rsidR="00037F87" w:rsidRPr="009F05B2" w:rsidRDefault="00037F87" w:rsidP="00EF2787">
            <w:pPr>
              <w:rPr>
                <w:rFonts w:ascii="Arial" w:hAnsi="Arial" w:cs="Arial"/>
                <w:color w:val="000000"/>
                <w:lang w:eastAsia="en-IN" w:bidi="mr-IN"/>
              </w:rPr>
            </w:pPr>
            <w:r w:rsidRPr="009F05B2">
              <w:rPr>
                <w:rFonts w:ascii="Arial" w:hAnsi="Arial" w:cs="Arial"/>
                <w:color w:val="000000"/>
                <w:lang w:eastAsia="en-IN" w:bidi="mr-IN"/>
              </w:rPr>
              <w:t xml:space="preserve">Need for proper treatment </w:t>
            </w:r>
          </w:p>
        </w:tc>
      </w:tr>
    </w:tbl>
    <w:p w:rsidR="00AD01A8" w:rsidRDefault="00AD01A8" w:rsidP="00441B6F">
      <w:pPr>
        <w:pStyle w:val="Body"/>
        <w:spacing w:after="0"/>
        <w:rPr>
          <w:rFonts w:ascii="Arial" w:hAnsi="Arial" w:cs="Arial"/>
        </w:rPr>
      </w:pPr>
    </w:p>
    <w:p w:rsidR="00AD01A8" w:rsidRPr="00E95C2A" w:rsidRDefault="00AD01A8" w:rsidP="00AD01A8">
      <w:pPr>
        <w:autoSpaceDE w:val="0"/>
        <w:autoSpaceDN w:val="0"/>
        <w:adjustRightInd w:val="0"/>
        <w:rPr>
          <w:rFonts w:ascii="Arial" w:hAnsi="Arial" w:cs="Arial"/>
          <w:b/>
          <w:bCs/>
          <w:sz w:val="22"/>
          <w:szCs w:val="22"/>
        </w:rPr>
      </w:pPr>
      <w:r w:rsidRPr="00E95C2A">
        <w:rPr>
          <w:rFonts w:ascii="Arial" w:eastAsia="Corbel-Bold" w:hAnsi="Arial" w:cs="Arial"/>
          <w:b/>
          <w:bCs/>
          <w:sz w:val="22"/>
          <w:szCs w:val="22"/>
          <w:lang w:bidi="mr-IN"/>
        </w:rPr>
        <w:t xml:space="preserve">2.7 </w:t>
      </w:r>
      <w:r w:rsidRPr="00E95C2A">
        <w:rPr>
          <w:rFonts w:ascii="Arial" w:hAnsi="Arial" w:cs="Arial"/>
          <w:b/>
          <w:bCs/>
          <w:sz w:val="22"/>
          <w:szCs w:val="22"/>
          <w:lang w:bidi="mr-IN"/>
        </w:rPr>
        <w:t>Comprehensive Pollution Index (CPI)</w:t>
      </w:r>
    </w:p>
    <w:p w:rsidR="00AD01A8" w:rsidRDefault="00AD01A8" w:rsidP="00441B6F">
      <w:pPr>
        <w:pStyle w:val="Body"/>
        <w:spacing w:after="0"/>
        <w:rPr>
          <w:rFonts w:ascii="Arial" w:hAnsi="Arial" w:cs="Arial"/>
        </w:rPr>
      </w:pPr>
    </w:p>
    <w:p w:rsidR="00382B68" w:rsidRPr="009F05B2" w:rsidRDefault="00382B68" w:rsidP="00273A0A">
      <w:pPr>
        <w:spacing w:after="240"/>
        <w:jc w:val="both"/>
        <w:rPr>
          <w:rFonts w:ascii="Arial" w:hAnsi="Arial" w:cs="Arial"/>
          <w:lang w:bidi="mr-IN"/>
        </w:rPr>
      </w:pPr>
      <w:bookmarkStart w:id="20" w:name="_Hlk224926065"/>
      <w:r w:rsidRPr="009F05B2">
        <w:rPr>
          <w:rFonts w:ascii="Arial" w:hAnsi="Arial" w:cs="Arial"/>
        </w:rPr>
        <w:t xml:space="preserve">The Comprehensive Polluted Index (CPI) is an important method to evaluate the index of pollution of the </w:t>
      </w:r>
      <w:proofErr w:type="spellStart"/>
      <w:r w:rsidRPr="009F05B2">
        <w:rPr>
          <w:rFonts w:ascii="Arial" w:hAnsi="Arial" w:cs="Arial"/>
        </w:rPr>
        <w:t>ith</w:t>
      </w:r>
      <w:proofErr w:type="spellEnd"/>
      <w:r w:rsidRPr="009F05B2">
        <w:rPr>
          <w:rFonts w:ascii="Arial" w:hAnsi="Arial" w:cs="Arial"/>
        </w:rPr>
        <w:t xml:space="preserve"> parameter in each water sample of the present study </w:t>
      </w:r>
      <w:r w:rsidRPr="009F05B2">
        <w:rPr>
          <w:rFonts w:ascii="Arial" w:hAnsi="Arial" w:cs="Arial"/>
        </w:rPr>
        <w:fldChar w:fldCharType="begin"/>
      </w:r>
      <w:r w:rsidR="00540813">
        <w:rPr>
          <w:rFonts w:ascii="Arial" w:hAnsi="Arial" w:cs="Arial"/>
        </w:rPr>
        <w:instrText xml:space="preserve"> ADDIN ZOTERO_ITEM CSL_CITATION {"citationID":"ndbdGnjv","properties":{"unsorted":true,"formattedCitation":"(Pramanik et al., 2020a; Soueilem et al., 2025)","plainCitation":"(Pramanik et al., 2020a; Soueilem et al., 2025)","noteIndex":0},"citationItems":[{"id":"7AoAF8BM/nAyRxlxt","uris":["http://zotero.org/users/8828115/items/Q3Z6AJDN"],"itemData":{"id":1205,"type":"article-journal","abstract":"The reservoir at the Tilaiya Dam constructed on the Barakar river is one of the most important freshwater resources in the Koderma District in the state of Jharkhand in India. Its water is used primarily in agriculture, pisiculture, industry, regional thermal power plant, and various domestic errands viz. cooking, washing, and drinking. The reservoir also supports a wide variety of ﬂora, fauna, and birds. This work reports the variation in seasonal water quality (pH, turbidity, DO, TDS, electrical conductivity, total hardness, iron, chloride, calcium, magnesium, alkalinity, phosphate, sulfate, ﬂuoride, total bacterial count, and fecal coliform count) trends over a 4-year long period (July 2013–July 2017). Conspicuous dilution eﬀect on water quality was observed during and just after the monsoon season while concentrations of TDS, electrical conductivity, iron, chloride, calcium, magnesium, phosphate, sulfate, and ﬂuoride increased during summer. Principal Component Analysis/Factor Analysis (PCA/FA) identiﬁed three factors in the data structure, explaining about 71.5–77.9% of total variance in dataset. Run-oﬀ from catchment areas was one of the major factors that inﬂuenced water quality during the monsoon seasons. The t test indicated that except between summer and post-monsoon in 2013 and 2014, seasonal DO values had statistically signiﬁcant diﬀerence. Also, turbidity in summer, postmonsoon and winter seasons had statistically signiﬁcant diﬀerences while total hardness (TH) was statistically diﬀerent in summer over winter but not in summer over post-monsoon. On the other hand, TDS did not have statistically signiﬁcant seasonal shifts. Water quality index (WQI), pollution index (PI), comprehensive pollution index (CPI), computed over the study years revealed that water quality of the reservoir could be categorized as ‘Good’ but is gradually deteriorating. This calls for greater attention and proper management of the Tilaiya reservoir in the interest of environmental and regional sustainability of Koderma.","container-title":"Water Science","DOI":"10.1080/11104929.2020.1765451","ISSN":"2357-0008","issue":"1","journalAbbreviation":"Water Science","language":"en","page":"85-97","source":"DOI.org (Crossref)","title":"Factors affecting lean, wet-season water quality of Tilaiya reservoir in Koderma District, India during 2013–2017","volume":"34","author":[{"family":"Pramanik","given":"Arun Kumar"},{"family":"Majumdar","given":"Deepanjan"},{"family":"Chatterjee","given":"Abhik"}],"issued":{"date-parts":[["2020",1,1]]}},"label":"page"},{"id":"7AoAF8BM/piRKKSiq","uris":["http://zotero.org/users/8828115/items/HBB8UCQ9"],"itemData":{"id":1102,"type":"article-journal","abstract":"Mauritania is a country with a water deficit. The majority of these regions are supplied by groundwater through boreholes. Among these regions there is the Wilaya of Akjoujt. Water for domestic use from two boreholes in Benichab in the Wilaya of Inchiri was analyzed and assessed for quality in February, July and November 2023, using standard laboratory sampling and analysis methods. Parameters examined included temperature, pH, electrical conductivity (EC), Total dissolved solids (TDS), turbidity, chlorides (Cl-), nitrates (NO3-), sulfates (SO42-), calcium (Ca2+), magnesium (Mg2+), sodium (Na+), potassium (K+) and fluoride (F-). The results of the physico-chemical analysis demonstrated that the borehole water met World Health Organization (WHO) standards for human consumption. Water quality index (WQI) and Comprehensive Pollution Index (CPI) methods were used. The WQI confirmed that water from the Benichab boreholes, with a score below 50, was excellent for consumption. CPI values ranged from 0.22 to 0.27, suggesting slightly impaired borehole water at Benichab. However, without considering F- and pH, CPI ranged from 0.14 to 0.20, indicating satisfactory borehole water quality in the Benichab region. These results underline the importance of F- and pH in borehole water quality in Benichab. A statistical analysis of the correlation between F- and certain physical parameters using Pearson's correlation matrix revealed that F- concentrations could be influenced by pH in Benichab boreholes. The affirmative solution will be a continuous water quality monitoring program particularly F- and pH and a detailed hydrogeochemical investigation is suggested for sustainable utilization of water resources","container-title":"An-Najah University Journal for Research - A (Natural Sciences)","DOI":"10.35552/anujr.a.39.2.2376","ISSN":"2311-8865, 1727-2114","issue":"2","journalAbbreviation":"An-Najah University Journal for Research - A","language":"en","note":"publisher: An-Najah National University","source":"Crossref","title":"Evaluation of the quality of boreholes water using indicators like Water Quality Index (WQI), and the Comprehensive Pollution Index (CPI)","URL":"https://journals.najah.edu/journal/anujr-a/issue/anujr-a-v39-i2/article/2376/in-press/","volume":"39","author":[{"family":"Soueilem","given":"Soughra Dah"},{"family":"N’diaye","given":"Abdoulaye Demba"},{"family":"Abdellahi","given":"Ould El Moustapha"},{"family":"M’Baye","given":"Bocar Kalidou"},{"family":"Ali","given":"Youssef Aoulad El Hadj"},{"family":"Abeidou","given":"Mohamed El Kory Cheikh"},{"family":"Hammouti","given":"Belkheir"},{"family":"Sabbahi","given":"Rachid"},{"family":"Azzaoui","given":"Khalil"},{"family":"Jodeh","given":"Shehdeh"},{"family":"Kankou","given":"Mohamed"}],"accessed":{"date-parts":[["2025",7,8]]},"issued":{"date-parts":[["2025",8]]}},"label":"page"}],"schema":"https://github.com/citation-style-language/schema/raw/master/csl-citation.json"} </w:instrText>
      </w:r>
      <w:r w:rsidRPr="009F05B2">
        <w:rPr>
          <w:rFonts w:ascii="Arial" w:hAnsi="Arial" w:cs="Arial"/>
        </w:rPr>
        <w:fldChar w:fldCharType="separate"/>
      </w:r>
      <w:r w:rsidR="00540813" w:rsidRPr="00540813">
        <w:rPr>
          <w:rFonts w:ascii="Arial" w:hAnsi="Arial" w:cs="Arial"/>
        </w:rPr>
        <w:t>(Pramanik et al., 2020a; Soueilem et al., 2025)</w:t>
      </w:r>
      <w:r w:rsidRPr="009F05B2">
        <w:rPr>
          <w:rFonts w:ascii="Arial" w:hAnsi="Arial" w:cs="Arial"/>
        </w:rPr>
        <w:fldChar w:fldCharType="end"/>
      </w:r>
      <w:r w:rsidRPr="009F05B2">
        <w:rPr>
          <w:rFonts w:ascii="Arial" w:hAnsi="Arial" w:cs="Arial"/>
        </w:rPr>
        <w:t>. Equation (5) describes the calculation of CPI.</w:t>
      </w:r>
      <w:r w:rsidRPr="009F05B2">
        <w:rPr>
          <w:rFonts w:ascii="Arial" w:hAnsi="Arial" w:cs="Arial"/>
          <w:lang w:bidi="mr-IN"/>
        </w:rPr>
        <w:t xml:space="preserve"> </w:t>
      </w:r>
    </w:p>
    <w:p w:rsidR="00382B68" w:rsidRPr="009F05B2" w:rsidRDefault="00382B68" w:rsidP="00382B68">
      <w:pPr>
        <w:autoSpaceDE w:val="0"/>
        <w:autoSpaceDN w:val="0"/>
        <w:adjustRightInd w:val="0"/>
        <w:rPr>
          <w:rFonts w:ascii="Arial" w:hAnsi="Arial" w:cs="Arial"/>
          <w:color w:val="7030A0"/>
        </w:rPr>
      </w:pPr>
      <w:r w:rsidRPr="009F05B2">
        <w:rPr>
          <w:rFonts w:ascii="Arial" w:hAnsi="Arial" w:cs="Arial"/>
          <w:lang w:bidi="mr-IN"/>
        </w:rPr>
        <w:t xml:space="preserve"> </w:t>
      </w:r>
      <m:oMath>
        <m:r>
          <w:rPr>
            <w:rFonts w:ascii="Cambria Math" w:hAnsi="Cambria Math" w:cs="Arial"/>
            <w:lang w:bidi="mr-IN"/>
          </w:rPr>
          <m:t xml:space="preserve">CPI= </m:t>
        </m:r>
        <m:f>
          <m:fPr>
            <m:ctrlPr>
              <w:rPr>
                <w:rFonts w:ascii="Cambria Math" w:hAnsi="Cambria Math" w:cs="Arial"/>
                <w:i/>
                <w:lang w:bidi="mr-IN"/>
              </w:rPr>
            </m:ctrlPr>
          </m:fPr>
          <m:num>
            <m:r>
              <w:rPr>
                <w:rFonts w:ascii="Cambria Math" w:hAnsi="Cambria Math" w:cs="Arial"/>
                <w:lang w:bidi="mr-IN"/>
              </w:rPr>
              <m:t>1</m:t>
            </m:r>
          </m:num>
          <m:den>
            <m:r>
              <w:rPr>
                <w:rFonts w:ascii="Cambria Math" w:hAnsi="Cambria Math" w:cs="Arial"/>
                <w:lang w:bidi="mr-IN"/>
              </w:rPr>
              <m:t>n</m:t>
            </m:r>
          </m:den>
        </m:f>
        <m:nary>
          <m:naryPr>
            <m:chr m:val="∑"/>
            <m:limLoc m:val="undOvr"/>
            <m:ctrlPr>
              <w:rPr>
                <w:rFonts w:ascii="Cambria Math" w:hAnsi="Cambria Math" w:cs="Arial"/>
                <w:i/>
                <w:lang w:bidi="mr-IN"/>
              </w:rPr>
            </m:ctrlPr>
          </m:naryPr>
          <m:sub>
            <m:r>
              <w:rPr>
                <w:rFonts w:ascii="Cambria Math" w:hAnsi="Cambria Math" w:cs="Arial"/>
                <w:lang w:bidi="mr-IN"/>
              </w:rPr>
              <m:t>i=1</m:t>
            </m:r>
          </m:sub>
          <m:sup>
            <m:r>
              <w:rPr>
                <w:rFonts w:ascii="Cambria Math" w:hAnsi="Cambria Math" w:cs="Arial"/>
                <w:lang w:bidi="mr-IN"/>
              </w:rPr>
              <m:t>n</m:t>
            </m:r>
          </m:sup>
          <m:e>
            <m:r>
              <w:rPr>
                <w:rFonts w:ascii="Cambria Math" w:hAnsi="Cambria Math" w:cs="Arial"/>
                <w:lang w:bidi="mr-IN"/>
              </w:rPr>
              <m:t>PIi</m:t>
            </m:r>
          </m:e>
        </m:nary>
      </m:oMath>
      <w:r w:rsidRPr="009F05B2">
        <w:rPr>
          <w:rFonts w:ascii="Arial" w:eastAsiaTheme="minorEastAsia" w:hAnsi="Arial" w:cs="Arial"/>
          <w:lang w:bidi="mr-IN"/>
        </w:rPr>
        <w:t xml:space="preserve">  </w:t>
      </w:r>
      <w:r w:rsidRPr="009F05B2">
        <w:rPr>
          <w:rFonts w:ascii="Arial" w:eastAsiaTheme="minorEastAsia" w:hAnsi="Arial" w:cs="Arial"/>
        </w:rPr>
        <w:t xml:space="preserve">                                                                                                             </w:t>
      </w:r>
      <w:r>
        <w:rPr>
          <w:rFonts w:ascii="Arial" w:eastAsiaTheme="minorEastAsia" w:hAnsi="Arial" w:cs="Arial"/>
        </w:rPr>
        <w:t xml:space="preserve">    </w:t>
      </w:r>
      <w:r w:rsidRPr="009F05B2">
        <w:rPr>
          <w:rFonts w:ascii="Arial" w:eastAsiaTheme="minorEastAsia" w:hAnsi="Arial" w:cs="Arial"/>
        </w:rPr>
        <w:t>(5)</w:t>
      </w:r>
    </w:p>
    <w:p w:rsidR="00382B68" w:rsidRPr="009F05B2" w:rsidRDefault="00382B68" w:rsidP="00382B68">
      <w:pPr>
        <w:autoSpaceDE w:val="0"/>
        <w:autoSpaceDN w:val="0"/>
        <w:adjustRightInd w:val="0"/>
        <w:rPr>
          <w:rFonts w:ascii="Arial" w:hAnsi="Arial" w:cs="Arial"/>
          <w:lang w:bidi="mr-IN"/>
        </w:rPr>
      </w:pPr>
    </w:p>
    <w:p w:rsidR="00382B68" w:rsidRPr="009F05B2" w:rsidRDefault="00382B68" w:rsidP="00A27213">
      <w:pPr>
        <w:autoSpaceDE w:val="0"/>
        <w:autoSpaceDN w:val="0"/>
        <w:adjustRightInd w:val="0"/>
        <w:spacing w:after="240"/>
        <w:jc w:val="both"/>
        <w:rPr>
          <w:rFonts w:ascii="Arial" w:hAnsi="Arial" w:cs="Arial"/>
          <w:i/>
          <w:iCs/>
          <w:lang w:bidi="mr-IN"/>
        </w:rPr>
      </w:pPr>
      <w:r w:rsidRPr="009F05B2">
        <w:rPr>
          <w:rFonts w:ascii="Arial" w:hAnsi="Arial" w:cs="Arial"/>
          <w:lang w:bidi="mr-IN"/>
        </w:rPr>
        <w:t>The total number of parameters (</w:t>
      </w:r>
      <w:r w:rsidRPr="009F05B2">
        <w:rPr>
          <w:rFonts w:ascii="Arial" w:hAnsi="Arial" w:cs="Arial"/>
          <w:i/>
          <w:iCs/>
          <w:lang w:bidi="mr-IN"/>
        </w:rPr>
        <w:t>n</w:t>
      </w:r>
      <w:r w:rsidRPr="009F05B2">
        <w:rPr>
          <w:rFonts w:ascii="Arial" w:hAnsi="Arial" w:cs="Arial"/>
          <w:lang w:bidi="mr-IN"/>
        </w:rPr>
        <w:t>)</w:t>
      </w:r>
      <w:r w:rsidRPr="009F05B2">
        <w:rPr>
          <w:rFonts w:ascii="Arial" w:hAnsi="Arial" w:cs="Arial"/>
          <w:i/>
          <w:iCs/>
          <w:lang w:bidi="mr-IN"/>
        </w:rPr>
        <w:t xml:space="preserve"> </w:t>
      </w:r>
      <w:r w:rsidRPr="009F05B2">
        <w:rPr>
          <w:rFonts w:ascii="Arial" w:hAnsi="Arial" w:cs="Arial"/>
          <w:lang w:bidi="mr-IN"/>
        </w:rPr>
        <w:t xml:space="preserve">is aggregated with the pollution index of the </w:t>
      </w:r>
      <w:proofErr w:type="spellStart"/>
      <w:r w:rsidRPr="009F05B2">
        <w:rPr>
          <w:rFonts w:ascii="Arial" w:hAnsi="Arial" w:cs="Arial"/>
          <w:i/>
          <w:iCs/>
          <w:lang w:eastAsia="en-IN" w:bidi="mr-IN"/>
        </w:rPr>
        <w:t>i</w:t>
      </w:r>
      <w:r w:rsidRPr="009F05B2">
        <w:rPr>
          <w:rFonts w:ascii="Arial" w:hAnsi="Arial" w:cs="Arial"/>
          <w:lang w:eastAsia="en-IN" w:bidi="mr-IN"/>
        </w:rPr>
        <w:t>th</w:t>
      </w:r>
      <w:proofErr w:type="spellEnd"/>
      <w:r w:rsidRPr="009F05B2">
        <w:rPr>
          <w:rFonts w:ascii="Arial" w:hAnsi="Arial" w:cs="Arial"/>
          <w:lang w:eastAsia="en-IN" w:bidi="mr-IN"/>
        </w:rPr>
        <w:t xml:space="preserve"> parameter in each water sample, where </w:t>
      </w:r>
      <w:r w:rsidRPr="009F05B2">
        <w:rPr>
          <w:rFonts w:ascii="Arial" w:hAnsi="Arial" w:cs="Arial"/>
          <w:lang w:bidi="mr-IN"/>
        </w:rPr>
        <w:t>the pollution index is determined using the following equation (6)</w:t>
      </w:r>
    </w:p>
    <w:p w:rsidR="00382B68" w:rsidRPr="00AF1AC1" w:rsidRDefault="00382B68" w:rsidP="00382B68">
      <w:pPr>
        <w:autoSpaceDE w:val="0"/>
        <w:autoSpaceDN w:val="0"/>
        <w:adjustRightInd w:val="0"/>
        <w:rPr>
          <w:rFonts w:ascii="Arial" w:eastAsiaTheme="minorEastAsia" w:hAnsi="Arial" w:cs="Arial"/>
          <w:color w:val="000000"/>
          <w:lang w:bidi="mr-IN"/>
        </w:rPr>
      </w:pPr>
      <m:oMath>
        <m:r>
          <w:rPr>
            <w:rFonts w:ascii="Cambria Math" w:hAnsi="Cambria Math" w:cs="Arial"/>
            <w:color w:val="000000"/>
            <w:lang w:bidi="mr-IN"/>
          </w:rPr>
          <m:t>PIi=</m:t>
        </m:r>
        <m:f>
          <m:fPr>
            <m:ctrlPr>
              <w:rPr>
                <w:rFonts w:ascii="Cambria Math" w:hAnsi="Cambria Math" w:cs="Arial"/>
                <w:i/>
                <w:color w:val="000000"/>
                <w:lang w:bidi="mr-IN"/>
              </w:rPr>
            </m:ctrlPr>
          </m:fPr>
          <m:num>
            <m:r>
              <w:rPr>
                <w:rFonts w:ascii="Cambria Math" w:hAnsi="Cambria Math" w:cs="Arial"/>
                <w:color w:val="000000"/>
                <w:lang w:bidi="mr-IN"/>
              </w:rPr>
              <m:t>Ci</m:t>
            </m:r>
          </m:num>
          <m:den>
            <m:r>
              <w:rPr>
                <w:rFonts w:ascii="Cambria Math" w:hAnsi="Cambria Math" w:cs="Arial"/>
                <w:color w:val="000000"/>
                <w:lang w:bidi="mr-IN"/>
              </w:rPr>
              <m:t xml:space="preserve">Si </m:t>
            </m:r>
          </m:den>
        </m:f>
        <m:r>
          <w:rPr>
            <w:rFonts w:ascii="Cambria Math" w:hAnsi="Cambria Math" w:cs="Arial"/>
            <w:color w:val="000000"/>
            <w:lang w:bidi="mr-IN"/>
          </w:rPr>
          <m:t xml:space="preserve"> </m:t>
        </m:r>
      </m:oMath>
      <w:r w:rsidRPr="009F05B2">
        <w:rPr>
          <w:rFonts w:ascii="Arial" w:eastAsiaTheme="minorEastAsia" w:hAnsi="Arial" w:cs="Arial"/>
          <w:color w:val="000000"/>
          <w:lang w:bidi="mr-IN"/>
        </w:rPr>
        <w:t xml:space="preserve">                                                                                                                                </w:t>
      </w:r>
      <w:r w:rsidR="00AF1AC1">
        <w:rPr>
          <w:rFonts w:ascii="Arial" w:eastAsiaTheme="minorEastAsia" w:hAnsi="Arial" w:cs="Arial"/>
          <w:color w:val="000000"/>
          <w:lang w:bidi="mr-IN"/>
        </w:rPr>
        <w:t xml:space="preserve">  </w:t>
      </w:r>
      <w:r w:rsidR="00AF1AC1" w:rsidRPr="009F05B2">
        <w:rPr>
          <w:rFonts w:ascii="Arial" w:eastAsiaTheme="minorEastAsia" w:hAnsi="Arial" w:cs="Arial"/>
        </w:rPr>
        <w:t>(6)</w:t>
      </w:r>
      <w:r w:rsidRPr="009F05B2">
        <w:rPr>
          <w:rFonts w:ascii="Arial" w:eastAsiaTheme="minorEastAsia" w:hAnsi="Arial" w:cs="Arial"/>
          <w:color w:val="000000"/>
          <w:lang w:bidi="mr-IN"/>
        </w:rPr>
        <w:t xml:space="preserve">     </w:t>
      </w:r>
    </w:p>
    <w:p w:rsidR="00382B68" w:rsidRPr="009F05B2" w:rsidRDefault="00382B68" w:rsidP="00382B68">
      <w:pPr>
        <w:autoSpaceDE w:val="0"/>
        <w:autoSpaceDN w:val="0"/>
        <w:adjustRightInd w:val="0"/>
        <w:rPr>
          <w:rFonts w:ascii="Arial" w:hAnsi="Arial" w:cs="Arial"/>
          <w:color w:val="000000"/>
          <w:lang w:bidi="mr-IN"/>
        </w:rPr>
      </w:pPr>
    </w:p>
    <w:p w:rsidR="00382B68" w:rsidRPr="009F05B2" w:rsidRDefault="00382B68" w:rsidP="00382B68">
      <w:pPr>
        <w:autoSpaceDE w:val="0"/>
        <w:autoSpaceDN w:val="0"/>
        <w:adjustRightInd w:val="0"/>
        <w:jc w:val="both"/>
        <w:rPr>
          <w:rFonts w:ascii="Arial" w:hAnsi="Arial" w:cs="Arial"/>
          <w:lang w:eastAsia="en-IN" w:bidi="mr-IN"/>
        </w:rPr>
      </w:pPr>
      <w:r w:rsidRPr="009F05B2">
        <w:rPr>
          <w:rFonts w:ascii="Arial" w:hAnsi="Arial" w:cs="Arial"/>
          <w:color w:val="000000"/>
          <w:lang w:bidi="mr-IN"/>
        </w:rPr>
        <w:t xml:space="preserve">Where </w:t>
      </w:r>
      <w:r w:rsidRPr="009F05B2">
        <w:rPr>
          <w:rFonts w:ascii="Arial" w:hAnsi="Arial" w:cs="Arial"/>
          <w:i/>
          <w:iCs/>
          <w:lang w:eastAsia="en-IN" w:bidi="mr-IN"/>
        </w:rPr>
        <w:t xml:space="preserve">Ci </w:t>
      </w:r>
      <w:r w:rsidRPr="009F05B2">
        <w:rPr>
          <w:rFonts w:ascii="Arial" w:hAnsi="Arial" w:cs="Arial"/>
          <w:lang w:eastAsia="en-IN" w:bidi="mr-IN"/>
        </w:rPr>
        <w:t>is</w:t>
      </w:r>
      <w:r w:rsidRPr="009F05B2">
        <w:rPr>
          <w:rFonts w:ascii="Arial" w:hAnsi="Arial" w:cs="Arial"/>
          <w:i/>
          <w:iCs/>
          <w:lang w:eastAsia="en-IN" w:bidi="mr-IN"/>
        </w:rPr>
        <w:t xml:space="preserve"> </w:t>
      </w:r>
      <w:r w:rsidRPr="009F05B2">
        <w:rPr>
          <w:rFonts w:ascii="Arial" w:hAnsi="Arial" w:cs="Arial"/>
          <w:lang w:eastAsia="en-IN" w:bidi="mr-IN"/>
        </w:rPr>
        <w:t xml:space="preserve">the concentration of the </w:t>
      </w:r>
      <w:proofErr w:type="spellStart"/>
      <w:r w:rsidRPr="009F05B2">
        <w:rPr>
          <w:rFonts w:ascii="Arial" w:hAnsi="Arial" w:cs="Arial"/>
          <w:i/>
          <w:iCs/>
          <w:lang w:eastAsia="en-IN" w:bidi="mr-IN"/>
        </w:rPr>
        <w:t>i</w:t>
      </w:r>
      <w:r w:rsidRPr="009F05B2">
        <w:rPr>
          <w:rFonts w:ascii="Arial" w:hAnsi="Arial" w:cs="Arial"/>
          <w:lang w:eastAsia="en-IN" w:bidi="mr-IN"/>
        </w:rPr>
        <w:t>th</w:t>
      </w:r>
      <w:proofErr w:type="spellEnd"/>
      <w:r w:rsidRPr="009F05B2">
        <w:rPr>
          <w:rFonts w:ascii="Arial" w:hAnsi="Arial" w:cs="Arial"/>
          <w:lang w:eastAsia="en-IN" w:bidi="mr-IN"/>
        </w:rPr>
        <w:t xml:space="preserve"> parameter in each water sample</w:t>
      </w:r>
      <w:r w:rsidR="008E1BA3">
        <w:rPr>
          <w:rFonts w:ascii="Arial" w:hAnsi="Arial" w:cs="Arial"/>
          <w:lang w:eastAsia="en-IN" w:bidi="mr-IN"/>
        </w:rPr>
        <w:t>,</w:t>
      </w:r>
      <w:r w:rsidRPr="009F05B2">
        <w:rPr>
          <w:rFonts w:ascii="Arial" w:hAnsi="Arial" w:cs="Arial"/>
          <w:lang w:eastAsia="en-IN" w:bidi="mr-IN"/>
        </w:rPr>
        <w:t xml:space="preserve"> divided by its respective standard concentration of the </w:t>
      </w:r>
      <w:proofErr w:type="spellStart"/>
      <w:r w:rsidRPr="009F05B2">
        <w:rPr>
          <w:rFonts w:ascii="Arial" w:hAnsi="Arial" w:cs="Arial"/>
          <w:i/>
          <w:iCs/>
          <w:lang w:eastAsia="en-IN" w:bidi="mr-IN"/>
        </w:rPr>
        <w:t>i</w:t>
      </w:r>
      <w:r w:rsidRPr="009F05B2">
        <w:rPr>
          <w:rFonts w:ascii="Arial" w:hAnsi="Arial" w:cs="Arial"/>
          <w:lang w:eastAsia="en-IN" w:bidi="mr-IN"/>
        </w:rPr>
        <w:t>th</w:t>
      </w:r>
      <w:proofErr w:type="spellEnd"/>
      <w:r w:rsidRPr="009F05B2">
        <w:rPr>
          <w:rFonts w:ascii="Arial" w:hAnsi="Arial" w:cs="Arial"/>
          <w:lang w:eastAsia="en-IN" w:bidi="mr-IN"/>
        </w:rPr>
        <w:t xml:space="preserve"> parameter (</w:t>
      </w:r>
      <w:r w:rsidRPr="009F05B2">
        <w:rPr>
          <w:rFonts w:ascii="Arial" w:hAnsi="Arial" w:cs="Arial"/>
          <w:i/>
          <w:iCs/>
          <w:lang w:eastAsia="en-IN" w:bidi="mr-IN"/>
        </w:rPr>
        <w:t>Si</w:t>
      </w:r>
      <w:r w:rsidRPr="009F05B2">
        <w:rPr>
          <w:rFonts w:ascii="Arial" w:hAnsi="Arial" w:cs="Arial"/>
          <w:lang w:eastAsia="en-IN" w:bidi="mr-IN"/>
        </w:rPr>
        <w:t>). CPI is categorised into five classes corresponding to the water quality as the following Table 4.</w:t>
      </w:r>
    </w:p>
    <w:p w:rsidR="00382B68" w:rsidRPr="009F05B2" w:rsidRDefault="00382B68" w:rsidP="00382B68">
      <w:pPr>
        <w:autoSpaceDE w:val="0"/>
        <w:autoSpaceDN w:val="0"/>
        <w:adjustRightInd w:val="0"/>
        <w:jc w:val="both"/>
        <w:rPr>
          <w:rFonts w:ascii="Arial" w:hAnsi="Arial" w:cs="Arial"/>
          <w:lang w:eastAsia="en-IN" w:bidi="mr-IN"/>
        </w:rPr>
      </w:pPr>
    </w:p>
    <w:p w:rsidR="00382B68" w:rsidRPr="009F05B2" w:rsidRDefault="00382B68" w:rsidP="002B548D">
      <w:pPr>
        <w:spacing w:after="240"/>
        <w:jc w:val="center"/>
        <w:rPr>
          <w:rFonts w:ascii="Arial" w:hAnsi="Arial" w:cs="Arial"/>
          <w:lang w:eastAsia="en-IN" w:bidi="mr-IN"/>
        </w:rPr>
      </w:pPr>
      <w:r w:rsidRPr="009F05B2">
        <w:rPr>
          <w:rFonts w:ascii="Arial" w:hAnsi="Arial" w:cs="Arial"/>
          <w:b/>
        </w:rPr>
        <w:t>Table 4:</w:t>
      </w:r>
      <w:r w:rsidRPr="009F05B2">
        <w:rPr>
          <w:rFonts w:ascii="Arial" w:hAnsi="Arial" w:cs="Arial"/>
        </w:rPr>
        <w:t xml:space="preserve"> </w:t>
      </w:r>
      <w:r w:rsidRPr="00E21BBF">
        <w:rPr>
          <w:rFonts w:ascii="Arial" w:hAnsi="Arial" w:cs="Arial"/>
          <w:b/>
          <w:bCs/>
        </w:rPr>
        <w:t xml:space="preserve">Categories of CPI rating, classification and possible uses modified after </w:t>
      </w:r>
      <w:r w:rsidR="00AE310D">
        <w:rPr>
          <w:rFonts w:ascii="Arial" w:hAnsi="Arial" w:cs="Arial"/>
          <w:b/>
          <w:bCs/>
        </w:rPr>
        <w:t>Pramanik et.al. (2020)</w:t>
      </w:r>
    </w:p>
    <w:tbl>
      <w:tblPr>
        <w:tblW w:w="0" w:type="auto"/>
        <w:tblBorders>
          <w:top w:val="single" w:sz="4" w:space="0" w:color="auto"/>
        </w:tblBorders>
        <w:tblLook w:val="04A0" w:firstRow="1" w:lastRow="0" w:firstColumn="1" w:lastColumn="0" w:noHBand="0" w:noVBand="1"/>
      </w:tblPr>
      <w:tblGrid>
        <w:gridCol w:w="1106"/>
        <w:gridCol w:w="1493"/>
        <w:gridCol w:w="1557"/>
        <w:gridCol w:w="4268"/>
      </w:tblGrid>
      <w:tr w:rsidR="00382B68" w:rsidRPr="009F05B2" w:rsidTr="00B37FCD">
        <w:trPr>
          <w:trHeight w:val="301"/>
        </w:trPr>
        <w:tc>
          <w:tcPr>
            <w:tcW w:w="0" w:type="auto"/>
            <w:tcBorders>
              <w:top w:val="single" w:sz="4" w:space="0" w:color="auto"/>
              <w:bottom w:val="single" w:sz="4" w:space="0" w:color="auto"/>
            </w:tcBorders>
            <w:shd w:val="clear" w:color="auto" w:fill="auto"/>
            <w:noWrap/>
            <w:vAlign w:val="center"/>
            <w:hideMark/>
          </w:tcPr>
          <w:p w:rsidR="00382B68" w:rsidRPr="009F05B2" w:rsidRDefault="00382B68" w:rsidP="00195B60">
            <w:pPr>
              <w:rPr>
                <w:rFonts w:ascii="Arial" w:hAnsi="Arial" w:cs="Arial"/>
                <w:lang w:eastAsia="en-IN" w:bidi="mr-IN"/>
              </w:rPr>
            </w:pPr>
            <w:r w:rsidRPr="009F05B2">
              <w:rPr>
                <w:rFonts w:ascii="Arial" w:hAnsi="Arial" w:cs="Arial"/>
                <w:b/>
                <w:bCs/>
                <w:color w:val="000000"/>
                <w:lang w:eastAsia="en-IN" w:bidi="mr-IN"/>
              </w:rPr>
              <w:t>CPI</w:t>
            </w:r>
          </w:p>
        </w:tc>
        <w:tc>
          <w:tcPr>
            <w:tcW w:w="1493" w:type="dxa"/>
            <w:tcBorders>
              <w:top w:val="single" w:sz="4" w:space="0" w:color="auto"/>
              <w:bottom w:val="single" w:sz="4" w:space="0" w:color="auto"/>
            </w:tcBorders>
            <w:vAlign w:val="center"/>
          </w:tcPr>
          <w:p w:rsidR="00382B68" w:rsidRPr="009F05B2" w:rsidRDefault="00382B68" w:rsidP="00195B60">
            <w:pPr>
              <w:ind w:left="-60" w:hanging="378"/>
              <w:jc w:val="center"/>
              <w:rPr>
                <w:rFonts w:ascii="Arial" w:hAnsi="Arial" w:cs="Arial"/>
                <w:b/>
                <w:bCs/>
                <w:color w:val="000000"/>
                <w:lang w:eastAsia="en-IN" w:bidi="mr-IN"/>
              </w:rPr>
            </w:pPr>
            <w:r w:rsidRPr="009F05B2">
              <w:rPr>
                <w:rFonts w:ascii="Arial" w:hAnsi="Arial" w:cs="Arial"/>
                <w:b/>
                <w:bCs/>
                <w:color w:val="000000"/>
                <w:lang w:eastAsia="en-IN" w:bidi="mr-IN"/>
              </w:rPr>
              <w:t>CPI rating</w:t>
            </w:r>
          </w:p>
        </w:tc>
        <w:tc>
          <w:tcPr>
            <w:tcW w:w="0" w:type="auto"/>
            <w:tcBorders>
              <w:top w:val="single" w:sz="4" w:space="0" w:color="auto"/>
              <w:bottom w:val="single" w:sz="4" w:space="0" w:color="auto"/>
            </w:tcBorders>
            <w:vAlign w:val="center"/>
          </w:tcPr>
          <w:p w:rsidR="00382B68" w:rsidRPr="009F05B2" w:rsidRDefault="00382B68" w:rsidP="00195B60">
            <w:pPr>
              <w:jc w:val="center"/>
              <w:rPr>
                <w:rFonts w:ascii="Arial" w:hAnsi="Arial" w:cs="Arial"/>
                <w:b/>
                <w:bCs/>
                <w:color w:val="000000"/>
                <w:lang w:eastAsia="en-IN" w:bidi="mr-IN"/>
              </w:rPr>
            </w:pPr>
            <w:r w:rsidRPr="009F05B2">
              <w:rPr>
                <w:rFonts w:ascii="Arial" w:hAnsi="Arial" w:cs="Arial"/>
                <w:b/>
                <w:bCs/>
                <w:color w:val="000000"/>
                <w:lang w:eastAsia="en-IN" w:bidi="mr-IN"/>
              </w:rPr>
              <w:t>Classification</w:t>
            </w:r>
          </w:p>
        </w:tc>
        <w:tc>
          <w:tcPr>
            <w:tcW w:w="0" w:type="auto"/>
            <w:tcBorders>
              <w:top w:val="single" w:sz="4" w:space="0" w:color="auto"/>
              <w:bottom w:val="single" w:sz="4" w:space="0" w:color="auto"/>
            </w:tcBorders>
            <w:vAlign w:val="center"/>
          </w:tcPr>
          <w:p w:rsidR="00382B68" w:rsidRPr="009F05B2" w:rsidRDefault="00382B68" w:rsidP="00195B60">
            <w:pPr>
              <w:jc w:val="center"/>
              <w:rPr>
                <w:rFonts w:ascii="Arial" w:hAnsi="Arial" w:cs="Arial"/>
                <w:b/>
                <w:bCs/>
                <w:color w:val="000000"/>
                <w:lang w:eastAsia="en-IN" w:bidi="mr-IN"/>
              </w:rPr>
            </w:pPr>
            <w:r w:rsidRPr="009F05B2">
              <w:rPr>
                <w:rFonts w:ascii="Arial" w:hAnsi="Arial" w:cs="Arial"/>
                <w:b/>
                <w:bCs/>
                <w:color w:val="000000"/>
                <w:lang w:eastAsia="en-IN" w:bidi="mr-IN"/>
              </w:rPr>
              <w:t>Possible uses</w:t>
            </w:r>
          </w:p>
        </w:tc>
      </w:tr>
      <w:tr w:rsidR="00382B68" w:rsidRPr="009F05B2" w:rsidTr="00B37FCD">
        <w:trPr>
          <w:trHeight w:val="242"/>
        </w:trPr>
        <w:tc>
          <w:tcPr>
            <w:tcW w:w="0" w:type="auto"/>
            <w:tcBorders>
              <w:top w:val="single" w:sz="4" w:space="0" w:color="auto"/>
            </w:tcBorders>
            <w:shd w:val="clear" w:color="auto" w:fill="auto"/>
            <w:noWrap/>
          </w:tcPr>
          <w:p w:rsidR="00382B68" w:rsidRPr="009F05B2" w:rsidRDefault="00382B68" w:rsidP="00195B60">
            <w:pPr>
              <w:rPr>
                <w:rFonts w:ascii="Arial" w:hAnsi="Arial" w:cs="Arial"/>
                <w:color w:val="000000"/>
                <w:lang w:eastAsia="en-IN" w:bidi="mr-IN"/>
              </w:rPr>
            </w:pPr>
            <w:r w:rsidRPr="009F05B2">
              <w:rPr>
                <w:rFonts w:ascii="Arial" w:hAnsi="Arial" w:cs="Arial"/>
                <w:color w:val="000000"/>
                <w:lang w:eastAsia="en-IN" w:bidi="mr-IN"/>
              </w:rPr>
              <w:t>0.0 – 0.2</w:t>
            </w:r>
          </w:p>
        </w:tc>
        <w:tc>
          <w:tcPr>
            <w:tcW w:w="1493" w:type="dxa"/>
            <w:tcBorders>
              <w:top w:val="single" w:sz="4" w:space="0" w:color="auto"/>
            </w:tcBorders>
          </w:tcPr>
          <w:p w:rsidR="00382B68" w:rsidRPr="009F05B2" w:rsidRDefault="00382B68" w:rsidP="00195B60">
            <w:pPr>
              <w:rPr>
                <w:rFonts w:ascii="Arial" w:hAnsi="Arial" w:cs="Arial"/>
                <w:lang w:eastAsia="en-IN" w:bidi="mr-IN"/>
              </w:rPr>
            </w:pPr>
            <w:r w:rsidRPr="009F05B2">
              <w:rPr>
                <w:rFonts w:ascii="Arial" w:hAnsi="Arial" w:cs="Arial"/>
                <w:lang w:eastAsia="en-IN" w:bidi="mr-IN"/>
              </w:rPr>
              <w:t>Excellent water</w:t>
            </w:r>
          </w:p>
        </w:tc>
        <w:tc>
          <w:tcPr>
            <w:tcW w:w="0" w:type="auto"/>
            <w:tcBorders>
              <w:top w:val="single" w:sz="4" w:space="0" w:color="auto"/>
            </w:tcBorders>
          </w:tcPr>
          <w:p w:rsidR="00382B68" w:rsidRPr="009F05B2" w:rsidRDefault="00382B68" w:rsidP="00195B60">
            <w:pPr>
              <w:rPr>
                <w:rFonts w:ascii="Arial" w:hAnsi="Arial" w:cs="Arial"/>
                <w:lang w:eastAsia="en-IN" w:bidi="mr-IN"/>
              </w:rPr>
            </w:pPr>
            <w:r w:rsidRPr="009F05B2">
              <w:rPr>
                <w:rFonts w:ascii="Arial" w:hAnsi="Arial" w:cs="Arial"/>
                <w:lang w:eastAsia="en-IN" w:bidi="mr-IN"/>
              </w:rPr>
              <w:t>Clean</w:t>
            </w:r>
          </w:p>
        </w:tc>
        <w:tc>
          <w:tcPr>
            <w:tcW w:w="0" w:type="auto"/>
            <w:tcBorders>
              <w:top w:val="single" w:sz="4" w:space="0" w:color="auto"/>
            </w:tcBorders>
          </w:tcPr>
          <w:p w:rsidR="00382B68" w:rsidRPr="009F05B2" w:rsidRDefault="00382B68" w:rsidP="00195B60">
            <w:pPr>
              <w:jc w:val="both"/>
              <w:rPr>
                <w:rFonts w:ascii="Arial" w:hAnsi="Arial" w:cs="Arial"/>
                <w:lang w:eastAsia="en-IN" w:bidi="mr-IN"/>
              </w:rPr>
            </w:pPr>
            <w:r w:rsidRPr="009F05B2">
              <w:rPr>
                <w:rFonts w:ascii="Arial" w:hAnsi="Arial" w:cs="Arial"/>
                <w:lang w:eastAsia="en-IN" w:bidi="mr-IN"/>
              </w:rPr>
              <w:t>Very good and can be used for Drinking, agriculture and industrial purposes</w:t>
            </w:r>
          </w:p>
        </w:tc>
      </w:tr>
      <w:tr w:rsidR="00382B68" w:rsidRPr="009F05B2" w:rsidTr="00B37FCD">
        <w:trPr>
          <w:trHeight w:val="242"/>
        </w:trPr>
        <w:tc>
          <w:tcPr>
            <w:tcW w:w="0" w:type="auto"/>
            <w:shd w:val="clear" w:color="auto" w:fill="auto"/>
            <w:noWrap/>
          </w:tcPr>
          <w:p w:rsidR="00382B68" w:rsidRPr="009F05B2" w:rsidRDefault="00382B68" w:rsidP="00195B60">
            <w:pPr>
              <w:rPr>
                <w:rFonts w:ascii="Arial" w:hAnsi="Arial" w:cs="Arial"/>
                <w:color w:val="000000"/>
                <w:lang w:eastAsia="en-IN" w:bidi="mr-IN"/>
              </w:rPr>
            </w:pPr>
            <w:r w:rsidRPr="009F05B2">
              <w:rPr>
                <w:rFonts w:ascii="Arial" w:hAnsi="Arial" w:cs="Arial"/>
                <w:color w:val="000000"/>
                <w:lang w:eastAsia="en-IN" w:bidi="mr-IN"/>
              </w:rPr>
              <w:t>0.21 – 0.4</w:t>
            </w:r>
          </w:p>
        </w:tc>
        <w:tc>
          <w:tcPr>
            <w:tcW w:w="1493" w:type="dxa"/>
          </w:tcPr>
          <w:p w:rsidR="00382B68" w:rsidRPr="009F05B2" w:rsidRDefault="00382B68" w:rsidP="00195B60">
            <w:pPr>
              <w:ind w:firstLineChars="6" w:firstLine="12"/>
              <w:rPr>
                <w:rFonts w:ascii="Arial" w:hAnsi="Arial" w:cs="Arial"/>
                <w:lang w:eastAsia="en-IN" w:bidi="mr-IN"/>
              </w:rPr>
            </w:pPr>
            <w:r w:rsidRPr="009F05B2">
              <w:rPr>
                <w:rFonts w:ascii="Arial" w:hAnsi="Arial" w:cs="Arial"/>
                <w:lang w:eastAsia="en-IN" w:bidi="mr-IN"/>
              </w:rPr>
              <w:t>Good water</w:t>
            </w:r>
          </w:p>
        </w:tc>
        <w:tc>
          <w:tcPr>
            <w:tcW w:w="0" w:type="auto"/>
          </w:tcPr>
          <w:p w:rsidR="00382B68" w:rsidRPr="009F05B2" w:rsidRDefault="00382B68" w:rsidP="00195B60">
            <w:pPr>
              <w:rPr>
                <w:rFonts w:ascii="Arial" w:hAnsi="Arial" w:cs="Arial"/>
                <w:lang w:eastAsia="en-IN" w:bidi="mr-IN"/>
              </w:rPr>
            </w:pPr>
            <w:r w:rsidRPr="009F05B2">
              <w:rPr>
                <w:rFonts w:ascii="Arial" w:hAnsi="Arial" w:cs="Arial"/>
                <w:lang w:eastAsia="en-IN" w:bidi="mr-IN"/>
              </w:rPr>
              <w:t>Sub-clean</w:t>
            </w:r>
          </w:p>
        </w:tc>
        <w:tc>
          <w:tcPr>
            <w:tcW w:w="0" w:type="auto"/>
          </w:tcPr>
          <w:p w:rsidR="00382B68" w:rsidRPr="009F05B2" w:rsidRDefault="00382B68" w:rsidP="00195B60">
            <w:pPr>
              <w:jc w:val="both"/>
              <w:rPr>
                <w:rFonts w:ascii="Arial" w:hAnsi="Arial" w:cs="Arial"/>
                <w:lang w:eastAsia="en-IN" w:bidi="mr-IN"/>
              </w:rPr>
            </w:pPr>
            <w:r w:rsidRPr="009F05B2">
              <w:rPr>
                <w:rFonts w:ascii="Arial" w:hAnsi="Arial" w:cs="Arial"/>
                <w:lang w:eastAsia="en-IN" w:bidi="mr-IN"/>
              </w:rPr>
              <w:t xml:space="preserve">Good and can be used for Domestic agriculture and industrial purposes </w:t>
            </w:r>
          </w:p>
        </w:tc>
      </w:tr>
      <w:tr w:rsidR="00382B68" w:rsidRPr="009F05B2" w:rsidTr="00B37FCD">
        <w:trPr>
          <w:trHeight w:val="242"/>
        </w:trPr>
        <w:tc>
          <w:tcPr>
            <w:tcW w:w="0" w:type="auto"/>
            <w:shd w:val="clear" w:color="auto" w:fill="auto"/>
            <w:noWrap/>
          </w:tcPr>
          <w:p w:rsidR="00382B68" w:rsidRPr="009F05B2" w:rsidRDefault="00382B68" w:rsidP="00195B60">
            <w:pPr>
              <w:rPr>
                <w:rFonts w:ascii="Arial" w:hAnsi="Arial" w:cs="Arial"/>
                <w:color w:val="000000"/>
                <w:lang w:eastAsia="en-IN" w:bidi="mr-IN"/>
              </w:rPr>
            </w:pPr>
            <w:r w:rsidRPr="009F05B2">
              <w:rPr>
                <w:rFonts w:ascii="Arial" w:hAnsi="Arial" w:cs="Arial"/>
                <w:color w:val="000000"/>
                <w:lang w:eastAsia="en-IN" w:bidi="mr-IN"/>
              </w:rPr>
              <w:t>0.41 – 1.0</w:t>
            </w:r>
          </w:p>
        </w:tc>
        <w:tc>
          <w:tcPr>
            <w:tcW w:w="1493" w:type="dxa"/>
          </w:tcPr>
          <w:p w:rsidR="00382B68" w:rsidRPr="009F05B2" w:rsidRDefault="00382B68" w:rsidP="00195B60">
            <w:pPr>
              <w:ind w:firstLineChars="6" w:firstLine="12"/>
              <w:rPr>
                <w:rFonts w:ascii="Arial" w:hAnsi="Arial" w:cs="Arial"/>
                <w:lang w:eastAsia="en-IN" w:bidi="mr-IN"/>
              </w:rPr>
            </w:pPr>
            <w:r w:rsidRPr="009F05B2">
              <w:rPr>
                <w:rFonts w:ascii="Arial" w:hAnsi="Arial" w:cs="Arial"/>
                <w:lang w:eastAsia="en-IN" w:bidi="mr-IN"/>
              </w:rPr>
              <w:t>Average</w:t>
            </w:r>
          </w:p>
        </w:tc>
        <w:tc>
          <w:tcPr>
            <w:tcW w:w="0" w:type="auto"/>
          </w:tcPr>
          <w:p w:rsidR="00382B68" w:rsidRPr="009F05B2" w:rsidRDefault="00382B68" w:rsidP="00195B60">
            <w:pPr>
              <w:rPr>
                <w:rFonts w:ascii="Arial" w:hAnsi="Arial" w:cs="Arial"/>
                <w:lang w:eastAsia="en-IN" w:bidi="mr-IN"/>
              </w:rPr>
            </w:pPr>
            <w:r w:rsidRPr="009F05B2">
              <w:rPr>
                <w:rFonts w:ascii="Arial" w:hAnsi="Arial" w:cs="Arial"/>
                <w:lang w:eastAsia="en-IN" w:bidi="mr-IN"/>
              </w:rPr>
              <w:t>Qualified</w:t>
            </w:r>
          </w:p>
        </w:tc>
        <w:tc>
          <w:tcPr>
            <w:tcW w:w="0" w:type="auto"/>
          </w:tcPr>
          <w:p w:rsidR="00382B68" w:rsidRPr="009F05B2" w:rsidRDefault="00382B68" w:rsidP="00195B60">
            <w:pPr>
              <w:jc w:val="both"/>
              <w:rPr>
                <w:rFonts w:ascii="Arial" w:hAnsi="Arial" w:cs="Arial"/>
                <w:lang w:eastAsia="en-IN" w:bidi="mr-IN"/>
              </w:rPr>
            </w:pPr>
            <w:r w:rsidRPr="009F05B2">
              <w:rPr>
                <w:rFonts w:ascii="Arial" w:hAnsi="Arial" w:cs="Arial"/>
                <w:lang w:eastAsia="en-IN" w:bidi="mr-IN"/>
              </w:rPr>
              <w:t>Concentrations of some pollutants are high. Poor water quality</w:t>
            </w:r>
          </w:p>
        </w:tc>
      </w:tr>
      <w:tr w:rsidR="00382B68" w:rsidRPr="009F05B2" w:rsidTr="00B37FCD">
        <w:trPr>
          <w:trHeight w:val="242"/>
        </w:trPr>
        <w:tc>
          <w:tcPr>
            <w:tcW w:w="0" w:type="auto"/>
            <w:tcBorders>
              <w:bottom w:val="nil"/>
            </w:tcBorders>
            <w:shd w:val="clear" w:color="auto" w:fill="auto"/>
            <w:noWrap/>
          </w:tcPr>
          <w:p w:rsidR="00382B68" w:rsidRPr="009F05B2" w:rsidRDefault="00382B68" w:rsidP="00195B60">
            <w:pPr>
              <w:rPr>
                <w:rFonts w:ascii="Arial" w:hAnsi="Arial" w:cs="Arial"/>
                <w:color w:val="000000"/>
                <w:lang w:eastAsia="en-IN" w:bidi="mr-IN"/>
              </w:rPr>
            </w:pPr>
            <w:r w:rsidRPr="009F05B2">
              <w:rPr>
                <w:rFonts w:ascii="Arial" w:hAnsi="Arial" w:cs="Arial"/>
                <w:color w:val="000000"/>
                <w:lang w:eastAsia="en-IN" w:bidi="mr-IN"/>
              </w:rPr>
              <w:lastRenderedPageBreak/>
              <w:t>1.01 – 2.0</w:t>
            </w:r>
          </w:p>
        </w:tc>
        <w:tc>
          <w:tcPr>
            <w:tcW w:w="1493" w:type="dxa"/>
            <w:tcBorders>
              <w:bottom w:val="nil"/>
            </w:tcBorders>
          </w:tcPr>
          <w:p w:rsidR="00382B68" w:rsidRPr="009F05B2" w:rsidRDefault="00382B68" w:rsidP="00195B60">
            <w:pPr>
              <w:ind w:firstLineChars="6" w:firstLine="12"/>
              <w:rPr>
                <w:rFonts w:ascii="Arial" w:hAnsi="Arial" w:cs="Arial"/>
                <w:lang w:eastAsia="en-IN" w:bidi="mr-IN"/>
              </w:rPr>
            </w:pPr>
            <w:r w:rsidRPr="009F05B2">
              <w:rPr>
                <w:rFonts w:ascii="Arial" w:hAnsi="Arial" w:cs="Arial"/>
                <w:lang w:eastAsia="en-IN" w:bidi="mr-IN"/>
              </w:rPr>
              <w:t>Poor</w:t>
            </w:r>
          </w:p>
        </w:tc>
        <w:tc>
          <w:tcPr>
            <w:tcW w:w="0" w:type="auto"/>
            <w:tcBorders>
              <w:bottom w:val="nil"/>
            </w:tcBorders>
          </w:tcPr>
          <w:p w:rsidR="00382B68" w:rsidRPr="009F05B2" w:rsidRDefault="00382B68" w:rsidP="00195B60">
            <w:pPr>
              <w:rPr>
                <w:rFonts w:ascii="Arial" w:hAnsi="Arial" w:cs="Arial"/>
                <w:lang w:eastAsia="en-IN" w:bidi="mr-IN"/>
              </w:rPr>
            </w:pPr>
            <w:r w:rsidRPr="009F05B2">
              <w:rPr>
                <w:rFonts w:ascii="Arial" w:hAnsi="Arial" w:cs="Arial"/>
                <w:lang w:eastAsia="en-IN" w:bidi="mr-IN"/>
              </w:rPr>
              <w:t>Polluted</w:t>
            </w:r>
          </w:p>
        </w:tc>
        <w:tc>
          <w:tcPr>
            <w:tcW w:w="0" w:type="auto"/>
            <w:tcBorders>
              <w:bottom w:val="nil"/>
            </w:tcBorders>
          </w:tcPr>
          <w:p w:rsidR="00382B68" w:rsidRPr="009F05B2" w:rsidRDefault="00382B68" w:rsidP="00195B60">
            <w:pPr>
              <w:jc w:val="both"/>
              <w:rPr>
                <w:rFonts w:ascii="Arial" w:hAnsi="Arial" w:cs="Arial"/>
                <w:lang w:eastAsia="en-IN" w:bidi="mr-IN"/>
              </w:rPr>
            </w:pPr>
            <w:r w:rsidRPr="009F05B2">
              <w:rPr>
                <w:rFonts w:ascii="Arial" w:hAnsi="Arial" w:cs="Arial"/>
                <w:lang w:eastAsia="en-IN" w:bidi="mr-IN"/>
              </w:rPr>
              <w:t xml:space="preserve">Concentrations of some pollutants are very high. Very Poor water quality. Restricted use for agriculture. Highly polluted </w:t>
            </w:r>
          </w:p>
        </w:tc>
      </w:tr>
      <w:tr w:rsidR="00382B68" w:rsidRPr="009F05B2" w:rsidTr="00B37FCD">
        <w:trPr>
          <w:trHeight w:val="242"/>
        </w:trPr>
        <w:tc>
          <w:tcPr>
            <w:tcW w:w="0" w:type="auto"/>
            <w:tcBorders>
              <w:top w:val="nil"/>
              <w:bottom w:val="single" w:sz="4" w:space="0" w:color="auto"/>
            </w:tcBorders>
            <w:shd w:val="clear" w:color="auto" w:fill="auto"/>
            <w:noWrap/>
          </w:tcPr>
          <w:p w:rsidR="00382B68" w:rsidRPr="009F05B2" w:rsidRDefault="00382B68" w:rsidP="00195B60">
            <w:pPr>
              <w:rPr>
                <w:rFonts w:ascii="Arial" w:hAnsi="Arial" w:cs="Arial"/>
                <w:color w:val="000000"/>
                <w:lang w:eastAsia="en-IN" w:bidi="mr-IN"/>
              </w:rPr>
            </w:pPr>
            <w:r w:rsidRPr="009F05B2">
              <w:rPr>
                <w:rFonts w:ascii="Arial" w:hAnsi="Arial" w:cs="Arial"/>
                <w:color w:val="000000"/>
                <w:lang w:eastAsia="en-IN" w:bidi="mr-IN"/>
              </w:rPr>
              <w:t>≥ 2.01</w:t>
            </w:r>
          </w:p>
        </w:tc>
        <w:tc>
          <w:tcPr>
            <w:tcW w:w="1493" w:type="dxa"/>
            <w:tcBorders>
              <w:top w:val="nil"/>
              <w:bottom w:val="single" w:sz="4" w:space="0" w:color="auto"/>
            </w:tcBorders>
          </w:tcPr>
          <w:p w:rsidR="00382B68" w:rsidRPr="009F05B2" w:rsidRDefault="00382B68" w:rsidP="00195B60">
            <w:pPr>
              <w:rPr>
                <w:rFonts w:ascii="Arial" w:hAnsi="Arial" w:cs="Arial"/>
                <w:lang w:eastAsia="en-IN" w:bidi="mr-IN"/>
              </w:rPr>
            </w:pPr>
            <w:r w:rsidRPr="009F05B2">
              <w:rPr>
                <w:rFonts w:ascii="Arial" w:hAnsi="Arial" w:cs="Arial"/>
                <w:lang w:eastAsia="en-IN" w:bidi="mr-IN"/>
              </w:rPr>
              <w:t>Unsuitable for drinking</w:t>
            </w:r>
          </w:p>
        </w:tc>
        <w:tc>
          <w:tcPr>
            <w:tcW w:w="0" w:type="auto"/>
            <w:tcBorders>
              <w:top w:val="nil"/>
              <w:bottom w:val="single" w:sz="4" w:space="0" w:color="auto"/>
            </w:tcBorders>
          </w:tcPr>
          <w:p w:rsidR="00382B68" w:rsidRPr="009F05B2" w:rsidRDefault="00382B68" w:rsidP="00195B60">
            <w:pPr>
              <w:rPr>
                <w:rFonts w:ascii="Arial" w:hAnsi="Arial" w:cs="Arial"/>
                <w:lang w:eastAsia="en-IN" w:bidi="mr-IN"/>
              </w:rPr>
            </w:pPr>
            <w:r w:rsidRPr="009F05B2">
              <w:rPr>
                <w:rFonts w:ascii="Arial" w:hAnsi="Arial" w:cs="Arial"/>
                <w:lang w:eastAsia="en-IN" w:bidi="mr-IN"/>
              </w:rPr>
              <w:t>Heavily Polluted</w:t>
            </w:r>
          </w:p>
        </w:tc>
        <w:tc>
          <w:tcPr>
            <w:tcW w:w="0" w:type="auto"/>
            <w:tcBorders>
              <w:top w:val="nil"/>
              <w:bottom w:val="single" w:sz="4" w:space="0" w:color="auto"/>
            </w:tcBorders>
          </w:tcPr>
          <w:p w:rsidR="00382B68" w:rsidRPr="009F05B2" w:rsidRDefault="00382B68" w:rsidP="00195B60">
            <w:pPr>
              <w:jc w:val="both"/>
              <w:rPr>
                <w:rFonts w:ascii="Arial" w:hAnsi="Arial" w:cs="Arial"/>
                <w:lang w:eastAsia="en-IN" w:bidi="mr-IN"/>
              </w:rPr>
            </w:pPr>
            <w:r w:rsidRPr="009F05B2">
              <w:rPr>
                <w:rFonts w:ascii="Arial" w:hAnsi="Arial" w:cs="Arial"/>
                <w:lang w:eastAsia="en-IN" w:bidi="mr-IN"/>
              </w:rPr>
              <w:t xml:space="preserve">Concentrations of all the pollutants are very high. Very Poor water quality and needs proper treatment. Heavily polluted </w:t>
            </w:r>
          </w:p>
        </w:tc>
      </w:tr>
    </w:tbl>
    <w:p w:rsidR="00382B68" w:rsidRPr="009F05B2" w:rsidRDefault="00382B68" w:rsidP="00382B68">
      <w:pPr>
        <w:autoSpaceDE w:val="0"/>
        <w:autoSpaceDN w:val="0"/>
        <w:adjustRightInd w:val="0"/>
        <w:jc w:val="both"/>
        <w:rPr>
          <w:rFonts w:ascii="Arial" w:hAnsi="Arial" w:cs="Arial"/>
          <w:color w:val="000000"/>
          <w:lang w:bidi="mr-IN"/>
        </w:rPr>
      </w:pPr>
    </w:p>
    <w:bookmarkEnd w:id="20"/>
    <w:p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rsidR="003B3A44" w:rsidRPr="00143DCA" w:rsidRDefault="003B3A44" w:rsidP="003B3A44">
      <w:pPr>
        <w:spacing w:before="240"/>
        <w:jc w:val="both"/>
        <w:rPr>
          <w:rFonts w:ascii="Arial" w:hAnsi="Arial" w:cs="Arial"/>
          <w:b/>
          <w:bCs/>
          <w:color w:val="000000"/>
          <w:sz w:val="22"/>
          <w:szCs w:val="22"/>
        </w:rPr>
      </w:pPr>
      <w:r>
        <w:rPr>
          <w:rFonts w:ascii="Arial" w:hAnsi="Arial" w:cs="Arial"/>
          <w:b/>
          <w:bCs/>
          <w:color w:val="000000"/>
          <w:sz w:val="22"/>
          <w:szCs w:val="22"/>
        </w:rPr>
        <w:t>3</w:t>
      </w:r>
      <w:r w:rsidRPr="00143DCA">
        <w:rPr>
          <w:rFonts w:ascii="Arial" w:hAnsi="Arial" w:cs="Arial"/>
          <w:b/>
          <w:bCs/>
          <w:color w:val="000000"/>
          <w:sz w:val="22"/>
          <w:szCs w:val="22"/>
        </w:rPr>
        <w:t>.1 Physicochemical characteristics of the water samples</w:t>
      </w:r>
    </w:p>
    <w:p w:rsidR="00786FCD" w:rsidRDefault="00786FCD" w:rsidP="00441B6F">
      <w:pPr>
        <w:pStyle w:val="Head1"/>
        <w:spacing w:after="0"/>
        <w:jc w:val="both"/>
        <w:rPr>
          <w:rFonts w:ascii="Arial" w:hAnsi="Arial" w:cs="Arial"/>
        </w:rPr>
      </w:pPr>
    </w:p>
    <w:p w:rsidR="00786FCD" w:rsidRPr="009F05B2" w:rsidRDefault="00786FCD" w:rsidP="00273A0A">
      <w:pPr>
        <w:spacing w:after="240"/>
        <w:jc w:val="both"/>
        <w:rPr>
          <w:rFonts w:ascii="Arial" w:hAnsi="Arial" w:cs="Arial"/>
          <w:lang w:eastAsia="en-IN" w:bidi="mr-IN"/>
        </w:rPr>
      </w:pPr>
      <w:r w:rsidRPr="009F05B2">
        <w:rPr>
          <w:rFonts w:ascii="Arial" w:hAnsi="Arial" w:cs="Arial"/>
          <w:lang w:eastAsia="en-IN" w:bidi="mr-IN"/>
        </w:rPr>
        <w:t>To determine the WQI-CPI indices, the current study was conducted over five years, from 2020 to 2024. Table 5 presents the descriptive statistics derived from the physicochemical examination of water samples, aiming to evaluate the permissible drinking limit in the study area. The investigation focused on understanding significant variation and interrelationships between all WQI parameters.</w:t>
      </w:r>
    </w:p>
    <w:p w:rsidR="00786FCD" w:rsidRPr="009F05B2" w:rsidRDefault="00786FCD" w:rsidP="00786FCD">
      <w:pPr>
        <w:spacing w:after="240"/>
        <w:jc w:val="center"/>
        <w:rPr>
          <w:rFonts w:ascii="Arial" w:hAnsi="Arial" w:cs="Arial"/>
          <w:i/>
          <w:iCs/>
          <w:lang w:bidi="mr-IN"/>
        </w:rPr>
      </w:pPr>
      <w:r w:rsidRPr="009F05B2">
        <w:rPr>
          <w:rFonts w:ascii="Arial" w:hAnsi="Arial" w:cs="Arial"/>
          <w:b/>
        </w:rPr>
        <w:t>Table 5:</w:t>
      </w:r>
      <w:r w:rsidRPr="009F05B2">
        <w:rPr>
          <w:rFonts w:ascii="Arial" w:hAnsi="Arial" w:cs="Arial"/>
        </w:rPr>
        <w:t xml:space="preserve"> </w:t>
      </w:r>
      <w:r w:rsidRPr="00E21BBF">
        <w:rPr>
          <w:rFonts w:ascii="Arial" w:hAnsi="Arial" w:cs="Arial"/>
          <w:b/>
          <w:bCs/>
        </w:rPr>
        <w:t>Descriptive statistics of collected PMR water samples.</w:t>
      </w:r>
    </w:p>
    <w:tbl>
      <w:tblPr>
        <w:tblW w:w="8451" w:type="dxa"/>
        <w:tblLook w:val="04A0" w:firstRow="1" w:lastRow="0" w:firstColumn="1" w:lastColumn="0" w:noHBand="0" w:noVBand="1"/>
      </w:tblPr>
      <w:tblGrid>
        <w:gridCol w:w="2385"/>
        <w:gridCol w:w="844"/>
        <w:gridCol w:w="610"/>
        <w:gridCol w:w="721"/>
        <w:gridCol w:w="833"/>
        <w:gridCol w:w="833"/>
        <w:gridCol w:w="1191"/>
        <w:gridCol w:w="1034"/>
      </w:tblGrid>
      <w:tr w:rsidR="00786FCD" w:rsidRPr="009F05B2" w:rsidTr="003B3A44">
        <w:trPr>
          <w:trHeight w:val="97"/>
        </w:trPr>
        <w:tc>
          <w:tcPr>
            <w:tcW w:w="0" w:type="auto"/>
            <w:tcBorders>
              <w:top w:val="single" w:sz="4" w:space="0" w:color="auto"/>
              <w:left w:val="nil"/>
              <w:bottom w:val="single" w:sz="4" w:space="0" w:color="auto"/>
              <w:right w:val="nil"/>
            </w:tcBorders>
            <w:shd w:val="clear" w:color="auto" w:fill="auto"/>
            <w:noWrap/>
            <w:vAlign w:val="bottom"/>
            <w:hideMark/>
          </w:tcPr>
          <w:p w:rsidR="00786FCD" w:rsidRPr="009F05B2" w:rsidRDefault="00786FCD" w:rsidP="00195B60">
            <w:pPr>
              <w:rPr>
                <w:rFonts w:ascii="Arial" w:hAnsi="Arial" w:cs="Arial"/>
                <w:b/>
                <w:bCs/>
                <w:color w:val="000000"/>
                <w:lang w:eastAsia="en-IN" w:bidi="mr-IN"/>
              </w:rPr>
            </w:pPr>
            <w:r w:rsidRPr="009F05B2">
              <w:rPr>
                <w:rFonts w:ascii="Arial" w:hAnsi="Arial" w:cs="Arial"/>
                <w:b/>
                <w:bCs/>
                <w:color w:val="000000"/>
                <w:lang w:eastAsia="en-IN" w:bidi="mr-IN"/>
              </w:rPr>
              <w:t>Parameters</w:t>
            </w:r>
          </w:p>
        </w:tc>
        <w:tc>
          <w:tcPr>
            <w:tcW w:w="0" w:type="auto"/>
            <w:tcBorders>
              <w:top w:val="single" w:sz="4" w:space="0" w:color="auto"/>
              <w:left w:val="nil"/>
              <w:bottom w:val="single" w:sz="4" w:space="0" w:color="auto"/>
              <w:right w:val="nil"/>
            </w:tcBorders>
            <w:shd w:val="clear" w:color="auto" w:fill="auto"/>
            <w:noWrap/>
            <w:hideMark/>
          </w:tcPr>
          <w:p w:rsidR="00786FCD" w:rsidRPr="009F05B2" w:rsidRDefault="00786FCD" w:rsidP="00195B60">
            <w:pPr>
              <w:rPr>
                <w:rFonts w:ascii="Arial" w:hAnsi="Arial" w:cs="Arial"/>
                <w:b/>
                <w:bCs/>
                <w:color w:val="000000"/>
                <w:lang w:eastAsia="en-IN" w:bidi="mr-IN"/>
              </w:rPr>
            </w:pPr>
            <w:r w:rsidRPr="009F05B2">
              <w:rPr>
                <w:rFonts w:ascii="Arial" w:hAnsi="Arial" w:cs="Arial"/>
                <w:b/>
                <w:bCs/>
                <w:color w:val="000000"/>
                <w:lang w:eastAsia="en-IN" w:bidi="mr-IN"/>
              </w:rPr>
              <w:t>Range</w:t>
            </w:r>
          </w:p>
        </w:tc>
        <w:tc>
          <w:tcPr>
            <w:tcW w:w="0" w:type="auto"/>
            <w:tcBorders>
              <w:top w:val="single" w:sz="4" w:space="0" w:color="auto"/>
              <w:left w:val="nil"/>
              <w:bottom w:val="single" w:sz="4" w:space="0" w:color="auto"/>
              <w:right w:val="nil"/>
            </w:tcBorders>
            <w:shd w:val="clear" w:color="auto" w:fill="auto"/>
            <w:noWrap/>
            <w:hideMark/>
          </w:tcPr>
          <w:p w:rsidR="00786FCD" w:rsidRPr="009F05B2" w:rsidRDefault="00786FCD" w:rsidP="00195B60">
            <w:pPr>
              <w:rPr>
                <w:rFonts w:ascii="Arial" w:hAnsi="Arial" w:cs="Arial"/>
                <w:b/>
                <w:bCs/>
                <w:color w:val="000000"/>
                <w:lang w:eastAsia="en-IN" w:bidi="mr-IN"/>
              </w:rPr>
            </w:pPr>
            <w:r w:rsidRPr="009F05B2">
              <w:rPr>
                <w:rFonts w:ascii="Arial" w:hAnsi="Arial" w:cs="Arial"/>
                <w:b/>
                <w:bCs/>
                <w:color w:val="000000"/>
                <w:lang w:eastAsia="en-IN" w:bidi="mr-IN"/>
              </w:rPr>
              <w:t>Min</w:t>
            </w:r>
          </w:p>
        </w:tc>
        <w:tc>
          <w:tcPr>
            <w:tcW w:w="0" w:type="auto"/>
            <w:tcBorders>
              <w:top w:val="single" w:sz="4" w:space="0" w:color="auto"/>
              <w:left w:val="nil"/>
              <w:bottom w:val="single" w:sz="4" w:space="0" w:color="auto"/>
              <w:right w:val="nil"/>
            </w:tcBorders>
            <w:shd w:val="clear" w:color="auto" w:fill="auto"/>
            <w:noWrap/>
            <w:hideMark/>
          </w:tcPr>
          <w:p w:rsidR="00786FCD" w:rsidRPr="009F05B2" w:rsidRDefault="00786FCD" w:rsidP="00195B60">
            <w:pPr>
              <w:rPr>
                <w:rFonts w:ascii="Arial" w:hAnsi="Arial" w:cs="Arial"/>
                <w:b/>
                <w:bCs/>
                <w:color w:val="000000"/>
                <w:lang w:eastAsia="en-IN" w:bidi="mr-IN"/>
              </w:rPr>
            </w:pPr>
            <w:r w:rsidRPr="009F05B2">
              <w:rPr>
                <w:rFonts w:ascii="Arial" w:hAnsi="Arial" w:cs="Arial"/>
                <w:b/>
                <w:bCs/>
                <w:color w:val="000000"/>
                <w:lang w:eastAsia="en-IN" w:bidi="mr-IN"/>
              </w:rPr>
              <w:t>Max</w:t>
            </w:r>
          </w:p>
        </w:tc>
        <w:tc>
          <w:tcPr>
            <w:tcW w:w="0" w:type="auto"/>
            <w:tcBorders>
              <w:top w:val="single" w:sz="4" w:space="0" w:color="auto"/>
              <w:left w:val="nil"/>
              <w:bottom w:val="single" w:sz="4" w:space="0" w:color="auto"/>
              <w:right w:val="nil"/>
            </w:tcBorders>
            <w:shd w:val="clear" w:color="auto" w:fill="auto"/>
            <w:noWrap/>
            <w:hideMark/>
          </w:tcPr>
          <w:p w:rsidR="00786FCD" w:rsidRPr="009F05B2" w:rsidRDefault="00786FCD" w:rsidP="00195B60">
            <w:pPr>
              <w:rPr>
                <w:rFonts w:ascii="Arial" w:hAnsi="Arial" w:cs="Arial"/>
                <w:b/>
                <w:bCs/>
                <w:color w:val="000000"/>
                <w:lang w:eastAsia="en-IN" w:bidi="mr-IN"/>
              </w:rPr>
            </w:pPr>
            <w:r w:rsidRPr="009F05B2">
              <w:rPr>
                <w:rFonts w:ascii="Arial" w:hAnsi="Arial" w:cs="Arial"/>
                <w:b/>
                <w:bCs/>
                <w:color w:val="000000"/>
                <w:lang w:eastAsia="en-IN" w:bidi="mr-IN"/>
              </w:rPr>
              <w:t>Mean</w:t>
            </w:r>
          </w:p>
        </w:tc>
        <w:tc>
          <w:tcPr>
            <w:tcW w:w="0" w:type="auto"/>
            <w:tcBorders>
              <w:top w:val="single" w:sz="4" w:space="0" w:color="auto"/>
              <w:left w:val="nil"/>
              <w:bottom w:val="single" w:sz="4" w:space="0" w:color="auto"/>
              <w:right w:val="nil"/>
            </w:tcBorders>
            <w:shd w:val="clear" w:color="auto" w:fill="auto"/>
            <w:noWrap/>
            <w:hideMark/>
          </w:tcPr>
          <w:p w:rsidR="00786FCD" w:rsidRPr="009F05B2" w:rsidRDefault="00786FCD" w:rsidP="00195B60">
            <w:pPr>
              <w:rPr>
                <w:rFonts w:ascii="Arial" w:hAnsi="Arial" w:cs="Arial"/>
                <w:b/>
                <w:bCs/>
                <w:color w:val="000000"/>
                <w:lang w:eastAsia="en-IN" w:bidi="mr-IN"/>
              </w:rPr>
            </w:pPr>
            <w:r w:rsidRPr="009F05B2">
              <w:rPr>
                <w:rFonts w:ascii="Arial" w:hAnsi="Arial" w:cs="Arial"/>
                <w:b/>
                <w:bCs/>
                <w:color w:val="000000"/>
                <w:lang w:eastAsia="en-IN" w:bidi="mr-IN"/>
              </w:rPr>
              <w:t>SD</w:t>
            </w:r>
          </w:p>
        </w:tc>
        <w:tc>
          <w:tcPr>
            <w:tcW w:w="0" w:type="auto"/>
            <w:tcBorders>
              <w:top w:val="single" w:sz="4" w:space="0" w:color="auto"/>
              <w:left w:val="nil"/>
              <w:bottom w:val="single" w:sz="4" w:space="0" w:color="auto"/>
              <w:right w:val="nil"/>
            </w:tcBorders>
            <w:shd w:val="clear" w:color="auto" w:fill="auto"/>
            <w:noWrap/>
            <w:hideMark/>
          </w:tcPr>
          <w:p w:rsidR="00786FCD" w:rsidRPr="009F05B2" w:rsidRDefault="00786FCD" w:rsidP="00195B60">
            <w:pPr>
              <w:rPr>
                <w:rFonts w:ascii="Arial" w:hAnsi="Arial" w:cs="Arial"/>
                <w:b/>
                <w:bCs/>
                <w:color w:val="000000"/>
                <w:lang w:eastAsia="en-IN" w:bidi="mr-IN"/>
              </w:rPr>
            </w:pPr>
            <w:r w:rsidRPr="009F05B2">
              <w:rPr>
                <w:rFonts w:ascii="Arial" w:hAnsi="Arial" w:cs="Arial"/>
                <w:b/>
                <w:bCs/>
                <w:color w:val="000000"/>
                <w:lang w:eastAsia="en-IN" w:bidi="mr-IN"/>
              </w:rPr>
              <w:t>Skewness</w:t>
            </w:r>
          </w:p>
        </w:tc>
        <w:tc>
          <w:tcPr>
            <w:tcW w:w="0" w:type="auto"/>
            <w:tcBorders>
              <w:top w:val="single" w:sz="4" w:space="0" w:color="auto"/>
              <w:left w:val="nil"/>
              <w:bottom w:val="single" w:sz="4" w:space="0" w:color="auto"/>
              <w:right w:val="nil"/>
            </w:tcBorders>
            <w:shd w:val="clear" w:color="auto" w:fill="auto"/>
            <w:noWrap/>
            <w:hideMark/>
          </w:tcPr>
          <w:p w:rsidR="00786FCD" w:rsidRPr="009F05B2" w:rsidRDefault="00786FCD" w:rsidP="00195B60">
            <w:pPr>
              <w:rPr>
                <w:rFonts w:ascii="Arial" w:hAnsi="Arial" w:cs="Arial"/>
                <w:b/>
                <w:bCs/>
                <w:color w:val="000000"/>
                <w:lang w:eastAsia="en-IN" w:bidi="mr-IN"/>
              </w:rPr>
            </w:pPr>
            <w:r w:rsidRPr="009F05B2">
              <w:rPr>
                <w:rFonts w:ascii="Arial" w:hAnsi="Arial" w:cs="Arial"/>
                <w:b/>
                <w:bCs/>
                <w:color w:val="000000"/>
                <w:lang w:eastAsia="en-IN" w:bidi="mr-IN"/>
              </w:rPr>
              <w:t>Kurtosis</w:t>
            </w:r>
          </w:p>
        </w:tc>
      </w:tr>
      <w:tr w:rsidR="00786FCD" w:rsidRPr="009F05B2" w:rsidTr="00786FCD">
        <w:trPr>
          <w:trHeight w:val="86"/>
        </w:trPr>
        <w:tc>
          <w:tcPr>
            <w:tcW w:w="0" w:type="auto"/>
            <w:tcBorders>
              <w:top w:val="single" w:sz="4" w:space="0" w:color="auto"/>
              <w:left w:val="nil"/>
              <w:bottom w:val="nil"/>
              <w:right w:val="nil"/>
            </w:tcBorders>
            <w:shd w:val="clear" w:color="auto" w:fill="auto"/>
            <w:hideMark/>
          </w:tcPr>
          <w:p w:rsidR="00786FCD" w:rsidRPr="00AF49E5" w:rsidRDefault="00786FCD" w:rsidP="00195B60">
            <w:pPr>
              <w:rPr>
                <w:rFonts w:ascii="Arial" w:hAnsi="Arial" w:cs="Arial"/>
                <w:color w:val="000000"/>
                <w:lang w:eastAsia="en-IN" w:bidi="mr-IN"/>
              </w:rPr>
            </w:pPr>
            <w:r w:rsidRPr="00AF49E5">
              <w:rPr>
                <w:rFonts w:ascii="Arial" w:hAnsi="Arial" w:cs="Arial"/>
                <w:lang w:bidi="mr-IN"/>
              </w:rPr>
              <w:t>pH</w:t>
            </w:r>
          </w:p>
        </w:tc>
        <w:tc>
          <w:tcPr>
            <w:tcW w:w="0" w:type="auto"/>
            <w:tcBorders>
              <w:top w:val="single" w:sz="4" w:space="0" w:color="auto"/>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rPr>
              <w:t>0-0.25</w:t>
            </w:r>
          </w:p>
        </w:tc>
        <w:tc>
          <w:tcPr>
            <w:tcW w:w="0" w:type="auto"/>
            <w:tcBorders>
              <w:top w:val="single" w:sz="4" w:space="0" w:color="auto"/>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7.36</w:t>
            </w:r>
          </w:p>
        </w:tc>
        <w:tc>
          <w:tcPr>
            <w:tcW w:w="0" w:type="auto"/>
            <w:tcBorders>
              <w:top w:val="single" w:sz="4" w:space="0" w:color="auto"/>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8.06</w:t>
            </w:r>
          </w:p>
        </w:tc>
        <w:tc>
          <w:tcPr>
            <w:tcW w:w="0" w:type="auto"/>
            <w:tcBorders>
              <w:top w:val="single" w:sz="4" w:space="0" w:color="auto"/>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7.72</w:t>
            </w:r>
          </w:p>
        </w:tc>
        <w:tc>
          <w:tcPr>
            <w:tcW w:w="0" w:type="auto"/>
            <w:tcBorders>
              <w:top w:val="single" w:sz="4" w:space="0" w:color="auto"/>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0.22</w:t>
            </w:r>
          </w:p>
        </w:tc>
        <w:tc>
          <w:tcPr>
            <w:tcW w:w="0" w:type="auto"/>
            <w:tcBorders>
              <w:top w:val="single" w:sz="4" w:space="0" w:color="auto"/>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-0.04</w:t>
            </w:r>
          </w:p>
        </w:tc>
        <w:tc>
          <w:tcPr>
            <w:tcW w:w="0" w:type="auto"/>
            <w:tcBorders>
              <w:top w:val="single" w:sz="4" w:space="0" w:color="auto"/>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-1.31</w:t>
            </w:r>
          </w:p>
        </w:tc>
      </w:tr>
      <w:tr w:rsidR="00786FCD" w:rsidRPr="009F05B2" w:rsidTr="00786FCD">
        <w:trPr>
          <w:trHeight w:val="161"/>
        </w:trPr>
        <w:tc>
          <w:tcPr>
            <w:tcW w:w="0" w:type="auto"/>
            <w:tcBorders>
              <w:top w:val="nil"/>
              <w:left w:val="nil"/>
              <w:bottom w:val="nil"/>
              <w:right w:val="nil"/>
            </w:tcBorders>
            <w:shd w:val="clear" w:color="auto" w:fill="auto"/>
            <w:hideMark/>
          </w:tcPr>
          <w:p w:rsidR="00786FCD" w:rsidRPr="00AF49E5" w:rsidRDefault="00786FCD" w:rsidP="00195B60">
            <w:pPr>
              <w:rPr>
                <w:rFonts w:ascii="Arial" w:hAnsi="Arial" w:cs="Arial"/>
                <w:color w:val="000000"/>
                <w:lang w:eastAsia="en-IN" w:bidi="mr-IN"/>
              </w:rPr>
            </w:pPr>
            <w:r w:rsidRPr="00AF49E5">
              <w:rPr>
                <w:rFonts w:ascii="Arial" w:hAnsi="Arial" w:cs="Arial"/>
                <w:lang w:bidi="mr-IN"/>
              </w:rPr>
              <w:t>TDS (mg/l)</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rPr>
              <w:t>6.5-7.5</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57.0</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633.0</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394.46</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166.55</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-1.21</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1.20</w:t>
            </w:r>
          </w:p>
        </w:tc>
      </w:tr>
      <w:tr w:rsidR="00786FCD" w:rsidRPr="009F05B2" w:rsidTr="00786FCD">
        <w:trPr>
          <w:trHeight w:val="161"/>
        </w:trPr>
        <w:tc>
          <w:tcPr>
            <w:tcW w:w="0" w:type="auto"/>
            <w:tcBorders>
              <w:top w:val="nil"/>
              <w:left w:val="nil"/>
              <w:bottom w:val="nil"/>
              <w:right w:val="nil"/>
            </w:tcBorders>
            <w:shd w:val="clear" w:color="auto" w:fill="auto"/>
            <w:hideMark/>
          </w:tcPr>
          <w:p w:rsidR="00786FCD" w:rsidRPr="00AF49E5" w:rsidRDefault="00786FCD" w:rsidP="00195B60">
            <w:pPr>
              <w:rPr>
                <w:rFonts w:ascii="Arial" w:hAnsi="Arial" w:cs="Arial"/>
                <w:color w:val="000000"/>
                <w:lang w:eastAsia="en-IN" w:bidi="mr-IN"/>
              </w:rPr>
            </w:pPr>
            <w:r w:rsidRPr="00AF49E5">
              <w:rPr>
                <w:rFonts w:ascii="Arial" w:hAnsi="Arial" w:cs="Arial"/>
                <w:lang w:bidi="mr-IN"/>
              </w:rPr>
              <w:t>EC (</w:t>
            </w:r>
            <w:proofErr w:type="spellStart"/>
            <w:r w:rsidRPr="00AF49E5">
              <w:rPr>
                <w:rFonts w:ascii="Arial" w:hAnsi="Arial" w:cs="Arial"/>
                <w:lang w:bidi="mr-IN"/>
              </w:rPr>
              <w:t>dS</w:t>
            </w:r>
            <w:proofErr w:type="spellEnd"/>
            <w:r w:rsidRPr="00AF49E5">
              <w:rPr>
                <w:rFonts w:ascii="Arial" w:hAnsi="Arial" w:cs="Arial"/>
                <w:lang w:bidi="mr-IN"/>
              </w:rPr>
              <w:t>/m)</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rPr>
              <w:t>50-300</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0.1</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1.0</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0.62</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0.26</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-1.21</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1.21</w:t>
            </w:r>
          </w:p>
        </w:tc>
      </w:tr>
      <w:tr w:rsidR="00786FCD" w:rsidRPr="009F05B2" w:rsidTr="00786FCD">
        <w:trPr>
          <w:trHeight w:val="94"/>
        </w:trPr>
        <w:tc>
          <w:tcPr>
            <w:tcW w:w="0" w:type="auto"/>
            <w:tcBorders>
              <w:top w:val="nil"/>
              <w:left w:val="nil"/>
              <w:bottom w:val="nil"/>
              <w:right w:val="nil"/>
            </w:tcBorders>
            <w:shd w:val="clear" w:color="auto" w:fill="auto"/>
            <w:hideMark/>
          </w:tcPr>
          <w:p w:rsidR="00786FCD" w:rsidRPr="00AF49E5" w:rsidRDefault="00786FCD" w:rsidP="00195B60">
            <w:pPr>
              <w:rPr>
                <w:rFonts w:ascii="Arial" w:hAnsi="Arial" w:cs="Arial"/>
                <w:color w:val="000000"/>
                <w:lang w:eastAsia="en-IN" w:bidi="mr-IN"/>
              </w:rPr>
            </w:pPr>
            <w:r w:rsidRPr="00AF49E5">
              <w:rPr>
                <w:rFonts w:ascii="Arial" w:hAnsi="Arial" w:cs="Arial"/>
                <w:lang w:bidi="mr-IN"/>
              </w:rPr>
              <w:t>Cl</w:t>
            </w:r>
            <w:r w:rsidRPr="00AF49E5">
              <w:rPr>
                <w:rFonts w:ascii="Arial" w:hAnsi="Arial" w:cs="Arial"/>
                <w:vertAlign w:val="superscript"/>
                <w:lang w:bidi="mr-IN"/>
              </w:rPr>
              <w:t xml:space="preserve">- </w:t>
            </w:r>
            <w:r w:rsidRPr="00AF49E5">
              <w:rPr>
                <w:rFonts w:ascii="Arial" w:hAnsi="Arial" w:cs="Arial"/>
                <w:lang w:bidi="mr-IN"/>
              </w:rPr>
              <w:t>(mg/l)</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rPr>
              <w:t>250</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0.1</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0.8</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0.15</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0.20</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3.45</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12.16</w:t>
            </w:r>
          </w:p>
        </w:tc>
      </w:tr>
      <w:tr w:rsidR="00786FCD" w:rsidRPr="009F05B2" w:rsidTr="00786FCD">
        <w:trPr>
          <w:trHeight w:val="169"/>
        </w:trPr>
        <w:tc>
          <w:tcPr>
            <w:tcW w:w="0" w:type="auto"/>
            <w:tcBorders>
              <w:top w:val="nil"/>
              <w:left w:val="nil"/>
              <w:bottom w:val="nil"/>
              <w:right w:val="nil"/>
            </w:tcBorders>
            <w:shd w:val="clear" w:color="auto" w:fill="auto"/>
            <w:hideMark/>
          </w:tcPr>
          <w:p w:rsidR="00786FCD" w:rsidRPr="00AF49E5" w:rsidRDefault="00786FCD" w:rsidP="00195B60">
            <w:pPr>
              <w:rPr>
                <w:rFonts w:ascii="Arial" w:hAnsi="Arial" w:cs="Arial"/>
                <w:color w:val="000000"/>
                <w:lang w:eastAsia="en-IN" w:bidi="mr-IN"/>
              </w:rPr>
            </w:pPr>
            <w:r w:rsidRPr="00AF49E5">
              <w:rPr>
                <w:rFonts w:ascii="Arial" w:hAnsi="Arial" w:cs="Arial"/>
                <w:lang w:bidi="mr-IN"/>
              </w:rPr>
              <w:t>SO</w:t>
            </w:r>
            <w:r w:rsidRPr="00AF49E5">
              <w:rPr>
                <w:rFonts w:ascii="Arial" w:hAnsi="Arial" w:cs="Arial"/>
                <w:vertAlign w:val="subscript"/>
                <w:lang w:bidi="mr-IN"/>
              </w:rPr>
              <w:t>4</w:t>
            </w:r>
            <w:r w:rsidRPr="00AF49E5">
              <w:rPr>
                <w:rFonts w:ascii="Arial" w:hAnsi="Arial" w:cs="Arial"/>
                <w:lang w:bidi="mr-IN"/>
              </w:rPr>
              <w:t xml:space="preserve"> (mg/l)</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rPr>
              <w:t>200</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0.5</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11.5</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5.07</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2.88</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0.35</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1.27</w:t>
            </w:r>
          </w:p>
        </w:tc>
      </w:tr>
      <w:tr w:rsidR="00786FCD" w:rsidRPr="009F05B2" w:rsidTr="00786FCD">
        <w:trPr>
          <w:trHeight w:val="86"/>
        </w:trPr>
        <w:tc>
          <w:tcPr>
            <w:tcW w:w="0" w:type="auto"/>
            <w:tcBorders>
              <w:top w:val="nil"/>
              <w:left w:val="nil"/>
              <w:bottom w:val="nil"/>
              <w:right w:val="nil"/>
            </w:tcBorders>
            <w:shd w:val="clear" w:color="auto" w:fill="auto"/>
            <w:hideMark/>
          </w:tcPr>
          <w:p w:rsidR="00786FCD" w:rsidRPr="00AF49E5" w:rsidRDefault="00786FCD" w:rsidP="00195B60">
            <w:pPr>
              <w:rPr>
                <w:rFonts w:ascii="Arial" w:hAnsi="Arial" w:cs="Arial"/>
                <w:color w:val="000000"/>
                <w:lang w:eastAsia="en-IN" w:bidi="mr-IN"/>
              </w:rPr>
            </w:pPr>
            <w:r w:rsidRPr="00AF49E5">
              <w:rPr>
                <w:rFonts w:ascii="Arial" w:hAnsi="Arial" w:cs="Arial"/>
                <w:lang w:bidi="mr-IN"/>
              </w:rPr>
              <w:t>Ca</w:t>
            </w:r>
            <w:r w:rsidRPr="00AF49E5">
              <w:rPr>
                <w:rFonts w:ascii="Arial" w:hAnsi="Arial" w:cs="Arial"/>
                <w:vertAlign w:val="superscript"/>
                <w:lang w:bidi="mr-IN"/>
              </w:rPr>
              <w:t>3+</w:t>
            </w:r>
            <w:r w:rsidRPr="00AF49E5">
              <w:rPr>
                <w:rFonts w:ascii="Arial" w:hAnsi="Arial" w:cs="Arial"/>
                <w:lang w:bidi="mr-IN"/>
              </w:rPr>
              <w:t xml:space="preserve"> (mg/l)</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rPr>
              <w:t>75</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1.0</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3.4</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2.38</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0.76</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-0.78</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-0.18</w:t>
            </w:r>
          </w:p>
        </w:tc>
      </w:tr>
      <w:tr w:rsidR="00786FCD" w:rsidRPr="009F05B2" w:rsidTr="00786FCD">
        <w:trPr>
          <w:trHeight w:val="86"/>
        </w:trPr>
        <w:tc>
          <w:tcPr>
            <w:tcW w:w="0" w:type="auto"/>
            <w:tcBorders>
              <w:top w:val="nil"/>
              <w:left w:val="nil"/>
              <w:bottom w:val="nil"/>
              <w:right w:val="nil"/>
            </w:tcBorders>
            <w:shd w:val="clear" w:color="auto" w:fill="auto"/>
            <w:hideMark/>
          </w:tcPr>
          <w:p w:rsidR="00786FCD" w:rsidRPr="00AF49E5" w:rsidRDefault="00786FCD" w:rsidP="00195B60">
            <w:pPr>
              <w:rPr>
                <w:rFonts w:ascii="Arial" w:hAnsi="Arial" w:cs="Arial"/>
                <w:color w:val="000000"/>
                <w:lang w:eastAsia="en-IN" w:bidi="mr-IN"/>
              </w:rPr>
            </w:pPr>
            <w:r w:rsidRPr="00AF49E5">
              <w:rPr>
                <w:rFonts w:ascii="Arial" w:hAnsi="Arial" w:cs="Arial"/>
                <w:lang w:bidi="mr-IN"/>
              </w:rPr>
              <w:t>Mg</w:t>
            </w:r>
            <w:r w:rsidRPr="00AF49E5">
              <w:rPr>
                <w:rFonts w:ascii="Arial" w:hAnsi="Arial" w:cs="Arial"/>
                <w:vertAlign w:val="superscript"/>
                <w:lang w:bidi="mr-IN"/>
              </w:rPr>
              <w:t>2+</w:t>
            </w:r>
            <w:r w:rsidRPr="00AF49E5">
              <w:rPr>
                <w:rFonts w:ascii="Arial" w:hAnsi="Arial" w:cs="Arial"/>
                <w:lang w:bidi="mr-IN"/>
              </w:rPr>
              <w:t xml:space="preserve"> (mg/l)</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rPr>
              <w:t>30</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0.6</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4.0</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2.14</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0.90</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0.15</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0.73</w:t>
            </w:r>
          </w:p>
        </w:tc>
      </w:tr>
      <w:tr w:rsidR="00786FCD" w:rsidRPr="009F05B2" w:rsidTr="00786FCD">
        <w:trPr>
          <w:trHeight w:val="86"/>
        </w:trPr>
        <w:tc>
          <w:tcPr>
            <w:tcW w:w="0" w:type="auto"/>
            <w:tcBorders>
              <w:top w:val="nil"/>
              <w:left w:val="nil"/>
              <w:bottom w:val="nil"/>
              <w:right w:val="nil"/>
            </w:tcBorders>
            <w:shd w:val="clear" w:color="auto" w:fill="auto"/>
            <w:noWrap/>
            <w:hideMark/>
          </w:tcPr>
          <w:p w:rsidR="00786FCD" w:rsidRPr="00AF49E5" w:rsidRDefault="00786FCD" w:rsidP="00195B60">
            <w:pPr>
              <w:rPr>
                <w:rFonts w:ascii="Arial" w:hAnsi="Arial" w:cs="Arial"/>
                <w:color w:val="000000"/>
                <w:lang w:eastAsia="en-IN" w:bidi="mr-IN"/>
              </w:rPr>
            </w:pPr>
            <w:r w:rsidRPr="00AF49E5">
              <w:rPr>
                <w:rFonts w:ascii="Arial" w:hAnsi="Arial" w:cs="Arial"/>
                <w:lang w:bidi="mr-IN"/>
              </w:rPr>
              <w:t>Hardness (mg/l)</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rPr>
              <w:t>75-300</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62.0</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470.0</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296.54</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115.91</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-1.15</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1.48</w:t>
            </w:r>
          </w:p>
        </w:tc>
      </w:tr>
      <w:tr w:rsidR="00786FCD" w:rsidRPr="009F05B2" w:rsidTr="00786FCD">
        <w:trPr>
          <w:trHeight w:val="86"/>
        </w:trPr>
        <w:tc>
          <w:tcPr>
            <w:tcW w:w="0" w:type="auto"/>
            <w:tcBorders>
              <w:top w:val="nil"/>
              <w:left w:val="nil"/>
              <w:bottom w:val="nil"/>
              <w:right w:val="nil"/>
            </w:tcBorders>
            <w:shd w:val="clear" w:color="auto" w:fill="auto"/>
            <w:hideMark/>
          </w:tcPr>
          <w:p w:rsidR="00786FCD" w:rsidRPr="00AF49E5" w:rsidRDefault="00786FCD" w:rsidP="00195B60">
            <w:pPr>
              <w:rPr>
                <w:rFonts w:ascii="Arial" w:hAnsi="Arial" w:cs="Arial"/>
                <w:color w:val="000000"/>
                <w:lang w:eastAsia="en-IN" w:bidi="mr-IN"/>
              </w:rPr>
            </w:pPr>
            <w:r w:rsidRPr="00AF49E5">
              <w:rPr>
                <w:rFonts w:ascii="Arial" w:hAnsi="Arial" w:cs="Arial"/>
                <w:lang w:bidi="mr-IN"/>
              </w:rPr>
              <w:t>BOD (mg/l)</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rPr>
              <w:t>30</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8.9</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298.0</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144.40</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73.21</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-0.32</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1.97</w:t>
            </w:r>
          </w:p>
        </w:tc>
      </w:tr>
      <w:tr w:rsidR="00786FCD" w:rsidRPr="009F05B2" w:rsidTr="00786FCD">
        <w:trPr>
          <w:trHeight w:val="86"/>
        </w:trPr>
        <w:tc>
          <w:tcPr>
            <w:tcW w:w="0" w:type="auto"/>
            <w:tcBorders>
              <w:top w:val="nil"/>
              <w:left w:val="nil"/>
              <w:bottom w:val="nil"/>
              <w:right w:val="nil"/>
            </w:tcBorders>
            <w:shd w:val="clear" w:color="auto" w:fill="auto"/>
            <w:hideMark/>
          </w:tcPr>
          <w:p w:rsidR="00786FCD" w:rsidRPr="00AF49E5" w:rsidRDefault="00786FCD" w:rsidP="00195B60">
            <w:pPr>
              <w:rPr>
                <w:rFonts w:ascii="Arial" w:hAnsi="Arial" w:cs="Arial"/>
                <w:color w:val="000000"/>
                <w:lang w:eastAsia="en-IN" w:bidi="mr-IN"/>
              </w:rPr>
            </w:pPr>
            <w:r w:rsidRPr="00AF49E5">
              <w:rPr>
                <w:rFonts w:ascii="Arial" w:hAnsi="Arial" w:cs="Arial"/>
                <w:lang w:bidi="mr-IN"/>
              </w:rPr>
              <w:t>COD (mg/l)</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rPr>
              <w:t>250</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13.1</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406.0</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288.24</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158.53</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-1.35</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-0.06</w:t>
            </w:r>
          </w:p>
        </w:tc>
      </w:tr>
      <w:tr w:rsidR="00786FCD" w:rsidRPr="009F05B2" w:rsidTr="00786FCD">
        <w:trPr>
          <w:trHeight w:val="86"/>
        </w:trPr>
        <w:tc>
          <w:tcPr>
            <w:tcW w:w="0" w:type="auto"/>
            <w:tcBorders>
              <w:top w:val="nil"/>
              <w:left w:val="nil"/>
              <w:bottom w:val="nil"/>
              <w:right w:val="nil"/>
            </w:tcBorders>
            <w:shd w:val="clear" w:color="auto" w:fill="auto"/>
            <w:hideMark/>
          </w:tcPr>
          <w:p w:rsidR="00786FCD" w:rsidRPr="00AF49E5" w:rsidRDefault="00786FCD" w:rsidP="00195B60">
            <w:pPr>
              <w:rPr>
                <w:rFonts w:ascii="Arial" w:hAnsi="Arial" w:cs="Arial"/>
                <w:color w:val="000000"/>
                <w:lang w:eastAsia="en-IN" w:bidi="mr-IN"/>
              </w:rPr>
            </w:pPr>
            <w:r w:rsidRPr="00AF49E5">
              <w:rPr>
                <w:rFonts w:ascii="Arial" w:hAnsi="Arial" w:cs="Arial"/>
                <w:lang w:bidi="mr-IN"/>
              </w:rPr>
              <w:t>DO (mg/l)</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rPr>
              <w:t>7.6-8</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2.8</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5.2</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3.98</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0.86</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0.15</w:t>
            </w:r>
          </w:p>
        </w:tc>
        <w:tc>
          <w:tcPr>
            <w:tcW w:w="0" w:type="auto"/>
            <w:tcBorders>
              <w:top w:val="nil"/>
              <w:left w:val="nil"/>
              <w:bottom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-1.59</w:t>
            </w:r>
          </w:p>
        </w:tc>
      </w:tr>
      <w:tr w:rsidR="00786FCD" w:rsidRPr="009F05B2" w:rsidTr="00786FCD">
        <w:trPr>
          <w:trHeight w:val="169"/>
        </w:trPr>
        <w:tc>
          <w:tcPr>
            <w:tcW w:w="0" w:type="auto"/>
            <w:tcBorders>
              <w:top w:val="nil"/>
              <w:left w:val="nil"/>
              <w:right w:val="nil"/>
            </w:tcBorders>
            <w:shd w:val="clear" w:color="auto" w:fill="auto"/>
            <w:hideMark/>
          </w:tcPr>
          <w:p w:rsidR="00786FCD" w:rsidRPr="00AF49E5" w:rsidRDefault="00786FCD" w:rsidP="00195B60">
            <w:pPr>
              <w:rPr>
                <w:rFonts w:ascii="Arial" w:hAnsi="Arial" w:cs="Arial"/>
                <w:color w:val="000000"/>
                <w:lang w:eastAsia="en-IN" w:bidi="mr-IN"/>
              </w:rPr>
            </w:pPr>
            <w:r w:rsidRPr="00AF49E5">
              <w:rPr>
                <w:rFonts w:ascii="Arial" w:hAnsi="Arial" w:cs="Arial"/>
                <w:lang w:bidi="mr-IN"/>
              </w:rPr>
              <w:t>NO</w:t>
            </w:r>
            <w:r w:rsidRPr="00AF49E5">
              <w:rPr>
                <w:rFonts w:ascii="Arial" w:hAnsi="Arial" w:cs="Arial"/>
                <w:vertAlign w:val="subscript"/>
                <w:lang w:bidi="mr-IN"/>
              </w:rPr>
              <w:t>3</w:t>
            </w:r>
            <w:r w:rsidRPr="00AF49E5">
              <w:rPr>
                <w:rFonts w:ascii="Arial" w:hAnsi="Arial" w:cs="Arial"/>
                <w:lang w:bidi="mr-IN"/>
              </w:rPr>
              <w:t xml:space="preserve"> (mg/l)</w:t>
            </w:r>
          </w:p>
        </w:tc>
        <w:tc>
          <w:tcPr>
            <w:tcW w:w="0" w:type="auto"/>
            <w:tcBorders>
              <w:top w:val="nil"/>
              <w:left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rPr>
              <w:t>45</w:t>
            </w:r>
          </w:p>
        </w:tc>
        <w:tc>
          <w:tcPr>
            <w:tcW w:w="0" w:type="auto"/>
            <w:tcBorders>
              <w:top w:val="nil"/>
              <w:left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0.9</w:t>
            </w:r>
          </w:p>
        </w:tc>
        <w:tc>
          <w:tcPr>
            <w:tcW w:w="0" w:type="auto"/>
            <w:tcBorders>
              <w:top w:val="nil"/>
              <w:left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3.9</w:t>
            </w:r>
          </w:p>
        </w:tc>
        <w:tc>
          <w:tcPr>
            <w:tcW w:w="0" w:type="auto"/>
            <w:tcBorders>
              <w:top w:val="nil"/>
              <w:left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2.59</w:t>
            </w:r>
          </w:p>
        </w:tc>
        <w:tc>
          <w:tcPr>
            <w:tcW w:w="0" w:type="auto"/>
            <w:tcBorders>
              <w:top w:val="nil"/>
              <w:left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0.91</w:t>
            </w:r>
          </w:p>
        </w:tc>
        <w:tc>
          <w:tcPr>
            <w:tcW w:w="0" w:type="auto"/>
            <w:tcBorders>
              <w:top w:val="nil"/>
              <w:left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-0.25</w:t>
            </w:r>
          </w:p>
        </w:tc>
        <w:tc>
          <w:tcPr>
            <w:tcW w:w="0" w:type="auto"/>
            <w:tcBorders>
              <w:top w:val="nil"/>
              <w:left w:val="nil"/>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-1.02</w:t>
            </w:r>
          </w:p>
        </w:tc>
      </w:tr>
      <w:tr w:rsidR="00786FCD" w:rsidRPr="009F05B2" w:rsidTr="003B3A44">
        <w:trPr>
          <w:trHeight w:val="90"/>
        </w:trPr>
        <w:tc>
          <w:tcPr>
            <w:tcW w:w="0" w:type="auto"/>
            <w:tcBorders>
              <w:top w:val="nil"/>
              <w:left w:val="nil"/>
              <w:bottom w:val="single" w:sz="4" w:space="0" w:color="auto"/>
              <w:right w:val="nil"/>
            </w:tcBorders>
            <w:shd w:val="clear" w:color="auto" w:fill="auto"/>
            <w:noWrap/>
            <w:hideMark/>
          </w:tcPr>
          <w:p w:rsidR="00786FCD" w:rsidRPr="00AF49E5" w:rsidRDefault="00786FCD" w:rsidP="00195B60">
            <w:pPr>
              <w:rPr>
                <w:rFonts w:ascii="Arial" w:hAnsi="Arial" w:cs="Arial"/>
                <w:color w:val="000000"/>
                <w:lang w:eastAsia="en-IN" w:bidi="mr-IN"/>
              </w:rPr>
            </w:pPr>
            <w:r w:rsidRPr="00AF49E5">
              <w:rPr>
                <w:rFonts w:ascii="Arial" w:hAnsi="Arial" w:cs="Arial"/>
                <w:lang w:bidi="mr-IN"/>
              </w:rPr>
              <w:t>F. Coliform (</w:t>
            </w:r>
            <w:proofErr w:type="spellStart"/>
            <w:r w:rsidRPr="00AF49E5">
              <w:rPr>
                <w:rFonts w:ascii="Arial" w:hAnsi="Arial" w:cs="Arial"/>
                <w:lang w:bidi="mr-IN"/>
              </w:rPr>
              <w:t>mpn</w:t>
            </w:r>
            <w:proofErr w:type="spellEnd"/>
            <w:r w:rsidRPr="00AF49E5">
              <w:rPr>
                <w:rFonts w:ascii="Arial" w:hAnsi="Arial" w:cs="Arial"/>
                <w:lang w:bidi="mr-IN"/>
              </w:rPr>
              <w:t>/100ml)</w:t>
            </w:r>
          </w:p>
        </w:tc>
        <w:tc>
          <w:tcPr>
            <w:tcW w:w="0" w:type="auto"/>
            <w:tcBorders>
              <w:top w:val="nil"/>
              <w:left w:val="nil"/>
              <w:bottom w:val="single" w:sz="4" w:space="0" w:color="auto"/>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rPr>
              <w:t>0-500</w:t>
            </w:r>
          </w:p>
        </w:tc>
        <w:tc>
          <w:tcPr>
            <w:tcW w:w="0" w:type="auto"/>
            <w:tcBorders>
              <w:top w:val="nil"/>
              <w:left w:val="nil"/>
              <w:bottom w:val="single" w:sz="4" w:space="0" w:color="auto"/>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12.8</w:t>
            </w:r>
          </w:p>
        </w:tc>
        <w:tc>
          <w:tcPr>
            <w:tcW w:w="0" w:type="auto"/>
            <w:tcBorders>
              <w:top w:val="nil"/>
              <w:left w:val="nil"/>
              <w:bottom w:val="single" w:sz="4" w:space="0" w:color="auto"/>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782.5</w:t>
            </w:r>
          </w:p>
        </w:tc>
        <w:tc>
          <w:tcPr>
            <w:tcW w:w="0" w:type="auto"/>
            <w:tcBorders>
              <w:top w:val="nil"/>
              <w:left w:val="nil"/>
              <w:bottom w:val="single" w:sz="4" w:space="0" w:color="auto"/>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402.80</w:t>
            </w:r>
          </w:p>
        </w:tc>
        <w:tc>
          <w:tcPr>
            <w:tcW w:w="0" w:type="auto"/>
            <w:tcBorders>
              <w:top w:val="nil"/>
              <w:left w:val="nil"/>
              <w:bottom w:val="single" w:sz="4" w:space="0" w:color="auto"/>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213.82</w:t>
            </w:r>
          </w:p>
        </w:tc>
        <w:tc>
          <w:tcPr>
            <w:tcW w:w="0" w:type="auto"/>
            <w:tcBorders>
              <w:top w:val="nil"/>
              <w:left w:val="nil"/>
              <w:bottom w:val="single" w:sz="4" w:space="0" w:color="auto"/>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0.16</w:t>
            </w:r>
          </w:p>
        </w:tc>
        <w:tc>
          <w:tcPr>
            <w:tcW w:w="0" w:type="auto"/>
            <w:tcBorders>
              <w:top w:val="nil"/>
              <w:left w:val="nil"/>
              <w:bottom w:val="single" w:sz="4" w:space="0" w:color="auto"/>
              <w:right w:val="nil"/>
            </w:tcBorders>
            <w:shd w:val="clear" w:color="auto" w:fill="auto"/>
            <w:noWrap/>
            <w:hideMark/>
          </w:tcPr>
          <w:p w:rsidR="00786FCD" w:rsidRPr="009F05B2" w:rsidRDefault="00786FCD" w:rsidP="00195B60">
            <w:pPr>
              <w:rPr>
                <w:rFonts w:ascii="Arial" w:hAnsi="Arial" w:cs="Arial"/>
                <w:color w:val="000000"/>
                <w:lang w:eastAsia="en-IN" w:bidi="mr-IN"/>
              </w:rPr>
            </w:pPr>
            <w:r w:rsidRPr="009F05B2">
              <w:rPr>
                <w:rFonts w:ascii="Arial" w:hAnsi="Arial" w:cs="Arial"/>
                <w:color w:val="000000"/>
                <w:lang w:eastAsia="en-IN" w:bidi="mr-IN"/>
              </w:rPr>
              <w:t>-0.19</w:t>
            </w:r>
          </w:p>
        </w:tc>
      </w:tr>
    </w:tbl>
    <w:p w:rsidR="00786FCD" w:rsidRDefault="00786FCD" w:rsidP="00441B6F">
      <w:pPr>
        <w:pStyle w:val="Head1"/>
        <w:spacing w:after="0"/>
        <w:jc w:val="both"/>
        <w:rPr>
          <w:rFonts w:ascii="Arial" w:hAnsi="Arial" w:cs="Arial"/>
        </w:rPr>
      </w:pPr>
    </w:p>
    <w:p w:rsidR="00273A0A" w:rsidRPr="009F05B2" w:rsidRDefault="00273A0A" w:rsidP="00DC4567">
      <w:pPr>
        <w:spacing w:after="240"/>
        <w:jc w:val="both"/>
        <w:rPr>
          <w:rFonts w:ascii="Arial" w:hAnsi="Arial" w:cs="Arial"/>
          <w:color w:val="000000"/>
        </w:rPr>
      </w:pPr>
      <w:r w:rsidRPr="009F05B2">
        <w:rPr>
          <w:rFonts w:ascii="Arial" w:hAnsi="Arial" w:cs="Arial"/>
          <w:color w:val="000000"/>
        </w:rPr>
        <w:t xml:space="preserve">The analysis of the water samples determining physicochemical characteristics is given in Table 6. The pH values range from 7.36 to 8, indicating the alkaline nature of the water. Higher pH values at other sample sites could be due to carbonates and bicarbonate concentrations in the water </w:t>
      </w:r>
      <w:r w:rsidRPr="009F05B2">
        <w:rPr>
          <w:rFonts w:ascii="Arial" w:hAnsi="Arial" w:cs="Arial"/>
          <w:color w:val="000000"/>
        </w:rPr>
        <w:fldChar w:fldCharType="begin"/>
      </w:r>
      <w:r w:rsidR="00540813">
        <w:rPr>
          <w:rFonts w:ascii="Arial" w:hAnsi="Arial" w:cs="Arial"/>
          <w:color w:val="000000"/>
        </w:rPr>
        <w:instrText xml:space="preserve"> ADDIN ZOTERO_ITEM CSL_CITATION {"citationID":"koY9BLA2","properties":{"formattedCitation":"(Ewaid &amp; Abed, 2017)","plainCitation":"(Ewaid &amp; Abed, 2017)","dontUpdate":true,"noteIndex":0},"citationItems":[{"id":"7AoAF8BM/lOT8XCYi","uris":["http://zotero.org/users/8828115/items/R52UJAZH"],"itemData":{"id":1095,"type":"article-journal","abstract":"The Water Quality Index has been developed mathematically to evaluate the water quality of Al-Gharraf River, the main branch of the Tigris River in the south of Iraq. Water samples were collected monthly from ﬁve sampling stations during 2015–2016, and 11 parameters were analyzed: biological oxygen demand, total dissolved solids, the concentration of hydrogen ions, dissolved oxygen, turbidity, phosphates, nitrates, chlorides, as well as turbidity, total hardness, electrical conductivity and alkalinity. The index classiﬁed the river water, without including turbidity as a parameter, as good for drinking at the ﬁrst station, poor at stations 2, 3, 4 and very poor at station 5. When turbidity was included, the index classiﬁed the river water as unsuitable for drinking purposes in the entire river. The study highlights the importance of applying the water quality indices which indicate the total effect of the ecological factors on surface water quality and which give a simple interpretation of the monitoring data to help local people in improving water quality.","container-title":"Egyptian Journal of Aquatic Research","DOI":"10.1016/j.ejar.2017.03.001","ISSN":"1687-4285","issue":"2","language":"en","license":"https://www.elsevier.com/tdm/userlicense/1.0/","note":"publisher: Elsevier BV","page":"117-122","source":"Crossref","title":"Water quality index for Al-Gharraf River, southern Iraq","volume":"43","author":[{"family":"Ewaid","given":"Salam Hussein"},{"family":"Abed","given":"Salwan Ali"}],"issued":{"date-parts":[["2017",6]]}}}],"schema":"https://github.com/citation-style-language/schema/raw/master/csl-citation.json"} </w:instrText>
      </w:r>
      <w:r w:rsidRPr="009F05B2">
        <w:rPr>
          <w:rFonts w:ascii="Arial" w:hAnsi="Arial" w:cs="Arial"/>
          <w:color w:val="000000"/>
        </w:rPr>
        <w:fldChar w:fldCharType="end"/>
      </w:r>
      <w:r w:rsidRPr="009F05B2">
        <w:rPr>
          <w:rFonts w:ascii="Arial" w:hAnsi="Arial" w:cs="Arial"/>
          <w:color w:val="000000"/>
        </w:rPr>
        <w:t xml:space="preserve">. The major source of these chemicals should be urban pollutants and wastewater sewage of PMR. </w:t>
      </w:r>
      <w:r w:rsidRPr="009F05B2">
        <w:rPr>
          <w:rFonts w:ascii="Arial" w:hAnsi="Arial" w:cs="Arial"/>
          <w:color w:val="131313"/>
          <w:lang w:bidi="mr-IN"/>
        </w:rPr>
        <w:t xml:space="preserve">The presence of dissolved salts, such as </w:t>
      </w:r>
      <w:r w:rsidRPr="009F05B2">
        <w:rPr>
          <w:rFonts w:ascii="Arial" w:hAnsi="Arial" w:cs="Arial"/>
        </w:rPr>
        <w:t>Ca</w:t>
      </w:r>
      <w:r w:rsidRPr="009F05B2">
        <w:rPr>
          <w:rFonts w:ascii="Arial" w:hAnsi="Arial" w:cs="Arial"/>
          <w:vertAlign w:val="superscript"/>
        </w:rPr>
        <w:t>2+</w:t>
      </w:r>
      <w:r w:rsidRPr="009F05B2">
        <w:rPr>
          <w:rFonts w:ascii="Arial" w:hAnsi="Arial" w:cs="Arial"/>
        </w:rPr>
        <w:t>, Mg</w:t>
      </w:r>
      <w:r w:rsidRPr="009F05B2">
        <w:rPr>
          <w:rFonts w:ascii="Arial" w:hAnsi="Arial" w:cs="Arial"/>
          <w:vertAlign w:val="superscript"/>
        </w:rPr>
        <w:t>2+</w:t>
      </w:r>
      <w:r w:rsidRPr="009F05B2">
        <w:rPr>
          <w:rFonts w:ascii="Arial" w:hAnsi="Arial" w:cs="Arial"/>
        </w:rPr>
        <w:t>, Na</w:t>
      </w:r>
      <w:r w:rsidRPr="009F05B2">
        <w:rPr>
          <w:rFonts w:ascii="Arial" w:hAnsi="Arial" w:cs="Arial"/>
          <w:vertAlign w:val="superscript"/>
        </w:rPr>
        <w:t>+</w:t>
      </w:r>
      <w:r w:rsidRPr="009F05B2">
        <w:rPr>
          <w:rFonts w:ascii="Arial" w:hAnsi="Arial" w:cs="Arial"/>
        </w:rPr>
        <w:t>, K</w:t>
      </w:r>
      <w:r w:rsidRPr="009F05B2">
        <w:rPr>
          <w:rFonts w:ascii="Arial" w:hAnsi="Arial" w:cs="Arial"/>
          <w:vertAlign w:val="superscript"/>
        </w:rPr>
        <w:t>+</w:t>
      </w:r>
      <w:r w:rsidRPr="009F05B2">
        <w:rPr>
          <w:rFonts w:ascii="Arial" w:hAnsi="Arial" w:cs="Arial"/>
        </w:rPr>
        <w:t>, Clˉ and SO</w:t>
      </w:r>
      <w:r w:rsidRPr="009F05B2">
        <w:rPr>
          <w:rFonts w:ascii="Arial" w:hAnsi="Arial" w:cs="Arial"/>
          <w:vertAlign w:val="subscript"/>
        </w:rPr>
        <w:t>4</w:t>
      </w:r>
      <w:r w:rsidRPr="009F05B2">
        <w:rPr>
          <w:rFonts w:ascii="Arial" w:hAnsi="Arial" w:cs="Arial"/>
        </w:rPr>
        <w:t>ˉ</w:t>
      </w:r>
      <w:r w:rsidRPr="009F05B2">
        <w:rPr>
          <w:rFonts w:ascii="Arial" w:hAnsi="Arial" w:cs="Arial"/>
          <w:color w:val="131313"/>
          <w:lang w:bidi="mr-IN"/>
        </w:rPr>
        <w:t xml:space="preserve"> in </w:t>
      </w:r>
      <w:r w:rsidRPr="009F05B2">
        <w:rPr>
          <w:rFonts w:ascii="Arial" w:hAnsi="Arial" w:cs="Arial"/>
          <w:color w:val="000000"/>
        </w:rPr>
        <w:t xml:space="preserve">the </w:t>
      </w:r>
      <w:r w:rsidRPr="009F05B2">
        <w:rPr>
          <w:rFonts w:ascii="Arial" w:hAnsi="Arial" w:cs="Arial"/>
          <w:color w:val="131313"/>
          <w:lang w:bidi="mr-IN"/>
        </w:rPr>
        <w:t xml:space="preserve">water, controls </w:t>
      </w:r>
      <w:r w:rsidRPr="009F05B2">
        <w:rPr>
          <w:rFonts w:ascii="Arial" w:hAnsi="Arial" w:cs="Arial"/>
          <w:color w:val="000000"/>
        </w:rPr>
        <w:t xml:space="preserve">TDS along with conductivity. Also, the organic and inorganic salts contribute to an increase in TDS in the water. This indicates high urban sewage production in PMR, irrespective of any season </w:t>
      </w:r>
      <w:r w:rsidRPr="009F05B2">
        <w:rPr>
          <w:rFonts w:ascii="Arial" w:hAnsi="Arial" w:cs="Arial"/>
          <w:color w:val="000000"/>
        </w:rPr>
        <w:fldChar w:fldCharType="begin"/>
      </w:r>
      <w:r w:rsidR="00540813">
        <w:rPr>
          <w:rFonts w:ascii="Arial" w:hAnsi="Arial" w:cs="Arial"/>
          <w:color w:val="000000"/>
        </w:rPr>
        <w:instrText xml:space="preserve"> ADDIN ZOTERO_ITEM CSL_CITATION {"citationID":"E9abeaCs","properties":{"formattedCitation":"(Thai-Hoang et al., 2022)","plainCitation":"(Thai-Hoang et al., 2022)","noteIndex":0},"citationItems":[{"id":"7AoAF8BM/MvTS4N0v","uris":["http://zotero.org/users/8828115/items/T4LCQYZU"],"itemData":{"id":35,"type":"article-journal","abstract":"Water quality for the surface water along the Saigon River in Ho Chi Minh City was assessed for four groups of water samples collected at the agricultural, industrial, residential, and less impacted areas. A variety of parameters indicating water quality including physicochemical parameters, nutrients, heavy metals, and antibiotic residues were measured for both the rainy and dry seasons, two main tropical seasons in HCM City using the standard methods. The results showed that the river water in the rainy season was detected with signiﬁcantly higher values of turbidity, BOD5, PO4-P, NH4-N, NO3-N; and lower values of pH, temperature, conductivity, DO, salinity, Cu, Zn, As, Ni, Hg compared to that in the dry season. Sulfamethoxazole and trimethoprim were highly detected in the industrial areas compared to the agricultural and residential areas. Multivariate analyses suggested that the industrial and residential activities were more important contributors to the pollution of the Saigon River than the agricultural activities in HCM City.","container-title":"Journal of Water and Health","DOI":"10.2166/wh.2022.233","ISSN":"1477-8920, 1996-7829","issue":"3","language":"en","page":"491-504","source":"DOI.org (Crossref)","title":"Influences of anthropogenic activities on water quality in the Saigon River, Ho Chi Minh City","volume":"20","author":[{"family":"Thai-Hoang","given":"Le"},{"family":"Thong","given":"Truong"},{"family":"Loc","given":"Hoang Thai"},{"family":"Van","given":"Pham Thi Trang"},{"family":"Thuy","given":"Pham Thi Phuong"},{"family":"Thuoc","given":"Tran Linh"}],"issued":{"date-parts":[["2022",3,1]]}}}],"schema":"https://github.com/citation-style-language/schema/raw/master/csl-citation.json"} </w:instrText>
      </w:r>
      <w:r w:rsidRPr="009F05B2">
        <w:rPr>
          <w:rFonts w:ascii="Arial" w:hAnsi="Arial" w:cs="Arial"/>
          <w:color w:val="000000"/>
        </w:rPr>
        <w:fldChar w:fldCharType="separate"/>
      </w:r>
      <w:r w:rsidR="00540813" w:rsidRPr="00540813">
        <w:rPr>
          <w:rFonts w:ascii="Arial" w:hAnsi="Arial" w:cs="Arial"/>
        </w:rPr>
        <w:t>(Thai-Hoang et al., 2022)</w:t>
      </w:r>
      <w:r w:rsidRPr="009F05B2">
        <w:rPr>
          <w:rFonts w:ascii="Arial" w:hAnsi="Arial" w:cs="Arial"/>
          <w:color w:val="000000"/>
        </w:rPr>
        <w:fldChar w:fldCharType="end"/>
      </w:r>
      <w:r w:rsidRPr="009F05B2">
        <w:rPr>
          <w:rFonts w:ascii="Arial" w:hAnsi="Arial" w:cs="Arial"/>
          <w:color w:val="000000"/>
        </w:rPr>
        <w:t>. Since the pH values are alkaline, it indicates high solubility of suspended material, which results in a high range of TDS (57 to 633 mg/l). In the present study, TDS values of the collected samples exceed average BIS</w:t>
      </w:r>
      <w:r w:rsidRPr="009F05B2">
        <w:rPr>
          <w:rFonts w:ascii="Arial" w:hAnsi="Arial" w:cs="Arial"/>
        </w:rPr>
        <w:t>WQI</w:t>
      </w:r>
      <w:r w:rsidRPr="009F05B2">
        <w:rPr>
          <w:rFonts w:ascii="Arial" w:hAnsi="Arial" w:cs="Arial"/>
          <w:color w:val="000000"/>
        </w:rPr>
        <w:t xml:space="preserve"> standards (&gt; 300 mg/l) except near the </w:t>
      </w:r>
      <w:proofErr w:type="spellStart"/>
      <w:r w:rsidRPr="009F05B2">
        <w:rPr>
          <w:rFonts w:ascii="Arial" w:hAnsi="Arial" w:cs="Arial"/>
          <w:color w:val="000000"/>
        </w:rPr>
        <w:t>Khadakwasla</w:t>
      </w:r>
      <w:proofErr w:type="spellEnd"/>
      <w:r w:rsidRPr="009F05B2">
        <w:rPr>
          <w:rFonts w:ascii="Arial" w:hAnsi="Arial" w:cs="Arial"/>
          <w:color w:val="000000"/>
        </w:rPr>
        <w:t xml:space="preserve"> Dam region. </w:t>
      </w:r>
    </w:p>
    <w:p w:rsidR="00273A0A" w:rsidRDefault="00273A0A" w:rsidP="00DC4567">
      <w:pPr>
        <w:jc w:val="both"/>
        <w:rPr>
          <w:rFonts w:ascii="Arial" w:hAnsi="Arial" w:cs="Arial"/>
          <w:color w:val="000000"/>
        </w:rPr>
      </w:pPr>
      <w:r w:rsidRPr="009F05B2">
        <w:rPr>
          <w:rFonts w:ascii="Arial" w:hAnsi="Arial" w:cs="Arial"/>
          <w:color w:val="000000"/>
        </w:rPr>
        <w:t xml:space="preserve">The electronic conductivity of PMR rivers was different among sampling sites, varying from 0.0.9 to 1.0 </w:t>
      </w:r>
      <w:proofErr w:type="spellStart"/>
      <w:r w:rsidRPr="009F05B2">
        <w:rPr>
          <w:rFonts w:ascii="Arial" w:hAnsi="Arial" w:cs="Arial"/>
          <w:color w:val="000000"/>
          <w:lang w:eastAsia="en-IN" w:bidi="mr-IN"/>
        </w:rPr>
        <w:t>dS</w:t>
      </w:r>
      <w:proofErr w:type="spellEnd"/>
      <w:r w:rsidRPr="009F05B2">
        <w:rPr>
          <w:rFonts w:ascii="Arial" w:hAnsi="Arial" w:cs="Arial"/>
          <w:color w:val="000000"/>
          <w:lang w:eastAsia="en-IN" w:bidi="mr-IN"/>
        </w:rPr>
        <w:t xml:space="preserve">/m as compared to </w:t>
      </w:r>
      <w:r w:rsidRPr="009F05B2">
        <w:rPr>
          <w:rFonts w:ascii="Arial" w:hAnsi="Arial" w:cs="Arial"/>
          <w:color w:val="000000"/>
        </w:rPr>
        <w:t>BIS</w:t>
      </w:r>
      <w:r w:rsidRPr="009F05B2">
        <w:rPr>
          <w:rFonts w:ascii="Arial" w:hAnsi="Arial" w:cs="Arial"/>
        </w:rPr>
        <w:t>WQI</w:t>
      </w:r>
      <w:r w:rsidRPr="009F05B2">
        <w:rPr>
          <w:rFonts w:ascii="Arial" w:hAnsi="Arial" w:cs="Arial"/>
          <w:color w:val="000000"/>
        </w:rPr>
        <w:t xml:space="preserve"> standards of 0.25 </w:t>
      </w:r>
      <w:proofErr w:type="spellStart"/>
      <w:r w:rsidRPr="009F05B2">
        <w:rPr>
          <w:rFonts w:ascii="Arial" w:hAnsi="Arial" w:cs="Arial"/>
          <w:color w:val="000000"/>
          <w:lang w:eastAsia="en-IN" w:bidi="mr-IN"/>
        </w:rPr>
        <w:t>dS</w:t>
      </w:r>
      <w:proofErr w:type="spellEnd"/>
      <w:r w:rsidRPr="009F05B2">
        <w:rPr>
          <w:rFonts w:ascii="Arial" w:hAnsi="Arial" w:cs="Arial"/>
          <w:color w:val="000000"/>
          <w:lang w:eastAsia="en-IN" w:bidi="mr-IN"/>
        </w:rPr>
        <w:t>/m.</w:t>
      </w:r>
      <w:r w:rsidRPr="009F05B2">
        <w:rPr>
          <w:rFonts w:ascii="Arial" w:hAnsi="Arial" w:cs="Arial"/>
          <w:color w:val="000000"/>
        </w:rPr>
        <w:t xml:space="preserve"> High conductivity at S-2, S-7, and S-12 sites indicates the addition of sewerage on the rivers, while lower EC at S-1, S-5, and S-6 sites indicate the location of the dam and suburban sites with limited human activities. These sites are located in the upstream areas of the Mula-Mutha river. The highest EC and TDS recorded at </w:t>
      </w:r>
      <w:proofErr w:type="spellStart"/>
      <w:r w:rsidRPr="009F05B2">
        <w:rPr>
          <w:rFonts w:ascii="Arial" w:hAnsi="Arial" w:cs="Arial"/>
          <w:color w:val="000000"/>
        </w:rPr>
        <w:t>Bopodi</w:t>
      </w:r>
      <w:proofErr w:type="spellEnd"/>
      <w:r w:rsidRPr="009F05B2">
        <w:rPr>
          <w:rFonts w:ascii="Arial" w:hAnsi="Arial" w:cs="Arial"/>
          <w:color w:val="000000"/>
        </w:rPr>
        <w:t xml:space="preserve">, </w:t>
      </w:r>
      <w:proofErr w:type="spellStart"/>
      <w:r w:rsidRPr="009F05B2">
        <w:rPr>
          <w:rFonts w:ascii="Arial" w:hAnsi="Arial" w:cs="Arial"/>
          <w:color w:val="000000"/>
        </w:rPr>
        <w:t>Mula</w:t>
      </w:r>
      <w:proofErr w:type="spellEnd"/>
      <w:r w:rsidRPr="009F05B2">
        <w:rPr>
          <w:rFonts w:ascii="Arial" w:hAnsi="Arial" w:cs="Arial"/>
          <w:color w:val="000000"/>
        </w:rPr>
        <w:t>–</w:t>
      </w:r>
      <w:proofErr w:type="spellStart"/>
      <w:r w:rsidRPr="009F05B2">
        <w:rPr>
          <w:rFonts w:ascii="Arial" w:hAnsi="Arial" w:cs="Arial"/>
          <w:color w:val="000000"/>
        </w:rPr>
        <w:t>Pavana</w:t>
      </w:r>
      <w:proofErr w:type="spellEnd"/>
      <w:r w:rsidRPr="009F05B2">
        <w:rPr>
          <w:rFonts w:ascii="Arial" w:hAnsi="Arial" w:cs="Arial"/>
          <w:color w:val="000000"/>
        </w:rPr>
        <w:t xml:space="preserve"> confluence are </w:t>
      </w:r>
      <w:r w:rsidRPr="009F05B2">
        <w:rPr>
          <w:rFonts w:ascii="Arial" w:hAnsi="Arial" w:cs="Arial"/>
          <w:color w:val="000000"/>
          <w:lang w:eastAsia="en-IN" w:bidi="mr-IN"/>
        </w:rPr>
        <w:t xml:space="preserve">0.99 </w:t>
      </w:r>
      <w:proofErr w:type="spellStart"/>
      <w:r w:rsidRPr="009F05B2">
        <w:rPr>
          <w:rFonts w:ascii="Arial" w:hAnsi="Arial" w:cs="Arial"/>
          <w:color w:val="000000"/>
          <w:lang w:eastAsia="en-IN" w:bidi="mr-IN"/>
        </w:rPr>
        <w:t>dS</w:t>
      </w:r>
      <w:proofErr w:type="spellEnd"/>
      <w:r w:rsidRPr="009F05B2">
        <w:rPr>
          <w:rFonts w:ascii="Arial" w:hAnsi="Arial" w:cs="Arial"/>
          <w:color w:val="000000"/>
          <w:lang w:eastAsia="en-IN" w:bidi="mr-IN"/>
        </w:rPr>
        <w:t xml:space="preserve">/m and 633 mg/l, </w:t>
      </w:r>
      <w:r w:rsidRPr="009F05B2">
        <w:rPr>
          <w:rFonts w:ascii="Arial" w:hAnsi="Arial" w:cs="Arial"/>
          <w:color w:val="000000"/>
        </w:rPr>
        <w:t>respectively (</w:t>
      </w:r>
      <w:r w:rsidRPr="009F05B2">
        <w:rPr>
          <w:rFonts w:ascii="Arial" w:hAnsi="Arial" w:cs="Arial"/>
          <w:lang w:eastAsia="en-IN" w:bidi="mr-IN"/>
        </w:rPr>
        <w:t>Table 6)</w:t>
      </w:r>
      <w:r w:rsidRPr="009F05B2">
        <w:rPr>
          <w:rFonts w:ascii="Arial" w:hAnsi="Arial" w:cs="Arial"/>
          <w:color w:val="000000"/>
        </w:rPr>
        <w:t xml:space="preserve">. PMR water samples show low potability of drinking water and a need </w:t>
      </w:r>
      <w:r w:rsidRPr="009F05B2">
        <w:rPr>
          <w:rFonts w:ascii="Arial" w:hAnsi="Arial" w:cs="Arial"/>
          <w:color w:val="000000"/>
        </w:rPr>
        <w:lastRenderedPageBreak/>
        <w:t xml:space="preserve">for high sewage treatment. As per results obtained by Patil (2014) in his study area concluded that careless disposal of urban runoff and other waste may contribute to poor quality of the river water, causing severe total water hardness. The total hardness of PMR rivers varies from 62 to 470 mg/l, which again exceeds average Indian WQI standards. The increasing hardness values in the order of S-2 &gt;S-7&gt;S-10&gt;S-3&gt;S-12&gt;S-11 indicate average to poor water quality from the core of PMR to suburban areas.  </w:t>
      </w:r>
    </w:p>
    <w:p w:rsidR="00A15CD9" w:rsidRDefault="00A15CD9" w:rsidP="00DC4567">
      <w:pPr>
        <w:jc w:val="both"/>
        <w:rPr>
          <w:rFonts w:ascii="Arial" w:hAnsi="Arial" w:cs="Arial"/>
          <w:color w:val="000000"/>
        </w:rPr>
      </w:pPr>
    </w:p>
    <w:p w:rsidR="00A15CD9" w:rsidRPr="00C140AB" w:rsidRDefault="00A15CD9" w:rsidP="004D2E19">
      <w:pPr>
        <w:spacing w:after="240"/>
        <w:ind w:hanging="90"/>
        <w:jc w:val="center"/>
        <w:rPr>
          <w:rFonts w:ascii="Arial" w:hAnsi="Arial" w:cs="Arial"/>
          <w:i/>
          <w:iCs/>
        </w:rPr>
      </w:pPr>
      <w:r w:rsidRPr="00C140AB">
        <w:rPr>
          <w:rFonts w:ascii="Arial" w:hAnsi="Arial" w:cs="Arial"/>
          <w:b/>
        </w:rPr>
        <w:t>Table 6: Descriptive statistics of pH, DO and BOD evaluated for five years (2020 -2024).</w:t>
      </w:r>
    </w:p>
    <w:tbl>
      <w:tblPr>
        <w:tblW w:w="9316" w:type="dxa"/>
        <w:tblBorders>
          <w:top w:val="single" w:sz="4" w:space="0" w:color="auto"/>
          <w:bottom w:val="single" w:sz="4" w:space="0" w:color="auto"/>
        </w:tblBorders>
        <w:tblLook w:val="04A0" w:firstRow="1" w:lastRow="0" w:firstColumn="1" w:lastColumn="0" w:noHBand="0" w:noVBand="1"/>
      </w:tblPr>
      <w:tblGrid>
        <w:gridCol w:w="617"/>
        <w:gridCol w:w="708"/>
        <w:gridCol w:w="772"/>
        <w:gridCol w:w="677"/>
        <w:gridCol w:w="638"/>
        <w:gridCol w:w="708"/>
        <w:gridCol w:w="772"/>
        <w:gridCol w:w="677"/>
        <w:gridCol w:w="638"/>
        <w:gridCol w:w="677"/>
        <w:gridCol w:w="767"/>
        <w:gridCol w:w="923"/>
        <w:gridCol w:w="642"/>
        <w:gridCol w:w="150"/>
      </w:tblGrid>
      <w:tr w:rsidR="00A15CD9" w:rsidRPr="001153A6" w:rsidTr="00381700">
        <w:trPr>
          <w:gridAfter w:val="1"/>
          <w:wAfter w:w="146" w:type="dxa"/>
          <w:trHeight w:val="119"/>
        </w:trPr>
        <w:tc>
          <w:tcPr>
            <w:tcW w:w="614" w:type="dxa"/>
            <w:tcBorders>
              <w:top w:val="single" w:sz="4" w:space="0" w:color="auto"/>
            </w:tcBorders>
            <w:shd w:val="clear" w:color="auto" w:fill="auto"/>
            <w:noWrap/>
            <w:vAlign w:val="bottom"/>
            <w:hideMark/>
          </w:tcPr>
          <w:p w:rsidR="00A15CD9" w:rsidRPr="001153A6" w:rsidRDefault="00A15CD9" w:rsidP="00195B60">
            <w:pPr>
              <w:rPr>
                <w:rFonts w:ascii="Arial" w:hAnsi="Arial" w:cs="Arial"/>
                <w:sz w:val="18"/>
                <w:szCs w:val="18"/>
                <w:lang w:eastAsia="en-IN" w:bidi="mr-IN"/>
              </w:rPr>
            </w:pPr>
          </w:p>
        </w:tc>
        <w:tc>
          <w:tcPr>
            <w:tcW w:w="2792" w:type="dxa"/>
            <w:gridSpan w:val="4"/>
            <w:tcBorders>
              <w:top w:val="single" w:sz="4" w:space="0" w:color="auto"/>
              <w:bottom w:val="single" w:sz="4" w:space="0" w:color="auto"/>
            </w:tcBorders>
            <w:shd w:val="clear" w:color="auto" w:fill="auto"/>
            <w:noWrap/>
            <w:vAlign w:val="bottom"/>
            <w:hideMark/>
          </w:tcPr>
          <w:p w:rsidR="00A15CD9" w:rsidRPr="001153A6" w:rsidRDefault="00A15CD9" w:rsidP="00195B60">
            <w:pPr>
              <w:jc w:val="center"/>
              <w:rPr>
                <w:rFonts w:ascii="Arial" w:hAnsi="Arial" w:cs="Arial"/>
                <w:sz w:val="18"/>
                <w:szCs w:val="18"/>
                <w:lang w:eastAsia="en-IN" w:bidi="mr-IN"/>
              </w:rPr>
            </w:pPr>
            <w:r w:rsidRPr="001153A6">
              <w:rPr>
                <w:rFonts w:ascii="Arial" w:hAnsi="Arial" w:cs="Arial"/>
                <w:b/>
                <w:bCs/>
                <w:color w:val="000000"/>
                <w:sz w:val="18"/>
                <w:szCs w:val="18"/>
                <w:lang w:eastAsia="en-IN" w:bidi="mr-IN"/>
              </w:rPr>
              <w:t>pH</w:t>
            </w:r>
          </w:p>
        </w:tc>
        <w:tc>
          <w:tcPr>
            <w:tcW w:w="2792" w:type="dxa"/>
            <w:gridSpan w:val="4"/>
            <w:tcBorders>
              <w:top w:val="single" w:sz="4" w:space="0" w:color="auto"/>
              <w:bottom w:val="single" w:sz="4" w:space="0" w:color="auto"/>
            </w:tcBorders>
            <w:shd w:val="clear" w:color="auto" w:fill="auto"/>
            <w:noWrap/>
            <w:vAlign w:val="bottom"/>
            <w:hideMark/>
          </w:tcPr>
          <w:p w:rsidR="00A15CD9" w:rsidRPr="001153A6" w:rsidRDefault="00A15CD9" w:rsidP="00195B60">
            <w:pPr>
              <w:jc w:val="center"/>
              <w:rPr>
                <w:rFonts w:ascii="Arial" w:hAnsi="Arial" w:cs="Arial"/>
                <w:sz w:val="18"/>
                <w:szCs w:val="18"/>
                <w:lang w:eastAsia="en-IN" w:bidi="mr-IN"/>
              </w:rPr>
            </w:pPr>
            <w:r w:rsidRPr="001153A6">
              <w:rPr>
                <w:rFonts w:ascii="Arial" w:hAnsi="Arial" w:cs="Arial"/>
                <w:b/>
                <w:bCs/>
                <w:color w:val="000000"/>
                <w:sz w:val="18"/>
                <w:szCs w:val="18"/>
                <w:lang w:eastAsia="en-IN" w:bidi="mr-IN"/>
              </w:rPr>
              <w:t>DO</w:t>
            </w:r>
          </w:p>
        </w:tc>
        <w:tc>
          <w:tcPr>
            <w:tcW w:w="2972" w:type="dxa"/>
            <w:gridSpan w:val="4"/>
            <w:tcBorders>
              <w:top w:val="single" w:sz="4" w:space="0" w:color="auto"/>
              <w:bottom w:val="single" w:sz="4" w:space="0" w:color="auto"/>
            </w:tcBorders>
            <w:shd w:val="clear" w:color="auto" w:fill="auto"/>
            <w:noWrap/>
            <w:vAlign w:val="bottom"/>
            <w:hideMark/>
          </w:tcPr>
          <w:p w:rsidR="00A15CD9" w:rsidRPr="001153A6" w:rsidRDefault="00A15CD9" w:rsidP="00195B60">
            <w:pPr>
              <w:jc w:val="center"/>
              <w:rPr>
                <w:rFonts w:ascii="Arial" w:hAnsi="Arial" w:cs="Arial"/>
                <w:sz w:val="18"/>
                <w:szCs w:val="18"/>
                <w:lang w:eastAsia="en-IN" w:bidi="mr-IN"/>
              </w:rPr>
            </w:pPr>
            <w:r w:rsidRPr="001153A6">
              <w:rPr>
                <w:rFonts w:ascii="Arial" w:hAnsi="Arial" w:cs="Arial"/>
                <w:b/>
                <w:bCs/>
                <w:color w:val="000000"/>
                <w:sz w:val="18"/>
                <w:szCs w:val="18"/>
                <w:lang w:eastAsia="en-IN" w:bidi="mr-IN"/>
              </w:rPr>
              <w:t>BOD</w:t>
            </w:r>
          </w:p>
        </w:tc>
      </w:tr>
      <w:tr w:rsidR="00A15CD9" w:rsidRPr="001153A6" w:rsidTr="00A15CD9">
        <w:trPr>
          <w:trHeight w:val="119"/>
        </w:trPr>
        <w:tc>
          <w:tcPr>
            <w:tcW w:w="614" w:type="dxa"/>
            <w:shd w:val="clear" w:color="auto" w:fill="auto"/>
            <w:noWrap/>
            <w:vAlign w:val="bottom"/>
            <w:hideMark/>
          </w:tcPr>
          <w:p w:rsidR="00A15CD9" w:rsidRPr="001153A6" w:rsidRDefault="00A15CD9" w:rsidP="00195B60">
            <w:pPr>
              <w:rPr>
                <w:rFonts w:ascii="Arial" w:hAnsi="Arial" w:cs="Arial"/>
                <w:sz w:val="18"/>
                <w:szCs w:val="18"/>
                <w:lang w:eastAsia="en-IN" w:bidi="mr-IN"/>
              </w:rPr>
            </w:pPr>
          </w:p>
        </w:tc>
        <w:tc>
          <w:tcPr>
            <w:tcW w:w="708" w:type="dxa"/>
            <w:tcBorders>
              <w:top w:val="single" w:sz="4" w:space="0" w:color="auto"/>
              <w:bottom w:val="single" w:sz="4" w:space="0" w:color="auto"/>
            </w:tcBorders>
            <w:shd w:val="clear" w:color="auto" w:fill="auto"/>
            <w:noWrap/>
            <w:vAlign w:val="bottom"/>
            <w:hideMark/>
          </w:tcPr>
          <w:p w:rsidR="00A15CD9" w:rsidRPr="001153A6" w:rsidRDefault="00A15CD9" w:rsidP="00195B60">
            <w:pPr>
              <w:jc w:val="center"/>
              <w:rPr>
                <w:rFonts w:ascii="Arial" w:hAnsi="Arial" w:cs="Arial"/>
                <w:b/>
                <w:bCs/>
                <w:color w:val="000000"/>
                <w:sz w:val="18"/>
                <w:szCs w:val="18"/>
                <w:lang w:eastAsia="en-IN" w:bidi="mr-IN"/>
              </w:rPr>
            </w:pPr>
            <w:r w:rsidRPr="001153A6">
              <w:rPr>
                <w:rFonts w:ascii="Arial" w:hAnsi="Arial" w:cs="Arial"/>
                <w:b/>
                <w:bCs/>
                <w:color w:val="000000"/>
                <w:sz w:val="18"/>
                <w:szCs w:val="18"/>
                <w:lang w:eastAsia="en-IN" w:bidi="mr-IN"/>
              </w:rPr>
              <w:t>Mean</w:t>
            </w:r>
          </w:p>
        </w:tc>
        <w:tc>
          <w:tcPr>
            <w:tcW w:w="772" w:type="dxa"/>
            <w:tcBorders>
              <w:top w:val="single" w:sz="4" w:space="0" w:color="auto"/>
              <w:bottom w:val="single" w:sz="4" w:space="0" w:color="auto"/>
            </w:tcBorders>
            <w:shd w:val="clear" w:color="auto" w:fill="auto"/>
            <w:noWrap/>
            <w:vAlign w:val="bottom"/>
            <w:hideMark/>
          </w:tcPr>
          <w:p w:rsidR="00A15CD9" w:rsidRPr="001153A6" w:rsidRDefault="00A15CD9" w:rsidP="00195B60">
            <w:pPr>
              <w:jc w:val="center"/>
              <w:rPr>
                <w:rFonts w:ascii="Arial" w:hAnsi="Arial" w:cs="Arial"/>
                <w:b/>
                <w:bCs/>
                <w:color w:val="000000"/>
                <w:sz w:val="18"/>
                <w:szCs w:val="18"/>
                <w:lang w:eastAsia="en-IN" w:bidi="mr-IN"/>
              </w:rPr>
            </w:pPr>
            <w:r w:rsidRPr="001153A6">
              <w:rPr>
                <w:rFonts w:ascii="Arial" w:hAnsi="Arial" w:cs="Arial"/>
                <w:b/>
                <w:bCs/>
                <w:color w:val="000000"/>
                <w:sz w:val="18"/>
                <w:szCs w:val="18"/>
                <w:lang w:eastAsia="en-IN" w:bidi="mr-IN"/>
              </w:rPr>
              <w:t>SD</w:t>
            </w:r>
          </w:p>
        </w:tc>
        <w:tc>
          <w:tcPr>
            <w:tcW w:w="672" w:type="dxa"/>
            <w:tcBorders>
              <w:top w:val="single" w:sz="4" w:space="0" w:color="auto"/>
              <w:bottom w:val="single" w:sz="4" w:space="0" w:color="auto"/>
            </w:tcBorders>
            <w:shd w:val="clear" w:color="auto" w:fill="auto"/>
            <w:noWrap/>
            <w:vAlign w:val="bottom"/>
            <w:hideMark/>
          </w:tcPr>
          <w:p w:rsidR="00A15CD9" w:rsidRPr="001153A6" w:rsidRDefault="00A15CD9" w:rsidP="00195B60">
            <w:pPr>
              <w:jc w:val="center"/>
              <w:rPr>
                <w:rFonts w:ascii="Arial" w:hAnsi="Arial" w:cs="Arial"/>
                <w:b/>
                <w:bCs/>
                <w:color w:val="000000"/>
                <w:sz w:val="18"/>
                <w:szCs w:val="18"/>
                <w:lang w:eastAsia="en-IN" w:bidi="mr-IN"/>
              </w:rPr>
            </w:pPr>
            <w:r w:rsidRPr="001153A6">
              <w:rPr>
                <w:rFonts w:ascii="Arial" w:hAnsi="Arial" w:cs="Arial"/>
                <w:b/>
                <w:bCs/>
                <w:color w:val="000000"/>
                <w:sz w:val="18"/>
                <w:szCs w:val="18"/>
                <w:lang w:eastAsia="en-IN" w:bidi="mr-IN"/>
              </w:rPr>
              <w:t>Skew</w:t>
            </w:r>
          </w:p>
        </w:tc>
        <w:tc>
          <w:tcPr>
            <w:tcW w:w="638" w:type="dxa"/>
            <w:tcBorders>
              <w:top w:val="single" w:sz="4" w:space="0" w:color="auto"/>
              <w:bottom w:val="single" w:sz="4" w:space="0" w:color="auto"/>
            </w:tcBorders>
            <w:shd w:val="clear" w:color="auto" w:fill="auto"/>
            <w:noWrap/>
            <w:vAlign w:val="bottom"/>
            <w:hideMark/>
          </w:tcPr>
          <w:p w:rsidR="00A15CD9" w:rsidRPr="001153A6" w:rsidRDefault="00A15CD9" w:rsidP="00195B60">
            <w:pPr>
              <w:jc w:val="center"/>
              <w:rPr>
                <w:rFonts w:ascii="Arial" w:hAnsi="Arial" w:cs="Arial"/>
                <w:b/>
                <w:bCs/>
                <w:color w:val="000000"/>
                <w:sz w:val="18"/>
                <w:szCs w:val="18"/>
                <w:lang w:eastAsia="en-IN" w:bidi="mr-IN"/>
              </w:rPr>
            </w:pPr>
            <w:r w:rsidRPr="001153A6">
              <w:rPr>
                <w:rFonts w:ascii="Arial" w:hAnsi="Arial" w:cs="Arial"/>
                <w:b/>
                <w:bCs/>
                <w:color w:val="000000"/>
                <w:sz w:val="18"/>
                <w:szCs w:val="18"/>
                <w:lang w:eastAsia="en-IN" w:bidi="mr-IN"/>
              </w:rPr>
              <w:t>Kurt</w:t>
            </w:r>
          </w:p>
        </w:tc>
        <w:tc>
          <w:tcPr>
            <w:tcW w:w="708" w:type="dxa"/>
            <w:tcBorders>
              <w:top w:val="single" w:sz="4" w:space="0" w:color="auto"/>
              <w:bottom w:val="single" w:sz="4" w:space="0" w:color="auto"/>
            </w:tcBorders>
            <w:shd w:val="clear" w:color="auto" w:fill="auto"/>
            <w:noWrap/>
            <w:vAlign w:val="bottom"/>
            <w:hideMark/>
          </w:tcPr>
          <w:p w:rsidR="00A15CD9" w:rsidRPr="001153A6" w:rsidRDefault="00A15CD9" w:rsidP="00195B60">
            <w:pPr>
              <w:jc w:val="center"/>
              <w:rPr>
                <w:rFonts w:ascii="Arial" w:hAnsi="Arial" w:cs="Arial"/>
                <w:b/>
                <w:bCs/>
                <w:color w:val="000000"/>
                <w:sz w:val="18"/>
                <w:szCs w:val="18"/>
                <w:lang w:eastAsia="en-IN" w:bidi="mr-IN"/>
              </w:rPr>
            </w:pPr>
            <w:r w:rsidRPr="001153A6">
              <w:rPr>
                <w:rFonts w:ascii="Arial" w:hAnsi="Arial" w:cs="Arial"/>
                <w:b/>
                <w:bCs/>
                <w:color w:val="000000"/>
                <w:sz w:val="18"/>
                <w:szCs w:val="18"/>
                <w:lang w:eastAsia="en-IN" w:bidi="mr-IN"/>
              </w:rPr>
              <w:t>Mean</w:t>
            </w:r>
          </w:p>
        </w:tc>
        <w:tc>
          <w:tcPr>
            <w:tcW w:w="772" w:type="dxa"/>
            <w:tcBorders>
              <w:top w:val="single" w:sz="4" w:space="0" w:color="auto"/>
              <w:bottom w:val="single" w:sz="4" w:space="0" w:color="auto"/>
            </w:tcBorders>
            <w:shd w:val="clear" w:color="auto" w:fill="auto"/>
            <w:noWrap/>
            <w:vAlign w:val="bottom"/>
            <w:hideMark/>
          </w:tcPr>
          <w:p w:rsidR="00A15CD9" w:rsidRPr="001153A6" w:rsidRDefault="00A15CD9" w:rsidP="00195B60">
            <w:pPr>
              <w:jc w:val="center"/>
              <w:rPr>
                <w:rFonts w:ascii="Arial" w:hAnsi="Arial" w:cs="Arial"/>
                <w:b/>
                <w:bCs/>
                <w:color w:val="000000"/>
                <w:sz w:val="18"/>
                <w:szCs w:val="18"/>
                <w:lang w:eastAsia="en-IN" w:bidi="mr-IN"/>
              </w:rPr>
            </w:pPr>
            <w:r w:rsidRPr="001153A6">
              <w:rPr>
                <w:rFonts w:ascii="Arial" w:hAnsi="Arial" w:cs="Arial"/>
                <w:b/>
                <w:bCs/>
                <w:color w:val="000000"/>
                <w:sz w:val="18"/>
                <w:szCs w:val="18"/>
                <w:lang w:eastAsia="en-IN" w:bidi="mr-IN"/>
              </w:rPr>
              <w:t>SD</w:t>
            </w:r>
          </w:p>
        </w:tc>
        <w:tc>
          <w:tcPr>
            <w:tcW w:w="672" w:type="dxa"/>
            <w:tcBorders>
              <w:top w:val="single" w:sz="4" w:space="0" w:color="auto"/>
              <w:bottom w:val="single" w:sz="4" w:space="0" w:color="auto"/>
            </w:tcBorders>
            <w:shd w:val="clear" w:color="auto" w:fill="auto"/>
            <w:noWrap/>
            <w:vAlign w:val="bottom"/>
            <w:hideMark/>
          </w:tcPr>
          <w:p w:rsidR="00A15CD9" w:rsidRPr="001153A6" w:rsidRDefault="00A15CD9" w:rsidP="00195B60">
            <w:pPr>
              <w:jc w:val="center"/>
              <w:rPr>
                <w:rFonts w:ascii="Arial" w:hAnsi="Arial" w:cs="Arial"/>
                <w:b/>
                <w:bCs/>
                <w:color w:val="000000"/>
                <w:sz w:val="18"/>
                <w:szCs w:val="18"/>
                <w:lang w:eastAsia="en-IN" w:bidi="mr-IN"/>
              </w:rPr>
            </w:pPr>
            <w:r w:rsidRPr="001153A6">
              <w:rPr>
                <w:rFonts w:ascii="Arial" w:hAnsi="Arial" w:cs="Arial"/>
                <w:b/>
                <w:bCs/>
                <w:color w:val="000000"/>
                <w:sz w:val="18"/>
                <w:szCs w:val="18"/>
                <w:lang w:eastAsia="en-IN" w:bidi="mr-IN"/>
              </w:rPr>
              <w:t>Skew</w:t>
            </w:r>
          </w:p>
        </w:tc>
        <w:tc>
          <w:tcPr>
            <w:tcW w:w="638" w:type="dxa"/>
            <w:tcBorders>
              <w:top w:val="single" w:sz="4" w:space="0" w:color="auto"/>
              <w:bottom w:val="single" w:sz="4" w:space="0" w:color="auto"/>
            </w:tcBorders>
            <w:shd w:val="clear" w:color="auto" w:fill="auto"/>
            <w:noWrap/>
            <w:vAlign w:val="bottom"/>
            <w:hideMark/>
          </w:tcPr>
          <w:p w:rsidR="00A15CD9" w:rsidRPr="001153A6" w:rsidRDefault="00A15CD9" w:rsidP="00195B60">
            <w:pPr>
              <w:jc w:val="center"/>
              <w:rPr>
                <w:rFonts w:ascii="Arial" w:hAnsi="Arial" w:cs="Arial"/>
                <w:b/>
                <w:bCs/>
                <w:color w:val="000000"/>
                <w:sz w:val="18"/>
                <w:szCs w:val="18"/>
                <w:lang w:eastAsia="en-IN" w:bidi="mr-IN"/>
              </w:rPr>
            </w:pPr>
            <w:r w:rsidRPr="001153A6">
              <w:rPr>
                <w:rFonts w:ascii="Arial" w:hAnsi="Arial" w:cs="Arial"/>
                <w:b/>
                <w:bCs/>
                <w:color w:val="000000"/>
                <w:sz w:val="18"/>
                <w:szCs w:val="18"/>
                <w:lang w:eastAsia="en-IN" w:bidi="mr-IN"/>
              </w:rPr>
              <w:t>Kurt</w:t>
            </w:r>
          </w:p>
        </w:tc>
        <w:tc>
          <w:tcPr>
            <w:tcW w:w="665" w:type="dxa"/>
            <w:tcBorders>
              <w:top w:val="single" w:sz="4" w:space="0" w:color="auto"/>
              <w:bottom w:val="single" w:sz="4" w:space="0" w:color="auto"/>
            </w:tcBorders>
            <w:shd w:val="clear" w:color="auto" w:fill="auto"/>
            <w:noWrap/>
            <w:vAlign w:val="bottom"/>
            <w:hideMark/>
          </w:tcPr>
          <w:p w:rsidR="00A15CD9" w:rsidRPr="001153A6" w:rsidRDefault="00A15CD9" w:rsidP="00195B60">
            <w:pPr>
              <w:jc w:val="center"/>
              <w:rPr>
                <w:rFonts w:ascii="Arial" w:hAnsi="Arial" w:cs="Arial"/>
                <w:b/>
                <w:bCs/>
                <w:color w:val="000000"/>
                <w:sz w:val="18"/>
                <w:szCs w:val="18"/>
                <w:lang w:eastAsia="en-IN" w:bidi="mr-IN"/>
              </w:rPr>
            </w:pPr>
            <w:r w:rsidRPr="001153A6">
              <w:rPr>
                <w:rFonts w:ascii="Arial" w:hAnsi="Arial" w:cs="Arial"/>
                <w:b/>
                <w:bCs/>
                <w:color w:val="000000"/>
                <w:sz w:val="18"/>
                <w:szCs w:val="18"/>
                <w:lang w:eastAsia="en-IN" w:bidi="mr-IN"/>
              </w:rPr>
              <w:t>Mean</w:t>
            </w:r>
          </w:p>
        </w:tc>
        <w:tc>
          <w:tcPr>
            <w:tcW w:w="742" w:type="dxa"/>
            <w:tcBorders>
              <w:top w:val="single" w:sz="4" w:space="0" w:color="auto"/>
              <w:bottom w:val="single" w:sz="4" w:space="0" w:color="auto"/>
            </w:tcBorders>
            <w:shd w:val="clear" w:color="auto" w:fill="auto"/>
            <w:noWrap/>
            <w:vAlign w:val="bottom"/>
            <w:hideMark/>
          </w:tcPr>
          <w:p w:rsidR="00A15CD9" w:rsidRPr="001153A6" w:rsidRDefault="00A15CD9" w:rsidP="00195B60">
            <w:pPr>
              <w:jc w:val="center"/>
              <w:rPr>
                <w:rFonts w:ascii="Arial" w:hAnsi="Arial" w:cs="Arial"/>
                <w:b/>
                <w:bCs/>
                <w:color w:val="000000"/>
                <w:sz w:val="18"/>
                <w:szCs w:val="18"/>
                <w:lang w:eastAsia="en-IN" w:bidi="mr-IN"/>
              </w:rPr>
            </w:pPr>
            <w:r w:rsidRPr="001153A6">
              <w:rPr>
                <w:rFonts w:ascii="Arial" w:hAnsi="Arial" w:cs="Arial"/>
                <w:b/>
                <w:bCs/>
                <w:color w:val="000000"/>
                <w:sz w:val="18"/>
                <w:szCs w:val="18"/>
                <w:lang w:eastAsia="en-IN" w:bidi="mr-IN"/>
              </w:rPr>
              <w:t>SD</w:t>
            </w:r>
          </w:p>
        </w:tc>
        <w:tc>
          <w:tcPr>
            <w:tcW w:w="923" w:type="dxa"/>
            <w:tcBorders>
              <w:top w:val="single" w:sz="4" w:space="0" w:color="auto"/>
              <w:bottom w:val="single" w:sz="4" w:space="0" w:color="auto"/>
            </w:tcBorders>
            <w:shd w:val="clear" w:color="auto" w:fill="auto"/>
            <w:noWrap/>
            <w:vAlign w:val="bottom"/>
            <w:hideMark/>
          </w:tcPr>
          <w:p w:rsidR="00A15CD9" w:rsidRPr="001153A6" w:rsidRDefault="00A15CD9" w:rsidP="00195B60">
            <w:pPr>
              <w:jc w:val="center"/>
              <w:rPr>
                <w:rFonts w:ascii="Arial" w:hAnsi="Arial" w:cs="Arial"/>
                <w:b/>
                <w:bCs/>
                <w:color w:val="000000"/>
                <w:sz w:val="18"/>
                <w:szCs w:val="18"/>
                <w:lang w:eastAsia="en-IN" w:bidi="mr-IN"/>
              </w:rPr>
            </w:pPr>
            <w:r w:rsidRPr="001153A6">
              <w:rPr>
                <w:rFonts w:ascii="Arial" w:hAnsi="Arial" w:cs="Arial"/>
                <w:b/>
                <w:bCs/>
                <w:color w:val="000000"/>
                <w:sz w:val="18"/>
                <w:szCs w:val="18"/>
                <w:lang w:eastAsia="en-IN" w:bidi="mr-IN"/>
              </w:rPr>
              <w:t>Skew</w:t>
            </w:r>
          </w:p>
        </w:tc>
        <w:tc>
          <w:tcPr>
            <w:tcW w:w="792" w:type="dxa"/>
            <w:gridSpan w:val="2"/>
            <w:tcBorders>
              <w:top w:val="single" w:sz="4" w:space="0" w:color="auto"/>
              <w:bottom w:val="single" w:sz="4" w:space="0" w:color="auto"/>
            </w:tcBorders>
            <w:shd w:val="clear" w:color="auto" w:fill="auto"/>
            <w:noWrap/>
            <w:vAlign w:val="bottom"/>
            <w:hideMark/>
          </w:tcPr>
          <w:p w:rsidR="00A15CD9" w:rsidRPr="001153A6" w:rsidRDefault="00A15CD9" w:rsidP="00195B60">
            <w:pPr>
              <w:jc w:val="center"/>
              <w:rPr>
                <w:rFonts w:ascii="Arial" w:hAnsi="Arial" w:cs="Arial"/>
                <w:b/>
                <w:bCs/>
                <w:color w:val="000000"/>
                <w:sz w:val="18"/>
                <w:szCs w:val="18"/>
                <w:lang w:eastAsia="en-IN" w:bidi="mr-IN"/>
              </w:rPr>
            </w:pPr>
            <w:r w:rsidRPr="001153A6">
              <w:rPr>
                <w:rFonts w:ascii="Arial" w:hAnsi="Arial" w:cs="Arial"/>
                <w:b/>
                <w:bCs/>
                <w:color w:val="000000"/>
                <w:sz w:val="18"/>
                <w:szCs w:val="18"/>
                <w:lang w:eastAsia="en-IN" w:bidi="mr-IN"/>
              </w:rPr>
              <w:t>Kurt</w:t>
            </w:r>
          </w:p>
        </w:tc>
      </w:tr>
      <w:tr w:rsidR="00A15CD9" w:rsidRPr="001153A6" w:rsidTr="00A15CD9">
        <w:trPr>
          <w:trHeight w:val="119"/>
        </w:trPr>
        <w:tc>
          <w:tcPr>
            <w:tcW w:w="614" w:type="dxa"/>
            <w:shd w:val="clear" w:color="auto" w:fill="auto"/>
            <w:noWrap/>
            <w:vAlign w:val="bottom"/>
            <w:hideMark/>
          </w:tcPr>
          <w:p w:rsidR="00A15CD9" w:rsidRPr="001153A6" w:rsidRDefault="00A15CD9" w:rsidP="00195B60">
            <w:pPr>
              <w:jc w:val="center"/>
              <w:rPr>
                <w:rFonts w:ascii="Arial" w:hAnsi="Arial" w:cs="Arial"/>
                <w:b/>
                <w:bCs/>
                <w:color w:val="000000"/>
                <w:sz w:val="18"/>
                <w:szCs w:val="18"/>
                <w:lang w:eastAsia="en-IN" w:bidi="mr-IN"/>
              </w:rPr>
            </w:pPr>
            <w:r w:rsidRPr="001153A6">
              <w:rPr>
                <w:rFonts w:ascii="Arial" w:hAnsi="Arial" w:cs="Arial"/>
                <w:b/>
                <w:bCs/>
                <w:color w:val="000000"/>
                <w:sz w:val="18"/>
                <w:szCs w:val="18"/>
                <w:lang w:eastAsia="en-IN" w:bidi="mr-IN"/>
              </w:rPr>
              <w:t>2020</w:t>
            </w:r>
          </w:p>
        </w:tc>
        <w:tc>
          <w:tcPr>
            <w:tcW w:w="708" w:type="dxa"/>
            <w:tcBorders>
              <w:top w:val="single" w:sz="4" w:space="0" w:color="auto"/>
            </w:tcBorders>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8.22</w:t>
            </w:r>
          </w:p>
        </w:tc>
        <w:tc>
          <w:tcPr>
            <w:tcW w:w="772" w:type="dxa"/>
            <w:tcBorders>
              <w:top w:val="single" w:sz="4" w:space="0" w:color="auto"/>
            </w:tcBorders>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0.2853</w:t>
            </w:r>
          </w:p>
        </w:tc>
        <w:tc>
          <w:tcPr>
            <w:tcW w:w="672" w:type="dxa"/>
            <w:tcBorders>
              <w:top w:val="single" w:sz="4" w:space="0" w:color="auto"/>
            </w:tcBorders>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-1.70</w:t>
            </w:r>
          </w:p>
        </w:tc>
        <w:tc>
          <w:tcPr>
            <w:tcW w:w="638" w:type="dxa"/>
            <w:tcBorders>
              <w:top w:val="single" w:sz="4" w:space="0" w:color="auto"/>
            </w:tcBorders>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2.09</w:t>
            </w:r>
          </w:p>
        </w:tc>
        <w:tc>
          <w:tcPr>
            <w:tcW w:w="708" w:type="dxa"/>
            <w:tcBorders>
              <w:top w:val="single" w:sz="4" w:space="0" w:color="auto"/>
            </w:tcBorders>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5.73</w:t>
            </w:r>
          </w:p>
        </w:tc>
        <w:tc>
          <w:tcPr>
            <w:tcW w:w="772" w:type="dxa"/>
            <w:tcBorders>
              <w:top w:val="single" w:sz="4" w:space="0" w:color="auto"/>
            </w:tcBorders>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0.4897</w:t>
            </w:r>
          </w:p>
        </w:tc>
        <w:tc>
          <w:tcPr>
            <w:tcW w:w="672" w:type="dxa"/>
            <w:tcBorders>
              <w:top w:val="single" w:sz="4" w:space="0" w:color="auto"/>
            </w:tcBorders>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1.30</w:t>
            </w:r>
          </w:p>
        </w:tc>
        <w:tc>
          <w:tcPr>
            <w:tcW w:w="638" w:type="dxa"/>
            <w:tcBorders>
              <w:top w:val="single" w:sz="4" w:space="0" w:color="auto"/>
            </w:tcBorders>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2.21</w:t>
            </w:r>
          </w:p>
        </w:tc>
        <w:tc>
          <w:tcPr>
            <w:tcW w:w="665" w:type="dxa"/>
            <w:tcBorders>
              <w:top w:val="single" w:sz="4" w:space="0" w:color="auto"/>
            </w:tcBorders>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10.29</w:t>
            </w:r>
          </w:p>
        </w:tc>
        <w:tc>
          <w:tcPr>
            <w:tcW w:w="742" w:type="dxa"/>
            <w:tcBorders>
              <w:top w:val="single" w:sz="4" w:space="0" w:color="auto"/>
            </w:tcBorders>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2.3801</w:t>
            </w:r>
          </w:p>
        </w:tc>
        <w:tc>
          <w:tcPr>
            <w:tcW w:w="923" w:type="dxa"/>
            <w:tcBorders>
              <w:top w:val="single" w:sz="4" w:space="0" w:color="auto"/>
            </w:tcBorders>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-1.5520</w:t>
            </w:r>
          </w:p>
        </w:tc>
        <w:tc>
          <w:tcPr>
            <w:tcW w:w="792" w:type="dxa"/>
            <w:gridSpan w:val="2"/>
            <w:tcBorders>
              <w:top w:val="single" w:sz="4" w:space="0" w:color="auto"/>
            </w:tcBorders>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4.70</w:t>
            </w:r>
          </w:p>
        </w:tc>
      </w:tr>
      <w:tr w:rsidR="00A15CD9" w:rsidRPr="001153A6" w:rsidTr="00A15CD9">
        <w:trPr>
          <w:trHeight w:val="119"/>
        </w:trPr>
        <w:tc>
          <w:tcPr>
            <w:tcW w:w="614" w:type="dxa"/>
            <w:shd w:val="clear" w:color="auto" w:fill="auto"/>
            <w:noWrap/>
            <w:vAlign w:val="bottom"/>
            <w:hideMark/>
          </w:tcPr>
          <w:p w:rsidR="00A15CD9" w:rsidRPr="001153A6" w:rsidRDefault="00A15CD9" w:rsidP="00195B60">
            <w:pPr>
              <w:jc w:val="center"/>
              <w:rPr>
                <w:rFonts w:ascii="Arial" w:hAnsi="Arial" w:cs="Arial"/>
                <w:b/>
                <w:bCs/>
                <w:color w:val="000000"/>
                <w:sz w:val="18"/>
                <w:szCs w:val="18"/>
                <w:lang w:eastAsia="en-IN" w:bidi="mr-IN"/>
              </w:rPr>
            </w:pPr>
            <w:r w:rsidRPr="001153A6">
              <w:rPr>
                <w:rFonts w:ascii="Arial" w:hAnsi="Arial" w:cs="Arial"/>
                <w:b/>
                <w:bCs/>
                <w:color w:val="000000"/>
                <w:sz w:val="18"/>
                <w:szCs w:val="18"/>
                <w:lang w:eastAsia="en-IN" w:bidi="mr-IN"/>
              </w:rPr>
              <w:t>2021</w:t>
            </w:r>
          </w:p>
        </w:tc>
        <w:tc>
          <w:tcPr>
            <w:tcW w:w="708" w:type="dxa"/>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7.51</w:t>
            </w:r>
          </w:p>
        </w:tc>
        <w:tc>
          <w:tcPr>
            <w:tcW w:w="772" w:type="dxa"/>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0.0889</w:t>
            </w:r>
          </w:p>
        </w:tc>
        <w:tc>
          <w:tcPr>
            <w:tcW w:w="672" w:type="dxa"/>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1.91</w:t>
            </w:r>
          </w:p>
        </w:tc>
        <w:tc>
          <w:tcPr>
            <w:tcW w:w="638" w:type="dxa"/>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4.92</w:t>
            </w:r>
          </w:p>
        </w:tc>
        <w:tc>
          <w:tcPr>
            <w:tcW w:w="708" w:type="dxa"/>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4.95</w:t>
            </w:r>
          </w:p>
        </w:tc>
        <w:tc>
          <w:tcPr>
            <w:tcW w:w="772" w:type="dxa"/>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0.3890</w:t>
            </w:r>
          </w:p>
        </w:tc>
        <w:tc>
          <w:tcPr>
            <w:tcW w:w="672" w:type="dxa"/>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2.93</w:t>
            </w:r>
          </w:p>
        </w:tc>
        <w:tc>
          <w:tcPr>
            <w:tcW w:w="638" w:type="dxa"/>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9.23</w:t>
            </w:r>
          </w:p>
        </w:tc>
        <w:tc>
          <w:tcPr>
            <w:tcW w:w="665" w:type="dxa"/>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9.41</w:t>
            </w:r>
          </w:p>
        </w:tc>
        <w:tc>
          <w:tcPr>
            <w:tcW w:w="742" w:type="dxa"/>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2.0289</w:t>
            </w:r>
          </w:p>
        </w:tc>
        <w:tc>
          <w:tcPr>
            <w:tcW w:w="923" w:type="dxa"/>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-2.4925</w:t>
            </w:r>
          </w:p>
        </w:tc>
        <w:tc>
          <w:tcPr>
            <w:tcW w:w="792" w:type="dxa"/>
            <w:gridSpan w:val="2"/>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6.92</w:t>
            </w:r>
          </w:p>
        </w:tc>
      </w:tr>
      <w:tr w:rsidR="00A15CD9" w:rsidRPr="001153A6" w:rsidTr="00A15CD9">
        <w:trPr>
          <w:trHeight w:val="119"/>
        </w:trPr>
        <w:tc>
          <w:tcPr>
            <w:tcW w:w="614" w:type="dxa"/>
            <w:shd w:val="clear" w:color="auto" w:fill="auto"/>
            <w:noWrap/>
            <w:vAlign w:val="bottom"/>
            <w:hideMark/>
          </w:tcPr>
          <w:p w:rsidR="00A15CD9" w:rsidRPr="001153A6" w:rsidRDefault="00A15CD9" w:rsidP="00195B60">
            <w:pPr>
              <w:jc w:val="center"/>
              <w:rPr>
                <w:rFonts w:ascii="Arial" w:hAnsi="Arial" w:cs="Arial"/>
                <w:b/>
                <w:bCs/>
                <w:color w:val="000000"/>
                <w:sz w:val="18"/>
                <w:szCs w:val="18"/>
                <w:lang w:eastAsia="en-IN" w:bidi="mr-IN"/>
              </w:rPr>
            </w:pPr>
            <w:r w:rsidRPr="001153A6">
              <w:rPr>
                <w:rFonts w:ascii="Arial" w:hAnsi="Arial" w:cs="Arial"/>
                <w:b/>
                <w:bCs/>
                <w:color w:val="000000"/>
                <w:sz w:val="18"/>
                <w:szCs w:val="18"/>
                <w:lang w:eastAsia="en-IN" w:bidi="mr-IN"/>
              </w:rPr>
              <w:t>2022</w:t>
            </w:r>
          </w:p>
        </w:tc>
        <w:tc>
          <w:tcPr>
            <w:tcW w:w="708" w:type="dxa"/>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7.56</w:t>
            </w:r>
          </w:p>
        </w:tc>
        <w:tc>
          <w:tcPr>
            <w:tcW w:w="772" w:type="dxa"/>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0.1211</w:t>
            </w:r>
          </w:p>
        </w:tc>
        <w:tc>
          <w:tcPr>
            <w:tcW w:w="672" w:type="dxa"/>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2.07</w:t>
            </w:r>
          </w:p>
        </w:tc>
        <w:tc>
          <w:tcPr>
            <w:tcW w:w="638" w:type="dxa"/>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5.68</w:t>
            </w:r>
          </w:p>
        </w:tc>
        <w:tc>
          <w:tcPr>
            <w:tcW w:w="708" w:type="dxa"/>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4.69</w:t>
            </w:r>
          </w:p>
        </w:tc>
        <w:tc>
          <w:tcPr>
            <w:tcW w:w="772" w:type="dxa"/>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0.5193</w:t>
            </w:r>
          </w:p>
        </w:tc>
        <w:tc>
          <w:tcPr>
            <w:tcW w:w="672" w:type="dxa"/>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2.56</w:t>
            </w:r>
          </w:p>
        </w:tc>
        <w:tc>
          <w:tcPr>
            <w:tcW w:w="638" w:type="dxa"/>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7.32</w:t>
            </w:r>
          </w:p>
        </w:tc>
        <w:tc>
          <w:tcPr>
            <w:tcW w:w="665" w:type="dxa"/>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9.86</w:t>
            </w:r>
          </w:p>
        </w:tc>
        <w:tc>
          <w:tcPr>
            <w:tcW w:w="742" w:type="dxa"/>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2.8052</w:t>
            </w:r>
          </w:p>
        </w:tc>
        <w:tc>
          <w:tcPr>
            <w:tcW w:w="923" w:type="dxa"/>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-1.7989</w:t>
            </w:r>
          </w:p>
        </w:tc>
        <w:tc>
          <w:tcPr>
            <w:tcW w:w="792" w:type="dxa"/>
            <w:gridSpan w:val="2"/>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3.63</w:t>
            </w:r>
          </w:p>
        </w:tc>
      </w:tr>
      <w:tr w:rsidR="00A15CD9" w:rsidRPr="001153A6" w:rsidTr="00A15CD9">
        <w:trPr>
          <w:trHeight w:val="119"/>
        </w:trPr>
        <w:tc>
          <w:tcPr>
            <w:tcW w:w="614" w:type="dxa"/>
            <w:shd w:val="clear" w:color="auto" w:fill="auto"/>
            <w:noWrap/>
            <w:vAlign w:val="bottom"/>
            <w:hideMark/>
          </w:tcPr>
          <w:p w:rsidR="00A15CD9" w:rsidRPr="001153A6" w:rsidRDefault="00A15CD9" w:rsidP="00195B60">
            <w:pPr>
              <w:jc w:val="center"/>
              <w:rPr>
                <w:rFonts w:ascii="Arial" w:hAnsi="Arial" w:cs="Arial"/>
                <w:b/>
                <w:bCs/>
                <w:color w:val="000000"/>
                <w:sz w:val="18"/>
                <w:szCs w:val="18"/>
                <w:lang w:eastAsia="en-IN" w:bidi="mr-IN"/>
              </w:rPr>
            </w:pPr>
            <w:r w:rsidRPr="001153A6">
              <w:rPr>
                <w:rFonts w:ascii="Arial" w:hAnsi="Arial" w:cs="Arial"/>
                <w:b/>
                <w:bCs/>
                <w:color w:val="000000"/>
                <w:sz w:val="18"/>
                <w:szCs w:val="18"/>
                <w:lang w:eastAsia="en-IN" w:bidi="mr-IN"/>
              </w:rPr>
              <w:t>2023</w:t>
            </w:r>
          </w:p>
        </w:tc>
        <w:tc>
          <w:tcPr>
            <w:tcW w:w="708" w:type="dxa"/>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7.38</w:t>
            </w:r>
          </w:p>
        </w:tc>
        <w:tc>
          <w:tcPr>
            <w:tcW w:w="772" w:type="dxa"/>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0.1136</w:t>
            </w:r>
          </w:p>
        </w:tc>
        <w:tc>
          <w:tcPr>
            <w:tcW w:w="672" w:type="dxa"/>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1.83</w:t>
            </w:r>
          </w:p>
        </w:tc>
        <w:tc>
          <w:tcPr>
            <w:tcW w:w="638" w:type="dxa"/>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4.35</w:t>
            </w:r>
          </w:p>
        </w:tc>
        <w:tc>
          <w:tcPr>
            <w:tcW w:w="708" w:type="dxa"/>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4.15</w:t>
            </w:r>
          </w:p>
        </w:tc>
        <w:tc>
          <w:tcPr>
            <w:tcW w:w="772" w:type="dxa"/>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0.7799</w:t>
            </w:r>
          </w:p>
        </w:tc>
        <w:tc>
          <w:tcPr>
            <w:tcW w:w="672" w:type="dxa"/>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1.59</w:t>
            </w:r>
          </w:p>
        </w:tc>
        <w:tc>
          <w:tcPr>
            <w:tcW w:w="638" w:type="dxa"/>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2.83</w:t>
            </w:r>
          </w:p>
        </w:tc>
        <w:tc>
          <w:tcPr>
            <w:tcW w:w="665" w:type="dxa"/>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17.57</w:t>
            </w:r>
          </w:p>
        </w:tc>
        <w:tc>
          <w:tcPr>
            <w:tcW w:w="742" w:type="dxa"/>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6.8834</w:t>
            </w:r>
          </w:p>
        </w:tc>
        <w:tc>
          <w:tcPr>
            <w:tcW w:w="923" w:type="dxa"/>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-1.0341</w:t>
            </w:r>
          </w:p>
        </w:tc>
        <w:tc>
          <w:tcPr>
            <w:tcW w:w="792" w:type="dxa"/>
            <w:gridSpan w:val="2"/>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0.42</w:t>
            </w:r>
          </w:p>
        </w:tc>
      </w:tr>
      <w:tr w:rsidR="00A15CD9" w:rsidRPr="001153A6" w:rsidTr="00381700">
        <w:trPr>
          <w:trHeight w:val="119"/>
        </w:trPr>
        <w:tc>
          <w:tcPr>
            <w:tcW w:w="614" w:type="dxa"/>
            <w:tcBorders>
              <w:bottom w:val="single" w:sz="4" w:space="0" w:color="auto"/>
            </w:tcBorders>
            <w:shd w:val="clear" w:color="auto" w:fill="auto"/>
            <w:noWrap/>
            <w:vAlign w:val="bottom"/>
            <w:hideMark/>
          </w:tcPr>
          <w:p w:rsidR="00A15CD9" w:rsidRPr="001153A6" w:rsidRDefault="00A15CD9" w:rsidP="00195B60">
            <w:pPr>
              <w:jc w:val="center"/>
              <w:rPr>
                <w:rFonts w:ascii="Arial" w:hAnsi="Arial" w:cs="Arial"/>
                <w:b/>
                <w:bCs/>
                <w:color w:val="000000"/>
                <w:sz w:val="18"/>
                <w:szCs w:val="18"/>
                <w:lang w:eastAsia="en-IN" w:bidi="mr-IN"/>
              </w:rPr>
            </w:pPr>
            <w:r w:rsidRPr="001153A6">
              <w:rPr>
                <w:rFonts w:ascii="Arial" w:hAnsi="Arial" w:cs="Arial"/>
                <w:b/>
                <w:bCs/>
                <w:color w:val="000000"/>
                <w:sz w:val="18"/>
                <w:szCs w:val="18"/>
                <w:lang w:eastAsia="en-IN" w:bidi="mr-IN"/>
              </w:rPr>
              <w:t>2024</w:t>
            </w:r>
          </w:p>
        </w:tc>
        <w:tc>
          <w:tcPr>
            <w:tcW w:w="708" w:type="dxa"/>
            <w:tcBorders>
              <w:bottom w:val="single" w:sz="4" w:space="0" w:color="auto"/>
            </w:tcBorders>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7.70</w:t>
            </w:r>
          </w:p>
        </w:tc>
        <w:tc>
          <w:tcPr>
            <w:tcW w:w="772" w:type="dxa"/>
            <w:tcBorders>
              <w:bottom w:val="single" w:sz="4" w:space="0" w:color="auto"/>
            </w:tcBorders>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0.1293</w:t>
            </w:r>
          </w:p>
        </w:tc>
        <w:tc>
          <w:tcPr>
            <w:tcW w:w="672" w:type="dxa"/>
            <w:tcBorders>
              <w:bottom w:val="single" w:sz="4" w:space="0" w:color="auto"/>
            </w:tcBorders>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1.67</w:t>
            </w:r>
          </w:p>
        </w:tc>
        <w:tc>
          <w:tcPr>
            <w:tcW w:w="638" w:type="dxa"/>
            <w:tcBorders>
              <w:bottom w:val="single" w:sz="4" w:space="0" w:color="auto"/>
            </w:tcBorders>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3.14</w:t>
            </w:r>
          </w:p>
        </w:tc>
        <w:tc>
          <w:tcPr>
            <w:tcW w:w="708" w:type="dxa"/>
            <w:tcBorders>
              <w:bottom w:val="single" w:sz="4" w:space="0" w:color="auto"/>
            </w:tcBorders>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3.12</w:t>
            </w:r>
          </w:p>
        </w:tc>
        <w:tc>
          <w:tcPr>
            <w:tcW w:w="772" w:type="dxa"/>
            <w:tcBorders>
              <w:bottom w:val="single" w:sz="4" w:space="0" w:color="auto"/>
            </w:tcBorders>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1.1597</w:t>
            </w:r>
          </w:p>
        </w:tc>
        <w:tc>
          <w:tcPr>
            <w:tcW w:w="672" w:type="dxa"/>
            <w:tcBorders>
              <w:bottom w:val="single" w:sz="4" w:space="0" w:color="auto"/>
            </w:tcBorders>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2.24</w:t>
            </w:r>
          </w:p>
        </w:tc>
        <w:tc>
          <w:tcPr>
            <w:tcW w:w="638" w:type="dxa"/>
            <w:tcBorders>
              <w:bottom w:val="single" w:sz="4" w:space="0" w:color="auto"/>
            </w:tcBorders>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5.43</w:t>
            </w:r>
          </w:p>
        </w:tc>
        <w:tc>
          <w:tcPr>
            <w:tcW w:w="665" w:type="dxa"/>
            <w:tcBorders>
              <w:bottom w:val="single" w:sz="4" w:space="0" w:color="auto"/>
            </w:tcBorders>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15.18</w:t>
            </w:r>
          </w:p>
        </w:tc>
        <w:tc>
          <w:tcPr>
            <w:tcW w:w="742" w:type="dxa"/>
            <w:tcBorders>
              <w:bottom w:val="single" w:sz="4" w:space="0" w:color="auto"/>
            </w:tcBorders>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5.0545</w:t>
            </w:r>
          </w:p>
        </w:tc>
        <w:tc>
          <w:tcPr>
            <w:tcW w:w="923" w:type="dxa"/>
            <w:tcBorders>
              <w:bottom w:val="single" w:sz="4" w:space="0" w:color="auto"/>
            </w:tcBorders>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-1.4181</w:t>
            </w:r>
          </w:p>
        </w:tc>
        <w:tc>
          <w:tcPr>
            <w:tcW w:w="792" w:type="dxa"/>
            <w:gridSpan w:val="2"/>
            <w:tcBorders>
              <w:bottom w:val="single" w:sz="4" w:space="0" w:color="auto"/>
            </w:tcBorders>
            <w:shd w:val="clear" w:color="auto" w:fill="auto"/>
            <w:noWrap/>
            <w:vAlign w:val="bottom"/>
            <w:hideMark/>
          </w:tcPr>
          <w:p w:rsidR="00A15CD9" w:rsidRPr="001153A6" w:rsidRDefault="00A15CD9" w:rsidP="00195B60">
            <w:pPr>
              <w:rPr>
                <w:rFonts w:ascii="Arial" w:hAnsi="Arial" w:cs="Arial"/>
                <w:color w:val="000000"/>
                <w:sz w:val="18"/>
                <w:szCs w:val="18"/>
                <w:lang w:eastAsia="en-IN" w:bidi="mr-IN"/>
              </w:rPr>
            </w:pPr>
            <w:r w:rsidRPr="001153A6">
              <w:rPr>
                <w:rFonts w:ascii="Arial" w:hAnsi="Arial" w:cs="Arial"/>
                <w:color w:val="000000"/>
                <w:sz w:val="18"/>
                <w:szCs w:val="18"/>
                <w:lang w:eastAsia="en-IN" w:bidi="mr-IN"/>
              </w:rPr>
              <w:t>2.46</w:t>
            </w:r>
          </w:p>
        </w:tc>
      </w:tr>
    </w:tbl>
    <w:p w:rsidR="00A15CD9" w:rsidRDefault="00A15CD9" w:rsidP="00A15CD9">
      <w:pPr>
        <w:rPr>
          <w:rFonts w:ascii="Times New Roman" w:hAnsi="Times New Roman"/>
          <w:i/>
          <w:iCs/>
          <w:sz w:val="24"/>
          <w:szCs w:val="24"/>
        </w:rPr>
      </w:pPr>
      <w:r>
        <w:rPr>
          <w:rFonts w:ascii="Times New Roman" w:hAnsi="Times New Roman"/>
          <w:i/>
          <w:iCs/>
          <w:sz w:val="24"/>
          <w:szCs w:val="24"/>
        </w:rPr>
        <w:t xml:space="preserve">                             </w:t>
      </w:r>
    </w:p>
    <w:tbl>
      <w:tblPr>
        <w:tblW w:w="9919" w:type="dxa"/>
        <w:tblLook w:val="04A0" w:firstRow="1" w:lastRow="0" w:firstColumn="1" w:lastColumn="0" w:noHBand="0" w:noVBand="1"/>
      </w:tblPr>
      <w:tblGrid>
        <w:gridCol w:w="669"/>
        <w:gridCol w:w="763"/>
        <w:gridCol w:w="951"/>
        <w:gridCol w:w="737"/>
        <w:gridCol w:w="688"/>
        <w:gridCol w:w="763"/>
        <w:gridCol w:w="623"/>
        <w:gridCol w:w="838"/>
        <w:gridCol w:w="636"/>
        <w:gridCol w:w="398"/>
        <w:gridCol w:w="440"/>
        <w:gridCol w:w="838"/>
        <w:gridCol w:w="737"/>
        <w:gridCol w:w="828"/>
        <w:gridCol w:w="10"/>
      </w:tblGrid>
      <w:tr w:rsidR="00A15CD9" w:rsidRPr="00381700" w:rsidTr="00381700">
        <w:trPr>
          <w:gridAfter w:val="1"/>
          <w:wAfter w:w="10" w:type="dxa"/>
          <w:trHeight w:val="117"/>
        </w:trPr>
        <w:tc>
          <w:tcPr>
            <w:tcW w:w="669" w:type="dxa"/>
            <w:tcBorders>
              <w:top w:val="single" w:sz="4" w:space="0" w:color="auto"/>
            </w:tcBorders>
            <w:shd w:val="clear" w:color="auto" w:fill="auto"/>
            <w:noWrap/>
            <w:vAlign w:val="bottom"/>
            <w:hideMark/>
          </w:tcPr>
          <w:p w:rsidR="00A15CD9" w:rsidRPr="00381700" w:rsidRDefault="00A15CD9" w:rsidP="00195B60">
            <w:pPr>
              <w:rPr>
                <w:rFonts w:ascii="Arial" w:hAnsi="Arial" w:cs="Arial"/>
                <w:sz w:val="18"/>
                <w:szCs w:val="18"/>
                <w:lang w:eastAsia="en-IN" w:bidi="mr-IN"/>
              </w:rPr>
            </w:pPr>
          </w:p>
        </w:tc>
        <w:tc>
          <w:tcPr>
            <w:tcW w:w="3139" w:type="dxa"/>
            <w:gridSpan w:val="4"/>
            <w:tcBorders>
              <w:top w:val="single" w:sz="4" w:space="0" w:color="auto"/>
              <w:bottom w:val="single" w:sz="4" w:space="0" w:color="auto"/>
            </w:tcBorders>
            <w:shd w:val="clear" w:color="auto" w:fill="auto"/>
            <w:noWrap/>
            <w:vAlign w:val="bottom"/>
            <w:hideMark/>
          </w:tcPr>
          <w:p w:rsidR="00A15CD9" w:rsidRPr="00381700" w:rsidRDefault="00A15CD9" w:rsidP="00195B60">
            <w:pPr>
              <w:jc w:val="center"/>
              <w:rPr>
                <w:rFonts w:ascii="Arial" w:hAnsi="Arial" w:cs="Arial"/>
                <w:sz w:val="18"/>
                <w:szCs w:val="18"/>
                <w:lang w:eastAsia="en-IN" w:bidi="mr-IN"/>
              </w:rPr>
            </w:pPr>
            <w:r w:rsidRPr="00381700">
              <w:rPr>
                <w:rFonts w:ascii="Arial" w:hAnsi="Arial" w:cs="Arial"/>
                <w:b/>
                <w:bCs/>
                <w:color w:val="000000"/>
                <w:sz w:val="18"/>
                <w:szCs w:val="18"/>
                <w:lang w:eastAsia="en-IN" w:bidi="mr-IN"/>
              </w:rPr>
              <w:t>COD</w:t>
            </w:r>
          </w:p>
        </w:tc>
        <w:tc>
          <w:tcPr>
            <w:tcW w:w="3258" w:type="dxa"/>
            <w:gridSpan w:val="5"/>
            <w:tcBorders>
              <w:top w:val="single" w:sz="4" w:space="0" w:color="auto"/>
              <w:bottom w:val="single" w:sz="4" w:space="0" w:color="auto"/>
            </w:tcBorders>
            <w:shd w:val="clear" w:color="auto" w:fill="auto"/>
            <w:noWrap/>
            <w:vAlign w:val="bottom"/>
            <w:hideMark/>
          </w:tcPr>
          <w:p w:rsidR="00A15CD9" w:rsidRPr="00381700" w:rsidRDefault="00A15CD9" w:rsidP="00195B60">
            <w:pPr>
              <w:jc w:val="center"/>
              <w:rPr>
                <w:rFonts w:ascii="Arial" w:hAnsi="Arial" w:cs="Arial"/>
                <w:sz w:val="18"/>
                <w:szCs w:val="18"/>
                <w:lang w:eastAsia="en-IN" w:bidi="mr-IN"/>
              </w:rPr>
            </w:pPr>
            <w:r w:rsidRPr="00381700">
              <w:rPr>
                <w:rFonts w:ascii="Arial" w:hAnsi="Arial" w:cs="Arial"/>
                <w:b/>
                <w:bCs/>
                <w:color w:val="000000"/>
                <w:sz w:val="18"/>
                <w:szCs w:val="18"/>
                <w:lang w:eastAsia="en-IN" w:bidi="mr-IN"/>
              </w:rPr>
              <w:t>NO</w:t>
            </w:r>
            <w:r w:rsidRPr="00381700">
              <w:rPr>
                <w:rFonts w:ascii="Arial" w:hAnsi="Arial" w:cs="Arial"/>
                <w:b/>
                <w:bCs/>
                <w:color w:val="000000"/>
                <w:sz w:val="18"/>
                <w:szCs w:val="18"/>
                <w:vertAlign w:val="subscript"/>
                <w:lang w:eastAsia="en-IN" w:bidi="mr-IN"/>
              </w:rPr>
              <w:t>4</w:t>
            </w:r>
          </w:p>
        </w:tc>
        <w:tc>
          <w:tcPr>
            <w:tcW w:w="2843" w:type="dxa"/>
            <w:gridSpan w:val="4"/>
            <w:tcBorders>
              <w:top w:val="single" w:sz="4" w:space="0" w:color="auto"/>
              <w:bottom w:val="single" w:sz="4" w:space="0" w:color="auto"/>
            </w:tcBorders>
            <w:shd w:val="clear" w:color="auto" w:fill="auto"/>
            <w:noWrap/>
            <w:vAlign w:val="bottom"/>
            <w:hideMark/>
          </w:tcPr>
          <w:p w:rsidR="00A15CD9" w:rsidRPr="00381700" w:rsidRDefault="00A15CD9" w:rsidP="00195B60">
            <w:pPr>
              <w:jc w:val="center"/>
              <w:rPr>
                <w:rFonts w:ascii="Arial" w:hAnsi="Arial" w:cs="Arial"/>
                <w:sz w:val="18"/>
                <w:szCs w:val="18"/>
                <w:lang w:eastAsia="en-IN" w:bidi="mr-IN"/>
              </w:rPr>
            </w:pPr>
            <w:r w:rsidRPr="00381700">
              <w:rPr>
                <w:rFonts w:ascii="Arial" w:hAnsi="Arial" w:cs="Arial"/>
                <w:b/>
                <w:bCs/>
                <w:color w:val="000000"/>
                <w:sz w:val="18"/>
                <w:szCs w:val="18"/>
                <w:lang w:eastAsia="en-IN" w:bidi="mr-IN"/>
              </w:rPr>
              <w:t>F. Coliform</w:t>
            </w:r>
          </w:p>
        </w:tc>
      </w:tr>
      <w:tr w:rsidR="00A15CD9" w:rsidRPr="00381700" w:rsidTr="00381700">
        <w:trPr>
          <w:trHeight w:val="117"/>
        </w:trPr>
        <w:tc>
          <w:tcPr>
            <w:tcW w:w="669" w:type="dxa"/>
            <w:shd w:val="clear" w:color="auto" w:fill="auto"/>
            <w:noWrap/>
            <w:vAlign w:val="bottom"/>
            <w:hideMark/>
          </w:tcPr>
          <w:p w:rsidR="00A15CD9" w:rsidRPr="00381700" w:rsidRDefault="00A15CD9" w:rsidP="00195B60">
            <w:pPr>
              <w:rPr>
                <w:rFonts w:ascii="Arial" w:hAnsi="Arial" w:cs="Arial"/>
                <w:sz w:val="18"/>
                <w:szCs w:val="18"/>
                <w:lang w:eastAsia="en-IN" w:bidi="mr-IN"/>
              </w:rPr>
            </w:pPr>
          </w:p>
        </w:tc>
        <w:tc>
          <w:tcPr>
            <w:tcW w:w="763" w:type="dxa"/>
            <w:tcBorders>
              <w:top w:val="single" w:sz="4" w:space="0" w:color="auto"/>
              <w:bottom w:val="single" w:sz="4" w:space="0" w:color="auto"/>
            </w:tcBorders>
            <w:shd w:val="clear" w:color="auto" w:fill="auto"/>
            <w:noWrap/>
            <w:vAlign w:val="bottom"/>
            <w:hideMark/>
          </w:tcPr>
          <w:p w:rsidR="00A15CD9" w:rsidRPr="00381700" w:rsidRDefault="00A15CD9" w:rsidP="00195B60">
            <w:pPr>
              <w:jc w:val="center"/>
              <w:rPr>
                <w:rFonts w:ascii="Arial" w:hAnsi="Arial" w:cs="Arial"/>
                <w:b/>
                <w:bCs/>
                <w:color w:val="000000"/>
                <w:sz w:val="18"/>
                <w:szCs w:val="18"/>
                <w:lang w:eastAsia="en-IN" w:bidi="mr-IN"/>
              </w:rPr>
            </w:pPr>
            <w:r w:rsidRPr="00381700">
              <w:rPr>
                <w:rFonts w:ascii="Arial" w:hAnsi="Arial" w:cs="Arial"/>
                <w:b/>
                <w:bCs/>
                <w:color w:val="000000"/>
                <w:sz w:val="18"/>
                <w:szCs w:val="18"/>
                <w:lang w:eastAsia="en-IN" w:bidi="mr-IN"/>
              </w:rPr>
              <w:t>Mean</w:t>
            </w:r>
          </w:p>
        </w:tc>
        <w:tc>
          <w:tcPr>
            <w:tcW w:w="951" w:type="dxa"/>
            <w:tcBorders>
              <w:top w:val="single" w:sz="4" w:space="0" w:color="auto"/>
              <w:bottom w:val="single" w:sz="4" w:space="0" w:color="auto"/>
            </w:tcBorders>
            <w:shd w:val="clear" w:color="auto" w:fill="auto"/>
            <w:noWrap/>
            <w:vAlign w:val="bottom"/>
            <w:hideMark/>
          </w:tcPr>
          <w:p w:rsidR="00A15CD9" w:rsidRPr="00381700" w:rsidRDefault="00A15CD9" w:rsidP="00195B60">
            <w:pPr>
              <w:jc w:val="center"/>
              <w:rPr>
                <w:rFonts w:ascii="Arial" w:hAnsi="Arial" w:cs="Arial"/>
                <w:b/>
                <w:bCs/>
                <w:color w:val="000000"/>
                <w:sz w:val="18"/>
                <w:szCs w:val="18"/>
                <w:lang w:eastAsia="en-IN" w:bidi="mr-IN"/>
              </w:rPr>
            </w:pPr>
            <w:r w:rsidRPr="00381700">
              <w:rPr>
                <w:rFonts w:ascii="Arial" w:hAnsi="Arial" w:cs="Arial"/>
                <w:b/>
                <w:bCs/>
                <w:color w:val="000000"/>
                <w:sz w:val="18"/>
                <w:szCs w:val="18"/>
                <w:lang w:eastAsia="en-IN" w:bidi="mr-IN"/>
              </w:rPr>
              <w:t>SD</w:t>
            </w:r>
          </w:p>
        </w:tc>
        <w:tc>
          <w:tcPr>
            <w:tcW w:w="737" w:type="dxa"/>
            <w:tcBorders>
              <w:top w:val="single" w:sz="4" w:space="0" w:color="auto"/>
              <w:bottom w:val="single" w:sz="4" w:space="0" w:color="auto"/>
            </w:tcBorders>
            <w:shd w:val="clear" w:color="auto" w:fill="auto"/>
            <w:noWrap/>
            <w:vAlign w:val="bottom"/>
            <w:hideMark/>
          </w:tcPr>
          <w:p w:rsidR="00A15CD9" w:rsidRPr="00381700" w:rsidRDefault="00A15CD9" w:rsidP="00195B60">
            <w:pPr>
              <w:jc w:val="center"/>
              <w:rPr>
                <w:rFonts w:ascii="Arial" w:hAnsi="Arial" w:cs="Arial"/>
                <w:b/>
                <w:bCs/>
                <w:color w:val="000000"/>
                <w:sz w:val="18"/>
                <w:szCs w:val="18"/>
                <w:lang w:eastAsia="en-IN" w:bidi="mr-IN"/>
              </w:rPr>
            </w:pPr>
            <w:r w:rsidRPr="00381700">
              <w:rPr>
                <w:rFonts w:ascii="Arial" w:hAnsi="Arial" w:cs="Arial"/>
                <w:b/>
                <w:bCs/>
                <w:color w:val="000000"/>
                <w:sz w:val="18"/>
                <w:szCs w:val="18"/>
                <w:lang w:eastAsia="en-IN" w:bidi="mr-IN"/>
              </w:rPr>
              <w:t>Skew</w:t>
            </w:r>
          </w:p>
        </w:tc>
        <w:tc>
          <w:tcPr>
            <w:tcW w:w="688" w:type="dxa"/>
            <w:tcBorders>
              <w:top w:val="single" w:sz="4" w:space="0" w:color="auto"/>
              <w:bottom w:val="single" w:sz="4" w:space="0" w:color="auto"/>
            </w:tcBorders>
            <w:shd w:val="clear" w:color="auto" w:fill="auto"/>
            <w:noWrap/>
            <w:vAlign w:val="bottom"/>
            <w:hideMark/>
          </w:tcPr>
          <w:p w:rsidR="00A15CD9" w:rsidRPr="00381700" w:rsidRDefault="00A15CD9" w:rsidP="00195B60">
            <w:pPr>
              <w:jc w:val="center"/>
              <w:rPr>
                <w:rFonts w:ascii="Arial" w:hAnsi="Arial" w:cs="Arial"/>
                <w:b/>
                <w:bCs/>
                <w:color w:val="000000"/>
                <w:sz w:val="18"/>
                <w:szCs w:val="18"/>
                <w:lang w:eastAsia="en-IN" w:bidi="mr-IN"/>
              </w:rPr>
            </w:pPr>
            <w:r w:rsidRPr="00381700">
              <w:rPr>
                <w:rFonts w:ascii="Arial" w:hAnsi="Arial" w:cs="Arial"/>
                <w:b/>
                <w:bCs/>
                <w:color w:val="000000"/>
                <w:sz w:val="18"/>
                <w:szCs w:val="18"/>
                <w:lang w:eastAsia="en-IN" w:bidi="mr-IN"/>
              </w:rPr>
              <w:t>Kurt</w:t>
            </w:r>
          </w:p>
        </w:tc>
        <w:tc>
          <w:tcPr>
            <w:tcW w:w="763" w:type="dxa"/>
            <w:tcBorders>
              <w:top w:val="single" w:sz="4" w:space="0" w:color="auto"/>
              <w:bottom w:val="single" w:sz="4" w:space="0" w:color="auto"/>
            </w:tcBorders>
            <w:shd w:val="clear" w:color="auto" w:fill="auto"/>
            <w:noWrap/>
            <w:vAlign w:val="bottom"/>
            <w:hideMark/>
          </w:tcPr>
          <w:p w:rsidR="00A15CD9" w:rsidRPr="00381700" w:rsidRDefault="00A15CD9" w:rsidP="00195B60">
            <w:pPr>
              <w:jc w:val="center"/>
              <w:rPr>
                <w:rFonts w:ascii="Arial" w:hAnsi="Arial" w:cs="Arial"/>
                <w:b/>
                <w:bCs/>
                <w:color w:val="000000"/>
                <w:sz w:val="18"/>
                <w:szCs w:val="18"/>
                <w:lang w:eastAsia="en-IN" w:bidi="mr-IN"/>
              </w:rPr>
            </w:pPr>
            <w:r w:rsidRPr="00381700">
              <w:rPr>
                <w:rFonts w:ascii="Arial" w:hAnsi="Arial" w:cs="Arial"/>
                <w:b/>
                <w:bCs/>
                <w:color w:val="000000"/>
                <w:sz w:val="18"/>
                <w:szCs w:val="18"/>
                <w:lang w:eastAsia="en-IN" w:bidi="mr-IN"/>
              </w:rPr>
              <w:t>Mean</w:t>
            </w:r>
          </w:p>
        </w:tc>
        <w:tc>
          <w:tcPr>
            <w:tcW w:w="623" w:type="dxa"/>
            <w:tcBorders>
              <w:top w:val="single" w:sz="4" w:space="0" w:color="auto"/>
              <w:bottom w:val="single" w:sz="4" w:space="0" w:color="auto"/>
            </w:tcBorders>
            <w:shd w:val="clear" w:color="auto" w:fill="auto"/>
            <w:noWrap/>
            <w:vAlign w:val="bottom"/>
            <w:hideMark/>
          </w:tcPr>
          <w:p w:rsidR="00A15CD9" w:rsidRPr="00381700" w:rsidRDefault="00A15CD9" w:rsidP="00195B60">
            <w:pPr>
              <w:jc w:val="center"/>
              <w:rPr>
                <w:rFonts w:ascii="Arial" w:hAnsi="Arial" w:cs="Arial"/>
                <w:b/>
                <w:bCs/>
                <w:color w:val="000000"/>
                <w:sz w:val="18"/>
                <w:szCs w:val="18"/>
                <w:lang w:eastAsia="en-IN" w:bidi="mr-IN"/>
              </w:rPr>
            </w:pPr>
            <w:r w:rsidRPr="00381700">
              <w:rPr>
                <w:rFonts w:ascii="Arial" w:hAnsi="Arial" w:cs="Arial"/>
                <w:b/>
                <w:bCs/>
                <w:color w:val="000000"/>
                <w:sz w:val="18"/>
                <w:szCs w:val="18"/>
                <w:lang w:eastAsia="en-IN" w:bidi="mr-IN"/>
              </w:rPr>
              <w:t>SD</w:t>
            </w:r>
          </w:p>
        </w:tc>
        <w:tc>
          <w:tcPr>
            <w:tcW w:w="838" w:type="dxa"/>
            <w:tcBorders>
              <w:top w:val="single" w:sz="4" w:space="0" w:color="auto"/>
              <w:bottom w:val="single" w:sz="4" w:space="0" w:color="auto"/>
            </w:tcBorders>
            <w:shd w:val="clear" w:color="auto" w:fill="auto"/>
            <w:noWrap/>
            <w:vAlign w:val="bottom"/>
            <w:hideMark/>
          </w:tcPr>
          <w:p w:rsidR="00A15CD9" w:rsidRPr="00381700" w:rsidRDefault="00A15CD9" w:rsidP="00195B60">
            <w:pPr>
              <w:rPr>
                <w:rFonts w:ascii="Arial" w:hAnsi="Arial" w:cs="Arial"/>
                <w:b/>
                <w:bCs/>
                <w:color w:val="000000"/>
                <w:sz w:val="18"/>
                <w:szCs w:val="18"/>
                <w:lang w:eastAsia="en-IN" w:bidi="mr-IN"/>
              </w:rPr>
            </w:pPr>
            <w:r w:rsidRPr="00381700">
              <w:rPr>
                <w:rFonts w:ascii="Arial" w:hAnsi="Arial" w:cs="Arial"/>
                <w:b/>
                <w:bCs/>
                <w:color w:val="000000"/>
                <w:sz w:val="18"/>
                <w:szCs w:val="18"/>
                <w:lang w:eastAsia="en-IN" w:bidi="mr-IN"/>
              </w:rPr>
              <w:t>Skew</w:t>
            </w:r>
          </w:p>
        </w:tc>
        <w:tc>
          <w:tcPr>
            <w:tcW w:w="636" w:type="dxa"/>
            <w:tcBorders>
              <w:top w:val="single" w:sz="4" w:space="0" w:color="auto"/>
              <w:bottom w:val="single" w:sz="4" w:space="0" w:color="auto"/>
            </w:tcBorders>
            <w:shd w:val="clear" w:color="auto" w:fill="auto"/>
            <w:noWrap/>
            <w:vAlign w:val="bottom"/>
            <w:hideMark/>
          </w:tcPr>
          <w:p w:rsidR="00A15CD9" w:rsidRPr="00381700" w:rsidRDefault="00A15CD9" w:rsidP="00195B60">
            <w:pPr>
              <w:jc w:val="center"/>
              <w:rPr>
                <w:rFonts w:ascii="Arial" w:hAnsi="Arial" w:cs="Arial"/>
                <w:b/>
                <w:bCs/>
                <w:color w:val="000000"/>
                <w:sz w:val="18"/>
                <w:szCs w:val="18"/>
                <w:lang w:eastAsia="en-IN" w:bidi="mr-IN"/>
              </w:rPr>
            </w:pPr>
            <w:r w:rsidRPr="00381700">
              <w:rPr>
                <w:rFonts w:ascii="Arial" w:hAnsi="Arial" w:cs="Arial"/>
                <w:b/>
                <w:bCs/>
                <w:color w:val="000000"/>
                <w:sz w:val="18"/>
                <w:szCs w:val="18"/>
                <w:lang w:eastAsia="en-IN" w:bidi="mr-IN"/>
              </w:rPr>
              <w:t>Kurt</w:t>
            </w:r>
          </w:p>
        </w:tc>
        <w:tc>
          <w:tcPr>
            <w:tcW w:w="838" w:type="dxa"/>
            <w:gridSpan w:val="2"/>
            <w:tcBorders>
              <w:top w:val="single" w:sz="4" w:space="0" w:color="auto"/>
              <w:bottom w:val="single" w:sz="4" w:space="0" w:color="auto"/>
            </w:tcBorders>
            <w:shd w:val="clear" w:color="auto" w:fill="auto"/>
            <w:noWrap/>
            <w:vAlign w:val="bottom"/>
            <w:hideMark/>
          </w:tcPr>
          <w:p w:rsidR="00A15CD9" w:rsidRPr="00381700" w:rsidRDefault="00A15CD9" w:rsidP="00195B60">
            <w:pPr>
              <w:rPr>
                <w:rFonts w:ascii="Arial" w:hAnsi="Arial" w:cs="Arial"/>
                <w:b/>
                <w:bCs/>
                <w:color w:val="000000"/>
                <w:sz w:val="18"/>
                <w:szCs w:val="18"/>
                <w:lang w:eastAsia="en-IN" w:bidi="mr-IN"/>
              </w:rPr>
            </w:pPr>
            <w:r w:rsidRPr="00381700">
              <w:rPr>
                <w:rFonts w:ascii="Arial" w:hAnsi="Arial" w:cs="Arial"/>
                <w:b/>
                <w:bCs/>
                <w:color w:val="000000"/>
                <w:sz w:val="18"/>
                <w:szCs w:val="18"/>
                <w:lang w:eastAsia="en-IN" w:bidi="mr-IN"/>
              </w:rPr>
              <w:t>Mean</w:t>
            </w:r>
          </w:p>
        </w:tc>
        <w:tc>
          <w:tcPr>
            <w:tcW w:w="838" w:type="dxa"/>
            <w:tcBorders>
              <w:top w:val="single" w:sz="4" w:space="0" w:color="auto"/>
              <w:bottom w:val="single" w:sz="4" w:space="0" w:color="auto"/>
            </w:tcBorders>
            <w:shd w:val="clear" w:color="auto" w:fill="auto"/>
            <w:noWrap/>
            <w:vAlign w:val="bottom"/>
            <w:hideMark/>
          </w:tcPr>
          <w:p w:rsidR="00A15CD9" w:rsidRPr="00381700" w:rsidRDefault="00A15CD9" w:rsidP="00195B60">
            <w:pPr>
              <w:rPr>
                <w:rFonts w:ascii="Arial" w:hAnsi="Arial" w:cs="Arial"/>
                <w:b/>
                <w:bCs/>
                <w:color w:val="000000"/>
                <w:sz w:val="18"/>
                <w:szCs w:val="18"/>
                <w:lang w:eastAsia="en-IN" w:bidi="mr-IN"/>
              </w:rPr>
            </w:pPr>
            <w:r w:rsidRPr="00381700">
              <w:rPr>
                <w:rFonts w:ascii="Arial" w:hAnsi="Arial" w:cs="Arial"/>
                <w:b/>
                <w:bCs/>
                <w:color w:val="000000"/>
                <w:sz w:val="18"/>
                <w:szCs w:val="18"/>
                <w:lang w:eastAsia="en-IN" w:bidi="mr-IN"/>
              </w:rPr>
              <w:t>SD</w:t>
            </w:r>
          </w:p>
        </w:tc>
        <w:tc>
          <w:tcPr>
            <w:tcW w:w="737" w:type="dxa"/>
            <w:tcBorders>
              <w:top w:val="single" w:sz="4" w:space="0" w:color="auto"/>
              <w:bottom w:val="single" w:sz="4" w:space="0" w:color="auto"/>
            </w:tcBorders>
            <w:shd w:val="clear" w:color="auto" w:fill="auto"/>
            <w:noWrap/>
            <w:vAlign w:val="bottom"/>
            <w:hideMark/>
          </w:tcPr>
          <w:p w:rsidR="00A15CD9" w:rsidRPr="00381700" w:rsidRDefault="00A15CD9" w:rsidP="00195B60">
            <w:pPr>
              <w:rPr>
                <w:rFonts w:ascii="Arial" w:hAnsi="Arial" w:cs="Arial"/>
                <w:b/>
                <w:bCs/>
                <w:color w:val="000000"/>
                <w:sz w:val="18"/>
                <w:szCs w:val="18"/>
                <w:lang w:eastAsia="en-IN" w:bidi="mr-IN"/>
              </w:rPr>
            </w:pPr>
            <w:r w:rsidRPr="00381700">
              <w:rPr>
                <w:rFonts w:ascii="Arial" w:hAnsi="Arial" w:cs="Arial"/>
                <w:b/>
                <w:bCs/>
                <w:color w:val="000000"/>
                <w:sz w:val="18"/>
                <w:szCs w:val="18"/>
                <w:lang w:eastAsia="en-IN" w:bidi="mr-IN"/>
              </w:rPr>
              <w:t>Skew</w:t>
            </w:r>
          </w:p>
        </w:tc>
        <w:tc>
          <w:tcPr>
            <w:tcW w:w="838" w:type="dxa"/>
            <w:gridSpan w:val="2"/>
            <w:tcBorders>
              <w:top w:val="single" w:sz="4" w:space="0" w:color="auto"/>
              <w:bottom w:val="single" w:sz="4" w:space="0" w:color="auto"/>
            </w:tcBorders>
            <w:shd w:val="clear" w:color="auto" w:fill="auto"/>
            <w:noWrap/>
            <w:vAlign w:val="bottom"/>
            <w:hideMark/>
          </w:tcPr>
          <w:p w:rsidR="00A15CD9" w:rsidRPr="00381700" w:rsidRDefault="00A15CD9" w:rsidP="00195B60">
            <w:pPr>
              <w:rPr>
                <w:rFonts w:ascii="Arial" w:hAnsi="Arial" w:cs="Arial"/>
                <w:b/>
                <w:bCs/>
                <w:color w:val="000000"/>
                <w:sz w:val="18"/>
                <w:szCs w:val="18"/>
                <w:lang w:eastAsia="en-IN" w:bidi="mr-IN"/>
              </w:rPr>
            </w:pPr>
            <w:r w:rsidRPr="00381700">
              <w:rPr>
                <w:rFonts w:ascii="Arial" w:hAnsi="Arial" w:cs="Arial"/>
                <w:b/>
                <w:bCs/>
                <w:color w:val="000000"/>
                <w:sz w:val="18"/>
                <w:szCs w:val="18"/>
                <w:lang w:eastAsia="en-IN" w:bidi="mr-IN"/>
              </w:rPr>
              <w:t>Kurt</w:t>
            </w:r>
          </w:p>
        </w:tc>
      </w:tr>
      <w:tr w:rsidR="00A15CD9" w:rsidRPr="00381700" w:rsidTr="00381700">
        <w:trPr>
          <w:trHeight w:val="117"/>
        </w:trPr>
        <w:tc>
          <w:tcPr>
            <w:tcW w:w="669" w:type="dxa"/>
            <w:shd w:val="clear" w:color="auto" w:fill="auto"/>
            <w:noWrap/>
            <w:vAlign w:val="bottom"/>
            <w:hideMark/>
          </w:tcPr>
          <w:p w:rsidR="00A15CD9" w:rsidRPr="00381700" w:rsidRDefault="00A15CD9" w:rsidP="00195B60">
            <w:pPr>
              <w:jc w:val="center"/>
              <w:rPr>
                <w:rFonts w:ascii="Arial" w:hAnsi="Arial" w:cs="Arial"/>
                <w:b/>
                <w:bCs/>
                <w:color w:val="000000"/>
                <w:sz w:val="18"/>
                <w:szCs w:val="18"/>
                <w:lang w:eastAsia="en-IN" w:bidi="mr-IN"/>
              </w:rPr>
            </w:pPr>
            <w:r w:rsidRPr="00381700">
              <w:rPr>
                <w:rFonts w:ascii="Arial" w:hAnsi="Arial" w:cs="Arial"/>
                <w:b/>
                <w:bCs/>
                <w:color w:val="000000"/>
                <w:sz w:val="18"/>
                <w:szCs w:val="18"/>
                <w:lang w:eastAsia="en-IN" w:bidi="mr-IN"/>
              </w:rPr>
              <w:t>2020</w:t>
            </w:r>
          </w:p>
        </w:tc>
        <w:tc>
          <w:tcPr>
            <w:tcW w:w="763" w:type="dxa"/>
            <w:tcBorders>
              <w:top w:val="single" w:sz="4" w:space="0" w:color="auto"/>
            </w:tcBorders>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33.15</w:t>
            </w:r>
          </w:p>
        </w:tc>
        <w:tc>
          <w:tcPr>
            <w:tcW w:w="951" w:type="dxa"/>
            <w:tcBorders>
              <w:top w:val="single" w:sz="4" w:space="0" w:color="auto"/>
            </w:tcBorders>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8.6811</w:t>
            </w:r>
          </w:p>
        </w:tc>
        <w:tc>
          <w:tcPr>
            <w:tcW w:w="737" w:type="dxa"/>
            <w:tcBorders>
              <w:top w:val="single" w:sz="4" w:space="0" w:color="auto"/>
            </w:tcBorders>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-1.974</w:t>
            </w:r>
          </w:p>
        </w:tc>
        <w:tc>
          <w:tcPr>
            <w:tcW w:w="688" w:type="dxa"/>
            <w:tcBorders>
              <w:top w:val="single" w:sz="4" w:space="0" w:color="auto"/>
            </w:tcBorders>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5.34</w:t>
            </w:r>
          </w:p>
        </w:tc>
        <w:tc>
          <w:tcPr>
            <w:tcW w:w="763" w:type="dxa"/>
            <w:tcBorders>
              <w:top w:val="single" w:sz="4" w:space="0" w:color="auto"/>
            </w:tcBorders>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3.63</w:t>
            </w:r>
          </w:p>
        </w:tc>
        <w:tc>
          <w:tcPr>
            <w:tcW w:w="623" w:type="dxa"/>
            <w:tcBorders>
              <w:top w:val="single" w:sz="4" w:space="0" w:color="auto"/>
            </w:tcBorders>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0.90</w:t>
            </w:r>
          </w:p>
        </w:tc>
        <w:tc>
          <w:tcPr>
            <w:tcW w:w="838" w:type="dxa"/>
            <w:tcBorders>
              <w:top w:val="single" w:sz="4" w:space="0" w:color="auto"/>
            </w:tcBorders>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0.2325</w:t>
            </w:r>
          </w:p>
        </w:tc>
        <w:tc>
          <w:tcPr>
            <w:tcW w:w="636" w:type="dxa"/>
            <w:tcBorders>
              <w:top w:val="single" w:sz="4" w:space="0" w:color="auto"/>
            </w:tcBorders>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0.60</w:t>
            </w:r>
          </w:p>
        </w:tc>
        <w:tc>
          <w:tcPr>
            <w:tcW w:w="838" w:type="dxa"/>
            <w:gridSpan w:val="2"/>
            <w:tcBorders>
              <w:top w:val="single" w:sz="4" w:space="0" w:color="auto"/>
            </w:tcBorders>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502.44</w:t>
            </w:r>
          </w:p>
        </w:tc>
        <w:tc>
          <w:tcPr>
            <w:tcW w:w="838" w:type="dxa"/>
            <w:tcBorders>
              <w:top w:val="single" w:sz="4" w:space="0" w:color="auto"/>
            </w:tcBorders>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224.84</w:t>
            </w:r>
          </w:p>
        </w:tc>
        <w:tc>
          <w:tcPr>
            <w:tcW w:w="737" w:type="dxa"/>
            <w:tcBorders>
              <w:top w:val="single" w:sz="4" w:space="0" w:color="auto"/>
            </w:tcBorders>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2.42</w:t>
            </w:r>
          </w:p>
        </w:tc>
        <w:tc>
          <w:tcPr>
            <w:tcW w:w="838" w:type="dxa"/>
            <w:gridSpan w:val="2"/>
            <w:tcBorders>
              <w:top w:val="single" w:sz="4" w:space="0" w:color="auto"/>
            </w:tcBorders>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0.7513</w:t>
            </w:r>
          </w:p>
        </w:tc>
      </w:tr>
      <w:tr w:rsidR="00A15CD9" w:rsidRPr="00381700" w:rsidTr="00381700">
        <w:trPr>
          <w:trHeight w:val="117"/>
        </w:trPr>
        <w:tc>
          <w:tcPr>
            <w:tcW w:w="669" w:type="dxa"/>
            <w:shd w:val="clear" w:color="auto" w:fill="auto"/>
            <w:noWrap/>
            <w:vAlign w:val="bottom"/>
            <w:hideMark/>
          </w:tcPr>
          <w:p w:rsidR="00A15CD9" w:rsidRPr="00381700" w:rsidRDefault="00A15CD9" w:rsidP="00195B60">
            <w:pPr>
              <w:jc w:val="center"/>
              <w:rPr>
                <w:rFonts w:ascii="Arial" w:hAnsi="Arial" w:cs="Arial"/>
                <w:b/>
                <w:bCs/>
                <w:color w:val="000000"/>
                <w:sz w:val="18"/>
                <w:szCs w:val="18"/>
                <w:lang w:eastAsia="en-IN" w:bidi="mr-IN"/>
              </w:rPr>
            </w:pPr>
            <w:r w:rsidRPr="00381700">
              <w:rPr>
                <w:rFonts w:ascii="Arial" w:hAnsi="Arial" w:cs="Arial"/>
                <w:b/>
                <w:bCs/>
                <w:color w:val="000000"/>
                <w:sz w:val="18"/>
                <w:szCs w:val="18"/>
                <w:lang w:eastAsia="en-IN" w:bidi="mr-IN"/>
              </w:rPr>
              <w:t>2021</w:t>
            </w:r>
          </w:p>
        </w:tc>
        <w:tc>
          <w:tcPr>
            <w:tcW w:w="763" w:type="dxa"/>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35.41</w:t>
            </w:r>
          </w:p>
        </w:tc>
        <w:tc>
          <w:tcPr>
            <w:tcW w:w="951" w:type="dxa"/>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10.6321</w:t>
            </w:r>
          </w:p>
        </w:tc>
        <w:tc>
          <w:tcPr>
            <w:tcW w:w="737" w:type="dxa"/>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-2.344</w:t>
            </w:r>
          </w:p>
        </w:tc>
        <w:tc>
          <w:tcPr>
            <w:tcW w:w="688" w:type="dxa"/>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5.97</w:t>
            </w:r>
          </w:p>
        </w:tc>
        <w:tc>
          <w:tcPr>
            <w:tcW w:w="763" w:type="dxa"/>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2.66</w:t>
            </w:r>
          </w:p>
        </w:tc>
        <w:tc>
          <w:tcPr>
            <w:tcW w:w="623" w:type="dxa"/>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1.14</w:t>
            </w:r>
          </w:p>
        </w:tc>
        <w:tc>
          <w:tcPr>
            <w:tcW w:w="838" w:type="dxa"/>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0.4068</w:t>
            </w:r>
          </w:p>
        </w:tc>
        <w:tc>
          <w:tcPr>
            <w:tcW w:w="636" w:type="dxa"/>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0.07</w:t>
            </w:r>
          </w:p>
        </w:tc>
        <w:tc>
          <w:tcPr>
            <w:tcW w:w="838" w:type="dxa"/>
            <w:gridSpan w:val="2"/>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173.93</w:t>
            </w:r>
          </w:p>
        </w:tc>
        <w:tc>
          <w:tcPr>
            <w:tcW w:w="838" w:type="dxa"/>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76.29</w:t>
            </w:r>
          </w:p>
        </w:tc>
        <w:tc>
          <w:tcPr>
            <w:tcW w:w="737" w:type="dxa"/>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3.83</w:t>
            </w:r>
          </w:p>
        </w:tc>
        <w:tc>
          <w:tcPr>
            <w:tcW w:w="838" w:type="dxa"/>
            <w:gridSpan w:val="2"/>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0.6921</w:t>
            </w:r>
          </w:p>
        </w:tc>
      </w:tr>
      <w:tr w:rsidR="00A15CD9" w:rsidRPr="00381700" w:rsidTr="00381700">
        <w:trPr>
          <w:trHeight w:val="117"/>
        </w:trPr>
        <w:tc>
          <w:tcPr>
            <w:tcW w:w="669" w:type="dxa"/>
            <w:shd w:val="clear" w:color="auto" w:fill="auto"/>
            <w:noWrap/>
            <w:vAlign w:val="bottom"/>
            <w:hideMark/>
          </w:tcPr>
          <w:p w:rsidR="00A15CD9" w:rsidRPr="00381700" w:rsidRDefault="00A15CD9" w:rsidP="00195B60">
            <w:pPr>
              <w:jc w:val="center"/>
              <w:rPr>
                <w:rFonts w:ascii="Arial" w:hAnsi="Arial" w:cs="Arial"/>
                <w:b/>
                <w:bCs/>
                <w:color w:val="000000"/>
                <w:sz w:val="18"/>
                <w:szCs w:val="18"/>
                <w:lang w:eastAsia="en-IN" w:bidi="mr-IN"/>
              </w:rPr>
            </w:pPr>
            <w:r w:rsidRPr="00381700">
              <w:rPr>
                <w:rFonts w:ascii="Arial" w:hAnsi="Arial" w:cs="Arial"/>
                <w:b/>
                <w:bCs/>
                <w:color w:val="000000"/>
                <w:sz w:val="18"/>
                <w:szCs w:val="18"/>
                <w:lang w:eastAsia="en-IN" w:bidi="mr-IN"/>
              </w:rPr>
              <w:t>2022</w:t>
            </w:r>
          </w:p>
        </w:tc>
        <w:tc>
          <w:tcPr>
            <w:tcW w:w="763" w:type="dxa"/>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36.26</w:t>
            </w:r>
          </w:p>
        </w:tc>
        <w:tc>
          <w:tcPr>
            <w:tcW w:w="951" w:type="dxa"/>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20.7290</w:t>
            </w:r>
          </w:p>
        </w:tc>
        <w:tc>
          <w:tcPr>
            <w:tcW w:w="737" w:type="dxa"/>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-1.655</w:t>
            </w:r>
          </w:p>
        </w:tc>
        <w:tc>
          <w:tcPr>
            <w:tcW w:w="688" w:type="dxa"/>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3.00</w:t>
            </w:r>
          </w:p>
        </w:tc>
        <w:tc>
          <w:tcPr>
            <w:tcW w:w="763" w:type="dxa"/>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2.18</w:t>
            </w:r>
          </w:p>
        </w:tc>
        <w:tc>
          <w:tcPr>
            <w:tcW w:w="623" w:type="dxa"/>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0.78</w:t>
            </w:r>
          </w:p>
        </w:tc>
        <w:tc>
          <w:tcPr>
            <w:tcW w:w="838" w:type="dxa"/>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-0.8011</w:t>
            </w:r>
          </w:p>
        </w:tc>
        <w:tc>
          <w:tcPr>
            <w:tcW w:w="636" w:type="dxa"/>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1.27</w:t>
            </w:r>
          </w:p>
        </w:tc>
        <w:tc>
          <w:tcPr>
            <w:tcW w:w="838" w:type="dxa"/>
            <w:gridSpan w:val="2"/>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18.56</w:t>
            </w:r>
          </w:p>
        </w:tc>
        <w:tc>
          <w:tcPr>
            <w:tcW w:w="838" w:type="dxa"/>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5.46</w:t>
            </w:r>
          </w:p>
        </w:tc>
        <w:tc>
          <w:tcPr>
            <w:tcW w:w="737" w:type="dxa"/>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3.99</w:t>
            </w:r>
          </w:p>
        </w:tc>
        <w:tc>
          <w:tcPr>
            <w:tcW w:w="838" w:type="dxa"/>
            <w:gridSpan w:val="2"/>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0.1442</w:t>
            </w:r>
          </w:p>
        </w:tc>
      </w:tr>
      <w:tr w:rsidR="00A15CD9" w:rsidRPr="00381700" w:rsidTr="00381700">
        <w:trPr>
          <w:trHeight w:val="117"/>
        </w:trPr>
        <w:tc>
          <w:tcPr>
            <w:tcW w:w="669" w:type="dxa"/>
            <w:shd w:val="clear" w:color="auto" w:fill="auto"/>
            <w:noWrap/>
            <w:vAlign w:val="bottom"/>
            <w:hideMark/>
          </w:tcPr>
          <w:p w:rsidR="00A15CD9" w:rsidRPr="00381700" w:rsidRDefault="00A15CD9" w:rsidP="00195B60">
            <w:pPr>
              <w:jc w:val="center"/>
              <w:rPr>
                <w:rFonts w:ascii="Arial" w:hAnsi="Arial" w:cs="Arial"/>
                <w:b/>
                <w:bCs/>
                <w:color w:val="000000"/>
                <w:sz w:val="18"/>
                <w:szCs w:val="18"/>
                <w:lang w:eastAsia="en-IN" w:bidi="mr-IN"/>
              </w:rPr>
            </w:pPr>
            <w:r w:rsidRPr="00381700">
              <w:rPr>
                <w:rFonts w:ascii="Arial" w:hAnsi="Arial" w:cs="Arial"/>
                <w:b/>
                <w:bCs/>
                <w:color w:val="000000"/>
                <w:sz w:val="18"/>
                <w:szCs w:val="18"/>
                <w:lang w:eastAsia="en-IN" w:bidi="mr-IN"/>
              </w:rPr>
              <w:t>2023</w:t>
            </w:r>
          </w:p>
        </w:tc>
        <w:tc>
          <w:tcPr>
            <w:tcW w:w="763" w:type="dxa"/>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54.51</w:t>
            </w:r>
          </w:p>
        </w:tc>
        <w:tc>
          <w:tcPr>
            <w:tcW w:w="951" w:type="dxa"/>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19.1052</w:t>
            </w:r>
          </w:p>
        </w:tc>
        <w:tc>
          <w:tcPr>
            <w:tcW w:w="737" w:type="dxa"/>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-1.158</w:t>
            </w:r>
          </w:p>
        </w:tc>
        <w:tc>
          <w:tcPr>
            <w:tcW w:w="688" w:type="dxa"/>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0.70</w:t>
            </w:r>
          </w:p>
        </w:tc>
        <w:tc>
          <w:tcPr>
            <w:tcW w:w="763" w:type="dxa"/>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1.69</w:t>
            </w:r>
          </w:p>
        </w:tc>
        <w:tc>
          <w:tcPr>
            <w:tcW w:w="623" w:type="dxa"/>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0.71</w:t>
            </w:r>
          </w:p>
        </w:tc>
        <w:tc>
          <w:tcPr>
            <w:tcW w:w="838" w:type="dxa"/>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1.7126</w:t>
            </w:r>
          </w:p>
        </w:tc>
        <w:tc>
          <w:tcPr>
            <w:tcW w:w="636" w:type="dxa"/>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6.66</w:t>
            </w:r>
          </w:p>
        </w:tc>
        <w:tc>
          <w:tcPr>
            <w:tcW w:w="838" w:type="dxa"/>
            <w:gridSpan w:val="2"/>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98.73</w:t>
            </w:r>
          </w:p>
        </w:tc>
        <w:tc>
          <w:tcPr>
            <w:tcW w:w="838" w:type="dxa"/>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45.77</w:t>
            </w:r>
          </w:p>
        </w:tc>
        <w:tc>
          <w:tcPr>
            <w:tcW w:w="737" w:type="dxa"/>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3.94</w:t>
            </w:r>
          </w:p>
        </w:tc>
        <w:tc>
          <w:tcPr>
            <w:tcW w:w="838" w:type="dxa"/>
            <w:gridSpan w:val="2"/>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-0.572</w:t>
            </w:r>
          </w:p>
        </w:tc>
      </w:tr>
      <w:tr w:rsidR="00A15CD9" w:rsidRPr="00381700" w:rsidTr="00381700">
        <w:trPr>
          <w:trHeight w:val="117"/>
        </w:trPr>
        <w:tc>
          <w:tcPr>
            <w:tcW w:w="669" w:type="dxa"/>
            <w:tcBorders>
              <w:bottom w:val="single" w:sz="4" w:space="0" w:color="auto"/>
            </w:tcBorders>
            <w:shd w:val="clear" w:color="auto" w:fill="auto"/>
            <w:noWrap/>
            <w:vAlign w:val="bottom"/>
            <w:hideMark/>
          </w:tcPr>
          <w:p w:rsidR="00A15CD9" w:rsidRPr="00381700" w:rsidRDefault="00A15CD9" w:rsidP="00195B60">
            <w:pPr>
              <w:jc w:val="center"/>
              <w:rPr>
                <w:rFonts w:ascii="Arial" w:hAnsi="Arial" w:cs="Arial"/>
                <w:b/>
                <w:bCs/>
                <w:color w:val="000000"/>
                <w:sz w:val="18"/>
                <w:szCs w:val="18"/>
                <w:lang w:eastAsia="en-IN" w:bidi="mr-IN"/>
              </w:rPr>
            </w:pPr>
            <w:r w:rsidRPr="00381700">
              <w:rPr>
                <w:rFonts w:ascii="Arial" w:hAnsi="Arial" w:cs="Arial"/>
                <w:b/>
                <w:bCs/>
                <w:color w:val="000000"/>
                <w:sz w:val="18"/>
                <w:szCs w:val="18"/>
                <w:lang w:eastAsia="en-IN" w:bidi="mr-IN"/>
              </w:rPr>
              <w:t>2024</w:t>
            </w:r>
          </w:p>
        </w:tc>
        <w:tc>
          <w:tcPr>
            <w:tcW w:w="763" w:type="dxa"/>
            <w:tcBorders>
              <w:bottom w:val="single" w:sz="4" w:space="0" w:color="auto"/>
            </w:tcBorders>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54.78</w:t>
            </w:r>
          </w:p>
        </w:tc>
        <w:tc>
          <w:tcPr>
            <w:tcW w:w="951" w:type="dxa"/>
            <w:tcBorders>
              <w:bottom w:val="single" w:sz="4" w:space="0" w:color="auto"/>
            </w:tcBorders>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19.1052</w:t>
            </w:r>
          </w:p>
        </w:tc>
        <w:tc>
          <w:tcPr>
            <w:tcW w:w="737" w:type="dxa"/>
            <w:tcBorders>
              <w:bottom w:val="single" w:sz="4" w:space="0" w:color="auto"/>
            </w:tcBorders>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-1.031</w:t>
            </w:r>
          </w:p>
        </w:tc>
        <w:tc>
          <w:tcPr>
            <w:tcW w:w="688" w:type="dxa"/>
            <w:tcBorders>
              <w:bottom w:val="single" w:sz="4" w:space="0" w:color="auto"/>
            </w:tcBorders>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1.50</w:t>
            </w:r>
          </w:p>
        </w:tc>
        <w:tc>
          <w:tcPr>
            <w:tcW w:w="763" w:type="dxa"/>
            <w:tcBorders>
              <w:bottom w:val="single" w:sz="4" w:space="0" w:color="auto"/>
            </w:tcBorders>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2.52</w:t>
            </w:r>
          </w:p>
        </w:tc>
        <w:tc>
          <w:tcPr>
            <w:tcW w:w="623" w:type="dxa"/>
            <w:tcBorders>
              <w:bottom w:val="single" w:sz="4" w:space="0" w:color="auto"/>
            </w:tcBorders>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0.86</w:t>
            </w:r>
          </w:p>
        </w:tc>
        <w:tc>
          <w:tcPr>
            <w:tcW w:w="838" w:type="dxa"/>
            <w:tcBorders>
              <w:bottom w:val="single" w:sz="4" w:space="0" w:color="auto"/>
            </w:tcBorders>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-0.2690</w:t>
            </w:r>
          </w:p>
        </w:tc>
        <w:tc>
          <w:tcPr>
            <w:tcW w:w="636" w:type="dxa"/>
            <w:tcBorders>
              <w:bottom w:val="single" w:sz="4" w:space="0" w:color="auto"/>
            </w:tcBorders>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1.27</w:t>
            </w:r>
          </w:p>
        </w:tc>
        <w:tc>
          <w:tcPr>
            <w:tcW w:w="838" w:type="dxa"/>
            <w:gridSpan w:val="2"/>
            <w:tcBorders>
              <w:bottom w:val="single" w:sz="4" w:space="0" w:color="auto"/>
            </w:tcBorders>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240.97</w:t>
            </w:r>
          </w:p>
        </w:tc>
        <w:tc>
          <w:tcPr>
            <w:tcW w:w="838" w:type="dxa"/>
            <w:tcBorders>
              <w:bottom w:val="single" w:sz="4" w:space="0" w:color="auto"/>
            </w:tcBorders>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95.07</w:t>
            </w:r>
          </w:p>
        </w:tc>
        <w:tc>
          <w:tcPr>
            <w:tcW w:w="737" w:type="dxa"/>
            <w:tcBorders>
              <w:bottom w:val="single" w:sz="4" w:space="0" w:color="auto"/>
            </w:tcBorders>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3.71</w:t>
            </w:r>
          </w:p>
        </w:tc>
        <w:tc>
          <w:tcPr>
            <w:tcW w:w="838" w:type="dxa"/>
            <w:gridSpan w:val="2"/>
            <w:tcBorders>
              <w:bottom w:val="single" w:sz="4" w:space="0" w:color="auto"/>
            </w:tcBorders>
            <w:shd w:val="clear" w:color="auto" w:fill="auto"/>
            <w:noWrap/>
            <w:vAlign w:val="bottom"/>
            <w:hideMark/>
          </w:tcPr>
          <w:p w:rsidR="00A15CD9" w:rsidRPr="00381700" w:rsidRDefault="00A15CD9" w:rsidP="00195B60">
            <w:pPr>
              <w:rPr>
                <w:rFonts w:ascii="Arial" w:hAnsi="Arial" w:cs="Arial"/>
                <w:color w:val="000000"/>
                <w:sz w:val="18"/>
                <w:szCs w:val="18"/>
                <w:lang w:eastAsia="en-IN" w:bidi="mr-IN"/>
              </w:rPr>
            </w:pPr>
            <w:r w:rsidRPr="00381700">
              <w:rPr>
                <w:rFonts w:ascii="Arial" w:hAnsi="Arial" w:cs="Arial"/>
                <w:color w:val="000000"/>
                <w:sz w:val="18"/>
                <w:szCs w:val="18"/>
                <w:lang w:eastAsia="en-IN" w:bidi="mr-IN"/>
              </w:rPr>
              <w:t>2.5129</w:t>
            </w:r>
          </w:p>
        </w:tc>
      </w:tr>
    </w:tbl>
    <w:p w:rsidR="00143DCA" w:rsidRPr="00E7346B" w:rsidRDefault="00E7346B" w:rsidP="00143DCA">
      <w:pPr>
        <w:spacing w:before="240"/>
        <w:jc w:val="both"/>
        <w:rPr>
          <w:rFonts w:ascii="Arial" w:hAnsi="Arial" w:cs="Arial"/>
          <w:b/>
          <w:bCs/>
          <w:color w:val="000000"/>
          <w:sz w:val="22"/>
          <w:szCs w:val="22"/>
        </w:rPr>
      </w:pPr>
      <w:r w:rsidRPr="00E7346B">
        <w:rPr>
          <w:rFonts w:ascii="Arial" w:hAnsi="Arial" w:cs="Arial"/>
          <w:b/>
          <w:bCs/>
          <w:color w:val="000000"/>
          <w:sz w:val="22"/>
          <w:szCs w:val="22"/>
        </w:rPr>
        <w:t>3</w:t>
      </w:r>
      <w:r w:rsidR="00143DCA" w:rsidRPr="00E7346B">
        <w:rPr>
          <w:rFonts w:ascii="Arial" w:hAnsi="Arial" w:cs="Arial"/>
          <w:b/>
          <w:bCs/>
          <w:color w:val="000000"/>
          <w:sz w:val="22"/>
          <w:szCs w:val="22"/>
        </w:rPr>
        <w:t>.2 Organic parameters</w:t>
      </w:r>
    </w:p>
    <w:p w:rsidR="00DF74D0" w:rsidRPr="00DF74D0" w:rsidRDefault="00DF74D0" w:rsidP="005B1F50">
      <w:pPr>
        <w:pStyle w:val="Body"/>
        <w:spacing w:before="240" w:after="0"/>
        <w:rPr>
          <w:rFonts w:ascii="Arial" w:hAnsi="Arial" w:cs="Arial"/>
        </w:rPr>
      </w:pPr>
      <w:r w:rsidRPr="00DF74D0">
        <w:rPr>
          <w:rFonts w:ascii="Arial" w:hAnsi="Arial" w:cs="Arial"/>
        </w:rPr>
        <w:t>A study of oxygen demand parameters is essential to estimate the level of organic pollution in the water (</w:t>
      </w:r>
      <w:proofErr w:type="spellStart"/>
      <w:r w:rsidRPr="00DF74D0">
        <w:rPr>
          <w:rFonts w:ascii="Arial" w:hAnsi="Arial" w:cs="Arial"/>
        </w:rPr>
        <w:t>Vasistha</w:t>
      </w:r>
      <w:proofErr w:type="spellEnd"/>
      <w:r w:rsidRPr="00DF74D0">
        <w:rPr>
          <w:rFonts w:ascii="Arial" w:hAnsi="Arial" w:cs="Arial"/>
        </w:rPr>
        <w:t xml:space="preserve"> and </w:t>
      </w:r>
      <w:proofErr w:type="spellStart"/>
      <w:r w:rsidRPr="00DF74D0">
        <w:rPr>
          <w:rFonts w:ascii="Arial" w:hAnsi="Arial" w:cs="Arial"/>
        </w:rPr>
        <w:t>Ganguly</w:t>
      </w:r>
      <w:proofErr w:type="spellEnd"/>
      <w:r w:rsidRPr="00DF74D0">
        <w:rPr>
          <w:rFonts w:ascii="Arial" w:hAnsi="Arial" w:cs="Arial"/>
        </w:rPr>
        <w:t xml:space="preserve"> 2020; </w:t>
      </w:r>
      <w:proofErr w:type="spellStart"/>
      <w:r w:rsidRPr="00DF74D0">
        <w:rPr>
          <w:rFonts w:ascii="Arial" w:hAnsi="Arial" w:cs="Arial"/>
        </w:rPr>
        <w:t>Karmakar</w:t>
      </w:r>
      <w:proofErr w:type="spellEnd"/>
      <w:r w:rsidRPr="00DF74D0">
        <w:rPr>
          <w:rFonts w:ascii="Arial" w:hAnsi="Arial" w:cs="Arial"/>
        </w:rPr>
        <w:t xml:space="preserve"> and Singh 2021b; </w:t>
      </w:r>
      <w:proofErr w:type="spellStart"/>
      <w:r w:rsidRPr="00DF74D0">
        <w:rPr>
          <w:rFonts w:ascii="Arial" w:hAnsi="Arial" w:cs="Arial"/>
        </w:rPr>
        <w:t>Lacalamita</w:t>
      </w:r>
      <w:proofErr w:type="spellEnd"/>
      <w:r w:rsidRPr="00DF74D0">
        <w:rPr>
          <w:rFonts w:ascii="Arial" w:hAnsi="Arial" w:cs="Arial"/>
        </w:rPr>
        <w:t xml:space="preserve"> et al. 2024). In the PMR region, BOD values vary adversely from 9 to 298 mg/l at different sites. At S-7 and S-11 sites, BOD was higher than at other sites, mainly due to the highest sewerage mixing from </w:t>
      </w:r>
      <w:proofErr w:type="spellStart"/>
      <w:r w:rsidRPr="00DF74D0">
        <w:rPr>
          <w:rFonts w:ascii="Arial" w:hAnsi="Arial" w:cs="Arial"/>
        </w:rPr>
        <w:t>nalas</w:t>
      </w:r>
      <w:proofErr w:type="spellEnd"/>
      <w:r w:rsidRPr="00DF74D0">
        <w:rPr>
          <w:rFonts w:ascii="Arial" w:hAnsi="Arial" w:cs="Arial"/>
        </w:rPr>
        <w:t xml:space="preserve"> and poorly maintained sewage pipes. Small-scale industries such as glass factories and scrap shops, and hotels of suburban areas like </w:t>
      </w:r>
      <w:proofErr w:type="spellStart"/>
      <w:r w:rsidRPr="00DF74D0">
        <w:rPr>
          <w:rFonts w:ascii="Arial" w:hAnsi="Arial" w:cs="Arial"/>
        </w:rPr>
        <w:t>Mundhawa</w:t>
      </w:r>
      <w:proofErr w:type="spellEnd"/>
      <w:r w:rsidRPr="00DF74D0">
        <w:rPr>
          <w:rFonts w:ascii="Arial" w:hAnsi="Arial" w:cs="Arial"/>
        </w:rPr>
        <w:t xml:space="preserve"> (S-13) and </w:t>
      </w:r>
      <w:proofErr w:type="spellStart"/>
      <w:r w:rsidRPr="00DF74D0">
        <w:rPr>
          <w:rFonts w:ascii="Arial" w:hAnsi="Arial" w:cs="Arial"/>
        </w:rPr>
        <w:t>Bopodi</w:t>
      </w:r>
      <w:proofErr w:type="spellEnd"/>
      <w:r w:rsidRPr="00DF74D0">
        <w:rPr>
          <w:rFonts w:ascii="Arial" w:hAnsi="Arial" w:cs="Arial"/>
        </w:rPr>
        <w:t xml:space="preserve"> (S-2), deteriorated the water quality. Comparatively lower BOD and COD together at upstream (S-5 and S-6) sample sites than at other clearly indicate anthropogenic stress over the PMR core city area. COD varied from 13.0 to 106 mg/l at different sampling sites. Highest COD value (S-12 406 mg/l) was in the order of S-12 &gt;S-1&gt;S-2&gt;S-3&gt;S-13. A negative correlation between BOD and DO contents for PMR water was recorded. Similar reports have been recorded in various WQI studies in India (Balasubramanian 2010; Pramanik, Majumdar, and Chatterjee 2020; </w:t>
      </w:r>
      <w:proofErr w:type="spellStart"/>
      <w:r w:rsidRPr="00DF74D0">
        <w:rPr>
          <w:rFonts w:ascii="Arial" w:hAnsi="Arial" w:cs="Arial"/>
        </w:rPr>
        <w:t>Karmakar</w:t>
      </w:r>
      <w:proofErr w:type="spellEnd"/>
      <w:r w:rsidRPr="00DF74D0">
        <w:rPr>
          <w:rFonts w:ascii="Arial" w:hAnsi="Arial" w:cs="Arial"/>
        </w:rPr>
        <w:t xml:space="preserve"> and Singh 2021; Dheeraj et al. 2023). </w:t>
      </w:r>
    </w:p>
    <w:p w:rsidR="00DF74D0" w:rsidRPr="009F05B2" w:rsidRDefault="00DF74D0" w:rsidP="00DF74D0">
      <w:pPr>
        <w:rPr>
          <w:rFonts w:ascii="Arial" w:hAnsi="Arial" w:cs="Arial"/>
          <w:b/>
        </w:rPr>
      </w:pPr>
      <w:r w:rsidRPr="00DF74D0">
        <w:rPr>
          <w:rFonts w:ascii="Arial" w:hAnsi="Arial" w:cs="Arial"/>
        </w:rPr>
        <w:lastRenderedPageBreak/>
        <w:t xml:space="preserve"> </w:t>
      </w:r>
      <w:r w:rsidRPr="009F05B2">
        <w:rPr>
          <w:rFonts w:ascii="Arial" w:hAnsi="Arial" w:cs="Arial"/>
          <w:noProof/>
        </w:rPr>
        <w:drawing>
          <wp:inline distT="0" distB="0" distL="0" distR="0" wp14:anchorId="595D051A" wp14:editId="60999261">
            <wp:extent cx="5654649" cy="4451181"/>
            <wp:effectExtent l="19050" t="19050" r="2286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6993" cy="4460898"/>
                    </a:xfrm>
                    <a:prstGeom prst="rect">
                      <a:avLst/>
                    </a:prstGeom>
                    <a:noFill/>
                    <a:ln>
                      <a:solidFill>
                        <a:schemeClr val="tx1"/>
                      </a:solidFill>
                    </a:ln>
                  </pic:spPr>
                </pic:pic>
              </a:graphicData>
            </a:graphic>
          </wp:inline>
        </w:drawing>
      </w:r>
    </w:p>
    <w:p w:rsidR="00DF74D0" w:rsidRPr="009F05B2" w:rsidRDefault="00DF74D0" w:rsidP="004D2E19">
      <w:pPr>
        <w:shd w:val="clear" w:color="auto" w:fill="FFFFFF"/>
        <w:spacing w:before="240" w:after="240"/>
        <w:ind w:left="990" w:hanging="990"/>
        <w:jc w:val="both"/>
        <w:rPr>
          <w:rFonts w:ascii="Arial" w:hAnsi="Arial" w:cs="Arial"/>
          <w:b/>
          <w:bCs/>
          <w:color w:val="000000"/>
          <w:lang w:eastAsia="en-IN" w:bidi="mr-IN"/>
        </w:rPr>
      </w:pPr>
      <w:r w:rsidRPr="009F05B2">
        <w:rPr>
          <w:rFonts w:ascii="Arial" w:hAnsi="Arial" w:cs="Arial"/>
          <w:b/>
          <w:bCs/>
          <w:color w:val="000000"/>
          <w:lang w:eastAsia="en-IN" w:bidi="mr-IN"/>
        </w:rPr>
        <w:t>Fig. 2. Plotting of trends of six water quality parameters at 13 sampling sites between 2020 and 2024 (a) pH, (b) DO, (c) BOD, (d) COD, (e) NO</w:t>
      </w:r>
      <w:r w:rsidRPr="009F05B2">
        <w:rPr>
          <w:rFonts w:ascii="Cambria Math" w:hAnsi="Cambria Math" w:cs="Cambria Math"/>
          <w:b/>
          <w:bCs/>
          <w:color w:val="000000"/>
          <w:lang w:eastAsia="en-IN" w:bidi="mr-IN"/>
        </w:rPr>
        <w:t>₃⁻</w:t>
      </w:r>
      <w:r w:rsidRPr="009F05B2">
        <w:rPr>
          <w:rFonts w:ascii="Arial" w:hAnsi="Arial" w:cs="Arial"/>
          <w:b/>
          <w:bCs/>
          <w:color w:val="000000"/>
          <w:lang w:eastAsia="en-IN" w:bidi="mr-IN"/>
        </w:rPr>
        <w:t>, and (f) fecal coliform (MPN 100 mL</w:t>
      </w:r>
      <w:r w:rsidRPr="009F05B2">
        <w:rPr>
          <w:rFonts w:ascii="Cambria Math" w:hAnsi="Cambria Math" w:cs="Cambria Math"/>
          <w:b/>
          <w:bCs/>
          <w:color w:val="000000"/>
          <w:lang w:eastAsia="en-IN" w:bidi="mr-IN"/>
        </w:rPr>
        <w:t>⁻</w:t>
      </w:r>
      <w:r w:rsidRPr="009F05B2">
        <w:rPr>
          <w:rFonts w:ascii="Arial" w:hAnsi="Arial" w:cs="Arial"/>
          <w:b/>
          <w:bCs/>
          <w:color w:val="000000"/>
          <w:lang w:eastAsia="en-IN" w:bidi="mr-IN"/>
        </w:rPr>
        <w:t>¹). Symbols denote sampling years.</w:t>
      </w:r>
    </w:p>
    <w:p w:rsidR="00502516" w:rsidRDefault="00DF74D0" w:rsidP="00DF74D0">
      <w:pPr>
        <w:pStyle w:val="Body"/>
        <w:spacing w:after="0"/>
        <w:rPr>
          <w:rFonts w:ascii="Arial" w:hAnsi="Arial" w:cs="Arial"/>
        </w:rPr>
      </w:pPr>
      <w:r w:rsidRPr="00DF74D0">
        <w:rPr>
          <w:rFonts w:ascii="Arial" w:hAnsi="Arial" w:cs="Arial"/>
        </w:rPr>
        <w:t xml:space="preserve">The effects of sewage drainage and urban runoff on river water quality have been confirmed by earlier research (Son et al. 2020; </w:t>
      </w:r>
      <w:proofErr w:type="spellStart"/>
      <w:r w:rsidRPr="00DF74D0">
        <w:rPr>
          <w:rFonts w:ascii="Arial" w:hAnsi="Arial" w:cs="Arial"/>
        </w:rPr>
        <w:t>Hinostroza</w:t>
      </w:r>
      <w:proofErr w:type="spellEnd"/>
      <w:r w:rsidRPr="00DF74D0">
        <w:rPr>
          <w:rFonts w:ascii="Arial" w:hAnsi="Arial" w:cs="Arial"/>
        </w:rPr>
        <w:t xml:space="preserve"> et al. 2025a). When evaluating the effects of </w:t>
      </w:r>
      <w:proofErr w:type="spellStart"/>
      <w:r w:rsidRPr="00DF74D0">
        <w:rPr>
          <w:rFonts w:ascii="Arial" w:hAnsi="Arial" w:cs="Arial"/>
        </w:rPr>
        <w:t>urbanisation</w:t>
      </w:r>
      <w:proofErr w:type="spellEnd"/>
      <w:r w:rsidRPr="00DF74D0">
        <w:rPr>
          <w:rFonts w:ascii="Arial" w:hAnsi="Arial" w:cs="Arial"/>
        </w:rPr>
        <w:t xml:space="preserve"> on river ecosystems, DO may be a useful indicator of river quality (</w:t>
      </w:r>
      <w:proofErr w:type="spellStart"/>
      <w:r w:rsidRPr="00DF74D0">
        <w:rPr>
          <w:rFonts w:ascii="Arial" w:hAnsi="Arial" w:cs="Arial"/>
        </w:rPr>
        <w:t>Kulandaivel</w:t>
      </w:r>
      <w:proofErr w:type="spellEnd"/>
      <w:r w:rsidRPr="00DF74D0">
        <w:rPr>
          <w:rFonts w:ascii="Arial" w:hAnsi="Arial" w:cs="Arial"/>
        </w:rPr>
        <w:t xml:space="preserve"> et al. 2009). DO varied from 2.8 to 5.2 mg/l. S-6 has the highest mean DO, followed by S-1 and S-8, as shown in Fig. </w:t>
      </w:r>
      <w:proofErr w:type="gramStart"/>
      <w:r w:rsidRPr="00DF74D0">
        <w:rPr>
          <w:rFonts w:ascii="Arial" w:hAnsi="Arial" w:cs="Arial"/>
        </w:rPr>
        <w:t>2.</w:t>
      </w:r>
      <w:r w:rsidR="00502516" w:rsidRPr="00502516">
        <w:rPr>
          <w:rFonts w:ascii="Arial" w:hAnsi="Arial" w:cs="Arial"/>
        </w:rPr>
        <w:t>.</w:t>
      </w:r>
      <w:proofErr w:type="gramEnd"/>
      <w:r w:rsidR="00502516" w:rsidRPr="00502516">
        <w:rPr>
          <w:rFonts w:ascii="Arial" w:hAnsi="Arial" w:cs="Arial"/>
        </w:rPr>
        <w:t xml:space="preserve"> </w:t>
      </w:r>
    </w:p>
    <w:p w:rsidR="00790ADA" w:rsidRDefault="00790ADA" w:rsidP="00441B6F">
      <w:pPr>
        <w:pStyle w:val="Body"/>
        <w:spacing w:after="0"/>
        <w:rPr>
          <w:rFonts w:ascii="Arial" w:hAnsi="Arial" w:cs="Arial"/>
        </w:rPr>
      </w:pPr>
    </w:p>
    <w:p w:rsidR="00E7346B" w:rsidRPr="005C0A67" w:rsidRDefault="00E7346B" w:rsidP="005B1F50">
      <w:pPr>
        <w:spacing w:after="240"/>
        <w:jc w:val="both"/>
        <w:rPr>
          <w:rFonts w:ascii="Arial" w:hAnsi="Arial" w:cs="Arial"/>
          <w:b/>
          <w:bCs/>
          <w:color w:val="000000"/>
          <w:sz w:val="22"/>
          <w:szCs w:val="22"/>
        </w:rPr>
      </w:pPr>
      <w:r w:rsidRPr="005C0A67">
        <w:rPr>
          <w:rFonts w:ascii="Arial" w:hAnsi="Arial" w:cs="Arial"/>
          <w:b/>
          <w:bCs/>
          <w:color w:val="000000"/>
          <w:sz w:val="22"/>
          <w:szCs w:val="22"/>
        </w:rPr>
        <w:t>3.3 Microbial parameters</w:t>
      </w:r>
    </w:p>
    <w:p w:rsidR="005C0A67" w:rsidRDefault="00DF74D0" w:rsidP="00441B6F">
      <w:pPr>
        <w:pStyle w:val="Body"/>
        <w:spacing w:after="0"/>
        <w:rPr>
          <w:rFonts w:ascii="Arial" w:hAnsi="Arial" w:cs="Arial"/>
        </w:rPr>
      </w:pPr>
      <w:r w:rsidRPr="00DF74D0">
        <w:rPr>
          <w:rFonts w:ascii="Arial" w:hAnsi="Arial" w:cs="Arial"/>
        </w:rPr>
        <w:t>In urban waterbodies, fecal coliforms (FC) are an indicator of fecal bacterial contamination (</w:t>
      </w:r>
      <w:proofErr w:type="spellStart"/>
      <w:r w:rsidRPr="00DF74D0">
        <w:rPr>
          <w:rFonts w:ascii="Arial" w:hAnsi="Arial" w:cs="Arial"/>
        </w:rPr>
        <w:t>Thériault</w:t>
      </w:r>
      <w:proofErr w:type="spellEnd"/>
      <w:r w:rsidRPr="00DF74D0">
        <w:rPr>
          <w:rFonts w:ascii="Arial" w:hAnsi="Arial" w:cs="Arial"/>
        </w:rPr>
        <w:t xml:space="preserve"> and Duchesne 2015). Sources of FC are often numerous but difficult to identify. In the present study, FC varies from 12.83 to 701.36 </w:t>
      </w:r>
      <w:proofErr w:type="spellStart"/>
      <w:r w:rsidRPr="00DF74D0">
        <w:rPr>
          <w:rFonts w:ascii="Arial" w:hAnsi="Arial" w:cs="Arial"/>
        </w:rPr>
        <w:t>mpn</w:t>
      </w:r>
      <w:proofErr w:type="spellEnd"/>
      <w:r w:rsidRPr="00DF74D0">
        <w:rPr>
          <w:rFonts w:ascii="Arial" w:hAnsi="Arial" w:cs="Arial"/>
        </w:rPr>
        <w:t xml:space="preserve">/100, indicating tremendous variation of values in the sample sites. The highest value recorded at S-7 (701.36 </w:t>
      </w:r>
      <w:proofErr w:type="spellStart"/>
      <w:r w:rsidRPr="00DF74D0">
        <w:rPr>
          <w:rFonts w:ascii="Arial" w:hAnsi="Arial" w:cs="Arial"/>
        </w:rPr>
        <w:t>mpn</w:t>
      </w:r>
      <w:proofErr w:type="spellEnd"/>
      <w:r w:rsidRPr="00DF74D0">
        <w:rPr>
          <w:rFonts w:ascii="Arial" w:hAnsi="Arial" w:cs="Arial"/>
        </w:rPr>
        <w:t xml:space="preserve">/100) compared to the national average (200 </w:t>
      </w:r>
      <w:proofErr w:type="spellStart"/>
      <w:r w:rsidRPr="00DF74D0">
        <w:rPr>
          <w:rFonts w:ascii="Arial" w:hAnsi="Arial" w:cs="Arial"/>
        </w:rPr>
        <w:t>mpn</w:t>
      </w:r>
      <w:proofErr w:type="spellEnd"/>
      <w:r w:rsidRPr="00DF74D0">
        <w:rPr>
          <w:rFonts w:ascii="Arial" w:hAnsi="Arial" w:cs="Arial"/>
        </w:rPr>
        <w:t xml:space="preserve">/100) indicates severe pathogenic contamination in the sample water could be due to untreated urban sewage being directly discharged into the Mutha River at Savarkar Bhavan near </w:t>
      </w:r>
      <w:proofErr w:type="spellStart"/>
      <w:r w:rsidRPr="00DF74D0">
        <w:rPr>
          <w:rFonts w:ascii="Arial" w:hAnsi="Arial" w:cs="Arial"/>
        </w:rPr>
        <w:t>Warje</w:t>
      </w:r>
      <w:proofErr w:type="spellEnd"/>
      <w:r w:rsidRPr="00DF74D0">
        <w:rPr>
          <w:rFonts w:ascii="Arial" w:hAnsi="Arial" w:cs="Arial"/>
        </w:rPr>
        <w:t xml:space="preserve"> bridge (S-7). </w:t>
      </w:r>
    </w:p>
    <w:p w:rsidR="00DF74D0" w:rsidRDefault="00DF74D0" w:rsidP="00441B6F">
      <w:pPr>
        <w:pStyle w:val="Body"/>
        <w:spacing w:after="0"/>
        <w:rPr>
          <w:rFonts w:ascii="Arial" w:hAnsi="Arial" w:cs="Arial"/>
        </w:rPr>
      </w:pPr>
    </w:p>
    <w:p w:rsidR="005C0A67" w:rsidRPr="005C0A67" w:rsidRDefault="00432751" w:rsidP="005C0A67">
      <w:pPr>
        <w:jc w:val="both"/>
        <w:rPr>
          <w:rFonts w:ascii="Arial" w:hAnsi="Arial" w:cs="Arial"/>
          <w:b/>
          <w:bCs/>
          <w:color w:val="000000"/>
          <w:sz w:val="22"/>
          <w:szCs w:val="22"/>
        </w:rPr>
      </w:pPr>
      <w:r>
        <w:rPr>
          <w:rFonts w:ascii="Arial" w:hAnsi="Arial" w:cs="Arial"/>
          <w:b/>
          <w:bCs/>
          <w:color w:val="000000"/>
          <w:sz w:val="22"/>
          <w:szCs w:val="22"/>
        </w:rPr>
        <w:t>3</w:t>
      </w:r>
      <w:r w:rsidR="005C0A67" w:rsidRPr="005C0A67">
        <w:rPr>
          <w:rFonts w:ascii="Arial" w:hAnsi="Arial" w:cs="Arial"/>
          <w:b/>
          <w:bCs/>
          <w:color w:val="000000"/>
          <w:sz w:val="22"/>
          <w:szCs w:val="22"/>
        </w:rPr>
        <w:t>.4 Inorganic parameters</w:t>
      </w:r>
    </w:p>
    <w:p w:rsidR="00D8373B" w:rsidRPr="009F05B2" w:rsidRDefault="00D8373B" w:rsidP="005B1F50">
      <w:pPr>
        <w:autoSpaceDE w:val="0"/>
        <w:autoSpaceDN w:val="0"/>
        <w:adjustRightInd w:val="0"/>
        <w:spacing w:before="240" w:after="240"/>
        <w:jc w:val="both"/>
        <w:rPr>
          <w:rFonts w:ascii="Arial" w:hAnsi="Arial" w:cs="Arial"/>
          <w:lang w:eastAsia="en-IN" w:bidi="mr-IN"/>
        </w:rPr>
      </w:pPr>
      <w:r w:rsidRPr="009F05B2">
        <w:rPr>
          <w:rFonts w:ascii="Arial" w:eastAsia="MinionPro-Regular" w:hAnsi="Arial" w:cs="Arial"/>
          <w:lang w:bidi="mr-IN"/>
        </w:rPr>
        <w:lastRenderedPageBreak/>
        <w:t>Ions such as Clˉ and NO</w:t>
      </w:r>
      <w:r w:rsidRPr="009F05B2">
        <w:rPr>
          <w:rFonts w:ascii="Arial" w:eastAsia="MinionPro-Regular" w:hAnsi="Arial" w:cs="Arial"/>
          <w:vertAlign w:val="subscript"/>
          <w:lang w:bidi="mr-IN"/>
        </w:rPr>
        <w:t>3</w:t>
      </w:r>
      <w:r w:rsidRPr="009F05B2">
        <w:rPr>
          <w:rFonts w:ascii="Arial" w:eastAsia="MinionPro-Regular" w:hAnsi="Arial" w:cs="Arial"/>
          <w:lang w:bidi="mr-IN"/>
        </w:rPr>
        <w:t xml:space="preserve"> in water also affect water quality. The highest Clˉ level was recorded at S-13 (0.80 mg/l), which is within the permissible limit according to BISWQI. The highest NO</w:t>
      </w:r>
      <w:r w:rsidRPr="009F05B2">
        <w:rPr>
          <w:rFonts w:ascii="Arial" w:eastAsia="MinionPro-Regular" w:hAnsi="Arial" w:cs="Arial"/>
          <w:vertAlign w:val="subscript"/>
          <w:lang w:bidi="mr-IN"/>
        </w:rPr>
        <w:t>3</w:t>
      </w:r>
      <w:r w:rsidRPr="009F05B2">
        <w:rPr>
          <w:rFonts w:ascii="Arial" w:eastAsia="MinionPro-Regular" w:hAnsi="Arial" w:cs="Arial"/>
          <w:lang w:bidi="mr-IN"/>
        </w:rPr>
        <w:t xml:space="preserve"> level was recorded at S-7 (3.91 mg/l), which is almost near the allowable limit (4 mg/l). The results indicate that low chlorine levels can cause bacteria and biofilms to build up inside the water drainage pipes, which people</w:t>
      </w:r>
      <w:r w:rsidRPr="009F05B2">
        <w:rPr>
          <w:rFonts w:ascii="Arial" w:hAnsi="Arial" w:cs="Arial"/>
          <w:lang w:eastAsia="en-IN" w:bidi="mr-IN"/>
        </w:rPr>
        <w:t xml:space="preserve"> may later consume. This could be the cause of the higher growth of fecal coliform, which could increase the risk to human health in the research area. Overall, the following major inorganic ions—Na</w:t>
      </w:r>
      <w:r w:rsidRPr="009F05B2">
        <w:rPr>
          <w:rFonts w:ascii="Arial" w:hAnsi="Arial" w:cs="Arial"/>
          <w:vertAlign w:val="superscript"/>
          <w:lang w:eastAsia="en-IN" w:bidi="mr-IN"/>
        </w:rPr>
        <w:t>+</w:t>
      </w:r>
      <w:r w:rsidRPr="009F05B2">
        <w:rPr>
          <w:rFonts w:ascii="Arial" w:hAnsi="Arial" w:cs="Arial"/>
          <w:lang w:eastAsia="en-IN" w:bidi="mr-IN"/>
        </w:rPr>
        <w:t>, Ca</w:t>
      </w:r>
      <w:r w:rsidRPr="009F05B2">
        <w:rPr>
          <w:rFonts w:ascii="Arial" w:hAnsi="Arial" w:cs="Arial"/>
          <w:vertAlign w:val="superscript"/>
          <w:lang w:eastAsia="en-IN" w:bidi="mr-IN"/>
        </w:rPr>
        <w:t>2+</w:t>
      </w:r>
      <w:r w:rsidRPr="009F05B2">
        <w:rPr>
          <w:rFonts w:ascii="Arial" w:hAnsi="Arial" w:cs="Arial"/>
          <w:lang w:eastAsia="en-IN" w:bidi="mr-IN"/>
        </w:rPr>
        <w:t>, Mg</w:t>
      </w:r>
      <w:r w:rsidRPr="009F05B2">
        <w:rPr>
          <w:rFonts w:ascii="Arial" w:hAnsi="Arial" w:cs="Arial"/>
          <w:vertAlign w:val="superscript"/>
          <w:lang w:eastAsia="en-IN" w:bidi="mr-IN"/>
        </w:rPr>
        <w:t>2+</w:t>
      </w:r>
      <w:r w:rsidRPr="009F05B2">
        <w:rPr>
          <w:rFonts w:ascii="Arial" w:hAnsi="Arial" w:cs="Arial"/>
          <w:lang w:eastAsia="en-IN" w:bidi="mr-IN"/>
        </w:rPr>
        <w:t>, Cl</w:t>
      </w:r>
      <w:r w:rsidRPr="009F05B2">
        <w:rPr>
          <w:rFonts w:ascii="Arial" w:hAnsi="Arial" w:cs="Arial"/>
          <w:vertAlign w:val="superscript"/>
          <w:lang w:eastAsia="en-IN" w:bidi="mr-IN"/>
        </w:rPr>
        <w:t>-</w:t>
      </w:r>
      <w:r w:rsidRPr="009F05B2">
        <w:rPr>
          <w:rFonts w:ascii="Arial" w:hAnsi="Arial" w:cs="Arial"/>
          <w:lang w:eastAsia="en-IN" w:bidi="mr-IN"/>
        </w:rPr>
        <w:t xml:space="preserve">, </w:t>
      </w:r>
      <w:r w:rsidRPr="009F05B2">
        <w:rPr>
          <w:rFonts w:ascii="Arial" w:eastAsia="MinionPro-Regular" w:hAnsi="Arial" w:cs="Arial"/>
          <w:lang w:bidi="mr-IN"/>
        </w:rPr>
        <w:t>SO</w:t>
      </w:r>
      <w:r w:rsidRPr="009F05B2">
        <w:rPr>
          <w:rFonts w:ascii="Arial" w:eastAsia="MinionPro-Regular" w:hAnsi="Arial" w:cs="Arial"/>
          <w:vertAlign w:val="subscript"/>
          <w:lang w:bidi="mr-IN"/>
        </w:rPr>
        <w:t>4</w:t>
      </w:r>
      <w:r w:rsidRPr="009F05B2">
        <w:rPr>
          <w:rFonts w:ascii="Arial" w:hAnsi="Arial" w:cs="Arial"/>
          <w:lang w:eastAsia="en-IN" w:bidi="mr-IN"/>
        </w:rPr>
        <w:t xml:space="preserve">, etc.—are mostly responsible for the increased pathogenic contamination of fecal coliform. Increasing the amount of nitrate and nitrogenous chemicals in water also lowers its quality </w:t>
      </w:r>
      <w:bookmarkStart w:id="21" w:name="ZOTERO_BREF_WxzRUYP16K1T"/>
      <w:r w:rsidRPr="009F05B2">
        <w:rPr>
          <w:rFonts w:ascii="Arial" w:hAnsi="Arial" w:cs="Arial"/>
        </w:rPr>
        <w:t>(Ramesh and Shastri 2018; Tripathi et al. 2025)</w:t>
      </w:r>
      <w:bookmarkEnd w:id="21"/>
      <w:r w:rsidRPr="009F05B2">
        <w:rPr>
          <w:rFonts w:ascii="Arial" w:hAnsi="Arial" w:cs="Arial"/>
          <w:lang w:eastAsia="en-IN" w:bidi="mr-IN"/>
        </w:rPr>
        <w:t xml:space="preserve">. The dumping of untreated or ineffectively treated municipal sewage into rivers during the rainy season may be the cause of the rise in these compounds. This phenomenon is referred to as primary contamination, and it has the potential to cause eutrophication, which could result in secondary contamination and endanger water biodiversity </w:t>
      </w:r>
      <w:r w:rsidRPr="009F05B2">
        <w:rPr>
          <w:rFonts w:ascii="Arial" w:hAnsi="Arial" w:cs="Arial"/>
          <w:lang w:eastAsia="en-IN" w:bidi="mr-IN"/>
        </w:rPr>
        <w:fldChar w:fldCharType="begin"/>
      </w:r>
      <w:r w:rsidR="00ED1655">
        <w:rPr>
          <w:rFonts w:ascii="Arial" w:hAnsi="Arial" w:cs="Arial"/>
          <w:lang w:eastAsia="en-IN" w:bidi="mr-IN"/>
        </w:rPr>
        <w:instrText xml:space="preserve"> ADDIN ZOTERO_ITEM CSL_CITATION {"citationID":"SMFAWFdU","properties":{"formattedCitation":"(Fan et al., 2010; Hinostroza et al., 2025; Khalili &amp; Moridi, 2025; Sahu et al., 2015)","plainCitation":"(Fan et al., 2010; Hinostroza et al., 2025; Khalili &amp; Moridi, 2025; Sahu et al., 2015)","noteIndex":0},"citationItems":[{"id":1267,"uris":["http://zotero.org/users/8828115/items/RNKPS9GS"],"itemData":{"id":1267,"type":"article-journal","abstract":"The Pearl River Delta (PRD) region is one of the most industrialized areas in China, and the river water is increasingly deteriorated due to anthropogenic pollution from the rapid economic development. Principal component analysis (PCA) and cluster analysis (CA) were used to identify characteristics of water quality and to assess water quality spatial pattern in this region. The results of PCA for three regions showed that the first four components of PCA analysis showed 85.52% and 89.25% of the total variance in the data sets of North River region and West River region, respectively, the first three components showed 84.63% of variance for data set of East River region. Results of CA based on the station score of PCA were that stations of North River region, East River region and West River region were grouped into four, three and four clusters, respectively corresponding to severe pollution, moderate pollution, light pollution (except for East River region) and good water quality, which indicated the similarity and dissimilarity of the river water quality. Since, the results suggest that PCA and CA techniques are useful tools for assessment of water quality and management of water resources.","container-title":"Procedia Environmental Sciences","DOI":"10.1016/j.proenv.2010.10.133","ISSN":"18780296","journalAbbreviation":"Procedia Environmental Sciences","language":"en","license":"https://www.elsevier.com/tdm/userlicense/1.0/","page":"1220-1234","source":"DOI.org (Crossref)","title":"Assessment of river water quality in Pearl River Delta using multivariate statistical techniques","URL":"https://linkinghub.elsevier.com/retrieve/pii/S1878029610001660","volume":"2","author":[{"family":"Fan","given":"Xiaoyun"},{"family":"Cui","given":"Baoshan"},{"family":"Zhao","given":"Hui"},{"family":"Zhang","given":"Zhiming"},{"family":"Zhang","given":"Honggang"}],"accessed":{"date-parts":[["2025",11,15]]},"issued":{"date-parts":[["2010"]]}},"label":"page"},{"id":"7AoAF8BM/7H0jrVGz","uris":["http://zotero.org/users/8828115/items/MITVBF9T"],"itemData":{"id":1013,"type":"article-journal","abstract":"The objective of the research was to determine the water quality index of Lake Chinchaycocha, which has faced pollution problems for several years. To do this, we worked with data from ten water quality monitoring points collected by the National Water Authority (ANA) during the period 2019-2023, after which the water quality index (ICA-PE) was calculated by analyzing a total of 12 parameters, using the Water Quality Standard (ECA) for water category 4 E1 (lagoons and lakes). The results of the physicochemical parameters indicated that the values of total nitrogen exceed the limits established in the ECA in 82% of the data obtained, pH in 13%, and phosphorus in 1%. In the evaluation of inorganic parameters, data from the LChin1S monitoring point showed that lead and zinc levels exceeded the values established in the ECA by 8% and 3%, respectively. Regarding the ICA-PE of the dry and wet seasons, it was determined that both present a good quality according to their averages and with the results obtained from the ICA-PE in a general way, it is concluded that Lake Chinchaycocha has a good water quality having total nitrogen as the main pollutant.","container-title":"Nature Environment and Pollution Technology","DOI":"10.46488/nept.2025.v24i02.d1707","ISSN":"2395-3454","issue":"2","journalAbbreviation":"Nat. Env. Poll. Tech","language":"en","note":"publisher: Technoscience Publications","page":"D1707","source":"Crossref","title":"Determination of the Water Quality Index (ICA-PE) of Lake Chinchaycocha, Junín, Peru","volume":"24","author":[{"family":"Hinostroza","given":"Steve Dann Camargo"},{"family":"Rojas","given":"Carmen Andrea Taza"},{"family":"Limache","given":"Diana Lizet Poma"},{"family":"Romero","given":"Camila Jimena Poma"}],"issued":{"date-parts":[["2025",6,1]]}},"label":"page"},{"id":1292,"uris":["http://zotero.org/users/8828115/items/4ERXWBVK"],"itemData":{"id":1292,"type":"article-journal","abstract":"Eutrophication, which refers to the excessive enrichment of water bodies with nutrients, has emerged as a significant global environmental and economic crisis. This complex ecological process primarily results from extensive human activities including the overuse of chemical fertilizers in agriculture, discharge of untreated domestic and industrial wastewater, and intensive livestock and aquaculture systems. The influx of large amounts of nitrogen and phosphorus compounds into aquatic ecosystems disrupts natural nutrient cycles, leading to algal blooms and ultimately severe depletion of dissolved oxygen (hypoxia). The devastating consequences of this phenomenon include biodiversity loss, the creation of dead zones in coastal waters, threats to fisheries and aquaculture industries, and substantial increases in water treatment costs for drinking and industrial purposes. To address this multifaceted challenge, various solutions have been proposed, including chemical methods (such as coagulants), physical approaches (like artificial aeration), and biological techniques (using nutrient-absorbing plants and microorganisms). However, international experience demonstrates that only through integrated management strategies—combining smart policymaking, continuous water quality monitoring, and the development of clean technologies in agriculture and industry, and active local stakeholder engagement—can we effectively control this problem and safeguard water resources for future generations.","container-title":"Interdisciplinary Journal of Civil Engineering","DOI":"10.48308/ijce.2025.240047.1003","issue":"1","journalAbbreviation":"Interdisciplinary Journal of Civil Engineering","language":"en","source":"DOI.org (CSL JSON)","title":"A Comprehensive Review of Eutrophication in Water Resources: From Identifying Contributing Factors to Proposing Management Strategies","title-short":"A Comprehensive Review of Eutrophication in Water Resources","URL":"https://doi.org/10.48308/ijce.2025.240047.1003","volume":"1","author":[{"family":"Khalili","given":"Reza"},{"family":"Moridi","given":"Ali"}],"accessed":{"date-parts":[["2025",11,26]]},"issued":{"date-parts":[["2025",5]]}},"label":"page"},{"id":"7AoAF8BM/2DZLoTR0","uris":["http://zotero.org/users/8828115/items/7JR6XTC3"],"itemData":{"id":1234,"type":"article-journal","abstract":"Mula-Mutha River in pune (India) is one of the most vulnerable water bodies to pollution because of their role in carrying municipal and industrial wastes and run-offs from agricultural lands in their vast drainage basins. Despite of the various standards and laws made by government many industries were discharging their waste directly into the river making its quality poor day by day. The restoration of river water quality has been a major challenge to the environmental managers. Detailed research and analysis is needed to evaluate different process and mechanism involved in polluting water. The aim of the work under the title is to analyze the river by dividing it into various sampling station. The present study also identifies the critical pollutants affecting the river water quality during its course through the city. The indices have been computed for pre-monsoon, monsoon and post-monsoon season at four locations, Khadakwasla , Sangamwadi, Vithalwadi &amp;Bund Garden. It was found that the water quality ranged from satisfactory to marginal category at Khadakwasla and fell under very poor category at all other locations. This research have a vast future scope as the rapid industrialization results in formation of toxic contaminants leading to enormous damages to environment directly putting the lives at risk. Thus, this gathered information would be handy and helpful for preventing or at-least reducing the hazardous impacts.","container-title":"Civil Engineering and Urban Planning","language":"en","source":"Zotero","title":"PHYSICOCHEMICAL ANALYSIS OF MULA MUTHA RIVER PUNE","author":[{"family":"Sahu","given":"Pali"},{"family":"Karad","given":"Sonali"},{"family":"Chavan","given":"Sagar"},{"family":"Khandelwal","given":"Sourabh"}],"issued":{"date-parts":[["2015"]]}},"label":"page"}],"schema":"https://github.com/citation-style-language/schema/raw/master/csl-citation.json"} </w:instrText>
      </w:r>
      <w:r w:rsidRPr="009F05B2">
        <w:rPr>
          <w:rFonts w:ascii="Arial" w:hAnsi="Arial" w:cs="Arial"/>
          <w:lang w:eastAsia="en-IN" w:bidi="mr-IN"/>
        </w:rPr>
        <w:fldChar w:fldCharType="separate"/>
      </w:r>
      <w:r w:rsidR="00ED1655" w:rsidRPr="00ED1655">
        <w:rPr>
          <w:rFonts w:ascii="Arial" w:hAnsi="Arial" w:cs="Arial"/>
        </w:rPr>
        <w:t>(Fan et al., 2010; Hinostroza et al., 2025; Khalili &amp; Moridi, 2025; Sahu et al., 2015)</w:t>
      </w:r>
      <w:r w:rsidRPr="009F05B2">
        <w:rPr>
          <w:rFonts w:ascii="Arial" w:hAnsi="Arial" w:cs="Arial"/>
          <w:lang w:eastAsia="en-IN" w:bidi="mr-IN"/>
        </w:rPr>
        <w:fldChar w:fldCharType="end"/>
      </w:r>
      <w:r w:rsidRPr="009F05B2">
        <w:rPr>
          <w:rFonts w:ascii="Arial" w:hAnsi="Arial" w:cs="Arial"/>
          <w:lang w:eastAsia="en-IN" w:bidi="mr-IN"/>
        </w:rPr>
        <w:t>. The highest concentration of inorganic ions was recorded in the order of S-8 &gt;S-7&gt;S-3&gt;S-12&gt;S-10.  The highest NO</w:t>
      </w:r>
      <w:r w:rsidRPr="009F05B2">
        <w:rPr>
          <w:rFonts w:ascii="Arial" w:hAnsi="Arial" w:cs="Arial"/>
          <w:vertAlign w:val="superscript"/>
          <w:lang w:eastAsia="en-IN" w:bidi="mr-IN"/>
        </w:rPr>
        <w:t>2</w:t>
      </w:r>
      <w:r w:rsidRPr="009F05B2">
        <w:rPr>
          <w:rFonts w:ascii="Arial" w:hAnsi="Arial" w:cs="Arial"/>
          <w:lang w:eastAsia="en-IN" w:bidi="mr-IN"/>
        </w:rPr>
        <w:t xml:space="preserve">ˉ was recorded to be 66.36 mg/l and 64.9 mg/l for S-11 and S-1, respectively. These two ions are in 13 sample sites of PMR in the permissible limit (50 mg/L) as per BSIWQI. The order of highest NO2 ˉ was recorded as S-11&gt;S-1&gt;S-2&gt;S-10, while the lowest values recorded in the order of S-7&gt;S-8&gt;S-13&gt;S-9&gt;S-12. The increase in nitrate level in PMR water samples may be due to urban waste runoff, unmaintained septic systems, landfills and garbage disposal near water bodies </w:t>
      </w:r>
      <w:r w:rsidRPr="009F05B2">
        <w:rPr>
          <w:rFonts w:ascii="Arial" w:hAnsi="Arial" w:cs="Arial"/>
          <w:lang w:eastAsia="en-IN" w:bidi="mr-IN"/>
        </w:rPr>
        <w:fldChar w:fldCharType="begin"/>
      </w:r>
      <w:r w:rsidR="00540813">
        <w:rPr>
          <w:rFonts w:ascii="Arial" w:hAnsi="Arial" w:cs="Arial"/>
          <w:lang w:eastAsia="en-IN" w:bidi="mr-IN"/>
        </w:rPr>
        <w:instrText xml:space="preserve"> ADDIN ZOTERO_ITEM CSL_CITATION {"citationID":"25gxcj8c","properties":{"formattedCitation":"(Tambekar et al., n.d.; Thai-Hoang et al., 2022)","plainCitation":"(Tambekar et al., n.d.; Thai-Hoang et al., 2022)","dontUpdate":true,"noteIndex":0},"citationItems":[{"id":"7AoAF8BM/yfM2naGw","uris":["http://zotero.org/users/8828115/items/G2HEJDD3"],"itemData":{"id":1033,"type":"article-journal","abstract":"The physico-chemical quality of drinking water is totally depend on the geological condition of the soil and ground water pollution of the area. In the present study water quality index of open well waters was 73.49 and for tube well waters 73.01 showing fair quality of ground water, indicating that the water quality was protected but occasionally threatened or impaired.","language":"en","source":"Zotero","title":"WATER QUALITY INDEXING AND CORRELATION COEFFICIENT OF PHYSICO-CHEMICAL CHARACTERISTICS OF GROUND WATER IN AMRAVATI CITY","author":[{"family":"Tambekar","given":"D H"},{"family":"Hirulkar","given":"N B"},{"family":"Mule","given":"Y N"},{"family":"Dongre","given":"R S"}]},"label":"page"},{"id":"7AoAF8BM/MvTS4N0v","uris":["http://zotero.org/users/8828115/items/T4LCQYZU"],"itemData":{"id":35,"type":"article-journal","abstract":"Water quality for the surface water along the Saigon River in Ho Chi Minh City was assessed for four groups of water samples collected at the agricultural, industrial, residential, and less impacted areas. A variety of parameters indicating water quality including physicochemical parameters, nutrients, heavy metals, and antibiotic residues were measured for both the rainy and dry seasons, two main tropical seasons in HCM City using the standard methods. The results showed that the river water in the rainy season was detected with signiﬁcantly higher values of turbidity, BOD5, PO4-P, NH4-N, NO3-N; and lower values of pH, temperature, conductivity, DO, salinity, Cu, Zn, As, Ni, Hg compared to that in the dry season. Sulfamethoxazole and trimethoprim were highly detected in the industrial areas compared to the agricultural and residential areas. Multivariate analyses suggested that the industrial and residential activities were more important contributors to the pollution of the Saigon River than the agricultural activities in HCM City.","container-title":"Journal of Water and Health","DOI":"10.2166/wh.2022.233","ISSN":"1477-8920, 1996-7829","issue":"3","language":"en","page":"491-504","source":"DOI.org (Crossref)","title":"Influences of anthropogenic activities on water quality in the Saigon River, Ho Chi Minh City","volume":"20","author":[{"family":"Thai-Hoang","given":"Le"},{"family":"Thong","given":"Truong"},{"family":"Loc","given":"Hoang Thai"},{"family":"Van","given":"Pham Thi Trang"},{"family":"Thuy","given":"Pham Thi Phuong"},{"family":"Thuoc","given":"Tran Linh"}],"issued":{"date-parts":[["2022",3,1]]}},"label":"page"}],"schema":"https://github.com/citation-style-language/schema/raw/master/csl-citation.json"} </w:instrText>
      </w:r>
      <w:r w:rsidRPr="009F05B2">
        <w:rPr>
          <w:rFonts w:ascii="Arial" w:hAnsi="Arial" w:cs="Arial"/>
          <w:lang w:eastAsia="en-IN" w:bidi="mr-IN"/>
        </w:rPr>
        <w:fldChar w:fldCharType="separate"/>
      </w:r>
      <w:r w:rsidRPr="009F05B2">
        <w:rPr>
          <w:rFonts w:ascii="Arial" w:hAnsi="Arial" w:cs="Arial"/>
        </w:rPr>
        <w:t xml:space="preserve">(Thai-Hoang </w:t>
      </w:r>
      <w:r w:rsidRPr="009F05B2">
        <w:rPr>
          <w:rFonts w:ascii="Arial" w:hAnsi="Arial" w:cs="Arial"/>
          <w:i/>
          <w:iCs/>
        </w:rPr>
        <w:t>et al.</w:t>
      </w:r>
      <w:r w:rsidRPr="009F05B2">
        <w:rPr>
          <w:rFonts w:ascii="Arial" w:hAnsi="Arial" w:cs="Arial"/>
        </w:rPr>
        <w:t xml:space="preserve"> 2022)</w:t>
      </w:r>
      <w:r w:rsidRPr="009F05B2">
        <w:rPr>
          <w:rFonts w:ascii="Arial" w:hAnsi="Arial" w:cs="Arial"/>
          <w:lang w:eastAsia="en-IN" w:bidi="mr-IN"/>
        </w:rPr>
        <w:fldChar w:fldCharType="end"/>
      </w:r>
      <w:r w:rsidRPr="009F05B2">
        <w:rPr>
          <w:rFonts w:ascii="Arial" w:hAnsi="Arial" w:cs="Arial"/>
          <w:lang w:eastAsia="en-IN" w:bidi="mr-IN"/>
        </w:rPr>
        <w:t>.</w:t>
      </w:r>
    </w:p>
    <w:p w:rsidR="00D8373B" w:rsidRPr="009F05B2" w:rsidRDefault="00D8373B" w:rsidP="00D8373B">
      <w:pPr>
        <w:autoSpaceDE w:val="0"/>
        <w:autoSpaceDN w:val="0"/>
        <w:adjustRightInd w:val="0"/>
        <w:jc w:val="both"/>
        <w:rPr>
          <w:rFonts w:ascii="Arial" w:hAnsi="Arial" w:cs="Arial"/>
        </w:rPr>
      </w:pPr>
      <w:r w:rsidRPr="009F05B2">
        <w:rPr>
          <w:rFonts w:ascii="Arial" w:hAnsi="Arial" w:cs="Arial"/>
          <w:lang w:eastAsia="en-IN" w:bidi="mr-IN"/>
        </w:rPr>
        <w:t xml:space="preserve"> The metal ions such as Ca</w:t>
      </w:r>
      <w:r w:rsidRPr="009F05B2">
        <w:rPr>
          <w:rFonts w:ascii="Arial" w:hAnsi="Arial" w:cs="Arial"/>
          <w:vertAlign w:val="superscript"/>
          <w:lang w:eastAsia="en-IN" w:bidi="mr-IN"/>
        </w:rPr>
        <w:t>2+</w:t>
      </w:r>
      <w:r w:rsidRPr="009F05B2">
        <w:rPr>
          <w:rFonts w:ascii="Arial" w:hAnsi="Arial" w:cs="Arial"/>
          <w:lang w:eastAsia="en-IN" w:bidi="mr-IN"/>
        </w:rPr>
        <w:t>, Mg</w:t>
      </w:r>
      <w:r w:rsidRPr="009F05B2">
        <w:rPr>
          <w:rFonts w:ascii="Arial" w:hAnsi="Arial" w:cs="Arial"/>
          <w:vertAlign w:val="superscript"/>
          <w:lang w:eastAsia="en-IN" w:bidi="mr-IN"/>
        </w:rPr>
        <w:t>2+</w:t>
      </w:r>
      <w:r w:rsidRPr="009F05B2">
        <w:rPr>
          <w:rFonts w:ascii="Arial" w:hAnsi="Arial" w:cs="Arial"/>
          <w:lang w:eastAsia="en-IN" w:bidi="mr-IN"/>
        </w:rPr>
        <w:t xml:space="preserve">, and </w:t>
      </w:r>
      <w:r w:rsidRPr="009F05B2">
        <w:rPr>
          <w:rFonts w:ascii="Arial" w:eastAsia="MinionPro-Regular" w:hAnsi="Arial" w:cs="Arial"/>
          <w:lang w:bidi="mr-IN"/>
        </w:rPr>
        <w:t>SO</w:t>
      </w:r>
      <w:r w:rsidRPr="009F05B2">
        <w:rPr>
          <w:rFonts w:ascii="Arial" w:eastAsia="MinionPro-Regular" w:hAnsi="Arial" w:cs="Arial"/>
          <w:vertAlign w:val="subscript"/>
          <w:lang w:bidi="mr-IN"/>
        </w:rPr>
        <w:t>4</w:t>
      </w:r>
      <w:r w:rsidRPr="009F05B2">
        <w:rPr>
          <w:rFonts w:ascii="Arial" w:eastAsia="MinionPro-Regular" w:hAnsi="Arial" w:cs="Arial"/>
          <w:lang w:bidi="mr-IN"/>
        </w:rPr>
        <w:t xml:space="preserve"> determine the hardness of the water, which may be potable up to the permissible limit but may affect urban drainage systems like pipelines, concrete construction, water storage systems, </w:t>
      </w:r>
      <w:proofErr w:type="spellStart"/>
      <w:r w:rsidRPr="009F05B2">
        <w:rPr>
          <w:rFonts w:ascii="Arial" w:eastAsia="MinionPro-Regular" w:hAnsi="Arial" w:cs="Arial"/>
          <w:lang w:bidi="mr-IN"/>
        </w:rPr>
        <w:t>etc</w:t>
      </w:r>
      <w:proofErr w:type="spellEnd"/>
      <w:r w:rsidRPr="009F05B2">
        <w:rPr>
          <w:rFonts w:ascii="Arial" w:eastAsia="MinionPro-Regular" w:hAnsi="Arial" w:cs="Arial"/>
          <w:lang w:bidi="mr-IN"/>
        </w:rPr>
        <w:t xml:space="preserve"> </w:t>
      </w:r>
      <w:r w:rsidRPr="009F05B2">
        <w:rPr>
          <w:rFonts w:ascii="Arial" w:eastAsia="MinionPro-Regular" w:hAnsi="Arial" w:cs="Arial"/>
          <w:lang w:bidi="mr-IN"/>
        </w:rPr>
        <w:fldChar w:fldCharType="begin"/>
      </w:r>
      <w:r w:rsidR="00ED1655">
        <w:rPr>
          <w:rFonts w:ascii="Arial" w:eastAsia="MinionPro-Regular" w:hAnsi="Arial" w:cs="Arial"/>
          <w:lang w:bidi="mr-IN"/>
        </w:rPr>
        <w:instrText xml:space="preserve"> ADDIN ZOTERO_ITEM CSL_CITATION {"citationID":"DbOInB4S","properties":{"unsorted":true,"formattedCitation":"(Pramanik et al., 2020b)","plainCitation":"(Pramanik et al., 2020b)","noteIndex":0},"citationItems":[{"id":1543,"uris":["http://zotero.org/users/8828115/items/F6JI6K5D"],"itemData":{"id":1543,"type":"article-journal","abstract":"The reservoir at the Tilaiya Dam constructed on the Barakar river is one of the most important freshwater resources in the Koderma District in the state of Jharkhand in India. Its water is used primarily in agriculture, pisiculture, industry, regional thermal power plant, and various domestic errands viz. cooking, washing, and drinking. The reservoir also supports a wide variety of ﬂora, fauna, and birds. This work reports the variation in seasonal water quality (pH, turbidity, DO, TDS, electrical conductivity, total hardness, iron, chloride, calcium, magnesium, alkalinity, phosphate, sulfate, ﬂuoride, total bacterial count, and fecal coliform count) trends over a 4-year long period (July 2013–July 2017). Conspicuous dilution eﬀect on water quality was observed during and just after the monsoon season while concentrations of TDS, electrical conductivity, iron, chloride, calcium, magnesium, phosphate, sulfate, and ﬂuoride increased during summer. Principal Component Analysis/Factor Analysis (PCA/FA) identiﬁed three factors in the data structure, explaining about 71.5–77.9% of total variance in dataset. Run-oﬀ from catchment areas was one of the major factors that inﬂuenced water quality during the monsoon seasons. The t test indicated that except between summer and post-monsoon in 2013 and 2014, seasonal DO values had statistically signiﬁcant diﬀerence. Also, turbidity in summer, postmonsoon and winter seasons had statistically signiﬁcant diﬀerences while total hardness (TH) was statistically diﬀerent in summer over winter but not in summer over post-monsoon. On the other hand, TDS did not have statistically signiﬁcant seasonal shifts. Water quality index (WQI), pollution index (PI), comprehensive pollution index (CPI), computed over the study years revealed that water quality of the reservoir could be categorized as ‘Good’ but is gradually deteriorating. This calls for greater attention and proper management of the Tilaiya reservoir in the interest of environmental and regional sustainability of Koderma.","container-title":"Water Science","DOI":"10.1080/11104929.2020.1765451","ISSN":"2357-0008","issue":"1","journalAbbreviation":"Water Science","language":"en","page":"85-97","source":"DOI.org (Crossref)","title":"Factors affecting lean, wet-season water quality of Tilaiya reservoir in Koderma District, India during 2013–2017","URL":"https://www.tandfonline.com/doi/full/10.1080/11104929.2020.1765451","volume":"34","author":[{"family":"Pramanik","given":"Arun Kumar"},{"family":"Majumdar","given":"Deepanjan"},{"family":"Chatterjee","given":"Abhik"}],"accessed":{"date-parts":[["2026",2,2]]},"issued":{"date-parts":[["2020",1,1]]}},"label":"page"}],"schema":"https://github.com/citation-style-language/schema/raw/master/csl-citation.json"} </w:instrText>
      </w:r>
      <w:r w:rsidRPr="009F05B2">
        <w:rPr>
          <w:rFonts w:ascii="Arial" w:eastAsia="MinionPro-Regular" w:hAnsi="Arial" w:cs="Arial"/>
          <w:lang w:bidi="mr-IN"/>
        </w:rPr>
        <w:fldChar w:fldCharType="separate"/>
      </w:r>
      <w:r w:rsidR="00ED1655" w:rsidRPr="00ED1655">
        <w:rPr>
          <w:rFonts w:ascii="Arial" w:hAnsi="Arial" w:cs="Arial"/>
        </w:rPr>
        <w:t>(Pramanik et al., 2020b)</w:t>
      </w:r>
      <w:r w:rsidRPr="009F05B2">
        <w:rPr>
          <w:rFonts w:ascii="Arial" w:eastAsia="MinionPro-Regular" w:hAnsi="Arial" w:cs="Arial"/>
          <w:lang w:bidi="mr-IN"/>
        </w:rPr>
        <w:fldChar w:fldCharType="end"/>
      </w:r>
      <w:r w:rsidRPr="009F05B2">
        <w:rPr>
          <w:rFonts w:ascii="Arial" w:eastAsia="MinionPro-Regular" w:hAnsi="Arial" w:cs="Arial"/>
          <w:lang w:bidi="mr-IN"/>
        </w:rPr>
        <w:t xml:space="preserve">. </w:t>
      </w:r>
      <w:r w:rsidRPr="009F05B2">
        <w:rPr>
          <w:rFonts w:ascii="Arial" w:hAnsi="Arial" w:cs="Arial"/>
          <w:lang w:eastAsia="en-IN" w:bidi="mr-IN"/>
        </w:rPr>
        <w:t>Ca</w:t>
      </w:r>
      <w:r w:rsidRPr="009F05B2">
        <w:rPr>
          <w:rFonts w:ascii="Arial" w:hAnsi="Arial" w:cs="Arial"/>
          <w:vertAlign w:val="superscript"/>
          <w:lang w:eastAsia="en-IN" w:bidi="mr-IN"/>
        </w:rPr>
        <w:t xml:space="preserve">2+ </w:t>
      </w:r>
      <w:r w:rsidRPr="009F05B2">
        <w:rPr>
          <w:rFonts w:ascii="Arial" w:hAnsi="Arial" w:cs="Arial"/>
          <w:lang w:eastAsia="en-IN" w:bidi="mr-IN"/>
        </w:rPr>
        <w:t xml:space="preserve">hardness in the Mula-Mutha rivers' water varied from </w:t>
      </w:r>
      <w:proofErr w:type="gramStart"/>
      <w:r w:rsidRPr="009F05B2">
        <w:rPr>
          <w:rFonts w:ascii="Arial" w:hAnsi="Arial" w:cs="Arial"/>
          <w:lang w:eastAsia="en-IN" w:bidi="mr-IN"/>
        </w:rPr>
        <w:t>At</w:t>
      </w:r>
      <w:proofErr w:type="gramEnd"/>
      <w:r w:rsidRPr="009F05B2">
        <w:rPr>
          <w:rFonts w:ascii="Arial" w:hAnsi="Arial" w:cs="Arial"/>
          <w:lang w:eastAsia="en-IN" w:bidi="mr-IN"/>
        </w:rPr>
        <w:t xml:space="preserve"> many sampling sites, average calcium hardness in river water ranged from 28.6 to 86.2 mg/l. The calcium content in six water samples was in excess of the permissible limit of 75 mg/l </w:t>
      </w:r>
      <w:bookmarkStart w:id="22" w:name="ZOTERO_BREF_9eiCLPet84bo"/>
      <w:r w:rsidRPr="009F05B2">
        <w:rPr>
          <w:rFonts w:ascii="Arial" w:hAnsi="Arial" w:cs="Arial"/>
        </w:rPr>
        <w:t>(</w:t>
      </w:r>
      <w:proofErr w:type="spellStart"/>
      <w:r w:rsidRPr="009F05B2">
        <w:rPr>
          <w:rFonts w:ascii="Arial" w:hAnsi="Arial" w:cs="Arial"/>
        </w:rPr>
        <w:t>Ingin</w:t>
      </w:r>
      <w:proofErr w:type="spellEnd"/>
      <w:r w:rsidRPr="009F05B2">
        <w:rPr>
          <w:rFonts w:ascii="Arial" w:hAnsi="Arial" w:cs="Arial"/>
        </w:rPr>
        <w:t xml:space="preserve"> et al. 2024)</w:t>
      </w:r>
      <w:bookmarkEnd w:id="22"/>
      <w:r w:rsidRPr="009F05B2">
        <w:rPr>
          <w:rFonts w:ascii="Arial" w:hAnsi="Arial" w:cs="Arial"/>
          <w:lang w:eastAsia="en-IN" w:bidi="mr-IN"/>
        </w:rPr>
        <w:t xml:space="preserve">. </w:t>
      </w:r>
      <w:r w:rsidRPr="009F05B2">
        <w:rPr>
          <w:rFonts w:ascii="Arial" w:hAnsi="Arial" w:cs="Arial"/>
        </w:rPr>
        <w:t>There was low Ca</w:t>
      </w:r>
      <w:r w:rsidRPr="009F05B2">
        <w:rPr>
          <w:rFonts w:ascii="Arial" w:hAnsi="Arial" w:cs="Arial"/>
          <w:vertAlign w:val="superscript"/>
        </w:rPr>
        <w:t>2+</w:t>
      </w:r>
      <w:r w:rsidRPr="009F05B2">
        <w:rPr>
          <w:rFonts w:ascii="Arial" w:hAnsi="Arial" w:cs="Arial"/>
        </w:rPr>
        <w:t xml:space="preserve"> and Mg</w:t>
      </w:r>
      <w:r w:rsidRPr="009F05B2">
        <w:rPr>
          <w:rFonts w:ascii="Arial" w:hAnsi="Arial" w:cs="Arial"/>
          <w:vertAlign w:val="superscript"/>
        </w:rPr>
        <w:t>2+</w:t>
      </w:r>
      <w:r w:rsidRPr="009F05B2">
        <w:rPr>
          <w:rFonts w:ascii="Arial" w:hAnsi="Arial" w:cs="Arial"/>
        </w:rPr>
        <w:t xml:space="preserve"> content in river water in upstream sampling sites, which might be due to the presence of the dam and dilution of polluted water in subsequent sampling sites. Similarly, total water hardness exceeded permissible limits (&gt;300 mg/l) at the maximum number in the order of S-2&gt;S-7&gt;S-10&gt;S-3&gt;S-12 at 11 sampling sites. </w:t>
      </w:r>
    </w:p>
    <w:p w:rsidR="005C0A67" w:rsidRDefault="005C0A67" w:rsidP="00441B6F">
      <w:pPr>
        <w:pStyle w:val="Body"/>
        <w:spacing w:after="0"/>
        <w:rPr>
          <w:rFonts w:ascii="Arial" w:hAnsi="Arial" w:cs="Arial"/>
        </w:rPr>
      </w:pPr>
    </w:p>
    <w:p w:rsidR="005C0A67" w:rsidRDefault="00432751" w:rsidP="005C0A67">
      <w:pPr>
        <w:autoSpaceDE w:val="0"/>
        <w:autoSpaceDN w:val="0"/>
        <w:adjustRightInd w:val="0"/>
        <w:rPr>
          <w:rFonts w:ascii="Arial" w:hAnsi="Arial" w:cs="Arial"/>
          <w:b/>
          <w:bCs/>
          <w:sz w:val="22"/>
          <w:szCs w:val="22"/>
        </w:rPr>
      </w:pPr>
      <w:r>
        <w:rPr>
          <w:rFonts w:ascii="Arial" w:hAnsi="Arial" w:cs="Arial"/>
          <w:b/>
          <w:bCs/>
          <w:sz w:val="22"/>
          <w:szCs w:val="22"/>
        </w:rPr>
        <w:t>3</w:t>
      </w:r>
      <w:r w:rsidR="005C0A67" w:rsidRPr="005C0A67">
        <w:rPr>
          <w:rFonts w:ascii="Arial" w:hAnsi="Arial" w:cs="Arial"/>
          <w:b/>
          <w:bCs/>
          <w:sz w:val="22"/>
          <w:szCs w:val="22"/>
        </w:rPr>
        <w:t xml:space="preserve">.5 Descriptive statistics </w:t>
      </w:r>
    </w:p>
    <w:p w:rsidR="005C0A67" w:rsidRDefault="00853D76" w:rsidP="005B1F50">
      <w:pPr>
        <w:autoSpaceDE w:val="0"/>
        <w:autoSpaceDN w:val="0"/>
        <w:adjustRightInd w:val="0"/>
        <w:spacing w:before="240"/>
        <w:jc w:val="both"/>
        <w:rPr>
          <w:rFonts w:ascii="Arial" w:hAnsi="Arial" w:cs="Arial"/>
        </w:rPr>
      </w:pPr>
      <w:r w:rsidRPr="00853D76">
        <w:rPr>
          <w:rFonts w:ascii="Arial" w:hAnsi="Arial" w:cs="Arial"/>
        </w:rPr>
        <w:t>The descriptive statistics show a clear deterioration in organic water quality (higher BOD and COD, lower DO) with intermittent but significant microbial contamination events (Fecal coliform). pH and nitrate show less dramatic trends but exhibit variability and occasional outliers. The two tables present five-year descriptive statistics (2020–2024) for water quality parameters: pH, DO, BOD and COD, NO</w:t>
      </w:r>
      <w:r w:rsidRPr="00853D76">
        <w:rPr>
          <w:rFonts w:ascii="Cambria Math" w:hAnsi="Cambria Math" w:cs="Cambria Math"/>
        </w:rPr>
        <w:t>₄</w:t>
      </w:r>
      <w:r w:rsidRPr="00853D76">
        <w:rPr>
          <w:rFonts w:ascii="Arial" w:hAnsi="Arial" w:cs="Arial"/>
        </w:rPr>
        <w:t xml:space="preserve">, Fecal Coliform (Table 6). For each year, the tables list Mean, Standard Deviation (SD), Skewness, and Kurtosis. Increasing SDs for DO, BOD, and COD indicate increasing instability in water quality. The data show year-to-year shifts in central tendency and variability and reveal </w:t>
      </w:r>
      <w:r w:rsidR="001D12DA">
        <w:rPr>
          <w:rFonts w:ascii="Arial" w:hAnsi="Arial" w:cs="Arial"/>
        </w:rPr>
        <w:t>anomalous</w:t>
      </w:r>
      <w:r w:rsidRPr="00853D76">
        <w:rPr>
          <w:rFonts w:ascii="Arial" w:hAnsi="Arial" w:cs="Arial"/>
        </w:rPr>
        <w:t xml:space="preserve"> distributions for many parameters. skewness: 2020 shows strong negative skew (−1.70) meaning more values above the mean; 2021–2024 show positive skew (1.67–2.07) indicating occasional low pH readings in those years. High skewness and kurtosis for many parameters showed simple annual means that can represent episodic extremes. Kurtosis is elevated in several years, viz. 2021 and 2023, suggesting occasional outliers in pH measurements.</w:t>
      </w:r>
    </w:p>
    <w:p w:rsidR="005C0A67" w:rsidRDefault="00432751" w:rsidP="005B1F50">
      <w:pPr>
        <w:autoSpaceDE w:val="0"/>
        <w:autoSpaceDN w:val="0"/>
        <w:adjustRightInd w:val="0"/>
        <w:spacing w:before="240"/>
        <w:rPr>
          <w:rFonts w:ascii="Arial" w:hAnsi="Arial" w:cs="Arial"/>
          <w:b/>
          <w:bCs/>
          <w:color w:val="000000"/>
          <w:sz w:val="22"/>
          <w:szCs w:val="22"/>
        </w:rPr>
      </w:pPr>
      <w:r>
        <w:rPr>
          <w:rFonts w:ascii="Arial" w:hAnsi="Arial" w:cs="Arial"/>
          <w:b/>
          <w:bCs/>
          <w:color w:val="000000"/>
          <w:sz w:val="22"/>
          <w:szCs w:val="22"/>
        </w:rPr>
        <w:t>3</w:t>
      </w:r>
      <w:r w:rsidR="005C0A67" w:rsidRPr="005C0A67">
        <w:rPr>
          <w:rFonts w:ascii="Arial" w:hAnsi="Arial" w:cs="Arial"/>
          <w:b/>
          <w:bCs/>
          <w:color w:val="000000"/>
          <w:sz w:val="22"/>
          <w:szCs w:val="22"/>
        </w:rPr>
        <w:t>.6 Multivariate Statistics</w:t>
      </w:r>
    </w:p>
    <w:p w:rsidR="005C0A67" w:rsidRPr="008E1BA3" w:rsidRDefault="00432751" w:rsidP="005B1F50">
      <w:pPr>
        <w:spacing w:before="240"/>
        <w:rPr>
          <w:u w:val="single"/>
        </w:rPr>
      </w:pPr>
      <w:r w:rsidRPr="008E1BA3">
        <w:rPr>
          <w:rFonts w:ascii="Arial" w:eastAsia="MinionPro-Regular" w:hAnsi="Arial" w:cs="Arial"/>
          <w:b/>
          <w:bCs/>
          <w:u w:val="single"/>
          <w:lang w:bidi="mr-IN"/>
        </w:rPr>
        <w:t>3.</w:t>
      </w:r>
      <w:r w:rsidR="005C0A67" w:rsidRPr="008E1BA3">
        <w:rPr>
          <w:rFonts w:ascii="Arial" w:eastAsia="MinionPro-Regular" w:hAnsi="Arial" w:cs="Arial"/>
          <w:b/>
          <w:bCs/>
          <w:u w:val="single"/>
          <w:lang w:bidi="mr-IN"/>
        </w:rPr>
        <w:t>6.1 Principal component analysis (PCA)</w:t>
      </w:r>
    </w:p>
    <w:p w:rsidR="00853D76" w:rsidRPr="009F05B2" w:rsidRDefault="00853D76" w:rsidP="005B1F50">
      <w:pPr>
        <w:spacing w:before="240" w:after="240"/>
        <w:jc w:val="both"/>
        <w:rPr>
          <w:rFonts w:ascii="Arial" w:hAnsi="Arial" w:cs="Arial"/>
          <w:lang w:eastAsia="en-IN" w:bidi="mr-IN"/>
        </w:rPr>
      </w:pPr>
      <w:r w:rsidRPr="009F05B2">
        <w:rPr>
          <w:rFonts w:ascii="Arial" w:hAnsi="Arial" w:cs="Arial"/>
          <w:lang w:eastAsia="en-IN" w:bidi="mr-IN"/>
        </w:rPr>
        <w:lastRenderedPageBreak/>
        <w:t xml:space="preserve">Principal Component Analysis (PCA) was implemented for assessing the main variables affecting the water quality of the PMR region </w:t>
      </w:r>
      <w:r w:rsidRPr="009F05B2">
        <w:rPr>
          <w:rFonts w:ascii="Arial" w:hAnsi="Arial" w:cs="Arial"/>
          <w:lang w:eastAsia="en-IN" w:bidi="mr-IN"/>
        </w:rPr>
        <w:fldChar w:fldCharType="begin"/>
      </w:r>
      <w:r w:rsidR="00540813">
        <w:rPr>
          <w:rFonts w:ascii="Arial" w:hAnsi="Arial" w:cs="Arial"/>
          <w:lang w:eastAsia="en-IN" w:bidi="mr-IN"/>
        </w:rPr>
        <w:instrText xml:space="preserve"> ADDIN ZOTERO_ITEM CSL_CITATION {"citationID":"2onBGjro","properties":{"formattedCitation":"(Vasistha &amp; Ganguly, 2020)","plainCitation":"(Vasistha &amp; Ganguly, 2020)","noteIndex":0},"citationItems":[{"id":"7AoAF8BM/o9MNJ9pY","uris":["http://zotero.org/users/8828115/items/B84MQ5Z9"],"itemData":{"id":1136,"type":"article-journal","abstract":"The study assesses the characteristics of two lakes located in close vicinity to each other in identifying the status of the lakes based on Designated Best Use (DBU) criteria for optimum utilization and use. Further, the study reports the characteristic assessment of the lakes for two seasons with sampling carried out in August and October months of 2019 and samples collected at different depths and locations to present the comprehensive existing water quality conditions of the lake. The study utilized about twenty parameters evaluated experimentally for determination of Water Quality Indices. In this context, different water quality indices including National Sanitation Foundation Method (NSFWQI) and BIS 10500 (BISWQI) were utilized in determining the indices. The WQI were determined depth wise and a weighted average method was utilized in presenting the overall WQI of the lakes which represents the true water quality based on depth wise evaluation. Hence, the study represents both spatial and temporal variations in the lake water quality. The overall classification of water quality for both the lakes using the NSFWQI methodology was good for both the sampling periods. Similarly, the overall water quality was categorized to be excellent for both the sampling periods using the BISWQI. Further, a new approach in determining water quality indexing is presented through introduction of a Modified Water Quality Index (MWQI) which utilizes the maximum number of parameters and thereby provides a means to reduce ambiguity and eclipsing problems of WQI. Using this newly developed MWQI, the water quality was categorized to be excellent and good for samples collected in August and October respectively for both the lakes. However, conservative estimation considering spillover effects may lead to classification of good category using MWQI. The Heavy Metal Pollution Index (HMI) were classified to be good for both the lakes and sampling periods. Spectral characterization of water samples revealed the presence of oxygen (O), tantalum (Ta), sodium (Na) and Zinc (Zn). However, further monitoring studies are being carried out to cover a period of 1 year to observe if there is a change in water quality due or any seasonal variations.","container-title":"Environmental Science and Pollution Research","DOI":"10.1007/s11356-020-10109-3","ISSN":"0944-1344, 1614-7499","issue":"33","journalAbbreviation":"Environ Sci Pollut Res","language":"en","page":"41856-41875","source":"DOI.org (Crossref)","title":"Assessment of spatio-temporal variations in lake water body using indexing method","volume":"27","author":[{"family":"Vasistha","given":"Prachi"},{"family":"Ganguly","given":"Rajiv"}],"issued":{"date-parts":[["2020",11]]}}}],"schema":"https://github.com/citation-style-language/schema/raw/master/csl-citation.json"} </w:instrText>
      </w:r>
      <w:r w:rsidRPr="009F05B2">
        <w:rPr>
          <w:rFonts w:ascii="Arial" w:hAnsi="Arial" w:cs="Arial"/>
          <w:lang w:eastAsia="en-IN" w:bidi="mr-IN"/>
        </w:rPr>
        <w:fldChar w:fldCharType="separate"/>
      </w:r>
      <w:r w:rsidR="00540813" w:rsidRPr="00540813">
        <w:rPr>
          <w:rFonts w:ascii="Arial" w:hAnsi="Arial" w:cs="Arial"/>
        </w:rPr>
        <w:t>(Vasistha &amp; Ganguly, 2020)</w:t>
      </w:r>
      <w:r w:rsidRPr="009F05B2">
        <w:rPr>
          <w:rFonts w:ascii="Arial" w:hAnsi="Arial" w:cs="Arial"/>
          <w:lang w:eastAsia="en-IN" w:bidi="mr-IN"/>
        </w:rPr>
        <w:fldChar w:fldCharType="end"/>
      </w:r>
      <w:r w:rsidRPr="009F05B2">
        <w:rPr>
          <w:rFonts w:ascii="Arial" w:hAnsi="Arial" w:cs="Arial"/>
          <w:lang w:eastAsia="en-IN" w:bidi="mr-IN"/>
        </w:rPr>
        <w:t xml:space="preserve">. During the PCA, 13 water quality parameters were taken into consideration. Multivariate datasets can have their dimensions reduced using PCA. As shown in </w:t>
      </w:r>
      <w:r w:rsidRPr="009F05B2">
        <w:rPr>
          <w:rFonts w:ascii="Arial" w:hAnsi="Arial" w:cs="Arial"/>
        </w:rPr>
        <w:t xml:space="preserve">Fig. 3, </w:t>
      </w:r>
      <w:r w:rsidRPr="009F05B2">
        <w:rPr>
          <w:rFonts w:ascii="Arial" w:hAnsi="Arial" w:cs="Arial"/>
          <w:lang w:eastAsia="en-IN" w:bidi="mr-IN"/>
        </w:rPr>
        <w:t xml:space="preserve"> PCA </w:t>
      </w:r>
      <w:proofErr w:type="spellStart"/>
      <w:r w:rsidRPr="009F05B2">
        <w:rPr>
          <w:rFonts w:ascii="Arial" w:hAnsi="Arial" w:cs="Arial"/>
          <w:lang w:eastAsia="en-IN" w:bidi="mr-IN"/>
        </w:rPr>
        <w:t>summarises</w:t>
      </w:r>
      <w:proofErr w:type="spellEnd"/>
      <w:r w:rsidRPr="009F05B2">
        <w:rPr>
          <w:rFonts w:ascii="Arial" w:hAnsi="Arial" w:cs="Arial"/>
          <w:lang w:eastAsia="en-IN" w:bidi="mr-IN"/>
        </w:rPr>
        <w:t xml:space="preserve"> data that is scattered over multiple dimensions and reduces the number of independent dimensions</w:t>
      </w:r>
      <w:r w:rsidRPr="009F05B2">
        <w:rPr>
          <w:rFonts w:ascii="Arial" w:hAnsi="Arial" w:cs="Arial"/>
          <w:lang w:eastAsia="en-IN" w:bidi="mr-IN"/>
        </w:rPr>
        <w:fldChar w:fldCharType="begin"/>
      </w:r>
      <w:r w:rsidR="00540813">
        <w:rPr>
          <w:rFonts w:ascii="Arial" w:hAnsi="Arial" w:cs="Arial"/>
          <w:lang w:eastAsia="en-IN" w:bidi="mr-IN"/>
        </w:rPr>
        <w:instrText xml:space="preserve"> ADDIN ZOTERO_ITEM CSL_CITATION {"citationID":"YdSxdOhL","properties":{"unsorted":true,"formattedCitation":"(Fan et al., 2010; Mukate et al., 2019; Lacalamita et al., 2024)","plainCitation":"(Fan et al., 2010; Mukate et al., 2019; Lacalamita et al., 2024)","noteIndex":0},"citationItems":[{"id":1267,"uris":["http://zotero.org/users/8828115/items/RNKPS9GS"],"itemData":{"id":1267,"type":"article-journal","abstract":"The Pearl River Delta (PRD) region is one of the most industrialized areas in China, and the river water is increasingly deteriorated due to anthropogenic pollution from the rapid economic development. Principal component analysis (PCA) and cluster analysis (CA) were used to identify characteristics of water quality and to assess water quality spatial pattern in this region. The results of PCA for three regions showed that the first four components of PCA analysis showed 85.52% and 89.25% of the total variance in the data sets of North River region and West River region, respectively, the first three components showed 84.63% of variance for data set of East River region. Results of CA based on the station score of PCA were that stations of North River region, East River region and West River region were grouped into four, three and four clusters, respectively corresponding to severe pollution, moderate pollution, light pollution (except for East River region) and good water quality, which indicated the similarity and dissimilarity of the river water quality. Since, the results suggest that PCA and CA techniques are useful tools for assessment of water quality and management of water resources.","container-title":"Procedia Environmental Sciences","DOI":"10.1016/j.proenv.2010.10.133","ISSN":"18780296","journalAbbreviation":"Procedia Environmental Sciences","language":"en","license":"https://www.elsevier.com/tdm/userlicense/1.0/","page":"1220-1234","source":"DOI.org (Crossref)","title":"Assessment of river water quality in Pearl River Delta using multivariate statistical techniques","URL":"https://linkinghub.elsevier.com/retrieve/pii/S1878029610001660","volume":"2","author":[{"family":"Fan","given":"Xiaoyun"},{"family":"Cui","given":"Baoshan"},{"family":"Zhao","given":"Hui"},{"family":"Zhang","given":"Zhiming"},{"family":"Zhang","given":"Honggang"}],"accessed":{"date-parts":[["2025",11,15]]},"issued":{"date-parts":[["2010"]]}},"label":"page"},{"id":"7AoAF8BM/r8q7X1F0","uris":["http://zotero.org/users/8828115/items/URDVDPPI"],"itemData":{"id":1236,"type":"article-journal","abstract":"Several water quality indices are used to evaluate water suitability for potable use; however, every index has strengths and weaknesses which limits the applicability and ease of use. There is a need to develop a universally accepted water quality index (WQI) which is flexible enough to represent drinking water suitability all over world. A new water quality index has been developed. The concentration of any parameter below desirable limit as well as above permissible limit will contribute to the overall increase in the index value; therefore the index is called as Integrated Water Quality Index (IWQI). In traditional WQI, desirable or permissible limits are evaluated as the standard allowable limit but in the IWQI we consider both the limits are considered, avoiding the confusion around the adoption of standard values. Based on this concept, IWQI has been classified into 5 categories viz. excellent (&lt; 1), good (1–2), marginal (2–3), poor (3–5) and unsuitable (&gt; 5); depends on the concentration of cations (Ca, Mg, Na and K), anions (Cl, SO4 and NO3) and other parameters (pH, TDS) present in groundwater samples. The result reveals that 2% samples excellent for drinking, 39% good, 43% marginal, 8% poor and 8% unsuitable for drinking. The results are obtained at 20% deficit of its maximum permissible limit and can be adjusted per user need to alert water managers of possible human health concerns with drinking water. The water quality is mainly affected due to the industrial and agricultural inputs into the aquifer system. The North West region is influenced by anthropogenic inputs from industrial effluents, whereas the South West region is affected from agricultural runoff due to a high level of agricultural activity. The IWQI is flexible, unbiased, easy to calculate and time saving, and will provide useful information to prioritize and maintain the water quality of potable sources and reduce human health impacts from using poor-quality groundwater resources.","container-title":"Ecological Indicators","DOI":"10.1016/j.ecolind.2019.01.034","ISSN":"1470160X","journalAbbreviation":"Ecological Indicators","language":"en","page":"348-354","source":"DOI.org (Crossref)","title":"Development of new integrated water quality index (IWQI) model to evaluate the drinking suitability of water","volume":"101","author":[{"family":"Mukate","given":"Shrikant"},{"family":"Wagh","given":"Vasant"},{"family":"Panaskar","given":"Dipak"},{"family":"Jacobs","given":"James A."},{"family":"Sawant","given":"Akash"}],"issued":{"date-parts":[["2019",6]]}},"label":"page"},{"id":"7AoAF8BM/8FTfUTja","uris":["http://zotero.org/users/8828115/items/IX77AKK4"],"itemData":{"id":1286,"type":"article-journal","abstract":"In Europe, chemical oxygen demand (COD) and biochemical oxygen demand (BOD\n              5\n              ) are used as organic indicators for the analytical characterization of laundry water. However, the values of these indicators are derived from one-off analytical measurements at a defined frequency. In addition, there are few data on the temporal variability of COD and BOD\n              5\n              parameters and on water biodegradability beyond 5 days. In this work, samples of physicochemical treated wastewater were collected for 1 year and their content in COD and BOD\n              5\n              measured, with BOD monitored over 35 days. The results showed that, for the 24 samples studied, the average and standard deviation values were 835 ± 176 mg/L for COD and 445 ± 114 mg/L for BOD\n              5\n              , indicating a biodegradability index of 2.0 ± 0.4. The interpretation of the data also indicated that the concentrations were close to emission limit value, particularly for BOD\n              5\n              . BOD\n              21\n              values were particularly high compared to the initial COD, indicating the biodegradability of water. Laundry effluents were also rich in substances very quickly biodegradable, which has been demonstrated by the values of the ratio between BOD\n              7\n              and BOD\n              5\n              . However, a significant proportion of surfactants is not degraded, as shown by measurements of total organic carbon and anionic surfactant analysis. The results of this study could help the industrial partner involved in our project to guide its choice of the complementary method to better treat wastewater and to reduce its organic load.","container-title":"Frontiers in Environmental Science","DOI":"10.3389/fenvs.2024.1387041","ISSN":"2296-665X","journalAbbreviation":"Front. Environ. Sci.","language":"en","page":"1387041","source":"DOI.org (Crossref)","title":"Chemical oxygen demand and biochemical oxygen demand analysis of discharge waters from laundry industry: monitoring, temporal variability, and biodegradability","title-short":"Chemical oxygen demand and biochemical oxygen demand analysis of discharge waters from laundry industry","volume":"12","author":[{"family":"Lacalamita","given":"Dario"},{"family":"Mongioví","given":"Chiara"},{"family":"Crini","given":"Grégorio"}],"issued":{"date-parts":[["2024",4,8]]}},"label":"page"}],"schema":"https://github.com/citation-style-language/schema/raw/master/csl-citation.json"} </w:instrText>
      </w:r>
      <w:r w:rsidRPr="009F05B2">
        <w:rPr>
          <w:rFonts w:ascii="Arial" w:hAnsi="Arial" w:cs="Arial"/>
          <w:lang w:eastAsia="en-IN" w:bidi="mr-IN"/>
        </w:rPr>
        <w:fldChar w:fldCharType="separate"/>
      </w:r>
      <w:r w:rsidR="00540813" w:rsidRPr="00540813">
        <w:rPr>
          <w:rFonts w:ascii="Arial" w:hAnsi="Arial" w:cs="Arial"/>
        </w:rPr>
        <w:t>(Fan et al., 2010; Mukate et al., 2019; Lacalamita et al., 2024)</w:t>
      </w:r>
      <w:r w:rsidRPr="009F05B2">
        <w:rPr>
          <w:rFonts w:ascii="Arial" w:hAnsi="Arial" w:cs="Arial"/>
          <w:lang w:eastAsia="en-IN" w:bidi="mr-IN"/>
        </w:rPr>
        <w:fldChar w:fldCharType="end"/>
      </w:r>
      <w:r w:rsidRPr="009F05B2">
        <w:rPr>
          <w:rFonts w:ascii="Arial" w:hAnsi="Arial" w:cs="Arial"/>
          <w:lang w:eastAsia="en-IN" w:bidi="mr-IN"/>
        </w:rPr>
        <w:t>. PCA identifies the independent variables and reduces the repetitive and highly correlated parameters</w:t>
      </w:r>
      <w:r w:rsidR="00917363">
        <w:rPr>
          <w:rFonts w:ascii="Arial" w:hAnsi="Arial" w:cs="Arial"/>
          <w:lang w:eastAsia="en-IN" w:bidi="mr-IN"/>
        </w:rPr>
        <w:fldChar w:fldCharType="begin"/>
      </w:r>
      <w:r w:rsidR="00917363">
        <w:rPr>
          <w:rFonts w:ascii="Arial" w:hAnsi="Arial" w:cs="Arial"/>
          <w:lang w:eastAsia="en-IN" w:bidi="mr-IN"/>
        </w:rPr>
        <w:instrText xml:space="preserve"> ADDIN ZOTERO_ITEM CSL_CITATION {"citationID":"QdNARWik","properties":{"formattedCitation":"(Chacko &amp; Jayaram, 2025)","plainCitation":"(Chacko &amp; Jayaram, 2025)","noteIndex":0},"citationItems":[{"id":1280,"uris":["http://zotero.org/users/8828115/items/GNDRCXMD"],"itemData":{"id":1280,"type":"article-journal","container-title":"Journal of Earth System Science","DOI":"10.1007/s12040-025-02543-z","ISSN":"0973-774X","issue":"2","journalAbbreviation":"J Earth Syst Sci","language":"en","page":"79","source":"DOI.org (Crossref)","title":"Assessing coastal water quality along Odisha using Landsat-8: Insights into seasonal and spatial variability","title-short":"Assessing coastal water quality along Odisha using Landsat-8","URL":"https://link.springer.com/10.1007/s12040-025-02543-z","volume":"134","author":[{"family":"Chacko","given":"Neethu"},{"family":"Jayaram","given":"Chiranjivi"}],"accessed":{"date-parts":[["2025",11,21]]},"issued":{"date-parts":[["2025",3,27]]}}}],"schema":"https://github.com/citation-style-language/schema/raw/master/csl-citation.json"} </w:instrText>
      </w:r>
      <w:r w:rsidR="00917363">
        <w:rPr>
          <w:rFonts w:ascii="Arial" w:hAnsi="Arial" w:cs="Arial"/>
          <w:lang w:eastAsia="en-IN" w:bidi="mr-IN"/>
        </w:rPr>
        <w:fldChar w:fldCharType="separate"/>
      </w:r>
      <w:r w:rsidR="00917363" w:rsidRPr="00917363">
        <w:rPr>
          <w:rFonts w:ascii="Arial" w:hAnsi="Arial" w:cs="Arial"/>
        </w:rPr>
        <w:t>(Chacko &amp; Jayaram, 2025)</w:t>
      </w:r>
      <w:r w:rsidR="00917363">
        <w:rPr>
          <w:rFonts w:ascii="Arial" w:hAnsi="Arial" w:cs="Arial"/>
          <w:lang w:eastAsia="en-IN" w:bidi="mr-IN"/>
        </w:rPr>
        <w:fldChar w:fldCharType="end"/>
      </w:r>
      <w:r w:rsidRPr="009F05B2">
        <w:rPr>
          <w:rFonts w:ascii="Arial" w:hAnsi="Arial" w:cs="Arial"/>
          <w:lang w:eastAsia="en-IN" w:bidi="mr-IN"/>
        </w:rPr>
        <w:t xml:space="preserve">. The percentage variance and cumulative variance is represented in Table 7. </w:t>
      </w:r>
    </w:p>
    <w:p w:rsidR="00853D76" w:rsidRPr="009F05B2" w:rsidRDefault="00853D76" w:rsidP="004D2E19">
      <w:pPr>
        <w:spacing w:before="240" w:after="240"/>
        <w:jc w:val="center"/>
        <w:rPr>
          <w:rFonts w:ascii="Arial" w:hAnsi="Arial" w:cs="Arial"/>
          <w:b/>
        </w:rPr>
      </w:pPr>
      <w:r w:rsidRPr="009F05B2">
        <w:rPr>
          <w:rFonts w:ascii="Arial" w:hAnsi="Arial" w:cs="Arial"/>
          <w:noProof/>
        </w:rPr>
        <w:drawing>
          <wp:inline distT="0" distB="0" distL="0" distR="0" wp14:anchorId="57DE1D38" wp14:editId="7F13C7EE">
            <wp:extent cx="5151665" cy="4753650"/>
            <wp:effectExtent l="19050" t="1905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437" r="3596"/>
                    <a:stretch/>
                  </pic:blipFill>
                  <pic:spPr bwMode="auto">
                    <a:xfrm>
                      <a:off x="0" y="0"/>
                      <a:ext cx="5166160" cy="47670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53D76" w:rsidRDefault="00853D76" w:rsidP="00853D76">
      <w:pPr>
        <w:spacing w:before="240"/>
        <w:ind w:left="990" w:right="-64" w:hanging="990"/>
        <w:jc w:val="both"/>
        <w:rPr>
          <w:rFonts w:ascii="Arial" w:hAnsi="Arial" w:cs="Arial"/>
          <w:b/>
          <w:bCs/>
          <w:color w:val="000000"/>
          <w:lang w:eastAsia="en-IN" w:bidi="mr-IN"/>
        </w:rPr>
      </w:pPr>
      <w:r w:rsidRPr="004E2E4A">
        <w:rPr>
          <w:rFonts w:ascii="Arial" w:hAnsi="Arial" w:cs="Arial"/>
          <w:b/>
          <w:bCs/>
          <w:color w:val="000000"/>
          <w:lang w:eastAsia="en-IN" w:bidi="mr-IN"/>
        </w:rPr>
        <w:t>Fig. 3. Biplots of water quality variables - Principal Component Analysis with site groupings and influences.</w:t>
      </w:r>
    </w:p>
    <w:p w:rsidR="00A15CD9" w:rsidRPr="00A15CD9" w:rsidRDefault="00A15CD9" w:rsidP="004D2E19">
      <w:pPr>
        <w:spacing w:before="240" w:after="240" w:line="276" w:lineRule="auto"/>
        <w:jc w:val="center"/>
        <w:rPr>
          <w:rFonts w:ascii="Arial" w:hAnsi="Arial" w:cs="Arial"/>
          <w:b/>
        </w:rPr>
      </w:pPr>
      <w:r w:rsidRPr="00695848">
        <w:rPr>
          <w:rFonts w:ascii="Arial" w:hAnsi="Arial" w:cs="Arial"/>
          <w:b/>
        </w:rPr>
        <w:t xml:space="preserve">Table 7. </w:t>
      </w:r>
      <w:r w:rsidRPr="00A15CD9">
        <w:rPr>
          <w:rFonts w:ascii="Arial" w:hAnsi="Arial" w:cs="Arial"/>
          <w:b/>
        </w:rPr>
        <w:t>Correlations between variables and factors</w:t>
      </w:r>
    </w:p>
    <w:tbl>
      <w:tblPr>
        <w:tblW w:w="6890" w:type="dxa"/>
        <w:jc w:val="center"/>
        <w:tblBorders>
          <w:top w:val="single" w:sz="4" w:space="0" w:color="auto"/>
          <w:bottom w:val="single" w:sz="4" w:space="0" w:color="auto"/>
        </w:tblBorders>
        <w:tblLook w:val="04A0" w:firstRow="1" w:lastRow="0" w:firstColumn="1" w:lastColumn="0" w:noHBand="0" w:noVBand="1"/>
      </w:tblPr>
      <w:tblGrid>
        <w:gridCol w:w="1790"/>
        <w:gridCol w:w="1020"/>
        <w:gridCol w:w="1020"/>
        <w:gridCol w:w="1020"/>
        <w:gridCol w:w="1020"/>
        <w:gridCol w:w="1020"/>
      </w:tblGrid>
      <w:tr w:rsidR="00A15CD9" w:rsidRPr="00A15CD9" w:rsidTr="00381700">
        <w:trPr>
          <w:trHeight w:val="87"/>
          <w:jc w:val="center"/>
        </w:trPr>
        <w:tc>
          <w:tcPr>
            <w:tcW w:w="1790" w:type="dxa"/>
            <w:tcBorders>
              <w:top w:val="single" w:sz="4" w:space="0" w:color="auto"/>
              <w:bottom w:val="single" w:sz="4" w:space="0" w:color="auto"/>
            </w:tcBorders>
            <w:shd w:val="clear" w:color="auto" w:fill="auto"/>
            <w:vAlign w:val="center"/>
            <w:hideMark/>
          </w:tcPr>
          <w:p w:rsidR="00A15CD9" w:rsidRPr="00A15CD9" w:rsidRDefault="00A15CD9" w:rsidP="00195B60">
            <w:pPr>
              <w:rPr>
                <w:rFonts w:ascii="Arial" w:hAnsi="Arial" w:cs="Arial"/>
                <w:b/>
                <w:color w:val="000000"/>
                <w:lang w:eastAsia="en-IN" w:bidi="mr-IN"/>
              </w:rPr>
            </w:pPr>
            <w:r w:rsidRPr="00A15CD9">
              <w:rPr>
                <w:rFonts w:ascii="Arial" w:hAnsi="Arial" w:cs="Arial"/>
                <w:b/>
              </w:rPr>
              <w:t>Variables</w:t>
            </w:r>
          </w:p>
        </w:tc>
        <w:tc>
          <w:tcPr>
            <w:tcW w:w="1020" w:type="dxa"/>
            <w:tcBorders>
              <w:top w:val="single" w:sz="4" w:space="0" w:color="auto"/>
              <w:bottom w:val="single" w:sz="4" w:space="0" w:color="auto"/>
            </w:tcBorders>
            <w:shd w:val="clear" w:color="auto" w:fill="auto"/>
            <w:vAlign w:val="center"/>
            <w:hideMark/>
          </w:tcPr>
          <w:p w:rsidR="00A15CD9" w:rsidRPr="00A15CD9" w:rsidRDefault="00A15CD9" w:rsidP="00195B60">
            <w:pPr>
              <w:jc w:val="center"/>
              <w:rPr>
                <w:rFonts w:ascii="Arial" w:hAnsi="Arial" w:cs="Arial"/>
                <w:b/>
                <w:bCs/>
                <w:color w:val="000000"/>
                <w:lang w:eastAsia="en-IN" w:bidi="mr-IN"/>
              </w:rPr>
            </w:pPr>
            <w:r w:rsidRPr="00A15CD9">
              <w:rPr>
                <w:rFonts w:ascii="Arial" w:hAnsi="Arial" w:cs="Arial"/>
                <w:b/>
                <w:bCs/>
                <w:color w:val="000000"/>
                <w:lang w:eastAsia="en-IN" w:bidi="mr-IN"/>
              </w:rPr>
              <w:t>P1</w:t>
            </w:r>
          </w:p>
        </w:tc>
        <w:tc>
          <w:tcPr>
            <w:tcW w:w="1020" w:type="dxa"/>
            <w:tcBorders>
              <w:top w:val="single" w:sz="4" w:space="0" w:color="auto"/>
              <w:bottom w:val="single" w:sz="4" w:space="0" w:color="auto"/>
            </w:tcBorders>
            <w:shd w:val="clear" w:color="auto" w:fill="auto"/>
            <w:vAlign w:val="center"/>
            <w:hideMark/>
          </w:tcPr>
          <w:p w:rsidR="00A15CD9" w:rsidRPr="00A15CD9" w:rsidRDefault="00A15CD9" w:rsidP="00195B60">
            <w:pPr>
              <w:jc w:val="center"/>
              <w:rPr>
                <w:rFonts w:ascii="Arial" w:hAnsi="Arial" w:cs="Arial"/>
                <w:b/>
                <w:bCs/>
                <w:color w:val="000000"/>
                <w:lang w:eastAsia="en-IN" w:bidi="mr-IN"/>
              </w:rPr>
            </w:pPr>
            <w:r w:rsidRPr="00A15CD9">
              <w:rPr>
                <w:rFonts w:ascii="Arial" w:hAnsi="Arial" w:cs="Arial"/>
                <w:b/>
                <w:bCs/>
                <w:color w:val="000000"/>
                <w:lang w:eastAsia="en-IN" w:bidi="mr-IN"/>
              </w:rPr>
              <w:t>P2</w:t>
            </w:r>
          </w:p>
        </w:tc>
        <w:tc>
          <w:tcPr>
            <w:tcW w:w="1020" w:type="dxa"/>
            <w:tcBorders>
              <w:top w:val="single" w:sz="4" w:space="0" w:color="auto"/>
              <w:bottom w:val="single" w:sz="4" w:space="0" w:color="auto"/>
            </w:tcBorders>
            <w:shd w:val="clear" w:color="auto" w:fill="auto"/>
            <w:vAlign w:val="center"/>
            <w:hideMark/>
          </w:tcPr>
          <w:p w:rsidR="00A15CD9" w:rsidRPr="00A15CD9" w:rsidRDefault="00A15CD9" w:rsidP="00195B60">
            <w:pPr>
              <w:jc w:val="center"/>
              <w:rPr>
                <w:rFonts w:ascii="Arial" w:hAnsi="Arial" w:cs="Arial"/>
                <w:b/>
                <w:bCs/>
                <w:color w:val="000000"/>
                <w:lang w:eastAsia="en-IN" w:bidi="mr-IN"/>
              </w:rPr>
            </w:pPr>
            <w:r w:rsidRPr="00A15CD9">
              <w:rPr>
                <w:rFonts w:ascii="Arial" w:hAnsi="Arial" w:cs="Arial"/>
                <w:b/>
                <w:bCs/>
                <w:color w:val="000000"/>
                <w:lang w:eastAsia="en-IN" w:bidi="mr-IN"/>
              </w:rPr>
              <w:t>P3</w:t>
            </w:r>
          </w:p>
        </w:tc>
        <w:tc>
          <w:tcPr>
            <w:tcW w:w="1020" w:type="dxa"/>
            <w:tcBorders>
              <w:top w:val="single" w:sz="4" w:space="0" w:color="auto"/>
              <w:bottom w:val="single" w:sz="4" w:space="0" w:color="auto"/>
            </w:tcBorders>
            <w:shd w:val="clear" w:color="auto" w:fill="auto"/>
            <w:vAlign w:val="center"/>
            <w:hideMark/>
          </w:tcPr>
          <w:p w:rsidR="00A15CD9" w:rsidRPr="00A15CD9" w:rsidRDefault="00A15CD9" w:rsidP="00195B60">
            <w:pPr>
              <w:jc w:val="center"/>
              <w:rPr>
                <w:rFonts w:ascii="Arial" w:hAnsi="Arial" w:cs="Arial"/>
                <w:b/>
                <w:bCs/>
                <w:color w:val="000000"/>
                <w:lang w:eastAsia="en-IN" w:bidi="mr-IN"/>
              </w:rPr>
            </w:pPr>
            <w:r w:rsidRPr="00A15CD9">
              <w:rPr>
                <w:rFonts w:ascii="Arial" w:hAnsi="Arial" w:cs="Arial"/>
                <w:b/>
                <w:bCs/>
                <w:color w:val="000000"/>
                <w:lang w:eastAsia="en-IN" w:bidi="mr-IN"/>
              </w:rPr>
              <w:t>P4</w:t>
            </w:r>
          </w:p>
        </w:tc>
        <w:tc>
          <w:tcPr>
            <w:tcW w:w="1020" w:type="dxa"/>
            <w:tcBorders>
              <w:top w:val="single" w:sz="4" w:space="0" w:color="auto"/>
              <w:bottom w:val="single" w:sz="4" w:space="0" w:color="auto"/>
            </w:tcBorders>
            <w:shd w:val="clear" w:color="auto" w:fill="auto"/>
            <w:vAlign w:val="center"/>
            <w:hideMark/>
          </w:tcPr>
          <w:p w:rsidR="00A15CD9" w:rsidRPr="00A15CD9" w:rsidRDefault="00A15CD9" w:rsidP="00195B60">
            <w:pPr>
              <w:jc w:val="center"/>
              <w:rPr>
                <w:rFonts w:ascii="Arial" w:hAnsi="Arial" w:cs="Arial"/>
                <w:b/>
                <w:bCs/>
                <w:color w:val="000000"/>
                <w:lang w:eastAsia="en-IN" w:bidi="mr-IN"/>
              </w:rPr>
            </w:pPr>
            <w:r w:rsidRPr="00A15CD9">
              <w:rPr>
                <w:rFonts w:ascii="Arial" w:hAnsi="Arial" w:cs="Arial"/>
                <w:b/>
                <w:bCs/>
                <w:color w:val="000000"/>
                <w:lang w:eastAsia="en-IN" w:bidi="mr-IN"/>
              </w:rPr>
              <w:t>P5</w:t>
            </w:r>
          </w:p>
        </w:tc>
      </w:tr>
      <w:tr w:rsidR="00A15CD9" w:rsidRPr="00A15CD9" w:rsidTr="00A15CD9">
        <w:trPr>
          <w:trHeight w:val="87"/>
          <w:jc w:val="center"/>
        </w:trPr>
        <w:tc>
          <w:tcPr>
            <w:tcW w:w="1790" w:type="dxa"/>
            <w:tcBorders>
              <w:top w:val="single" w:sz="4" w:space="0" w:color="auto"/>
            </w:tcBorders>
            <w:shd w:val="clear" w:color="auto" w:fill="auto"/>
            <w:noWrap/>
            <w:hideMark/>
          </w:tcPr>
          <w:p w:rsidR="00A15CD9" w:rsidRPr="00A15CD9" w:rsidRDefault="00A15CD9" w:rsidP="00195B60">
            <w:pPr>
              <w:rPr>
                <w:rFonts w:ascii="Arial" w:hAnsi="Arial" w:cs="Arial"/>
                <w:b/>
                <w:bCs/>
                <w:color w:val="000000"/>
                <w:lang w:eastAsia="en-IN" w:bidi="mr-IN"/>
              </w:rPr>
            </w:pPr>
            <w:r w:rsidRPr="00A15CD9">
              <w:rPr>
                <w:rFonts w:ascii="Arial" w:hAnsi="Arial" w:cs="Arial"/>
                <w:b/>
                <w:bCs/>
                <w:lang w:bidi="mr-IN"/>
              </w:rPr>
              <w:t>pH</w:t>
            </w:r>
          </w:p>
        </w:tc>
        <w:tc>
          <w:tcPr>
            <w:tcW w:w="1020" w:type="dxa"/>
            <w:tcBorders>
              <w:top w:val="single" w:sz="4" w:space="0" w:color="auto"/>
            </w:tcBorders>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0.351</w:t>
            </w:r>
          </w:p>
        </w:tc>
        <w:tc>
          <w:tcPr>
            <w:tcW w:w="1020" w:type="dxa"/>
            <w:tcBorders>
              <w:top w:val="single" w:sz="4" w:space="0" w:color="auto"/>
            </w:tcBorders>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-0.708</w:t>
            </w:r>
          </w:p>
        </w:tc>
        <w:tc>
          <w:tcPr>
            <w:tcW w:w="1020" w:type="dxa"/>
            <w:tcBorders>
              <w:top w:val="single" w:sz="4" w:space="0" w:color="auto"/>
            </w:tcBorders>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0.021</w:t>
            </w:r>
          </w:p>
        </w:tc>
        <w:tc>
          <w:tcPr>
            <w:tcW w:w="1020" w:type="dxa"/>
            <w:tcBorders>
              <w:top w:val="single" w:sz="4" w:space="0" w:color="auto"/>
            </w:tcBorders>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0.416</w:t>
            </w:r>
          </w:p>
        </w:tc>
        <w:tc>
          <w:tcPr>
            <w:tcW w:w="1020" w:type="dxa"/>
            <w:tcBorders>
              <w:top w:val="single" w:sz="4" w:space="0" w:color="auto"/>
            </w:tcBorders>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0.353</w:t>
            </w:r>
          </w:p>
        </w:tc>
      </w:tr>
      <w:tr w:rsidR="00A15CD9" w:rsidRPr="00A15CD9" w:rsidTr="00A15CD9">
        <w:trPr>
          <w:trHeight w:val="87"/>
          <w:jc w:val="center"/>
        </w:trPr>
        <w:tc>
          <w:tcPr>
            <w:tcW w:w="1790" w:type="dxa"/>
            <w:shd w:val="clear" w:color="auto" w:fill="auto"/>
            <w:noWrap/>
            <w:hideMark/>
          </w:tcPr>
          <w:p w:rsidR="00A15CD9" w:rsidRPr="00A15CD9" w:rsidRDefault="00A15CD9" w:rsidP="00195B60">
            <w:pPr>
              <w:rPr>
                <w:rFonts w:ascii="Arial" w:hAnsi="Arial" w:cs="Arial"/>
                <w:b/>
                <w:bCs/>
                <w:color w:val="000000"/>
                <w:lang w:eastAsia="en-IN" w:bidi="mr-IN"/>
              </w:rPr>
            </w:pPr>
            <w:r w:rsidRPr="00A15CD9">
              <w:rPr>
                <w:rFonts w:ascii="Arial" w:hAnsi="Arial" w:cs="Arial"/>
                <w:b/>
                <w:bCs/>
                <w:lang w:bidi="mr-IN"/>
              </w:rPr>
              <w:t xml:space="preserve">TDS </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0.982</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0.062</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-0.025</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-0.010</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0.089</w:t>
            </w:r>
          </w:p>
        </w:tc>
      </w:tr>
      <w:tr w:rsidR="00A15CD9" w:rsidRPr="00A15CD9" w:rsidTr="00A15CD9">
        <w:trPr>
          <w:trHeight w:val="87"/>
          <w:jc w:val="center"/>
        </w:trPr>
        <w:tc>
          <w:tcPr>
            <w:tcW w:w="1790" w:type="dxa"/>
            <w:shd w:val="clear" w:color="auto" w:fill="auto"/>
            <w:noWrap/>
            <w:hideMark/>
          </w:tcPr>
          <w:p w:rsidR="00A15CD9" w:rsidRPr="00A15CD9" w:rsidRDefault="00A15CD9" w:rsidP="00195B60">
            <w:pPr>
              <w:rPr>
                <w:rFonts w:ascii="Arial" w:hAnsi="Arial" w:cs="Arial"/>
                <w:b/>
                <w:bCs/>
                <w:color w:val="000000"/>
                <w:lang w:eastAsia="en-IN" w:bidi="mr-IN"/>
              </w:rPr>
            </w:pPr>
            <w:r w:rsidRPr="00A15CD9">
              <w:rPr>
                <w:rFonts w:ascii="Arial" w:hAnsi="Arial" w:cs="Arial"/>
                <w:b/>
                <w:bCs/>
                <w:lang w:bidi="mr-IN"/>
              </w:rPr>
              <w:t xml:space="preserve">EC </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0.982</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0.061</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-0.025</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-0.009</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0.090</w:t>
            </w:r>
          </w:p>
        </w:tc>
      </w:tr>
      <w:tr w:rsidR="00A15CD9" w:rsidRPr="00A15CD9" w:rsidTr="00A15CD9">
        <w:trPr>
          <w:trHeight w:val="87"/>
          <w:jc w:val="center"/>
        </w:trPr>
        <w:tc>
          <w:tcPr>
            <w:tcW w:w="1790" w:type="dxa"/>
            <w:shd w:val="clear" w:color="auto" w:fill="auto"/>
            <w:noWrap/>
            <w:hideMark/>
          </w:tcPr>
          <w:p w:rsidR="00A15CD9" w:rsidRPr="00A15CD9" w:rsidRDefault="00A15CD9" w:rsidP="00195B60">
            <w:pPr>
              <w:rPr>
                <w:rFonts w:ascii="Arial" w:hAnsi="Arial" w:cs="Arial"/>
                <w:b/>
                <w:bCs/>
                <w:color w:val="000000"/>
                <w:lang w:eastAsia="en-IN" w:bidi="mr-IN"/>
              </w:rPr>
            </w:pPr>
            <w:r w:rsidRPr="00A15CD9">
              <w:rPr>
                <w:rFonts w:ascii="Arial" w:hAnsi="Arial" w:cs="Arial"/>
                <w:b/>
                <w:bCs/>
                <w:lang w:bidi="mr-IN"/>
              </w:rPr>
              <w:t>Cl</w:t>
            </w:r>
            <w:r w:rsidRPr="00A15CD9">
              <w:rPr>
                <w:rFonts w:ascii="Arial" w:hAnsi="Arial" w:cs="Arial"/>
                <w:b/>
                <w:bCs/>
                <w:vertAlign w:val="superscript"/>
                <w:lang w:bidi="mr-IN"/>
              </w:rPr>
              <w:t xml:space="preserve">- </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0.176</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-0.004</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0.919</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0.124</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-0.001</w:t>
            </w:r>
          </w:p>
        </w:tc>
      </w:tr>
      <w:tr w:rsidR="00A15CD9" w:rsidRPr="00A15CD9" w:rsidTr="00A15CD9">
        <w:trPr>
          <w:trHeight w:val="87"/>
          <w:jc w:val="center"/>
        </w:trPr>
        <w:tc>
          <w:tcPr>
            <w:tcW w:w="1790" w:type="dxa"/>
            <w:shd w:val="clear" w:color="auto" w:fill="auto"/>
            <w:noWrap/>
            <w:hideMark/>
          </w:tcPr>
          <w:p w:rsidR="00A15CD9" w:rsidRPr="00A15CD9" w:rsidRDefault="00A15CD9" w:rsidP="00195B60">
            <w:pPr>
              <w:rPr>
                <w:rFonts w:ascii="Arial" w:hAnsi="Arial" w:cs="Arial"/>
                <w:b/>
                <w:bCs/>
                <w:color w:val="000000"/>
                <w:lang w:eastAsia="en-IN" w:bidi="mr-IN"/>
              </w:rPr>
            </w:pPr>
            <w:r w:rsidRPr="00A15CD9">
              <w:rPr>
                <w:rFonts w:ascii="Arial" w:hAnsi="Arial" w:cs="Arial"/>
                <w:b/>
                <w:bCs/>
                <w:lang w:bidi="mr-IN"/>
              </w:rPr>
              <w:t>SO</w:t>
            </w:r>
            <w:r w:rsidRPr="00A15CD9">
              <w:rPr>
                <w:rFonts w:ascii="Arial" w:hAnsi="Arial" w:cs="Arial"/>
                <w:b/>
                <w:bCs/>
                <w:vertAlign w:val="subscript"/>
                <w:lang w:bidi="mr-IN"/>
              </w:rPr>
              <w:t>4</w:t>
            </w:r>
            <w:r w:rsidRPr="00A15CD9">
              <w:rPr>
                <w:rFonts w:ascii="Arial" w:hAnsi="Arial" w:cs="Arial"/>
                <w:b/>
                <w:bCs/>
                <w:lang w:bidi="mr-IN"/>
              </w:rPr>
              <w:t xml:space="preserve"> </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0.792</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0.110</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-0.021</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-0.212</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-0.397</w:t>
            </w:r>
          </w:p>
        </w:tc>
      </w:tr>
      <w:tr w:rsidR="00A15CD9" w:rsidRPr="00A15CD9" w:rsidTr="00A15CD9">
        <w:trPr>
          <w:trHeight w:val="87"/>
          <w:jc w:val="center"/>
        </w:trPr>
        <w:tc>
          <w:tcPr>
            <w:tcW w:w="1790" w:type="dxa"/>
            <w:shd w:val="clear" w:color="auto" w:fill="auto"/>
            <w:noWrap/>
            <w:hideMark/>
          </w:tcPr>
          <w:p w:rsidR="00A15CD9" w:rsidRPr="00A15CD9" w:rsidRDefault="00A15CD9" w:rsidP="00195B60">
            <w:pPr>
              <w:rPr>
                <w:rFonts w:ascii="Arial" w:hAnsi="Arial" w:cs="Arial"/>
                <w:b/>
                <w:bCs/>
                <w:color w:val="000000"/>
                <w:lang w:eastAsia="en-IN" w:bidi="mr-IN"/>
              </w:rPr>
            </w:pPr>
            <w:r w:rsidRPr="00A15CD9">
              <w:rPr>
                <w:rFonts w:ascii="Arial" w:hAnsi="Arial" w:cs="Arial"/>
                <w:b/>
                <w:bCs/>
                <w:lang w:bidi="mr-IN"/>
              </w:rPr>
              <w:lastRenderedPageBreak/>
              <w:t>Ca</w:t>
            </w:r>
            <w:r w:rsidRPr="00A15CD9">
              <w:rPr>
                <w:rFonts w:ascii="Arial" w:hAnsi="Arial" w:cs="Arial"/>
                <w:b/>
                <w:bCs/>
                <w:vertAlign w:val="superscript"/>
                <w:lang w:bidi="mr-IN"/>
              </w:rPr>
              <w:t>3+</w:t>
            </w:r>
            <w:r w:rsidRPr="00A15CD9">
              <w:rPr>
                <w:rFonts w:ascii="Arial" w:hAnsi="Arial" w:cs="Arial"/>
                <w:b/>
                <w:bCs/>
                <w:lang w:bidi="mr-IN"/>
              </w:rPr>
              <w:t xml:space="preserve"> </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0.837</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0.175</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-0.380</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-0.133</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0.264</w:t>
            </w:r>
          </w:p>
        </w:tc>
      </w:tr>
      <w:tr w:rsidR="00A15CD9" w:rsidRPr="00A15CD9" w:rsidTr="00A15CD9">
        <w:trPr>
          <w:trHeight w:val="87"/>
          <w:jc w:val="center"/>
        </w:trPr>
        <w:tc>
          <w:tcPr>
            <w:tcW w:w="1790" w:type="dxa"/>
            <w:shd w:val="clear" w:color="auto" w:fill="auto"/>
            <w:noWrap/>
            <w:hideMark/>
          </w:tcPr>
          <w:p w:rsidR="00A15CD9" w:rsidRPr="00A15CD9" w:rsidRDefault="00A15CD9" w:rsidP="00195B60">
            <w:pPr>
              <w:rPr>
                <w:rFonts w:ascii="Arial" w:hAnsi="Arial" w:cs="Arial"/>
                <w:b/>
                <w:bCs/>
                <w:color w:val="000000"/>
                <w:lang w:eastAsia="en-IN" w:bidi="mr-IN"/>
              </w:rPr>
            </w:pPr>
            <w:r w:rsidRPr="00A15CD9">
              <w:rPr>
                <w:rFonts w:ascii="Arial" w:hAnsi="Arial" w:cs="Arial"/>
                <w:b/>
                <w:bCs/>
                <w:lang w:bidi="mr-IN"/>
              </w:rPr>
              <w:t>Mg</w:t>
            </w:r>
            <w:r w:rsidRPr="00A15CD9">
              <w:rPr>
                <w:rFonts w:ascii="Arial" w:hAnsi="Arial" w:cs="Arial"/>
                <w:b/>
                <w:bCs/>
                <w:vertAlign w:val="superscript"/>
                <w:lang w:bidi="mr-IN"/>
              </w:rPr>
              <w:t>2+</w:t>
            </w:r>
            <w:r w:rsidRPr="00A15CD9">
              <w:rPr>
                <w:rFonts w:ascii="Arial" w:hAnsi="Arial" w:cs="Arial"/>
                <w:b/>
                <w:bCs/>
                <w:lang w:bidi="mr-IN"/>
              </w:rPr>
              <w:t xml:space="preserve"> </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0.690</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0.016</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-0.080</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0.529</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-0.291</w:t>
            </w:r>
          </w:p>
        </w:tc>
      </w:tr>
      <w:tr w:rsidR="00A15CD9" w:rsidRPr="00A15CD9" w:rsidTr="00A15CD9">
        <w:trPr>
          <w:trHeight w:val="87"/>
          <w:jc w:val="center"/>
        </w:trPr>
        <w:tc>
          <w:tcPr>
            <w:tcW w:w="1790" w:type="dxa"/>
            <w:shd w:val="clear" w:color="auto" w:fill="auto"/>
            <w:noWrap/>
            <w:hideMark/>
          </w:tcPr>
          <w:p w:rsidR="00A15CD9" w:rsidRPr="00A15CD9" w:rsidRDefault="00A15CD9" w:rsidP="00195B60">
            <w:pPr>
              <w:rPr>
                <w:rFonts w:ascii="Arial" w:hAnsi="Arial" w:cs="Arial"/>
                <w:b/>
                <w:bCs/>
                <w:color w:val="000000"/>
                <w:lang w:eastAsia="en-IN" w:bidi="mr-IN"/>
              </w:rPr>
            </w:pPr>
            <w:r w:rsidRPr="00A15CD9">
              <w:rPr>
                <w:rFonts w:ascii="Arial" w:hAnsi="Arial" w:cs="Arial"/>
                <w:b/>
                <w:bCs/>
                <w:lang w:bidi="mr-IN"/>
              </w:rPr>
              <w:t xml:space="preserve">Hardness </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0.966</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0.129</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-0.115</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0.043</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0.104</w:t>
            </w:r>
          </w:p>
        </w:tc>
      </w:tr>
      <w:tr w:rsidR="00A15CD9" w:rsidRPr="00A15CD9" w:rsidTr="00A15CD9">
        <w:trPr>
          <w:trHeight w:val="87"/>
          <w:jc w:val="center"/>
        </w:trPr>
        <w:tc>
          <w:tcPr>
            <w:tcW w:w="1790" w:type="dxa"/>
            <w:shd w:val="clear" w:color="auto" w:fill="auto"/>
            <w:noWrap/>
            <w:hideMark/>
          </w:tcPr>
          <w:p w:rsidR="00A15CD9" w:rsidRPr="00A15CD9" w:rsidRDefault="00A15CD9" w:rsidP="00195B60">
            <w:pPr>
              <w:rPr>
                <w:rFonts w:ascii="Arial" w:hAnsi="Arial" w:cs="Arial"/>
                <w:b/>
                <w:bCs/>
                <w:color w:val="000000"/>
                <w:lang w:eastAsia="en-IN" w:bidi="mr-IN"/>
              </w:rPr>
            </w:pPr>
            <w:r w:rsidRPr="00A15CD9">
              <w:rPr>
                <w:rFonts w:ascii="Arial" w:hAnsi="Arial" w:cs="Arial"/>
                <w:b/>
                <w:bCs/>
                <w:lang w:bidi="mr-IN"/>
              </w:rPr>
              <w:t>BOD</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0.854</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0.422</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-0.095</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0.089</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-0.136</w:t>
            </w:r>
          </w:p>
        </w:tc>
      </w:tr>
      <w:tr w:rsidR="00A15CD9" w:rsidRPr="00A15CD9" w:rsidTr="00A15CD9">
        <w:trPr>
          <w:trHeight w:val="87"/>
          <w:jc w:val="center"/>
        </w:trPr>
        <w:tc>
          <w:tcPr>
            <w:tcW w:w="1790" w:type="dxa"/>
            <w:shd w:val="clear" w:color="auto" w:fill="auto"/>
            <w:noWrap/>
            <w:hideMark/>
          </w:tcPr>
          <w:p w:rsidR="00A15CD9" w:rsidRPr="00A15CD9" w:rsidRDefault="00A15CD9" w:rsidP="00195B60">
            <w:pPr>
              <w:rPr>
                <w:rFonts w:ascii="Arial" w:hAnsi="Arial" w:cs="Arial"/>
                <w:b/>
                <w:bCs/>
                <w:color w:val="000000"/>
                <w:lang w:eastAsia="en-IN" w:bidi="mr-IN"/>
              </w:rPr>
            </w:pPr>
            <w:r w:rsidRPr="00A15CD9">
              <w:rPr>
                <w:rFonts w:ascii="Arial" w:hAnsi="Arial" w:cs="Arial"/>
                <w:b/>
                <w:bCs/>
                <w:lang w:bidi="mr-IN"/>
              </w:rPr>
              <w:t>COD</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0.696</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-0.543</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0.202</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-0.037</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0.184</w:t>
            </w:r>
          </w:p>
        </w:tc>
      </w:tr>
      <w:tr w:rsidR="00A15CD9" w:rsidRPr="00A15CD9" w:rsidTr="00A15CD9">
        <w:trPr>
          <w:trHeight w:val="87"/>
          <w:jc w:val="center"/>
        </w:trPr>
        <w:tc>
          <w:tcPr>
            <w:tcW w:w="1790" w:type="dxa"/>
            <w:shd w:val="clear" w:color="auto" w:fill="auto"/>
            <w:noWrap/>
            <w:hideMark/>
          </w:tcPr>
          <w:p w:rsidR="00A15CD9" w:rsidRPr="00A15CD9" w:rsidRDefault="00A15CD9" w:rsidP="00195B60">
            <w:pPr>
              <w:rPr>
                <w:rFonts w:ascii="Arial" w:hAnsi="Arial" w:cs="Arial"/>
                <w:b/>
                <w:bCs/>
                <w:color w:val="000000"/>
                <w:lang w:eastAsia="en-IN" w:bidi="mr-IN"/>
              </w:rPr>
            </w:pPr>
            <w:r w:rsidRPr="00A15CD9">
              <w:rPr>
                <w:rFonts w:ascii="Arial" w:hAnsi="Arial" w:cs="Arial"/>
                <w:b/>
                <w:bCs/>
                <w:lang w:bidi="mr-IN"/>
              </w:rPr>
              <w:t>DO</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-0.638</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-0.054</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-0.568</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0.438</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-0.027</w:t>
            </w:r>
          </w:p>
        </w:tc>
      </w:tr>
      <w:tr w:rsidR="00A15CD9" w:rsidRPr="00A15CD9" w:rsidTr="00A15CD9">
        <w:trPr>
          <w:trHeight w:val="87"/>
          <w:jc w:val="center"/>
        </w:trPr>
        <w:tc>
          <w:tcPr>
            <w:tcW w:w="1790" w:type="dxa"/>
            <w:shd w:val="clear" w:color="auto" w:fill="auto"/>
            <w:noWrap/>
            <w:hideMark/>
          </w:tcPr>
          <w:p w:rsidR="00A15CD9" w:rsidRPr="00A15CD9" w:rsidRDefault="00A15CD9" w:rsidP="00195B60">
            <w:pPr>
              <w:rPr>
                <w:rFonts w:ascii="Arial" w:hAnsi="Arial" w:cs="Arial"/>
                <w:b/>
                <w:bCs/>
                <w:color w:val="000000"/>
                <w:lang w:eastAsia="en-IN" w:bidi="mr-IN"/>
              </w:rPr>
            </w:pPr>
            <w:r w:rsidRPr="00A15CD9">
              <w:rPr>
                <w:rFonts w:ascii="Arial" w:hAnsi="Arial" w:cs="Arial"/>
                <w:b/>
                <w:bCs/>
                <w:lang w:bidi="mr-IN"/>
              </w:rPr>
              <w:t>NO</w:t>
            </w:r>
            <w:r w:rsidRPr="00A15CD9">
              <w:rPr>
                <w:rFonts w:ascii="Arial" w:hAnsi="Arial" w:cs="Arial"/>
                <w:b/>
                <w:bCs/>
                <w:vertAlign w:val="subscript"/>
                <w:lang w:bidi="mr-IN"/>
              </w:rPr>
              <w:t>3</w:t>
            </w:r>
            <w:r w:rsidRPr="00A15CD9">
              <w:rPr>
                <w:rFonts w:ascii="Arial" w:hAnsi="Arial" w:cs="Arial"/>
                <w:b/>
                <w:bCs/>
                <w:lang w:bidi="mr-IN"/>
              </w:rPr>
              <w:t xml:space="preserve"> </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-0.249</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0.712</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0.028</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-0.019</w:t>
            </w:r>
          </w:p>
        </w:tc>
        <w:tc>
          <w:tcPr>
            <w:tcW w:w="1020" w:type="dxa"/>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0.545</w:t>
            </w:r>
          </w:p>
        </w:tc>
      </w:tr>
      <w:tr w:rsidR="00A15CD9" w:rsidRPr="00A15CD9" w:rsidTr="00A15CD9">
        <w:trPr>
          <w:trHeight w:val="93"/>
          <w:jc w:val="center"/>
        </w:trPr>
        <w:tc>
          <w:tcPr>
            <w:tcW w:w="1790" w:type="dxa"/>
            <w:tcBorders>
              <w:bottom w:val="nil"/>
            </w:tcBorders>
            <w:shd w:val="clear" w:color="auto" w:fill="auto"/>
            <w:noWrap/>
            <w:hideMark/>
          </w:tcPr>
          <w:p w:rsidR="00A15CD9" w:rsidRPr="00A15CD9" w:rsidRDefault="00A15CD9" w:rsidP="00195B60">
            <w:pPr>
              <w:rPr>
                <w:rFonts w:ascii="Arial" w:hAnsi="Arial" w:cs="Arial"/>
                <w:b/>
                <w:bCs/>
                <w:color w:val="000000"/>
                <w:lang w:eastAsia="en-IN" w:bidi="mr-IN"/>
              </w:rPr>
            </w:pPr>
            <w:r w:rsidRPr="00A15CD9">
              <w:rPr>
                <w:rFonts w:ascii="Arial" w:hAnsi="Arial" w:cs="Arial"/>
                <w:b/>
                <w:bCs/>
                <w:lang w:bidi="mr-IN"/>
              </w:rPr>
              <w:t xml:space="preserve">F. Coliform </w:t>
            </w:r>
          </w:p>
        </w:tc>
        <w:tc>
          <w:tcPr>
            <w:tcW w:w="1020" w:type="dxa"/>
            <w:tcBorders>
              <w:bottom w:val="nil"/>
            </w:tcBorders>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-0.118</w:t>
            </w:r>
          </w:p>
        </w:tc>
        <w:tc>
          <w:tcPr>
            <w:tcW w:w="1020" w:type="dxa"/>
            <w:tcBorders>
              <w:bottom w:val="nil"/>
            </w:tcBorders>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0.688</w:t>
            </w:r>
          </w:p>
        </w:tc>
        <w:tc>
          <w:tcPr>
            <w:tcW w:w="1020" w:type="dxa"/>
            <w:tcBorders>
              <w:bottom w:val="nil"/>
            </w:tcBorders>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0.299</w:t>
            </w:r>
          </w:p>
        </w:tc>
        <w:tc>
          <w:tcPr>
            <w:tcW w:w="1020" w:type="dxa"/>
            <w:tcBorders>
              <w:bottom w:val="nil"/>
            </w:tcBorders>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0.448</w:t>
            </w:r>
          </w:p>
        </w:tc>
        <w:tc>
          <w:tcPr>
            <w:tcW w:w="1020" w:type="dxa"/>
            <w:tcBorders>
              <w:bottom w:val="nil"/>
            </w:tcBorders>
            <w:shd w:val="clear" w:color="auto" w:fill="auto"/>
            <w:noWrap/>
            <w:vAlign w:val="bottom"/>
            <w:hideMark/>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lang w:eastAsia="en-IN" w:bidi="mr-IN"/>
              </w:rPr>
              <w:t>-0.007</w:t>
            </w:r>
          </w:p>
        </w:tc>
      </w:tr>
      <w:tr w:rsidR="00A15CD9" w:rsidRPr="00A15CD9" w:rsidTr="00A15CD9">
        <w:trPr>
          <w:trHeight w:val="93"/>
          <w:jc w:val="center"/>
        </w:trPr>
        <w:tc>
          <w:tcPr>
            <w:tcW w:w="1790" w:type="dxa"/>
            <w:tcBorders>
              <w:top w:val="nil"/>
              <w:left w:val="nil"/>
              <w:bottom w:val="nil"/>
              <w:right w:val="nil"/>
            </w:tcBorders>
            <w:shd w:val="clear" w:color="auto" w:fill="auto"/>
            <w:noWrap/>
            <w:vAlign w:val="bottom"/>
          </w:tcPr>
          <w:p w:rsidR="00A15CD9" w:rsidRPr="00A15CD9" w:rsidRDefault="00A15CD9" w:rsidP="00195B60">
            <w:pPr>
              <w:rPr>
                <w:rFonts w:ascii="Arial" w:hAnsi="Arial" w:cs="Arial"/>
                <w:b/>
                <w:bCs/>
                <w:lang w:bidi="mr-IN"/>
              </w:rPr>
            </w:pPr>
            <w:r w:rsidRPr="00A15CD9">
              <w:rPr>
                <w:rFonts w:ascii="Arial" w:hAnsi="Arial" w:cs="Arial"/>
                <w:b/>
                <w:bCs/>
                <w:color w:val="000000"/>
              </w:rPr>
              <w:t>Eigen Value</w:t>
            </w:r>
          </w:p>
        </w:tc>
        <w:tc>
          <w:tcPr>
            <w:tcW w:w="1020" w:type="dxa"/>
            <w:tcBorders>
              <w:top w:val="nil"/>
              <w:left w:val="nil"/>
              <w:bottom w:val="nil"/>
              <w:right w:val="nil"/>
            </w:tcBorders>
            <w:shd w:val="clear" w:color="auto" w:fill="auto"/>
            <w:noWrap/>
            <w:vAlign w:val="bottom"/>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rPr>
              <w:t>6.518</w:t>
            </w:r>
          </w:p>
        </w:tc>
        <w:tc>
          <w:tcPr>
            <w:tcW w:w="1020" w:type="dxa"/>
            <w:tcBorders>
              <w:top w:val="nil"/>
              <w:left w:val="nil"/>
              <w:bottom w:val="nil"/>
              <w:right w:val="nil"/>
            </w:tcBorders>
            <w:shd w:val="clear" w:color="auto" w:fill="auto"/>
            <w:noWrap/>
            <w:vAlign w:val="bottom"/>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rPr>
              <w:t>2.025</w:t>
            </w:r>
          </w:p>
        </w:tc>
        <w:tc>
          <w:tcPr>
            <w:tcW w:w="1020" w:type="dxa"/>
            <w:tcBorders>
              <w:top w:val="nil"/>
              <w:left w:val="nil"/>
              <w:bottom w:val="nil"/>
              <w:right w:val="nil"/>
            </w:tcBorders>
            <w:shd w:val="clear" w:color="auto" w:fill="auto"/>
            <w:noWrap/>
            <w:vAlign w:val="bottom"/>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rPr>
              <w:t>1.474</w:t>
            </w:r>
          </w:p>
        </w:tc>
        <w:tc>
          <w:tcPr>
            <w:tcW w:w="1020" w:type="dxa"/>
            <w:tcBorders>
              <w:top w:val="nil"/>
              <w:left w:val="nil"/>
              <w:bottom w:val="nil"/>
              <w:right w:val="nil"/>
            </w:tcBorders>
            <w:shd w:val="clear" w:color="auto" w:fill="auto"/>
            <w:noWrap/>
            <w:vAlign w:val="bottom"/>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rPr>
              <w:t>0.935</w:t>
            </w:r>
          </w:p>
        </w:tc>
        <w:tc>
          <w:tcPr>
            <w:tcW w:w="1020" w:type="dxa"/>
            <w:tcBorders>
              <w:top w:val="nil"/>
              <w:left w:val="nil"/>
              <w:bottom w:val="nil"/>
              <w:right w:val="nil"/>
            </w:tcBorders>
            <w:shd w:val="clear" w:color="auto" w:fill="auto"/>
            <w:noWrap/>
            <w:vAlign w:val="bottom"/>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rPr>
              <w:t>0.813</w:t>
            </w:r>
          </w:p>
        </w:tc>
      </w:tr>
      <w:tr w:rsidR="00A15CD9" w:rsidRPr="00A15CD9" w:rsidTr="00A15CD9">
        <w:trPr>
          <w:trHeight w:val="93"/>
          <w:jc w:val="center"/>
        </w:trPr>
        <w:tc>
          <w:tcPr>
            <w:tcW w:w="1790" w:type="dxa"/>
            <w:tcBorders>
              <w:top w:val="nil"/>
              <w:left w:val="nil"/>
              <w:bottom w:val="nil"/>
              <w:right w:val="nil"/>
            </w:tcBorders>
            <w:shd w:val="clear" w:color="auto" w:fill="auto"/>
            <w:noWrap/>
            <w:vAlign w:val="bottom"/>
          </w:tcPr>
          <w:p w:rsidR="00A15CD9" w:rsidRPr="00A15CD9" w:rsidRDefault="00A15CD9" w:rsidP="00195B60">
            <w:pPr>
              <w:rPr>
                <w:rFonts w:ascii="Arial" w:hAnsi="Arial" w:cs="Arial"/>
                <w:b/>
                <w:bCs/>
                <w:lang w:bidi="mr-IN"/>
              </w:rPr>
            </w:pPr>
            <w:r w:rsidRPr="00A15CD9">
              <w:rPr>
                <w:rFonts w:ascii="Arial" w:hAnsi="Arial" w:cs="Arial"/>
                <w:b/>
                <w:bCs/>
                <w:color w:val="000000"/>
              </w:rPr>
              <w:t>Variability %</w:t>
            </w:r>
          </w:p>
        </w:tc>
        <w:tc>
          <w:tcPr>
            <w:tcW w:w="1020" w:type="dxa"/>
            <w:tcBorders>
              <w:top w:val="nil"/>
              <w:left w:val="nil"/>
              <w:bottom w:val="nil"/>
              <w:right w:val="nil"/>
            </w:tcBorders>
            <w:shd w:val="clear" w:color="auto" w:fill="auto"/>
            <w:noWrap/>
            <w:vAlign w:val="bottom"/>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rPr>
              <w:t>50.136</w:t>
            </w:r>
          </w:p>
        </w:tc>
        <w:tc>
          <w:tcPr>
            <w:tcW w:w="1020" w:type="dxa"/>
            <w:tcBorders>
              <w:top w:val="nil"/>
              <w:left w:val="nil"/>
              <w:bottom w:val="nil"/>
              <w:right w:val="nil"/>
            </w:tcBorders>
            <w:shd w:val="clear" w:color="auto" w:fill="auto"/>
            <w:noWrap/>
            <w:vAlign w:val="bottom"/>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rPr>
              <w:t>15.573</w:t>
            </w:r>
          </w:p>
        </w:tc>
        <w:tc>
          <w:tcPr>
            <w:tcW w:w="1020" w:type="dxa"/>
            <w:tcBorders>
              <w:top w:val="nil"/>
              <w:left w:val="nil"/>
              <w:bottom w:val="nil"/>
              <w:right w:val="nil"/>
            </w:tcBorders>
            <w:shd w:val="clear" w:color="auto" w:fill="auto"/>
            <w:noWrap/>
            <w:vAlign w:val="bottom"/>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rPr>
              <w:t>11.336</w:t>
            </w:r>
          </w:p>
        </w:tc>
        <w:tc>
          <w:tcPr>
            <w:tcW w:w="1020" w:type="dxa"/>
            <w:tcBorders>
              <w:top w:val="nil"/>
              <w:left w:val="nil"/>
              <w:bottom w:val="nil"/>
              <w:right w:val="nil"/>
            </w:tcBorders>
            <w:shd w:val="clear" w:color="auto" w:fill="auto"/>
            <w:noWrap/>
            <w:vAlign w:val="bottom"/>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rPr>
              <w:t>7.194</w:t>
            </w:r>
          </w:p>
        </w:tc>
        <w:tc>
          <w:tcPr>
            <w:tcW w:w="1020" w:type="dxa"/>
            <w:tcBorders>
              <w:top w:val="nil"/>
              <w:left w:val="nil"/>
              <w:bottom w:val="nil"/>
              <w:right w:val="nil"/>
            </w:tcBorders>
            <w:shd w:val="clear" w:color="auto" w:fill="auto"/>
            <w:noWrap/>
            <w:vAlign w:val="bottom"/>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rPr>
              <w:t>6.252</w:t>
            </w:r>
          </w:p>
        </w:tc>
      </w:tr>
      <w:tr w:rsidR="00A15CD9" w:rsidRPr="00A15CD9" w:rsidTr="00381700">
        <w:trPr>
          <w:trHeight w:val="93"/>
          <w:jc w:val="center"/>
        </w:trPr>
        <w:tc>
          <w:tcPr>
            <w:tcW w:w="1790" w:type="dxa"/>
            <w:tcBorders>
              <w:top w:val="nil"/>
              <w:left w:val="nil"/>
              <w:bottom w:val="single" w:sz="4" w:space="0" w:color="auto"/>
              <w:right w:val="nil"/>
            </w:tcBorders>
            <w:shd w:val="clear" w:color="auto" w:fill="auto"/>
            <w:noWrap/>
            <w:vAlign w:val="bottom"/>
          </w:tcPr>
          <w:p w:rsidR="00A15CD9" w:rsidRPr="00A15CD9" w:rsidRDefault="00A15CD9" w:rsidP="00195B60">
            <w:pPr>
              <w:rPr>
                <w:rFonts w:ascii="Arial" w:hAnsi="Arial" w:cs="Arial"/>
                <w:b/>
                <w:bCs/>
                <w:lang w:bidi="mr-IN"/>
              </w:rPr>
            </w:pPr>
            <w:r w:rsidRPr="00A15CD9">
              <w:rPr>
                <w:rFonts w:ascii="Arial" w:hAnsi="Arial" w:cs="Arial"/>
                <w:b/>
                <w:bCs/>
                <w:color w:val="000000"/>
              </w:rPr>
              <w:t>Cumulative %</w:t>
            </w:r>
          </w:p>
        </w:tc>
        <w:tc>
          <w:tcPr>
            <w:tcW w:w="1020" w:type="dxa"/>
            <w:tcBorders>
              <w:top w:val="nil"/>
              <w:left w:val="nil"/>
              <w:bottom w:val="single" w:sz="4" w:space="0" w:color="auto"/>
              <w:right w:val="nil"/>
            </w:tcBorders>
            <w:shd w:val="clear" w:color="auto" w:fill="auto"/>
            <w:noWrap/>
            <w:vAlign w:val="bottom"/>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rPr>
              <w:t>50.136</w:t>
            </w:r>
          </w:p>
        </w:tc>
        <w:tc>
          <w:tcPr>
            <w:tcW w:w="1020" w:type="dxa"/>
            <w:tcBorders>
              <w:top w:val="nil"/>
              <w:left w:val="nil"/>
              <w:bottom w:val="single" w:sz="4" w:space="0" w:color="auto"/>
              <w:right w:val="nil"/>
            </w:tcBorders>
            <w:shd w:val="clear" w:color="auto" w:fill="auto"/>
            <w:noWrap/>
            <w:vAlign w:val="bottom"/>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rPr>
              <w:t>65.710</w:t>
            </w:r>
          </w:p>
        </w:tc>
        <w:tc>
          <w:tcPr>
            <w:tcW w:w="1020" w:type="dxa"/>
            <w:tcBorders>
              <w:top w:val="nil"/>
              <w:left w:val="nil"/>
              <w:bottom w:val="single" w:sz="4" w:space="0" w:color="auto"/>
              <w:right w:val="nil"/>
            </w:tcBorders>
            <w:shd w:val="clear" w:color="auto" w:fill="auto"/>
            <w:noWrap/>
            <w:vAlign w:val="bottom"/>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rPr>
              <w:t>77.046</w:t>
            </w:r>
          </w:p>
        </w:tc>
        <w:tc>
          <w:tcPr>
            <w:tcW w:w="1020" w:type="dxa"/>
            <w:tcBorders>
              <w:top w:val="nil"/>
              <w:left w:val="nil"/>
              <w:bottom w:val="single" w:sz="4" w:space="0" w:color="auto"/>
              <w:right w:val="nil"/>
            </w:tcBorders>
            <w:shd w:val="clear" w:color="auto" w:fill="auto"/>
            <w:noWrap/>
            <w:vAlign w:val="bottom"/>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rPr>
              <w:t>84.240</w:t>
            </w:r>
          </w:p>
        </w:tc>
        <w:tc>
          <w:tcPr>
            <w:tcW w:w="1020" w:type="dxa"/>
            <w:tcBorders>
              <w:top w:val="nil"/>
              <w:left w:val="nil"/>
              <w:bottom w:val="single" w:sz="4" w:space="0" w:color="auto"/>
              <w:right w:val="nil"/>
            </w:tcBorders>
            <w:shd w:val="clear" w:color="auto" w:fill="auto"/>
            <w:noWrap/>
            <w:vAlign w:val="bottom"/>
          </w:tcPr>
          <w:p w:rsidR="00A15CD9" w:rsidRPr="00A15CD9" w:rsidRDefault="00A15CD9" w:rsidP="00195B60">
            <w:pPr>
              <w:jc w:val="center"/>
              <w:rPr>
                <w:rFonts w:ascii="Arial" w:hAnsi="Arial" w:cs="Arial"/>
                <w:color w:val="000000"/>
                <w:lang w:eastAsia="en-IN" w:bidi="mr-IN"/>
              </w:rPr>
            </w:pPr>
            <w:r w:rsidRPr="00A15CD9">
              <w:rPr>
                <w:rFonts w:ascii="Arial" w:hAnsi="Arial" w:cs="Arial"/>
                <w:color w:val="000000"/>
              </w:rPr>
              <w:t>90.491</w:t>
            </w:r>
          </w:p>
        </w:tc>
      </w:tr>
    </w:tbl>
    <w:p w:rsidR="00853D76" w:rsidRDefault="00853D76" w:rsidP="00853D76">
      <w:pPr>
        <w:spacing w:before="240"/>
        <w:ind w:firstLine="720"/>
        <w:jc w:val="both"/>
        <w:rPr>
          <w:rFonts w:ascii="Arial" w:hAnsi="Arial" w:cs="Arial"/>
        </w:rPr>
      </w:pPr>
      <w:r w:rsidRPr="009F05B2">
        <w:rPr>
          <w:rFonts w:ascii="Arial" w:hAnsi="Arial" w:cs="Arial"/>
        </w:rPr>
        <w:t>A principal component biplot with F1 (50.14%) on the x</w:t>
      </w:r>
      <w:r w:rsidRPr="009F05B2">
        <w:rPr>
          <w:rFonts w:ascii="Arial" w:hAnsi="Arial" w:cs="Arial"/>
        </w:rPr>
        <w:noBreakHyphen/>
        <w:t>axis and F2 (15.57%) on the y</w:t>
      </w:r>
      <w:r w:rsidRPr="009F05B2">
        <w:rPr>
          <w:rFonts w:ascii="Arial" w:hAnsi="Arial" w:cs="Arial"/>
        </w:rPr>
        <w:noBreakHyphen/>
        <w:t xml:space="preserve">axis, together explaining 65.71% of the dataset variance. This represents only the first six components and contributes to about 76% of the overall variance (Fig. 4). However, as the first component alone represents less than 25% of the variance, subsequent components may be required. </w:t>
      </w:r>
    </w:p>
    <w:p w:rsidR="00853D76" w:rsidRPr="009F05B2" w:rsidRDefault="00853D76" w:rsidP="00853D76">
      <w:pPr>
        <w:spacing w:before="240" w:after="240"/>
        <w:jc w:val="center"/>
        <w:rPr>
          <w:rFonts w:ascii="Arial" w:hAnsi="Arial" w:cs="Arial"/>
          <w:b/>
        </w:rPr>
      </w:pPr>
      <w:r w:rsidRPr="009F05B2">
        <w:rPr>
          <w:rFonts w:ascii="Arial" w:hAnsi="Arial" w:cs="Arial"/>
          <w:noProof/>
        </w:rPr>
        <w:drawing>
          <wp:inline distT="0" distB="0" distL="0" distR="0" wp14:anchorId="34E9E674" wp14:editId="0C3AC6B0">
            <wp:extent cx="4659782" cy="4898569"/>
            <wp:effectExtent l="19050" t="1905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4960" cy="4925037"/>
                    </a:xfrm>
                    <a:prstGeom prst="rect">
                      <a:avLst/>
                    </a:prstGeom>
                    <a:noFill/>
                    <a:ln>
                      <a:solidFill>
                        <a:schemeClr val="tx1"/>
                      </a:solidFill>
                    </a:ln>
                  </pic:spPr>
                </pic:pic>
              </a:graphicData>
            </a:graphic>
          </wp:inline>
        </w:drawing>
      </w:r>
    </w:p>
    <w:p w:rsidR="00853D76" w:rsidRPr="004C5DC3" w:rsidRDefault="00853D76" w:rsidP="00853D76">
      <w:pPr>
        <w:shd w:val="clear" w:color="auto" w:fill="FFFFFF"/>
        <w:spacing w:after="240"/>
        <w:ind w:left="990" w:hanging="990"/>
        <w:jc w:val="both"/>
        <w:rPr>
          <w:rFonts w:ascii="Arial" w:hAnsi="Arial" w:cs="Arial"/>
          <w:b/>
          <w:bCs/>
          <w:color w:val="000000"/>
          <w:lang w:eastAsia="en-IN" w:bidi="mr-IN"/>
        </w:rPr>
      </w:pPr>
      <w:r w:rsidRPr="009F05B2">
        <w:rPr>
          <w:rFonts w:ascii="Arial" w:hAnsi="Arial" w:cs="Arial"/>
          <w:color w:val="000000"/>
          <w:lang w:eastAsia="en-IN" w:bidi="mr-IN"/>
        </w:rPr>
        <w:t xml:space="preserve"> </w:t>
      </w:r>
      <w:r w:rsidRPr="004C5DC3">
        <w:rPr>
          <w:rFonts w:ascii="Arial" w:hAnsi="Arial" w:cs="Arial"/>
          <w:b/>
          <w:bCs/>
          <w:color w:val="000000"/>
          <w:lang w:eastAsia="en-IN" w:bidi="mr-IN"/>
        </w:rPr>
        <w:t xml:space="preserve">Fig. 4. PCA biplots showing variable loadings on four rotated principal component axes (F1 - F4), illustrating pollution index correlations. </w:t>
      </w:r>
    </w:p>
    <w:p w:rsidR="00853D76" w:rsidRPr="009F05B2" w:rsidRDefault="00853D76" w:rsidP="00853D76">
      <w:pPr>
        <w:spacing w:after="240"/>
        <w:ind w:firstLine="720"/>
        <w:jc w:val="both"/>
        <w:rPr>
          <w:rFonts w:ascii="Arial" w:hAnsi="Arial" w:cs="Arial"/>
        </w:rPr>
      </w:pPr>
      <w:r w:rsidRPr="009F05B2">
        <w:rPr>
          <w:rFonts w:ascii="Arial" w:hAnsi="Arial" w:cs="Arial"/>
        </w:rPr>
        <w:lastRenderedPageBreak/>
        <w:t xml:space="preserve">Six PCs contribute to over 76% of the overall variability in the </w:t>
      </w:r>
      <w:proofErr w:type="spellStart"/>
      <w:r w:rsidRPr="009F05B2">
        <w:rPr>
          <w:rFonts w:ascii="Arial" w:hAnsi="Arial" w:cs="Arial"/>
        </w:rPr>
        <w:t>standardised</w:t>
      </w:r>
      <w:proofErr w:type="spellEnd"/>
      <w:r w:rsidRPr="009F05B2">
        <w:rPr>
          <w:rFonts w:ascii="Arial" w:hAnsi="Arial" w:cs="Arial"/>
        </w:rPr>
        <w:t xml:space="preserve"> ratings; therefore, it's reasonable to keep them in order to further reduce the dimension. In this study, the z-score analysis was done for 13 parameters. Red squares mark observations and arrows represent water</w:t>
      </w:r>
      <w:r w:rsidRPr="009F05B2">
        <w:rPr>
          <w:rFonts w:ascii="Arial" w:hAnsi="Arial" w:cs="Arial"/>
        </w:rPr>
        <w:noBreakHyphen/>
        <w:t>quality variables. The blue arrows (pH, EC, TDS, hardness, Ca, Mg, Cl</w:t>
      </w:r>
      <w:r w:rsidRPr="009F05B2">
        <w:rPr>
          <w:rFonts w:ascii="Cambria Math" w:hAnsi="Cambria Math" w:cs="Cambria Math"/>
        </w:rPr>
        <w:t>⁻</w:t>
      </w:r>
      <w:r w:rsidRPr="009F05B2">
        <w:rPr>
          <w:rFonts w:ascii="Arial" w:hAnsi="Arial" w:cs="Arial"/>
        </w:rPr>
        <w:t>, SO</w:t>
      </w:r>
      <w:r w:rsidRPr="009F05B2">
        <w:rPr>
          <w:rFonts w:ascii="Cambria Math" w:hAnsi="Cambria Math" w:cs="Cambria Math"/>
        </w:rPr>
        <w:t>₄</w:t>
      </w:r>
      <w:r w:rsidRPr="009F05B2">
        <w:rPr>
          <w:rFonts w:ascii="Arial" w:hAnsi="Arial" w:cs="Arial"/>
        </w:rPr>
        <w:t xml:space="preserve">, BOD, COD) are strongly aligned with the positive F1 axis, meaning these chemical and organic pollution parameters vary together and jointly define the main pollution gradient. </w:t>
      </w:r>
    </w:p>
    <w:p w:rsidR="00853D76" w:rsidRPr="009F05B2" w:rsidRDefault="00853D76" w:rsidP="00853D76">
      <w:pPr>
        <w:ind w:left="990" w:hanging="990"/>
        <w:jc w:val="both"/>
        <w:rPr>
          <w:rFonts w:ascii="Arial" w:hAnsi="Arial" w:cs="Arial"/>
        </w:rPr>
      </w:pPr>
      <w:r w:rsidRPr="009F05B2">
        <w:rPr>
          <w:rFonts w:ascii="Arial" w:hAnsi="Arial" w:cs="Arial"/>
          <w:noProof/>
        </w:rPr>
        <w:drawing>
          <wp:inline distT="0" distB="0" distL="0" distR="0" wp14:anchorId="45E4F98C" wp14:editId="7C463EC1">
            <wp:extent cx="5676595" cy="2627594"/>
            <wp:effectExtent l="0" t="0" r="63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0824" cy="2634181"/>
                    </a:xfrm>
                    <a:prstGeom prst="rect">
                      <a:avLst/>
                    </a:prstGeom>
                    <a:noFill/>
                    <a:ln>
                      <a:noFill/>
                    </a:ln>
                  </pic:spPr>
                </pic:pic>
              </a:graphicData>
            </a:graphic>
          </wp:inline>
        </w:drawing>
      </w:r>
    </w:p>
    <w:p w:rsidR="00853D76" w:rsidRPr="003D3F99" w:rsidRDefault="00853D76" w:rsidP="00853D76">
      <w:pPr>
        <w:shd w:val="clear" w:color="auto" w:fill="FFFFFF"/>
        <w:spacing w:after="240"/>
        <w:ind w:left="990" w:hanging="990"/>
        <w:jc w:val="both"/>
        <w:rPr>
          <w:rFonts w:ascii="Arial" w:hAnsi="Arial" w:cs="Arial"/>
          <w:b/>
          <w:bCs/>
          <w:color w:val="000000"/>
          <w:lang w:eastAsia="en-IN" w:bidi="mr-IN"/>
        </w:rPr>
      </w:pPr>
      <w:r w:rsidRPr="003D3F99">
        <w:rPr>
          <w:rFonts w:ascii="Arial" w:hAnsi="Arial" w:cs="Arial"/>
          <w:b/>
          <w:bCs/>
          <w:color w:val="000000"/>
          <w:lang w:eastAsia="en-IN" w:bidi="mr-IN"/>
        </w:rPr>
        <w:t xml:space="preserve">Fig. 5. Box plotting of spatial variability and distribution of physicochemical water quality parameters at different sampled sites, highlighting central tendency and anomalies. </w:t>
      </w:r>
    </w:p>
    <w:p w:rsidR="00853D76" w:rsidRPr="009F05B2" w:rsidRDefault="00853D76" w:rsidP="00853D76">
      <w:pPr>
        <w:ind w:firstLine="720"/>
        <w:jc w:val="both"/>
        <w:rPr>
          <w:rFonts w:ascii="Arial" w:hAnsi="Arial" w:cs="Arial"/>
        </w:rPr>
      </w:pPr>
      <w:r w:rsidRPr="009F05B2">
        <w:rPr>
          <w:rFonts w:ascii="Arial" w:hAnsi="Arial" w:cs="Arial"/>
        </w:rPr>
        <w:t xml:space="preserve">The Box and Whisker plot in Fig. 5 illustrates the variation in z-score values of the data points. The lines that depict the maximum and minimum values of the box plot generally reside outside of the boxes </w:t>
      </w:r>
      <w:bookmarkStart w:id="23" w:name="ZOTERO_BREF_6wZr02htYI5L"/>
      <w:r w:rsidRPr="009F05B2">
        <w:rPr>
          <w:rFonts w:ascii="Arial" w:hAnsi="Arial" w:cs="Arial"/>
        </w:rPr>
        <w:t>(</w:t>
      </w:r>
      <w:proofErr w:type="spellStart"/>
      <w:r w:rsidRPr="009F05B2">
        <w:rPr>
          <w:rFonts w:ascii="Arial" w:hAnsi="Arial" w:cs="Arial"/>
        </w:rPr>
        <w:t>Varouchakis</w:t>
      </w:r>
      <w:proofErr w:type="spellEnd"/>
      <w:r w:rsidRPr="009F05B2">
        <w:rPr>
          <w:rFonts w:ascii="Arial" w:hAnsi="Arial" w:cs="Arial"/>
        </w:rPr>
        <w:t xml:space="preserve"> et al. 2012)</w:t>
      </w:r>
      <w:bookmarkEnd w:id="23"/>
      <w:r w:rsidRPr="009F05B2">
        <w:rPr>
          <w:rFonts w:ascii="Arial" w:hAnsi="Arial" w:cs="Arial"/>
        </w:rPr>
        <w:t xml:space="preserve">. The most significant data points are included in the whiskers. In PCA, loadings demonstrate why variables and factors are correlated. Based on the absolute loading value, categories were made such as these loadings as robust (.+0.75), moderate (from +0.75 to +0.50), and mild (from +0.50 to +0.30) </w:t>
      </w:r>
      <w:r w:rsidRPr="009F05B2">
        <w:rPr>
          <w:rFonts w:ascii="Arial" w:hAnsi="Arial" w:cs="Arial"/>
        </w:rPr>
        <w:fldChar w:fldCharType="begin"/>
      </w:r>
      <w:r w:rsidR="00540813">
        <w:rPr>
          <w:rFonts w:ascii="Arial" w:hAnsi="Arial" w:cs="Arial"/>
        </w:rPr>
        <w:instrText xml:space="preserve"> ADDIN ZOTERO_ITEM CSL_CITATION {"citationID":"cO357oDB","properties":{"unsorted":true,"formattedCitation":"(Simeonov et al., 2003; Alam et al., 2007; Hoseinzadeh et al., 2015)","plainCitation":"(Simeonov et al., 2003; Alam et al., 2007; Hoseinzadeh et al., 2015)","noteIndex":0},"citationItems":[{"id":1296,"uris":["http://zotero.org/users/8828115/items/JCMFAXII"],"itemData":{"id":1296,"type":"article-journal","abstract":"The application of different multivariate statistical approaches for the interpretation of a large and complex data matrix obtained during a monitoring program of surface waters in Northern Greece is presented in this study. The dataset consists of analytical results from a 3-yr survey conducted in the major river systems (Aliakmon, Axios, Gallikos, Loudias and Strymon) as well as streams, tributaries and ditches. Twenty-seven parameters have been monitored on 25 key sampling sites on monthly basis (total of 22,350 observations). The dataset was treated using cluster analysis (CA), principal component analysis and multiple regression analysis on principal components. CA showed four different groups of similarity between the sampling sites reﬂecting the different physicochemical characteristics and pollution levels of the studied water systems. Six latent factors were identiﬁed as responsible for the data structure explaining 90% of the total variance of the dataset and are conditionally named organic, nutrient, physicochemical, weathering, soil-leaching and toxic-anthropogenic factors. A multivariate receptor model was also applied for source apportionment estimating the contribution of identiﬁed sources to the concentration of the physicochemical parameters. This study presents the necessity and usefulness of multivariate statistical assessment of large and complex databases in order to get better information about the quality of surface water, the design of sampling and analytical protocols and the effective pollution control/management of the surface waters.","container-title":"Water Research","DOI":"10.1016/S0043-1354(03)00398-1","ISSN":"00431354","issue":"17","journalAbbreviation":"Water Research","language":"en","license":"https://www.elsevier.com/tdm/userlicense/1.0/","page":"4119-4124","source":"DOI.org (Crossref)","title":"Assessment of the surface water quality in Northern Greece","URL":"https://linkinghub.elsevier.com/retrieve/pii/S0043135403003981","volume":"37","author":[{"family":"Simeonov","given":"V."},{"family":"Stratis","given":"J.A."},{"family":"Samara","given":"C."},{"family":"Zachariadis","given":"G."},{"family":"Voutsa","given":"D."},{"family":"Anthemidis","given":"A."},{"family":"Sofoniou","given":"M."},{"family":"Kouimtzis","given":"Th."}],"accessed":{"date-parts":[["2025",11,26]]},"issued":{"date-parts":[["2003",10]]}},"label":"page"},{"id":"7AoAF8BM/lGAOvxkk","uris":["http://zotero.org/users/8828115/items/XYA5LNQF"],"itemData":{"id":1093,"type":"article-journal","container-title":"Environmental Monitoring and Assessment","DOI":"10.1007/s10661-007-9612-7","ISSN":"0167-6369, 1573-2959","issue":"1-3","journalAbbreviation":"Environ Monit Assess","language":"en","license":"http://www.springer.com/tdm","note":"publisher: Springer Science and Business Media LLC","page":"233-242","source":"Crossref","title":"Deterioration of water quality of Surma river","volume":"134","author":[{"family":"Alam","given":"J. B."},{"family":"Hossain","given":"A."},{"family":"Khan","given":"S. K."},{"family":"Banik","given":"B. K."},{"family":"Islam","given":"Molla R."},{"family":"Muyen","given":"Z."},{"family":"Rahman","given":"M. Habibur"}],"issued":{"date-parts":[["2007",11]]}},"label":"page"},{"id":"7AoAF8BM/ewzAZ3vF","uris":["http://zotero.org/users/8828115/items/9GAYGG3D"],"itemData":{"id":1097,"type":"article-journal","abstract":"In rivers, water ﬂowing results in dilution and decomposition of pollutants faster than standing water. Water quality index (WQI) is a tool to reﬂect the composite inﬂuence of different water quality parameters. WQI is a fast and simple manner to show water quality from the point of view of a special consumption such as human consumption etc. Therefore, in this study, the water quality of the Aydughmush River evaluated by the National Sanitation Foundation Water Quality Index (NSFWQI), Forestry Water Quality Index (FWQI), and River Pollution Index (RPI). This study surveyed the parameters of the NSFWQI and RPI including dissolved oxygen percentage, temperature difference, biochemical oxygen demand (BOD), fecal coliform bacteria, turbidity, total suspended solids, pH, and phosphate. In addition, 22 parameters were measured for FWQI calculating. These parameters were measured at eight stations for one year (2010–2011). The results showed that water quality of Aydughmush River is within the “Medium” category according to the NSFWQI and the “Negligibly polluted” class based on RPI. The overall water index was in the borderline at all the stations but it was excellent at station D based on FWQI. According to this study, the results of NSFWQI and FWQI are consistent with each other but RPI index has different results.","container-title":"Desalination and Water Treatment","DOI":"10.1080/19443994.2014.913206","ISSN":"1944-3986","issue":"11","language":"en","license":"https://www.elsevier.com/tdm/userlicense/1.0/","note":"publisher: Elsevier BV","page":"2994-3002","source":"Crossref","title":"Evaluation of Aydughmush River water quality using the National Sanitation Foundation Water Quality Index (NSFWQI), River Pollution Index (RPI), and Forestry Water Quality Index (FWQI)","volume":"54","author":[{"family":"Hoseinzadeh","given":"Edris"},{"family":"Khorsandi","given":"Hassan"},{"family":"Wei","given":"Chiang"},{"family":"Alipour","given":"Mahdi"}],"issued":{"date-parts":[["2015",6]]}},"label":"page"}],"schema":"https://github.com/citation-style-language/schema/raw/master/csl-citation.json"} </w:instrText>
      </w:r>
      <w:r w:rsidRPr="009F05B2">
        <w:rPr>
          <w:rFonts w:ascii="Arial" w:hAnsi="Arial" w:cs="Arial"/>
        </w:rPr>
        <w:fldChar w:fldCharType="separate"/>
      </w:r>
      <w:r w:rsidR="00540813" w:rsidRPr="00540813">
        <w:rPr>
          <w:rFonts w:ascii="Arial" w:hAnsi="Arial" w:cs="Arial"/>
        </w:rPr>
        <w:t>(Simeonov et al., 2003; Alam et al., 2007; Hoseinzadeh et al., 2015)</w:t>
      </w:r>
      <w:r w:rsidRPr="009F05B2">
        <w:rPr>
          <w:rFonts w:ascii="Arial" w:hAnsi="Arial" w:cs="Arial"/>
        </w:rPr>
        <w:fldChar w:fldCharType="end"/>
      </w:r>
      <w:r w:rsidRPr="009F05B2">
        <w:rPr>
          <w:rFonts w:ascii="Arial" w:hAnsi="Arial" w:cs="Arial"/>
        </w:rPr>
        <w:t>. The rotational factors loading, eigenvalues, individual variance, and cumulative variance of these PCs are displayed in Table 7.</w:t>
      </w:r>
    </w:p>
    <w:p w:rsidR="005C0A67" w:rsidRPr="008E1BA3" w:rsidRDefault="00432751" w:rsidP="005C0A67">
      <w:pPr>
        <w:autoSpaceDE w:val="0"/>
        <w:autoSpaceDN w:val="0"/>
        <w:adjustRightInd w:val="0"/>
        <w:spacing w:before="240"/>
        <w:rPr>
          <w:rFonts w:ascii="Arial" w:hAnsi="Arial" w:cs="Arial"/>
          <w:b/>
          <w:bCs/>
          <w:u w:val="single"/>
          <w:lang w:bidi="mr-IN"/>
        </w:rPr>
      </w:pPr>
      <w:r w:rsidRPr="008E1BA3">
        <w:rPr>
          <w:rFonts w:ascii="Arial" w:eastAsia="MinionPro-Regular" w:hAnsi="Arial" w:cs="Arial"/>
          <w:b/>
          <w:bCs/>
          <w:u w:val="single"/>
          <w:lang w:bidi="mr-IN"/>
        </w:rPr>
        <w:t>3</w:t>
      </w:r>
      <w:r w:rsidR="005C0A67" w:rsidRPr="008E1BA3">
        <w:rPr>
          <w:rFonts w:ascii="Arial" w:eastAsia="MinionPro-Regular" w:hAnsi="Arial" w:cs="Arial"/>
          <w:b/>
          <w:bCs/>
          <w:u w:val="single"/>
          <w:lang w:bidi="mr-IN"/>
        </w:rPr>
        <w:t xml:space="preserve">.6.2 </w:t>
      </w:r>
      <w:r w:rsidR="005C0A67" w:rsidRPr="008E1BA3">
        <w:rPr>
          <w:rFonts w:ascii="Arial" w:hAnsi="Arial" w:cs="Arial"/>
          <w:b/>
          <w:bCs/>
          <w:u w:val="single"/>
          <w:lang w:bidi="mr-IN"/>
        </w:rPr>
        <w:t>Correlation analysis</w:t>
      </w:r>
    </w:p>
    <w:p w:rsidR="00AF0F5E" w:rsidRDefault="00AF0F5E" w:rsidP="005B1F50">
      <w:pPr>
        <w:spacing w:before="240"/>
        <w:jc w:val="both"/>
        <w:rPr>
          <w:rFonts w:ascii="Arial" w:hAnsi="Arial" w:cs="Arial"/>
          <w:lang w:bidi="mr-IN"/>
        </w:rPr>
      </w:pPr>
      <w:r w:rsidRPr="009F05B2">
        <w:rPr>
          <w:rFonts w:ascii="Arial" w:hAnsi="Arial" w:cs="Arial"/>
          <w:lang w:eastAsia="en-IN" w:bidi="mr-IN"/>
        </w:rPr>
        <w:t xml:space="preserve">Using all 13 parameters, a Pearson linear correlation matrix was generated to identify any co-variation (Table 8). This is widely accepted method of determining the association or inter-relationship between the variables is correlation analysis, which provides data regarding the degree of correlation between the variables, along with if they originate from common sources </w:t>
      </w:r>
      <w:r w:rsidRPr="009F05B2">
        <w:rPr>
          <w:rFonts w:ascii="Arial" w:hAnsi="Arial" w:cs="Arial"/>
          <w:lang w:bidi="mr-IN"/>
        </w:rPr>
        <w:fldChar w:fldCharType="begin"/>
      </w:r>
      <w:r w:rsidR="00540813">
        <w:rPr>
          <w:rFonts w:ascii="Arial" w:hAnsi="Arial" w:cs="Arial"/>
          <w:lang w:bidi="mr-IN"/>
        </w:rPr>
        <w:instrText xml:space="preserve"> ADDIN ZOTERO_ITEM CSL_CITATION {"citationID":"fWxnk0PY","properties":{"unsorted":true,"formattedCitation":"(\\uc0\\u350{}ener et al., 2017; Fan et al., 2010; Dheeraj et al., 2023)","plainCitation":"(Şener et al., 2017; Fan et al., 2010; Dheeraj et al., 2023)","noteIndex":0},"citationItems":[{"id":"7AoAF8BM/VoytVfD2","uris":["http://zotero.org/users/8828115/items/B9BZIIHV"],"itemData":{"id":1091,"type":"article-journal","container-title":"Science of The Total Environment","DOI":"10.1016/j.scitotenv.2017.01.102","ISSN":"0048-9697","language":"en","license":"https://www.elsevier.com/tdm/userlicense/1.0/","note":"publisher: Elsevier BV","page":"131-144","source":"Crossref","title":"Evaluation of water quality using water quality index (WQI) method and GIS in Aksu River (SW-Turkey)","volume":"584-585","author":[{"family":"Şener","given":"Şehnaz"},{"family":"Şener","given":"Erhan"},{"family":"Davraz","given":"Ayşen"}],"issued":{"date-parts":[["2017",4]]}},"label":"page"},{"id":1267,"uris":["http://zotero.org/users/8828115/items/RNKPS9GS"],"itemData":{"id":1267,"type":"article-journal","abstract":"The Pearl River Delta (PRD) region is one of the most industrialized areas in China, and the river water is increasingly deteriorated due to anthropogenic pollution from the rapid economic development. Principal component analysis (PCA) and cluster analysis (CA) were used to identify characteristics of water quality and to assess water quality spatial pattern in this region. The results of PCA for three regions showed that the first four components of PCA analysis showed 85.52% and 89.25% of the total variance in the data sets of North River region and West River region, respectively, the first three components showed 84.63% of variance for data set of East River region. Results of CA based on the station score of PCA were that stations of North River region, East River region and West River region were grouped into four, three and four clusters, respectively corresponding to severe pollution, moderate pollution, light pollution (except for East River region) and good water quality, which indicated the similarity and dissimilarity of the river water quality. Since, the results suggest that PCA and CA techniques are useful tools for assessment of water quality and management of water resources.","container-title":"Procedia Environmental Sciences","DOI":"10.1016/j.proenv.2010.10.133","ISSN":"18780296","journalAbbreviation":"Procedia Environmental Sciences","language":"en","license":"https://www.elsevier.com/tdm/userlicense/1.0/","page":"1220-1234","source":"DOI.org (Crossref)","title":"Assessment of river water quality in Pearl River Delta using multivariate statistical techniques","URL":"https://linkinghub.elsevier.com/retrieve/pii/S1878029610001660","volume":"2","author":[{"family":"Fan","given":"Xiaoyun"},{"family":"Cui","given":"Baoshan"},{"family":"Zhao","given":"Hui"},{"family":"Zhang","given":"Zhiming"},{"family":"Zhang","given":"Honggang"}],"accessed":{"date-parts":[["2025",11,15]]},"issued":{"date-parts":[["2010"]]}},"label":"page"},{"id":1274,"uris":["http://zotero.org/users/8828115/items/AI78QT3R"],"itemData":{"id":1274,"type":"article-journal","abstract":"Groundwater as well as surface water are considered to be an important source of freshwater. An Opencast mining operations and thermal power stations in the Korba Coalfield region may have a negative impact on both ground and surface water thus, it reduces the water quality. Hence, an attempt is being made for social benefits to people living in this region by analyzing the water quality. A total of 52 ground and surface water samples are collected in May 2022, and twelve physicochemical parameters were calculated in reference to it. The concentrations of EC, TDS, NO3−, SO42−, Ca2+, Mg2+, Na+, and K+ exceeded at a few sites as compared with WHO standards. As a consequence, it has been observed that the order of cation abundance as Ca2+ &gt; Na+ &gt; Mg2+ &gt; K+ whereas anionic abundance HCO3− &gt; Cl− &gt; SO42− &gt; NO3− &gt; F−. Water facies studies indicate that CaMg-HCO3 and CaMg-Cl-SO4 represented by majority of ground and surface water samples. Gibbs diagram in respect to cation and anion reveals that rock dominance &amp; evaporation dominance are the two most important factors influencing the quality of water. Based on the correlation matrix, it is noted that there are significant positive correlations between EC-TDS, EC-Ca2+, EC-Mg2+, EC-HCO3−, TDS-Ca2+, TDS-Mg2+, TDS-HCO3−, Cl-K+, Ca2+-Mg2+, and Mg2+-HCO3−, and strong negative correlations between F−-NO3−. The majority of water samples 69.2% has excellent water quality, followed by 26.9% with good water quality and only 3.8% with poor water quality based on WQI value. A general trend of increasing physicochemical parameters are highlighted by the spatial distribution map. As per HCA analysis, the number of sampling sites are highest for Cluster 1 (63.46%), medium for Cluster 2 (32.69%), and lowest for Cluster 3 (3.84%), as per WQI. Hence, The ground and surface water in the vicinity of the Korba Coalfield can be utilized for drinking and other purposes after little treatment.","container-title":"Sustainable Water Resources Management","DOI":"10.1007/s40899-023-00973-5","ISSN":"2363-5037, 2363-5045","issue":"6","journalAbbreviation":"Sustain. Water Resour. Manag.","language":"en","page":"191","source":"DOI.org (Crossref)","title":"Assessment of surface and ground water quality around Korba Coalfield, India: an integrated approach of water quality index, multivariate statistics analysis and GIS technique","title-short":"Assessment of surface and ground water quality around Korba Coalfield, India","URL":"https://link.springer.com/10.1007/s40899-023-00973-5","volume":"9","author":[{"family":"Dheeraj","given":"Vijayendra Pratap"},{"family":"Singh","given":"C. S."},{"family":"Sonkar","given":"Ashwani Kumar"},{"family":"Kishore","given":"Nawal"}],"accessed":{"date-parts":[["2025",11,21]]},"issued":{"date-parts":[["2023",12]]}},"label":"page"}],"schema":"https://github.com/citation-style-language/schema/raw/master/csl-citation.json"} </w:instrText>
      </w:r>
      <w:r w:rsidRPr="009F05B2">
        <w:rPr>
          <w:rFonts w:ascii="Arial" w:hAnsi="Arial" w:cs="Arial"/>
          <w:lang w:bidi="mr-IN"/>
        </w:rPr>
        <w:fldChar w:fldCharType="separate"/>
      </w:r>
      <w:r w:rsidR="00540813" w:rsidRPr="00540813">
        <w:rPr>
          <w:rFonts w:ascii="Arial" w:hAnsi="Arial" w:cs="Arial"/>
          <w:szCs w:val="24"/>
        </w:rPr>
        <w:t>(Şener et al., 2017; Fan et al., 2010; Dheeraj et al., 2023)</w:t>
      </w:r>
      <w:r w:rsidRPr="009F05B2">
        <w:rPr>
          <w:rFonts w:ascii="Arial" w:hAnsi="Arial" w:cs="Arial"/>
          <w:lang w:bidi="mr-IN"/>
        </w:rPr>
        <w:fldChar w:fldCharType="end"/>
      </w:r>
      <w:r w:rsidRPr="009F05B2">
        <w:rPr>
          <w:rFonts w:ascii="Arial" w:hAnsi="Arial" w:cs="Arial"/>
          <w:lang w:bidi="mr-IN"/>
        </w:rPr>
        <w:t xml:space="preserve">. </w:t>
      </w:r>
      <w:r w:rsidRPr="009F05B2">
        <w:rPr>
          <w:rFonts w:ascii="Arial" w:hAnsi="Arial" w:cs="Arial"/>
          <w:lang w:eastAsia="en-IN" w:bidi="mr-IN"/>
        </w:rPr>
        <w:t xml:space="preserve">The results indicate that the relationships between TDS and water hardness (0.984), EC and BOD (0.842), Cl- and Mg2 (0.128), COD (0.263), SO4 and Ca3+ (0.601), hardness (0.697), and BOD (0.732) have very strong positive correlations.  </w:t>
      </w:r>
      <w:r w:rsidRPr="009F05B2">
        <w:rPr>
          <w:rFonts w:ascii="Arial" w:hAnsi="Arial" w:cs="Arial"/>
          <w:lang w:bidi="mr-IN"/>
        </w:rPr>
        <w:t>pH shows weak and very weak positive correlations with all parameters except for DO. NO</w:t>
      </w:r>
      <w:r w:rsidRPr="009F05B2">
        <w:rPr>
          <w:rFonts w:ascii="Arial" w:hAnsi="Arial" w:cs="Arial"/>
          <w:vertAlign w:val="subscript"/>
          <w:lang w:bidi="mr-IN"/>
        </w:rPr>
        <w:t>3</w:t>
      </w:r>
      <w:r w:rsidRPr="009F05B2">
        <w:rPr>
          <w:rFonts w:ascii="Arial" w:hAnsi="Arial" w:cs="Arial"/>
          <w:lang w:bidi="mr-IN"/>
        </w:rPr>
        <w:t xml:space="preserve"> shows a weak negative correlation with pH (</w:t>
      </w:r>
      <w:r w:rsidRPr="009F05B2">
        <w:rPr>
          <w:rFonts w:ascii="Arial" w:hAnsi="Arial" w:cs="Arial"/>
          <w:color w:val="000000"/>
          <w:lang w:eastAsia="en-IN" w:bidi="mr-IN"/>
        </w:rPr>
        <w:t>-0.407)</w:t>
      </w:r>
      <w:r w:rsidRPr="009F05B2">
        <w:rPr>
          <w:rFonts w:ascii="Arial" w:hAnsi="Arial" w:cs="Arial"/>
          <w:lang w:bidi="mr-IN"/>
        </w:rPr>
        <w:t>, TDS (-0.192), Ca</w:t>
      </w:r>
      <w:r w:rsidRPr="009F05B2">
        <w:rPr>
          <w:rFonts w:ascii="Arial" w:hAnsi="Arial" w:cs="Arial"/>
          <w:vertAlign w:val="superscript"/>
          <w:lang w:bidi="mr-IN"/>
        </w:rPr>
        <w:t>3+</w:t>
      </w:r>
      <w:r w:rsidRPr="009F05B2">
        <w:rPr>
          <w:rFonts w:ascii="Arial" w:hAnsi="Arial" w:cs="Arial"/>
          <w:lang w:bidi="mr-IN"/>
        </w:rPr>
        <w:t>(0.005), SO</w:t>
      </w:r>
      <w:r w:rsidRPr="009F05B2">
        <w:rPr>
          <w:rFonts w:ascii="Arial" w:hAnsi="Arial" w:cs="Arial"/>
          <w:vertAlign w:val="superscript"/>
          <w:lang w:bidi="mr-IN"/>
        </w:rPr>
        <w:t>4</w:t>
      </w:r>
      <w:r w:rsidRPr="009F05B2">
        <w:rPr>
          <w:rFonts w:ascii="Arial" w:hAnsi="Arial" w:cs="Arial"/>
          <w:lang w:bidi="mr-IN"/>
        </w:rPr>
        <w:t xml:space="preserve"> (-0.212) and Mn (-0.214) shows a moderate positive correlation with Ca</w:t>
      </w:r>
      <w:r w:rsidRPr="009F05B2">
        <w:rPr>
          <w:rFonts w:ascii="Arial" w:hAnsi="Arial" w:cs="Arial"/>
          <w:vertAlign w:val="superscript"/>
          <w:lang w:bidi="mr-IN"/>
        </w:rPr>
        <w:t>3+</w:t>
      </w:r>
      <w:r w:rsidRPr="009F05B2">
        <w:rPr>
          <w:rFonts w:ascii="Arial" w:hAnsi="Arial" w:cs="Arial"/>
          <w:lang w:bidi="mr-IN"/>
        </w:rPr>
        <w:t>and BOD. A weak negative correlation is evaluated between TDS and DO, NO</w:t>
      </w:r>
      <w:r w:rsidRPr="009F05B2">
        <w:rPr>
          <w:rFonts w:ascii="Arial" w:hAnsi="Arial" w:cs="Arial"/>
          <w:vertAlign w:val="subscript"/>
          <w:lang w:bidi="mr-IN"/>
        </w:rPr>
        <w:t xml:space="preserve">3. </w:t>
      </w:r>
      <w:r w:rsidRPr="009F05B2">
        <w:rPr>
          <w:rFonts w:ascii="Arial" w:hAnsi="Arial" w:cs="Arial"/>
          <w:lang w:bidi="mr-IN"/>
        </w:rPr>
        <w:t>A similar weak negative correlation is shown between DO and all parameters except NO</w:t>
      </w:r>
      <w:r w:rsidRPr="009F05B2">
        <w:rPr>
          <w:rFonts w:ascii="Arial" w:hAnsi="Arial" w:cs="Arial"/>
          <w:vertAlign w:val="subscript"/>
          <w:lang w:bidi="mr-IN"/>
        </w:rPr>
        <w:t xml:space="preserve">3 </w:t>
      </w:r>
      <w:r w:rsidRPr="009F05B2">
        <w:rPr>
          <w:rFonts w:ascii="Arial" w:hAnsi="Arial" w:cs="Arial"/>
          <w:lang w:bidi="mr-IN"/>
        </w:rPr>
        <w:t xml:space="preserve">and the Fecal Coliform pathogen. This suggests that these nutrients </w:t>
      </w:r>
      <w:r w:rsidRPr="009F05B2">
        <w:rPr>
          <w:rFonts w:ascii="Arial" w:hAnsi="Arial" w:cs="Arial"/>
          <w:lang w:bidi="mr-IN"/>
        </w:rPr>
        <w:lastRenderedPageBreak/>
        <w:t xml:space="preserve">and trace metals have high values as a result of anthropogenic pollutants in the study area </w:t>
      </w:r>
      <w:bookmarkStart w:id="24" w:name="ZOTERO_BREF_EqGdsDGO5XQo"/>
      <w:r w:rsidRPr="009F05B2">
        <w:rPr>
          <w:rFonts w:ascii="Arial" w:hAnsi="Arial" w:cs="Arial"/>
        </w:rPr>
        <w:t>(Kumar and Singh 2024)</w:t>
      </w:r>
      <w:bookmarkEnd w:id="24"/>
      <w:r w:rsidRPr="009F05B2">
        <w:rPr>
          <w:rFonts w:ascii="Arial" w:hAnsi="Arial" w:cs="Arial"/>
          <w:lang w:bidi="mr-IN"/>
        </w:rPr>
        <w:t xml:space="preserve">. </w:t>
      </w:r>
    </w:p>
    <w:p w:rsidR="00AF0F5E" w:rsidRDefault="00AF0F5E" w:rsidP="00195B60">
      <w:pPr>
        <w:spacing w:after="240"/>
        <w:jc w:val="both"/>
        <w:rPr>
          <w:rFonts w:ascii="Arial" w:hAnsi="Arial" w:cs="Arial"/>
          <w:lang w:eastAsia="en-IN" w:bidi="mr-IN"/>
        </w:rPr>
      </w:pPr>
      <w:r w:rsidRPr="009F05B2">
        <w:rPr>
          <w:rFonts w:ascii="Arial" w:hAnsi="Arial" w:cs="Arial"/>
          <w:lang w:eastAsia="en-IN" w:bidi="mr-IN"/>
        </w:rPr>
        <w:t>While pH and COD had a modest correlation with P1, Total Hardness, EC, TDS, and Ca3+ had a substantial correlation. Strong correlations were found between Cl</w:t>
      </w:r>
      <w:r w:rsidRPr="009F05B2">
        <w:rPr>
          <w:rFonts w:ascii="Arial" w:hAnsi="Arial" w:cs="Arial"/>
          <w:vertAlign w:val="superscript"/>
          <w:lang w:eastAsia="en-IN" w:bidi="mr-IN"/>
        </w:rPr>
        <w:t xml:space="preserve">− </w:t>
      </w:r>
      <w:r w:rsidRPr="009F05B2">
        <w:rPr>
          <w:rFonts w:ascii="Arial" w:hAnsi="Arial" w:cs="Arial"/>
          <w:lang w:eastAsia="en-IN" w:bidi="mr-IN"/>
        </w:rPr>
        <w:t>and Factor 3 (P3) and NO</w:t>
      </w:r>
      <w:r w:rsidRPr="009F05B2">
        <w:rPr>
          <w:rFonts w:ascii="Arial" w:hAnsi="Arial" w:cs="Arial"/>
          <w:vertAlign w:val="superscript"/>
          <w:lang w:eastAsia="en-IN" w:bidi="mr-IN"/>
        </w:rPr>
        <w:t>3</w:t>
      </w:r>
      <w:r w:rsidRPr="009F05B2">
        <w:rPr>
          <w:rFonts w:ascii="Arial" w:hAnsi="Arial" w:cs="Arial"/>
          <w:lang w:eastAsia="en-IN" w:bidi="mr-IN"/>
        </w:rPr>
        <w:t>. P3 was heavily loaded with Cl</w:t>
      </w:r>
      <w:r w:rsidRPr="009F05B2">
        <w:rPr>
          <w:rFonts w:ascii="Arial" w:hAnsi="Arial" w:cs="Arial"/>
          <w:vertAlign w:val="superscript"/>
          <w:lang w:eastAsia="en-IN" w:bidi="mr-IN"/>
        </w:rPr>
        <w:t xml:space="preserve">− </w:t>
      </w:r>
      <w:r w:rsidRPr="009F05B2">
        <w:rPr>
          <w:rFonts w:ascii="Arial" w:hAnsi="Arial" w:cs="Arial"/>
          <w:lang w:eastAsia="en-IN" w:bidi="mr-IN"/>
        </w:rPr>
        <w:t>in all seasons, indicating the contamination of domestic sewage into river water directly.</w:t>
      </w:r>
    </w:p>
    <w:p w:rsidR="00195B60" w:rsidRDefault="00195B60" w:rsidP="00195B60">
      <w:pPr>
        <w:spacing w:after="240"/>
        <w:jc w:val="center"/>
        <w:rPr>
          <w:rFonts w:ascii="Arial" w:hAnsi="Arial" w:cs="Arial"/>
          <w:lang w:eastAsia="en-IN" w:bidi="mr-IN"/>
        </w:rPr>
      </w:pPr>
      <w:r w:rsidRPr="001A2434">
        <w:rPr>
          <w:rFonts w:ascii="Arial" w:hAnsi="Arial" w:cs="Arial"/>
          <w:b/>
        </w:rPr>
        <w:t xml:space="preserve">Table 8: </w:t>
      </w:r>
      <w:r w:rsidRPr="001A2434">
        <w:rPr>
          <w:rFonts w:ascii="Arial" w:hAnsi="Arial" w:cs="Arial"/>
          <w:b/>
          <w:bCs/>
          <w:lang w:bidi="mr-IN"/>
        </w:rPr>
        <w:t>Correlation matrix of the physicochemical parameters of the PMR area using Pearson’s Correlation method.</w:t>
      </w:r>
    </w:p>
    <w:tbl>
      <w:tblPr>
        <w:tblW w:w="9607" w:type="dxa"/>
        <w:tblInd w:w="18" w:type="dxa"/>
        <w:tblLook w:val="04A0" w:firstRow="1" w:lastRow="0" w:firstColumn="1" w:lastColumn="0" w:noHBand="0" w:noVBand="1"/>
      </w:tblPr>
      <w:tblGrid>
        <w:gridCol w:w="803"/>
        <w:gridCol w:w="676"/>
        <w:gridCol w:w="676"/>
        <w:gridCol w:w="676"/>
        <w:gridCol w:w="676"/>
        <w:gridCol w:w="676"/>
        <w:gridCol w:w="676"/>
        <w:gridCol w:w="676"/>
        <w:gridCol w:w="684"/>
        <w:gridCol w:w="676"/>
        <w:gridCol w:w="676"/>
        <w:gridCol w:w="676"/>
        <w:gridCol w:w="676"/>
        <w:gridCol w:w="684"/>
      </w:tblGrid>
      <w:tr w:rsidR="00195B60" w:rsidRPr="001A2434" w:rsidTr="00381700">
        <w:trPr>
          <w:trHeight w:val="430"/>
        </w:trPr>
        <w:tc>
          <w:tcPr>
            <w:tcW w:w="803" w:type="dxa"/>
            <w:tcBorders>
              <w:top w:val="single" w:sz="4" w:space="0" w:color="auto"/>
              <w:bottom w:val="single" w:sz="4" w:space="0" w:color="auto"/>
            </w:tcBorders>
            <w:shd w:val="clear" w:color="auto" w:fill="auto"/>
            <w:vAlign w:val="center"/>
            <w:hideMark/>
          </w:tcPr>
          <w:p w:rsidR="00195B60" w:rsidRPr="001A2434" w:rsidRDefault="00195B60" w:rsidP="00195B60">
            <w:pPr>
              <w:jc w:val="center"/>
              <w:rPr>
                <w:rFonts w:ascii="Arial" w:hAnsi="Arial" w:cs="Arial"/>
                <w:b/>
                <w:bCs/>
                <w:color w:val="000000"/>
                <w:sz w:val="16"/>
                <w:szCs w:val="16"/>
                <w:lang w:eastAsia="en-IN" w:bidi="mr-IN"/>
              </w:rPr>
            </w:pPr>
            <w:proofErr w:type="spellStart"/>
            <w:r w:rsidRPr="001A2434">
              <w:rPr>
                <w:rFonts w:ascii="Arial" w:hAnsi="Arial" w:cs="Arial"/>
                <w:b/>
                <w:bCs/>
                <w:color w:val="000000"/>
                <w:sz w:val="16"/>
                <w:szCs w:val="16"/>
                <w:lang w:eastAsia="en-IN" w:bidi="mr-IN"/>
              </w:rPr>
              <w:t>Vari</w:t>
            </w:r>
            <w:proofErr w:type="spellEnd"/>
            <w:r>
              <w:rPr>
                <w:rFonts w:ascii="Arial" w:hAnsi="Arial" w:cs="Arial"/>
                <w:b/>
                <w:bCs/>
                <w:color w:val="000000"/>
                <w:sz w:val="16"/>
                <w:szCs w:val="16"/>
                <w:lang w:eastAsia="en-IN" w:bidi="mr-IN"/>
              </w:rPr>
              <w:t>.</w:t>
            </w:r>
          </w:p>
        </w:tc>
        <w:tc>
          <w:tcPr>
            <w:tcW w:w="676" w:type="dxa"/>
            <w:tcBorders>
              <w:top w:val="single" w:sz="4" w:space="0" w:color="auto"/>
              <w:bottom w:val="single" w:sz="4" w:space="0" w:color="auto"/>
            </w:tcBorders>
            <w:shd w:val="clear" w:color="auto" w:fill="auto"/>
            <w:vAlign w:val="center"/>
            <w:hideMark/>
          </w:tcPr>
          <w:p w:rsidR="00195B60" w:rsidRPr="001A2434" w:rsidRDefault="00195B60" w:rsidP="00195B60">
            <w:pPr>
              <w:jc w:val="center"/>
              <w:rPr>
                <w:rFonts w:ascii="Arial" w:hAnsi="Arial" w:cs="Arial"/>
                <w:b/>
                <w:bCs/>
                <w:color w:val="000000"/>
                <w:sz w:val="16"/>
                <w:szCs w:val="16"/>
                <w:lang w:eastAsia="en-IN" w:bidi="mr-IN"/>
              </w:rPr>
            </w:pPr>
            <w:r w:rsidRPr="001A2434">
              <w:rPr>
                <w:rFonts w:ascii="Arial" w:hAnsi="Arial" w:cs="Arial"/>
                <w:b/>
                <w:bCs/>
                <w:color w:val="000000"/>
                <w:sz w:val="16"/>
                <w:szCs w:val="16"/>
                <w:lang w:eastAsia="en-IN" w:bidi="mr-IN"/>
              </w:rPr>
              <w:t>pH</w:t>
            </w:r>
          </w:p>
        </w:tc>
        <w:tc>
          <w:tcPr>
            <w:tcW w:w="676" w:type="dxa"/>
            <w:tcBorders>
              <w:top w:val="single" w:sz="4" w:space="0" w:color="auto"/>
              <w:bottom w:val="single" w:sz="4" w:space="0" w:color="auto"/>
            </w:tcBorders>
            <w:shd w:val="clear" w:color="auto" w:fill="auto"/>
            <w:vAlign w:val="center"/>
            <w:hideMark/>
          </w:tcPr>
          <w:p w:rsidR="00195B60" w:rsidRPr="001A2434" w:rsidRDefault="00195B60" w:rsidP="00195B60">
            <w:pPr>
              <w:jc w:val="center"/>
              <w:rPr>
                <w:rFonts w:ascii="Arial" w:hAnsi="Arial" w:cs="Arial"/>
                <w:b/>
                <w:bCs/>
                <w:color w:val="000000"/>
                <w:sz w:val="16"/>
                <w:szCs w:val="16"/>
                <w:lang w:eastAsia="en-IN" w:bidi="mr-IN"/>
              </w:rPr>
            </w:pPr>
            <w:r w:rsidRPr="001A2434">
              <w:rPr>
                <w:rFonts w:ascii="Arial" w:hAnsi="Arial" w:cs="Arial"/>
                <w:b/>
                <w:bCs/>
                <w:color w:val="000000"/>
                <w:sz w:val="16"/>
                <w:szCs w:val="16"/>
                <w:lang w:eastAsia="en-IN" w:bidi="mr-IN"/>
              </w:rPr>
              <w:t>TDS</w:t>
            </w:r>
          </w:p>
        </w:tc>
        <w:tc>
          <w:tcPr>
            <w:tcW w:w="676" w:type="dxa"/>
            <w:tcBorders>
              <w:top w:val="single" w:sz="4" w:space="0" w:color="auto"/>
              <w:bottom w:val="single" w:sz="4" w:space="0" w:color="auto"/>
            </w:tcBorders>
            <w:shd w:val="clear" w:color="auto" w:fill="auto"/>
            <w:vAlign w:val="center"/>
            <w:hideMark/>
          </w:tcPr>
          <w:p w:rsidR="00195B60" w:rsidRPr="001A2434" w:rsidRDefault="00195B60" w:rsidP="00195B60">
            <w:pPr>
              <w:jc w:val="center"/>
              <w:rPr>
                <w:rFonts w:ascii="Arial" w:hAnsi="Arial" w:cs="Arial"/>
                <w:b/>
                <w:bCs/>
                <w:color w:val="000000"/>
                <w:sz w:val="16"/>
                <w:szCs w:val="16"/>
                <w:lang w:eastAsia="en-IN" w:bidi="mr-IN"/>
              </w:rPr>
            </w:pPr>
            <w:r w:rsidRPr="001A2434">
              <w:rPr>
                <w:rFonts w:ascii="Arial" w:hAnsi="Arial" w:cs="Arial"/>
                <w:b/>
                <w:bCs/>
                <w:color w:val="000000"/>
                <w:sz w:val="16"/>
                <w:szCs w:val="16"/>
                <w:lang w:eastAsia="en-IN" w:bidi="mr-IN"/>
              </w:rPr>
              <w:t>EC</w:t>
            </w:r>
          </w:p>
        </w:tc>
        <w:tc>
          <w:tcPr>
            <w:tcW w:w="676" w:type="dxa"/>
            <w:tcBorders>
              <w:top w:val="single" w:sz="4" w:space="0" w:color="auto"/>
              <w:bottom w:val="single" w:sz="4" w:space="0" w:color="auto"/>
            </w:tcBorders>
            <w:shd w:val="clear" w:color="auto" w:fill="auto"/>
            <w:vAlign w:val="center"/>
            <w:hideMark/>
          </w:tcPr>
          <w:p w:rsidR="00195B60" w:rsidRPr="001A2434" w:rsidRDefault="00195B60" w:rsidP="00195B60">
            <w:pPr>
              <w:jc w:val="center"/>
              <w:rPr>
                <w:rFonts w:ascii="Arial" w:hAnsi="Arial" w:cs="Arial"/>
                <w:b/>
                <w:bCs/>
                <w:color w:val="000000"/>
                <w:sz w:val="16"/>
                <w:szCs w:val="16"/>
                <w:lang w:eastAsia="en-IN" w:bidi="mr-IN"/>
              </w:rPr>
            </w:pPr>
            <w:r w:rsidRPr="001A2434">
              <w:rPr>
                <w:rFonts w:ascii="Arial" w:hAnsi="Arial" w:cs="Arial"/>
                <w:b/>
                <w:bCs/>
                <w:sz w:val="16"/>
                <w:szCs w:val="16"/>
                <w:lang w:bidi="mr-IN"/>
              </w:rPr>
              <w:t>Cl</w:t>
            </w:r>
            <w:r w:rsidRPr="001A2434">
              <w:rPr>
                <w:rFonts w:ascii="Arial" w:hAnsi="Arial" w:cs="Arial"/>
                <w:b/>
                <w:bCs/>
                <w:sz w:val="16"/>
                <w:szCs w:val="16"/>
                <w:vertAlign w:val="superscript"/>
                <w:lang w:bidi="mr-IN"/>
              </w:rPr>
              <w:t xml:space="preserve">- </w:t>
            </w:r>
          </w:p>
        </w:tc>
        <w:tc>
          <w:tcPr>
            <w:tcW w:w="676" w:type="dxa"/>
            <w:tcBorders>
              <w:top w:val="single" w:sz="4" w:space="0" w:color="auto"/>
              <w:bottom w:val="single" w:sz="4" w:space="0" w:color="auto"/>
            </w:tcBorders>
            <w:shd w:val="clear" w:color="auto" w:fill="auto"/>
            <w:vAlign w:val="center"/>
            <w:hideMark/>
          </w:tcPr>
          <w:p w:rsidR="00195B60" w:rsidRPr="001A2434" w:rsidRDefault="00195B60" w:rsidP="00195B60">
            <w:pPr>
              <w:jc w:val="center"/>
              <w:rPr>
                <w:rFonts w:ascii="Arial" w:hAnsi="Arial" w:cs="Arial"/>
                <w:b/>
                <w:bCs/>
                <w:color w:val="000000"/>
                <w:sz w:val="16"/>
                <w:szCs w:val="16"/>
                <w:lang w:eastAsia="en-IN" w:bidi="mr-IN"/>
              </w:rPr>
            </w:pPr>
            <w:r w:rsidRPr="001A2434">
              <w:rPr>
                <w:rFonts w:ascii="Arial" w:hAnsi="Arial" w:cs="Arial"/>
                <w:b/>
                <w:bCs/>
                <w:sz w:val="16"/>
                <w:szCs w:val="16"/>
                <w:lang w:bidi="mr-IN"/>
              </w:rPr>
              <w:t>SO</w:t>
            </w:r>
            <w:r w:rsidRPr="001A2434">
              <w:rPr>
                <w:rFonts w:ascii="Arial" w:hAnsi="Arial" w:cs="Arial"/>
                <w:b/>
                <w:bCs/>
                <w:sz w:val="16"/>
                <w:szCs w:val="16"/>
                <w:vertAlign w:val="subscript"/>
                <w:lang w:bidi="mr-IN"/>
              </w:rPr>
              <w:t>4</w:t>
            </w:r>
          </w:p>
        </w:tc>
        <w:tc>
          <w:tcPr>
            <w:tcW w:w="676" w:type="dxa"/>
            <w:tcBorders>
              <w:top w:val="single" w:sz="4" w:space="0" w:color="auto"/>
              <w:bottom w:val="single" w:sz="4" w:space="0" w:color="auto"/>
            </w:tcBorders>
            <w:shd w:val="clear" w:color="auto" w:fill="auto"/>
            <w:vAlign w:val="center"/>
            <w:hideMark/>
          </w:tcPr>
          <w:p w:rsidR="00195B60" w:rsidRPr="001A2434" w:rsidRDefault="00195B60" w:rsidP="00195B60">
            <w:pPr>
              <w:jc w:val="center"/>
              <w:rPr>
                <w:rFonts w:ascii="Arial" w:hAnsi="Arial" w:cs="Arial"/>
                <w:b/>
                <w:bCs/>
                <w:color w:val="000000"/>
                <w:sz w:val="16"/>
                <w:szCs w:val="16"/>
                <w:lang w:eastAsia="en-IN" w:bidi="mr-IN"/>
              </w:rPr>
            </w:pPr>
            <w:r w:rsidRPr="001A2434">
              <w:rPr>
                <w:rFonts w:ascii="Arial" w:hAnsi="Arial" w:cs="Arial"/>
                <w:b/>
                <w:bCs/>
                <w:sz w:val="16"/>
                <w:szCs w:val="16"/>
                <w:lang w:bidi="mr-IN"/>
              </w:rPr>
              <w:t>Ca</w:t>
            </w:r>
            <w:r w:rsidRPr="001A2434">
              <w:rPr>
                <w:rFonts w:ascii="Arial" w:hAnsi="Arial" w:cs="Arial"/>
                <w:b/>
                <w:bCs/>
                <w:sz w:val="16"/>
                <w:szCs w:val="16"/>
                <w:vertAlign w:val="superscript"/>
                <w:lang w:bidi="mr-IN"/>
              </w:rPr>
              <w:t>3+</w:t>
            </w:r>
          </w:p>
        </w:tc>
        <w:tc>
          <w:tcPr>
            <w:tcW w:w="676" w:type="dxa"/>
            <w:tcBorders>
              <w:top w:val="single" w:sz="4" w:space="0" w:color="auto"/>
              <w:bottom w:val="single" w:sz="4" w:space="0" w:color="auto"/>
            </w:tcBorders>
            <w:shd w:val="clear" w:color="auto" w:fill="auto"/>
            <w:vAlign w:val="center"/>
            <w:hideMark/>
          </w:tcPr>
          <w:p w:rsidR="00195B60" w:rsidRPr="001A2434" w:rsidRDefault="00195B60" w:rsidP="00195B60">
            <w:pPr>
              <w:jc w:val="center"/>
              <w:rPr>
                <w:rFonts w:ascii="Arial" w:hAnsi="Arial" w:cs="Arial"/>
                <w:b/>
                <w:bCs/>
                <w:color w:val="000000"/>
                <w:sz w:val="16"/>
                <w:szCs w:val="16"/>
                <w:lang w:eastAsia="en-IN" w:bidi="mr-IN"/>
              </w:rPr>
            </w:pPr>
            <w:r w:rsidRPr="001A2434">
              <w:rPr>
                <w:rFonts w:ascii="Arial" w:hAnsi="Arial" w:cs="Arial"/>
                <w:b/>
                <w:bCs/>
                <w:sz w:val="16"/>
                <w:szCs w:val="16"/>
                <w:lang w:bidi="mr-IN"/>
              </w:rPr>
              <w:t>Mg</w:t>
            </w:r>
          </w:p>
        </w:tc>
        <w:tc>
          <w:tcPr>
            <w:tcW w:w="684" w:type="dxa"/>
            <w:tcBorders>
              <w:top w:val="single" w:sz="4" w:space="0" w:color="auto"/>
              <w:bottom w:val="single" w:sz="4" w:space="0" w:color="auto"/>
            </w:tcBorders>
            <w:shd w:val="clear" w:color="auto" w:fill="auto"/>
            <w:vAlign w:val="center"/>
            <w:hideMark/>
          </w:tcPr>
          <w:p w:rsidR="00195B60" w:rsidRPr="001A2434" w:rsidRDefault="00195B60" w:rsidP="00195B60">
            <w:pPr>
              <w:jc w:val="center"/>
              <w:rPr>
                <w:rFonts w:ascii="Arial" w:hAnsi="Arial" w:cs="Arial"/>
                <w:b/>
                <w:bCs/>
                <w:color w:val="000000"/>
                <w:sz w:val="16"/>
                <w:szCs w:val="16"/>
                <w:lang w:eastAsia="en-IN" w:bidi="mr-IN"/>
              </w:rPr>
            </w:pPr>
            <w:r w:rsidRPr="001A2434">
              <w:rPr>
                <w:rFonts w:ascii="Arial" w:hAnsi="Arial" w:cs="Arial"/>
                <w:b/>
                <w:bCs/>
                <w:color w:val="000000"/>
                <w:sz w:val="16"/>
                <w:szCs w:val="16"/>
                <w:lang w:eastAsia="en-IN" w:bidi="mr-IN"/>
              </w:rPr>
              <w:t>Hard.</w:t>
            </w:r>
          </w:p>
        </w:tc>
        <w:tc>
          <w:tcPr>
            <w:tcW w:w="676" w:type="dxa"/>
            <w:tcBorders>
              <w:top w:val="single" w:sz="4" w:space="0" w:color="auto"/>
              <w:bottom w:val="single" w:sz="4" w:space="0" w:color="auto"/>
            </w:tcBorders>
            <w:shd w:val="clear" w:color="auto" w:fill="auto"/>
            <w:vAlign w:val="center"/>
            <w:hideMark/>
          </w:tcPr>
          <w:p w:rsidR="00195B60" w:rsidRPr="001A2434" w:rsidRDefault="00195B60" w:rsidP="00195B60">
            <w:pPr>
              <w:jc w:val="center"/>
              <w:rPr>
                <w:rFonts w:ascii="Arial" w:hAnsi="Arial" w:cs="Arial"/>
                <w:b/>
                <w:bCs/>
                <w:color w:val="000000"/>
                <w:sz w:val="16"/>
                <w:szCs w:val="16"/>
                <w:lang w:eastAsia="en-IN" w:bidi="mr-IN"/>
              </w:rPr>
            </w:pPr>
            <w:r w:rsidRPr="001A2434">
              <w:rPr>
                <w:rFonts w:ascii="Arial" w:hAnsi="Arial" w:cs="Arial"/>
                <w:b/>
                <w:bCs/>
                <w:color w:val="000000"/>
                <w:sz w:val="16"/>
                <w:szCs w:val="16"/>
                <w:lang w:eastAsia="en-IN" w:bidi="mr-IN"/>
              </w:rPr>
              <w:t>BOD</w:t>
            </w:r>
          </w:p>
        </w:tc>
        <w:tc>
          <w:tcPr>
            <w:tcW w:w="676" w:type="dxa"/>
            <w:tcBorders>
              <w:top w:val="single" w:sz="4" w:space="0" w:color="auto"/>
              <w:bottom w:val="single" w:sz="4" w:space="0" w:color="auto"/>
            </w:tcBorders>
            <w:shd w:val="clear" w:color="auto" w:fill="auto"/>
            <w:vAlign w:val="center"/>
            <w:hideMark/>
          </w:tcPr>
          <w:p w:rsidR="00195B60" w:rsidRPr="001A2434" w:rsidRDefault="00195B60" w:rsidP="00195B60">
            <w:pPr>
              <w:jc w:val="center"/>
              <w:rPr>
                <w:rFonts w:ascii="Arial" w:hAnsi="Arial" w:cs="Arial"/>
                <w:b/>
                <w:bCs/>
                <w:color w:val="000000"/>
                <w:sz w:val="16"/>
                <w:szCs w:val="16"/>
                <w:lang w:eastAsia="en-IN" w:bidi="mr-IN"/>
              </w:rPr>
            </w:pPr>
            <w:r w:rsidRPr="001A2434">
              <w:rPr>
                <w:rFonts w:ascii="Arial" w:hAnsi="Arial" w:cs="Arial"/>
                <w:b/>
                <w:bCs/>
                <w:color w:val="000000"/>
                <w:sz w:val="16"/>
                <w:szCs w:val="16"/>
                <w:lang w:eastAsia="en-IN" w:bidi="mr-IN"/>
              </w:rPr>
              <w:t>COD</w:t>
            </w:r>
          </w:p>
        </w:tc>
        <w:tc>
          <w:tcPr>
            <w:tcW w:w="676" w:type="dxa"/>
            <w:tcBorders>
              <w:top w:val="single" w:sz="4" w:space="0" w:color="auto"/>
              <w:bottom w:val="single" w:sz="4" w:space="0" w:color="auto"/>
            </w:tcBorders>
            <w:shd w:val="clear" w:color="auto" w:fill="auto"/>
            <w:vAlign w:val="center"/>
            <w:hideMark/>
          </w:tcPr>
          <w:p w:rsidR="00195B60" w:rsidRPr="001A2434" w:rsidRDefault="00195B60" w:rsidP="00195B60">
            <w:pPr>
              <w:jc w:val="center"/>
              <w:rPr>
                <w:rFonts w:ascii="Arial" w:hAnsi="Arial" w:cs="Arial"/>
                <w:b/>
                <w:bCs/>
                <w:color w:val="000000"/>
                <w:sz w:val="16"/>
                <w:szCs w:val="16"/>
                <w:lang w:eastAsia="en-IN" w:bidi="mr-IN"/>
              </w:rPr>
            </w:pPr>
            <w:r w:rsidRPr="001A2434">
              <w:rPr>
                <w:rFonts w:ascii="Arial" w:hAnsi="Arial" w:cs="Arial"/>
                <w:b/>
                <w:bCs/>
                <w:color w:val="000000"/>
                <w:sz w:val="16"/>
                <w:szCs w:val="16"/>
                <w:lang w:eastAsia="en-IN" w:bidi="mr-IN"/>
              </w:rPr>
              <w:t>DO</w:t>
            </w:r>
          </w:p>
        </w:tc>
        <w:tc>
          <w:tcPr>
            <w:tcW w:w="676" w:type="dxa"/>
            <w:tcBorders>
              <w:top w:val="single" w:sz="4" w:space="0" w:color="auto"/>
              <w:bottom w:val="single" w:sz="4" w:space="0" w:color="auto"/>
            </w:tcBorders>
            <w:shd w:val="clear" w:color="auto" w:fill="auto"/>
            <w:vAlign w:val="center"/>
            <w:hideMark/>
          </w:tcPr>
          <w:p w:rsidR="00195B60" w:rsidRPr="001A2434" w:rsidRDefault="00195B60" w:rsidP="00195B60">
            <w:pPr>
              <w:jc w:val="center"/>
              <w:rPr>
                <w:rFonts w:ascii="Arial" w:hAnsi="Arial" w:cs="Arial"/>
                <w:b/>
                <w:bCs/>
                <w:color w:val="000000"/>
                <w:sz w:val="16"/>
                <w:szCs w:val="16"/>
                <w:lang w:eastAsia="en-IN" w:bidi="mr-IN"/>
              </w:rPr>
            </w:pPr>
            <w:r w:rsidRPr="001A2434">
              <w:rPr>
                <w:rFonts w:ascii="Arial" w:hAnsi="Arial" w:cs="Arial"/>
                <w:b/>
                <w:bCs/>
                <w:sz w:val="16"/>
                <w:szCs w:val="16"/>
                <w:lang w:bidi="mr-IN"/>
              </w:rPr>
              <w:t>NO</w:t>
            </w:r>
            <w:r w:rsidRPr="001A2434">
              <w:rPr>
                <w:rFonts w:ascii="Arial" w:hAnsi="Arial" w:cs="Arial"/>
                <w:b/>
                <w:bCs/>
                <w:sz w:val="16"/>
                <w:szCs w:val="16"/>
                <w:vertAlign w:val="subscript"/>
                <w:lang w:bidi="mr-IN"/>
              </w:rPr>
              <w:t>3</w:t>
            </w:r>
          </w:p>
        </w:tc>
        <w:tc>
          <w:tcPr>
            <w:tcW w:w="681" w:type="dxa"/>
            <w:tcBorders>
              <w:top w:val="single" w:sz="4" w:space="0" w:color="auto"/>
              <w:bottom w:val="single" w:sz="4" w:space="0" w:color="auto"/>
            </w:tcBorders>
            <w:shd w:val="clear" w:color="auto" w:fill="auto"/>
            <w:vAlign w:val="center"/>
            <w:hideMark/>
          </w:tcPr>
          <w:p w:rsidR="00195B60" w:rsidRPr="001A2434" w:rsidRDefault="00195B60" w:rsidP="00195B60">
            <w:pPr>
              <w:jc w:val="center"/>
              <w:rPr>
                <w:rFonts w:ascii="Arial" w:hAnsi="Arial" w:cs="Arial"/>
                <w:b/>
                <w:bCs/>
                <w:color w:val="000000"/>
                <w:sz w:val="16"/>
                <w:szCs w:val="16"/>
                <w:lang w:eastAsia="en-IN" w:bidi="mr-IN"/>
              </w:rPr>
            </w:pPr>
            <w:r w:rsidRPr="001A2434">
              <w:rPr>
                <w:rFonts w:ascii="Arial" w:hAnsi="Arial" w:cs="Arial"/>
                <w:b/>
                <w:bCs/>
                <w:sz w:val="16"/>
                <w:szCs w:val="16"/>
                <w:lang w:bidi="mr-IN"/>
              </w:rPr>
              <w:t>F. Coli.</w:t>
            </w:r>
          </w:p>
        </w:tc>
      </w:tr>
      <w:tr w:rsidR="00195B60" w:rsidRPr="001A2434" w:rsidTr="00195B60">
        <w:trPr>
          <w:trHeight w:val="212"/>
        </w:trPr>
        <w:tc>
          <w:tcPr>
            <w:tcW w:w="803" w:type="dxa"/>
            <w:tcBorders>
              <w:top w:val="single" w:sz="4" w:space="0" w:color="auto"/>
            </w:tcBorders>
            <w:shd w:val="clear" w:color="auto" w:fill="auto"/>
            <w:noWrap/>
            <w:hideMark/>
          </w:tcPr>
          <w:p w:rsidR="00195B60" w:rsidRPr="001A2434" w:rsidRDefault="00195B60" w:rsidP="00195B60">
            <w:pPr>
              <w:rPr>
                <w:rFonts w:ascii="Arial" w:hAnsi="Arial" w:cs="Arial"/>
                <w:color w:val="000000"/>
                <w:sz w:val="16"/>
                <w:szCs w:val="16"/>
                <w:lang w:eastAsia="en-IN" w:bidi="mr-IN"/>
              </w:rPr>
            </w:pPr>
            <w:r w:rsidRPr="001A2434">
              <w:rPr>
                <w:rFonts w:ascii="Arial" w:hAnsi="Arial" w:cs="Arial"/>
                <w:b/>
                <w:bCs/>
                <w:sz w:val="16"/>
                <w:szCs w:val="16"/>
                <w:lang w:bidi="mr-IN"/>
              </w:rPr>
              <w:t>pH</w:t>
            </w:r>
          </w:p>
        </w:tc>
        <w:tc>
          <w:tcPr>
            <w:tcW w:w="676" w:type="dxa"/>
            <w:tcBorders>
              <w:top w:val="single" w:sz="4" w:space="0" w:color="auto"/>
            </w:tcBorders>
            <w:shd w:val="clear" w:color="auto" w:fill="auto"/>
            <w:noWrap/>
            <w:vAlign w:val="bottom"/>
            <w:hideMark/>
          </w:tcPr>
          <w:p w:rsidR="00195B60" w:rsidRPr="001A2434" w:rsidRDefault="00195B60" w:rsidP="00195B60">
            <w:pPr>
              <w:jc w:val="center"/>
              <w:rPr>
                <w:rFonts w:ascii="Arial" w:hAnsi="Arial" w:cs="Arial"/>
                <w:b/>
                <w:bCs/>
                <w:color w:val="000000"/>
                <w:sz w:val="16"/>
                <w:szCs w:val="16"/>
                <w:lang w:eastAsia="en-IN" w:bidi="mr-IN"/>
              </w:rPr>
            </w:pPr>
            <w:r w:rsidRPr="001A2434">
              <w:rPr>
                <w:rFonts w:ascii="Arial" w:hAnsi="Arial" w:cs="Arial"/>
                <w:b/>
                <w:bCs/>
                <w:color w:val="000000"/>
                <w:sz w:val="16"/>
                <w:szCs w:val="16"/>
                <w:lang w:eastAsia="en-IN" w:bidi="mr-IN"/>
              </w:rPr>
              <w:t>1</w:t>
            </w:r>
          </w:p>
        </w:tc>
        <w:tc>
          <w:tcPr>
            <w:tcW w:w="676" w:type="dxa"/>
            <w:tcBorders>
              <w:top w:val="single" w:sz="4" w:space="0" w:color="auto"/>
            </w:tcBorders>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0.323</w:t>
            </w:r>
          </w:p>
        </w:tc>
        <w:tc>
          <w:tcPr>
            <w:tcW w:w="676" w:type="dxa"/>
            <w:tcBorders>
              <w:top w:val="single" w:sz="4" w:space="0" w:color="auto"/>
            </w:tcBorders>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0.324</w:t>
            </w:r>
          </w:p>
        </w:tc>
        <w:tc>
          <w:tcPr>
            <w:tcW w:w="676" w:type="dxa"/>
            <w:tcBorders>
              <w:top w:val="single" w:sz="4" w:space="0" w:color="auto"/>
            </w:tcBorders>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0.096</w:t>
            </w:r>
          </w:p>
        </w:tc>
        <w:tc>
          <w:tcPr>
            <w:tcW w:w="676" w:type="dxa"/>
            <w:tcBorders>
              <w:top w:val="single" w:sz="4" w:space="0" w:color="auto"/>
            </w:tcBorders>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0.048</w:t>
            </w:r>
          </w:p>
        </w:tc>
        <w:tc>
          <w:tcPr>
            <w:tcW w:w="676" w:type="dxa"/>
            <w:tcBorders>
              <w:top w:val="single" w:sz="4" w:space="0" w:color="auto"/>
            </w:tcBorders>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0.189</w:t>
            </w:r>
          </w:p>
        </w:tc>
        <w:tc>
          <w:tcPr>
            <w:tcW w:w="676" w:type="dxa"/>
            <w:tcBorders>
              <w:top w:val="single" w:sz="4" w:space="0" w:color="auto"/>
            </w:tcBorders>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0.306</w:t>
            </w:r>
          </w:p>
        </w:tc>
        <w:tc>
          <w:tcPr>
            <w:tcW w:w="684" w:type="dxa"/>
            <w:tcBorders>
              <w:top w:val="single" w:sz="4" w:space="0" w:color="auto"/>
            </w:tcBorders>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0.288</w:t>
            </w:r>
          </w:p>
        </w:tc>
        <w:tc>
          <w:tcPr>
            <w:tcW w:w="676" w:type="dxa"/>
            <w:tcBorders>
              <w:top w:val="single" w:sz="4" w:space="0" w:color="auto"/>
            </w:tcBorders>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-0.026</w:t>
            </w:r>
          </w:p>
        </w:tc>
        <w:tc>
          <w:tcPr>
            <w:tcW w:w="676" w:type="dxa"/>
            <w:tcBorders>
              <w:top w:val="single" w:sz="4" w:space="0" w:color="auto"/>
            </w:tcBorders>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0.647</w:t>
            </w:r>
          </w:p>
        </w:tc>
        <w:tc>
          <w:tcPr>
            <w:tcW w:w="676" w:type="dxa"/>
            <w:tcBorders>
              <w:top w:val="single" w:sz="4" w:space="0" w:color="auto"/>
            </w:tcBorders>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-0.056</w:t>
            </w:r>
          </w:p>
        </w:tc>
        <w:tc>
          <w:tcPr>
            <w:tcW w:w="676" w:type="dxa"/>
            <w:tcBorders>
              <w:top w:val="single" w:sz="4" w:space="0" w:color="auto"/>
            </w:tcBorders>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-0.407</w:t>
            </w:r>
          </w:p>
        </w:tc>
        <w:tc>
          <w:tcPr>
            <w:tcW w:w="681" w:type="dxa"/>
            <w:tcBorders>
              <w:top w:val="single" w:sz="4" w:space="0" w:color="auto"/>
            </w:tcBorders>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-0.286</w:t>
            </w:r>
          </w:p>
        </w:tc>
      </w:tr>
      <w:tr w:rsidR="00195B60" w:rsidRPr="001A2434" w:rsidTr="00195B60">
        <w:trPr>
          <w:trHeight w:val="212"/>
        </w:trPr>
        <w:tc>
          <w:tcPr>
            <w:tcW w:w="803" w:type="dxa"/>
            <w:shd w:val="clear" w:color="auto" w:fill="auto"/>
            <w:noWrap/>
            <w:hideMark/>
          </w:tcPr>
          <w:p w:rsidR="00195B60" w:rsidRPr="001A2434" w:rsidRDefault="00195B60" w:rsidP="00195B60">
            <w:pPr>
              <w:rPr>
                <w:rFonts w:ascii="Arial" w:hAnsi="Arial" w:cs="Arial"/>
                <w:color w:val="000000"/>
                <w:sz w:val="16"/>
                <w:szCs w:val="16"/>
                <w:lang w:eastAsia="en-IN" w:bidi="mr-IN"/>
              </w:rPr>
            </w:pPr>
            <w:r w:rsidRPr="001A2434">
              <w:rPr>
                <w:rFonts w:ascii="Arial" w:hAnsi="Arial" w:cs="Arial"/>
                <w:b/>
                <w:bCs/>
                <w:sz w:val="16"/>
                <w:szCs w:val="16"/>
                <w:lang w:bidi="mr-IN"/>
              </w:rPr>
              <w:t xml:space="preserve">TDS </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0.323</w:t>
            </w:r>
          </w:p>
        </w:tc>
        <w:tc>
          <w:tcPr>
            <w:tcW w:w="676" w:type="dxa"/>
            <w:shd w:val="clear" w:color="auto" w:fill="auto"/>
            <w:noWrap/>
            <w:vAlign w:val="bottom"/>
            <w:hideMark/>
          </w:tcPr>
          <w:p w:rsidR="00195B60" w:rsidRPr="001A2434" w:rsidRDefault="00195B60" w:rsidP="00195B60">
            <w:pPr>
              <w:jc w:val="center"/>
              <w:rPr>
                <w:rFonts w:ascii="Arial" w:hAnsi="Arial" w:cs="Arial"/>
                <w:b/>
                <w:bCs/>
                <w:color w:val="000000"/>
                <w:sz w:val="16"/>
                <w:szCs w:val="16"/>
                <w:lang w:eastAsia="en-IN" w:bidi="mr-IN"/>
              </w:rPr>
            </w:pPr>
            <w:r w:rsidRPr="001A2434">
              <w:rPr>
                <w:rFonts w:ascii="Arial" w:hAnsi="Arial" w:cs="Arial"/>
                <w:b/>
                <w:bCs/>
                <w:color w:val="000000"/>
                <w:sz w:val="16"/>
                <w:szCs w:val="16"/>
                <w:lang w:eastAsia="en-IN" w:bidi="mr-IN"/>
              </w:rPr>
              <w:t>1</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1.000</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0.148</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0.714</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0.870</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0.630</w:t>
            </w:r>
          </w:p>
        </w:tc>
        <w:tc>
          <w:tcPr>
            <w:tcW w:w="684"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0.984</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0.843</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0.630</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-0.630</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-0.192</w:t>
            </w:r>
          </w:p>
        </w:tc>
        <w:tc>
          <w:tcPr>
            <w:tcW w:w="681"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-0.069</w:t>
            </w:r>
          </w:p>
        </w:tc>
      </w:tr>
      <w:tr w:rsidR="00195B60" w:rsidRPr="001A2434" w:rsidTr="00195B60">
        <w:trPr>
          <w:trHeight w:val="212"/>
        </w:trPr>
        <w:tc>
          <w:tcPr>
            <w:tcW w:w="803" w:type="dxa"/>
            <w:shd w:val="clear" w:color="auto" w:fill="auto"/>
            <w:noWrap/>
            <w:hideMark/>
          </w:tcPr>
          <w:p w:rsidR="00195B60" w:rsidRPr="001A2434" w:rsidRDefault="00195B60" w:rsidP="00195B60">
            <w:pPr>
              <w:rPr>
                <w:rFonts w:ascii="Arial" w:hAnsi="Arial" w:cs="Arial"/>
                <w:color w:val="000000"/>
                <w:sz w:val="16"/>
                <w:szCs w:val="16"/>
                <w:lang w:eastAsia="en-IN" w:bidi="mr-IN"/>
              </w:rPr>
            </w:pPr>
            <w:r w:rsidRPr="001A2434">
              <w:rPr>
                <w:rFonts w:ascii="Arial" w:hAnsi="Arial" w:cs="Arial"/>
                <w:b/>
                <w:bCs/>
                <w:sz w:val="16"/>
                <w:szCs w:val="16"/>
                <w:lang w:bidi="mr-IN"/>
              </w:rPr>
              <w:t xml:space="preserve">EC </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0.324</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1.000</w:t>
            </w:r>
          </w:p>
        </w:tc>
        <w:tc>
          <w:tcPr>
            <w:tcW w:w="676" w:type="dxa"/>
            <w:shd w:val="clear" w:color="auto" w:fill="auto"/>
            <w:noWrap/>
            <w:vAlign w:val="bottom"/>
            <w:hideMark/>
          </w:tcPr>
          <w:p w:rsidR="00195B60" w:rsidRPr="001A2434" w:rsidRDefault="00195B60" w:rsidP="00195B60">
            <w:pPr>
              <w:jc w:val="center"/>
              <w:rPr>
                <w:rFonts w:ascii="Arial" w:hAnsi="Arial" w:cs="Arial"/>
                <w:b/>
                <w:bCs/>
                <w:color w:val="000000"/>
                <w:sz w:val="16"/>
                <w:szCs w:val="16"/>
                <w:lang w:eastAsia="en-IN" w:bidi="mr-IN"/>
              </w:rPr>
            </w:pPr>
            <w:r w:rsidRPr="001A2434">
              <w:rPr>
                <w:rFonts w:ascii="Arial" w:hAnsi="Arial" w:cs="Arial"/>
                <w:b/>
                <w:bCs/>
                <w:color w:val="000000"/>
                <w:sz w:val="16"/>
                <w:szCs w:val="16"/>
                <w:lang w:eastAsia="en-IN" w:bidi="mr-IN"/>
              </w:rPr>
              <w:t>1</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0.148</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0.713</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0.870</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0.630</w:t>
            </w:r>
          </w:p>
        </w:tc>
        <w:tc>
          <w:tcPr>
            <w:tcW w:w="684"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0.984</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0.842</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0.630</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-0.630</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-0.192</w:t>
            </w:r>
          </w:p>
        </w:tc>
        <w:tc>
          <w:tcPr>
            <w:tcW w:w="681"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-0.070</w:t>
            </w:r>
          </w:p>
        </w:tc>
      </w:tr>
      <w:tr w:rsidR="00195B60" w:rsidRPr="001A2434" w:rsidTr="00195B60">
        <w:trPr>
          <w:trHeight w:val="212"/>
        </w:trPr>
        <w:tc>
          <w:tcPr>
            <w:tcW w:w="803" w:type="dxa"/>
            <w:shd w:val="clear" w:color="auto" w:fill="auto"/>
            <w:noWrap/>
            <w:hideMark/>
          </w:tcPr>
          <w:p w:rsidR="00195B60" w:rsidRPr="001A2434" w:rsidRDefault="00195B60" w:rsidP="00195B60">
            <w:pPr>
              <w:rPr>
                <w:rFonts w:ascii="Arial" w:hAnsi="Arial" w:cs="Arial"/>
                <w:color w:val="000000"/>
                <w:sz w:val="16"/>
                <w:szCs w:val="16"/>
                <w:lang w:eastAsia="en-IN" w:bidi="mr-IN"/>
              </w:rPr>
            </w:pPr>
            <w:r w:rsidRPr="001A2434">
              <w:rPr>
                <w:rFonts w:ascii="Arial" w:hAnsi="Arial" w:cs="Arial"/>
                <w:b/>
                <w:bCs/>
                <w:sz w:val="16"/>
                <w:szCs w:val="16"/>
                <w:lang w:bidi="mr-IN"/>
              </w:rPr>
              <w:t>Cl</w:t>
            </w:r>
            <w:r w:rsidRPr="001A2434">
              <w:rPr>
                <w:rFonts w:ascii="Arial" w:hAnsi="Arial" w:cs="Arial"/>
                <w:b/>
                <w:bCs/>
                <w:sz w:val="16"/>
                <w:szCs w:val="16"/>
                <w:vertAlign w:val="superscript"/>
                <w:lang w:bidi="mr-IN"/>
              </w:rPr>
              <w:t xml:space="preserve">- </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0.096</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0.148</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0.148</w:t>
            </w:r>
          </w:p>
        </w:tc>
        <w:tc>
          <w:tcPr>
            <w:tcW w:w="676" w:type="dxa"/>
            <w:shd w:val="clear" w:color="auto" w:fill="auto"/>
            <w:noWrap/>
            <w:vAlign w:val="bottom"/>
            <w:hideMark/>
          </w:tcPr>
          <w:p w:rsidR="00195B60" w:rsidRPr="001A2434" w:rsidRDefault="00195B60" w:rsidP="00195B60">
            <w:pPr>
              <w:jc w:val="center"/>
              <w:rPr>
                <w:rFonts w:ascii="Arial" w:hAnsi="Arial" w:cs="Arial"/>
                <w:b/>
                <w:bCs/>
                <w:color w:val="000000"/>
                <w:sz w:val="16"/>
                <w:szCs w:val="16"/>
                <w:lang w:eastAsia="en-IN" w:bidi="mr-IN"/>
              </w:rPr>
            </w:pPr>
            <w:r w:rsidRPr="001A2434">
              <w:rPr>
                <w:rFonts w:ascii="Arial" w:hAnsi="Arial" w:cs="Arial"/>
                <w:b/>
                <w:bCs/>
                <w:color w:val="000000"/>
                <w:sz w:val="16"/>
                <w:szCs w:val="16"/>
                <w:lang w:eastAsia="en-IN" w:bidi="mr-IN"/>
              </w:rPr>
              <w:t>1</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0.047</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-0.193</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0.128</w:t>
            </w:r>
          </w:p>
        </w:tc>
        <w:tc>
          <w:tcPr>
            <w:tcW w:w="684"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0.100</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0.117</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0.263</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-0.508</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-0.016</w:t>
            </w:r>
          </w:p>
        </w:tc>
        <w:tc>
          <w:tcPr>
            <w:tcW w:w="681"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0.199</w:t>
            </w:r>
          </w:p>
        </w:tc>
      </w:tr>
      <w:tr w:rsidR="00195B60" w:rsidRPr="001A2434" w:rsidTr="00195B60">
        <w:trPr>
          <w:trHeight w:val="212"/>
        </w:trPr>
        <w:tc>
          <w:tcPr>
            <w:tcW w:w="803" w:type="dxa"/>
            <w:shd w:val="clear" w:color="auto" w:fill="auto"/>
            <w:noWrap/>
            <w:hideMark/>
          </w:tcPr>
          <w:p w:rsidR="00195B60" w:rsidRPr="001A2434" w:rsidRDefault="00195B60" w:rsidP="00195B60">
            <w:pPr>
              <w:rPr>
                <w:rFonts w:ascii="Arial" w:hAnsi="Arial" w:cs="Arial"/>
                <w:color w:val="000000"/>
                <w:sz w:val="16"/>
                <w:szCs w:val="16"/>
                <w:lang w:eastAsia="en-IN" w:bidi="mr-IN"/>
              </w:rPr>
            </w:pPr>
            <w:r w:rsidRPr="001A2434">
              <w:rPr>
                <w:rFonts w:ascii="Arial" w:hAnsi="Arial" w:cs="Arial"/>
                <w:b/>
                <w:bCs/>
                <w:sz w:val="16"/>
                <w:szCs w:val="16"/>
                <w:lang w:bidi="mr-IN"/>
              </w:rPr>
              <w:t>SO</w:t>
            </w:r>
            <w:r w:rsidRPr="001A2434">
              <w:rPr>
                <w:rFonts w:ascii="Arial" w:hAnsi="Arial" w:cs="Arial"/>
                <w:b/>
                <w:bCs/>
                <w:sz w:val="16"/>
                <w:szCs w:val="16"/>
                <w:vertAlign w:val="subscript"/>
                <w:lang w:bidi="mr-IN"/>
              </w:rPr>
              <w:t>4</w:t>
            </w:r>
            <w:r w:rsidRPr="001A2434">
              <w:rPr>
                <w:rFonts w:ascii="Arial" w:hAnsi="Arial" w:cs="Arial"/>
                <w:b/>
                <w:bCs/>
                <w:sz w:val="16"/>
                <w:szCs w:val="16"/>
                <w:lang w:bidi="mr-IN"/>
              </w:rPr>
              <w:t xml:space="preserve"> </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0.048</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0.714</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0.713</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0.047</w:t>
            </w:r>
          </w:p>
        </w:tc>
        <w:tc>
          <w:tcPr>
            <w:tcW w:w="676" w:type="dxa"/>
            <w:shd w:val="clear" w:color="auto" w:fill="auto"/>
            <w:noWrap/>
            <w:vAlign w:val="bottom"/>
            <w:hideMark/>
          </w:tcPr>
          <w:p w:rsidR="00195B60" w:rsidRPr="001A2434" w:rsidRDefault="00195B60" w:rsidP="00195B60">
            <w:pPr>
              <w:jc w:val="center"/>
              <w:rPr>
                <w:rFonts w:ascii="Arial" w:hAnsi="Arial" w:cs="Arial"/>
                <w:b/>
                <w:bCs/>
                <w:color w:val="000000"/>
                <w:sz w:val="16"/>
                <w:szCs w:val="16"/>
                <w:lang w:eastAsia="en-IN" w:bidi="mr-IN"/>
              </w:rPr>
            </w:pPr>
            <w:r w:rsidRPr="001A2434">
              <w:rPr>
                <w:rFonts w:ascii="Arial" w:hAnsi="Arial" w:cs="Arial"/>
                <w:b/>
                <w:bCs/>
                <w:color w:val="000000"/>
                <w:sz w:val="16"/>
                <w:szCs w:val="16"/>
                <w:lang w:eastAsia="en-IN" w:bidi="mr-IN"/>
              </w:rPr>
              <w:t>1</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0.601</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0.534</w:t>
            </w:r>
          </w:p>
        </w:tc>
        <w:tc>
          <w:tcPr>
            <w:tcW w:w="684"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0.697</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0.732</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0.463</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-0.588</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-0.272</w:t>
            </w:r>
          </w:p>
        </w:tc>
        <w:tc>
          <w:tcPr>
            <w:tcW w:w="681"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-0.060</w:t>
            </w:r>
          </w:p>
        </w:tc>
      </w:tr>
      <w:tr w:rsidR="00195B60" w:rsidRPr="001A2434" w:rsidTr="00195B60">
        <w:trPr>
          <w:trHeight w:val="212"/>
        </w:trPr>
        <w:tc>
          <w:tcPr>
            <w:tcW w:w="803" w:type="dxa"/>
            <w:shd w:val="clear" w:color="auto" w:fill="auto"/>
            <w:noWrap/>
            <w:hideMark/>
          </w:tcPr>
          <w:p w:rsidR="00195B60" w:rsidRPr="001A2434" w:rsidRDefault="00195B60" w:rsidP="00195B60">
            <w:pPr>
              <w:rPr>
                <w:rFonts w:ascii="Arial" w:hAnsi="Arial" w:cs="Arial"/>
                <w:color w:val="000000"/>
                <w:sz w:val="16"/>
                <w:szCs w:val="16"/>
                <w:lang w:eastAsia="en-IN" w:bidi="mr-IN"/>
              </w:rPr>
            </w:pPr>
            <w:r w:rsidRPr="001A2434">
              <w:rPr>
                <w:rFonts w:ascii="Arial" w:hAnsi="Arial" w:cs="Arial"/>
                <w:b/>
                <w:bCs/>
                <w:sz w:val="16"/>
                <w:szCs w:val="16"/>
                <w:lang w:bidi="mr-IN"/>
              </w:rPr>
              <w:t>Ca</w:t>
            </w:r>
            <w:r w:rsidRPr="001A2434">
              <w:rPr>
                <w:rFonts w:ascii="Arial" w:hAnsi="Arial" w:cs="Arial"/>
                <w:b/>
                <w:bCs/>
                <w:sz w:val="16"/>
                <w:szCs w:val="16"/>
                <w:vertAlign w:val="superscript"/>
                <w:lang w:bidi="mr-IN"/>
              </w:rPr>
              <w:t>3+</w:t>
            </w:r>
            <w:r w:rsidRPr="001A2434">
              <w:rPr>
                <w:rFonts w:ascii="Arial" w:hAnsi="Arial" w:cs="Arial"/>
                <w:b/>
                <w:bCs/>
                <w:sz w:val="16"/>
                <w:szCs w:val="16"/>
                <w:lang w:bidi="mr-IN"/>
              </w:rPr>
              <w:t xml:space="preserve"> </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0.189</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0.870</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0.870</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-0.193</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0.601</w:t>
            </w:r>
          </w:p>
        </w:tc>
        <w:tc>
          <w:tcPr>
            <w:tcW w:w="676" w:type="dxa"/>
            <w:shd w:val="clear" w:color="auto" w:fill="auto"/>
            <w:noWrap/>
            <w:vAlign w:val="bottom"/>
            <w:hideMark/>
          </w:tcPr>
          <w:p w:rsidR="00195B60" w:rsidRPr="001A2434" w:rsidRDefault="00195B60" w:rsidP="00195B60">
            <w:pPr>
              <w:jc w:val="center"/>
              <w:rPr>
                <w:rFonts w:ascii="Arial" w:hAnsi="Arial" w:cs="Arial"/>
                <w:b/>
                <w:bCs/>
                <w:color w:val="000000"/>
                <w:sz w:val="16"/>
                <w:szCs w:val="16"/>
                <w:lang w:eastAsia="en-IN" w:bidi="mr-IN"/>
              </w:rPr>
            </w:pPr>
            <w:r w:rsidRPr="001A2434">
              <w:rPr>
                <w:rFonts w:ascii="Arial" w:hAnsi="Arial" w:cs="Arial"/>
                <w:b/>
                <w:bCs/>
                <w:color w:val="000000"/>
                <w:sz w:val="16"/>
                <w:szCs w:val="16"/>
                <w:lang w:eastAsia="en-IN" w:bidi="mr-IN"/>
              </w:rPr>
              <w:t>1</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0.408</w:t>
            </w:r>
          </w:p>
        </w:tc>
        <w:tc>
          <w:tcPr>
            <w:tcW w:w="684"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0.896</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0.798</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0.475</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-0.354</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0.005</w:t>
            </w:r>
          </w:p>
        </w:tc>
        <w:tc>
          <w:tcPr>
            <w:tcW w:w="681"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-0.123</w:t>
            </w:r>
          </w:p>
        </w:tc>
      </w:tr>
      <w:tr w:rsidR="00195B60" w:rsidRPr="001A2434" w:rsidTr="00195B60">
        <w:trPr>
          <w:trHeight w:val="212"/>
        </w:trPr>
        <w:tc>
          <w:tcPr>
            <w:tcW w:w="803" w:type="dxa"/>
            <w:shd w:val="clear" w:color="auto" w:fill="auto"/>
            <w:noWrap/>
            <w:hideMark/>
          </w:tcPr>
          <w:p w:rsidR="00195B60" w:rsidRPr="001A2434" w:rsidRDefault="00195B60" w:rsidP="00195B60">
            <w:pPr>
              <w:rPr>
                <w:rFonts w:ascii="Arial" w:hAnsi="Arial" w:cs="Arial"/>
                <w:color w:val="000000"/>
                <w:sz w:val="16"/>
                <w:szCs w:val="16"/>
                <w:lang w:eastAsia="en-IN" w:bidi="mr-IN"/>
              </w:rPr>
            </w:pPr>
            <w:r w:rsidRPr="001A2434">
              <w:rPr>
                <w:rFonts w:ascii="Arial" w:hAnsi="Arial" w:cs="Arial"/>
                <w:b/>
                <w:bCs/>
                <w:sz w:val="16"/>
                <w:szCs w:val="16"/>
                <w:lang w:bidi="mr-IN"/>
              </w:rPr>
              <w:t>Mg</w:t>
            </w:r>
            <w:r w:rsidRPr="001A2434">
              <w:rPr>
                <w:rFonts w:ascii="Arial" w:hAnsi="Arial" w:cs="Arial"/>
                <w:b/>
                <w:bCs/>
                <w:sz w:val="16"/>
                <w:szCs w:val="16"/>
                <w:vertAlign w:val="superscript"/>
                <w:lang w:bidi="mr-IN"/>
              </w:rPr>
              <w:t>2+</w:t>
            </w:r>
            <w:r w:rsidRPr="001A2434">
              <w:rPr>
                <w:rFonts w:ascii="Arial" w:hAnsi="Arial" w:cs="Arial"/>
                <w:b/>
                <w:bCs/>
                <w:sz w:val="16"/>
                <w:szCs w:val="16"/>
                <w:lang w:bidi="mr-IN"/>
              </w:rPr>
              <w:t xml:space="preserve"> </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0.306</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0.630</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0.630</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0.128</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0.534</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0.408</w:t>
            </w:r>
          </w:p>
        </w:tc>
        <w:tc>
          <w:tcPr>
            <w:tcW w:w="676" w:type="dxa"/>
            <w:shd w:val="clear" w:color="auto" w:fill="auto"/>
            <w:noWrap/>
            <w:vAlign w:val="bottom"/>
            <w:hideMark/>
          </w:tcPr>
          <w:p w:rsidR="00195B60" w:rsidRPr="001A2434" w:rsidRDefault="00195B60" w:rsidP="00195B60">
            <w:pPr>
              <w:jc w:val="center"/>
              <w:rPr>
                <w:rFonts w:ascii="Arial" w:hAnsi="Arial" w:cs="Arial"/>
                <w:b/>
                <w:bCs/>
                <w:color w:val="000000"/>
                <w:sz w:val="16"/>
                <w:szCs w:val="16"/>
                <w:lang w:eastAsia="en-IN" w:bidi="mr-IN"/>
              </w:rPr>
            </w:pPr>
            <w:r w:rsidRPr="001A2434">
              <w:rPr>
                <w:rFonts w:ascii="Arial" w:hAnsi="Arial" w:cs="Arial"/>
                <w:b/>
                <w:bCs/>
                <w:color w:val="000000"/>
                <w:sz w:val="16"/>
                <w:szCs w:val="16"/>
                <w:lang w:eastAsia="en-IN" w:bidi="mr-IN"/>
              </w:rPr>
              <w:t>1</w:t>
            </w:r>
          </w:p>
        </w:tc>
        <w:tc>
          <w:tcPr>
            <w:tcW w:w="684"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0.679</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0.681</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0.390</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-0.183</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-0.214</w:t>
            </w:r>
          </w:p>
        </w:tc>
        <w:tc>
          <w:tcPr>
            <w:tcW w:w="681"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0.007</w:t>
            </w:r>
          </w:p>
        </w:tc>
      </w:tr>
      <w:tr w:rsidR="00195B60" w:rsidRPr="001A2434" w:rsidTr="00195B60">
        <w:trPr>
          <w:trHeight w:val="212"/>
        </w:trPr>
        <w:tc>
          <w:tcPr>
            <w:tcW w:w="803" w:type="dxa"/>
            <w:shd w:val="clear" w:color="auto" w:fill="auto"/>
            <w:noWrap/>
            <w:hideMark/>
          </w:tcPr>
          <w:p w:rsidR="00195B60" w:rsidRPr="001A2434" w:rsidRDefault="00195B60" w:rsidP="00195B60">
            <w:pPr>
              <w:rPr>
                <w:rFonts w:ascii="Arial" w:hAnsi="Arial" w:cs="Arial"/>
                <w:color w:val="000000"/>
                <w:sz w:val="16"/>
                <w:szCs w:val="16"/>
                <w:lang w:eastAsia="en-IN" w:bidi="mr-IN"/>
              </w:rPr>
            </w:pPr>
            <w:proofErr w:type="spellStart"/>
            <w:r>
              <w:rPr>
                <w:rFonts w:ascii="Arial" w:hAnsi="Arial" w:cs="Arial"/>
                <w:b/>
                <w:bCs/>
                <w:sz w:val="16"/>
                <w:szCs w:val="16"/>
                <w:lang w:bidi="mr-IN"/>
              </w:rPr>
              <w:t>Hd</w:t>
            </w:r>
            <w:proofErr w:type="spellEnd"/>
            <w:r w:rsidRPr="001A2434">
              <w:rPr>
                <w:rFonts w:ascii="Arial" w:hAnsi="Arial" w:cs="Arial"/>
                <w:b/>
                <w:bCs/>
                <w:sz w:val="16"/>
                <w:szCs w:val="16"/>
                <w:lang w:bidi="mr-IN"/>
              </w:rPr>
              <w:t xml:space="preserve"> </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0.288</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0.984</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0.984</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0.100</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0.697</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0.896</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0.679</w:t>
            </w:r>
          </w:p>
        </w:tc>
        <w:tc>
          <w:tcPr>
            <w:tcW w:w="684" w:type="dxa"/>
            <w:shd w:val="clear" w:color="auto" w:fill="auto"/>
            <w:noWrap/>
            <w:vAlign w:val="bottom"/>
            <w:hideMark/>
          </w:tcPr>
          <w:p w:rsidR="00195B60" w:rsidRPr="001A2434" w:rsidRDefault="00195B60" w:rsidP="00195B60">
            <w:pPr>
              <w:jc w:val="center"/>
              <w:rPr>
                <w:rFonts w:ascii="Arial" w:hAnsi="Arial" w:cs="Arial"/>
                <w:b/>
                <w:bCs/>
                <w:color w:val="000000"/>
                <w:sz w:val="16"/>
                <w:szCs w:val="16"/>
                <w:lang w:eastAsia="en-IN" w:bidi="mr-IN"/>
              </w:rPr>
            </w:pPr>
            <w:r w:rsidRPr="001A2434">
              <w:rPr>
                <w:rFonts w:ascii="Arial" w:hAnsi="Arial" w:cs="Arial"/>
                <w:b/>
                <w:bCs/>
                <w:color w:val="000000"/>
                <w:sz w:val="16"/>
                <w:szCs w:val="16"/>
                <w:lang w:eastAsia="en-IN" w:bidi="mr-IN"/>
              </w:rPr>
              <w:t>1</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0.878</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0.554</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-0.533</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-0.105</w:t>
            </w:r>
          </w:p>
        </w:tc>
        <w:tc>
          <w:tcPr>
            <w:tcW w:w="681"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-0.078</w:t>
            </w:r>
          </w:p>
        </w:tc>
      </w:tr>
      <w:tr w:rsidR="00195B60" w:rsidRPr="001A2434" w:rsidTr="00195B60">
        <w:trPr>
          <w:trHeight w:val="212"/>
        </w:trPr>
        <w:tc>
          <w:tcPr>
            <w:tcW w:w="803" w:type="dxa"/>
            <w:shd w:val="clear" w:color="auto" w:fill="auto"/>
            <w:noWrap/>
            <w:hideMark/>
          </w:tcPr>
          <w:p w:rsidR="00195B60" w:rsidRPr="001A2434" w:rsidRDefault="00195B60" w:rsidP="00195B60">
            <w:pPr>
              <w:rPr>
                <w:rFonts w:ascii="Arial" w:hAnsi="Arial" w:cs="Arial"/>
                <w:color w:val="000000"/>
                <w:sz w:val="16"/>
                <w:szCs w:val="16"/>
                <w:lang w:eastAsia="en-IN" w:bidi="mr-IN"/>
              </w:rPr>
            </w:pPr>
            <w:r w:rsidRPr="001A2434">
              <w:rPr>
                <w:rFonts w:ascii="Arial" w:hAnsi="Arial" w:cs="Arial"/>
                <w:b/>
                <w:bCs/>
                <w:sz w:val="16"/>
                <w:szCs w:val="16"/>
                <w:lang w:bidi="mr-IN"/>
              </w:rPr>
              <w:t>BOD</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-0.026</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0.843</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0.842</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0.117</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0.732</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0.798</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0.681</w:t>
            </w:r>
          </w:p>
        </w:tc>
        <w:tc>
          <w:tcPr>
            <w:tcW w:w="684"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0.878</w:t>
            </w:r>
          </w:p>
        </w:tc>
        <w:tc>
          <w:tcPr>
            <w:tcW w:w="676" w:type="dxa"/>
            <w:shd w:val="clear" w:color="auto" w:fill="auto"/>
            <w:noWrap/>
            <w:vAlign w:val="bottom"/>
            <w:hideMark/>
          </w:tcPr>
          <w:p w:rsidR="00195B60" w:rsidRPr="001A2434" w:rsidRDefault="00195B60" w:rsidP="00195B60">
            <w:pPr>
              <w:jc w:val="center"/>
              <w:rPr>
                <w:rFonts w:ascii="Arial" w:hAnsi="Arial" w:cs="Arial"/>
                <w:b/>
                <w:bCs/>
                <w:color w:val="000000"/>
                <w:sz w:val="16"/>
                <w:szCs w:val="16"/>
                <w:lang w:eastAsia="en-IN" w:bidi="mr-IN"/>
              </w:rPr>
            </w:pPr>
            <w:r w:rsidRPr="001A2434">
              <w:rPr>
                <w:rFonts w:ascii="Arial" w:hAnsi="Arial" w:cs="Arial"/>
                <w:b/>
                <w:bCs/>
                <w:color w:val="000000"/>
                <w:sz w:val="16"/>
                <w:szCs w:val="16"/>
                <w:lang w:eastAsia="en-IN" w:bidi="mr-IN"/>
              </w:rPr>
              <w:t>1</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0.318</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-0.440</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0.003</w:t>
            </w:r>
          </w:p>
        </w:tc>
        <w:tc>
          <w:tcPr>
            <w:tcW w:w="681"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0.166</w:t>
            </w:r>
          </w:p>
        </w:tc>
      </w:tr>
      <w:tr w:rsidR="00195B60" w:rsidRPr="001A2434" w:rsidTr="00195B60">
        <w:trPr>
          <w:trHeight w:val="212"/>
        </w:trPr>
        <w:tc>
          <w:tcPr>
            <w:tcW w:w="803" w:type="dxa"/>
            <w:shd w:val="clear" w:color="auto" w:fill="auto"/>
            <w:noWrap/>
            <w:hideMark/>
          </w:tcPr>
          <w:p w:rsidR="00195B60" w:rsidRPr="001A2434" w:rsidRDefault="00195B60" w:rsidP="00195B60">
            <w:pPr>
              <w:rPr>
                <w:rFonts w:ascii="Arial" w:hAnsi="Arial" w:cs="Arial"/>
                <w:color w:val="000000"/>
                <w:sz w:val="16"/>
                <w:szCs w:val="16"/>
                <w:lang w:eastAsia="en-IN" w:bidi="mr-IN"/>
              </w:rPr>
            </w:pPr>
            <w:r w:rsidRPr="001A2434">
              <w:rPr>
                <w:rFonts w:ascii="Arial" w:hAnsi="Arial" w:cs="Arial"/>
                <w:b/>
                <w:bCs/>
                <w:sz w:val="16"/>
                <w:szCs w:val="16"/>
                <w:lang w:bidi="mr-IN"/>
              </w:rPr>
              <w:t>COD</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0.647</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0.630</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0.630</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0.263</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0.463</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0.475</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0.390</w:t>
            </w:r>
          </w:p>
        </w:tc>
        <w:tc>
          <w:tcPr>
            <w:tcW w:w="684"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0.554</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0.318</w:t>
            </w:r>
          </w:p>
        </w:tc>
        <w:tc>
          <w:tcPr>
            <w:tcW w:w="676" w:type="dxa"/>
            <w:shd w:val="clear" w:color="auto" w:fill="auto"/>
            <w:noWrap/>
            <w:vAlign w:val="bottom"/>
            <w:hideMark/>
          </w:tcPr>
          <w:p w:rsidR="00195B60" w:rsidRPr="001A2434" w:rsidRDefault="00195B60" w:rsidP="00195B60">
            <w:pPr>
              <w:jc w:val="center"/>
              <w:rPr>
                <w:rFonts w:ascii="Arial" w:hAnsi="Arial" w:cs="Arial"/>
                <w:b/>
                <w:bCs/>
                <w:color w:val="000000"/>
                <w:sz w:val="16"/>
                <w:szCs w:val="16"/>
                <w:lang w:eastAsia="en-IN" w:bidi="mr-IN"/>
              </w:rPr>
            </w:pPr>
            <w:r w:rsidRPr="001A2434">
              <w:rPr>
                <w:rFonts w:ascii="Arial" w:hAnsi="Arial" w:cs="Arial"/>
                <w:b/>
                <w:bCs/>
                <w:color w:val="000000"/>
                <w:sz w:val="16"/>
                <w:szCs w:val="16"/>
                <w:lang w:eastAsia="en-IN" w:bidi="mr-IN"/>
              </w:rPr>
              <w:t>1</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-0.537</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-0.431</w:t>
            </w:r>
          </w:p>
        </w:tc>
        <w:tc>
          <w:tcPr>
            <w:tcW w:w="681"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-0.353</w:t>
            </w:r>
          </w:p>
        </w:tc>
      </w:tr>
      <w:tr w:rsidR="00195B60" w:rsidRPr="001A2434" w:rsidTr="00195B60">
        <w:trPr>
          <w:trHeight w:val="212"/>
        </w:trPr>
        <w:tc>
          <w:tcPr>
            <w:tcW w:w="803" w:type="dxa"/>
            <w:shd w:val="clear" w:color="auto" w:fill="auto"/>
            <w:noWrap/>
            <w:hideMark/>
          </w:tcPr>
          <w:p w:rsidR="00195B60" w:rsidRPr="001A2434" w:rsidRDefault="00195B60" w:rsidP="00195B60">
            <w:pPr>
              <w:rPr>
                <w:rFonts w:ascii="Arial" w:hAnsi="Arial" w:cs="Arial"/>
                <w:color w:val="000000"/>
                <w:sz w:val="16"/>
                <w:szCs w:val="16"/>
                <w:lang w:eastAsia="en-IN" w:bidi="mr-IN"/>
              </w:rPr>
            </w:pPr>
            <w:r w:rsidRPr="001A2434">
              <w:rPr>
                <w:rFonts w:ascii="Arial" w:hAnsi="Arial" w:cs="Arial"/>
                <w:b/>
                <w:bCs/>
                <w:sz w:val="16"/>
                <w:szCs w:val="16"/>
                <w:lang w:bidi="mr-IN"/>
              </w:rPr>
              <w:t>DO</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-0.056</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-0.630</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-0.630</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-0.508</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-0.588</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-0.354</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-0.183</w:t>
            </w:r>
          </w:p>
        </w:tc>
        <w:tc>
          <w:tcPr>
            <w:tcW w:w="684"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-0.533</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-0.440</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-0.537</w:t>
            </w:r>
          </w:p>
        </w:tc>
        <w:tc>
          <w:tcPr>
            <w:tcW w:w="676" w:type="dxa"/>
            <w:shd w:val="clear" w:color="auto" w:fill="auto"/>
            <w:noWrap/>
            <w:vAlign w:val="bottom"/>
            <w:hideMark/>
          </w:tcPr>
          <w:p w:rsidR="00195B60" w:rsidRPr="001A2434" w:rsidRDefault="00195B60" w:rsidP="00195B60">
            <w:pPr>
              <w:jc w:val="center"/>
              <w:rPr>
                <w:rFonts w:ascii="Arial" w:hAnsi="Arial" w:cs="Arial"/>
                <w:b/>
                <w:bCs/>
                <w:color w:val="000000"/>
                <w:sz w:val="16"/>
                <w:szCs w:val="16"/>
                <w:lang w:eastAsia="en-IN" w:bidi="mr-IN"/>
              </w:rPr>
            </w:pPr>
            <w:r w:rsidRPr="001A2434">
              <w:rPr>
                <w:rFonts w:ascii="Arial" w:hAnsi="Arial" w:cs="Arial"/>
                <w:b/>
                <w:bCs/>
                <w:color w:val="000000"/>
                <w:sz w:val="16"/>
                <w:szCs w:val="16"/>
                <w:lang w:eastAsia="en-IN" w:bidi="mr-IN"/>
              </w:rPr>
              <w:t>1</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0.071</w:t>
            </w:r>
          </w:p>
        </w:tc>
        <w:tc>
          <w:tcPr>
            <w:tcW w:w="681"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0.033</w:t>
            </w:r>
          </w:p>
        </w:tc>
      </w:tr>
      <w:tr w:rsidR="00195B60" w:rsidRPr="001A2434" w:rsidTr="00195B60">
        <w:trPr>
          <w:trHeight w:val="212"/>
        </w:trPr>
        <w:tc>
          <w:tcPr>
            <w:tcW w:w="803" w:type="dxa"/>
            <w:shd w:val="clear" w:color="auto" w:fill="auto"/>
            <w:noWrap/>
            <w:hideMark/>
          </w:tcPr>
          <w:p w:rsidR="00195B60" w:rsidRPr="001A2434" w:rsidRDefault="00195B60" w:rsidP="00195B60">
            <w:pPr>
              <w:rPr>
                <w:rFonts w:ascii="Arial" w:hAnsi="Arial" w:cs="Arial"/>
                <w:color w:val="000000"/>
                <w:sz w:val="16"/>
                <w:szCs w:val="16"/>
                <w:lang w:eastAsia="en-IN" w:bidi="mr-IN"/>
              </w:rPr>
            </w:pPr>
            <w:r w:rsidRPr="001A2434">
              <w:rPr>
                <w:rFonts w:ascii="Arial" w:hAnsi="Arial" w:cs="Arial"/>
                <w:b/>
                <w:bCs/>
                <w:sz w:val="16"/>
                <w:szCs w:val="16"/>
                <w:lang w:bidi="mr-IN"/>
              </w:rPr>
              <w:t>NO</w:t>
            </w:r>
            <w:r w:rsidRPr="001A2434">
              <w:rPr>
                <w:rFonts w:ascii="Arial" w:hAnsi="Arial" w:cs="Arial"/>
                <w:b/>
                <w:bCs/>
                <w:sz w:val="16"/>
                <w:szCs w:val="16"/>
                <w:vertAlign w:val="subscript"/>
                <w:lang w:bidi="mr-IN"/>
              </w:rPr>
              <w:t>3</w:t>
            </w:r>
            <w:r w:rsidRPr="001A2434">
              <w:rPr>
                <w:rFonts w:ascii="Arial" w:hAnsi="Arial" w:cs="Arial"/>
                <w:b/>
                <w:bCs/>
                <w:sz w:val="16"/>
                <w:szCs w:val="16"/>
                <w:lang w:bidi="mr-IN"/>
              </w:rPr>
              <w:t xml:space="preserve"> </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-0.407</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-0.192</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-0.192</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-0.016</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-0.272</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0.005</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-0.214</w:t>
            </w:r>
          </w:p>
        </w:tc>
        <w:tc>
          <w:tcPr>
            <w:tcW w:w="684"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-0.105</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0.003</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-0.431</w:t>
            </w:r>
          </w:p>
        </w:tc>
        <w:tc>
          <w:tcPr>
            <w:tcW w:w="676"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0.071</w:t>
            </w:r>
          </w:p>
        </w:tc>
        <w:tc>
          <w:tcPr>
            <w:tcW w:w="676" w:type="dxa"/>
            <w:shd w:val="clear" w:color="auto" w:fill="auto"/>
            <w:noWrap/>
            <w:vAlign w:val="bottom"/>
            <w:hideMark/>
          </w:tcPr>
          <w:p w:rsidR="00195B60" w:rsidRPr="001A2434" w:rsidRDefault="00195B60" w:rsidP="00195B60">
            <w:pPr>
              <w:jc w:val="center"/>
              <w:rPr>
                <w:rFonts w:ascii="Arial" w:hAnsi="Arial" w:cs="Arial"/>
                <w:b/>
                <w:bCs/>
                <w:color w:val="000000"/>
                <w:sz w:val="16"/>
                <w:szCs w:val="16"/>
                <w:lang w:eastAsia="en-IN" w:bidi="mr-IN"/>
              </w:rPr>
            </w:pPr>
            <w:r w:rsidRPr="001A2434">
              <w:rPr>
                <w:rFonts w:ascii="Arial" w:hAnsi="Arial" w:cs="Arial"/>
                <w:b/>
                <w:bCs/>
                <w:color w:val="000000"/>
                <w:sz w:val="16"/>
                <w:szCs w:val="16"/>
                <w:lang w:eastAsia="en-IN" w:bidi="mr-IN"/>
              </w:rPr>
              <w:t>1</w:t>
            </w:r>
          </w:p>
        </w:tc>
        <w:tc>
          <w:tcPr>
            <w:tcW w:w="681" w:type="dxa"/>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0.407</w:t>
            </w:r>
          </w:p>
        </w:tc>
      </w:tr>
      <w:tr w:rsidR="00195B60" w:rsidRPr="001A2434" w:rsidTr="00381700">
        <w:trPr>
          <w:trHeight w:val="220"/>
        </w:trPr>
        <w:tc>
          <w:tcPr>
            <w:tcW w:w="803" w:type="dxa"/>
            <w:tcBorders>
              <w:bottom w:val="single" w:sz="4" w:space="0" w:color="auto"/>
            </w:tcBorders>
            <w:shd w:val="clear" w:color="auto" w:fill="auto"/>
            <w:noWrap/>
            <w:hideMark/>
          </w:tcPr>
          <w:p w:rsidR="00195B60" w:rsidRPr="001A2434" w:rsidRDefault="00195B60" w:rsidP="00195B60">
            <w:pPr>
              <w:rPr>
                <w:rFonts w:ascii="Arial" w:hAnsi="Arial" w:cs="Arial"/>
                <w:color w:val="000000"/>
                <w:sz w:val="16"/>
                <w:szCs w:val="16"/>
                <w:lang w:eastAsia="en-IN" w:bidi="mr-IN"/>
              </w:rPr>
            </w:pPr>
            <w:r w:rsidRPr="001A2434">
              <w:rPr>
                <w:rFonts w:ascii="Arial" w:hAnsi="Arial" w:cs="Arial"/>
                <w:b/>
                <w:bCs/>
                <w:sz w:val="16"/>
                <w:szCs w:val="16"/>
                <w:lang w:bidi="mr-IN"/>
              </w:rPr>
              <w:t>F. Coli.</w:t>
            </w:r>
          </w:p>
        </w:tc>
        <w:tc>
          <w:tcPr>
            <w:tcW w:w="676" w:type="dxa"/>
            <w:tcBorders>
              <w:bottom w:val="single" w:sz="4" w:space="0" w:color="auto"/>
            </w:tcBorders>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-0.286</w:t>
            </w:r>
          </w:p>
        </w:tc>
        <w:tc>
          <w:tcPr>
            <w:tcW w:w="676" w:type="dxa"/>
            <w:tcBorders>
              <w:bottom w:val="single" w:sz="4" w:space="0" w:color="auto"/>
            </w:tcBorders>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-0.069</w:t>
            </w:r>
          </w:p>
        </w:tc>
        <w:tc>
          <w:tcPr>
            <w:tcW w:w="676" w:type="dxa"/>
            <w:tcBorders>
              <w:bottom w:val="single" w:sz="4" w:space="0" w:color="auto"/>
            </w:tcBorders>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-0.070</w:t>
            </w:r>
          </w:p>
        </w:tc>
        <w:tc>
          <w:tcPr>
            <w:tcW w:w="676" w:type="dxa"/>
            <w:tcBorders>
              <w:bottom w:val="single" w:sz="4" w:space="0" w:color="auto"/>
            </w:tcBorders>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0.199</w:t>
            </w:r>
          </w:p>
        </w:tc>
        <w:tc>
          <w:tcPr>
            <w:tcW w:w="676" w:type="dxa"/>
            <w:tcBorders>
              <w:bottom w:val="single" w:sz="4" w:space="0" w:color="auto"/>
            </w:tcBorders>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-0.060</w:t>
            </w:r>
          </w:p>
        </w:tc>
        <w:tc>
          <w:tcPr>
            <w:tcW w:w="676" w:type="dxa"/>
            <w:tcBorders>
              <w:bottom w:val="single" w:sz="4" w:space="0" w:color="auto"/>
            </w:tcBorders>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-0.123</w:t>
            </w:r>
          </w:p>
        </w:tc>
        <w:tc>
          <w:tcPr>
            <w:tcW w:w="676" w:type="dxa"/>
            <w:tcBorders>
              <w:bottom w:val="single" w:sz="4" w:space="0" w:color="auto"/>
            </w:tcBorders>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0.007</w:t>
            </w:r>
          </w:p>
        </w:tc>
        <w:tc>
          <w:tcPr>
            <w:tcW w:w="684" w:type="dxa"/>
            <w:tcBorders>
              <w:bottom w:val="single" w:sz="4" w:space="0" w:color="auto"/>
            </w:tcBorders>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-0.078</w:t>
            </w:r>
          </w:p>
        </w:tc>
        <w:tc>
          <w:tcPr>
            <w:tcW w:w="676" w:type="dxa"/>
            <w:tcBorders>
              <w:bottom w:val="single" w:sz="4" w:space="0" w:color="auto"/>
            </w:tcBorders>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0.166</w:t>
            </w:r>
          </w:p>
        </w:tc>
        <w:tc>
          <w:tcPr>
            <w:tcW w:w="676" w:type="dxa"/>
            <w:tcBorders>
              <w:bottom w:val="single" w:sz="4" w:space="0" w:color="auto"/>
            </w:tcBorders>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-0.353</w:t>
            </w:r>
          </w:p>
        </w:tc>
        <w:tc>
          <w:tcPr>
            <w:tcW w:w="676" w:type="dxa"/>
            <w:tcBorders>
              <w:bottom w:val="single" w:sz="4" w:space="0" w:color="auto"/>
            </w:tcBorders>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0.033</w:t>
            </w:r>
          </w:p>
        </w:tc>
        <w:tc>
          <w:tcPr>
            <w:tcW w:w="676" w:type="dxa"/>
            <w:tcBorders>
              <w:bottom w:val="single" w:sz="4" w:space="0" w:color="auto"/>
            </w:tcBorders>
            <w:shd w:val="clear" w:color="auto" w:fill="auto"/>
            <w:noWrap/>
            <w:vAlign w:val="bottom"/>
            <w:hideMark/>
          </w:tcPr>
          <w:p w:rsidR="00195B60" w:rsidRPr="001A2434" w:rsidRDefault="00195B60" w:rsidP="00195B60">
            <w:pPr>
              <w:jc w:val="center"/>
              <w:rPr>
                <w:rFonts w:ascii="Arial" w:hAnsi="Arial" w:cs="Arial"/>
                <w:color w:val="000000"/>
                <w:sz w:val="16"/>
                <w:szCs w:val="16"/>
                <w:lang w:eastAsia="en-IN" w:bidi="mr-IN"/>
              </w:rPr>
            </w:pPr>
            <w:r w:rsidRPr="001A2434">
              <w:rPr>
                <w:rFonts w:ascii="Arial" w:hAnsi="Arial" w:cs="Arial"/>
                <w:color w:val="000000"/>
                <w:sz w:val="16"/>
                <w:szCs w:val="16"/>
                <w:lang w:eastAsia="en-IN" w:bidi="mr-IN"/>
              </w:rPr>
              <w:t>0.407</w:t>
            </w:r>
          </w:p>
        </w:tc>
        <w:tc>
          <w:tcPr>
            <w:tcW w:w="681" w:type="dxa"/>
            <w:tcBorders>
              <w:bottom w:val="single" w:sz="4" w:space="0" w:color="auto"/>
            </w:tcBorders>
            <w:shd w:val="clear" w:color="auto" w:fill="auto"/>
            <w:noWrap/>
            <w:vAlign w:val="bottom"/>
            <w:hideMark/>
          </w:tcPr>
          <w:p w:rsidR="00195B60" w:rsidRPr="001A2434" w:rsidRDefault="00195B60" w:rsidP="00195B60">
            <w:pPr>
              <w:jc w:val="center"/>
              <w:rPr>
                <w:rFonts w:ascii="Arial" w:hAnsi="Arial" w:cs="Arial"/>
                <w:b/>
                <w:bCs/>
                <w:color w:val="000000"/>
                <w:sz w:val="16"/>
                <w:szCs w:val="16"/>
                <w:lang w:eastAsia="en-IN" w:bidi="mr-IN"/>
              </w:rPr>
            </w:pPr>
            <w:r w:rsidRPr="001A2434">
              <w:rPr>
                <w:rFonts w:ascii="Arial" w:hAnsi="Arial" w:cs="Arial"/>
                <w:b/>
                <w:bCs/>
                <w:color w:val="000000"/>
                <w:sz w:val="16"/>
                <w:szCs w:val="16"/>
                <w:lang w:eastAsia="en-IN" w:bidi="mr-IN"/>
              </w:rPr>
              <w:t>1</w:t>
            </w:r>
          </w:p>
        </w:tc>
      </w:tr>
      <w:tr w:rsidR="00195B60" w:rsidRPr="001A2434" w:rsidTr="00381700">
        <w:trPr>
          <w:trHeight w:val="212"/>
        </w:trPr>
        <w:tc>
          <w:tcPr>
            <w:tcW w:w="9607" w:type="dxa"/>
            <w:gridSpan w:val="14"/>
            <w:tcBorders>
              <w:top w:val="single" w:sz="4" w:space="0" w:color="auto"/>
            </w:tcBorders>
            <w:shd w:val="clear" w:color="auto" w:fill="auto"/>
            <w:noWrap/>
            <w:vAlign w:val="bottom"/>
            <w:hideMark/>
          </w:tcPr>
          <w:p w:rsidR="00195B60" w:rsidRPr="001A2434" w:rsidRDefault="00195B60" w:rsidP="00195B60">
            <w:pPr>
              <w:rPr>
                <w:rFonts w:ascii="Arial" w:hAnsi="Arial" w:cs="Arial"/>
                <w:sz w:val="16"/>
                <w:szCs w:val="16"/>
                <w:vertAlign w:val="subscript"/>
                <w:lang w:eastAsia="en-IN" w:bidi="mr-IN"/>
              </w:rPr>
            </w:pPr>
          </w:p>
        </w:tc>
      </w:tr>
    </w:tbl>
    <w:p w:rsidR="005C0A67" w:rsidRDefault="005C0A67" w:rsidP="00441B6F">
      <w:pPr>
        <w:pStyle w:val="Body"/>
        <w:spacing w:after="0"/>
        <w:rPr>
          <w:rFonts w:ascii="Arial" w:hAnsi="Arial" w:cs="Arial"/>
        </w:rPr>
      </w:pPr>
    </w:p>
    <w:p w:rsidR="005C0A67" w:rsidRPr="008E1BA3" w:rsidRDefault="00432751" w:rsidP="005C0A67">
      <w:pPr>
        <w:autoSpaceDE w:val="0"/>
        <w:autoSpaceDN w:val="0"/>
        <w:adjustRightInd w:val="0"/>
        <w:rPr>
          <w:rFonts w:ascii="Arial" w:hAnsi="Arial" w:cs="Arial"/>
          <w:b/>
          <w:bCs/>
          <w:u w:val="single"/>
          <w:lang w:bidi="mr-IN"/>
        </w:rPr>
      </w:pPr>
      <w:r w:rsidRPr="008E1BA3">
        <w:rPr>
          <w:rFonts w:ascii="Arial" w:eastAsia="MinionPro-Regular" w:hAnsi="Arial" w:cs="Arial"/>
          <w:b/>
          <w:bCs/>
          <w:u w:val="single"/>
          <w:lang w:bidi="mr-IN"/>
        </w:rPr>
        <w:t>3</w:t>
      </w:r>
      <w:r w:rsidR="005C0A67" w:rsidRPr="008E1BA3">
        <w:rPr>
          <w:rFonts w:ascii="Arial" w:eastAsia="MinionPro-Regular" w:hAnsi="Arial" w:cs="Arial"/>
          <w:b/>
          <w:bCs/>
          <w:u w:val="single"/>
          <w:lang w:bidi="mr-IN"/>
        </w:rPr>
        <w:t xml:space="preserve">.6.3 </w:t>
      </w:r>
      <w:r w:rsidR="005C0A67" w:rsidRPr="008E1BA3">
        <w:rPr>
          <w:rFonts w:ascii="Arial" w:hAnsi="Arial" w:cs="Arial"/>
          <w:b/>
          <w:bCs/>
          <w:u w:val="single"/>
          <w:lang w:bidi="mr-IN"/>
        </w:rPr>
        <w:t>QQ plot</w:t>
      </w:r>
    </w:p>
    <w:p w:rsidR="00DB5197" w:rsidRPr="009F05B2" w:rsidRDefault="00DB5197" w:rsidP="008E1BA3">
      <w:pPr>
        <w:spacing w:before="240" w:after="240"/>
        <w:jc w:val="both"/>
        <w:rPr>
          <w:rFonts w:ascii="Arial" w:hAnsi="Arial" w:cs="Arial"/>
          <w:lang w:eastAsia="en-IN" w:bidi="mr-IN"/>
        </w:rPr>
      </w:pPr>
      <w:r w:rsidRPr="009F05B2">
        <w:rPr>
          <w:rFonts w:ascii="Arial" w:hAnsi="Arial" w:cs="Arial"/>
          <w:lang w:eastAsia="en-IN" w:bidi="mr-IN"/>
        </w:rPr>
        <w:t>A QQ (quantile-quantile) plot is used in water analysis to determine if a dataset of observations of water quality follows a particular probability distribution, most frequently a normal distribution. Comparing the data distribution to a typical normal distribution is made easier with the use of QQ plots</w:t>
      </w:r>
      <w:r w:rsidRPr="009F05B2">
        <w:rPr>
          <w:rFonts w:ascii="Arial" w:hAnsi="Arial" w:cs="Arial"/>
          <w:lang w:eastAsia="en-IN" w:bidi="mr-IN"/>
        </w:rPr>
        <w:fldChar w:fldCharType="begin"/>
      </w:r>
      <w:r w:rsidR="00540813">
        <w:rPr>
          <w:rFonts w:ascii="Arial" w:hAnsi="Arial" w:cs="Arial"/>
          <w:lang w:eastAsia="en-IN" w:bidi="mr-IN"/>
        </w:rPr>
        <w:instrText xml:space="preserve"> ADDIN ZOTERO_ITEM CSL_CITATION {"citationID":"eqcXbEVx","properties":{"unsorted":true,"formattedCitation":"(Varouchakis et al., 2012; Antonakos &amp; Lambrakis, 2021)","plainCitation":"(Varouchakis et al., 2012; Antonakos &amp; Lambrakis, 2021)","dontUpdate":true,"noteIndex":0},"citationItems":[{"id":1305,"uris":["http://zotero.org/users/8828115/items/UWSY32VD"],"itemData":{"id":1305,"type":"article-journal","abstract":"The present research study investigates the application of nonlinear normalizing data transformations in conjunction with ordinary kriging (OK) for the accurate prediction of groundwater level spatial variability in a sparsely-gauged basin. We investigate three established normalizing methods, Gaussian anamorphosis, transGaussian kriging and the Box-Cox method to improve the estimation accuracy. The ﬁrst two are applied for the ﬁrst time to groundwater level data. All three methods improve the mean absolute prediction error compared to the application of OK to the non-transformed data. In addition, a modiﬁed Box-Cox transformation is proposed and applied to normalize the hydraulic heads. The modiﬁed Box-Cox transformation in conjunction with OK is found to be the optimal spatial model based on leave-one-out cross-validation. The recently established Spartan semivariogram family provides the optimal model ﬁt to the transformed data. Finally, we present maps of the groundwater level and the kriging variance based on the optimal spatial model.","container-title":"Hydrological Sciences Journal","DOI":"10.1080/02626667.2012.717174","ISSN":"0262-6667, 2150-3435","issue":"7","journalAbbreviation":"Hydrological Sciences Journal","language":"en","page":"1404-1419","source":"DOI.org (Crossref)","title":"Improving kriging of groundwater level data using nonlinear normalizing transformations—a field application","URL":"https://www.tandfonline.com/doi/full/10.1080/02626667.2012.717174","volume":"57","author":[{"family":"Varouchakis","given":"E.A."},{"family":"Hristopulos","given":"D.T."},{"family":"Karatzas","given":"G.P."}],"accessed":{"date-parts":[["2025",11,28]]},"issued":{"date-parts":[["2012",10]]}},"label":"page"},{"id":1302,"uris":["http://zotero.org/users/8828115/items/P65WSLYC"],"itemData":{"id":1302,"type":"article-journal","abstract":"The present study is an attempt to implement several spatial interpolation methods for the distribution of groundwater level in a wider area with multiple aquifers having variable hydraulic characteristics. Moreover, the goal of this study is to compare the results of these methods and check their accuracy and reliability, considering mainly the physical meaning of the outcome. Finally, we try to figure out which of these methods manage to identify hydrogeological features like groundwater divides, hydraulic conductivity barriers and no flow boundaries, and to highlight the hydraulic relationship between aquifers. Exploratory Spatial Data Analysis proved to be a necessary step prior to the implementation of spatial interpolation methods, since normalization of datasets, removal of general trends and data declustering was necessary for the proper implementation of geostatistical methods and reduction of the uncertainty of the results. Inverse Distance Weight, Radial basis functions, simple Kriging and Cokriging methods were implemented. None of the implemented methods produced results that were totally unreliable or erroneous and each method added pieces of information that were useful for the deeper understanding of the hydrogeological processes in the study area. The most appropriate spatial interpolation method for generating a groundwater level distribution surface, in an area with multiple aquifers and significant heterogeneity in hydraulic properties proved to be the Ordinary Cokriging method with altitude as a second parameter, which was highly correlated to groundwater level values in the study area. Cokriging method succeeds to accurately represent both the local variations within the individual aquifers and also to highlight the hydraulic relationships between them.","container-title":"Environmental Processes","DOI":"10.1007/s40710-021-00529-9","ISSN":"2198-7491, 2198-7505","issue":"3","journalAbbreviation":"Environ. Process.","language":"en","page":"993-1026","source":"DOI.org (Crossref)","title":"Spatial Interpolation for the Distribution of Groundwater Level in an Area of Complex Geology Using Widely Available GIS Tools","URL":"https://link.springer.com/10.1007/s40710-021-00529-9","volume":"8","author":[{"family":"Antonakos","given":"Andreas"},{"family":"Lambrakis","given":"Nikolaos"}],"accessed":{"date-parts":[["2025",11,28]]},"issued":{"date-parts":[["2021",9]]}},"label":"page"}],"schema":"https://github.com/citation-style-language/schema/raw/master/csl-citation.json"} </w:instrText>
      </w:r>
      <w:r w:rsidRPr="009F05B2">
        <w:rPr>
          <w:rFonts w:ascii="Arial" w:hAnsi="Arial" w:cs="Arial"/>
          <w:lang w:eastAsia="en-IN" w:bidi="mr-IN"/>
        </w:rPr>
        <w:fldChar w:fldCharType="separate"/>
      </w:r>
      <w:r w:rsidRPr="009F05B2">
        <w:rPr>
          <w:rFonts w:ascii="Arial" w:hAnsi="Arial" w:cs="Arial"/>
          <w:lang w:eastAsia="en-IN" w:bidi="mr-IN"/>
        </w:rPr>
        <w:t xml:space="preserve"> </w:t>
      </w:r>
      <w:r w:rsidRPr="009F05B2">
        <w:rPr>
          <w:rFonts w:ascii="Arial" w:hAnsi="Arial" w:cs="Arial"/>
        </w:rPr>
        <w:t>(</w:t>
      </w:r>
      <w:bookmarkStart w:id="25" w:name="ZOTERO_BREF_wNk7rnyiuYrP"/>
      <w:r w:rsidRPr="009F05B2">
        <w:rPr>
          <w:rFonts w:ascii="Arial" w:hAnsi="Arial" w:cs="Arial"/>
        </w:rPr>
        <w:t>(Varouchakis et al. 2012)</w:t>
      </w:r>
      <w:bookmarkEnd w:id="25"/>
      <w:r w:rsidRPr="009F05B2">
        <w:rPr>
          <w:rFonts w:ascii="Arial" w:hAnsi="Arial" w:cs="Arial"/>
        </w:rPr>
        <w:t>)</w:t>
      </w:r>
      <w:r w:rsidRPr="009F05B2">
        <w:rPr>
          <w:rFonts w:ascii="Arial" w:hAnsi="Arial" w:cs="Arial"/>
          <w:lang w:eastAsia="en-IN" w:bidi="mr-IN"/>
        </w:rPr>
        <w:fldChar w:fldCharType="end"/>
      </w:r>
      <w:r w:rsidRPr="009F05B2">
        <w:rPr>
          <w:rFonts w:ascii="Arial" w:hAnsi="Arial" w:cs="Arial"/>
          <w:lang w:eastAsia="en-IN" w:bidi="mr-IN"/>
        </w:rPr>
        <w:t xml:space="preserve">. The distribution is more likely to be regularly distributed if the points are closer to forming a straight line </w:t>
      </w:r>
      <w:r w:rsidRPr="009F05B2">
        <w:rPr>
          <w:rFonts w:ascii="Arial" w:hAnsi="Arial" w:cs="Arial"/>
          <w:lang w:eastAsia="en-IN" w:bidi="mr-IN"/>
        </w:rPr>
        <w:fldChar w:fldCharType="begin"/>
      </w:r>
      <w:r w:rsidR="00540813">
        <w:rPr>
          <w:rFonts w:ascii="Arial" w:hAnsi="Arial" w:cs="Arial"/>
          <w:lang w:eastAsia="en-IN" w:bidi="mr-IN"/>
        </w:rPr>
        <w:instrText xml:space="preserve"> ADDIN ZOTERO_ITEM CSL_CITATION {"citationID":"sqb82CIa","properties":{"formattedCitation":"(Boniphace &amp; Willems, 2011)","plainCitation":"(Boniphace &amp; Willems, 2011)","noteIndex":0},"citationItems":[{"id":1307,"uris":["http://zotero.org/users/8828115/items/XPCGF4XE"],"itemData":{"id":1307,"type":"article-journal","abstract":"Quantile</w:instrText>
      </w:r>
      <w:r w:rsidR="00540813">
        <w:rPr>
          <w:rFonts w:ascii="Cambria Math" w:hAnsi="Cambria Math" w:cs="Cambria Math"/>
          <w:lang w:eastAsia="en-IN" w:bidi="mr-IN"/>
        </w:rPr>
        <w:instrText>‐</w:instrText>
      </w:r>
      <w:r w:rsidR="00540813">
        <w:rPr>
          <w:rFonts w:ascii="Arial" w:hAnsi="Arial" w:cs="Arial"/>
          <w:lang w:eastAsia="en-IN" w:bidi="mr-IN"/>
        </w:rPr>
        <w:instrText>quantile plots (QQ plots) are often applied to investigate tail behavior in extreme value analysis. When used for flood frequency analysis, based on river flow data, dependence in these data affects the extreme value distribution's tail behavior in the QQ plot. This problem is investigated on the basis of both synthetic and observed river flow series. The synthetic series are generated on the basis of a stochastic simulation procedure, which allows the real statistical flow properties to be known. Through simulation study, we demonstrate that serial dependence causes bending behavior in the QQ plot in the region of higher quantiles. This leads to the estimating error when the slope of the QQ plot is used as an estimator in the extreme value analysis. A correction method is proposed by modifying the plotting position using the extremal index.\n          , \n            Key Points\n            \n              \n                \n                  Establishing the effect of dependence in qq</w:instrText>
      </w:r>
      <w:r w:rsidR="00540813">
        <w:rPr>
          <w:rFonts w:ascii="Cambria Math" w:hAnsi="Cambria Math" w:cs="Cambria Math"/>
          <w:lang w:eastAsia="en-IN" w:bidi="mr-IN"/>
        </w:rPr>
        <w:instrText>‐</w:instrText>
      </w:r>
      <w:r w:rsidR="00540813">
        <w:rPr>
          <w:rFonts w:ascii="Arial" w:hAnsi="Arial" w:cs="Arial"/>
          <w:lang w:eastAsia="en-IN" w:bidi="mr-IN"/>
        </w:rPr>
        <w:instrText>plots\n                \n                \n                  A solution on the impact of dependence on qq</w:instrText>
      </w:r>
      <w:r w:rsidR="00540813">
        <w:rPr>
          <w:rFonts w:ascii="Cambria Math" w:hAnsi="Cambria Math" w:cs="Cambria Math"/>
          <w:lang w:eastAsia="en-IN" w:bidi="mr-IN"/>
        </w:rPr>
        <w:instrText>‐</w:instrText>
      </w:r>
      <w:r w:rsidR="00540813">
        <w:rPr>
          <w:rFonts w:ascii="Arial" w:hAnsi="Arial" w:cs="Arial"/>
          <w:lang w:eastAsia="en-IN" w:bidi="mr-IN"/>
        </w:rPr>
        <w:instrText xml:space="preserve">plots\n                \n                \n                  Simulation of river flow with known marginal distribution","container-title":"Water Resources Research","DOI":"10.1029/2010WR010160","ISSN":"0043-1397, 1944-7973","issue":"12","journalAbbreviation":"Water Resources Research","language":"en","license":"http://onlinelibrary.wiley.com/termsAndConditions#vor","page":"2010WR010160","source":"DOI.org (Crossref)","title":"Impact of dependence in river flow data on flood frequency analysis based on regression in quantile plots: Analysis and solutions","title-short":"Impact of dependence in river flow data on flood frequency analysis based on regression in quantile plots","URL":"https://agupubs.onlinelibrary.wiley.com/doi/10.1029/2010WR010160","volume":"47","author":[{"family":"Boniphace","given":"E. R."},{"family":"Willems","given":"P."}],"accessed":{"date-parts":[["2025",11,28]]},"issued":{"date-parts":[["2011",12]]}}}],"schema":"https://github.com/citation-style-language/schema/raw/master/csl-citation.json"} </w:instrText>
      </w:r>
      <w:r w:rsidRPr="009F05B2">
        <w:rPr>
          <w:rFonts w:ascii="Arial" w:hAnsi="Arial" w:cs="Arial"/>
          <w:lang w:eastAsia="en-IN" w:bidi="mr-IN"/>
        </w:rPr>
        <w:fldChar w:fldCharType="separate"/>
      </w:r>
      <w:r w:rsidR="00540813" w:rsidRPr="00540813">
        <w:rPr>
          <w:rFonts w:ascii="Arial" w:hAnsi="Arial" w:cs="Arial"/>
        </w:rPr>
        <w:t>(Boniphace &amp; Willems, 2011)</w:t>
      </w:r>
      <w:r w:rsidRPr="009F05B2">
        <w:rPr>
          <w:rFonts w:ascii="Arial" w:hAnsi="Arial" w:cs="Arial"/>
          <w:lang w:eastAsia="en-IN" w:bidi="mr-IN"/>
        </w:rPr>
        <w:fldChar w:fldCharType="end"/>
      </w:r>
      <w:r w:rsidRPr="009F05B2">
        <w:rPr>
          <w:rFonts w:ascii="Arial" w:hAnsi="Arial" w:cs="Arial"/>
          <w:lang w:eastAsia="en-IN" w:bidi="mr-IN"/>
        </w:rPr>
        <w:t xml:space="preserve">. </w:t>
      </w:r>
    </w:p>
    <w:p w:rsidR="00DB5197" w:rsidRPr="009F05B2" w:rsidRDefault="00DB5197" w:rsidP="00D4363D">
      <w:pPr>
        <w:spacing w:after="240"/>
        <w:ind w:left="990" w:hanging="990"/>
        <w:jc w:val="both"/>
        <w:rPr>
          <w:rFonts w:ascii="Arial" w:hAnsi="Arial" w:cs="Arial"/>
          <w:lang w:eastAsia="en-IN" w:bidi="mr-IN"/>
        </w:rPr>
      </w:pPr>
      <w:r w:rsidRPr="009F05B2">
        <w:rPr>
          <w:rFonts w:ascii="Arial" w:hAnsi="Arial" w:cs="Arial"/>
          <w:noProof/>
        </w:rPr>
        <w:lastRenderedPageBreak/>
        <w:drawing>
          <wp:inline distT="0" distB="0" distL="0" distR="0" wp14:anchorId="296BFBB7" wp14:editId="2EA467FC">
            <wp:extent cx="5779008" cy="5560297"/>
            <wp:effectExtent l="19050" t="1905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5619" cy="5566657"/>
                    </a:xfrm>
                    <a:prstGeom prst="rect">
                      <a:avLst/>
                    </a:prstGeom>
                    <a:noFill/>
                    <a:ln>
                      <a:solidFill>
                        <a:schemeClr val="tx1"/>
                      </a:solidFill>
                    </a:ln>
                  </pic:spPr>
                </pic:pic>
              </a:graphicData>
            </a:graphic>
          </wp:inline>
        </w:drawing>
      </w:r>
    </w:p>
    <w:p w:rsidR="00DB5197" w:rsidRPr="00F15233" w:rsidRDefault="00DB5197" w:rsidP="008E1BA3">
      <w:pPr>
        <w:shd w:val="clear" w:color="auto" w:fill="FFFFFF"/>
        <w:spacing w:after="240"/>
        <w:ind w:left="990" w:hanging="990"/>
        <w:jc w:val="both"/>
        <w:rPr>
          <w:rFonts w:ascii="Arial" w:hAnsi="Arial" w:cs="Arial"/>
          <w:b/>
          <w:bCs/>
          <w:color w:val="000000"/>
          <w:lang w:eastAsia="en-IN" w:bidi="mr-IN"/>
        </w:rPr>
      </w:pPr>
      <w:r w:rsidRPr="00F15233">
        <w:rPr>
          <w:rFonts w:ascii="Arial" w:hAnsi="Arial" w:cs="Arial"/>
          <w:b/>
          <w:bCs/>
          <w:color w:val="000000"/>
          <w:lang w:eastAsia="en-IN" w:bidi="mr-IN"/>
        </w:rPr>
        <w:t>Fig. 6. Quantile–quantile (Q–Q) plots evaluating the normality of six water quality parameters: (a) Total Dissolved Solids, (b) Electrical Conductivity, (c) Total Hardness, (d) Chloride (Cl</w:t>
      </w:r>
      <w:r w:rsidRPr="00F15233">
        <w:rPr>
          <w:rFonts w:ascii="Cambria Math" w:hAnsi="Cambria Math" w:cs="Cambria Math"/>
          <w:b/>
          <w:bCs/>
          <w:color w:val="000000"/>
          <w:lang w:eastAsia="en-IN" w:bidi="mr-IN"/>
        </w:rPr>
        <w:t>⁻</w:t>
      </w:r>
      <w:r w:rsidRPr="00F15233">
        <w:rPr>
          <w:rFonts w:ascii="Arial" w:hAnsi="Arial" w:cs="Arial"/>
          <w:b/>
          <w:bCs/>
          <w:color w:val="000000"/>
          <w:lang w:eastAsia="en-IN" w:bidi="mr-IN"/>
        </w:rPr>
        <w:t xml:space="preserve">), (e) BOD, and (f) COD. </w:t>
      </w:r>
    </w:p>
    <w:p w:rsidR="005C0A67" w:rsidRPr="008E1BA3" w:rsidRDefault="00DB5197" w:rsidP="008E1BA3">
      <w:pPr>
        <w:spacing w:after="240"/>
        <w:jc w:val="both"/>
        <w:rPr>
          <w:rFonts w:ascii="Arial" w:hAnsi="Arial" w:cs="Arial"/>
          <w:lang w:eastAsia="en-IN" w:bidi="mr-IN"/>
        </w:rPr>
      </w:pPr>
      <w:r w:rsidRPr="009F05B2">
        <w:rPr>
          <w:rFonts w:ascii="Arial" w:hAnsi="Arial" w:cs="Arial"/>
          <w:lang w:eastAsia="en-IN" w:bidi="mr-IN"/>
        </w:rPr>
        <w:t xml:space="preserve">As shown in </w:t>
      </w:r>
      <w:r w:rsidRPr="009F05B2">
        <w:rPr>
          <w:rFonts w:ascii="Arial" w:hAnsi="Arial" w:cs="Arial"/>
        </w:rPr>
        <w:t>Fig. 6, t</w:t>
      </w:r>
      <w:r w:rsidRPr="009F05B2">
        <w:rPr>
          <w:rFonts w:ascii="Arial" w:hAnsi="Arial" w:cs="Arial"/>
          <w:lang w:eastAsia="en-IN" w:bidi="mr-IN"/>
        </w:rPr>
        <w:t>he level of parameters at various sample locations in the series on the QQ plot is the main focus of this investigation. Several physical parameters, such as TDS, EC, and water hardness, deviate from normality. This indicates that the midstream water samples S-1, S-6 and S-13 had higher pollutant concentration and remained of poor quality. Some chemical parameters, such as Cl-, COD-, and BOD, also show deviations from normality, indicating extremes in the water's ion concentration.</w:t>
      </w:r>
    </w:p>
    <w:p w:rsidR="00A9008E" w:rsidRPr="008E1BA3" w:rsidRDefault="00432751" w:rsidP="00120F7E">
      <w:pPr>
        <w:autoSpaceDE w:val="0"/>
        <w:autoSpaceDN w:val="0"/>
        <w:adjustRightInd w:val="0"/>
        <w:spacing w:after="240"/>
        <w:rPr>
          <w:rFonts w:ascii="Arial" w:hAnsi="Arial" w:cs="Arial"/>
          <w:b/>
          <w:bCs/>
          <w:u w:val="single"/>
          <w:lang w:bidi="mr-IN"/>
        </w:rPr>
      </w:pPr>
      <w:r w:rsidRPr="008E1BA3">
        <w:rPr>
          <w:rFonts w:ascii="Arial" w:eastAsia="MinionPro-Regular" w:hAnsi="Arial" w:cs="Arial"/>
          <w:b/>
          <w:bCs/>
          <w:u w:val="single"/>
          <w:lang w:bidi="mr-IN"/>
        </w:rPr>
        <w:t>3</w:t>
      </w:r>
      <w:r w:rsidR="00A9008E" w:rsidRPr="008E1BA3">
        <w:rPr>
          <w:rFonts w:ascii="Arial" w:eastAsia="MinionPro-Regular" w:hAnsi="Arial" w:cs="Arial"/>
          <w:b/>
          <w:bCs/>
          <w:u w:val="single"/>
          <w:lang w:bidi="mr-IN"/>
        </w:rPr>
        <w:t xml:space="preserve">.6.4 </w:t>
      </w:r>
      <w:r w:rsidR="00A9008E" w:rsidRPr="008E1BA3">
        <w:rPr>
          <w:rFonts w:ascii="Arial" w:hAnsi="Arial" w:cs="Arial"/>
          <w:b/>
          <w:bCs/>
          <w:u w:val="single"/>
        </w:rPr>
        <w:t>Similarities in the sites</w:t>
      </w:r>
    </w:p>
    <w:p w:rsidR="006A0B3A" w:rsidRPr="009F05B2" w:rsidRDefault="006A0B3A" w:rsidP="00120F7E">
      <w:pPr>
        <w:spacing w:after="240"/>
        <w:jc w:val="both"/>
        <w:rPr>
          <w:rFonts w:ascii="Arial" w:hAnsi="Arial" w:cs="Arial"/>
        </w:rPr>
      </w:pPr>
      <w:r w:rsidRPr="009F05B2">
        <w:rPr>
          <w:rFonts w:ascii="Arial" w:hAnsi="Arial" w:cs="Arial"/>
        </w:rPr>
        <w:t xml:space="preserve">Cluster analysis was applied to determine similarity groups between the sampling sites using k-means clustering method </w:t>
      </w:r>
      <w:r w:rsidRPr="009F05B2">
        <w:rPr>
          <w:rFonts w:ascii="Arial" w:hAnsi="Arial" w:cs="Arial"/>
        </w:rPr>
        <w:fldChar w:fldCharType="begin"/>
      </w:r>
      <w:r w:rsidR="00540813">
        <w:rPr>
          <w:rFonts w:ascii="Arial" w:hAnsi="Arial" w:cs="Arial"/>
        </w:rPr>
        <w:instrText xml:space="preserve"> ADDIN ZOTERO_ITEM CSL_CITATION {"citationID":"bSV9fZNI","properties":{"unsorted":true,"formattedCitation":"(Fan et al., 2010; Dheeraj et al., 2023)","plainCitation":"(Fan et al., 2010; Dheeraj et al., 2023)","noteIndex":0},"citationItems":[{"id":1267,"uris":["http://zotero.org/users/8828115/items/RNKPS9GS"],"itemData":{"id":1267,"type":"article-journal","abstract":"The Pearl River Delta (PRD) region is one of the most industrialized areas in China, and the river water is increasingly deteriorated due to anthropogenic pollution from the rapid economic development. Principal component analysis (PCA) and cluster analysis (CA) were used to identify characteristics of water quality and to assess water quality spatial pattern in this region. The results of PCA for three regions showed that the first four components of PCA analysis showed 85.52% and 89.25% of the total variance in the data sets of North River region and West River region, respectively, the first three components showed 84.63% of variance for data set of East River region. Results of CA based on the station score of PCA were that stations of North River region, East River region and West River region were grouped into four, three and four clusters, respectively corresponding to severe pollution, moderate pollution, light pollution (except for East River region) and good water quality, which indicated the similarity and dissimilarity of the river water quality. Since, the results suggest that PCA and CA techniques are useful tools for assessment of water quality and management of water resources.","container-title":"Procedia Environmental Sciences","DOI":"10.1016/j.proenv.2010.10.133","ISSN":"18780296","journalAbbreviation":"Procedia Environmental Sciences","language":"en","license":"https://www.elsevier.com/tdm/userlicense/1.0/","page":"1220-1234","source":"DOI.org (Crossref)","title":"Assessment of river water quality in Pearl River Delta using multivariate statistical techniques","URL":"https://linkinghub.elsevier.com/retrieve/pii/S1878029610001660","volume":"2","author":[{"family":"Fan","given":"Xiaoyun"},{"family":"Cui","given":"Baoshan"},{"family":"Zhao","given":"Hui"},{"family":"Zhang","given":"Zhiming"},{"family":"Zhang","given":"Honggang"}],"accessed":{"date-parts":[["2025",11,15]]},"issued":{"date-parts":[["2010"]]}},"label":"page"},{"id":1274,"uris":["http://zotero.org/users/8828115/items/AI78QT3R"],"itemData":{"id":1274,"type":"article-journal","abstract":"Groundwater as well as surface water are considered to be an important source of freshwater. An Opencast mining operations and thermal power stations in the Korba Coalfield region may have a negative impact on both ground and surface water thus, it reduces the water quality. Hence, an attempt is being made for social benefits to people living in this region by analyzing the water quality. A total of 52 ground and surface water samples are collected in May 2022, and twelve physicochemical parameters were calculated in reference to it. The concentrations of EC, TDS, NO3−, SO42−, Ca2+, Mg2+, Na+, and K+ exceeded at a few sites as compared with WHO standards. As a consequence, it has been observed that the order of cation abundance as Ca2+ &gt; Na+ &gt; Mg2+ &gt; K+ whereas anionic abundance HCO3− &gt; Cl− &gt; SO42− &gt; NO3− &gt; F−. Water facies studies indicate that CaMg-HCO3 and CaMg-Cl-SO4 represented by majority of ground and surface water samples. Gibbs diagram in respect to cation and anion reveals that rock dominance &amp; evaporation dominance are the two most important factors influencing the quality of water. Based on the correlation matrix, it is noted that there are significant positive correlations between EC-TDS, EC-Ca2+, EC-Mg2+, EC-HCO3−, TDS-Ca2+, TDS-Mg2+, TDS-HCO3−, Cl-K+, Ca2+-Mg2+, and Mg2+-HCO3−, and strong negative correlations between F−-NO3−. The majority of water samples 69.2% has excellent water quality, followed by 26.9% with good water quality and only 3.8% with poor water quality based on WQI value. A general trend of increasing physicochemical parameters are highlighted by the spatial distribution map. As per HCA analysis, the number of sampling sites are highest for Cluster 1 (63.46%), medium for Cluster 2 (32.69%), and lowest for Cluster 3 (3.84%), as per WQI. Hence, The ground and surface water in the vicinity of the Korba Coalfield can be utilized for drinking and other purposes after little treatment.","container-title":"Sustainable Water Resources Management","DOI":"10.1007/s40899-023-00973-5","ISSN":"2363-5037, 2363-5045","issue":"6","journalAbbreviation":"Sustain. Water Resour. Manag.","language":"en","page":"191","source":"DOI.org (Crossref)","title":"Assessment of surface and ground water quality around Korba Coalfield, India: an integrated approach of water quality index, multivariate statistics analysis and GIS technique","title-short":"Assessment of surface and ground water quality around Korba Coalfield, India","URL":"https://link.springer.com/10.1007/s40899-023-00973-5","volume":"9","author":[{"family":"Dheeraj","given":"Vijayendra Pratap"},{"family":"Singh","given":"C. S."},{"family":"Sonkar","given":"Ashwani Kumar"},{"family":"Kishore","given":"Nawal"}],"accessed":{"date-parts":[["2025",11,21]]},"issued":{"date-parts":[["2023",12]]}},"label":"page"}],"schema":"https://github.com/citation-style-language/schema/raw/master/csl-citation.json"} </w:instrText>
      </w:r>
      <w:r w:rsidRPr="009F05B2">
        <w:rPr>
          <w:rFonts w:ascii="Arial" w:hAnsi="Arial" w:cs="Arial"/>
        </w:rPr>
        <w:fldChar w:fldCharType="separate"/>
      </w:r>
      <w:r w:rsidR="00540813" w:rsidRPr="00540813">
        <w:rPr>
          <w:rFonts w:ascii="Arial" w:hAnsi="Arial" w:cs="Arial"/>
        </w:rPr>
        <w:t>(Fan et al., 2010; Dheeraj et al., 2023)</w:t>
      </w:r>
      <w:r w:rsidRPr="009F05B2">
        <w:rPr>
          <w:rFonts w:ascii="Arial" w:hAnsi="Arial" w:cs="Arial"/>
        </w:rPr>
        <w:fldChar w:fldCharType="end"/>
      </w:r>
      <w:r w:rsidRPr="009F05B2">
        <w:rPr>
          <w:rFonts w:ascii="Arial" w:hAnsi="Arial" w:cs="Arial"/>
        </w:rPr>
        <w:t xml:space="preserve">. </w:t>
      </w:r>
      <w:r w:rsidRPr="009F05B2">
        <w:rPr>
          <w:rFonts w:ascii="Arial" w:hAnsi="Arial" w:cs="Arial"/>
          <w:lang w:eastAsia="en-IN" w:bidi="mr-IN"/>
        </w:rPr>
        <w:t xml:space="preserve">The water quality and </w:t>
      </w:r>
      <w:r w:rsidRPr="009F05B2">
        <w:rPr>
          <w:rFonts w:ascii="Arial" w:hAnsi="Arial" w:cs="Arial"/>
          <w:lang w:eastAsia="en-IN" w:bidi="mr-IN"/>
        </w:rPr>
        <w:lastRenderedPageBreak/>
        <w:t xml:space="preserve">pollution level at the monitoring sites with comparable pollution limits were assessed using six parameters, </w:t>
      </w:r>
      <w:r w:rsidR="008E1BA3">
        <w:rPr>
          <w:rFonts w:ascii="Arial" w:hAnsi="Arial" w:cs="Arial"/>
          <w:lang w:eastAsia="en-IN" w:bidi="mr-IN"/>
        </w:rPr>
        <w:t>such as</w:t>
      </w:r>
      <w:r w:rsidRPr="009F05B2">
        <w:rPr>
          <w:rFonts w:ascii="Arial" w:hAnsi="Arial" w:cs="Arial"/>
          <w:lang w:eastAsia="en-IN" w:bidi="mr-IN"/>
        </w:rPr>
        <w:t xml:space="preserve"> pH, BOD, COD, DO, nitrate, and coliform. The findings of cluster analysis may help carry out more effective water management and monitoring programs </w:t>
      </w:r>
      <w:r w:rsidRPr="009F05B2">
        <w:rPr>
          <w:rFonts w:ascii="Arial" w:hAnsi="Arial" w:cs="Arial"/>
          <w:lang w:eastAsia="en-IN" w:bidi="mr-IN"/>
        </w:rPr>
        <w:fldChar w:fldCharType="begin"/>
      </w:r>
      <w:r w:rsidR="00540813">
        <w:rPr>
          <w:rFonts w:ascii="Arial" w:hAnsi="Arial" w:cs="Arial"/>
          <w:lang w:eastAsia="en-IN" w:bidi="mr-IN"/>
        </w:rPr>
        <w:instrText xml:space="preserve"> ADDIN ZOTERO_ITEM CSL_CITATION {"citationID":"WIihd1Vb","properties":{"unsorted":true,"formattedCitation":"(Zhao et al., 2012; Kumar &amp; Singh, 2024)","plainCitation":"(Zhao et al., 2012; Kumar &amp; Singh, 2024)","noteIndex":0},"citationItems":[{"id":"7AoAF8BM/7VxKsXNa","uris":["http://zotero.org/users/8828115/items/AS9W4YCZ"],"itemData":{"id":1099,"type":"article-journal","abstract":"Water quality can be considered a key contributor to both health and disease for humans. This study involved the evaluation and interpretation of complex water quality data and the sources of pollution in Baiyangdian Lake (China). It also allowed us to obtain more advanced information about water quality, and to design a monitoring network for this study area. Multivariate statistical techniques, including principal component analysis (PCA) and hierarchical cluster analysis (CA) were applied to evaluate water quality of the lake. The 21 physicochemical parameters focused on in the study were analyzed in water samples collected monthly over a two-year period from 13 different sites located in and around the lake. Exploratory analysis of experimental data involved use of PCA and CA in an attempt to discriminate sources of variation measured in the samples. PCA was used to identify a reduced number of five principle components, demonstrating up to 92% of both temporal and spatial changes. CA classified similar water quality stations into 5 clusters based on the PCA scores. The results showed that cluster 5 (site 2) was characterized as the most heavily polluted site, a result that can be attributed to the pollution from the nearby Fuhe River (a upstream river that receiving almost all of the domestic sewage and some industrial wastewater from Baoding City). Cluster 1 (sites 3, 4, 5, 6 and 7) and cluster 4 (site 1) were identified as moderately polluted in association with the both domestic and agricultural sewage, as well as fishery-related pollution in the lake. Cluster 2 (sites 11, 12 and 13) and cluster 3 (sites 8, 9 and 10) were less polluted, which suggests that the water quality was better in the eastern and central portions of the lake.","container-title":"Procedia Environmental Sciences","DOI":"10.1016/j.proenv.2012.01.115","ISSN":"1878-0296","language":"en","license":"https://www.elsevier.com/tdm/userlicense/1.0/","note":"publisher: Elsevier BV","page":"1213-1226","source":"Crossref","title":"Assessment of water quality in Baiyangdian Lake using multivariate statistical techniques","volume":"13","author":[{"family":"Zhao","given":"Y."},{"family":"Xia","given":"X.H."},{"family":"Yang","given":"Z.F."},{"family":"Wang","given":"F."}],"issued":{"date-parts":[["2012"]]}},"label":"page"},{"id":1270,"uris":["http://zotero.org/users/8828115/items/SEQ9WE6E"],"itemData":{"id":1270,"type":"article-journal","abstract":"The Mid-Gangetic Plain, a vital farmland in India, faces increasing groundwater quality deterioration due to anthropogenic activities. This study aimed to assess groundwater quality and contamination sources in the region utilizing statistical methods. A total of 78 groundwater samples were collected and analyzed using standard methods. The hydrochemistry analysis of samples revealed that several parameters such as Ca2þ, Mg2þ, HCO3 , NO3 , F and PO4 3 surpassed the limits prescribed by the Bureau of Indian Standards (BIS). The principal component analysis yielded three signiﬁcant factors, explaining 68.96% variation, highlighting geogenic and anthropogenic inﬂuences on groundwater chemistry. Hierarchical cluster analysis categorized groundwater into three clusters based on the parameters with similar trends of variation. Furthermore, discriminant analysis identiﬁed four signiﬁcant variables (Mg2þ, F , Cl and NO3 ) responsible for creating the distinction among the identiﬁed clusters. Hydrogeochemical categorization and multivariate statistical analyses indicated that rock–water interaction, weathering, leaching and anthropogenic activities collectively inﬂuenced groundwater quality throughout the studied region. The Water Quality Index reveals that 59% of samples have good water quality, while 41% exhibit poor quality predominantly concentrated in the south-western, south-eastern and central regions. This study demonstrates the efﬁcacy of statistical techniques to interpret complex datasets and grasp water quality dynamics, enhancing groundwater management.","container-title":"Water Supply","DOI":"10.2166/ws.2024.213","ISSN":"1606-9749, 1607-0798","issue":"10","language":"en","page":"3517-3539","source":"DOI.org (Crossref)","title":"Pollution source characterization and evaluation of groundwater quality utilizing an integrated approach of Water Quality Index, GIS and multivariate statistical analysis","URL":"https://iwaponline.com/ws/article/24/10/3517/104792/Pollution-source-characterization-and-evaluation","volume":"24","author":[{"family":"Kumar","given":"Amit"},{"family":"Singh","given":"Anshuman"}],"accessed":{"date-parts":[["2025",11,15]]},"issued":{"date-parts":[["2024",10,1]]}},"label":"page"}],"schema":"https://github.com/citation-style-language/schema/raw/master/csl-citation.json"} </w:instrText>
      </w:r>
      <w:r w:rsidRPr="009F05B2">
        <w:rPr>
          <w:rFonts w:ascii="Arial" w:hAnsi="Arial" w:cs="Arial"/>
          <w:lang w:eastAsia="en-IN" w:bidi="mr-IN"/>
        </w:rPr>
        <w:fldChar w:fldCharType="separate"/>
      </w:r>
      <w:r w:rsidR="00540813" w:rsidRPr="00540813">
        <w:rPr>
          <w:rFonts w:ascii="Arial" w:hAnsi="Arial" w:cs="Arial"/>
        </w:rPr>
        <w:t>(Zhao et al., 2012; Kumar &amp; Singh, 2024)</w:t>
      </w:r>
      <w:r w:rsidRPr="009F05B2">
        <w:rPr>
          <w:rFonts w:ascii="Arial" w:hAnsi="Arial" w:cs="Arial"/>
          <w:lang w:eastAsia="en-IN" w:bidi="mr-IN"/>
        </w:rPr>
        <w:fldChar w:fldCharType="end"/>
      </w:r>
      <w:r w:rsidRPr="009F05B2">
        <w:rPr>
          <w:rFonts w:ascii="Arial" w:hAnsi="Arial" w:cs="Arial"/>
          <w:lang w:eastAsia="en-IN" w:bidi="mr-IN"/>
        </w:rPr>
        <w:t xml:space="preserve">. According to cluster analysis, the water quality is ranked from lowest quality (cluster 1) to greatest quality (cluster 6). The data was separated into four clusters, except for nitrate, which was assessed in six cluster groupings. Water samples from Cluster 4 or 6 were classified as extremely polluted, whereas Cluster 1 was classified as the least polluted. </w:t>
      </w:r>
      <w:r w:rsidRPr="009F05B2">
        <w:rPr>
          <w:rFonts w:ascii="Arial" w:hAnsi="Arial" w:cs="Arial"/>
        </w:rPr>
        <w:t xml:space="preserve">Cluster analysis of Nitrate assessed the least polluted sampling sites (belonging to clusters 1 and 2) accounted for around 13%. The number of polluted points in clusters 3 and 4 increased by 0.5 times, and the number in group 4 was significantly reduced. The results of cluster analysis stated that the water quality in the upstream region of the Mula-Mutha rivers was better compared to the downstream region within PMR limits (Fig. 7). </w:t>
      </w:r>
    </w:p>
    <w:p w:rsidR="006A0B3A" w:rsidRPr="009F05B2" w:rsidRDefault="006A0B3A" w:rsidP="006A0B3A">
      <w:pPr>
        <w:spacing w:before="240"/>
        <w:ind w:left="990" w:hanging="990"/>
        <w:jc w:val="both"/>
        <w:rPr>
          <w:rFonts w:ascii="Arial" w:hAnsi="Arial" w:cs="Arial"/>
        </w:rPr>
      </w:pPr>
      <w:r w:rsidRPr="009F05B2">
        <w:rPr>
          <w:rFonts w:ascii="Arial" w:hAnsi="Arial" w:cs="Arial"/>
          <w:noProof/>
        </w:rPr>
        <w:lastRenderedPageBreak/>
        <w:drawing>
          <wp:inline distT="0" distB="0" distL="0" distR="0" wp14:anchorId="6490F561" wp14:editId="28226A39">
            <wp:extent cx="5151664" cy="7269403"/>
            <wp:effectExtent l="19050" t="1905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4794" cy="7287931"/>
                    </a:xfrm>
                    <a:prstGeom prst="rect">
                      <a:avLst/>
                    </a:prstGeom>
                    <a:noFill/>
                    <a:ln>
                      <a:solidFill>
                        <a:schemeClr val="tx1"/>
                      </a:solidFill>
                    </a:ln>
                  </pic:spPr>
                </pic:pic>
              </a:graphicData>
            </a:graphic>
          </wp:inline>
        </w:drawing>
      </w:r>
    </w:p>
    <w:p w:rsidR="006A0B3A" w:rsidRPr="00274BB2" w:rsidRDefault="006A0B3A" w:rsidP="006A0B3A">
      <w:pPr>
        <w:spacing w:before="240" w:after="240"/>
        <w:ind w:left="990" w:hanging="990"/>
        <w:jc w:val="both"/>
        <w:rPr>
          <w:rFonts w:ascii="Arial" w:hAnsi="Arial" w:cs="Arial"/>
          <w:b/>
          <w:bCs/>
        </w:rPr>
      </w:pPr>
      <w:r w:rsidRPr="00274BB2">
        <w:rPr>
          <w:rFonts w:ascii="Arial" w:hAnsi="Arial" w:cs="Arial"/>
          <w:b/>
          <w:bCs/>
        </w:rPr>
        <w:t xml:space="preserve">Fig. 7. Cluster analysis of water quality parameters using scatter plots: (a) DO vs pH, (b) F. Coliform vs pH, (c) COD vs BOD, and (d) Nitrate vs </w:t>
      </w:r>
      <w:proofErr w:type="spellStart"/>
      <w:r w:rsidRPr="00274BB2">
        <w:rPr>
          <w:rFonts w:ascii="Arial" w:hAnsi="Arial" w:cs="Arial"/>
          <w:b/>
          <w:bCs/>
        </w:rPr>
        <w:t>pH.</w:t>
      </w:r>
      <w:proofErr w:type="spellEnd"/>
      <w:r w:rsidRPr="00274BB2">
        <w:rPr>
          <w:rFonts w:ascii="Arial" w:hAnsi="Arial" w:cs="Arial"/>
          <w:b/>
          <w:bCs/>
        </w:rPr>
        <w:t xml:space="preserve"> </w:t>
      </w:r>
      <w:proofErr w:type="spellStart"/>
      <w:r w:rsidRPr="00274BB2">
        <w:rPr>
          <w:rFonts w:ascii="Arial" w:hAnsi="Arial" w:cs="Arial"/>
          <w:b/>
          <w:bCs/>
        </w:rPr>
        <w:t>Coloured</w:t>
      </w:r>
      <w:proofErr w:type="spellEnd"/>
      <w:r w:rsidRPr="00274BB2">
        <w:rPr>
          <w:rFonts w:ascii="Arial" w:hAnsi="Arial" w:cs="Arial"/>
          <w:b/>
          <w:bCs/>
        </w:rPr>
        <w:t xml:space="preserve"> ellipses represent distinct clusters, with centroids marked by black crosses. </w:t>
      </w:r>
    </w:p>
    <w:p w:rsidR="006A0B3A" w:rsidRPr="009F05B2" w:rsidRDefault="006A0B3A" w:rsidP="006A0B3A">
      <w:pPr>
        <w:jc w:val="both"/>
        <w:rPr>
          <w:rFonts w:ascii="Arial" w:hAnsi="Arial" w:cs="Arial"/>
        </w:rPr>
      </w:pPr>
      <w:r w:rsidRPr="009F05B2">
        <w:rPr>
          <w:rFonts w:ascii="Arial" w:hAnsi="Arial" w:cs="Arial"/>
        </w:rPr>
        <w:lastRenderedPageBreak/>
        <w:t xml:space="preserve">The six scatter plots relate chemical and microbial indicators to geochemical processes and contamination sources. These plots illustrate weathering signals (carbonate vs silicate), gypsum dissolution, chloride-related inputs (including disinfection), relationships between organic loads (BOD/COD), and how pH relates to Fecal contamination (Fig. 8). </w:t>
      </w:r>
    </w:p>
    <w:p w:rsidR="006A0B3A" w:rsidRPr="009F05B2" w:rsidRDefault="006A0B3A" w:rsidP="00D4363D">
      <w:pPr>
        <w:spacing w:before="240" w:after="240"/>
        <w:ind w:left="990" w:hanging="990"/>
        <w:jc w:val="both"/>
        <w:rPr>
          <w:rFonts w:ascii="Arial" w:hAnsi="Arial" w:cs="Arial"/>
        </w:rPr>
      </w:pPr>
      <w:r w:rsidRPr="009F05B2">
        <w:rPr>
          <w:rFonts w:ascii="Arial" w:hAnsi="Arial" w:cs="Arial"/>
          <w:noProof/>
        </w:rPr>
        <w:drawing>
          <wp:inline distT="0" distB="0" distL="0" distR="0" wp14:anchorId="4B51DA55" wp14:editId="1E31CF9D">
            <wp:extent cx="5492520" cy="57130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721"/>
                    <a:stretch/>
                  </pic:blipFill>
                  <pic:spPr bwMode="auto">
                    <a:xfrm>
                      <a:off x="0" y="0"/>
                      <a:ext cx="5496333" cy="5717061"/>
                    </a:xfrm>
                    <a:prstGeom prst="rect">
                      <a:avLst/>
                    </a:prstGeom>
                    <a:noFill/>
                    <a:ln>
                      <a:noFill/>
                    </a:ln>
                    <a:extLst>
                      <a:ext uri="{53640926-AAD7-44D8-BBD7-CCE9431645EC}">
                        <a14:shadowObscured xmlns:a14="http://schemas.microsoft.com/office/drawing/2010/main"/>
                      </a:ext>
                    </a:extLst>
                  </pic:spPr>
                </pic:pic>
              </a:graphicData>
            </a:graphic>
          </wp:inline>
        </w:drawing>
      </w:r>
    </w:p>
    <w:p w:rsidR="006A0B3A" w:rsidRPr="00274BB2" w:rsidRDefault="006A0B3A" w:rsidP="00120F7E">
      <w:pPr>
        <w:tabs>
          <w:tab w:val="left" w:pos="720"/>
        </w:tabs>
        <w:spacing w:before="240" w:after="240"/>
        <w:ind w:left="900" w:hanging="900"/>
        <w:jc w:val="both"/>
        <w:rPr>
          <w:rFonts w:ascii="Arial" w:hAnsi="Arial" w:cs="Arial"/>
          <w:b/>
          <w:bCs/>
        </w:rPr>
      </w:pPr>
      <w:r w:rsidRPr="00274BB2">
        <w:rPr>
          <w:rFonts w:ascii="Arial" w:hAnsi="Arial" w:cs="Arial"/>
          <w:b/>
          <w:bCs/>
        </w:rPr>
        <w:t>Fig. 8. Scatter plots illustrating geochemical and disinfection processes influencing water quality: (a) Ca²</w:t>
      </w:r>
      <w:r w:rsidRPr="00274BB2">
        <w:rPr>
          <w:rFonts w:ascii="Cambria Math" w:hAnsi="Cambria Math" w:cs="Cambria Math"/>
          <w:b/>
          <w:bCs/>
        </w:rPr>
        <w:t>⁺</w:t>
      </w:r>
      <w:r w:rsidRPr="00274BB2">
        <w:rPr>
          <w:rFonts w:ascii="Arial" w:hAnsi="Arial" w:cs="Arial"/>
          <w:b/>
          <w:bCs/>
        </w:rPr>
        <w:t xml:space="preserve"> + Mg²</w:t>
      </w:r>
      <w:r w:rsidRPr="00274BB2">
        <w:rPr>
          <w:rFonts w:ascii="Cambria Math" w:hAnsi="Cambria Math" w:cs="Cambria Math"/>
          <w:b/>
          <w:bCs/>
        </w:rPr>
        <w:t>⁺</w:t>
      </w:r>
      <w:r w:rsidRPr="00274BB2">
        <w:rPr>
          <w:rFonts w:ascii="Arial" w:hAnsi="Arial" w:cs="Arial"/>
          <w:b/>
          <w:bCs/>
        </w:rPr>
        <w:t xml:space="preserve"> vs Sample ID, (b) SO</w:t>
      </w:r>
      <w:r w:rsidRPr="00274BB2">
        <w:rPr>
          <w:rFonts w:ascii="Cambria Math" w:hAnsi="Cambria Math" w:cs="Cambria Math"/>
          <w:b/>
          <w:bCs/>
        </w:rPr>
        <w:t>₄</w:t>
      </w:r>
      <w:r w:rsidRPr="00274BB2">
        <w:rPr>
          <w:rFonts w:ascii="Arial" w:hAnsi="Arial" w:cs="Arial"/>
          <w:b/>
          <w:bCs/>
        </w:rPr>
        <w:t xml:space="preserve"> vs Ca²</w:t>
      </w:r>
      <w:r w:rsidRPr="00274BB2">
        <w:rPr>
          <w:rFonts w:ascii="Cambria Math" w:hAnsi="Cambria Math" w:cs="Cambria Math"/>
          <w:b/>
          <w:bCs/>
        </w:rPr>
        <w:t>⁺</w:t>
      </w:r>
      <w:r w:rsidRPr="00274BB2">
        <w:rPr>
          <w:rFonts w:ascii="Arial" w:hAnsi="Arial" w:cs="Arial"/>
          <w:b/>
          <w:bCs/>
        </w:rPr>
        <w:t>, (c) Ca²</w:t>
      </w:r>
      <w:r w:rsidRPr="00274BB2">
        <w:rPr>
          <w:rFonts w:ascii="Cambria Math" w:hAnsi="Cambria Math" w:cs="Cambria Math"/>
          <w:b/>
          <w:bCs/>
        </w:rPr>
        <w:t>⁺</w:t>
      </w:r>
      <w:r w:rsidRPr="00274BB2">
        <w:rPr>
          <w:rFonts w:ascii="Arial" w:hAnsi="Arial" w:cs="Arial"/>
          <w:b/>
          <w:bCs/>
        </w:rPr>
        <w:t xml:space="preserve"> + Mg²</w:t>
      </w:r>
      <w:r w:rsidRPr="00274BB2">
        <w:rPr>
          <w:rFonts w:ascii="Cambria Math" w:hAnsi="Cambria Math" w:cs="Cambria Math"/>
          <w:b/>
          <w:bCs/>
        </w:rPr>
        <w:t>⁺</w:t>
      </w:r>
      <w:r w:rsidRPr="00274BB2">
        <w:rPr>
          <w:rFonts w:ascii="Arial" w:hAnsi="Arial" w:cs="Arial"/>
          <w:b/>
          <w:bCs/>
        </w:rPr>
        <w:t xml:space="preserve"> vs Cl</w:t>
      </w:r>
      <w:r w:rsidRPr="00274BB2">
        <w:rPr>
          <w:rFonts w:ascii="Cambria Math" w:hAnsi="Cambria Math" w:cs="Cambria Math"/>
          <w:b/>
          <w:bCs/>
        </w:rPr>
        <w:t>⁻</w:t>
      </w:r>
      <w:r w:rsidRPr="00274BB2">
        <w:rPr>
          <w:rFonts w:ascii="Arial" w:hAnsi="Arial" w:cs="Arial"/>
          <w:b/>
          <w:bCs/>
        </w:rPr>
        <w:t>, (d) NO</w:t>
      </w:r>
      <w:r w:rsidRPr="00274BB2">
        <w:rPr>
          <w:rFonts w:ascii="Cambria Math" w:hAnsi="Cambria Math" w:cs="Cambria Math"/>
          <w:b/>
          <w:bCs/>
        </w:rPr>
        <w:t>₃⁻</w:t>
      </w:r>
      <w:r w:rsidRPr="00274BB2">
        <w:rPr>
          <w:rFonts w:ascii="Arial" w:hAnsi="Arial" w:cs="Arial"/>
          <w:b/>
          <w:bCs/>
        </w:rPr>
        <w:t xml:space="preserve"> + Cl</w:t>
      </w:r>
      <w:r w:rsidRPr="00274BB2">
        <w:rPr>
          <w:rFonts w:ascii="Cambria Math" w:hAnsi="Cambria Math" w:cs="Cambria Math"/>
          <w:b/>
          <w:bCs/>
        </w:rPr>
        <w:t>⁻</w:t>
      </w:r>
      <w:r w:rsidRPr="00274BB2">
        <w:rPr>
          <w:rFonts w:ascii="Arial" w:hAnsi="Arial" w:cs="Arial"/>
          <w:b/>
          <w:bCs/>
        </w:rPr>
        <w:t xml:space="preserve"> vs TDS, (e) Ca²</w:t>
      </w:r>
      <w:r w:rsidRPr="00274BB2">
        <w:rPr>
          <w:rFonts w:ascii="Cambria Math" w:hAnsi="Cambria Math" w:cs="Cambria Math"/>
          <w:b/>
          <w:bCs/>
        </w:rPr>
        <w:t>⁺</w:t>
      </w:r>
      <w:r w:rsidRPr="00274BB2">
        <w:rPr>
          <w:rFonts w:ascii="Arial" w:hAnsi="Arial" w:cs="Arial"/>
          <w:b/>
          <w:bCs/>
        </w:rPr>
        <w:t xml:space="preserve"> + Mg²</w:t>
      </w:r>
      <w:r w:rsidRPr="00274BB2">
        <w:rPr>
          <w:rFonts w:ascii="Cambria Math" w:hAnsi="Cambria Math" w:cs="Cambria Math"/>
          <w:b/>
          <w:bCs/>
        </w:rPr>
        <w:t>⁺</w:t>
      </w:r>
      <w:r w:rsidRPr="00274BB2">
        <w:rPr>
          <w:rFonts w:ascii="Arial" w:hAnsi="Arial" w:cs="Arial"/>
          <w:b/>
          <w:bCs/>
        </w:rPr>
        <w:t xml:space="preserve"> vs SO</w:t>
      </w:r>
      <w:r w:rsidRPr="00274BB2">
        <w:rPr>
          <w:rFonts w:ascii="Cambria Math" w:hAnsi="Cambria Math" w:cs="Cambria Math"/>
          <w:b/>
          <w:bCs/>
        </w:rPr>
        <w:t>₄</w:t>
      </w:r>
      <w:r w:rsidRPr="00274BB2">
        <w:rPr>
          <w:rFonts w:ascii="Arial" w:hAnsi="Arial" w:cs="Arial"/>
          <w:b/>
          <w:bCs/>
        </w:rPr>
        <w:t xml:space="preserve">, and (f) Fecal Coliform vs </w:t>
      </w:r>
      <w:proofErr w:type="spellStart"/>
      <w:r w:rsidRPr="00274BB2">
        <w:rPr>
          <w:rFonts w:ascii="Arial" w:hAnsi="Arial" w:cs="Arial"/>
          <w:b/>
          <w:bCs/>
        </w:rPr>
        <w:t>pH.</w:t>
      </w:r>
      <w:proofErr w:type="spellEnd"/>
      <w:r w:rsidRPr="00274BB2">
        <w:rPr>
          <w:rFonts w:ascii="Arial" w:hAnsi="Arial" w:cs="Arial"/>
          <w:b/>
          <w:bCs/>
        </w:rPr>
        <w:t xml:space="preserve"> Trend lines and annotated zones indicate dominant mechanisms.</w:t>
      </w:r>
    </w:p>
    <w:p w:rsidR="006A0B3A" w:rsidRPr="009F05B2" w:rsidRDefault="006A0B3A" w:rsidP="006A0B3A">
      <w:pPr>
        <w:jc w:val="both"/>
        <w:rPr>
          <w:rFonts w:ascii="Arial" w:hAnsi="Arial" w:cs="Arial"/>
        </w:rPr>
      </w:pPr>
      <w:r w:rsidRPr="009F05B2">
        <w:rPr>
          <w:rFonts w:ascii="Arial" w:hAnsi="Arial" w:cs="Arial"/>
        </w:rPr>
        <w:t>Table These patterns help separate natural geochemistry from anthropogenic pollution and point to where follow-up sampling or source control is needed. Natural geochemistry vs anthropogenic indicates the relationships between Ca, Mg, and SO</w:t>
      </w:r>
      <w:r w:rsidRPr="009F05B2">
        <w:rPr>
          <w:rFonts w:ascii="Cambria Math" w:hAnsi="Cambria Math" w:cs="Cambria Math"/>
        </w:rPr>
        <w:t>₄</w:t>
      </w:r>
      <w:r w:rsidRPr="009F05B2">
        <w:rPr>
          <w:rFonts w:ascii="Arial" w:hAnsi="Arial" w:cs="Arial"/>
        </w:rPr>
        <w:t xml:space="preserve"> largely reflect rock weathering and gypsum dissolution; Cl, NO</w:t>
      </w:r>
      <w:r w:rsidRPr="009F05B2">
        <w:rPr>
          <w:rFonts w:ascii="Cambria Math" w:hAnsi="Cambria Math" w:cs="Cambria Math"/>
        </w:rPr>
        <w:t>₂</w:t>
      </w:r>
      <w:r w:rsidRPr="009F05B2">
        <w:rPr>
          <w:rFonts w:ascii="Arial" w:hAnsi="Arial" w:cs="Arial"/>
        </w:rPr>
        <w:t xml:space="preserve">, and TDS patterns are determined by human </w:t>
      </w:r>
      <w:r w:rsidRPr="009F05B2">
        <w:rPr>
          <w:rFonts w:ascii="Arial" w:hAnsi="Arial" w:cs="Arial"/>
        </w:rPr>
        <w:lastRenderedPageBreak/>
        <w:t>influences like sewage, treated effluent, and runoff. The chemical indicators like high TDS, Cl and NO</w:t>
      </w:r>
      <w:r w:rsidRPr="009F05B2">
        <w:rPr>
          <w:rFonts w:ascii="Cambria Math" w:hAnsi="Cambria Math" w:cs="Cambria Math"/>
        </w:rPr>
        <w:t>₂</w:t>
      </w:r>
      <w:r w:rsidRPr="009F05B2">
        <w:rPr>
          <w:rFonts w:ascii="Arial" w:hAnsi="Arial" w:cs="Arial"/>
        </w:rPr>
        <w:t xml:space="preserve"> coincide with elevated Fecal coliform or high BOD/COD determined contamination was likely anthropogenic and poses ecological and public</w:t>
      </w:r>
      <w:r w:rsidRPr="009F05B2">
        <w:rPr>
          <w:rFonts w:ascii="Arial" w:hAnsi="Arial" w:cs="Arial"/>
        </w:rPr>
        <w:noBreakHyphen/>
        <w:t xml:space="preserve">health concerns. </w:t>
      </w:r>
    </w:p>
    <w:p w:rsidR="00790ADA" w:rsidRDefault="00790ADA" w:rsidP="00441B6F">
      <w:pPr>
        <w:pStyle w:val="Body"/>
        <w:spacing w:after="0"/>
        <w:rPr>
          <w:rFonts w:ascii="Arial" w:hAnsi="Arial" w:cs="Arial"/>
        </w:rPr>
      </w:pPr>
    </w:p>
    <w:p w:rsidR="00A9008E" w:rsidRDefault="008D765B" w:rsidP="00A9008E">
      <w:pPr>
        <w:jc w:val="both"/>
        <w:rPr>
          <w:rFonts w:ascii="Arial" w:hAnsi="Arial" w:cs="Arial"/>
          <w:b/>
          <w:bCs/>
          <w:sz w:val="22"/>
          <w:szCs w:val="22"/>
        </w:rPr>
      </w:pPr>
      <w:r>
        <w:rPr>
          <w:rFonts w:ascii="Arial" w:hAnsi="Arial" w:cs="Arial"/>
          <w:b/>
          <w:bCs/>
          <w:sz w:val="22"/>
          <w:szCs w:val="22"/>
        </w:rPr>
        <w:t>3</w:t>
      </w:r>
      <w:r w:rsidR="00A9008E" w:rsidRPr="00E4780B">
        <w:rPr>
          <w:rFonts w:ascii="Arial" w:hAnsi="Arial" w:cs="Arial"/>
          <w:b/>
          <w:bCs/>
          <w:sz w:val="22"/>
          <w:szCs w:val="22"/>
        </w:rPr>
        <w:t xml:space="preserve">.7 Water Quality Index (WQI)  </w:t>
      </w:r>
    </w:p>
    <w:p w:rsidR="00BF2911" w:rsidRDefault="00BF2911" w:rsidP="00195B60">
      <w:pPr>
        <w:spacing w:before="240" w:after="240"/>
        <w:jc w:val="both"/>
        <w:rPr>
          <w:rFonts w:ascii="Arial" w:hAnsi="Arial" w:cs="Arial"/>
          <w:spacing w:val="1"/>
        </w:rPr>
      </w:pPr>
      <w:r w:rsidRPr="009F05B2">
        <w:rPr>
          <w:rFonts w:ascii="Arial" w:hAnsi="Arial" w:cs="Arial"/>
          <w:spacing w:val="1"/>
        </w:rPr>
        <w:t>Water Quality Index (WQI) is represented in Table 9, with qualitative ratings. The WQI and CPI values presented for samples S</w:t>
      </w:r>
      <w:r w:rsidRPr="009F05B2">
        <w:rPr>
          <w:rFonts w:ascii="Arial" w:hAnsi="Arial" w:cs="Arial"/>
          <w:spacing w:val="1"/>
        </w:rPr>
        <w:noBreakHyphen/>
        <w:t>1 to S</w:t>
      </w:r>
      <w:r w:rsidRPr="009F05B2">
        <w:rPr>
          <w:rFonts w:ascii="Arial" w:hAnsi="Arial" w:cs="Arial"/>
          <w:spacing w:val="1"/>
        </w:rPr>
        <w:noBreakHyphen/>
        <w:t>13 collectively provide a spatial heterogeneity and overall degradation status of the Mula-Mutha rivers. These indices quantified the suitability of river water for various uses and estimated the magnitude of pollution stress acting on individual sites. WQI measured the suitability of water for human use (higher = better quality), while CPI indicates pollution severity (higher =more polluted). Ratings follow standard thresholds: Good (&gt;80), Average (50-80), Poor (&lt;50) respectively. The WQI classification is differentiated into five categories, viz., Excellent (S</w:t>
      </w:r>
      <w:r w:rsidRPr="009F05B2">
        <w:rPr>
          <w:rFonts w:ascii="Arial" w:hAnsi="Arial" w:cs="Arial"/>
          <w:spacing w:val="1"/>
        </w:rPr>
        <w:noBreakHyphen/>
        <w:t xml:space="preserve">9; WQI = 81.926), “Good water” (WQI &gt; 80), “Average” (approximately 50–80), “Poor” (WQI &lt; 50) and unsuitable (no sample identified). This distribution indicated that the majority of the monitored sites do not meet desirable quality conditions and that only a single reach retains comparatively unimpacted water quality, which is located in the upstream area of </w:t>
      </w:r>
      <w:proofErr w:type="spellStart"/>
      <w:r w:rsidRPr="009F05B2">
        <w:rPr>
          <w:rFonts w:ascii="Arial" w:hAnsi="Arial" w:cs="Arial"/>
          <w:spacing w:val="1"/>
        </w:rPr>
        <w:t>Khadakwasla</w:t>
      </w:r>
      <w:proofErr w:type="spellEnd"/>
      <w:r w:rsidRPr="009F05B2">
        <w:rPr>
          <w:rFonts w:ascii="Arial" w:hAnsi="Arial" w:cs="Arial"/>
          <w:spacing w:val="1"/>
        </w:rPr>
        <w:t xml:space="preserve"> dam.</w:t>
      </w:r>
    </w:p>
    <w:p w:rsidR="00195B60" w:rsidRPr="001A2434" w:rsidRDefault="00195B60" w:rsidP="00D83DA5">
      <w:pPr>
        <w:spacing w:after="240" w:line="276" w:lineRule="auto"/>
        <w:jc w:val="center"/>
        <w:rPr>
          <w:rFonts w:ascii="Arial" w:hAnsi="Arial" w:cs="Arial"/>
          <w:bCs/>
          <w:i/>
          <w:iCs/>
        </w:rPr>
      </w:pPr>
      <w:r w:rsidRPr="001A2434">
        <w:rPr>
          <w:rFonts w:ascii="Arial" w:hAnsi="Arial" w:cs="Arial"/>
          <w:b/>
        </w:rPr>
        <w:t xml:space="preserve">Table 9: </w:t>
      </w:r>
      <w:r w:rsidRPr="00195B60">
        <w:rPr>
          <w:rFonts w:ascii="Arial" w:hAnsi="Arial" w:cs="Arial"/>
          <w:b/>
        </w:rPr>
        <w:t>Quality rating of the WQI and CPI values of water samples.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4"/>
        <w:gridCol w:w="1062"/>
        <w:gridCol w:w="916"/>
        <w:gridCol w:w="1789"/>
      </w:tblGrid>
      <w:tr w:rsidR="00195B60" w:rsidRPr="001A2434" w:rsidTr="00381700">
        <w:trPr>
          <w:trHeight w:val="263"/>
          <w:jc w:val="center"/>
        </w:trPr>
        <w:tc>
          <w:tcPr>
            <w:tcW w:w="1314" w:type="dxa"/>
            <w:tcBorders>
              <w:top w:val="single" w:sz="4" w:space="0" w:color="auto"/>
              <w:bottom w:val="single" w:sz="4" w:space="0" w:color="auto"/>
            </w:tcBorders>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b/>
                <w:bCs/>
                <w:sz w:val="20"/>
                <w:szCs w:val="20"/>
                <w:lang w:eastAsia="en-IN" w:bidi="mr-IN"/>
              </w:rPr>
              <w:t>Sample ID</w:t>
            </w:r>
          </w:p>
        </w:tc>
        <w:tc>
          <w:tcPr>
            <w:tcW w:w="1062" w:type="dxa"/>
            <w:tcBorders>
              <w:top w:val="single" w:sz="4" w:space="0" w:color="auto"/>
              <w:bottom w:val="single" w:sz="4" w:space="0" w:color="auto"/>
            </w:tcBorders>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b/>
                <w:bCs/>
                <w:sz w:val="20"/>
                <w:szCs w:val="20"/>
                <w:lang w:eastAsia="en-IN" w:bidi="mr-IN"/>
              </w:rPr>
              <w:t>WQI</w:t>
            </w:r>
          </w:p>
        </w:tc>
        <w:tc>
          <w:tcPr>
            <w:tcW w:w="916" w:type="dxa"/>
            <w:tcBorders>
              <w:top w:val="single" w:sz="4" w:space="0" w:color="auto"/>
              <w:bottom w:val="single" w:sz="4" w:space="0" w:color="auto"/>
            </w:tcBorders>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b/>
                <w:bCs/>
                <w:sz w:val="20"/>
                <w:szCs w:val="20"/>
                <w:lang w:eastAsia="en-IN" w:bidi="mr-IN"/>
              </w:rPr>
              <w:t>CPI</w:t>
            </w:r>
          </w:p>
        </w:tc>
        <w:tc>
          <w:tcPr>
            <w:tcW w:w="1789" w:type="dxa"/>
            <w:tcBorders>
              <w:top w:val="single" w:sz="4" w:space="0" w:color="auto"/>
              <w:bottom w:val="single" w:sz="4" w:space="0" w:color="auto"/>
            </w:tcBorders>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b/>
                <w:bCs/>
                <w:sz w:val="20"/>
                <w:szCs w:val="20"/>
                <w:lang w:eastAsia="en-IN" w:bidi="mr-IN"/>
              </w:rPr>
              <w:t>Quality Rating</w:t>
            </w:r>
          </w:p>
        </w:tc>
      </w:tr>
      <w:tr w:rsidR="00195B60" w:rsidRPr="001A2434" w:rsidTr="00195B60">
        <w:trPr>
          <w:trHeight w:val="250"/>
          <w:jc w:val="center"/>
        </w:trPr>
        <w:tc>
          <w:tcPr>
            <w:tcW w:w="1314" w:type="dxa"/>
            <w:tcBorders>
              <w:top w:val="single" w:sz="4" w:space="0" w:color="auto"/>
            </w:tcBorders>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b/>
                <w:bCs/>
                <w:sz w:val="20"/>
                <w:szCs w:val="20"/>
                <w:lang w:eastAsia="en-IN" w:bidi="mr-IN"/>
              </w:rPr>
              <w:t>S - 1</w:t>
            </w:r>
          </w:p>
        </w:tc>
        <w:tc>
          <w:tcPr>
            <w:tcW w:w="1062" w:type="dxa"/>
            <w:tcBorders>
              <w:top w:val="single" w:sz="4" w:space="0" w:color="auto"/>
            </w:tcBorders>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57.270</w:t>
            </w:r>
          </w:p>
        </w:tc>
        <w:tc>
          <w:tcPr>
            <w:tcW w:w="916" w:type="dxa"/>
            <w:tcBorders>
              <w:top w:val="single" w:sz="4" w:space="0" w:color="auto"/>
            </w:tcBorders>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1.103</w:t>
            </w:r>
          </w:p>
        </w:tc>
        <w:tc>
          <w:tcPr>
            <w:tcW w:w="1789" w:type="dxa"/>
            <w:tcBorders>
              <w:top w:val="single" w:sz="4" w:space="0" w:color="auto"/>
            </w:tcBorders>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Good water</w:t>
            </w:r>
          </w:p>
        </w:tc>
      </w:tr>
      <w:tr w:rsidR="00195B60" w:rsidRPr="001A2434" w:rsidTr="00195B60">
        <w:trPr>
          <w:trHeight w:val="263"/>
          <w:jc w:val="center"/>
        </w:trPr>
        <w:tc>
          <w:tcPr>
            <w:tcW w:w="1314"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b/>
                <w:bCs/>
                <w:sz w:val="20"/>
                <w:szCs w:val="20"/>
                <w:lang w:eastAsia="en-IN" w:bidi="mr-IN"/>
              </w:rPr>
              <w:t>S - 2</w:t>
            </w:r>
          </w:p>
        </w:tc>
        <w:tc>
          <w:tcPr>
            <w:tcW w:w="1062"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57.080</w:t>
            </w:r>
          </w:p>
        </w:tc>
        <w:tc>
          <w:tcPr>
            <w:tcW w:w="916"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0.583</w:t>
            </w:r>
          </w:p>
        </w:tc>
        <w:tc>
          <w:tcPr>
            <w:tcW w:w="1789"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Average</w:t>
            </w:r>
          </w:p>
        </w:tc>
      </w:tr>
      <w:tr w:rsidR="00195B60" w:rsidRPr="001A2434" w:rsidTr="00195B60">
        <w:trPr>
          <w:trHeight w:val="263"/>
          <w:jc w:val="center"/>
        </w:trPr>
        <w:tc>
          <w:tcPr>
            <w:tcW w:w="1314"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b/>
                <w:bCs/>
                <w:sz w:val="20"/>
                <w:szCs w:val="20"/>
                <w:lang w:eastAsia="en-IN" w:bidi="mr-IN"/>
              </w:rPr>
              <w:t>S - 3</w:t>
            </w:r>
          </w:p>
        </w:tc>
        <w:tc>
          <w:tcPr>
            <w:tcW w:w="1062"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44.335</w:t>
            </w:r>
          </w:p>
        </w:tc>
        <w:tc>
          <w:tcPr>
            <w:tcW w:w="916"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1.398</w:t>
            </w:r>
          </w:p>
        </w:tc>
        <w:tc>
          <w:tcPr>
            <w:tcW w:w="1789"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Poor</w:t>
            </w:r>
          </w:p>
        </w:tc>
      </w:tr>
      <w:tr w:rsidR="00195B60" w:rsidRPr="001A2434" w:rsidTr="00195B60">
        <w:trPr>
          <w:trHeight w:val="250"/>
          <w:jc w:val="center"/>
        </w:trPr>
        <w:tc>
          <w:tcPr>
            <w:tcW w:w="1314"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b/>
                <w:bCs/>
                <w:sz w:val="20"/>
                <w:szCs w:val="20"/>
                <w:lang w:eastAsia="en-IN" w:bidi="mr-IN"/>
              </w:rPr>
              <w:t>S - 4</w:t>
            </w:r>
          </w:p>
        </w:tc>
        <w:tc>
          <w:tcPr>
            <w:tcW w:w="1062"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51.813</w:t>
            </w:r>
          </w:p>
        </w:tc>
        <w:tc>
          <w:tcPr>
            <w:tcW w:w="916"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0.827</w:t>
            </w:r>
          </w:p>
        </w:tc>
        <w:tc>
          <w:tcPr>
            <w:tcW w:w="1789"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Average</w:t>
            </w:r>
          </w:p>
        </w:tc>
      </w:tr>
      <w:tr w:rsidR="00195B60" w:rsidRPr="001A2434" w:rsidTr="00195B60">
        <w:trPr>
          <w:trHeight w:val="263"/>
          <w:jc w:val="center"/>
        </w:trPr>
        <w:tc>
          <w:tcPr>
            <w:tcW w:w="1314"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b/>
                <w:bCs/>
                <w:sz w:val="20"/>
                <w:szCs w:val="20"/>
                <w:lang w:eastAsia="en-IN" w:bidi="mr-IN"/>
              </w:rPr>
              <w:t>S - 5</w:t>
            </w:r>
          </w:p>
        </w:tc>
        <w:tc>
          <w:tcPr>
            <w:tcW w:w="1062"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53.371</w:t>
            </w:r>
          </w:p>
        </w:tc>
        <w:tc>
          <w:tcPr>
            <w:tcW w:w="916"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0.657</w:t>
            </w:r>
          </w:p>
        </w:tc>
        <w:tc>
          <w:tcPr>
            <w:tcW w:w="1789"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Average</w:t>
            </w:r>
          </w:p>
        </w:tc>
      </w:tr>
      <w:tr w:rsidR="00195B60" w:rsidRPr="001A2434" w:rsidTr="00195B60">
        <w:trPr>
          <w:trHeight w:val="263"/>
          <w:jc w:val="center"/>
        </w:trPr>
        <w:tc>
          <w:tcPr>
            <w:tcW w:w="1314"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b/>
                <w:bCs/>
                <w:sz w:val="20"/>
                <w:szCs w:val="20"/>
                <w:lang w:eastAsia="en-IN" w:bidi="mr-IN"/>
              </w:rPr>
              <w:t>S - 6</w:t>
            </w:r>
          </w:p>
        </w:tc>
        <w:tc>
          <w:tcPr>
            <w:tcW w:w="1062"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54.735</w:t>
            </w:r>
          </w:p>
        </w:tc>
        <w:tc>
          <w:tcPr>
            <w:tcW w:w="916"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0.756</w:t>
            </w:r>
          </w:p>
        </w:tc>
        <w:tc>
          <w:tcPr>
            <w:tcW w:w="1789"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Average</w:t>
            </w:r>
          </w:p>
        </w:tc>
      </w:tr>
      <w:tr w:rsidR="00195B60" w:rsidRPr="001A2434" w:rsidTr="00195B60">
        <w:trPr>
          <w:trHeight w:val="250"/>
          <w:jc w:val="center"/>
        </w:trPr>
        <w:tc>
          <w:tcPr>
            <w:tcW w:w="1314"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b/>
                <w:bCs/>
                <w:sz w:val="20"/>
                <w:szCs w:val="20"/>
                <w:lang w:eastAsia="en-IN" w:bidi="mr-IN"/>
              </w:rPr>
              <w:t>S - 7</w:t>
            </w:r>
          </w:p>
        </w:tc>
        <w:tc>
          <w:tcPr>
            <w:tcW w:w="1062"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41.403</w:t>
            </w:r>
          </w:p>
        </w:tc>
        <w:tc>
          <w:tcPr>
            <w:tcW w:w="916"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1.206</w:t>
            </w:r>
          </w:p>
        </w:tc>
        <w:tc>
          <w:tcPr>
            <w:tcW w:w="1789"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Poor</w:t>
            </w:r>
          </w:p>
        </w:tc>
      </w:tr>
      <w:tr w:rsidR="00195B60" w:rsidRPr="001A2434" w:rsidTr="00195B60">
        <w:trPr>
          <w:trHeight w:val="263"/>
          <w:jc w:val="center"/>
        </w:trPr>
        <w:tc>
          <w:tcPr>
            <w:tcW w:w="1314"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b/>
                <w:bCs/>
                <w:sz w:val="20"/>
                <w:szCs w:val="20"/>
                <w:lang w:eastAsia="en-IN" w:bidi="mr-IN"/>
              </w:rPr>
              <w:t>S - 8</w:t>
            </w:r>
          </w:p>
        </w:tc>
        <w:tc>
          <w:tcPr>
            <w:tcW w:w="1062"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40.623</w:t>
            </w:r>
          </w:p>
        </w:tc>
        <w:tc>
          <w:tcPr>
            <w:tcW w:w="916"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1.324</w:t>
            </w:r>
          </w:p>
        </w:tc>
        <w:tc>
          <w:tcPr>
            <w:tcW w:w="1789"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Poor</w:t>
            </w:r>
          </w:p>
        </w:tc>
      </w:tr>
      <w:tr w:rsidR="00195B60" w:rsidRPr="001A2434" w:rsidTr="00195B60">
        <w:trPr>
          <w:trHeight w:val="263"/>
          <w:jc w:val="center"/>
        </w:trPr>
        <w:tc>
          <w:tcPr>
            <w:tcW w:w="1314"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b/>
                <w:bCs/>
                <w:sz w:val="20"/>
                <w:szCs w:val="20"/>
                <w:lang w:eastAsia="en-IN" w:bidi="mr-IN"/>
              </w:rPr>
              <w:t>S - 9</w:t>
            </w:r>
          </w:p>
        </w:tc>
        <w:tc>
          <w:tcPr>
            <w:tcW w:w="1062"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81.926</w:t>
            </w:r>
          </w:p>
        </w:tc>
        <w:tc>
          <w:tcPr>
            <w:tcW w:w="916"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0.235</w:t>
            </w:r>
          </w:p>
        </w:tc>
        <w:tc>
          <w:tcPr>
            <w:tcW w:w="1789"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hAnsi="Arial" w:cs="Arial"/>
                <w:bCs/>
                <w:sz w:val="20"/>
                <w:szCs w:val="20"/>
              </w:rPr>
              <w:t>Excellent</w:t>
            </w:r>
          </w:p>
        </w:tc>
      </w:tr>
      <w:tr w:rsidR="00195B60" w:rsidRPr="001A2434" w:rsidTr="00195B60">
        <w:trPr>
          <w:trHeight w:val="263"/>
          <w:jc w:val="center"/>
        </w:trPr>
        <w:tc>
          <w:tcPr>
            <w:tcW w:w="1314"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b/>
                <w:bCs/>
                <w:sz w:val="20"/>
                <w:szCs w:val="20"/>
                <w:lang w:eastAsia="en-IN" w:bidi="mr-IN"/>
              </w:rPr>
              <w:t>S - 10</w:t>
            </w:r>
          </w:p>
        </w:tc>
        <w:tc>
          <w:tcPr>
            <w:tcW w:w="1062"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44.598</w:t>
            </w:r>
          </w:p>
        </w:tc>
        <w:tc>
          <w:tcPr>
            <w:tcW w:w="916"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1.885</w:t>
            </w:r>
          </w:p>
        </w:tc>
        <w:tc>
          <w:tcPr>
            <w:tcW w:w="1789"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Poor</w:t>
            </w:r>
          </w:p>
        </w:tc>
      </w:tr>
      <w:tr w:rsidR="00195B60" w:rsidRPr="001A2434" w:rsidTr="00195B60">
        <w:trPr>
          <w:trHeight w:val="263"/>
          <w:jc w:val="center"/>
        </w:trPr>
        <w:tc>
          <w:tcPr>
            <w:tcW w:w="1314"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b/>
                <w:bCs/>
                <w:sz w:val="20"/>
                <w:szCs w:val="20"/>
                <w:lang w:eastAsia="en-IN" w:bidi="mr-IN"/>
              </w:rPr>
              <w:t>S - 11</w:t>
            </w:r>
          </w:p>
        </w:tc>
        <w:tc>
          <w:tcPr>
            <w:tcW w:w="1062"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50.163</w:t>
            </w:r>
          </w:p>
        </w:tc>
        <w:tc>
          <w:tcPr>
            <w:tcW w:w="916"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0.356</w:t>
            </w:r>
          </w:p>
        </w:tc>
        <w:tc>
          <w:tcPr>
            <w:tcW w:w="1789"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Average</w:t>
            </w:r>
          </w:p>
        </w:tc>
      </w:tr>
      <w:tr w:rsidR="00195B60" w:rsidRPr="001A2434" w:rsidTr="00195B60">
        <w:trPr>
          <w:trHeight w:val="263"/>
          <w:jc w:val="center"/>
        </w:trPr>
        <w:tc>
          <w:tcPr>
            <w:tcW w:w="1314"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b/>
                <w:bCs/>
                <w:sz w:val="20"/>
                <w:szCs w:val="20"/>
                <w:lang w:eastAsia="en-IN" w:bidi="mr-IN"/>
              </w:rPr>
              <w:t>S - 12</w:t>
            </w:r>
          </w:p>
        </w:tc>
        <w:tc>
          <w:tcPr>
            <w:tcW w:w="1062"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48.471</w:t>
            </w:r>
          </w:p>
        </w:tc>
        <w:tc>
          <w:tcPr>
            <w:tcW w:w="916"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1.786</w:t>
            </w:r>
          </w:p>
        </w:tc>
        <w:tc>
          <w:tcPr>
            <w:tcW w:w="1789" w:type="dxa"/>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Poor</w:t>
            </w:r>
          </w:p>
        </w:tc>
      </w:tr>
      <w:tr w:rsidR="00195B60" w:rsidRPr="001A2434" w:rsidTr="00381700">
        <w:trPr>
          <w:trHeight w:val="263"/>
          <w:jc w:val="center"/>
        </w:trPr>
        <w:tc>
          <w:tcPr>
            <w:tcW w:w="1314" w:type="dxa"/>
            <w:tcBorders>
              <w:bottom w:val="single" w:sz="4" w:space="0" w:color="auto"/>
            </w:tcBorders>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b/>
                <w:bCs/>
                <w:sz w:val="20"/>
                <w:szCs w:val="20"/>
                <w:lang w:eastAsia="en-IN" w:bidi="mr-IN"/>
              </w:rPr>
              <w:t>S - 13</w:t>
            </w:r>
          </w:p>
        </w:tc>
        <w:tc>
          <w:tcPr>
            <w:tcW w:w="1062" w:type="dxa"/>
            <w:tcBorders>
              <w:bottom w:val="single" w:sz="4" w:space="0" w:color="auto"/>
            </w:tcBorders>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47.748</w:t>
            </w:r>
          </w:p>
        </w:tc>
        <w:tc>
          <w:tcPr>
            <w:tcW w:w="916" w:type="dxa"/>
            <w:tcBorders>
              <w:bottom w:val="single" w:sz="4" w:space="0" w:color="auto"/>
            </w:tcBorders>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1.482</w:t>
            </w:r>
          </w:p>
        </w:tc>
        <w:tc>
          <w:tcPr>
            <w:tcW w:w="1789" w:type="dxa"/>
            <w:tcBorders>
              <w:bottom w:val="single" w:sz="4" w:space="0" w:color="auto"/>
            </w:tcBorders>
            <w:vAlign w:val="center"/>
          </w:tcPr>
          <w:p w:rsidR="00195B60" w:rsidRPr="001A2434" w:rsidRDefault="00195B60" w:rsidP="00195B60">
            <w:pPr>
              <w:spacing w:line="276" w:lineRule="auto"/>
              <w:jc w:val="center"/>
              <w:rPr>
                <w:rFonts w:ascii="Arial" w:hAnsi="Arial" w:cs="Arial"/>
                <w:bCs/>
                <w:sz w:val="20"/>
                <w:szCs w:val="20"/>
              </w:rPr>
            </w:pPr>
            <w:r w:rsidRPr="001A2434">
              <w:rPr>
                <w:rFonts w:ascii="Arial" w:eastAsia="Times New Roman" w:hAnsi="Arial" w:cs="Arial"/>
                <w:sz w:val="20"/>
                <w:szCs w:val="20"/>
                <w:lang w:eastAsia="en-IN" w:bidi="mr-IN"/>
              </w:rPr>
              <w:t>Poor</w:t>
            </w:r>
          </w:p>
        </w:tc>
      </w:tr>
    </w:tbl>
    <w:p w:rsidR="00A9008E" w:rsidRDefault="008D765B" w:rsidP="00A9008E">
      <w:pPr>
        <w:pStyle w:val="my-2"/>
        <w:spacing w:before="240" w:beforeAutospacing="0" w:after="0" w:afterAutospacing="0"/>
        <w:jc w:val="both"/>
        <w:rPr>
          <w:rFonts w:ascii="Arial" w:hAnsi="Arial" w:cs="Arial"/>
          <w:b/>
          <w:bCs/>
          <w:sz w:val="22"/>
          <w:szCs w:val="22"/>
        </w:rPr>
      </w:pPr>
      <w:r>
        <w:rPr>
          <w:rFonts w:ascii="Arial" w:hAnsi="Arial" w:cs="Arial"/>
          <w:b/>
          <w:bCs/>
          <w:sz w:val="22"/>
          <w:szCs w:val="22"/>
        </w:rPr>
        <w:t>3</w:t>
      </w:r>
      <w:r w:rsidR="00A9008E" w:rsidRPr="00E4780B">
        <w:rPr>
          <w:rFonts w:ascii="Arial" w:hAnsi="Arial" w:cs="Arial"/>
          <w:b/>
          <w:bCs/>
          <w:sz w:val="22"/>
          <w:szCs w:val="22"/>
        </w:rPr>
        <w:t xml:space="preserve">.8 Comprehensive Pollution Index (CPI) </w:t>
      </w:r>
    </w:p>
    <w:p w:rsidR="00BF2911" w:rsidRPr="009F05B2" w:rsidRDefault="00BF2911" w:rsidP="00120F7E">
      <w:pPr>
        <w:pStyle w:val="my-2"/>
        <w:spacing w:before="240" w:beforeAutospacing="0"/>
        <w:jc w:val="both"/>
        <w:rPr>
          <w:rFonts w:ascii="Arial" w:hAnsi="Arial" w:cs="Arial"/>
          <w:spacing w:val="1"/>
          <w:sz w:val="20"/>
          <w:szCs w:val="20"/>
        </w:rPr>
      </w:pPr>
      <w:r w:rsidRPr="009F05B2">
        <w:rPr>
          <w:rFonts w:ascii="Arial" w:hAnsi="Arial" w:cs="Arial"/>
          <w:sz w:val="20"/>
          <w:szCs w:val="20"/>
        </w:rPr>
        <w:t>The highest CPI values (S</w:t>
      </w:r>
      <w:r w:rsidRPr="009F05B2">
        <w:rPr>
          <w:rFonts w:ascii="Arial" w:hAnsi="Arial" w:cs="Arial"/>
          <w:sz w:val="20"/>
          <w:szCs w:val="20"/>
        </w:rPr>
        <w:noBreakHyphen/>
        <w:t>10, S</w:t>
      </w:r>
      <w:r w:rsidRPr="009F05B2">
        <w:rPr>
          <w:rFonts w:ascii="Arial" w:hAnsi="Arial" w:cs="Arial"/>
          <w:sz w:val="20"/>
          <w:szCs w:val="20"/>
        </w:rPr>
        <w:noBreakHyphen/>
        <w:t>12 and S</w:t>
      </w:r>
      <w:r w:rsidRPr="009F05B2">
        <w:rPr>
          <w:rFonts w:ascii="Arial" w:hAnsi="Arial" w:cs="Arial"/>
          <w:sz w:val="20"/>
          <w:szCs w:val="20"/>
        </w:rPr>
        <w:noBreakHyphen/>
        <w:t>3) constitute priority locations for immediate investigation. These sites were treated as potential hotspots for pollutant sources and prioritised for source</w:t>
      </w:r>
      <w:r w:rsidRPr="009F05B2">
        <w:rPr>
          <w:rFonts w:ascii="Arial" w:hAnsi="Arial" w:cs="Arial"/>
          <w:sz w:val="20"/>
          <w:szCs w:val="20"/>
        </w:rPr>
        <w:noBreakHyphen/>
        <w:t xml:space="preserve">identification and mitigation measures. </w:t>
      </w:r>
      <w:r w:rsidRPr="009F05B2">
        <w:rPr>
          <w:rFonts w:ascii="Arial" w:hAnsi="Arial" w:cs="Arial"/>
          <w:spacing w:val="1"/>
          <w:sz w:val="20"/>
          <w:szCs w:val="20"/>
        </w:rPr>
        <w:t>The CPI values validate the pattern similar to WQI. The sample site classified as ‘Poor’ exhibits CPI values (S-3, S-7, S-8 and S-12) greater than 1.0 (Table 9), signifying a high degree of cumulative pollution in the study area. On the contrary, the ‘Average’ sites display intermediate CPI values, reflecting moderate but non-negligible pollution. ‘Good’ site, S</w:t>
      </w:r>
      <w:r w:rsidRPr="009F05B2">
        <w:rPr>
          <w:rFonts w:ascii="Arial" w:hAnsi="Arial" w:cs="Arial"/>
          <w:spacing w:val="1"/>
          <w:sz w:val="20"/>
          <w:szCs w:val="20"/>
        </w:rPr>
        <w:noBreakHyphen/>
        <w:t>9, records the lowest CPI (0.235), indicating limited anthropogenic stress relative to other reaches of the Mula-Mutha rivers (Table 9).</w:t>
      </w:r>
    </w:p>
    <w:p w:rsidR="00A9008E" w:rsidRDefault="008D765B" w:rsidP="00A9008E">
      <w:pPr>
        <w:spacing w:before="240"/>
        <w:jc w:val="both"/>
        <w:rPr>
          <w:rFonts w:ascii="Arial" w:hAnsi="Arial" w:cs="Arial"/>
          <w:b/>
          <w:bCs/>
          <w:sz w:val="22"/>
          <w:szCs w:val="22"/>
        </w:rPr>
      </w:pPr>
      <w:r>
        <w:rPr>
          <w:rFonts w:ascii="Arial" w:hAnsi="Arial" w:cs="Arial"/>
          <w:b/>
          <w:bCs/>
          <w:sz w:val="22"/>
          <w:szCs w:val="22"/>
        </w:rPr>
        <w:t>3</w:t>
      </w:r>
      <w:r w:rsidR="00A9008E" w:rsidRPr="00E4780B">
        <w:rPr>
          <w:rFonts w:ascii="Arial" w:hAnsi="Arial" w:cs="Arial"/>
          <w:b/>
          <w:bCs/>
          <w:sz w:val="22"/>
          <w:szCs w:val="22"/>
        </w:rPr>
        <w:t>.9 Spatial variation in WQI and CPI</w:t>
      </w:r>
    </w:p>
    <w:p w:rsidR="00A9008E" w:rsidRDefault="00BF2911" w:rsidP="00120F7E">
      <w:pPr>
        <w:pStyle w:val="Body"/>
        <w:spacing w:before="240" w:after="0"/>
        <w:rPr>
          <w:rFonts w:ascii="Arial" w:hAnsi="Arial" w:cs="Arial"/>
        </w:rPr>
      </w:pPr>
      <w:r w:rsidRPr="009F05B2">
        <w:rPr>
          <w:rFonts w:ascii="Arial" w:hAnsi="Arial" w:cs="Arial"/>
          <w:spacing w:val="1"/>
        </w:rPr>
        <w:lastRenderedPageBreak/>
        <w:t>An inverse relationship emerges between WQI and CPI across the PMR. Locations with high WQI tend to exhibit lower CPI, whereas sites with low WQI values generally correspond to higher CPI values. This negative association implies that the deterioration in overall water quality is strongly driven by urban pollutants captured by CPI. The negative relation between WQI-CPI suggests that both indices are responding to the same set of pollutants, like sewage discharge, industrial effluents, urban runoff, etc. The observed difference between WQI and CPI at multiple locations (S</w:t>
      </w:r>
      <w:r w:rsidRPr="009F05B2">
        <w:rPr>
          <w:rFonts w:ascii="Cambria Math" w:hAnsi="Cambria Math" w:cs="Cambria Math"/>
          <w:spacing w:val="1"/>
        </w:rPr>
        <w:t>‑</w:t>
      </w:r>
      <w:r w:rsidRPr="009F05B2">
        <w:rPr>
          <w:rFonts w:ascii="Arial" w:hAnsi="Arial" w:cs="Arial"/>
          <w:spacing w:val="1"/>
        </w:rPr>
        <w:t>1, S</w:t>
      </w:r>
      <w:r w:rsidRPr="009F05B2">
        <w:rPr>
          <w:rFonts w:ascii="Cambria Math" w:hAnsi="Cambria Math" w:cs="Cambria Math"/>
          <w:spacing w:val="1"/>
        </w:rPr>
        <w:t>‑</w:t>
      </w:r>
      <w:r w:rsidRPr="009F05B2">
        <w:rPr>
          <w:rFonts w:ascii="Arial" w:hAnsi="Arial" w:cs="Arial"/>
          <w:spacing w:val="1"/>
        </w:rPr>
        <w:t>2, S</w:t>
      </w:r>
      <w:r w:rsidRPr="009F05B2">
        <w:rPr>
          <w:rFonts w:ascii="Cambria Math" w:hAnsi="Cambria Math" w:cs="Cambria Math"/>
          <w:spacing w:val="1"/>
        </w:rPr>
        <w:t>‑</w:t>
      </w:r>
      <w:r w:rsidRPr="009F05B2">
        <w:rPr>
          <w:rFonts w:ascii="Arial" w:hAnsi="Arial" w:cs="Arial"/>
          <w:spacing w:val="1"/>
        </w:rPr>
        <w:t>4–S</w:t>
      </w:r>
      <w:r w:rsidRPr="009F05B2">
        <w:rPr>
          <w:rFonts w:ascii="Cambria Math" w:hAnsi="Cambria Math" w:cs="Cambria Math"/>
          <w:spacing w:val="1"/>
        </w:rPr>
        <w:t>‑</w:t>
      </w:r>
      <w:r w:rsidRPr="009F05B2">
        <w:rPr>
          <w:rFonts w:ascii="Arial" w:hAnsi="Arial" w:cs="Arial"/>
          <w:spacing w:val="1"/>
        </w:rPr>
        <w:t xml:space="preserve">6) suggests that the overall rating of WQI may not fully reflect chemical contamination risks compared to CPI. However, WQI rating as well as CPI were taken into consideration to identify contaminated sites and recommend measures to reduce the stress on the Mula-Mutha rivers.  </w:t>
      </w:r>
    </w:p>
    <w:p w:rsidR="00432751" w:rsidRPr="00E4780B" w:rsidRDefault="008D765B" w:rsidP="00432751">
      <w:pPr>
        <w:spacing w:before="240"/>
        <w:jc w:val="both"/>
        <w:rPr>
          <w:rFonts w:ascii="Arial" w:hAnsi="Arial" w:cs="Arial"/>
          <w:b/>
          <w:bCs/>
          <w:sz w:val="22"/>
          <w:szCs w:val="22"/>
        </w:rPr>
      </w:pPr>
      <w:r>
        <w:rPr>
          <w:rFonts w:ascii="Arial" w:hAnsi="Arial" w:cs="Arial"/>
          <w:b/>
          <w:bCs/>
          <w:sz w:val="22"/>
          <w:szCs w:val="22"/>
        </w:rPr>
        <w:t>3</w:t>
      </w:r>
      <w:r w:rsidR="00432751" w:rsidRPr="00E4780B">
        <w:rPr>
          <w:rFonts w:ascii="Arial" w:hAnsi="Arial" w:cs="Arial"/>
          <w:b/>
          <w:bCs/>
          <w:sz w:val="22"/>
          <w:szCs w:val="22"/>
        </w:rPr>
        <w:t xml:space="preserve">.10 Identification of contamination sites </w:t>
      </w:r>
    </w:p>
    <w:p w:rsidR="00BF2911" w:rsidRDefault="00BF2911" w:rsidP="00D83DA5">
      <w:pPr>
        <w:pStyle w:val="my-2"/>
        <w:spacing w:after="0" w:afterAutospacing="0"/>
        <w:jc w:val="both"/>
        <w:rPr>
          <w:rFonts w:ascii="Arial" w:hAnsi="Arial" w:cs="Arial"/>
          <w:spacing w:val="1"/>
          <w:sz w:val="20"/>
          <w:szCs w:val="20"/>
        </w:rPr>
      </w:pPr>
      <w:r w:rsidRPr="00A40F03">
        <w:rPr>
          <w:rFonts w:ascii="Arial" w:hAnsi="Arial" w:cs="Arial"/>
          <w:sz w:val="20"/>
          <w:szCs w:val="20"/>
        </w:rPr>
        <w:t>From the water quality viewpoint, only S</w:t>
      </w:r>
      <w:r w:rsidRPr="00A40F03">
        <w:rPr>
          <w:rFonts w:ascii="Arial" w:hAnsi="Arial" w:cs="Arial"/>
          <w:sz w:val="20"/>
          <w:szCs w:val="20"/>
        </w:rPr>
        <w:noBreakHyphen/>
        <w:t xml:space="preserve">9sample site was identified, indicating a relatively excellent or good quality water location. S-9 resides in the upstream region of </w:t>
      </w:r>
      <w:proofErr w:type="spellStart"/>
      <w:r w:rsidRPr="00A40F03">
        <w:rPr>
          <w:rFonts w:ascii="Arial" w:hAnsi="Arial" w:cs="Arial"/>
          <w:sz w:val="20"/>
          <w:szCs w:val="20"/>
        </w:rPr>
        <w:t>Khadakwasla</w:t>
      </w:r>
      <w:proofErr w:type="spellEnd"/>
      <w:r w:rsidRPr="00A40F03">
        <w:rPr>
          <w:rFonts w:ascii="Arial" w:hAnsi="Arial" w:cs="Arial"/>
          <w:sz w:val="20"/>
          <w:szCs w:val="20"/>
        </w:rPr>
        <w:t xml:space="preserve"> Dam, which is a less urbanised area. The cluster of </w:t>
      </w:r>
      <w:r w:rsidRPr="00A40F03">
        <w:rPr>
          <w:rStyle w:val="Strong"/>
          <w:rFonts w:ascii="Arial" w:hAnsi="Arial" w:cs="Arial"/>
          <w:b w:val="0"/>
          <w:bCs w:val="0"/>
          <w:sz w:val="20"/>
          <w:szCs w:val="20"/>
        </w:rPr>
        <w:t>Poor</w:t>
      </w:r>
      <w:r w:rsidRPr="00A40F03">
        <w:rPr>
          <w:rFonts w:ascii="Arial" w:hAnsi="Arial" w:cs="Arial"/>
          <w:sz w:val="20"/>
          <w:szCs w:val="20"/>
        </w:rPr>
        <w:t xml:space="preserve"> sites marked by low WQI and CPI values well above unity constitutes high-pollution sites where water is unlikely to be unsuitable for direct drinking, as shown in Table 10. </w:t>
      </w:r>
      <w:r w:rsidRPr="00A40F03">
        <w:rPr>
          <w:rFonts w:ascii="Arial" w:hAnsi="Arial" w:cs="Arial"/>
          <w:spacing w:val="1"/>
          <w:sz w:val="20"/>
          <w:szCs w:val="20"/>
        </w:rPr>
        <w:t xml:space="preserve">Contaminated sites include </w:t>
      </w:r>
      <w:r w:rsidRPr="00A40F03">
        <w:rPr>
          <w:rFonts w:ascii="Arial" w:hAnsi="Arial" w:cs="Arial"/>
          <w:sz w:val="20"/>
          <w:szCs w:val="20"/>
        </w:rPr>
        <w:t xml:space="preserve">the Poor category (S-3, S-7, S-8, S-10, S-12, S-13) are contaminated because they exceed CPI safety thresholds and therefore require immediate interventions such as installation of STPs along the stretch of rivers Mula and Mutha. These stretches are probably subject to substantial organic and inorganic pollution from industries and urban settlements. </w:t>
      </w:r>
      <w:r w:rsidRPr="00A40F03">
        <w:rPr>
          <w:rFonts w:ascii="Arial" w:hAnsi="Arial" w:cs="Arial"/>
          <w:spacing w:val="1"/>
          <w:sz w:val="20"/>
          <w:szCs w:val="20"/>
        </w:rPr>
        <w:t>The average sites (</w:t>
      </w:r>
      <w:r w:rsidRPr="00A40F03">
        <w:rPr>
          <w:rFonts w:ascii="Arial" w:hAnsi="Arial" w:cs="Arial"/>
          <w:sz w:val="20"/>
          <w:szCs w:val="20"/>
        </w:rPr>
        <w:t xml:space="preserve">S-2, S-4, S-5, S-6, S-11) </w:t>
      </w:r>
      <w:r w:rsidRPr="00A40F03">
        <w:rPr>
          <w:rFonts w:ascii="Arial" w:hAnsi="Arial" w:cs="Arial"/>
          <w:spacing w:val="1"/>
          <w:sz w:val="20"/>
          <w:szCs w:val="20"/>
        </w:rPr>
        <w:t xml:space="preserve">represent stretches where water quality is already degraded, but further scrupulous treatments can help to restore the water quality of these sites. </w:t>
      </w:r>
    </w:p>
    <w:p w:rsidR="005B5635" w:rsidRPr="005B5635" w:rsidRDefault="005B5635" w:rsidP="00D83DA5">
      <w:pPr>
        <w:spacing w:after="240"/>
        <w:jc w:val="center"/>
        <w:rPr>
          <w:rFonts w:ascii="Arial" w:hAnsi="Arial" w:cs="Arial"/>
          <w:b/>
        </w:rPr>
      </w:pPr>
      <w:r w:rsidRPr="001A2434">
        <w:rPr>
          <w:rFonts w:ascii="Arial" w:hAnsi="Arial" w:cs="Arial"/>
          <w:b/>
        </w:rPr>
        <w:t xml:space="preserve">Table 10: </w:t>
      </w:r>
      <w:r w:rsidRPr="005B5635">
        <w:rPr>
          <w:rFonts w:ascii="Arial" w:hAnsi="Arial" w:cs="Arial"/>
          <w:b/>
        </w:rPr>
        <w:t>Quality rating classification of the sample sites and identification of contamination sites.</w:t>
      </w:r>
    </w:p>
    <w:tbl>
      <w:tblPr>
        <w:tblStyle w:val="TableGrid"/>
        <w:tblW w:w="8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4"/>
        <w:gridCol w:w="1184"/>
        <w:gridCol w:w="346"/>
        <w:gridCol w:w="1004"/>
        <w:gridCol w:w="133"/>
        <w:gridCol w:w="947"/>
        <w:gridCol w:w="349"/>
        <w:gridCol w:w="2520"/>
      </w:tblGrid>
      <w:tr w:rsidR="00381700" w:rsidRPr="001A2434" w:rsidTr="00381700">
        <w:trPr>
          <w:trHeight w:val="456"/>
        </w:trPr>
        <w:tc>
          <w:tcPr>
            <w:tcW w:w="1534" w:type="dxa"/>
            <w:tcBorders>
              <w:top w:val="single" w:sz="4" w:space="0" w:color="auto"/>
              <w:bottom w:val="single" w:sz="4" w:space="0" w:color="auto"/>
            </w:tcBorders>
            <w:vAlign w:val="center"/>
          </w:tcPr>
          <w:p w:rsidR="00381700" w:rsidRPr="001A2434" w:rsidRDefault="00381700" w:rsidP="00596B95">
            <w:pPr>
              <w:jc w:val="center"/>
              <w:rPr>
                <w:rFonts w:ascii="Arial" w:hAnsi="Arial" w:cs="Arial"/>
                <w:bCs/>
                <w:sz w:val="20"/>
                <w:szCs w:val="20"/>
              </w:rPr>
            </w:pPr>
            <w:r w:rsidRPr="001A2434">
              <w:rPr>
                <w:rFonts w:ascii="Arial" w:eastAsia="Times New Roman" w:hAnsi="Arial" w:cs="Arial"/>
                <w:b/>
                <w:bCs/>
                <w:sz w:val="20"/>
                <w:szCs w:val="20"/>
                <w:lang w:eastAsia="en-IN" w:bidi="mr-IN"/>
              </w:rPr>
              <w:t>Quality rating</w:t>
            </w:r>
          </w:p>
        </w:tc>
        <w:tc>
          <w:tcPr>
            <w:tcW w:w="1184" w:type="dxa"/>
            <w:tcBorders>
              <w:top w:val="single" w:sz="4" w:space="0" w:color="auto"/>
              <w:bottom w:val="single" w:sz="4" w:space="0" w:color="auto"/>
            </w:tcBorders>
            <w:vAlign w:val="center"/>
          </w:tcPr>
          <w:p w:rsidR="00381700" w:rsidRPr="001A2434" w:rsidRDefault="00381700" w:rsidP="00596B95">
            <w:pPr>
              <w:jc w:val="center"/>
              <w:rPr>
                <w:rFonts w:ascii="Arial" w:hAnsi="Arial" w:cs="Arial"/>
                <w:bCs/>
                <w:sz w:val="20"/>
                <w:szCs w:val="20"/>
              </w:rPr>
            </w:pPr>
            <w:r w:rsidRPr="001A2434">
              <w:rPr>
                <w:rFonts w:ascii="Arial" w:eastAsia="Times New Roman" w:hAnsi="Arial" w:cs="Arial"/>
                <w:b/>
                <w:bCs/>
                <w:sz w:val="20"/>
                <w:szCs w:val="20"/>
                <w:lang w:eastAsia="en-IN" w:bidi="mr-IN"/>
              </w:rPr>
              <w:t>WQI ranking</w:t>
            </w:r>
          </w:p>
        </w:tc>
        <w:tc>
          <w:tcPr>
            <w:tcW w:w="1350" w:type="dxa"/>
            <w:gridSpan w:val="2"/>
            <w:tcBorders>
              <w:top w:val="single" w:sz="4" w:space="0" w:color="auto"/>
              <w:bottom w:val="single" w:sz="4" w:space="0" w:color="auto"/>
            </w:tcBorders>
            <w:vAlign w:val="center"/>
          </w:tcPr>
          <w:p w:rsidR="00381700" w:rsidRPr="001A2434" w:rsidRDefault="00381700" w:rsidP="00596B95">
            <w:pPr>
              <w:ind w:left="212"/>
              <w:jc w:val="center"/>
              <w:rPr>
                <w:rFonts w:ascii="Arial" w:hAnsi="Arial" w:cs="Arial"/>
                <w:bCs/>
                <w:sz w:val="20"/>
                <w:szCs w:val="20"/>
              </w:rPr>
            </w:pPr>
            <w:r w:rsidRPr="001A2434">
              <w:rPr>
                <w:rFonts w:ascii="Arial" w:eastAsia="Times New Roman" w:hAnsi="Arial" w:cs="Arial"/>
                <w:b/>
                <w:bCs/>
                <w:sz w:val="20"/>
                <w:szCs w:val="20"/>
                <w:lang w:eastAsia="en-IN" w:bidi="mr-IN"/>
              </w:rPr>
              <w:t>CPI ranking</w:t>
            </w:r>
          </w:p>
        </w:tc>
        <w:tc>
          <w:tcPr>
            <w:tcW w:w="1080" w:type="dxa"/>
            <w:gridSpan w:val="2"/>
            <w:tcBorders>
              <w:top w:val="single" w:sz="4" w:space="0" w:color="auto"/>
              <w:bottom w:val="single" w:sz="4" w:space="0" w:color="auto"/>
            </w:tcBorders>
            <w:vAlign w:val="center"/>
          </w:tcPr>
          <w:p w:rsidR="00381700" w:rsidRPr="001A2434" w:rsidRDefault="00381700" w:rsidP="00596B95">
            <w:pPr>
              <w:rPr>
                <w:rFonts w:ascii="Arial" w:hAnsi="Arial" w:cs="Arial"/>
                <w:bCs/>
                <w:sz w:val="20"/>
                <w:szCs w:val="20"/>
              </w:rPr>
            </w:pPr>
            <w:r w:rsidRPr="001A2434">
              <w:rPr>
                <w:rFonts w:ascii="Arial" w:eastAsia="Times New Roman" w:hAnsi="Arial" w:cs="Arial"/>
                <w:b/>
                <w:bCs/>
                <w:sz w:val="20"/>
                <w:szCs w:val="20"/>
                <w:lang w:eastAsia="en-IN" w:bidi="mr-IN"/>
              </w:rPr>
              <w:t>Sample ID</w:t>
            </w:r>
          </w:p>
        </w:tc>
        <w:tc>
          <w:tcPr>
            <w:tcW w:w="2869" w:type="dxa"/>
            <w:gridSpan w:val="2"/>
            <w:tcBorders>
              <w:top w:val="single" w:sz="4" w:space="0" w:color="auto"/>
              <w:bottom w:val="single" w:sz="4" w:space="0" w:color="auto"/>
            </w:tcBorders>
            <w:vAlign w:val="center"/>
          </w:tcPr>
          <w:p w:rsidR="00381700" w:rsidRPr="001A2434" w:rsidRDefault="00381700" w:rsidP="00596B95">
            <w:pPr>
              <w:ind w:left="339"/>
              <w:rPr>
                <w:rFonts w:ascii="Arial" w:hAnsi="Arial" w:cs="Arial"/>
                <w:bCs/>
                <w:sz w:val="20"/>
                <w:szCs w:val="20"/>
              </w:rPr>
            </w:pPr>
            <w:r w:rsidRPr="001A2434">
              <w:rPr>
                <w:rFonts w:ascii="Arial" w:eastAsia="Times New Roman" w:hAnsi="Arial" w:cs="Arial"/>
                <w:b/>
                <w:bCs/>
                <w:sz w:val="20"/>
                <w:szCs w:val="20"/>
                <w:lang w:eastAsia="en-IN" w:bidi="mr-IN"/>
              </w:rPr>
              <w:t>Recommendations</w:t>
            </w:r>
          </w:p>
        </w:tc>
      </w:tr>
      <w:tr w:rsidR="005B5635" w:rsidRPr="001A2434" w:rsidTr="00381700">
        <w:trPr>
          <w:trHeight w:val="143"/>
        </w:trPr>
        <w:tc>
          <w:tcPr>
            <w:tcW w:w="1534" w:type="dxa"/>
            <w:tcBorders>
              <w:top w:val="single" w:sz="4" w:space="0" w:color="auto"/>
            </w:tcBorders>
          </w:tcPr>
          <w:p w:rsidR="005B5635" w:rsidRPr="001A2434" w:rsidRDefault="005B5635" w:rsidP="00381700">
            <w:pPr>
              <w:rPr>
                <w:rFonts w:ascii="Arial" w:hAnsi="Arial" w:cs="Arial"/>
                <w:bCs/>
                <w:sz w:val="20"/>
                <w:szCs w:val="20"/>
              </w:rPr>
            </w:pPr>
            <w:r w:rsidRPr="001A2434">
              <w:rPr>
                <w:rFonts w:ascii="Arial" w:eastAsia="Times New Roman" w:hAnsi="Arial" w:cs="Arial"/>
                <w:sz w:val="20"/>
                <w:szCs w:val="20"/>
                <w:lang w:eastAsia="en-IN" w:bidi="mr-IN"/>
              </w:rPr>
              <w:t>Excellent</w:t>
            </w:r>
          </w:p>
        </w:tc>
        <w:tc>
          <w:tcPr>
            <w:tcW w:w="1530" w:type="dxa"/>
            <w:gridSpan w:val="2"/>
            <w:tcBorders>
              <w:top w:val="single" w:sz="4" w:space="0" w:color="auto"/>
            </w:tcBorders>
          </w:tcPr>
          <w:p w:rsidR="005B5635" w:rsidRPr="001A2434" w:rsidRDefault="005B5635" w:rsidP="00381700">
            <w:pPr>
              <w:ind w:right="-162"/>
              <w:rPr>
                <w:rFonts w:ascii="Arial" w:hAnsi="Arial" w:cs="Arial"/>
                <w:bCs/>
                <w:sz w:val="20"/>
                <w:szCs w:val="20"/>
              </w:rPr>
            </w:pPr>
            <w:r w:rsidRPr="001A2434">
              <w:rPr>
                <w:rFonts w:ascii="Arial" w:hAnsi="Arial" w:cs="Arial"/>
                <w:sz w:val="20"/>
                <w:szCs w:val="20"/>
              </w:rPr>
              <w:t>73.66 – 81.92</w:t>
            </w:r>
          </w:p>
        </w:tc>
        <w:tc>
          <w:tcPr>
            <w:tcW w:w="1137" w:type="dxa"/>
            <w:gridSpan w:val="2"/>
            <w:tcBorders>
              <w:top w:val="single" w:sz="4" w:space="0" w:color="auto"/>
            </w:tcBorders>
          </w:tcPr>
          <w:p w:rsidR="005B5635" w:rsidRPr="001A2434" w:rsidRDefault="005B5635" w:rsidP="00381700">
            <w:pPr>
              <w:ind w:left="-76"/>
              <w:rPr>
                <w:rFonts w:ascii="Arial" w:hAnsi="Arial" w:cs="Arial"/>
                <w:bCs/>
                <w:sz w:val="20"/>
                <w:szCs w:val="20"/>
              </w:rPr>
            </w:pPr>
            <w:r w:rsidRPr="001A2434">
              <w:rPr>
                <w:rFonts w:ascii="Arial" w:hAnsi="Arial" w:cs="Arial"/>
                <w:sz w:val="20"/>
                <w:szCs w:val="20"/>
              </w:rPr>
              <w:t>0.00–0.20</w:t>
            </w:r>
          </w:p>
        </w:tc>
        <w:tc>
          <w:tcPr>
            <w:tcW w:w="1296" w:type="dxa"/>
            <w:gridSpan w:val="2"/>
            <w:tcBorders>
              <w:top w:val="single" w:sz="4" w:space="0" w:color="auto"/>
            </w:tcBorders>
          </w:tcPr>
          <w:p w:rsidR="005B5635" w:rsidRPr="001A2434" w:rsidRDefault="005B5635" w:rsidP="00381700">
            <w:pPr>
              <w:rPr>
                <w:rFonts w:ascii="Arial" w:hAnsi="Arial" w:cs="Arial"/>
                <w:bCs/>
                <w:sz w:val="20"/>
                <w:szCs w:val="20"/>
              </w:rPr>
            </w:pPr>
            <w:r w:rsidRPr="001A2434">
              <w:rPr>
                <w:rFonts w:ascii="Arial" w:hAnsi="Arial" w:cs="Arial"/>
                <w:sz w:val="20"/>
                <w:szCs w:val="20"/>
              </w:rPr>
              <w:t>S - 9</w:t>
            </w:r>
          </w:p>
        </w:tc>
        <w:tc>
          <w:tcPr>
            <w:tcW w:w="2520" w:type="dxa"/>
            <w:tcBorders>
              <w:top w:val="single" w:sz="4" w:space="0" w:color="auto"/>
            </w:tcBorders>
          </w:tcPr>
          <w:p w:rsidR="005B5635" w:rsidRPr="001A2434" w:rsidRDefault="005B5635" w:rsidP="00381700">
            <w:pPr>
              <w:rPr>
                <w:rFonts w:ascii="Arial" w:hAnsi="Arial" w:cs="Arial"/>
                <w:bCs/>
                <w:sz w:val="20"/>
                <w:szCs w:val="20"/>
              </w:rPr>
            </w:pPr>
            <w:r w:rsidRPr="001A2434">
              <w:rPr>
                <w:rFonts w:ascii="Arial" w:eastAsia="Times New Roman" w:hAnsi="Arial" w:cs="Arial"/>
                <w:sz w:val="20"/>
                <w:szCs w:val="20"/>
                <w:lang w:eastAsia="en-IN" w:bidi="mr-IN"/>
              </w:rPr>
              <w:t>Excellent quality</w:t>
            </w:r>
          </w:p>
        </w:tc>
      </w:tr>
      <w:tr w:rsidR="005B5635" w:rsidRPr="001A2434" w:rsidTr="00381700">
        <w:trPr>
          <w:trHeight w:val="66"/>
        </w:trPr>
        <w:tc>
          <w:tcPr>
            <w:tcW w:w="1534" w:type="dxa"/>
          </w:tcPr>
          <w:p w:rsidR="005B5635" w:rsidRPr="001A2434" w:rsidRDefault="005B5635" w:rsidP="00381700">
            <w:pPr>
              <w:rPr>
                <w:rFonts w:ascii="Arial" w:hAnsi="Arial" w:cs="Arial"/>
                <w:bCs/>
                <w:sz w:val="20"/>
                <w:szCs w:val="20"/>
              </w:rPr>
            </w:pPr>
            <w:r w:rsidRPr="001A2434">
              <w:rPr>
                <w:rFonts w:ascii="Arial" w:eastAsia="Times New Roman" w:hAnsi="Arial" w:cs="Arial"/>
                <w:sz w:val="20"/>
                <w:szCs w:val="20"/>
                <w:lang w:eastAsia="en-IN" w:bidi="mr-IN"/>
              </w:rPr>
              <w:t>Good water</w:t>
            </w:r>
          </w:p>
        </w:tc>
        <w:tc>
          <w:tcPr>
            <w:tcW w:w="1530" w:type="dxa"/>
            <w:gridSpan w:val="2"/>
          </w:tcPr>
          <w:p w:rsidR="005B5635" w:rsidRPr="001A2434" w:rsidRDefault="005B5635" w:rsidP="00381700">
            <w:pPr>
              <w:ind w:right="-162"/>
              <w:rPr>
                <w:rFonts w:ascii="Arial" w:hAnsi="Arial" w:cs="Arial"/>
                <w:bCs/>
                <w:sz w:val="20"/>
                <w:szCs w:val="20"/>
              </w:rPr>
            </w:pPr>
            <w:r w:rsidRPr="001A2434">
              <w:rPr>
                <w:rFonts w:ascii="Arial" w:hAnsi="Arial" w:cs="Arial"/>
                <w:sz w:val="20"/>
                <w:szCs w:val="20"/>
              </w:rPr>
              <w:t>65.40– 73.66</w:t>
            </w:r>
          </w:p>
        </w:tc>
        <w:tc>
          <w:tcPr>
            <w:tcW w:w="1137" w:type="dxa"/>
            <w:gridSpan w:val="2"/>
          </w:tcPr>
          <w:p w:rsidR="005B5635" w:rsidRPr="001A2434" w:rsidRDefault="005B5635" w:rsidP="00381700">
            <w:pPr>
              <w:ind w:left="-76"/>
              <w:rPr>
                <w:rFonts w:ascii="Arial" w:hAnsi="Arial" w:cs="Arial"/>
                <w:bCs/>
                <w:sz w:val="20"/>
                <w:szCs w:val="20"/>
              </w:rPr>
            </w:pPr>
            <w:r w:rsidRPr="001A2434">
              <w:rPr>
                <w:rFonts w:ascii="Arial" w:hAnsi="Arial" w:cs="Arial"/>
                <w:sz w:val="20"/>
                <w:szCs w:val="20"/>
              </w:rPr>
              <w:t>0.21–0.40</w:t>
            </w:r>
          </w:p>
        </w:tc>
        <w:tc>
          <w:tcPr>
            <w:tcW w:w="1296" w:type="dxa"/>
            <w:gridSpan w:val="2"/>
          </w:tcPr>
          <w:p w:rsidR="005B5635" w:rsidRPr="001A2434" w:rsidRDefault="005B5635" w:rsidP="00381700">
            <w:pPr>
              <w:rPr>
                <w:rFonts w:ascii="Arial" w:hAnsi="Arial" w:cs="Arial"/>
                <w:bCs/>
                <w:sz w:val="20"/>
                <w:szCs w:val="20"/>
              </w:rPr>
            </w:pPr>
            <w:r w:rsidRPr="001A2434">
              <w:rPr>
                <w:rFonts w:ascii="Arial" w:hAnsi="Arial" w:cs="Arial"/>
                <w:sz w:val="20"/>
                <w:szCs w:val="20"/>
              </w:rPr>
              <w:t>S - 1</w:t>
            </w:r>
          </w:p>
        </w:tc>
        <w:tc>
          <w:tcPr>
            <w:tcW w:w="2520" w:type="dxa"/>
          </w:tcPr>
          <w:p w:rsidR="005B5635" w:rsidRPr="001A2434" w:rsidRDefault="005B5635" w:rsidP="00381700">
            <w:pPr>
              <w:rPr>
                <w:rFonts w:ascii="Arial" w:hAnsi="Arial" w:cs="Arial"/>
                <w:bCs/>
                <w:sz w:val="20"/>
                <w:szCs w:val="20"/>
              </w:rPr>
            </w:pPr>
            <w:r w:rsidRPr="001A2434">
              <w:rPr>
                <w:rFonts w:ascii="Arial" w:eastAsia="Times New Roman" w:hAnsi="Arial" w:cs="Arial"/>
                <w:sz w:val="20"/>
                <w:szCs w:val="20"/>
                <w:lang w:eastAsia="en-IN" w:bidi="mr-IN"/>
              </w:rPr>
              <w:t>acceptable quality for domestic, agricultural, and industrial uses</w:t>
            </w:r>
          </w:p>
        </w:tc>
      </w:tr>
      <w:tr w:rsidR="005B5635" w:rsidRPr="001A2434" w:rsidTr="00381700">
        <w:trPr>
          <w:trHeight w:val="66"/>
        </w:trPr>
        <w:tc>
          <w:tcPr>
            <w:tcW w:w="1534" w:type="dxa"/>
          </w:tcPr>
          <w:p w:rsidR="005B5635" w:rsidRPr="001A2434" w:rsidRDefault="005B5635" w:rsidP="00381700">
            <w:pPr>
              <w:rPr>
                <w:rFonts w:ascii="Arial" w:hAnsi="Arial" w:cs="Arial"/>
                <w:bCs/>
                <w:sz w:val="20"/>
                <w:szCs w:val="20"/>
              </w:rPr>
            </w:pPr>
            <w:r w:rsidRPr="001A2434">
              <w:rPr>
                <w:rFonts w:ascii="Arial" w:eastAsia="Times New Roman" w:hAnsi="Arial" w:cs="Arial"/>
                <w:sz w:val="20"/>
                <w:szCs w:val="20"/>
                <w:lang w:eastAsia="en-IN" w:bidi="mr-IN"/>
              </w:rPr>
              <w:t>Average</w:t>
            </w:r>
          </w:p>
        </w:tc>
        <w:tc>
          <w:tcPr>
            <w:tcW w:w="1530" w:type="dxa"/>
            <w:gridSpan w:val="2"/>
          </w:tcPr>
          <w:p w:rsidR="005B5635" w:rsidRPr="001A2434" w:rsidRDefault="005B5635" w:rsidP="00381700">
            <w:pPr>
              <w:ind w:right="-162"/>
              <w:rPr>
                <w:rFonts w:ascii="Arial" w:hAnsi="Arial" w:cs="Arial"/>
                <w:bCs/>
                <w:sz w:val="20"/>
                <w:szCs w:val="20"/>
              </w:rPr>
            </w:pPr>
            <w:r w:rsidRPr="001A2434">
              <w:rPr>
                <w:rFonts w:ascii="Arial" w:hAnsi="Arial" w:cs="Arial"/>
                <w:sz w:val="20"/>
                <w:szCs w:val="20"/>
              </w:rPr>
              <w:t>57.14 – 65.40</w:t>
            </w:r>
          </w:p>
        </w:tc>
        <w:tc>
          <w:tcPr>
            <w:tcW w:w="1137" w:type="dxa"/>
            <w:gridSpan w:val="2"/>
          </w:tcPr>
          <w:p w:rsidR="005B5635" w:rsidRPr="001A2434" w:rsidRDefault="005B5635" w:rsidP="00381700">
            <w:pPr>
              <w:ind w:left="-76"/>
              <w:rPr>
                <w:rFonts w:ascii="Arial" w:hAnsi="Arial" w:cs="Arial"/>
                <w:bCs/>
                <w:sz w:val="20"/>
                <w:szCs w:val="20"/>
              </w:rPr>
            </w:pPr>
            <w:r w:rsidRPr="001A2434">
              <w:rPr>
                <w:rFonts w:ascii="Arial" w:hAnsi="Arial" w:cs="Arial"/>
                <w:sz w:val="20"/>
                <w:szCs w:val="20"/>
              </w:rPr>
              <w:t>0.41–1.00</w:t>
            </w:r>
          </w:p>
        </w:tc>
        <w:tc>
          <w:tcPr>
            <w:tcW w:w="1296" w:type="dxa"/>
            <w:gridSpan w:val="2"/>
          </w:tcPr>
          <w:p w:rsidR="005B5635" w:rsidRPr="001A2434" w:rsidRDefault="005B5635" w:rsidP="00381700">
            <w:pPr>
              <w:rPr>
                <w:rFonts w:ascii="Arial" w:hAnsi="Arial" w:cs="Arial"/>
                <w:bCs/>
                <w:sz w:val="20"/>
                <w:szCs w:val="20"/>
              </w:rPr>
            </w:pPr>
            <w:r w:rsidRPr="001A2434">
              <w:rPr>
                <w:rFonts w:ascii="Arial" w:hAnsi="Arial" w:cs="Arial"/>
                <w:sz w:val="20"/>
                <w:szCs w:val="20"/>
              </w:rPr>
              <w:t>S - 2; S - 4; S - 5; S - 6; S - 11</w:t>
            </w:r>
          </w:p>
        </w:tc>
        <w:tc>
          <w:tcPr>
            <w:tcW w:w="2520" w:type="dxa"/>
          </w:tcPr>
          <w:p w:rsidR="005B5635" w:rsidRPr="001A2434" w:rsidRDefault="005B5635" w:rsidP="00381700">
            <w:pPr>
              <w:rPr>
                <w:rFonts w:ascii="Arial" w:hAnsi="Arial" w:cs="Arial"/>
                <w:bCs/>
                <w:sz w:val="20"/>
                <w:szCs w:val="20"/>
              </w:rPr>
            </w:pPr>
            <w:r w:rsidRPr="001A2434">
              <w:rPr>
                <w:rFonts w:ascii="Arial" w:eastAsia="Times New Roman" w:hAnsi="Arial" w:cs="Arial"/>
                <w:sz w:val="20"/>
                <w:szCs w:val="20"/>
                <w:lang w:eastAsia="en-IN" w:bidi="mr-IN"/>
              </w:rPr>
              <w:t>moderate quality; monitor and control pollutants</w:t>
            </w:r>
          </w:p>
        </w:tc>
      </w:tr>
      <w:tr w:rsidR="005B5635" w:rsidRPr="001A2434" w:rsidTr="00381700">
        <w:trPr>
          <w:trHeight w:val="66"/>
        </w:trPr>
        <w:tc>
          <w:tcPr>
            <w:tcW w:w="1534" w:type="dxa"/>
          </w:tcPr>
          <w:p w:rsidR="005B5635" w:rsidRPr="001A2434" w:rsidRDefault="005B5635" w:rsidP="00381700">
            <w:pPr>
              <w:rPr>
                <w:rFonts w:ascii="Arial" w:hAnsi="Arial" w:cs="Arial"/>
                <w:bCs/>
                <w:sz w:val="20"/>
                <w:szCs w:val="20"/>
              </w:rPr>
            </w:pPr>
            <w:r w:rsidRPr="001A2434">
              <w:rPr>
                <w:rFonts w:ascii="Arial" w:eastAsia="Times New Roman" w:hAnsi="Arial" w:cs="Arial"/>
                <w:sz w:val="20"/>
                <w:szCs w:val="20"/>
                <w:lang w:eastAsia="en-IN" w:bidi="mr-IN"/>
              </w:rPr>
              <w:t>Poor</w:t>
            </w:r>
          </w:p>
        </w:tc>
        <w:tc>
          <w:tcPr>
            <w:tcW w:w="1530" w:type="dxa"/>
            <w:gridSpan w:val="2"/>
          </w:tcPr>
          <w:p w:rsidR="005B5635" w:rsidRPr="001A2434" w:rsidRDefault="005B5635" w:rsidP="00381700">
            <w:pPr>
              <w:ind w:right="-162"/>
              <w:rPr>
                <w:rFonts w:ascii="Arial" w:hAnsi="Arial" w:cs="Arial"/>
                <w:bCs/>
                <w:sz w:val="20"/>
                <w:szCs w:val="20"/>
              </w:rPr>
            </w:pPr>
            <w:r w:rsidRPr="001A2434">
              <w:rPr>
                <w:rFonts w:ascii="Arial" w:hAnsi="Arial" w:cs="Arial"/>
                <w:sz w:val="20"/>
                <w:szCs w:val="20"/>
              </w:rPr>
              <w:t>48.88 – 57.14</w:t>
            </w:r>
          </w:p>
        </w:tc>
        <w:tc>
          <w:tcPr>
            <w:tcW w:w="1137" w:type="dxa"/>
            <w:gridSpan w:val="2"/>
          </w:tcPr>
          <w:p w:rsidR="005B5635" w:rsidRPr="001A2434" w:rsidRDefault="005B5635" w:rsidP="00381700">
            <w:pPr>
              <w:ind w:left="-76"/>
              <w:rPr>
                <w:rFonts w:ascii="Arial" w:hAnsi="Arial" w:cs="Arial"/>
                <w:bCs/>
                <w:sz w:val="20"/>
                <w:szCs w:val="20"/>
              </w:rPr>
            </w:pPr>
            <w:r w:rsidRPr="001A2434">
              <w:rPr>
                <w:rFonts w:ascii="Arial" w:hAnsi="Arial" w:cs="Arial"/>
                <w:sz w:val="20"/>
                <w:szCs w:val="20"/>
              </w:rPr>
              <w:t>1.01–2.00</w:t>
            </w:r>
          </w:p>
        </w:tc>
        <w:tc>
          <w:tcPr>
            <w:tcW w:w="1296" w:type="dxa"/>
            <w:gridSpan w:val="2"/>
          </w:tcPr>
          <w:p w:rsidR="005B5635" w:rsidRPr="001A2434" w:rsidRDefault="005B5635" w:rsidP="00381700">
            <w:pPr>
              <w:rPr>
                <w:rFonts w:ascii="Arial" w:hAnsi="Arial" w:cs="Arial"/>
                <w:sz w:val="20"/>
                <w:szCs w:val="20"/>
              </w:rPr>
            </w:pPr>
            <w:r w:rsidRPr="001A2434">
              <w:rPr>
                <w:rFonts w:ascii="Arial" w:hAnsi="Arial" w:cs="Arial"/>
                <w:sz w:val="20"/>
                <w:szCs w:val="20"/>
              </w:rPr>
              <w:t>S - 3; S - 7; S - 8;</w:t>
            </w:r>
          </w:p>
          <w:p w:rsidR="005B5635" w:rsidRPr="001A2434" w:rsidRDefault="005B5635" w:rsidP="00381700">
            <w:pPr>
              <w:rPr>
                <w:rFonts w:ascii="Arial" w:hAnsi="Arial" w:cs="Arial"/>
                <w:bCs/>
                <w:sz w:val="20"/>
                <w:szCs w:val="20"/>
              </w:rPr>
            </w:pPr>
            <w:r w:rsidRPr="001A2434">
              <w:rPr>
                <w:rFonts w:ascii="Arial" w:hAnsi="Arial" w:cs="Arial"/>
                <w:sz w:val="20"/>
                <w:szCs w:val="20"/>
              </w:rPr>
              <w:t>S - 10; S - 12; S - 13</w:t>
            </w:r>
          </w:p>
        </w:tc>
        <w:tc>
          <w:tcPr>
            <w:tcW w:w="2520" w:type="dxa"/>
          </w:tcPr>
          <w:p w:rsidR="005B5635" w:rsidRPr="001A2434" w:rsidRDefault="005B5635" w:rsidP="00381700">
            <w:pPr>
              <w:rPr>
                <w:rFonts w:ascii="Arial" w:hAnsi="Arial" w:cs="Arial"/>
                <w:bCs/>
                <w:sz w:val="20"/>
                <w:szCs w:val="20"/>
              </w:rPr>
            </w:pPr>
            <w:r w:rsidRPr="001A2434">
              <w:rPr>
                <w:rFonts w:ascii="Arial" w:hAnsi="Arial" w:cs="Arial"/>
                <w:bCs/>
                <w:sz w:val="20"/>
                <w:szCs w:val="20"/>
              </w:rPr>
              <w:t xml:space="preserve">Contaminated, </w:t>
            </w:r>
            <w:r w:rsidRPr="001A2434">
              <w:rPr>
                <w:rFonts w:ascii="Arial" w:eastAsia="Times New Roman" w:hAnsi="Arial" w:cs="Arial"/>
                <w:sz w:val="20"/>
                <w:szCs w:val="20"/>
                <w:lang w:eastAsia="en-IN" w:bidi="mr-IN"/>
              </w:rPr>
              <w:t>restricted use; remediation and pollutant reduction needed to install more STPs</w:t>
            </w:r>
          </w:p>
        </w:tc>
      </w:tr>
      <w:tr w:rsidR="005B5635" w:rsidRPr="001A2434" w:rsidTr="00381700">
        <w:trPr>
          <w:trHeight w:val="456"/>
        </w:trPr>
        <w:tc>
          <w:tcPr>
            <w:tcW w:w="1534" w:type="dxa"/>
            <w:tcBorders>
              <w:bottom w:val="single" w:sz="4" w:space="0" w:color="auto"/>
            </w:tcBorders>
          </w:tcPr>
          <w:p w:rsidR="005B5635" w:rsidRPr="001A2434" w:rsidRDefault="005B5635" w:rsidP="00381700">
            <w:pPr>
              <w:rPr>
                <w:rFonts w:ascii="Arial" w:hAnsi="Arial" w:cs="Arial"/>
                <w:bCs/>
                <w:sz w:val="20"/>
                <w:szCs w:val="20"/>
              </w:rPr>
            </w:pPr>
            <w:r w:rsidRPr="001A2434">
              <w:rPr>
                <w:rFonts w:ascii="Arial" w:eastAsia="Times New Roman" w:hAnsi="Arial" w:cs="Arial"/>
                <w:sz w:val="20"/>
                <w:szCs w:val="20"/>
                <w:lang w:eastAsia="en-IN" w:bidi="mr-IN"/>
              </w:rPr>
              <w:t>Unsuitable</w:t>
            </w:r>
          </w:p>
        </w:tc>
        <w:tc>
          <w:tcPr>
            <w:tcW w:w="1530" w:type="dxa"/>
            <w:gridSpan w:val="2"/>
            <w:tcBorders>
              <w:bottom w:val="single" w:sz="4" w:space="0" w:color="auto"/>
            </w:tcBorders>
          </w:tcPr>
          <w:p w:rsidR="005B5635" w:rsidRPr="001A2434" w:rsidRDefault="005B5635" w:rsidP="00381700">
            <w:pPr>
              <w:ind w:right="-162"/>
              <w:rPr>
                <w:rFonts w:ascii="Arial" w:hAnsi="Arial" w:cs="Arial"/>
                <w:bCs/>
                <w:sz w:val="20"/>
                <w:szCs w:val="20"/>
              </w:rPr>
            </w:pPr>
            <w:r w:rsidRPr="001A2434">
              <w:rPr>
                <w:rFonts w:ascii="Arial" w:hAnsi="Arial" w:cs="Arial"/>
                <w:sz w:val="20"/>
                <w:szCs w:val="20"/>
              </w:rPr>
              <w:t>40.6 – 48.88</w:t>
            </w:r>
          </w:p>
        </w:tc>
        <w:tc>
          <w:tcPr>
            <w:tcW w:w="1137" w:type="dxa"/>
            <w:gridSpan w:val="2"/>
            <w:tcBorders>
              <w:bottom w:val="single" w:sz="4" w:space="0" w:color="auto"/>
            </w:tcBorders>
          </w:tcPr>
          <w:p w:rsidR="005B5635" w:rsidRPr="001A2434" w:rsidRDefault="005B5635" w:rsidP="00381700">
            <w:pPr>
              <w:ind w:left="-76"/>
              <w:rPr>
                <w:rFonts w:ascii="Arial" w:hAnsi="Arial" w:cs="Arial"/>
                <w:bCs/>
                <w:sz w:val="20"/>
                <w:szCs w:val="20"/>
              </w:rPr>
            </w:pPr>
            <w:r w:rsidRPr="001A2434">
              <w:rPr>
                <w:rFonts w:ascii="Arial" w:hAnsi="Arial" w:cs="Arial"/>
                <w:sz w:val="20"/>
                <w:szCs w:val="20"/>
              </w:rPr>
              <w:t>≥2.01878</w:t>
            </w:r>
          </w:p>
        </w:tc>
        <w:tc>
          <w:tcPr>
            <w:tcW w:w="1296" w:type="dxa"/>
            <w:gridSpan w:val="2"/>
            <w:tcBorders>
              <w:bottom w:val="single" w:sz="4" w:space="0" w:color="auto"/>
            </w:tcBorders>
          </w:tcPr>
          <w:p w:rsidR="005B5635" w:rsidRPr="001A2434" w:rsidRDefault="005B5635" w:rsidP="00381700">
            <w:pPr>
              <w:rPr>
                <w:rFonts w:ascii="Arial" w:hAnsi="Arial" w:cs="Arial"/>
                <w:bCs/>
                <w:sz w:val="20"/>
                <w:szCs w:val="20"/>
              </w:rPr>
            </w:pPr>
            <w:r w:rsidRPr="001A2434">
              <w:rPr>
                <w:rFonts w:ascii="Arial" w:eastAsia="Times New Roman" w:hAnsi="Arial" w:cs="Arial"/>
                <w:sz w:val="20"/>
                <w:szCs w:val="20"/>
                <w:lang w:eastAsia="en-IN" w:bidi="mr-IN"/>
              </w:rPr>
              <w:t>-</w:t>
            </w:r>
          </w:p>
        </w:tc>
        <w:tc>
          <w:tcPr>
            <w:tcW w:w="2520" w:type="dxa"/>
            <w:tcBorders>
              <w:bottom w:val="single" w:sz="4" w:space="0" w:color="auto"/>
            </w:tcBorders>
          </w:tcPr>
          <w:p w:rsidR="005B5635" w:rsidRPr="001A2434" w:rsidRDefault="005B5635" w:rsidP="00381700">
            <w:pPr>
              <w:rPr>
                <w:rFonts w:ascii="Arial" w:hAnsi="Arial" w:cs="Arial"/>
                <w:bCs/>
                <w:sz w:val="20"/>
                <w:szCs w:val="20"/>
              </w:rPr>
            </w:pPr>
            <w:r w:rsidRPr="001A2434">
              <w:rPr>
                <w:rFonts w:ascii="Arial" w:hAnsi="Arial" w:cs="Arial"/>
                <w:sz w:val="20"/>
                <w:szCs w:val="20"/>
              </w:rPr>
              <w:t xml:space="preserve">highly polluted and </w:t>
            </w:r>
            <w:r w:rsidRPr="001A2434">
              <w:rPr>
                <w:rFonts w:ascii="Arial" w:hAnsi="Arial" w:cs="Arial"/>
                <w:bCs/>
                <w:sz w:val="20"/>
                <w:szCs w:val="20"/>
              </w:rPr>
              <w:t>contaminated</w:t>
            </w:r>
          </w:p>
        </w:tc>
      </w:tr>
    </w:tbl>
    <w:p w:rsidR="005B5635" w:rsidRPr="001A2434" w:rsidRDefault="005B5635" w:rsidP="005B5635">
      <w:pPr>
        <w:rPr>
          <w:rFonts w:ascii="Arial" w:hAnsi="Arial" w:cs="Arial"/>
        </w:rPr>
      </w:pPr>
    </w:p>
    <w:p w:rsidR="005053CF" w:rsidRPr="009F05B2" w:rsidRDefault="005053CF" w:rsidP="005053CF">
      <w:pPr>
        <w:jc w:val="both"/>
        <w:rPr>
          <w:rFonts w:ascii="Arial" w:hAnsi="Arial" w:cs="Arial"/>
        </w:rPr>
      </w:pPr>
      <w:r>
        <w:t xml:space="preserve">Several limitations in their Pune river water quality study were identified, with the restricted number of sampling sites. The collection of the samples was tedious during the monsoon. </w:t>
      </w:r>
    </w:p>
    <w:p w:rsidR="005053CF" w:rsidRDefault="005053CF" w:rsidP="00441B6F">
      <w:pPr>
        <w:pStyle w:val="ConcHead"/>
        <w:spacing w:after="0"/>
        <w:jc w:val="both"/>
        <w:rPr>
          <w:rFonts w:ascii="Arial" w:hAnsi="Arial" w:cs="Arial"/>
        </w:rPr>
      </w:pPr>
    </w:p>
    <w:p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rsidR="00790ADA" w:rsidRPr="00FB3A86" w:rsidRDefault="00790ADA" w:rsidP="00441B6F">
      <w:pPr>
        <w:pStyle w:val="ConcHead"/>
        <w:spacing w:after="0"/>
        <w:jc w:val="both"/>
        <w:rPr>
          <w:rFonts w:ascii="Arial" w:hAnsi="Arial" w:cs="Arial"/>
        </w:rPr>
      </w:pPr>
    </w:p>
    <w:p w:rsidR="00BF2911" w:rsidRDefault="00BF2911" w:rsidP="00BF2911">
      <w:pPr>
        <w:jc w:val="both"/>
        <w:rPr>
          <w:rFonts w:ascii="Arial" w:hAnsi="Arial" w:cs="Arial"/>
        </w:rPr>
      </w:pPr>
      <w:r w:rsidRPr="009F05B2">
        <w:rPr>
          <w:rFonts w:ascii="Arial" w:hAnsi="Arial" w:cs="Arial"/>
        </w:rPr>
        <w:t xml:space="preserve">The present study evaluated Water Quality Index (WQI) and Comprehensive Pollution Index (CPI) at 13 water sampling sites in the Pune Metropolitan Region from 2020–2024, combining physicochemical, biological and microbial parameters to assess water potability and identify contamination sources. Results show mildly alkaline waters (pH 7.36–8.06) with </w:t>
      </w:r>
      <w:r w:rsidRPr="009F05B2">
        <w:rPr>
          <w:rFonts w:ascii="Arial" w:hAnsi="Arial" w:cs="Arial"/>
        </w:rPr>
        <w:lastRenderedPageBreak/>
        <w:t>frequently elevated TDS (57–633 mg/L), high electrical conductivity, and substantial hardness, largely attributable to urban sewage, industrial effluents, and runoff. Organic pollution was estimated, with BOD 8.9–298 mg/L and COD 13.1–406 mg/L concentrated at downstream sites (notably S</w:t>
      </w:r>
      <w:r w:rsidRPr="009F05B2">
        <w:rPr>
          <w:rFonts w:ascii="Arial" w:hAnsi="Arial" w:cs="Arial"/>
        </w:rPr>
        <w:noBreakHyphen/>
        <w:t>7, S</w:t>
      </w:r>
      <w:r w:rsidRPr="009F05B2">
        <w:rPr>
          <w:rFonts w:ascii="Arial" w:hAnsi="Arial" w:cs="Arial"/>
        </w:rPr>
        <w:noBreakHyphen/>
        <w:t>11, S</w:t>
      </w:r>
      <w:r w:rsidRPr="009F05B2">
        <w:rPr>
          <w:rFonts w:ascii="Arial" w:hAnsi="Arial" w:cs="Arial"/>
        </w:rPr>
        <w:noBreakHyphen/>
        <w:t>12), while dissolved oxygen was depressed and negatively correlated with BOD. Concentrations of selected inorganic ions (Cl</w:t>
      </w:r>
      <w:r w:rsidRPr="009F05B2">
        <w:rPr>
          <w:rFonts w:ascii="Arial" w:hAnsi="Arial" w:cs="Arial"/>
          <w:vertAlign w:val="superscript"/>
        </w:rPr>
        <w:t>-</w:t>
      </w:r>
      <w:r w:rsidRPr="009F05B2">
        <w:rPr>
          <w:rFonts w:ascii="Arial" w:hAnsi="Arial" w:cs="Arial"/>
        </w:rPr>
        <w:t xml:space="preserve"> up to 0.8 mg/L, NO</w:t>
      </w:r>
      <w:r w:rsidRPr="009F05B2">
        <w:rPr>
          <w:rFonts w:ascii="Arial" w:hAnsi="Arial" w:cs="Arial"/>
          <w:vertAlign w:val="subscript"/>
        </w:rPr>
        <w:t>3</w:t>
      </w:r>
      <w:r w:rsidRPr="009F05B2">
        <w:rPr>
          <w:rFonts w:ascii="Arial" w:hAnsi="Arial" w:cs="Arial"/>
        </w:rPr>
        <w:t xml:space="preserve"> up to 3.9 mg/L) generally remained within permissible limits but pose eutrophication concerns when combined with organic loading. Microbial contamination was severe, with fecal coliforms up to 782.5 MPN/100 mL, indicating ongoing untreated sewage discharge. Inorganic ions remained near permissible limits but, together with organic loading, pose eutrophication risks. Multivariate analyses like PCA, factor analysis and cluster analysis separated anthropogenic effect from geogenic influences, explained the majority of variance, and identified upstream sites S</w:t>
      </w:r>
      <w:r w:rsidRPr="009F05B2">
        <w:rPr>
          <w:rFonts w:ascii="Arial" w:hAnsi="Arial" w:cs="Arial"/>
        </w:rPr>
        <w:noBreakHyphen/>
        <w:t>9 and S</w:t>
      </w:r>
      <w:r w:rsidRPr="009F05B2">
        <w:rPr>
          <w:rFonts w:ascii="Arial" w:hAnsi="Arial" w:cs="Arial"/>
        </w:rPr>
        <w:noBreakHyphen/>
        <w:t xml:space="preserve">1 as least impacted versus </w:t>
      </w:r>
      <w:proofErr w:type="gramStart"/>
      <w:r w:rsidRPr="009F05B2">
        <w:rPr>
          <w:rFonts w:ascii="Arial" w:hAnsi="Arial" w:cs="Arial"/>
        </w:rPr>
        <w:t>downstream  S</w:t>
      </w:r>
      <w:proofErr w:type="gramEnd"/>
      <w:r w:rsidRPr="009F05B2">
        <w:rPr>
          <w:rFonts w:ascii="Arial" w:hAnsi="Arial" w:cs="Arial"/>
        </w:rPr>
        <w:noBreakHyphen/>
        <w:t>3, S</w:t>
      </w:r>
      <w:r w:rsidRPr="009F05B2">
        <w:rPr>
          <w:rFonts w:ascii="Arial" w:hAnsi="Arial" w:cs="Arial"/>
        </w:rPr>
        <w:noBreakHyphen/>
        <w:t>7, and S</w:t>
      </w:r>
      <w:r w:rsidRPr="009F05B2">
        <w:rPr>
          <w:rFonts w:ascii="Arial" w:hAnsi="Arial" w:cs="Arial"/>
        </w:rPr>
        <w:noBreakHyphen/>
        <w:t>10 sites that are highly polluted. Integration of WQI and CPI metrics classified S-9 as excellent, S-1 as good, five sites as average and seven sites as poor water quality sites, revealing progressive degradation from upstream reservoirs toward urban confluences. The inverse relationship between WQI and CPI highlights cumulative pollution effects and identifies Poor</w:t>
      </w:r>
      <w:r w:rsidRPr="009F05B2">
        <w:rPr>
          <w:rFonts w:ascii="Arial" w:hAnsi="Arial" w:cs="Arial"/>
          <w:lang w:eastAsia="en-IN" w:bidi="mr-IN"/>
        </w:rPr>
        <w:t xml:space="preserve"> water quality sites in midstream and downstream areas of PMR with high CPI (S</w:t>
      </w:r>
      <w:r w:rsidRPr="009F05B2">
        <w:rPr>
          <w:rFonts w:ascii="Arial" w:hAnsi="Arial" w:cs="Arial"/>
          <w:lang w:eastAsia="en-IN" w:bidi="mr-IN"/>
        </w:rPr>
        <w:noBreakHyphen/>
        <w:t>3, S</w:t>
      </w:r>
      <w:r w:rsidRPr="009F05B2">
        <w:rPr>
          <w:rFonts w:ascii="Arial" w:hAnsi="Arial" w:cs="Arial"/>
          <w:lang w:eastAsia="en-IN" w:bidi="mr-IN"/>
        </w:rPr>
        <w:noBreakHyphen/>
        <w:t>7, S</w:t>
      </w:r>
      <w:r w:rsidRPr="009F05B2">
        <w:rPr>
          <w:rFonts w:ascii="Arial" w:hAnsi="Arial" w:cs="Arial"/>
          <w:lang w:eastAsia="en-IN" w:bidi="mr-IN"/>
        </w:rPr>
        <w:noBreakHyphen/>
        <w:t>8, S</w:t>
      </w:r>
      <w:r w:rsidRPr="009F05B2">
        <w:rPr>
          <w:rFonts w:ascii="Arial" w:hAnsi="Arial" w:cs="Arial"/>
          <w:lang w:eastAsia="en-IN" w:bidi="mr-IN"/>
        </w:rPr>
        <w:noBreakHyphen/>
        <w:t>10, S</w:t>
      </w:r>
      <w:r w:rsidRPr="009F05B2">
        <w:rPr>
          <w:rFonts w:ascii="Arial" w:hAnsi="Arial" w:cs="Arial"/>
          <w:lang w:eastAsia="en-IN" w:bidi="mr-IN"/>
        </w:rPr>
        <w:noBreakHyphen/>
        <w:t>12, S</w:t>
      </w:r>
      <w:r w:rsidRPr="009F05B2">
        <w:rPr>
          <w:rFonts w:ascii="Arial" w:hAnsi="Arial" w:cs="Arial"/>
          <w:lang w:eastAsia="en-IN" w:bidi="mr-IN"/>
        </w:rPr>
        <w:noBreakHyphen/>
        <w:t xml:space="preserve">13) need immediate attention with targeted treatment such as </w:t>
      </w:r>
      <w:r w:rsidRPr="009F05B2">
        <w:rPr>
          <w:rFonts w:ascii="Arial" w:hAnsi="Arial" w:cs="Arial"/>
        </w:rPr>
        <w:t xml:space="preserve">expansion of sewage treatment capacity, stricter effluent controls, and enhanced monitoring to reduce organic and inorganic loads and to restore ecological integrity. </w:t>
      </w:r>
    </w:p>
    <w:p w:rsidR="00BF2911" w:rsidRDefault="00BF2911" w:rsidP="00BF2911">
      <w:pPr>
        <w:pStyle w:val="Body"/>
        <w:spacing w:after="0"/>
        <w:rPr>
          <w:rFonts w:ascii="Arial" w:hAnsi="Arial" w:cs="Arial"/>
        </w:rPr>
      </w:pPr>
    </w:p>
    <w:p w:rsidR="00005FF2" w:rsidRDefault="00005FF2" w:rsidP="00D83DA5">
      <w:pPr>
        <w:pStyle w:val="Default"/>
        <w:spacing w:after="240"/>
        <w:rPr>
          <w:sz w:val="22"/>
          <w:szCs w:val="22"/>
        </w:rPr>
      </w:pPr>
      <w:r>
        <w:rPr>
          <w:b/>
          <w:bCs/>
          <w:sz w:val="22"/>
          <w:szCs w:val="22"/>
        </w:rPr>
        <w:t xml:space="preserve">Disclaimer (Artificial Intelligence) </w:t>
      </w:r>
    </w:p>
    <w:p w:rsidR="00005FF2" w:rsidRDefault="00005FF2" w:rsidP="00005FF2">
      <w:pPr>
        <w:pStyle w:val="ReferHead"/>
        <w:spacing w:after="0"/>
        <w:jc w:val="both"/>
        <w:rPr>
          <w:rFonts w:ascii="Arial" w:hAnsi="Arial" w:cs="Arial"/>
          <w:b w:val="0"/>
          <w:bCs/>
          <w:caps w:val="0"/>
          <w:sz w:val="20"/>
        </w:rPr>
      </w:pPr>
      <w:r w:rsidRPr="00005FF2">
        <w:rPr>
          <w:rFonts w:ascii="Arial" w:hAnsi="Arial" w:cs="Arial"/>
          <w:b w:val="0"/>
          <w:bCs/>
          <w:caps w:val="0"/>
          <w:sz w:val="20"/>
        </w:rPr>
        <w:t>The</w:t>
      </w:r>
      <w:r w:rsidRPr="00005FF2">
        <w:rPr>
          <w:rFonts w:ascii="Arial" w:hAnsi="Arial" w:cs="Arial"/>
          <w:b w:val="0"/>
          <w:bCs/>
          <w:sz w:val="20"/>
        </w:rPr>
        <w:t xml:space="preserve"> </w:t>
      </w:r>
      <w:r w:rsidRPr="00005FF2">
        <w:rPr>
          <w:rFonts w:ascii="Arial" w:hAnsi="Arial" w:cs="Arial"/>
          <w:b w:val="0"/>
          <w:bCs/>
          <w:caps w:val="0"/>
          <w:sz w:val="20"/>
        </w:rPr>
        <w:t>author hereby declares that no generative AI technologies, such as large language models (</w:t>
      </w:r>
      <w:proofErr w:type="spellStart"/>
      <w:r w:rsidRPr="00005FF2">
        <w:rPr>
          <w:rFonts w:ascii="Arial" w:hAnsi="Arial" w:cs="Arial"/>
          <w:b w:val="0"/>
          <w:bCs/>
          <w:caps w:val="0"/>
          <w:sz w:val="20"/>
        </w:rPr>
        <w:t>ChatGPT</w:t>
      </w:r>
      <w:proofErr w:type="spellEnd"/>
      <w:r w:rsidRPr="00005FF2">
        <w:rPr>
          <w:rFonts w:ascii="Arial" w:hAnsi="Arial" w:cs="Arial"/>
          <w:b w:val="0"/>
          <w:bCs/>
          <w:caps w:val="0"/>
          <w:sz w:val="20"/>
        </w:rPr>
        <w:t xml:space="preserve">, COPILOT, etc.), and text-to-image generators have been used during the writing or editing of this manuscript. </w:t>
      </w:r>
    </w:p>
    <w:p w:rsidR="00005FF2" w:rsidRDefault="00005FF2" w:rsidP="00005FF2">
      <w:pPr>
        <w:pStyle w:val="ReferHead"/>
        <w:spacing w:after="0"/>
        <w:jc w:val="both"/>
        <w:rPr>
          <w:rFonts w:ascii="Arial" w:hAnsi="Arial" w:cs="Arial"/>
          <w:bCs/>
        </w:rPr>
      </w:pPr>
    </w:p>
    <w:p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rsidR="00860000" w:rsidRPr="009D58D6" w:rsidRDefault="00D83DA5" w:rsidP="005B1F50">
      <w:pPr>
        <w:pStyle w:val="ReferHead"/>
        <w:spacing w:before="240" w:after="0"/>
        <w:jc w:val="both"/>
        <w:rPr>
          <w:rFonts w:ascii="Arial" w:hAnsi="Arial" w:cs="Arial"/>
          <w:b w:val="0"/>
          <w:caps w:val="0"/>
          <w:sz w:val="20"/>
        </w:rPr>
      </w:pPr>
      <w:r>
        <w:rPr>
          <w:rFonts w:ascii="Arial" w:hAnsi="Arial" w:cs="Arial"/>
          <w:b w:val="0"/>
          <w:caps w:val="0"/>
          <w:sz w:val="20"/>
        </w:rPr>
        <w:t>The author has</w:t>
      </w:r>
      <w:r w:rsidR="00E66E10" w:rsidRPr="009D58D6">
        <w:rPr>
          <w:rFonts w:ascii="Arial" w:hAnsi="Arial" w:cs="Arial"/>
          <w:b w:val="0"/>
          <w:caps w:val="0"/>
          <w:sz w:val="20"/>
        </w:rPr>
        <w:t xml:space="preserve"> declared that no competing interests exist</w:t>
      </w:r>
      <w:r w:rsidR="009D58D6">
        <w:rPr>
          <w:rFonts w:ascii="Arial" w:hAnsi="Arial" w:cs="Arial"/>
          <w:b w:val="0"/>
          <w:caps w:val="0"/>
          <w:sz w:val="20"/>
        </w:rPr>
        <w:t>.</w:t>
      </w:r>
    </w:p>
    <w:p w:rsidR="00371FB6" w:rsidRDefault="00371FB6" w:rsidP="00E16DA4">
      <w:pPr>
        <w:pStyle w:val="ReferHead"/>
        <w:spacing w:before="240" w:after="0"/>
        <w:jc w:val="both"/>
        <w:rPr>
          <w:rFonts w:ascii="Arial" w:hAnsi="Arial" w:cs="Arial"/>
          <w:bCs/>
        </w:rPr>
      </w:pPr>
      <w:r w:rsidRPr="00371FB6">
        <w:rPr>
          <w:rFonts w:ascii="Arial" w:hAnsi="Arial" w:cs="Arial"/>
          <w:bCs/>
        </w:rPr>
        <w:t>Authors’ Contributions</w:t>
      </w:r>
    </w:p>
    <w:p w:rsidR="00D4087A" w:rsidRPr="009F05B2" w:rsidRDefault="00D4087A" w:rsidP="00E16DA4">
      <w:pPr>
        <w:spacing w:before="240"/>
        <w:ind w:firstLine="720"/>
        <w:jc w:val="both"/>
        <w:rPr>
          <w:rFonts w:ascii="Arial" w:hAnsi="Arial" w:cs="Arial"/>
        </w:rPr>
      </w:pPr>
      <w:r w:rsidRPr="009F05B2">
        <w:rPr>
          <w:rFonts w:ascii="Arial" w:hAnsi="Arial" w:cs="Arial"/>
        </w:rPr>
        <w:t xml:space="preserve">The author contributed to research, data curation, analysis, investigation, review, editing, and manuscript preparation. The author is solely responsible for </w:t>
      </w:r>
      <w:r w:rsidR="00E16DA4">
        <w:rPr>
          <w:rFonts w:ascii="Arial" w:hAnsi="Arial" w:cs="Arial"/>
        </w:rPr>
        <w:t>the</w:t>
      </w:r>
      <w:r w:rsidRPr="009F05B2">
        <w:rPr>
          <w:rFonts w:ascii="Arial" w:hAnsi="Arial" w:cs="Arial"/>
        </w:rPr>
        <w:t xml:space="preserve"> conception, methodology, data analysis, and writing. The author is also involved in revising </w:t>
      </w:r>
      <w:r w:rsidR="00D83DA5">
        <w:rPr>
          <w:rFonts w:ascii="Arial" w:hAnsi="Arial" w:cs="Arial"/>
        </w:rPr>
        <w:t>and proofreading the manuscript</w:t>
      </w:r>
      <w:r w:rsidRPr="009F05B2">
        <w:rPr>
          <w:rFonts w:ascii="Arial" w:hAnsi="Arial" w:cs="Arial"/>
        </w:rPr>
        <w:t xml:space="preserve">.  </w:t>
      </w:r>
    </w:p>
    <w:p w:rsidR="00B01FCD" w:rsidRDefault="00B01FCD" w:rsidP="009C4C9C">
      <w:pPr>
        <w:pStyle w:val="ReferHead"/>
        <w:spacing w:before="240"/>
        <w:jc w:val="both"/>
        <w:rPr>
          <w:rFonts w:ascii="Arial" w:hAnsi="Arial" w:cs="Arial"/>
        </w:rPr>
      </w:pPr>
      <w:r w:rsidRPr="00FB3A86">
        <w:rPr>
          <w:rFonts w:ascii="Arial" w:hAnsi="Arial" w:cs="Arial"/>
        </w:rPr>
        <w:t>References</w:t>
      </w:r>
    </w:p>
    <w:p w:rsidR="00ED1655" w:rsidRPr="00D83DA5" w:rsidRDefault="0070276B" w:rsidP="00740FD9">
      <w:pPr>
        <w:pStyle w:val="Bibliography"/>
        <w:spacing w:line="240" w:lineRule="auto"/>
        <w:jc w:val="both"/>
        <w:rPr>
          <w:rFonts w:ascii="Arial" w:hAnsi="Arial" w:cs="Arial"/>
          <w:szCs w:val="18"/>
        </w:rPr>
      </w:pPr>
      <w:r w:rsidRPr="00D83DA5">
        <w:rPr>
          <w:rFonts w:ascii="Arial" w:hAnsi="Arial" w:cs="Arial"/>
          <w:sz w:val="18"/>
          <w:szCs w:val="18"/>
        </w:rPr>
        <w:fldChar w:fldCharType="begin"/>
      </w:r>
      <w:r w:rsidRPr="00D83DA5">
        <w:rPr>
          <w:rFonts w:ascii="Arial" w:hAnsi="Arial" w:cs="Arial"/>
          <w:sz w:val="18"/>
          <w:szCs w:val="18"/>
        </w:rPr>
        <w:instrText xml:space="preserve"> ADDIN ZOTERO_BIBL {"uncited":[],"omitted":[],"custom":[]} CSL_BIBLIOGRAPHY </w:instrText>
      </w:r>
      <w:r w:rsidRPr="00D83DA5">
        <w:rPr>
          <w:rFonts w:ascii="Arial" w:hAnsi="Arial" w:cs="Arial"/>
          <w:sz w:val="18"/>
          <w:szCs w:val="18"/>
        </w:rPr>
        <w:fldChar w:fldCharType="separate"/>
      </w:r>
      <w:r w:rsidR="00ED1655" w:rsidRPr="00D83DA5">
        <w:rPr>
          <w:rFonts w:ascii="Arial" w:hAnsi="Arial" w:cs="Arial"/>
          <w:szCs w:val="18"/>
        </w:rPr>
        <w:t xml:space="preserve">Alam, J. B., Hossain, A., Khan, S. K., Banik, B. K., Islam, M. R., Muyen, Z. &amp; Rahman, M. H. (2007). Deterioration of water quality of Surma river. </w:t>
      </w:r>
      <w:r w:rsidR="00ED1655" w:rsidRPr="00D83DA5">
        <w:rPr>
          <w:rFonts w:ascii="Arial" w:hAnsi="Arial" w:cs="Arial"/>
          <w:i/>
          <w:iCs/>
          <w:szCs w:val="18"/>
        </w:rPr>
        <w:t>Environmental Monitoring and Assessment</w:t>
      </w:r>
      <w:r w:rsidR="00ED1655" w:rsidRPr="00D83DA5">
        <w:rPr>
          <w:rFonts w:ascii="Arial" w:hAnsi="Arial" w:cs="Arial"/>
          <w:szCs w:val="18"/>
        </w:rPr>
        <w:t xml:space="preserve">, </w:t>
      </w:r>
      <w:r w:rsidR="00ED1655" w:rsidRPr="00D83DA5">
        <w:rPr>
          <w:rFonts w:ascii="Arial" w:hAnsi="Arial" w:cs="Arial"/>
          <w:i/>
          <w:iCs/>
          <w:szCs w:val="18"/>
        </w:rPr>
        <w:t>134</w:t>
      </w:r>
      <w:r w:rsidR="00ED1655" w:rsidRPr="00D83DA5">
        <w:rPr>
          <w:rFonts w:ascii="Arial" w:hAnsi="Arial" w:cs="Arial"/>
          <w:szCs w:val="18"/>
        </w:rPr>
        <w:t>(1–3), 233–242. https://doi.org/10.1007/s10661-007-9612-7</w:t>
      </w:r>
    </w:p>
    <w:p w:rsidR="00ED1655" w:rsidRPr="00D83DA5" w:rsidRDefault="00ED1655" w:rsidP="00740FD9">
      <w:pPr>
        <w:pStyle w:val="Bibliography"/>
        <w:spacing w:line="240" w:lineRule="auto"/>
        <w:jc w:val="both"/>
        <w:rPr>
          <w:rFonts w:ascii="Arial" w:hAnsi="Arial" w:cs="Arial"/>
          <w:szCs w:val="18"/>
        </w:rPr>
      </w:pPr>
      <w:r w:rsidRPr="00D83DA5">
        <w:rPr>
          <w:rFonts w:ascii="Arial" w:hAnsi="Arial" w:cs="Arial"/>
          <w:szCs w:val="18"/>
        </w:rPr>
        <w:t xml:space="preserve">Alobaidy, A. H. M. J., Abid, H. S. &amp; Maulood, B. K. (2010). Application of Water Quality Index for Assessment of Dokan Lake Ecosystem, Kurdistan Region, Iraq. </w:t>
      </w:r>
      <w:r w:rsidRPr="00D83DA5">
        <w:rPr>
          <w:rFonts w:ascii="Arial" w:hAnsi="Arial" w:cs="Arial"/>
          <w:i/>
          <w:iCs/>
          <w:szCs w:val="18"/>
        </w:rPr>
        <w:t>Journal of Water Resource and Protection</w:t>
      </w:r>
      <w:r w:rsidRPr="00D83DA5">
        <w:rPr>
          <w:rFonts w:ascii="Arial" w:hAnsi="Arial" w:cs="Arial"/>
          <w:szCs w:val="18"/>
        </w:rPr>
        <w:t xml:space="preserve">, </w:t>
      </w:r>
      <w:r w:rsidRPr="00D83DA5">
        <w:rPr>
          <w:rFonts w:ascii="Arial" w:hAnsi="Arial" w:cs="Arial"/>
          <w:i/>
          <w:iCs/>
          <w:szCs w:val="18"/>
        </w:rPr>
        <w:t>02</w:t>
      </w:r>
      <w:r w:rsidRPr="00D83DA5">
        <w:rPr>
          <w:rFonts w:ascii="Arial" w:hAnsi="Arial" w:cs="Arial"/>
          <w:szCs w:val="18"/>
        </w:rPr>
        <w:t>(09), 792–798. https://doi.org/10.4236/jwarp.2010.29093</w:t>
      </w:r>
    </w:p>
    <w:p w:rsidR="00ED1655" w:rsidRPr="00D83DA5" w:rsidRDefault="00ED1655" w:rsidP="00740FD9">
      <w:pPr>
        <w:pStyle w:val="Bibliography"/>
        <w:spacing w:line="240" w:lineRule="auto"/>
        <w:jc w:val="both"/>
        <w:rPr>
          <w:rFonts w:ascii="Arial" w:hAnsi="Arial" w:cs="Arial"/>
          <w:szCs w:val="18"/>
        </w:rPr>
      </w:pPr>
      <w:r w:rsidRPr="00D83DA5">
        <w:rPr>
          <w:rFonts w:ascii="Arial" w:hAnsi="Arial" w:cs="Arial"/>
          <w:szCs w:val="18"/>
        </w:rPr>
        <w:t xml:space="preserve">Antonakos, A. &amp; Lambrakis, N. (2021). Spatial Interpolation for the Distribution of Groundwater Level in an Area of </w:t>
      </w:r>
      <w:r w:rsidRPr="00D83DA5">
        <w:rPr>
          <w:rFonts w:ascii="Arial" w:hAnsi="Arial" w:cs="Arial"/>
          <w:sz w:val="18"/>
          <w:szCs w:val="16"/>
        </w:rPr>
        <w:t>Complex</w:t>
      </w:r>
      <w:r w:rsidRPr="00D83DA5">
        <w:rPr>
          <w:rFonts w:ascii="Arial" w:hAnsi="Arial" w:cs="Arial"/>
          <w:szCs w:val="18"/>
        </w:rPr>
        <w:t xml:space="preserve"> Geology Using Widely Available GIS Tools. </w:t>
      </w:r>
      <w:r w:rsidRPr="00D83DA5">
        <w:rPr>
          <w:rFonts w:ascii="Arial" w:hAnsi="Arial" w:cs="Arial"/>
          <w:i/>
          <w:iCs/>
          <w:szCs w:val="18"/>
        </w:rPr>
        <w:t>Environmental Processes</w:t>
      </w:r>
      <w:r w:rsidRPr="00D83DA5">
        <w:rPr>
          <w:rFonts w:ascii="Arial" w:hAnsi="Arial" w:cs="Arial"/>
          <w:szCs w:val="18"/>
        </w:rPr>
        <w:t xml:space="preserve">, </w:t>
      </w:r>
      <w:r w:rsidRPr="00D83DA5">
        <w:rPr>
          <w:rFonts w:ascii="Arial" w:hAnsi="Arial" w:cs="Arial"/>
          <w:i/>
          <w:iCs/>
          <w:szCs w:val="18"/>
        </w:rPr>
        <w:t>8</w:t>
      </w:r>
      <w:r w:rsidRPr="00D83DA5">
        <w:rPr>
          <w:rFonts w:ascii="Arial" w:hAnsi="Arial" w:cs="Arial"/>
          <w:szCs w:val="18"/>
        </w:rPr>
        <w:t>(3), 993–1026. https://doi.org/10.1007/s40710-021-00529-9</w:t>
      </w:r>
    </w:p>
    <w:p w:rsidR="00ED1655" w:rsidRPr="00D83DA5" w:rsidRDefault="00ED1655" w:rsidP="00740FD9">
      <w:pPr>
        <w:pStyle w:val="Bibliography"/>
        <w:spacing w:line="240" w:lineRule="auto"/>
        <w:jc w:val="both"/>
        <w:rPr>
          <w:rFonts w:ascii="Arial" w:hAnsi="Arial" w:cs="Arial"/>
          <w:szCs w:val="18"/>
        </w:rPr>
      </w:pPr>
      <w:r w:rsidRPr="00D83DA5">
        <w:rPr>
          <w:rFonts w:ascii="Arial" w:hAnsi="Arial" w:cs="Arial"/>
          <w:szCs w:val="18"/>
        </w:rPr>
        <w:t xml:space="preserve">Boniphace, E. R. &amp; Willems, P. (2011). Impact of dependence in river flow data on flood frequency analysis based on regression in quantile plots: Analysis and solutions. </w:t>
      </w:r>
      <w:r w:rsidRPr="00D83DA5">
        <w:rPr>
          <w:rFonts w:ascii="Arial" w:hAnsi="Arial" w:cs="Arial"/>
          <w:i/>
          <w:iCs/>
          <w:szCs w:val="18"/>
        </w:rPr>
        <w:lastRenderedPageBreak/>
        <w:t>Water Resources Research</w:t>
      </w:r>
      <w:r w:rsidRPr="00D83DA5">
        <w:rPr>
          <w:rFonts w:ascii="Arial" w:hAnsi="Arial" w:cs="Arial"/>
          <w:szCs w:val="18"/>
        </w:rPr>
        <w:t xml:space="preserve">, </w:t>
      </w:r>
      <w:r w:rsidRPr="00D83DA5">
        <w:rPr>
          <w:rFonts w:ascii="Arial" w:hAnsi="Arial" w:cs="Arial"/>
          <w:i/>
          <w:iCs/>
          <w:szCs w:val="18"/>
        </w:rPr>
        <w:t>47</w:t>
      </w:r>
      <w:r w:rsidRPr="00D83DA5">
        <w:rPr>
          <w:rFonts w:ascii="Arial" w:hAnsi="Arial" w:cs="Arial"/>
          <w:szCs w:val="18"/>
        </w:rPr>
        <w:t>(12), 2010WR010160. https://doi.org/10.1029/2010WR010160</w:t>
      </w:r>
    </w:p>
    <w:p w:rsidR="00ED1655" w:rsidRPr="00D83DA5" w:rsidRDefault="00ED1655" w:rsidP="00740FD9">
      <w:pPr>
        <w:pStyle w:val="Bibliography"/>
        <w:spacing w:line="240" w:lineRule="auto"/>
        <w:jc w:val="both"/>
        <w:rPr>
          <w:rFonts w:ascii="Arial" w:hAnsi="Arial" w:cs="Arial"/>
          <w:szCs w:val="18"/>
        </w:rPr>
      </w:pPr>
      <w:r w:rsidRPr="00D83DA5">
        <w:rPr>
          <w:rFonts w:ascii="Arial" w:hAnsi="Arial" w:cs="Arial"/>
          <w:szCs w:val="18"/>
        </w:rPr>
        <w:t xml:space="preserve">Chacko, N. &amp; Jayaram, C. (2025). Assessing coastal water quality along Odisha using Landsat-8: Insights into seasonal and spatial variability. </w:t>
      </w:r>
      <w:r w:rsidRPr="00D83DA5">
        <w:rPr>
          <w:rFonts w:ascii="Arial" w:hAnsi="Arial" w:cs="Arial"/>
          <w:i/>
          <w:iCs/>
          <w:szCs w:val="18"/>
        </w:rPr>
        <w:t>Journal of Earth System Science</w:t>
      </w:r>
      <w:r w:rsidRPr="00D83DA5">
        <w:rPr>
          <w:rFonts w:ascii="Arial" w:hAnsi="Arial" w:cs="Arial"/>
          <w:szCs w:val="18"/>
        </w:rPr>
        <w:t xml:space="preserve">, </w:t>
      </w:r>
      <w:r w:rsidRPr="00D83DA5">
        <w:rPr>
          <w:rFonts w:ascii="Arial" w:hAnsi="Arial" w:cs="Arial"/>
          <w:i/>
          <w:iCs/>
          <w:szCs w:val="18"/>
        </w:rPr>
        <w:t>134</w:t>
      </w:r>
      <w:r w:rsidRPr="00D83DA5">
        <w:rPr>
          <w:rFonts w:ascii="Arial" w:hAnsi="Arial" w:cs="Arial"/>
          <w:szCs w:val="18"/>
        </w:rPr>
        <w:t>(2), 79. https://doi.org/10.1007/s12040-025-02543-z</w:t>
      </w:r>
    </w:p>
    <w:p w:rsidR="00ED1655" w:rsidRPr="00D83DA5" w:rsidRDefault="00ED1655" w:rsidP="00740FD9">
      <w:pPr>
        <w:pStyle w:val="Bibliography"/>
        <w:spacing w:line="240" w:lineRule="auto"/>
        <w:jc w:val="both"/>
        <w:rPr>
          <w:rFonts w:ascii="Arial" w:hAnsi="Arial" w:cs="Arial"/>
          <w:szCs w:val="18"/>
        </w:rPr>
      </w:pPr>
      <w:r w:rsidRPr="00D83DA5">
        <w:rPr>
          <w:rFonts w:ascii="Arial" w:hAnsi="Arial" w:cs="Arial"/>
          <w:szCs w:val="18"/>
        </w:rPr>
        <w:t xml:space="preserve">Dheeraj, V. P., Singh, C. S., Sonkar, A. K. &amp; Kishore, N. (2023). Assessment of surface and ground water quality around Korba Coalfield, India: an integrated approach of water quality index, multivariate statistics analysis and GIS technique. </w:t>
      </w:r>
      <w:r w:rsidRPr="00D83DA5">
        <w:rPr>
          <w:rFonts w:ascii="Arial" w:hAnsi="Arial" w:cs="Arial"/>
          <w:i/>
          <w:iCs/>
          <w:szCs w:val="18"/>
        </w:rPr>
        <w:t>Sustainable Water Resources Management</w:t>
      </w:r>
      <w:r w:rsidRPr="00D83DA5">
        <w:rPr>
          <w:rFonts w:ascii="Arial" w:hAnsi="Arial" w:cs="Arial"/>
          <w:szCs w:val="18"/>
        </w:rPr>
        <w:t xml:space="preserve">, </w:t>
      </w:r>
      <w:r w:rsidRPr="00D83DA5">
        <w:rPr>
          <w:rFonts w:ascii="Arial" w:hAnsi="Arial" w:cs="Arial"/>
          <w:i/>
          <w:iCs/>
          <w:szCs w:val="18"/>
        </w:rPr>
        <w:t>9</w:t>
      </w:r>
      <w:r w:rsidRPr="00D83DA5">
        <w:rPr>
          <w:rFonts w:ascii="Arial" w:hAnsi="Arial" w:cs="Arial"/>
          <w:szCs w:val="18"/>
        </w:rPr>
        <w:t>(6), 191. https://doi.org/10.1007/s40899-023-00973-5</w:t>
      </w:r>
    </w:p>
    <w:p w:rsidR="00ED1655" w:rsidRPr="00D83DA5" w:rsidRDefault="00ED1655" w:rsidP="00740FD9">
      <w:pPr>
        <w:pStyle w:val="Bibliography"/>
        <w:spacing w:line="240" w:lineRule="auto"/>
        <w:jc w:val="both"/>
        <w:rPr>
          <w:rFonts w:ascii="Arial" w:hAnsi="Arial" w:cs="Arial"/>
          <w:szCs w:val="18"/>
        </w:rPr>
      </w:pPr>
      <w:r w:rsidRPr="00D83DA5">
        <w:rPr>
          <w:rFonts w:ascii="Arial" w:hAnsi="Arial" w:cs="Arial"/>
          <w:szCs w:val="18"/>
        </w:rPr>
        <w:t xml:space="preserve">Ewaid, S. H. &amp; Abed, S. A. (2017). Water quality index for Al-Gharraf River, southern Iraq. </w:t>
      </w:r>
      <w:r w:rsidRPr="00D83DA5">
        <w:rPr>
          <w:rFonts w:ascii="Arial" w:hAnsi="Arial" w:cs="Arial"/>
          <w:i/>
          <w:iCs/>
          <w:szCs w:val="18"/>
        </w:rPr>
        <w:t>Egyptian Journal of Aquatic Research</w:t>
      </w:r>
      <w:r w:rsidRPr="00D83DA5">
        <w:rPr>
          <w:rFonts w:ascii="Arial" w:hAnsi="Arial" w:cs="Arial"/>
          <w:szCs w:val="18"/>
        </w:rPr>
        <w:t xml:space="preserve">, </w:t>
      </w:r>
      <w:r w:rsidRPr="00D83DA5">
        <w:rPr>
          <w:rFonts w:ascii="Arial" w:hAnsi="Arial" w:cs="Arial"/>
          <w:i/>
          <w:iCs/>
          <w:szCs w:val="18"/>
        </w:rPr>
        <w:t>43</w:t>
      </w:r>
      <w:r w:rsidRPr="00D83DA5">
        <w:rPr>
          <w:rFonts w:ascii="Arial" w:hAnsi="Arial" w:cs="Arial"/>
          <w:szCs w:val="18"/>
        </w:rPr>
        <w:t>(2), 117–122. https://doi.org/10.1016/j.ejar.2017.03.001</w:t>
      </w:r>
    </w:p>
    <w:p w:rsidR="00ED1655" w:rsidRPr="00D83DA5" w:rsidRDefault="00ED1655" w:rsidP="00740FD9">
      <w:pPr>
        <w:pStyle w:val="Bibliography"/>
        <w:spacing w:line="240" w:lineRule="auto"/>
        <w:jc w:val="both"/>
        <w:rPr>
          <w:rFonts w:ascii="Arial" w:hAnsi="Arial" w:cs="Arial"/>
          <w:szCs w:val="18"/>
        </w:rPr>
      </w:pPr>
      <w:r w:rsidRPr="00D83DA5">
        <w:rPr>
          <w:rFonts w:ascii="Arial" w:hAnsi="Arial" w:cs="Arial"/>
          <w:szCs w:val="18"/>
        </w:rPr>
        <w:t xml:space="preserve">Fan, X., Cui, B., Zhao, H., Zhang, Z. &amp; Zhang, H. (2010). Assessment of river water quality in Pearl River Delta using multivariate statistical techniques. </w:t>
      </w:r>
      <w:r w:rsidRPr="00D83DA5">
        <w:rPr>
          <w:rFonts w:ascii="Arial" w:hAnsi="Arial" w:cs="Arial"/>
          <w:i/>
          <w:iCs/>
          <w:szCs w:val="18"/>
        </w:rPr>
        <w:t>Procedia Environmental Sciences</w:t>
      </w:r>
      <w:r w:rsidRPr="00D83DA5">
        <w:rPr>
          <w:rFonts w:ascii="Arial" w:hAnsi="Arial" w:cs="Arial"/>
          <w:szCs w:val="18"/>
        </w:rPr>
        <w:t xml:space="preserve">, </w:t>
      </w:r>
      <w:r w:rsidRPr="00D83DA5">
        <w:rPr>
          <w:rFonts w:ascii="Arial" w:hAnsi="Arial" w:cs="Arial"/>
          <w:i/>
          <w:iCs/>
          <w:szCs w:val="18"/>
        </w:rPr>
        <w:t>2</w:t>
      </w:r>
      <w:r w:rsidRPr="00D83DA5">
        <w:rPr>
          <w:rFonts w:ascii="Arial" w:hAnsi="Arial" w:cs="Arial"/>
          <w:szCs w:val="18"/>
        </w:rPr>
        <w:t>, 1220–1234. https://doi.org/10.1016/j.proenv.2010.10.133</w:t>
      </w:r>
    </w:p>
    <w:p w:rsidR="00ED1655" w:rsidRPr="00D83DA5" w:rsidRDefault="00ED1655" w:rsidP="00740FD9">
      <w:pPr>
        <w:pStyle w:val="Bibliography"/>
        <w:spacing w:line="240" w:lineRule="auto"/>
        <w:jc w:val="both"/>
        <w:rPr>
          <w:rFonts w:ascii="Arial" w:hAnsi="Arial" w:cs="Arial"/>
          <w:szCs w:val="18"/>
        </w:rPr>
      </w:pPr>
      <w:r w:rsidRPr="00D83DA5">
        <w:rPr>
          <w:rFonts w:ascii="Arial" w:hAnsi="Arial" w:cs="Arial"/>
          <w:szCs w:val="18"/>
        </w:rPr>
        <w:t xml:space="preserve">Hinostroza, S. D. C., Rojas, C. A. T., Limache, D. L. P. &amp; Romero, C. J. P. (2025). Determination of the Water Quality Index (ICA-PE) of Lake Chinchaycocha, Junín, Peru. </w:t>
      </w:r>
      <w:r w:rsidRPr="00D83DA5">
        <w:rPr>
          <w:rFonts w:ascii="Arial" w:hAnsi="Arial" w:cs="Arial"/>
          <w:i/>
          <w:iCs/>
          <w:szCs w:val="18"/>
        </w:rPr>
        <w:t>Nature Environment and Pollution Technology</w:t>
      </w:r>
      <w:r w:rsidRPr="00D83DA5">
        <w:rPr>
          <w:rFonts w:ascii="Arial" w:hAnsi="Arial" w:cs="Arial"/>
          <w:szCs w:val="18"/>
        </w:rPr>
        <w:t xml:space="preserve">, </w:t>
      </w:r>
      <w:r w:rsidRPr="00D83DA5">
        <w:rPr>
          <w:rFonts w:ascii="Arial" w:hAnsi="Arial" w:cs="Arial"/>
          <w:i/>
          <w:iCs/>
          <w:szCs w:val="18"/>
        </w:rPr>
        <w:t>24</w:t>
      </w:r>
      <w:r w:rsidRPr="00D83DA5">
        <w:rPr>
          <w:rFonts w:ascii="Arial" w:hAnsi="Arial" w:cs="Arial"/>
          <w:szCs w:val="18"/>
        </w:rPr>
        <w:t>(2), D1707. https://doi.org/10.46488/nept.2025.v24i02.d1707</w:t>
      </w:r>
    </w:p>
    <w:p w:rsidR="00ED1655" w:rsidRPr="00D83DA5" w:rsidRDefault="00ED1655" w:rsidP="00740FD9">
      <w:pPr>
        <w:pStyle w:val="Bibliography"/>
        <w:spacing w:line="240" w:lineRule="auto"/>
        <w:jc w:val="both"/>
        <w:rPr>
          <w:rFonts w:ascii="Arial" w:hAnsi="Arial" w:cs="Arial"/>
          <w:szCs w:val="18"/>
        </w:rPr>
      </w:pPr>
      <w:r w:rsidRPr="00D83DA5">
        <w:rPr>
          <w:rFonts w:ascii="Arial" w:hAnsi="Arial" w:cs="Arial"/>
          <w:szCs w:val="18"/>
        </w:rPr>
        <w:t xml:space="preserve">Hoseinzadeh, E., Khorsandi, H., Wei, C. &amp; Alipour, M. (2015). Evaluation of Aydughmush River water quality using the National Sanitation Foundation Water Quality Index (NSFWQI), River Pollution Index (RPI), and Forestry Water Quality Index (FWQI). </w:t>
      </w:r>
      <w:r w:rsidRPr="00D83DA5">
        <w:rPr>
          <w:rFonts w:ascii="Arial" w:hAnsi="Arial" w:cs="Arial"/>
          <w:i/>
          <w:iCs/>
          <w:szCs w:val="18"/>
        </w:rPr>
        <w:t>Desalination and Water Treatment</w:t>
      </w:r>
      <w:r w:rsidRPr="00D83DA5">
        <w:rPr>
          <w:rFonts w:ascii="Arial" w:hAnsi="Arial" w:cs="Arial"/>
          <w:szCs w:val="18"/>
        </w:rPr>
        <w:t xml:space="preserve">, </w:t>
      </w:r>
      <w:r w:rsidRPr="00D83DA5">
        <w:rPr>
          <w:rFonts w:ascii="Arial" w:hAnsi="Arial" w:cs="Arial"/>
          <w:i/>
          <w:iCs/>
          <w:szCs w:val="18"/>
        </w:rPr>
        <w:t>54</w:t>
      </w:r>
      <w:r w:rsidRPr="00D83DA5">
        <w:rPr>
          <w:rFonts w:ascii="Arial" w:hAnsi="Arial" w:cs="Arial"/>
          <w:szCs w:val="18"/>
        </w:rPr>
        <w:t>(11), 2994–3002. https://doi.org/10.1080/19443994.2014.913206</w:t>
      </w:r>
    </w:p>
    <w:p w:rsidR="00ED1655" w:rsidRPr="00D83DA5" w:rsidRDefault="00ED1655" w:rsidP="00740FD9">
      <w:pPr>
        <w:pStyle w:val="Bibliography"/>
        <w:spacing w:line="240" w:lineRule="auto"/>
        <w:jc w:val="both"/>
        <w:rPr>
          <w:rFonts w:ascii="Arial" w:hAnsi="Arial" w:cs="Arial"/>
          <w:szCs w:val="18"/>
        </w:rPr>
      </w:pPr>
      <w:r w:rsidRPr="00D83DA5">
        <w:rPr>
          <w:rFonts w:ascii="Arial" w:hAnsi="Arial" w:cs="Arial"/>
          <w:szCs w:val="18"/>
        </w:rPr>
        <w:t xml:space="preserve">Khalili, R. &amp; Moridi, A. (2025). A Comprehensive Review of Eutrophication in Water Resources: From Identifying Contributing Factors to Proposing Management Strategies. </w:t>
      </w:r>
      <w:r w:rsidRPr="00D83DA5">
        <w:rPr>
          <w:rFonts w:ascii="Arial" w:hAnsi="Arial" w:cs="Arial"/>
          <w:i/>
          <w:iCs/>
          <w:szCs w:val="18"/>
        </w:rPr>
        <w:t>Interdisciplinary Journal of Civil Engineering</w:t>
      </w:r>
      <w:r w:rsidRPr="00D83DA5">
        <w:rPr>
          <w:rFonts w:ascii="Arial" w:hAnsi="Arial" w:cs="Arial"/>
          <w:szCs w:val="18"/>
        </w:rPr>
        <w:t xml:space="preserve">, </w:t>
      </w:r>
      <w:r w:rsidRPr="00D83DA5">
        <w:rPr>
          <w:rFonts w:ascii="Arial" w:hAnsi="Arial" w:cs="Arial"/>
          <w:i/>
          <w:iCs/>
          <w:szCs w:val="18"/>
        </w:rPr>
        <w:t>1</w:t>
      </w:r>
      <w:r w:rsidRPr="00D83DA5">
        <w:rPr>
          <w:rFonts w:ascii="Arial" w:hAnsi="Arial" w:cs="Arial"/>
          <w:szCs w:val="18"/>
        </w:rPr>
        <w:t>(1). https://doi.org/10.48308/ijce.2025.240047.1003</w:t>
      </w:r>
    </w:p>
    <w:p w:rsidR="00ED1655" w:rsidRPr="00D83DA5" w:rsidRDefault="00ED1655" w:rsidP="00740FD9">
      <w:pPr>
        <w:pStyle w:val="Bibliography"/>
        <w:spacing w:line="240" w:lineRule="auto"/>
        <w:jc w:val="both"/>
        <w:rPr>
          <w:rFonts w:ascii="Arial" w:hAnsi="Arial" w:cs="Arial"/>
          <w:szCs w:val="18"/>
        </w:rPr>
      </w:pPr>
      <w:r w:rsidRPr="00D83DA5">
        <w:rPr>
          <w:rFonts w:ascii="Arial" w:hAnsi="Arial" w:cs="Arial"/>
          <w:szCs w:val="18"/>
        </w:rPr>
        <w:t xml:space="preserve">Kumar, A. &amp; Singh, A. (2024). Pollution source characterization and evaluation of groundwater quality utilizing an integrated approach of Water Quality Index, GIS and multivariate statistical analysis. </w:t>
      </w:r>
      <w:r w:rsidRPr="00D83DA5">
        <w:rPr>
          <w:rFonts w:ascii="Arial" w:hAnsi="Arial" w:cs="Arial"/>
          <w:i/>
          <w:iCs/>
          <w:szCs w:val="18"/>
        </w:rPr>
        <w:t>Water Supply</w:t>
      </w:r>
      <w:r w:rsidRPr="00D83DA5">
        <w:rPr>
          <w:rFonts w:ascii="Arial" w:hAnsi="Arial" w:cs="Arial"/>
          <w:szCs w:val="18"/>
        </w:rPr>
        <w:t xml:space="preserve">, </w:t>
      </w:r>
      <w:r w:rsidRPr="00D83DA5">
        <w:rPr>
          <w:rFonts w:ascii="Arial" w:hAnsi="Arial" w:cs="Arial"/>
          <w:i/>
          <w:iCs/>
          <w:szCs w:val="18"/>
        </w:rPr>
        <w:t>24</w:t>
      </w:r>
      <w:r w:rsidRPr="00D83DA5">
        <w:rPr>
          <w:rFonts w:ascii="Arial" w:hAnsi="Arial" w:cs="Arial"/>
          <w:szCs w:val="18"/>
        </w:rPr>
        <w:t>(10), 3517–3539. https://doi.org/10.2166/ws.2024.213</w:t>
      </w:r>
    </w:p>
    <w:p w:rsidR="00ED1655" w:rsidRPr="00D83DA5" w:rsidRDefault="00ED1655" w:rsidP="00740FD9">
      <w:pPr>
        <w:pStyle w:val="Bibliography"/>
        <w:spacing w:line="240" w:lineRule="auto"/>
        <w:jc w:val="both"/>
        <w:rPr>
          <w:rFonts w:ascii="Arial" w:hAnsi="Arial" w:cs="Arial"/>
          <w:szCs w:val="18"/>
        </w:rPr>
      </w:pPr>
      <w:r w:rsidRPr="00D83DA5">
        <w:rPr>
          <w:rFonts w:ascii="Arial" w:hAnsi="Arial" w:cs="Arial"/>
          <w:szCs w:val="18"/>
        </w:rPr>
        <w:t xml:space="preserve">Lacalamita, D., Mongioví, C. &amp; Crini, G. (2024). Chemical oxygen demand and biochemical oxygen demand analysis of discharge waters from laundry industry: monitoring, temporal variability, and biodegradability. </w:t>
      </w:r>
      <w:r w:rsidRPr="00D83DA5">
        <w:rPr>
          <w:rFonts w:ascii="Arial" w:hAnsi="Arial" w:cs="Arial"/>
          <w:i/>
          <w:iCs/>
          <w:szCs w:val="18"/>
        </w:rPr>
        <w:t>Frontiers in Environmental Science</w:t>
      </w:r>
      <w:r w:rsidRPr="00D83DA5">
        <w:rPr>
          <w:rFonts w:ascii="Arial" w:hAnsi="Arial" w:cs="Arial"/>
          <w:szCs w:val="18"/>
        </w:rPr>
        <w:t xml:space="preserve">, </w:t>
      </w:r>
      <w:r w:rsidRPr="00D83DA5">
        <w:rPr>
          <w:rFonts w:ascii="Arial" w:hAnsi="Arial" w:cs="Arial"/>
          <w:i/>
          <w:iCs/>
          <w:szCs w:val="18"/>
        </w:rPr>
        <w:t>12</w:t>
      </w:r>
      <w:r w:rsidRPr="00D83DA5">
        <w:rPr>
          <w:rFonts w:ascii="Arial" w:hAnsi="Arial" w:cs="Arial"/>
          <w:szCs w:val="18"/>
        </w:rPr>
        <w:t>, 1387041. https://doi.org/10.3389/fenvs.2024.1387041</w:t>
      </w:r>
    </w:p>
    <w:p w:rsidR="00ED1655" w:rsidRPr="00D83DA5" w:rsidRDefault="00ED1655" w:rsidP="00740FD9">
      <w:pPr>
        <w:pStyle w:val="Bibliography"/>
        <w:spacing w:line="240" w:lineRule="auto"/>
        <w:jc w:val="both"/>
        <w:rPr>
          <w:rFonts w:ascii="Arial" w:hAnsi="Arial" w:cs="Arial"/>
          <w:szCs w:val="18"/>
        </w:rPr>
      </w:pPr>
      <w:r w:rsidRPr="00D83DA5">
        <w:rPr>
          <w:rFonts w:ascii="Arial" w:hAnsi="Arial" w:cs="Arial"/>
          <w:szCs w:val="18"/>
        </w:rPr>
        <w:t xml:space="preserve">Mukate, S., Wagh, V., Panaskar, D., Jacobs, J. A. &amp; Sawant, A. (2019). Development of new integrated water quality index (IWQI) model to evaluate the drinking suitability of water. </w:t>
      </w:r>
      <w:r w:rsidRPr="00D83DA5">
        <w:rPr>
          <w:rFonts w:ascii="Arial" w:hAnsi="Arial" w:cs="Arial"/>
          <w:i/>
          <w:iCs/>
          <w:szCs w:val="18"/>
        </w:rPr>
        <w:t>Ecological Indicators</w:t>
      </w:r>
      <w:r w:rsidRPr="00D83DA5">
        <w:rPr>
          <w:rFonts w:ascii="Arial" w:hAnsi="Arial" w:cs="Arial"/>
          <w:szCs w:val="18"/>
        </w:rPr>
        <w:t xml:space="preserve">, </w:t>
      </w:r>
      <w:r w:rsidRPr="00D83DA5">
        <w:rPr>
          <w:rFonts w:ascii="Arial" w:hAnsi="Arial" w:cs="Arial"/>
          <w:i/>
          <w:iCs/>
          <w:szCs w:val="18"/>
        </w:rPr>
        <w:t>101</w:t>
      </w:r>
      <w:r w:rsidRPr="00D83DA5">
        <w:rPr>
          <w:rFonts w:ascii="Arial" w:hAnsi="Arial" w:cs="Arial"/>
          <w:szCs w:val="18"/>
        </w:rPr>
        <w:t>, 348–354. https://doi.org/10.1016/j.ecolind.2019.01.034</w:t>
      </w:r>
    </w:p>
    <w:p w:rsidR="00ED1655" w:rsidRPr="00D83DA5" w:rsidRDefault="00ED1655" w:rsidP="00740FD9">
      <w:pPr>
        <w:pStyle w:val="Bibliography"/>
        <w:spacing w:line="240" w:lineRule="auto"/>
        <w:jc w:val="both"/>
        <w:rPr>
          <w:rFonts w:ascii="Arial" w:hAnsi="Arial" w:cs="Arial"/>
          <w:szCs w:val="18"/>
        </w:rPr>
      </w:pPr>
      <w:r w:rsidRPr="00D83DA5">
        <w:rPr>
          <w:rFonts w:ascii="Arial" w:hAnsi="Arial" w:cs="Arial"/>
          <w:szCs w:val="18"/>
        </w:rPr>
        <w:t xml:space="preserve">Pramanik, A. K., Majumdar, D. &amp; Chatterjee, A. (2020a). Factors affecting lean, wet-season water quality of Tilaiya reservoir in Koderma District, India during 2013–2017. </w:t>
      </w:r>
      <w:r w:rsidRPr="00D83DA5">
        <w:rPr>
          <w:rFonts w:ascii="Arial" w:hAnsi="Arial" w:cs="Arial"/>
          <w:i/>
          <w:iCs/>
          <w:szCs w:val="18"/>
        </w:rPr>
        <w:t>Water Science</w:t>
      </w:r>
      <w:r w:rsidRPr="00D83DA5">
        <w:rPr>
          <w:rFonts w:ascii="Arial" w:hAnsi="Arial" w:cs="Arial"/>
          <w:szCs w:val="18"/>
        </w:rPr>
        <w:t xml:space="preserve">, </w:t>
      </w:r>
      <w:r w:rsidRPr="00D83DA5">
        <w:rPr>
          <w:rFonts w:ascii="Arial" w:hAnsi="Arial" w:cs="Arial"/>
          <w:i/>
          <w:iCs/>
          <w:szCs w:val="18"/>
        </w:rPr>
        <w:t>34</w:t>
      </w:r>
      <w:r w:rsidRPr="00D83DA5">
        <w:rPr>
          <w:rFonts w:ascii="Arial" w:hAnsi="Arial" w:cs="Arial"/>
          <w:szCs w:val="18"/>
        </w:rPr>
        <w:t>(1), 85–97. https://doi.org/10.1080/11104929.2020.1765451</w:t>
      </w:r>
    </w:p>
    <w:p w:rsidR="00ED1655" w:rsidRPr="00D83DA5" w:rsidRDefault="00ED1655" w:rsidP="00740FD9">
      <w:pPr>
        <w:pStyle w:val="Bibliography"/>
        <w:spacing w:line="240" w:lineRule="auto"/>
        <w:jc w:val="both"/>
        <w:rPr>
          <w:rFonts w:ascii="Arial" w:hAnsi="Arial" w:cs="Arial"/>
          <w:szCs w:val="18"/>
        </w:rPr>
      </w:pPr>
      <w:r w:rsidRPr="00D83DA5">
        <w:rPr>
          <w:rFonts w:ascii="Arial" w:hAnsi="Arial" w:cs="Arial"/>
          <w:szCs w:val="18"/>
        </w:rPr>
        <w:t xml:space="preserve">Pramanik, A. K., Majumdar, D. &amp; Chatterjee, A. (2020b). Factors affecting lean, wet-season water quality of Tilaiya reservoir in Koderma District, India during 2013–2017. </w:t>
      </w:r>
      <w:r w:rsidRPr="00D83DA5">
        <w:rPr>
          <w:rFonts w:ascii="Arial" w:hAnsi="Arial" w:cs="Arial"/>
          <w:i/>
          <w:iCs/>
          <w:szCs w:val="18"/>
        </w:rPr>
        <w:t>Water Science</w:t>
      </w:r>
      <w:r w:rsidRPr="00D83DA5">
        <w:rPr>
          <w:rFonts w:ascii="Arial" w:hAnsi="Arial" w:cs="Arial"/>
          <w:szCs w:val="18"/>
        </w:rPr>
        <w:t xml:space="preserve">, </w:t>
      </w:r>
      <w:r w:rsidRPr="00D83DA5">
        <w:rPr>
          <w:rFonts w:ascii="Arial" w:hAnsi="Arial" w:cs="Arial"/>
          <w:i/>
          <w:iCs/>
          <w:szCs w:val="18"/>
        </w:rPr>
        <w:t>34</w:t>
      </w:r>
      <w:r w:rsidRPr="00D83DA5">
        <w:rPr>
          <w:rFonts w:ascii="Arial" w:hAnsi="Arial" w:cs="Arial"/>
          <w:szCs w:val="18"/>
        </w:rPr>
        <w:t>(1), 85–97. https://doi.org/10.1080/11104929.2020.1765451</w:t>
      </w:r>
    </w:p>
    <w:p w:rsidR="00ED1655" w:rsidRPr="00D83DA5" w:rsidRDefault="00ED1655" w:rsidP="00740FD9">
      <w:pPr>
        <w:pStyle w:val="Bibliography"/>
        <w:spacing w:line="240" w:lineRule="auto"/>
        <w:jc w:val="both"/>
        <w:rPr>
          <w:rFonts w:ascii="Arial" w:hAnsi="Arial" w:cs="Arial"/>
          <w:szCs w:val="18"/>
        </w:rPr>
      </w:pPr>
      <w:r w:rsidRPr="00D83DA5">
        <w:rPr>
          <w:rFonts w:ascii="Arial" w:hAnsi="Arial" w:cs="Arial"/>
          <w:szCs w:val="18"/>
        </w:rPr>
        <w:t xml:space="preserve">Sahu, P., Karad, S., Chavan, S. &amp; Khandelwal, S. (2015). PHYSICOCHEMICAL ANALYSIS OF MULA MUTHA RIVER PUNE. </w:t>
      </w:r>
      <w:r w:rsidRPr="00D83DA5">
        <w:rPr>
          <w:rFonts w:ascii="Arial" w:hAnsi="Arial" w:cs="Arial"/>
          <w:i/>
          <w:iCs/>
          <w:szCs w:val="18"/>
        </w:rPr>
        <w:t>Civil Engineering and Urban Planning</w:t>
      </w:r>
      <w:r w:rsidRPr="00D83DA5">
        <w:rPr>
          <w:rFonts w:ascii="Arial" w:hAnsi="Arial" w:cs="Arial"/>
          <w:szCs w:val="18"/>
        </w:rPr>
        <w:t>.</w:t>
      </w:r>
    </w:p>
    <w:p w:rsidR="00ED1655" w:rsidRPr="00D83DA5" w:rsidRDefault="00ED1655" w:rsidP="00740FD9">
      <w:pPr>
        <w:pStyle w:val="Bibliography"/>
        <w:spacing w:line="240" w:lineRule="auto"/>
        <w:jc w:val="both"/>
        <w:rPr>
          <w:rFonts w:ascii="Arial" w:hAnsi="Arial" w:cs="Arial"/>
          <w:szCs w:val="18"/>
        </w:rPr>
      </w:pPr>
      <w:r w:rsidRPr="00D83DA5">
        <w:rPr>
          <w:rFonts w:ascii="Arial" w:hAnsi="Arial" w:cs="Arial"/>
          <w:szCs w:val="18"/>
        </w:rPr>
        <w:t xml:space="preserve">Şener, Ş., Şener, E. &amp; Davraz, A. (2017). Evaluation of water quality using water quality index (WQI) method and GIS in Aksu River (SW-Turkey). </w:t>
      </w:r>
      <w:r w:rsidRPr="00D83DA5">
        <w:rPr>
          <w:rFonts w:ascii="Arial" w:hAnsi="Arial" w:cs="Arial"/>
          <w:i/>
          <w:iCs/>
          <w:szCs w:val="18"/>
        </w:rPr>
        <w:t>Science of The Total Environment</w:t>
      </w:r>
      <w:r w:rsidRPr="00D83DA5">
        <w:rPr>
          <w:rFonts w:ascii="Arial" w:hAnsi="Arial" w:cs="Arial"/>
          <w:szCs w:val="18"/>
        </w:rPr>
        <w:t xml:space="preserve">, </w:t>
      </w:r>
      <w:r w:rsidRPr="00D83DA5">
        <w:rPr>
          <w:rFonts w:ascii="Arial" w:hAnsi="Arial" w:cs="Arial"/>
          <w:i/>
          <w:iCs/>
          <w:szCs w:val="18"/>
        </w:rPr>
        <w:t>584–585</w:t>
      </w:r>
      <w:r w:rsidRPr="00D83DA5">
        <w:rPr>
          <w:rFonts w:ascii="Arial" w:hAnsi="Arial" w:cs="Arial"/>
          <w:szCs w:val="18"/>
        </w:rPr>
        <w:t>, 131–144. https://doi.org/10.1016/j.scitotenv.2017.01.102</w:t>
      </w:r>
    </w:p>
    <w:p w:rsidR="00ED1655" w:rsidRPr="00D83DA5" w:rsidRDefault="00ED1655" w:rsidP="00740FD9">
      <w:pPr>
        <w:pStyle w:val="Bibliography"/>
        <w:spacing w:line="240" w:lineRule="auto"/>
        <w:jc w:val="both"/>
        <w:rPr>
          <w:rFonts w:ascii="Arial" w:hAnsi="Arial" w:cs="Arial"/>
          <w:szCs w:val="18"/>
        </w:rPr>
      </w:pPr>
      <w:r w:rsidRPr="00D83DA5">
        <w:rPr>
          <w:rFonts w:ascii="Arial" w:hAnsi="Arial" w:cs="Arial"/>
          <w:szCs w:val="18"/>
        </w:rPr>
        <w:t xml:space="preserve">Simeonov, V., Stratis, J. A., Samara, C., Zachariadis, G., Voutsa, D., Anthemidis, A., Sofoniou, M. &amp; Kouimtzis, Th. (2003). Assessment of the surface water quality in Northern Greece. </w:t>
      </w:r>
      <w:r w:rsidRPr="00D83DA5">
        <w:rPr>
          <w:rFonts w:ascii="Arial" w:hAnsi="Arial" w:cs="Arial"/>
          <w:i/>
          <w:iCs/>
          <w:szCs w:val="18"/>
        </w:rPr>
        <w:t>Water Research</w:t>
      </w:r>
      <w:r w:rsidRPr="00D83DA5">
        <w:rPr>
          <w:rFonts w:ascii="Arial" w:hAnsi="Arial" w:cs="Arial"/>
          <w:szCs w:val="18"/>
        </w:rPr>
        <w:t xml:space="preserve">, </w:t>
      </w:r>
      <w:r w:rsidRPr="00D83DA5">
        <w:rPr>
          <w:rFonts w:ascii="Arial" w:hAnsi="Arial" w:cs="Arial"/>
          <w:i/>
          <w:iCs/>
          <w:szCs w:val="18"/>
        </w:rPr>
        <w:t>37</w:t>
      </w:r>
      <w:r w:rsidRPr="00D83DA5">
        <w:rPr>
          <w:rFonts w:ascii="Arial" w:hAnsi="Arial" w:cs="Arial"/>
          <w:szCs w:val="18"/>
        </w:rPr>
        <w:t>(17), 4119–4124. https://doi.org/10.1016/S0043-1354(03)00398-1</w:t>
      </w:r>
    </w:p>
    <w:p w:rsidR="00ED1655" w:rsidRPr="00D83DA5" w:rsidRDefault="00ED1655" w:rsidP="00740FD9">
      <w:pPr>
        <w:pStyle w:val="Bibliography"/>
        <w:spacing w:line="240" w:lineRule="auto"/>
        <w:jc w:val="both"/>
        <w:rPr>
          <w:rFonts w:ascii="Arial" w:hAnsi="Arial" w:cs="Arial"/>
          <w:szCs w:val="18"/>
        </w:rPr>
      </w:pPr>
      <w:r w:rsidRPr="00D83DA5">
        <w:rPr>
          <w:rFonts w:ascii="Arial" w:hAnsi="Arial" w:cs="Arial"/>
          <w:szCs w:val="18"/>
        </w:rPr>
        <w:lastRenderedPageBreak/>
        <w:t xml:space="preserve">Soueilem, S. D., N’diaye, A. D., Abdellahi, O. E. M., M’Baye, B. K., Ali, Y. A. E. H., Abeidou, M. E. K. C., Hammouti, B., Sabbahi, R., Azzaoui, K., Jodeh, S. &amp; Kankou, M. (2025). Evaluation of the quality of boreholes water using indicators like Water Quality Index (WQI), and the Comprehensive Pollution Index (CPI). </w:t>
      </w:r>
      <w:r w:rsidRPr="00D83DA5">
        <w:rPr>
          <w:rFonts w:ascii="Arial" w:hAnsi="Arial" w:cs="Arial"/>
          <w:i/>
          <w:iCs/>
          <w:szCs w:val="18"/>
        </w:rPr>
        <w:t>An-Najah University Journal for Research - A (Natural Sciences)</w:t>
      </w:r>
      <w:r w:rsidRPr="00D83DA5">
        <w:rPr>
          <w:rFonts w:ascii="Arial" w:hAnsi="Arial" w:cs="Arial"/>
          <w:szCs w:val="18"/>
        </w:rPr>
        <w:t xml:space="preserve">, </w:t>
      </w:r>
      <w:r w:rsidRPr="00D83DA5">
        <w:rPr>
          <w:rFonts w:ascii="Arial" w:hAnsi="Arial" w:cs="Arial"/>
          <w:i/>
          <w:iCs/>
          <w:szCs w:val="18"/>
        </w:rPr>
        <w:t>39</w:t>
      </w:r>
      <w:r w:rsidRPr="00D83DA5">
        <w:rPr>
          <w:rFonts w:ascii="Arial" w:hAnsi="Arial" w:cs="Arial"/>
          <w:szCs w:val="18"/>
        </w:rPr>
        <w:t>(2). https://doi.org/10.35552/anujr.a.39.2.2376</w:t>
      </w:r>
    </w:p>
    <w:p w:rsidR="00ED1655" w:rsidRPr="00D83DA5" w:rsidRDefault="00ED1655" w:rsidP="00740FD9">
      <w:pPr>
        <w:pStyle w:val="Bibliography"/>
        <w:spacing w:line="240" w:lineRule="auto"/>
        <w:jc w:val="both"/>
        <w:rPr>
          <w:rFonts w:ascii="Arial" w:hAnsi="Arial" w:cs="Arial"/>
          <w:szCs w:val="18"/>
        </w:rPr>
      </w:pPr>
      <w:r w:rsidRPr="00D83DA5">
        <w:rPr>
          <w:rFonts w:ascii="Arial" w:hAnsi="Arial" w:cs="Arial"/>
          <w:szCs w:val="18"/>
        </w:rPr>
        <w:t xml:space="preserve">Thai-Hoang, L., Thong, T., Loc, H. T., Van, P. T. T., Thuy, P. T. P. &amp; Thuoc, T. L. (2022). Influences of anthropogenic activities on water quality in the Saigon River, Ho Chi Minh City. </w:t>
      </w:r>
      <w:r w:rsidRPr="00D83DA5">
        <w:rPr>
          <w:rFonts w:ascii="Arial" w:hAnsi="Arial" w:cs="Arial"/>
          <w:i/>
          <w:iCs/>
          <w:szCs w:val="18"/>
        </w:rPr>
        <w:t>Journal of Water and Health</w:t>
      </w:r>
      <w:r w:rsidRPr="00D83DA5">
        <w:rPr>
          <w:rFonts w:ascii="Arial" w:hAnsi="Arial" w:cs="Arial"/>
          <w:szCs w:val="18"/>
        </w:rPr>
        <w:t xml:space="preserve">, </w:t>
      </w:r>
      <w:r w:rsidRPr="00D83DA5">
        <w:rPr>
          <w:rFonts w:ascii="Arial" w:hAnsi="Arial" w:cs="Arial"/>
          <w:i/>
          <w:iCs/>
          <w:szCs w:val="18"/>
        </w:rPr>
        <w:t>20</w:t>
      </w:r>
      <w:r w:rsidRPr="00D83DA5">
        <w:rPr>
          <w:rFonts w:ascii="Arial" w:hAnsi="Arial" w:cs="Arial"/>
          <w:szCs w:val="18"/>
        </w:rPr>
        <w:t>(3), 491–504. https://doi.org/10.2166/wh.2022.233</w:t>
      </w:r>
    </w:p>
    <w:p w:rsidR="00ED1655" w:rsidRPr="00D83DA5" w:rsidRDefault="00ED1655" w:rsidP="00740FD9">
      <w:pPr>
        <w:pStyle w:val="Bibliography"/>
        <w:spacing w:line="240" w:lineRule="auto"/>
        <w:jc w:val="both"/>
        <w:rPr>
          <w:rFonts w:ascii="Arial" w:hAnsi="Arial" w:cs="Arial"/>
          <w:szCs w:val="18"/>
        </w:rPr>
      </w:pPr>
      <w:r w:rsidRPr="00D83DA5">
        <w:rPr>
          <w:rFonts w:ascii="Arial" w:hAnsi="Arial" w:cs="Arial"/>
          <w:szCs w:val="18"/>
        </w:rPr>
        <w:t xml:space="preserve">Varouchakis, E. A., Hristopulos, D. T. &amp; Karatzas, G. P. (2012). Improving kriging of groundwater level data using nonlinear normalizing transformations—a field application. </w:t>
      </w:r>
      <w:r w:rsidRPr="00D83DA5">
        <w:rPr>
          <w:rFonts w:ascii="Arial" w:hAnsi="Arial" w:cs="Arial"/>
          <w:i/>
          <w:iCs/>
          <w:szCs w:val="18"/>
        </w:rPr>
        <w:t>Hydrological Sciences Journal</w:t>
      </w:r>
      <w:r w:rsidRPr="00D83DA5">
        <w:rPr>
          <w:rFonts w:ascii="Arial" w:hAnsi="Arial" w:cs="Arial"/>
          <w:szCs w:val="18"/>
        </w:rPr>
        <w:t xml:space="preserve">, </w:t>
      </w:r>
      <w:r w:rsidRPr="00D83DA5">
        <w:rPr>
          <w:rFonts w:ascii="Arial" w:hAnsi="Arial" w:cs="Arial"/>
          <w:i/>
          <w:iCs/>
          <w:szCs w:val="18"/>
        </w:rPr>
        <w:t>57</w:t>
      </w:r>
      <w:r w:rsidRPr="00D83DA5">
        <w:rPr>
          <w:rFonts w:ascii="Arial" w:hAnsi="Arial" w:cs="Arial"/>
          <w:szCs w:val="18"/>
        </w:rPr>
        <w:t>(7), 1404–1419. https://doi.org/10.1080/02626667.2012.717174</w:t>
      </w:r>
    </w:p>
    <w:p w:rsidR="00ED1655" w:rsidRPr="00D83DA5" w:rsidRDefault="00ED1655" w:rsidP="00740FD9">
      <w:pPr>
        <w:pStyle w:val="Bibliography"/>
        <w:spacing w:line="240" w:lineRule="auto"/>
        <w:jc w:val="both"/>
        <w:rPr>
          <w:rFonts w:ascii="Arial" w:hAnsi="Arial" w:cs="Arial"/>
          <w:szCs w:val="18"/>
        </w:rPr>
      </w:pPr>
      <w:r w:rsidRPr="00D83DA5">
        <w:rPr>
          <w:rFonts w:ascii="Arial" w:hAnsi="Arial" w:cs="Arial"/>
          <w:szCs w:val="18"/>
        </w:rPr>
        <w:t xml:space="preserve">Vasistha, P. &amp; Ganguly, R. (2020). Assessment of spatio-temporal variations in lake water body using indexing method. </w:t>
      </w:r>
      <w:r w:rsidRPr="00D83DA5">
        <w:rPr>
          <w:rFonts w:ascii="Arial" w:hAnsi="Arial" w:cs="Arial"/>
          <w:i/>
          <w:iCs/>
          <w:szCs w:val="18"/>
        </w:rPr>
        <w:t>Environmental Science and Pollution Research</w:t>
      </w:r>
      <w:r w:rsidRPr="00D83DA5">
        <w:rPr>
          <w:rFonts w:ascii="Arial" w:hAnsi="Arial" w:cs="Arial"/>
          <w:szCs w:val="18"/>
        </w:rPr>
        <w:t xml:space="preserve">, </w:t>
      </w:r>
      <w:r w:rsidRPr="00D83DA5">
        <w:rPr>
          <w:rFonts w:ascii="Arial" w:hAnsi="Arial" w:cs="Arial"/>
          <w:i/>
          <w:iCs/>
          <w:szCs w:val="18"/>
        </w:rPr>
        <w:t>27</w:t>
      </w:r>
      <w:r w:rsidRPr="00D83DA5">
        <w:rPr>
          <w:rFonts w:ascii="Arial" w:hAnsi="Arial" w:cs="Arial"/>
          <w:szCs w:val="18"/>
        </w:rPr>
        <w:t>(33), 41856–41875. https://doi.org/10.1007/s11356-020-10109-3</w:t>
      </w:r>
    </w:p>
    <w:p w:rsidR="00ED1655" w:rsidRPr="00D83DA5" w:rsidRDefault="00ED1655" w:rsidP="00740FD9">
      <w:pPr>
        <w:pStyle w:val="Bibliography"/>
        <w:spacing w:line="240" w:lineRule="auto"/>
        <w:jc w:val="both"/>
        <w:rPr>
          <w:rFonts w:ascii="Arial" w:hAnsi="Arial" w:cs="Arial"/>
          <w:szCs w:val="18"/>
        </w:rPr>
      </w:pPr>
      <w:r w:rsidRPr="00D83DA5">
        <w:rPr>
          <w:rFonts w:ascii="Arial" w:hAnsi="Arial" w:cs="Arial"/>
          <w:szCs w:val="18"/>
        </w:rPr>
        <w:t xml:space="preserve">Wang, X., Zhang, F. &amp; Ding, J. (2017). Evaluation of water quality based on a machine learning algorithm and water quality index for the Ebinur Lake Watershed, China. </w:t>
      </w:r>
      <w:r w:rsidRPr="00D83DA5">
        <w:rPr>
          <w:rFonts w:ascii="Arial" w:hAnsi="Arial" w:cs="Arial"/>
          <w:i/>
          <w:iCs/>
          <w:szCs w:val="18"/>
        </w:rPr>
        <w:t>Scientific Reports</w:t>
      </w:r>
      <w:r w:rsidRPr="00D83DA5">
        <w:rPr>
          <w:rFonts w:ascii="Arial" w:hAnsi="Arial" w:cs="Arial"/>
          <w:szCs w:val="18"/>
        </w:rPr>
        <w:t xml:space="preserve">, </w:t>
      </w:r>
      <w:r w:rsidRPr="00D83DA5">
        <w:rPr>
          <w:rFonts w:ascii="Arial" w:hAnsi="Arial" w:cs="Arial"/>
          <w:i/>
          <w:iCs/>
          <w:szCs w:val="18"/>
        </w:rPr>
        <w:t>7</w:t>
      </w:r>
      <w:r w:rsidRPr="00D83DA5">
        <w:rPr>
          <w:rFonts w:ascii="Arial" w:hAnsi="Arial" w:cs="Arial"/>
          <w:szCs w:val="18"/>
        </w:rPr>
        <w:t>(1), 12858. https://doi.org/10.1038/s41598-017-12853-y</w:t>
      </w:r>
    </w:p>
    <w:p w:rsidR="00ED1655" w:rsidRPr="00D83DA5" w:rsidRDefault="00ED1655" w:rsidP="00740FD9">
      <w:pPr>
        <w:pStyle w:val="Bibliography"/>
        <w:spacing w:line="240" w:lineRule="auto"/>
        <w:jc w:val="both"/>
        <w:rPr>
          <w:rFonts w:ascii="Arial" w:hAnsi="Arial" w:cs="Arial"/>
          <w:szCs w:val="18"/>
        </w:rPr>
      </w:pPr>
      <w:r w:rsidRPr="00D83DA5">
        <w:rPr>
          <w:rFonts w:ascii="Arial" w:hAnsi="Arial" w:cs="Arial"/>
          <w:szCs w:val="18"/>
        </w:rPr>
        <w:t xml:space="preserve">Zhao, Y., Xia, X. H., Yang, Z. F. &amp; Wang, F. (2012). Assessment of water quality in Baiyangdian Lake using multivariate statistical techniques. </w:t>
      </w:r>
      <w:r w:rsidRPr="00D83DA5">
        <w:rPr>
          <w:rFonts w:ascii="Arial" w:hAnsi="Arial" w:cs="Arial"/>
          <w:i/>
          <w:iCs/>
          <w:szCs w:val="18"/>
        </w:rPr>
        <w:t>Procedia Environmental Sciences</w:t>
      </w:r>
      <w:r w:rsidRPr="00D83DA5">
        <w:rPr>
          <w:rFonts w:ascii="Arial" w:hAnsi="Arial" w:cs="Arial"/>
          <w:szCs w:val="18"/>
        </w:rPr>
        <w:t xml:space="preserve">, </w:t>
      </w:r>
      <w:r w:rsidRPr="00D83DA5">
        <w:rPr>
          <w:rFonts w:ascii="Arial" w:hAnsi="Arial" w:cs="Arial"/>
          <w:i/>
          <w:iCs/>
          <w:szCs w:val="18"/>
        </w:rPr>
        <w:t>13</w:t>
      </w:r>
      <w:r w:rsidRPr="00D83DA5">
        <w:rPr>
          <w:rFonts w:ascii="Arial" w:hAnsi="Arial" w:cs="Arial"/>
          <w:szCs w:val="18"/>
        </w:rPr>
        <w:t>, 1213–1226. https://doi.org/10.1016/j.proenv.2012.01.115</w:t>
      </w:r>
    </w:p>
    <w:p w:rsidR="00802D38" w:rsidRPr="001A2434" w:rsidRDefault="0070276B" w:rsidP="005B5635">
      <w:pPr>
        <w:pStyle w:val="ReferHead"/>
        <w:spacing w:after="0"/>
        <w:jc w:val="both"/>
        <w:rPr>
          <w:rFonts w:ascii="Arial" w:hAnsi="Arial" w:cs="Arial"/>
          <w:sz w:val="20"/>
        </w:rPr>
      </w:pPr>
      <w:r w:rsidRPr="00D83DA5">
        <w:rPr>
          <w:rFonts w:ascii="Arial" w:hAnsi="Arial" w:cs="Arial"/>
          <w:sz w:val="20"/>
          <w:szCs w:val="18"/>
        </w:rPr>
        <w:fldChar w:fldCharType="end"/>
      </w:r>
    </w:p>
    <w:sectPr w:rsidR="00802D38" w:rsidRPr="001A2434" w:rsidSect="00613AEC">
      <w:type w:val="continuous"/>
      <w:pgSz w:w="12240" w:h="15840"/>
      <w:pgMar w:top="1440" w:right="2016" w:bottom="1710" w:left="2016" w:header="720" w:footer="519" w:gutter="0"/>
      <w:lnNumType w:countBy="1"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0FA9" w:rsidRDefault="00B50FA9" w:rsidP="00C37E61">
      <w:r>
        <w:separator/>
      </w:r>
    </w:p>
  </w:endnote>
  <w:endnote w:type="continuationSeparator" w:id="0">
    <w:p w:rsidR="00B50FA9" w:rsidRDefault="00B50FA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orbel-Bold">
    <w:altName w:val="SimSun"/>
    <w:panose1 w:val="00000000000000000000"/>
    <w:charset w:val="86"/>
    <w:family w:val="auto"/>
    <w:notTrueType/>
    <w:pitch w:val="default"/>
    <w:sig w:usb0="00000001" w:usb1="080E0000" w:usb2="00000010" w:usb3="00000000" w:csb0="00040000" w:csb1="00000000"/>
  </w:font>
  <w:font w:name="MinionPro-Regular">
    <w:altName w:val="Yu Gothic"/>
    <w:panose1 w:val="00000000000000000000"/>
    <w:charset w:val="80"/>
    <w:family w:val="roman"/>
    <w:notTrueType/>
    <w:pitch w:val="default"/>
    <w:sig w:usb0="00000001" w:usb1="08070000" w:usb2="00000010" w:usb3="00000000" w:csb0="00020000" w:csb1="00000000"/>
  </w:font>
  <w:font w:name="CIDFont+F3">
    <w:altName w:val="Malgun Goth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5B60" w:rsidRDefault="00195B60">
    <w:pPr>
      <w:pStyle w:val="Footer"/>
      <w:rPr>
        <w:rFonts w:ascii="Arial" w:hAnsi="Arial" w:cs="Arial"/>
        <w:sz w:val="16"/>
      </w:rPr>
    </w:pPr>
  </w:p>
  <w:p w:rsidR="00195B60" w:rsidRDefault="00195B60"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195B60" w:rsidRPr="009E048A" w:rsidRDefault="00195B60" w:rsidP="00613AEC">
    <w:pPr>
      <w:pStyle w:val="Footer"/>
      <w:rPr>
        <w:rFonts w:ascii="Arial" w:hAnsi="Arial" w:cs="Arial"/>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0FA9" w:rsidRDefault="00B50FA9" w:rsidP="00C37E61">
      <w:r>
        <w:separator/>
      </w:r>
    </w:p>
  </w:footnote>
  <w:footnote w:type="continuationSeparator" w:id="0">
    <w:p w:rsidR="00B50FA9" w:rsidRDefault="00B50FA9" w:rsidP="00C37E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59C634B"/>
    <w:multiLevelType w:val="hybridMultilevel"/>
    <w:tmpl w:val="0C7E9F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5FF2"/>
    <w:rsid w:val="00030174"/>
    <w:rsid w:val="00037F87"/>
    <w:rsid w:val="0004579C"/>
    <w:rsid w:val="000920A7"/>
    <w:rsid w:val="000A47D0"/>
    <w:rsid w:val="000A47FA"/>
    <w:rsid w:val="000A65D3"/>
    <w:rsid w:val="000A70E4"/>
    <w:rsid w:val="000B1E33"/>
    <w:rsid w:val="000D689F"/>
    <w:rsid w:val="000E7B7B"/>
    <w:rsid w:val="000E7D62"/>
    <w:rsid w:val="00103357"/>
    <w:rsid w:val="001153A6"/>
    <w:rsid w:val="00120F7E"/>
    <w:rsid w:val="00123C9F"/>
    <w:rsid w:val="00126190"/>
    <w:rsid w:val="0012647D"/>
    <w:rsid w:val="00130F17"/>
    <w:rsid w:val="001320BF"/>
    <w:rsid w:val="00143DCA"/>
    <w:rsid w:val="00163BC4"/>
    <w:rsid w:val="00163C46"/>
    <w:rsid w:val="00177B64"/>
    <w:rsid w:val="001852BA"/>
    <w:rsid w:val="00191062"/>
    <w:rsid w:val="00192B72"/>
    <w:rsid w:val="00195B60"/>
    <w:rsid w:val="001A2434"/>
    <w:rsid w:val="001A29D8"/>
    <w:rsid w:val="001A5CAA"/>
    <w:rsid w:val="001A780F"/>
    <w:rsid w:val="001B0427"/>
    <w:rsid w:val="001C3754"/>
    <w:rsid w:val="001D099A"/>
    <w:rsid w:val="001D12DA"/>
    <w:rsid w:val="001D1E29"/>
    <w:rsid w:val="001D3A51"/>
    <w:rsid w:val="001E10D2"/>
    <w:rsid w:val="001E25B4"/>
    <w:rsid w:val="001E44FE"/>
    <w:rsid w:val="001E622F"/>
    <w:rsid w:val="001F5AA4"/>
    <w:rsid w:val="00200595"/>
    <w:rsid w:val="00204835"/>
    <w:rsid w:val="00231920"/>
    <w:rsid w:val="0023195C"/>
    <w:rsid w:val="0024282C"/>
    <w:rsid w:val="002460DC"/>
    <w:rsid w:val="00250985"/>
    <w:rsid w:val="002556F6"/>
    <w:rsid w:val="00273A0A"/>
    <w:rsid w:val="00283105"/>
    <w:rsid w:val="00284C4C"/>
    <w:rsid w:val="00287E68"/>
    <w:rsid w:val="00296529"/>
    <w:rsid w:val="002B27FB"/>
    <w:rsid w:val="002B548D"/>
    <w:rsid w:val="002B685A"/>
    <w:rsid w:val="002C57D2"/>
    <w:rsid w:val="002C7FCC"/>
    <w:rsid w:val="002D5921"/>
    <w:rsid w:val="002E0D56"/>
    <w:rsid w:val="002F114E"/>
    <w:rsid w:val="00301DD3"/>
    <w:rsid w:val="00315186"/>
    <w:rsid w:val="0033343E"/>
    <w:rsid w:val="00337ED6"/>
    <w:rsid w:val="00346D93"/>
    <w:rsid w:val="003512C2"/>
    <w:rsid w:val="003705A7"/>
    <w:rsid w:val="00371FB6"/>
    <w:rsid w:val="00372E43"/>
    <w:rsid w:val="003763C1"/>
    <w:rsid w:val="00376BBE"/>
    <w:rsid w:val="00381700"/>
    <w:rsid w:val="00382B68"/>
    <w:rsid w:val="00385132"/>
    <w:rsid w:val="0039224F"/>
    <w:rsid w:val="003A2C8A"/>
    <w:rsid w:val="003A3694"/>
    <w:rsid w:val="003A43A4"/>
    <w:rsid w:val="003A7E18"/>
    <w:rsid w:val="003B2612"/>
    <w:rsid w:val="003B3A44"/>
    <w:rsid w:val="003C4C86"/>
    <w:rsid w:val="003C6258"/>
    <w:rsid w:val="003C7617"/>
    <w:rsid w:val="003E0D29"/>
    <w:rsid w:val="003E2904"/>
    <w:rsid w:val="00401927"/>
    <w:rsid w:val="00401FFC"/>
    <w:rsid w:val="0041027F"/>
    <w:rsid w:val="00412475"/>
    <w:rsid w:val="00421F84"/>
    <w:rsid w:val="00423789"/>
    <w:rsid w:val="00432751"/>
    <w:rsid w:val="00440F43"/>
    <w:rsid w:val="00441B6F"/>
    <w:rsid w:val="00444C81"/>
    <w:rsid w:val="00446221"/>
    <w:rsid w:val="00450E62"/>
    <w:rsid w:val="004539DB"/>
    <w:rsid w:val="00461AD9"/>
    <w:rsid w:val="004635ED"/>
    <w:rsid w:val="00471A80"/>
    <w:rsid w:val="004D2E19"/>
    <w:rsid w:val="004D305E"/>
    <w:rsid w:val="004D4277"/>
    <w:rsid w:val="00502516"/>
    <w:rsid w:val="005053CF"/>
    <w:rsid w:val="00505F06"/>
    <w:rsid w:val="005061FD"/>
    <w:rsid w:val="00506828"/>
    <w:rsid w:val="0051775F"/>
    <w:rsid w:val="0053056E"/>
    <w:rsid w:val="00534103"/>
    <w:rsid w:val="00540813"/>
    <w:rsid w:val="00554FDA"/>
    <w:rsid w:val="005B1F50"/>
    <w:rsid w:val="005B3249"/>
    <w:rsid w:val="005B5635"/>
    <w:rsid w:val="005C0A67"/>
    <w:rsid w:val="005C41C8"/>
    <w:rsid w:val="005C784C"/>
    <w:rsid w:val="005D17F6"/>
    <w:rsid w:val="005E5539"/>
    <w:rsid w:val="006005DE"/>
    <w:rsid w:val="00602BF5"/>
    <w:rsid w:val="00613AEC"/>
    <w:rsid w:val="00617FDD"/>
    <w:rsid w:val="00626309"/>
    <w:rsid w:val="00633614"/>
    <w:rsid w:val="00633F68"/>
    <w:rsid w:val="006358BE"/>
    <w:rsid w:val="00636EB2"/>
    <w:rsid w:val="006375B8"/>
    <w:rsid w:val="00645B20"/>
    <w:rsid w:val="0065261A"/>
    <w:rsid w:val="0066510A"/>
    <w:rsid w:val="00672A2B"/>
    <w:rsid w:val="00673F9F"/>
    <w:rsid w:val="00686953"/>
    <w:rsid w:val="00687DEA"/>
    <w:rsid w:val="00687E67"/>
    <w:rsid w:val="00692514"/>
    <w:rsid w:val="006967F7"/>
    <w:rsid w:val="00697AE6"/>
    <w:rsid w:val="006A0B3A"/>
    <w:rsid w:val="006A250C"/>
    <w:rsid w:val="006A63DE"/>
    <w:rsid w:val="006B21D3"/>
    <w:rsid w:val="006B57D0"/>
    <w:rsid w:val="006C4965"/>
    <w:rsid w:val="006C5517"/>
    <w:rsid w:val="006D30FF"/>
    <w:rsid w:val="006D6940"/>
    <w:rsid w:val="006F11EC"/>
    <w:rsid w:val="0070082C"/>
    <w:rsid w:val="0070276B"/>
    <w:rsid w:val="007369E6"/>
    <w:rsid w:val="00740FD9"/>
    <w:rsid w:val="00746E59"/>
    <w:rsid w:val="00754138"/>
    <w:rsid w:val="00754C9A"/>
    <w:rsid w:val="0075599A"/>
    <w:rsid w:val="00761D52"/>
    <w:rsid w:val="0077749E"/>
    <w:rsid w:val="00786FCD"/>
    <w:rsid w:val="00790ADA"/>
    <w:rsid w:val="007D2288"/>
    <w:rsid w:val="007E088F"/>
    <w:rsid w:val="007E359A"/>
    <w:rsid w:val="007F7B32"/>
    <w:rsid w:val="00802D38"/>
    <w:rsid w:val="00804BC2"/>
    <w:rsid w:val="0081431A"/>
    <w:rsid w:val="00824A6A"/>
    <w:rsid w:val="0083216F"/>
    <w:rsid w:val="00836FAC"/>
    <w:rsid w:val="00853D76"/>
    <w:rsid w:val="00860000"/>
    <w:rsid w:val="00863BD3"/>
    <w:rsid w:val="008641ED"/>
    <w:rsid w:val="00866D66"/>
    <w:rsid w:val="008671C6"/>
    <w:rsid w:val="00875803"/>
    <w:rsid w:val="00892598"/>
    <w:rsid w:val="008B459E"/>
    <w:rsid w:val="008C5A2C"/>
    <w:rsid w:val="008D765B"/>
    <w:rsid w:val="008E13AE"/>
    <w:rsid w:val="008E1506"/>
    <w:rsid w:val="008E1BA3"/>
    <w:rsid w:val="008E710C"/>
    <w:rsid w:val="008F69D6"/>
    <w:rsid w:val="00902823"/>
    <w:rsid w:val="00915CA6"/>
    <w:rsid w:val="00917363"/>
    <w:rsid w:val="00927834"/>
    <w:rsid w:val="009311EA"/>
    <w:rsid w:val="00933A06"/>
    <w:rsid w:val="0094314B"/>
    <w:rsid w:val="009500A6"/>
    <w:rsid w:val="00956C2D"/>
    <w:rsid w:val="00957C18"/>
    <w:rsid w:val="00961C4F"/>
    <w:rsid w:val="009659BA"/>
    <w:rsid w:val="00983040"/>
    <w:rsid w:val="009B3FB9"/>
    <w:rsid w:val="009B58F5"/>
    <w:rsid w:val="009C2465"/>
    <w:rsid w:val="009C4C9C"/>
    <w:rsid w:val="009D35A0"/>
    <w:rsid w:val="009D58D6"/>
    <w:rsid w:val="009D7EB7"/>
    <w:rsid w:val="009E048A"/>
    <w:rsid w:val="009E08E9"/>
    <w:rsid w:val="009E3DB9"/>
    <w:rsid w:val="009E6E35"/>
    <w:rsid w:val="009F0EDA"/>
    <w:rsid w:val="00A03B96"/>
    <w:rsid w:val="00A05B19"/>
    <w:rsid w:val="00A1134E"/>
    <w:rsid w:val="00A15CD9"/>
    <w:rsid w:val="00A24E7E"/>
    <w:rsid w:val="00A258C3"/>
    <w:rsid w:val="00A27213"/>
    <w:rsid w:val="00A347C0"/>
    <w:rsid w:val="00A51431"/>
    <w:rsid w:val="00A539AD"/>
    <w:rsid w:val="00A62C16"/>
    <w:rsid w:val="00A7338B"/>
    <w:rsid w:val="00A83FC9"/>
    <w:rsid w:val="00A85BBF"/>
    <w:rsid w:val="00A9008E"/>
    <w:rsid w:val="00A94063"/>
    <w:rsid w:val="00AA4A94"/>
    <w:rsid w:val="00AA6219"/>
    <w:rsid w:val="00AA653B"/>
    <w:rsid w:val="00AA74E0"/>
    <w:rsid w:val="00AB703F"/>
    <w:rsid w:val="00AC6BB8"/>
    <w:rsid w:val="00AD01A8"/>
    <w:rsid w:val="00AD5E22"/>
    <w:rsid w:val="00AE008F"/>
    <w:rsid w:val="00AE310D"/>
    <w:rsid w:val="00AF0F5E"/>
    <w:rsid w:val="00AF1AC1"/>
    <w:rsid w:val="00B01FCD"/>
    <w:rsid w:val="00B1776C"/>
    <w:rsid w:val="00B37FCD"/>
    <w:rsid w:val="00B50FA9"/>
    <w:rsid w:val="00B52583"/>
    <w:rsid w:val="00B52896"/>
    <w:rsid w:val="00B54899"/>
    <w:rsid w:val="00B6001F"/>
    <w:rsid w:val="00B71FB1"/>
    <w:rsid w:val="00B92E9A"/>
    <w:rsid w:val="00B95236"/>
    <w:rsid w:val="00B96BD9"/>
    <w:rsid w:val="00BA1B01"/>
    <w:rsid w:val="00BA2641"/>
    <w:rsid w:val="00BB37AA"/>
    <w:rsid w:val="00BC53A0"/>
    <w:rsid w:val="00BC734F"/>
    <w:rsid w:val="00BE62AD"/>
    <w:rsid w:val="00BF121F"/>
    <w:rsid w:val="00BF1F80"/>
    <w:rsid w:val="00BF258C"/>
    <w:rsid w:val="00BF2911"/>
    <w:rsid w:val="00BF3ADD"/>
    <w:rsid w:val="00C140AB"/>
    <w:rsid w:val="00C166EF"/>
    <w:rsid w:val="00C17EB0"/>
    <w:rsid w:val="00C27F5F"/>
    <w:rsid w:val="00C30A0F"/>
    <w:rsid w:val="00C37E61"/>
    <w:rsid w:val="00C70F1B"/>
    <w:rsid w:val="00C71A47"/>
    <w:rsid w:val="00C7464C"/>
    <w:rsid w:val="00C85588"/>
    <w:rsid w:val="00CA1C13"/>
    <w:rsid w:val="00CD3A6B"/>
    <w:rsid w:val="00CD6755"/>
    <w:rsid w:val="00CD6856"/>
    <w:rsid w:val="00CE0089"/>
    <w:rsid w:val="00CE793C"/>
    <w:rsid w:val="00CF193C"/>
    <w:rsid w:val="00CF4A26"/>
    <w:rsid w:val="00D173F1"/>
    <w:rsid w:val="00D247DF"/>
    <w:rsid w:val="00D4087A"/>
    <w:rsid w:val="00D426BE"/>
    <w:rsid w:val="00D4363D"/>
    <w:rsid w:val="00D74CB0"/>
    <w:rsid w:val="00D8295D"/>
    <w:rsid w:val="00D8373B"/>
    <w:rsid w:val="00D83DA5"/>
    <w:rsid w:val="00D90394"/>
    <w:rsid w:val="00D9078D"/>
    <w:rsid w:val="00DB04F3"/>
    <w:rsid w:val="00DB5197"/>
    <w:rsid w:val="00DC1DC7"/>
    <w:rsid w:val="00DC2A65"/>
    <w:rsid w:val="00DC4567"/>
    <w:rsid w:val="00DE15F0"/>
    <w:rsid w:val="00DE5663"/>
    <w:rsid w:val="00DE78AA"/>
    <w:rsid w:val="00DF74D0"/>
    <w:rsid w:val="00E053D0"/>
    <w:rsid w:val="00E15994"/>
    <w:rsid w:val="00E16DA4"/>
    <w:rsid w:val="00E3114E"/>
    <w:rsid w:val="00E31A70"/>
    <w:rsid w:val="00E35B02"/>
    <w:rsid w:val="00E66496"/>
    <w:rsid w:val="00E66B35"/>
    <w:rsid w:val="00E66E10"/>
    <w:rsid w:val="00E7346B"/>
    <w:rsid w:val="00E769F6"/>
    <w:rsid w:val="00E83E27"/>
    <w:rsid w:val="00E8407C"/>
    <w:rsid w:val="00E84F3C"/>
    <w:rsid w:val="00E87958"/>
    <w:rsid w:val="00EA012C"/>
    <w:rsid w:val="00EB69AF"/>
    <w:rsid w:val="00EC6A55"/>
    <w:rsid w:val="00EC6A87"/>
    <w:rsid w:val="00ED0288"/>
    <w:rsid w:val="00ED1655"/>
    <w:rsid w:val="00ED4ED4"/>
    <w:rsid w:val="00EE42D3"/>
    <w:rsid w:val="00EE52CB"/>
    <w:rsid w:val="00EE5D0A"/>
    <w:rsid w:val="00EF2787"/>
    <w:rsid w:val="00EF581D"/>
    <w:rsid w:val="00EF7FD8"/>
    <w:rsid w:val="00F06F59"/>
    <w:rsid w:val="00F17988"/>
    <w:rsid w:val="00F2288C"/>
    <w:rsid w:val="00F469F0"/>
    <w:rsid w:val="00F53273"/>
    <w:rsid w:val="00F6545C"/>
    <w:rsid w:val="00F755E4"/>
    <w:rsid w:val="00F77D02"/>
    <w:rsid w:val="00FB3A86"/>
    <w:rsid w:val="00FB786E"/>
    <w:rsid w:val="00FD0B81"/>
    <w:rsid w:val="00FD36C8"/>
    <w:rsid w:val="00FE2604"/>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26"/>
      </o:rules>
    </o:shapelayout>
  </w:shapeDefaults>
  <w:decimalSymbol w:val="."/>
  <w:listSeparator w:val=","/>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1D1E29"/>
    <w:pPr>
      <w:spacing w:after="200" w:line="276" w:lineRule="auto"/>
      <w:ind w:left="720"/>
      <w:contextualSpacing/>
    </w:pPr>
    <w:rPr>
      <w:rFonts w:asciiTheme="minorHAnsi" w:eastAsiaTheme="minorHAnsi" w:hAnsiTheme="minorHAnsi" w:cs="Mangal"/>
      <w:sz w:val="22"/>
      <w:lang w:bidi="mr-IN"/>
    </w:rPr>
  </w:style>
  <w:style w:type="paragraph" w:customStyle="1" w:styleId="my-2">
    <w:name w:val="my-2"/>
    <w:basedOn w:val="Normal"/>
    <w:rsid w:val="00A9008E"/>
    <w:pPr>
      <w:spacing w:before="100" w:beforeAutospacing="1" w:after="100" w:afterAutospacing="1"/>
    </w:pPr>
    <w:rPr>
      <w:rFonts w:ascii="Times New Roman" w:hAnsi="Times New Roman"/>
      <w:sz w:val="24"/>
      <w:szCs w:val="24"/>
      <w:lang w:val="en-GB" w:eastAsia="en-IN" w:bidi="mr-IN"/>
    </w:rPr>
  </w:style>
  <w:style w:type="character" w:customStyle="1" w:styleId="uv3um">
    <w:name w:val="uv3um"/>
    <w:basedOn w:val="DefaultParagraphFont"/>
    <w:rsid w:val="00037F87"/>
  </w:style>
  <w:style w:type="character" w:styleId="Strong">
    <w:name w:val="Strong"/>
    <w:basedOn w:val="DefaultParagraphFont"/>
    <w:uiPriority w:val="22"/>
    <w:qFormat/>
    <w:rsid w:val="00BF2911"/>
    <w:rPr>
      <w:b/>
      <w:bCs/>
    </w:rPr>
  </w:style>
  <w:style w:type="paragraph" w:customStyle="1" w:styleId="Default">
    <w:name w:val="Default"/>
    <w:rsid w:val="00005FF2"/>
    <w:pPr>
      <w:autoSpaceDE w:val="0"/>
      <w:autoSpaceDN w:val="0"/>
      <w:adjustRightInd w:val="0"/>
    </w:pPr>
    <w:rPr>
      <w:rFonts w:ascii="Arial" w:hAnsi="Arial" w:cs="Arial"/>
      <w:color w:val="000000"/>
      <w:sz w:val="24"/>
      <w:szCs w:val="24"/>
      <w:lang w:val="en-IN" w:bidi="mr-IN"/>
    </w:rPr>
  </w:style>
  <w:style w:type="paragraph" w:styleId="Bibliography">
    <w:name w:val="Bibliography"/>
    <w:basedOn w:val="Normal"/>
    <w:next w:val="Normal"/>
    <w:uiPriority w:val="37"/>
    <w:unhideWhenUsed/>
    <w:rsid w:val="0070276B"/>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807F4-03C5-4CBC-A04A-F378511BF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3375</TotalTime>
  <Pages>25</Pages>
  <Words>20217</Words>
  <Characters>115238</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135185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136</cp:revision>
  <cp:lastPrinted>1999-07-06T11:00:00Z</cp:lastPrinted>
  <dcterms:created xsi:type="dcterms:W3CDTF">2014-10-25T14:34:00Z</dcterms:created>
  <dcterms:modified xsi:type="dcterms:W3CDTF">2026-03-27T06:05:00Z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4e5651c3-4fdd-4840-bfa5-556eab8df480</vt:lpwstr>
  </property>
  <property fmtid="{D5CDD505-2E9C-101B-9397-08002B2CF9AE}" pid="3" name="ZOTERO_PREF_1">
    <vt:lpwstr>&lt;data data-version="3" zotero-version="7.0.16"&gt;&lt;session id="7AoAF8BM"/&gt;&lt;style id="http://www.zotero.org/styles/norsk-apa-manual" locale="en-GB" hasBibliography="1" bibliographyStyleHasBeenSet="1"/&gt;&lt;prefs&gt;&lt;pref name="fieldType" value="Field"/&gt;&lt;/prefs&gt;&lt;/dat</vt:lpwstr>
  </property>
  <property fmtid="{D5CDD505-2E9C-101B-9397-08002B2CF9AE}" pid="4" name="ZOTERO_PREF_2">
    <vt:lpwstr>a&gt;</vt:lpwstr>
  </property>
</Properties>
</file>